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D" w:rsidRPr="0060755C" w:rsidRDefault="00494D4D" w:rsidP="00494D4D">
      <w:pPr>
        <w:spacing w:line="480" w:lineRule="auto"/>
        <w:ind w:left="720" w:hanging="720"/>
        <w:jc w:val="center"/>
        <w:rPr>
          <w:rFonts w:ascii="Arial" w:hAnsi="Arial" w:cs="Arial"/>
          <w:b/>
        </w:rPr>
      </w:pPr>
      <w:r w:rsidRPr="0060755C">
        <w:rPr>
          <w:rFonts w:ascii="Arial" w:hAnsi="Arial" w:cs="Arial"/>
          <w:b/>
        </w:rPr>
        <w:t>Teaching Public Health Networks</w:t>
      </w:r>
      <w:r w:rsidR="00EF241C" w:rsidRPr="0060755C">
        <w:rPr>
          <w:rFonts w:ascii="Arial" w:hAnsi="Arial" w:cs="Arial"/>
          <w:b/>
        </w:rPr>
        <w:t xml:space="preserve"> in </w:t>
      </w:r>
      <w:smartTag w:uri="urn:schemas-microsoft-com:office:smarttags" w:element="place">
        <w:smartTag w:uri="urn:schemas-microsoft-com:office:smarttags" w:element="country-region">
          <w:r w:rsidR="00EF241C" w:rsidRPr="0060755C">
            <w:rPr>
              <w:rFonts w:ascii="Arial" w:hAnsi="Arial" w:cs="Arial"/>
              <w:b/>
            </w:rPr>
            <w:t>England</w:t>
          </w:r>
        </w:smartTag>
      </w:smartTag>
      <w:r w:rsidR="00EF241C" w:rsidRPr="0060755C">
        <w:rPr>
          <w:rFonts w:ascii="Arial" w:hAnsi="Arial" w:cs="Arial"/>
          <w:b/>
        </w:rPr>
        <w:t xml:space="preserve"> - an innovative approach to building public health capacity and capability</w:t>
      </w:r>
    </w:p>
    <w:p w:rsidR="008E00FC" w:rsidRPr="0060755C" w:rsidRDefault="0060755C" w:rsidP="00457568">
      <w:pPr>
        <w:spacing w:line="480" w:lineRule="auto"/>
        <w:jc w:val="both"/>
        <w:rPr>
          <w:rFonts w:ascii="Arial" w:hAnsi="Arial" w:cs="Arial"/>
        </w:rPr>
      </w:pPr>
      <w:r>
        <w:rPr>
          <w:rFonts w:ascii="Arial" w:hAnsi="Arial" w:cs="Arial"/>
        </w:rPr>
        <w:t>Judy Orme, Paul Pilkington, Selena Gra</w:t>
      </w:r>
      <w:r w:rsidR="00EA2396">
        <w:rPr>
          <w:rFonts w:ascii="Arial" w:hAnsi="Arial" w:cs="Arial"/>
        </w:rPr>
        <w:t>y, Mala Rao</w:t>
      </w:r>
    </w:p>
    <w:p w:rsidR="00540B16" w:rsidRDefault="00540B16" w:rsidP="00457568">
      <w:pPr>
        <w:spacing w:line="480" w:lineRule="auto"/>
        <w:jc w:val="both"/>
        <w:rPr>
          <w:rFonts w:ascii="Arial" w:hAnsi="Arial" w:cs="Arial"/>
          <w:sz w:val="22"/>
          <w:szCs w:val="22"/>
        </w:rPr>
      </w:pPr>
    </w:p>
    <w:p w:rsidR="008F7341" w:rsidRDefault="00D44BEC" w:rsidP="00FC73F5">
      <w:pPr>
        <w:spacing w:line="480" w:lineRule="auto"/>
        <w:jc w:val="both"/>
        <w:outlineLvl w:val="0"/>
        <w:rPr>
          <w:rFonts w:ascii="Arial" w:hAnsi="Arial" w:cs="Arial"/>
          <w:sz w:val="22"/>
          <w:szCs w:val="22"/>
        </w:rPr>
      </w:pPr>
      <w:r>
        <w:rPr>
          <w:rFonts w:ascii="Arial" w:hAnsi="Arial" w:cs="Arial"/>
          <w:sz w:val="22"/>
          <w:szCs w:val="22"/>
        </w:rPr>
        <w:t>Introduction</w:t>
      </w:r>
    </w:p>
    <w:p w:rsidR="00992C12" w:rsidRDefault="006D2C56" w:rsidP="00457568">
      <w:pPr>
        <w:spacing w:line="480" w:lineRule="auto"/>
        <w:jc w:val="both"/>
        <w:rPr>
          <w:rFonts w:ascii="Arial" w:hAnsi="Arial" w:cs="Arial"/>
          <w:i/>
          <w:sz w:val="22"/>
          <w:szCs w:val="22"/>
        </w:rPr>
      </w:pPr>
      <w:r>
        <w:rPr>
          <w:rFonts w:ascii="Arial" w:hAnsi="Arial" w:cs="Arial"/>
          <w:i/>
          <w:sz w:val="22"/>
          <w:szCs w:val="22"/>
        </w:rPr>
        <w:t>The past decade has witnessed a growing recognition of the role of the wider determinants o</w:t>
      </w:r>
      <w:r w:rsidR="003B1C23">
        <w:rPr>
          <w:rFonts w:ascii="Arial" w:hAnsi="Arial" w:cs="Arial"/>
          <w:i/>
          <w:sz w:val="22"/>
          <w:szCs w:val="22"/>
        </w:rPr>
        <w:t>f</w:t>
      </w:r>
      <w:r>
        <w:rPr>
          <w:rFonts w:ascii="Arial" w:hAnsi="Arial" w:cs="Arial"/>
          <w:i/>
          <w:sz w:val="22"/>
          <w:szCs w:val="22"/>
        </w:rPr>
        <w:t xml:space="preserve"> health and that tackling th</w:t>
      </w:r>
      <w:r w:rsidR="003B1C23">
        <w:rPr>
          <w:rFonts w:ascii="Arial" w:hAnsi="Arial" w:cs="Arial"/>
          <w:i/>
          <w:sz w:val="22"/>
          <w:szCs w:val="22"/>
        </w:rPr>
        <w:t>ose</w:t>
      </w:r>
      <w:r>
        <w:rPr>
          <w:rFonts w:ascii="Arial" w:hAnsi="Arial" w:cs="Arial"/>
          <w:i/>
          <w:sz w:val="22"/>
          <w:szCs w:val="22"/>
        </w:rPr>
        <w:t xml:space="preserve"> wider determinants requires public health to become everybody’s business and everybody’s responsibility. This tenet is underpinned by an assumption that everybody understands how these socio-economic determinants impact on health </w:t>
      </w:r>
      <w:r w:rsidR="00992C12">
        <w:rPr>
          <w:rFonts w:ascii="Arial" w:hAnsi="Arial" w:cs="Arial"/>
          <w:i/>
          <w:sz w:val="22"/>
          <w:szCs w:val="22"/>
        </w:rPr>
        <w:t xml:space="preserve">and how they as individuals can translate that knowledge into action to improve population health. </w:t>
      </w:r>
    </w:p>
    <w:p w:rsidR="008E00FC" w:rsidRPr="00962C98" w:rsidRDefault="00A237DB" w:rsidP="00457568">
      <w:pPr>
        <w:spacing w:line="480" w:lineRule="auto"/>
        <w:jc w:val="both"/>
        <w:rPr>
          <w:rFonts w:ascii="Arial" w:hAnsi="Arial" w:cs="Arial"/>
          <w:i/>
          <w:sz w:val="22"/>
          <w:szCs w:val="22"/>
        </w:rPr>
      </w:pPr>
      <w:r w:rsidRPr="00962C98">
        <w:rPr>
          <w:rFonts w:ascii="Arial" w:hAnsi="Arial" w:cs="Arial"/>
          <w:i/>
          <w:sz w:val="22"/>
          <w:szCs w:val="22"/>
        </w:rPr>
        <w:t xml:space="preserve">Teaching Public Health Networks were established in </w:t>
      </w:r>
      <w:smartTag w:uri="urn:schemas-microsoft-com:office:smarttags" w:element="place">
        <w:smartTag w:uri="urn:schemas-microsoft-com:office:smarttags" w:element="country-region">
          <w:r w:rsidRPr="00962C98">
            <w:rPr>
              <w:rFonts w:ascii="Arial" w:hAnsi="Arial" w:cs="Arial"/>
              <w:i/>
              <w:sz w:val="22"/>
              <w:szCs w:val="22"/>
            </w:rPr>
            <w:t>England</w:t>
          </w:r>
        </w:smartTag>
      </w:smartTag>
      <w:r w:rsidRPr="00962C98">
        <w:rPr>
          <w:rFonts w:ascii="Arial" w:hAnsi="Arial" w:cs="Arial"/>
          <w:i/>
          <w:sz w:val="22"/>
          <w:szCs w:val="22"/>
        </w:rPr>
        <w:t xml:space="preserve"> in August </w:t>
      </w:r>
      <w:r w:rsidR="00962C98">
        <w:rPr>
          <w:rFonts w:ascii="Arial" w:hAnsi="Arial" w:cs="Arial"/>
          <w:i/>
          <w:sz w:val="22"/>
          <w:szCs w:val="22"/>
        </w:rPr>
        <w:t>2006</w:t>
      </w:r>
      <w:r w:rsidR="003B1C23">
        <w:rPr>
          <w:rFonts w:ascii="Arial" w:hAnsi="Arial" w:cs="Arial"/>
          <w:i/>
          <w:sz w:val="22"/>
          <w:szCs w:val="22"/>
        </w:rPr>
        <w:t>,</w:t>
      </w:r>
      <w:r w:rsidR="00962C98">
        <w:rPr>
          <w:rFonts w:ascii="Arial" w:hAnsi="Arial" w:cs="Arial"/>
          <w:i/>
          <w:sz w:val="22"/>
          <w:szCs w:val="22"/>
        </w:rPr>
        <w:t xml:space="preserve"> supported by</w:t>
      </w:r>
      <w:r w:rsidRPr="00962C98">
        <w:rPr>
          <w:rFonts w:ascii="Arial" w:hAnsi="Arial" w:cs="Arial"/>
          <w:i/>
          <w:sz w:val="22"/>
          <w:szCs w:val="22"/>
        </w:rPr>
        <w:t xml:space="preserve"> </w:t>
      </w:r>
      <w:r w:rsidR="000A405B">
        <w:rPr>
          <w:rFonts w:ascii="Arial" w:hAnsi="Arial" w:cs="Arial"/>
          <w:i/>
          <w:sz w:val="22"/>
          <w:szCs w:val="22"/>
        </w:rPr>
        <w:t xml:space="preserve">the </w:t>
      </w:r>
      <w:r w:rsidR="00962C98">
        <w:rPr>
          <w:rFonts w:ascii="Arial" w:hAnsi="Arial" w:cs="Arial"/>
          <w:i/>
          <w:sz w:val="22"/>
          <w:szCs w:val="22"/>
        </w:rPr>
        <w:t>Department of Health. The</w:t>
      </w:r>
      <w:r w:rsidR="006D2C56">
        <w:rPr>
          <w:rFonts w:ascii="Arial" w:hAnsi="Arial" w:cs="Arial"/>
          <w:i/>
          <w:sz w:val="22"/>
          <w:szCs w:val="22"/>
        </w:rPr>
        <w:t>ir objective was to catalyse collaborative working</w:t>
      </w:r>
      <w:r w:rsidR="00992C12">
        <w:rPr>
          <w:rFonts w:ascii="Arial" w:hAnsi="Arial" w:cs="Arial"/>
          <w:i/>
          <w:sz w:val="22"/>
          <w:szCs w:val="22"/>
        </w:rPr>
        <w:t xml:space="preserve"> between the public health workforce and further and higher education to enhance public health knowledge in the wider workforce</w:t>
      </w:r>
      <w:r w:rsidR="00923C4E">
        <w:rPr>
          <w:rFonts w:ascii="Arial" w:hAnsi="Arial" w:cs="Arial"/>
          <w:i/>
          <w:sz w:val="22"/>
          <w:szCs w:val="22"/>
        </w:rPr>
        <w:t>, with a view</w:t>
      </w:r>
      <w:r w:rsidR="00962C98" w:rsidRPr="00962C98">
        <w:rPr>
          <w:rFonts w:ascii="Arial" w:hAnsi="Arial" w:cs="Arial"/>
          <w:i/>
          <w:sz w:val="22"/>
          <w:szCs w:val="22"/>
        </w:rPr>
        <w:t xml:space="preserve"> to</w:t>
      </w:r>
      <w:r w:rsidR="00923C4E">
        <w:rPr>
          <w:rFonts w:ascii="Arial" w:hAnsi="Arial" w:cs="Arial"/>
          <w:i/>
          <w:sz w:val="22"/>
          <w:szCs w:val="22"/>
        </w:rPr>
        <w:t xml:space="preserve"> enhancing capacity to </w:t>
      </w:r>
      <w:r w:rsidR="00962C98" w:rsidRPr="00962C98">
        <w:rPr>
          <w:rFonts w:ascii="Arial" w:hAnsi="Arial" w:cs="Arial"/>
          <w:i/>
          <w:sz w:val="22"/>
          <w:szCs w:val="22"/>
        </w:rPr>
        <w:t>tackl</w:t>
      </w:r>
      <w:r w:rsidR="00923C4E">
        <w:rPr>
          <w:rFonts w:ascii="Arial" w:hAnsi="Arial" w:cs="Arial"/>
          <w:i/>
          <w:sz w:val="22"/>
          <w:szCs w:val="22"/>
        </w:rPr>
        <w:t>e</w:t>
      </w:r>
      <w:r w:rsidR="00962C98" w:rsidRPr="00962C98">
        <w:rPr>
          <w:rFonts w:ascii="Arial" w:hAnsi="Arial" w:cs="Arial"/>
          <w:i/>
          <w:sz w:val="22"/>
          <w:szCs w:val="22"/>
        </w:rPr>
        <w:t xml:space="preserve"> inequalities and meeting </w:t>
      </w:r>
      <w:r w:rsidR="00992C12">
        <w:rPr>
          <w:rFonts w:ascii="Arial" w:hAnsi="Arial" w:cs="Arial"/>
          <w:i/>
          <w:sz w:val="22"/>
          <w:szCs w:val="22"/>
        </w:rPr>
        <w:t xml:space="preserve">public </w:t>
      </w:r>
      <w:r w:rsidR="00962C98" w:rsidRPr="00962C98">
        <w:rPr>
          <w:rFonts w:ascii="Arial" w:hAnsi="Arial" w:cs="Arial"/>
          <w:i/>
          <w:sz w:val="22"/>
          <w:szCs w:val="22"/>
        </w:rPr>
        <w:t>health targets. This paper focuses on this major national initiative and examines the</w:t>
      </w:r>
      <w:r w:rsidR="00992C12">
        <w:rPr>
          <w:rFonts w:ascii="Arial" w:hAnsi="Arial" w:cs="Arial"/>
          <w:i/>
          <w:sz w:val="22"/>
          <w:szCs w:val="22"/>
        </w:rPr>
        <w:t xml:space="preserve"> innovative</w:t>
      </w:r>
      <w:r w:rsidR="00962C98" w:rsidRPr="00962C98">
        <w:rPr>
          <w:rFonts w:ascii="Arial" w:hAnsi="Arial" w:cs="Arial"/>
          <w:i/>
          <w:sz w:val="22"/>
          <w:szCs w:val="22"/>
        </w:rPr>
        <w:t xml:space="preserve"> approach</w:t>
      </w:r>
      <w:r w:rsidR="00992C12">
        <w:rPr>
          <w:rFonts w:ascii="Arial" w:hAnsi="Arial" w:cs="Arial"/>
          <w:i/>
          <w:sz w:val="22"/>
          <w:szCs w:val="22"/>
        </w:rPr>
        <w:t>es</w:t>
      </w:r>
      <w:r w:rsidR="00962C98" w:rsidRPr="00962C98">
        <w:rPr>
          <w:rFonts w:ascii="Arial" w:hAnsi="Arial" w:cs="Arial"/>
          <w:i/>
          <w:sz w:val="22"/>
          <w:szCs w:val="22"/>
        </w:rPr>
        <w:t xml:space="preserve"> utilised </w:t>
      </w:r>
      <w:r w:rsidR="0060755C">
        <w:rPr>
          <w:rFonts w:ascii="Arial" w:hAnsi="Arial" w:cs="Arial"/>
          <w:i/>
          <w:sz w:val="22"/>
          <w:szCs w:val="22"/>
        </w:rPr>
        <w:t xml:space="preserve">and outcomes achieved. It </w:t>
      </w:r>
      <w:r w:rsidR="00962C98">
        <w:rPr>
          <w:rFonts w:ascii="Arial" w:hAnsi="Arial" w:cs="Arial"/>
          <w:i/>
          <w:sz w:val="22"/>
          <w:szCs w:val="22"/>
        </w:rPr>
        <w:t>aim</w:t>
      </w:r>
      <w:r w:rsidR="0060755C">
        <w:rPr>
          <w:rFonts w:ascii="Arial" w:hAnsi="Arial" w:cs="Arial"/>
          <w:i/>
          <w:sz w:val="22"/>
          <w:szCs w:val="22"/>
        </w:rPr>
        <w:t xml:space="preserve">s </w:t>
      </w:r>
      <w:r w:rsidR="00962C98" w:rsidRPr="00962C98">
        <w:rPr>
          <w:rFonts w:ascii="Arial" w:hAnsi="Arial" w:cs="Arial"/>
          <w:i/>
          <w:sz w:val="22"/>
          <w:szCs w:val="22"/>
        </w:rPr>
        <w:t>to</w:t>
      </w:r>
      <w:r w:rsidR="0060755C">
        <w:rPr>
          <w:rFonts w:ascii="Arial" w:hAnsi="Arial" w:cs="Arial"/>
          <w:i/>
          <w:sz w:val="22"/>
          <w:szCs w:val="22"/>
        </w:rPr>
        <w:t xml:space="preserve"> disseminate </w:t>
      </w:r>
      <w:r w:rsidR="00962C98" w:rsidRPr="00962C98">
        <w:rPr>
          <w:rFonts w:ascii="Arial" w:hAnsi="Arial" w:cs="Arial"/>
          <w:i/>
          <w:sz w:val="22"/>
          <w:szCs w:val="22"/>
        </w:rPr>
        <w:t>th</w:t>
      </w:r>
      <w:r w:rsidR="00962C98">
        <w:rPr>
          <w:rFonts w:ascii="Arial" w:hAnsi="Arial" w:cs="Arial"/>
          <w:i/>
          <w:sz w:val="22"/>
          <w:szCs w:val="22"/>
        </w:rPr>
        <w:t>e learning from such a complex public health initiative</w:t>
      </w:r>
      <w:r w:rsidR="00C82342">
        <w:rPr>
          <w:rFonts w:ascii="Arial" w:hAnsi="Arial" w:cs="Arial"/>
          <w:i/>
          <w:sz w:val="22"/>
          <w:szCs w:val="22"/>
        </w:rPr>
        <w:t>, now in its third year of development</w:t>
      </w:r>
      <w:r w:rsidR="00C74159">
        <w:rPr>
          <w:rFonts w:ascii="Arial" w:hAnsi="Arial" w:cs="Arial"/>
          <w:i/>
          <w:sz w:val="22"/>
          <w:szCs w:val="22"/>
        </w:rPr>
        <w:t>,</w:t>
      </w:r>
      <w:r w:rsidR="0060755C">
        <w:rPr>
          <w:rFonts w:ascii="Arial" w:hAnsi="Arial" w:cs="Arial"/>
          <w:i/>
          <w:sz w:val="22"/>
          <w:szCs w:val="22"/>
        </w:rPr>
        <w:t xml:space="preserve"> and </w:t>
      </w:r>
      <w:r w:rsidR="00923C4E">
        <w:rPr>
          <w:rFonts w:ascii="Arial" w:hAnsi="Arial" w:cs="Arial"/>
          <w:i/>
          <w:sz w:val="22"/>
          <w:szCs w:val="22"/>
        </w:rPr>
        <w:t xml:space="preserve">to </w:t>
      </w:r>
      <w:r w:rsidR="0060755C">
        <w:rPr>
          <w:rFonts w:ascii="Arial" w:hAnsi="Arial" w:cs="Arial"/>
          <w:i/>
          <w:sz w:val="22"/>
          <w:szCs w:val="22"/>
        </w:rPr>
        <w:t>share examples of good practice</w:t>
      </w:r>
      <w:r w:rsidR="00962C98" w:rsidRPr="00962C98">
        <w:rPr>
          <w:rFonts w:ascii="Arial" w:hAnsi="Arial" w:cs="Arial"/>
          <w:i/>
          <w:sz w:val="22"/>
          <w:szCs w:val="22"/>
        </w:rPr>
        <w:t>.</w:t>
      </w:r>
    </w:p>
    <w:p w:rsidR="008E00FC" w:rsidRDefault="008E00FC" w:rsidP="0060755C">
      <w:pPr>
        <w:spacing w:line="360" w:lineRule="auto"/>
        <w:jc w:val="both"/>
        <w:rPr>
          <w:rFonts w:ascii="Arial" w:hAnsi="Arial" w:cs="Arial"/>
          <w:sz w:val="22"/>
          <w:szCs w:val="22"/>
        </w:rPr>
      </w:pPr>
    </w:p>
    <w:p w:rsidR="00D44BEC" w:rsidRPr="00D65669" w:rsidRDefault="00D44BEC" w:rsidP="00FC73F5">
      <w:pPr>
        <w:spacing w:line="360" w:lineRule="auto"/>
        <w:jc w:val="both"/>
        <w:outlineLvl w:val="0"/>
        <w:rPr>
          <w:rFonts w:ascii="Arial" w:hAnsi="Arial" w:cs="Arial"/>
        </w:rPr>
      </w:pPr>
      <w:r w:rsidRPr="00D65669">
        <w:rPr>
          <w:rFonts w:ascii="Arial" w:hAnsi="Arial" w:cs="Arial"/>
        </w:rPr>
        <w:t>Background</w:t>
      </w:r>
    </w:p>
    <w:p w:rsidR="00D44BEC" w:rsidRPr="00D65669" w:rsidRDefault="00D44BEC" w:rsidP="0060755C">
      <w:pPr>
        <w:spacing w:line="360" w:lineRule="auto"/>
        <w:jc w:val="both"/>
        <w:rPr>
          <w:rFonts w:ascii="Arial" w:hAnsi="Arial" w:cs="Arial"/>
        </w:rPr>
      </w:pPr>
    </w:p>
    <w:p w:rsidR="00041AF5" w:rsidRDefault="00A353FD" w:rsidP="002C277A">
      <w:pPr>
        <w:spacing w:line="360" w:lineRule="auto"/>
        <w:rPr>
          <w:rFonts w:ascii="Arial" w:hAnsi="Arial" w:cs="Arial"/>
        </w:rPr>
      </w:pPr>
      <w:r w:rsidRPr="00D65669">
        <w:rPr>
          <w:rFonts w:ascii="Arial" w:hAnsi="Arial" w:cs="Arial"/>
        </w:rPr>
        <w:t xml:space="preserve">In the </w:t>
      </w:r>
      <w:smartTag w:uri="urn:schemas-microsoft-com:office:smarttags" w:element="place">
        <w:smartTag w:uri="urn:schemas-microsoft-com:office:smarttags" w:element="country-region">
          <w:r w:rsidRPr="00D65669">
            <w:rPr>
              <w:rFonts w:ascii="Arial" w:hAnsi="Arial" w:cs="Arial"/>
            </w:rPr>
            <w:t>UK</w:t>
          </w:r>
        </w:smartTag>
      </w:smartTag>
      <w:r w:rsidRPr="00D65669">
        <w:rPr>
          <w:rFonts w:ascii="Arial" w:hAnsi="Arial" w:cs="Arial"/>
        </w:rPr>
        <w:t xml:space="preserve"> during recent years there has been an increasing emphasis on public health education and training, not only for those working in specialist positions but also for those in what has been described as the “wider public health </w:t>
      </w:r>
      <w:r w:rsidRPr="00D65669">
        <w:rPr>
          <w:rFonts w:ascii="Arial" w:hAnsi="Arial" w:cs="Arial"/>
        </w:rPr>
        <w:lastRenderedPageBreak/>
        <w:t xml:space="preserve">workforce”. </w:t>
      </w:r>
      <w:r w:rsidR="00A27EEC" w:rsidRPr="00D65669">
        <w:rPr>
          <w:rFonts w:ascii="Arial" w:hAnsi="Arial" w:cs="Arial"/>
        </w:rPr>
        <w:t xml:space="preserve">This emphasis has stemmed </w:t>
      </w:r>
      <w:r w:rsidR="00FA4DA1" w:rsidRPr="00D65669">
        <w:rPr>
          <w:rFonts w:ascii="Arial" w:hAnsi="Arial" w:cs="Arial"/>
        </w:rPr>
        <w:t xml:space="preserve">primarily from a realisation that </w:t>
      </w:r>
      <w:r w:rsidR="00D05D10">
        <w:rPr>
          <w:rFonts w:ascii="Arial" w:hAnsi="Arial" w:cs="Arial"/>
        </w:rPr>
        <w:t xml:space="preserve">addressing </w:t>
      </w:r>
      <w:r w:rsidR="00FA4DA1" w:rsidRPr="00D65669">
        <w:rPr>
          <w:rFonts w:ascii="Arial" w:hAnsi="Arial" w:cs="Arial"/>
        </w:rPr>
        <w:t>many of the most seri</w:t>
      </w:r>
      <w:r w:rsidR="00D77D48">
        <w:rPr>
          <w:rFonts w:ascii="Arial" w:hAnsi="Arial" w:cs="Arial"/>
        </w:rPr>
        <w:t>ou</w:t>
      </w:r>
      <w:r w:rsidR="00FA4DA1" w:rsidRPr="00D65669">
        <w:rPr>
          <w:rFonts w:ascii="Arial" w:hAnsi="Arial" w:cs="Arial"/>
        </w:rPr>
        <w:t xml:space="preserve">s public health challenges, such as obesity </w:t>
      </w:r>
      <w:r w:rsidR="004C4064" w:rsidRPr="00D65669">
        <w:rPr>
          <w:rFonts w:ascii="Arial" w:hAnsi="Arial" w:cs="Arial"/>
        </w:rPr>
        <w:t>and climate change, require</w:t>
      </w:r>
      <w:r w:rsidR="00D05D10">
        <w:rPr>
          <w:rFonts w:ascii="Arial" w:hAnsi="Arial" w:cs="Arial"/>
        </w:rPr>
        <w:t>s collaborative</w:t>
      </w:r>
      <w:r w:rsidR="004C4064" w:rsidRPr="00D65669">
        <w:rPr>
          <w:rFonts w:ascii="Arial" w:hAnsi="Arial" w:cs="Arial"/>
        </w:rPr>
        <w:t xml:space="preserve"> working </w:t>
      </w:r>
      <w:r w:rsidR="00D05D10">
        <w:rPr>
          <w:rFonts w:ascii="Arial" w:hAnsi="Arial" w:cs="Arial"/>
        </w:rPr>
        <w:t>among</w:t>
      </w:r>
      <w:r w:rsidR="004C4064" w:rsidRPr="00D65669">
        <w:rPr>
          <w:rFonts w:ascii="Arial" w:hAnsi="Arial" w:cs="Arial"/>
        </w:rPr>
        <w:t xml:space="preserve"> a wide range of organisation</w:t>
      </w:r>
      <w:r w:rsidR="00D8166F" w:rsidRPr="00D65669">
        <w:rPr>
          <w:rFonts w:ascii="Arial" w:hAnsi="Arial" w:cs="Arial"/>
        </w:rPr>
        <w:t xml:space="preserve">s, individuals and professions. Importantly, </w:t>
      </w:r>
      <w:r w:rsidR="00D603E9" w:rsidRPr="00D65669">
        <w:rPr>
          <w:rFonts w:ascii="Arial" w:hAnsi="Arial" w:cs="Arial"/>
        </w:rPr>
        <w:t xml:space="preserve">there is a </w:t>
      </w:r>
      <w:r w:rsidR="00A0607A" w:rsidRPr="00D65669">
        <w:rPr>
          <w:rFonts w:ascii="Arial" w:hAnsi="Arial" w:cs="Arial"/>
        </w:rPr>
        <w:t xml:space="preserve">recognised </w:t>
      </w:r>
      <w:r w:rsidR="00D603E9" w:rsidRPr="00D65669">
        <w:rPr>
          <w:rFonts w:ascii="Arial" w:hAnsi="Arial" w:cs="Arial"/>
        </w:rPr>
        <w:t>need to develop pu</w:t>
      </w:r>
      <w:r w:rsidR="00A0607A" w:rsidRPr="00D65669">
        <w:rPr>
          <w:rFonts w:ascii="Arial" w:hAnsi="Arial" w:cs="Arial"/>
        </w:rPr>
        <w:t xml:space="preserve">blic health competencies within those who </w:t>
      </w:r>
      <w:r w:rsidR="00923C4E">
        <w:rPr>
          <w:rFonts w:ascii="Arial" w:hAnsi="Arial" w:cs="Arial"/>
        </w:rPr>
        <w:t>can</w:t>
      </w:r>
      <w:r w:rsidR="003823F7" w:rsidRPr="00D65669">
        <w:rPr>
          <w:rFonts w:ascii="Arial" w:hAnsi="Arial" w:cs="Arial"/>
        </w:rPr>
        <w:t>,</w:t>
      </w:r>
      <w:r w:rsidR="00A0607A" w:rsidRPr="00D65669">
        <w:rPr>
          <w:rFonts w:ascii="Arial" w:hAnsi="Arial" w:cs="Arial"/>
        </w:rPr>
        <w:t xml:space="preserve"> and have the potential to</w:t>
      </w:r>
      <w:r w:rsidR="003823F7" w:rsidRPr="00D65669">
        <w:rPr>
          <w:rFonts w:ascii="Arial" w:hAnsi="Arial" w:cs="Arial"/>
        </w:rPr>
        <w:t>,</w:t>
      </w:r>
      <w:r w:rsidR="00A0607A" w:rsidRPr="00D65669">
        <w:rPr>
          <w:rFonts w:ascii="Arial" w:hAnsi="Arial" w:cs="Arial"/>
        </w:rPr>
        <w:t xml:space="preserve"> influence the health of the population</w:t>
      </w:r>
      <w:r w:rsidR="0006284E" w:rsidRPr="00D65669">
        <w:rPr>
          <w:rFonts w:ascii="Arial" w:hAnsi="Arial" w:cs="Arial"/>
        </w:rPr>
        <w:t xml:space="preserve"> (DH, 2004</w:t>
      </w:r>
      <w:r w:rsidR="00D77D48">
        <w:rPr>
          <w:rFonts w:ascii="Arial" w:hAnsi="Arial" w:cs="Arial"/>
        </w:rPr>
        <w:t>; Orme et al., 2007</w:t>
      </w:r>
      <w:r w:rsidR="0006284E" w:rsidRPr="00D65669">
        <w:rPr>
          <w:rFonts w:ascii="Arial" w:hAnsi="Arial" w:cs="Arial"/>
        </w:rPr>
        <w:t>)</w:t>
      </w:r>
      <w:r w:rsidR="00A0607A" w:rsidRPr="00D65669">
        <w:rPr>
          <w:rFonts w:ascii="Arial" w:hAnsi="Arial" w:cs="Arial"/>
        </w:rPr>
        <w:t>.</w:t>
      </w:r>
      <w:r w:rsidR="003823F7" w:rsidRPr="00D65669">
        <w:rPr>
          <w:rFonts w:ascii="Arial" w:hAnsi="Arial" w:cs="Arial"/>
        </w:rPr>
        <w:t xml:space="preserve"> </w:t>
      </w:r>
      <w:r w:rsidR="00DD4E57" w:rsidRPr="00D65669">
        <w:rPr>
          <w:rFonts w:ascii="Arial" w:hAnsi="Arial" w:cs="Arial"/>
        </w:rPr>
        <w:t>The</w:t>
      </w:r>
      <w:r w:rsidR="00D05D10">
        <w:rPr>
          <w:rFonts w:ascii="Arial" w:hAnsi="Arial" w:cs="Arial"/>
        </w:rPr>
        <w:t xml:space="preserve"> most compelling evidence of this need for a paradigm shift in engaging the wider workforce in public health effort is presented</w:t>
      </w:r>
      <w:r w:rsidR="00DD4E57" w:rsidRPr="00D65669">
        <w:rPr>
          <w:rFonts w:ascii="Arial" w:hAnsi="Arial" w:cs="Arial"/>
        </w:rPr>
        <w:t xml:space="preserve"> by Derek Wanless in his now seminal report</w:t>
      </w:r>
      <w:r w:rsidR="00605296" w:rsidRPr="00D65669">
        <w:rPr>
          <w:rFonts w:ascii="Arial" w:hAnsi="Arial" w:cs="Arial"/>
        </w:rPr>
        <w:t xml:space="preserve">, </w:t>
      </w:r>
      <w:r w:rsidR="00D05D10">
        <w:rPr>
          <w:rFonts w:ascii="Arial" w:hAnsi="Arial" w:cs="Arial"/>
        </w:rPr>
        <w:t>which recommends ‘the fully engaged’ scenario</w:t>
      </w:r>
      <w:r w:rsidR="00605296" w:rsidRPr="00D65669">
        <w:rPr>
          <w:rFonts w:ascii="Arial" w:hAnsi="Arial" w:cs="Arial"/>
        </w:rPr>
        <w:t xml:space="preserve"> as the best way of meeting health goals</w:t>
      </w:r>
      <w:r w:rsidR="0006284E" w:rsidRPr="00D65669">
        <w:rPr>
          <w:rFonts w:ascii="Arial" w:hAnsi="Arial" w:cs="Arial"/>
        </w:rPr>
        <w:t xml:space="preserve"> (Wanless</w:t>
      </w:r>
      <w:r w:rsidR="00E009E4">
        <w:rPr>
          <w:rFonts w:ascii="Arial" w:hAnsi="Arial" w:cs="Arial"/>
        </w:rPr>
        <w:t>, 2004)</w:t>
      </w:r>
      <w:r w:rsidR="00605296" w:rsidRPr="00D65669">
        <w:rPr>
          <w:rFonts w:ascii="Arial" w:hAnsi="Arial" w:cs="Arial"/>
        </w:rPr>
        <w:t>.</w:t>
      </w:r>
    </w:p>
    <w:p w:rsidR="00041AF5" w:rsidRDefault="00041AF5" w:rsidP="0060755C">
      <w:pPr>
        <w:spacing w:line="360" w:lineRule="auto"/>
        <w:jc w:val="both"/>
        <w:rPr>
          <w:rFonts w:ascii="Arial" w:hAnsi="Arial" w:cs="Arial"/>
        </w:rPr>
      </w:pPr>
    </w:p>
    <w:p w:rsidR="00041AF5" w:rsidRDefault="00041AF5" w:rsidP="00041AF5">
      <w:pPr>
        <w:spacing w:line="360" w:lineRule="auto"/>
        <w:rPr>
          <w:rFonts w:ascii="Arial" w:hAnsi="Arial" w:cs="Arial"/>
        </w:rPr>
      </w:pPr>
      <w:r>
        <w:rPr>
          <w:rFonts w:ascii="Arial" w:hAnsi="Arial" w:cs="Arial"/>
        </w:rPr>
        <w:t>Other related developments have highlighted the need for enhanced education and training in public health. T</w:t>
      </w:r>
      <w:r w:rsidRPr="00A81B64">
        <w:rPr>
          <w:rFonts w:ascii="Arial" w:hAnsi="Arial" w:cs="Arial"/>
        </w:rPr>
        <w:t>he Public Health Skills and Career Framework</w:t>
      </w:r>
      <w:r>
        <w:rPr>
          <w:rFonts w:ascii="Arial" w:hAnsi="Arial" w:cs="Arial"/>
        </w:rPr>
        <w:t xml:space="preserve">, aimed at specialists, practitioners and the wider workforce, is designed to be a “route map” that will facilitate career development in public health.  </w:t>
      </w:r>
      <w:r w:rsidRPr="00A81B64">
        <w:rPr>
          <w:rFonts w:ascii="Arial" w:hAnsi="Arial" w:cs="Arial"/>
        </w:rPr>
        <w:t>(</w:t>
      </w:r>
      <w:hyperlink r:id="rId7" w:history="1">
        <w:r w:rsidRPr="00431416">
          <w:rPr>
            <w:rStyle w:val="Hyperlink"/>
            <w:rFonts w:ascii="Arial" w:eastAsia="Times New Roman" w:hAnsi="Arial" w:cs="Arial"/>
            <w:lang w:val="en-US" w:eastAsia="en-US"/>
          </w:rPr>
          <w:t>http://www.phru.nhs.uk/Doc_Links/PHSkills&amp;CareerFramework_Launchdoc_April08.pdf</w:t>
        </w:r>
      </w:hyperlink>
      <w:r w:rsidRPr="00A81B64">
        <w:rPr>
          <w:rFonts w:ascii="Arial" w:eastAsia="Times New Roman" w:hAnsi="Arial" w:cs="Arial"/>
          <w:color w:val="0000FF"/>
          <w:lang w:val="en-US" w:eastAsia="en-US"/>
        </w:rPr>
        <w:t>)</w:t>
      </w:r>
      <w:r>
        <w:rPr>
          <w:rFonts w:ascii="Arial" w:eastAsia="Times New Roman" w:hAnsi="Arial" w:cs="Arial"/>
          <w:color w:val="0000FF"/>
          <w:lang w:val="en-US" w:eastAsia="en-US"/>
        </w:rPr>
        <w:t xml:space="preserve">. </w:t>
      </w:r>
      <w:r>
        <w:rPr>
          <w:rFonts w:ascii="Arial" w:hAnsi="Arial" w:cs="Arial"/>
        </w:rPr>
        <w:t xml:space="preserve">It recognises that many of those working in public health are “underdeveloped, underutilised, and unregulated” and have little career direction (Skills for Health, 2008).  The framework outlines key competencies, across nine levels of </w:t>
      </w:r>
      <w:r w:rsidR="003F1FAE">
        <w:rPr>
          <w:rFonts w:ascii="Arial" w:hAnsi="Arial" w:cs="Arial"/>
        </w:rPr>
        <w:t xml:space="preserve">a </w:t>
      </w:r>
      <w:r>
        <w:rPr>
          <w:rFonts w:ascii="Arial" w:hAnsi="Arial" w:cs="Arial"/>
        </w:rPr>
        <w:t>public health practice</w:t>
      </w:r>
      <w:r w:rsidR="003F1FAE">
        <w:rPr>
          <w:rFonts w:ascii="Arial" w:hAnsi="Arial" w:cs="Arial"/>
        </w:rPr>
        <w:t xml:space="preserve"> and career escalator</w:t>
      </w:r>
      <w:r>
        <w:rPr>
          <w:rFonts w:ascii="Arial" w:hAnsi="Arial" w:cs="Arial"/>
        </w:rPr>
        <w:t>, which those working in public health should attain</w:t>
      </w:r>
      <w:r w:rsidR="00923C4E">
        <w:rPr>
          <w:rFonts w:ascii="Arial" w:hAnsi="Arial" w:cs="Arial"/>
        </w:rPr>
        <w:t>,</w:t>
      </w:r>
      <w:r>
        <w:rPr>
          <w:rFonts w:ascii="Arial" w:hAnsi="Arial" w:cs="Arial"/>
        </w:rPr>
        <w:t xml:space="preserve"> or aspire to attain as part of their career development.</w:t>
      </w:r>
      <w:r w:rsidR="003F1FAE">
        <w:rPr>
          <w:rFonts w:ascii="Arial" w:hAnsi="Arial" w:cs="Arial"/>
        </w:rPr>
        <w:t xml:space="preserve"> It also enables the wider workforce to acquire public health competencies at a level appropriate to its individual members, to enhance its contribution to public health effort.</w:t>
      </w:r>
      <w:r>
        <w:rPr>
          <w:rFonts w:ascii="Arial" w:hAnsi="Arial" w:cs="Arial"/>
        </w:rPr>
        <w:t xml:space="preserve"> This however requires sufficient provision of education and training opportunities to enable people to meet those competencies.</w:t>
      </w:r>
      <w:r w:rsidR="003F1FAE">
        <w:rPr>
          <w:rFonts w:ascii="Arial" w:hAnsi="Arial" w:cs="Arial"/>
        </w:rPr>
        <w:t xml:space="preserve"> </w:t>
      </w:r>
    </w:p>
    <w:p w:rsidR="000A405B" w:rsidRDefault="000A405B" w:rsidP="00041AF5">
      <w:pPr>
        <w:spacing w:line="360" w:lineRule="auto"/>
        <w:rPr>
          <w:rFonts w:ascii="Arial" w:hAnsi="Arial" w:cs="Arial"/>
        </w:rPr>
      </w:pPr>
    </w:p>
    <w:p w:rsidR="000A405B" w:rsidRDefault="000A405B" w:rsidP="00041AF5">
      <w:pPr>
        <w:spacing w:line="360" w:lineRule="auto"/>
        <w:rPr>
          <w:rFonts w:ascii="Arial" w:hAnsi="Arial" w:cs="Arial"/>
        </w:rPr>
      </w:pPr>
      <w:r>
        <w:rPr>
          <w:rFonts w:ascii="Arial" w:hAnsi="Arial" w:cs="Arial"/>
        </w:rPr>
        <w:t xml:space="preserve">A third and related issue has been the consistent reporting of inadequate academic public health capacity in the medical schools in </w:t>
      </w:r>
      <w:smartTag w:uri="urn:schemas-microsoft-com:office:smarttags" w:element="country-region">
        <w:smartTag w:uri="urn:schemas-microsoft-com:office:smarttags" w:element="place">
          <w:r>
            <w:rPr>
              <w:rFonts w:ascii="Arial" w:hAnsi="Arial" w:cs="Arial"/>
            </w:rPr>
            <w:t>England</w:t>
          </w:r>
        </w:smartTag>
      </w:smartTag>
      <w:r>
        <w:rPr>
          <w:rFonts w:ascii="Arial" w:hAnsi="Arial" w:cs="Arial"/>
        </w:rPr>
        <w:t xml:space="preserve"> (ref – Council of Heads of Medical Schools). Pooling of public health capacity across the medical school and other public health departments in a region, or across disciplines within a university is recognised as a means to address such </w:t>
      </w:r>
      <w:r>
        <w:rPr>
          <w:rFonts w:ascii="Arial" w:hAnsi="Arial" w:cs="Arial"/>
        </w:rPr>
        <w:lastRenderedPageBreak/>
        <w:t xml:space="preserve">shortages quickly but such collaboration has rarely been observed across disciplinary or organisational boundaries.  </w:t>
      </w:r>
    </w:p>
    <w:p w:rsidR="000370CB" w:rsidRPr="009605FF" w:rsidRDefault="00041AF5" w:rsidP="0060755C">
      <w:pPr>
        <w:spacing w:line="360" w:lineRule="auto"/>
        <w:jc w:val="both"/>
        <w:rPr>
          <w:rFonts w:ascii="Arial" w:hAnsi="Arial" w:cs="Arial"/>
        </w:rPr>
      </w:pPr>
      <w:r>
        <w:rPr>
          <w:rFonts w:ascii="Arial" w:hAnsi="Arial" w:cs="Arial"/>
        </w:rPr>
        <w:t xml:space="preserve">  </w:t>
      </w:r>
    </w:p>
    <w:p w:rsidR="00D20D3D" w:rsidRPr="00F20A5A" w:rsidRDefault="000370CB" w:rsidP="00D20D3D">
      <w:pPr>
        <w:spacing w:line="360" w:lineRule="auto"/>
        <w:jc w:val="both"/>
        <w:rPr>
          <w:rFonts w:ascii="Arial" w:hAnsi="Arial" w:cs="Arial"/>
        </w:rPr>
      </w:pPr>
      <w:r w:rsidRPr="00A81B64">
        <w:rPr>
          <w:rFonts w:ascii="Arial" w:hAnsi="Arial" w:cs="Arial"/>
        </w:rPr>
        <w:t>The Teaching Public Health Network</w:t>
      </w:r>
      <w:r w:rsidR="003F1FAE">
        <w:rPr>
          <w:rFonts w:ascii="Arial" w:hAnsi="Arial" w:cs="Arial"/>
        </w:rPr>
        <w:t xml:space="preserve"> (TPHN)</w:t>
      </w:r>
      <w:r w:rsidRPr="00A81B64">
        <w:rPr>
          <w:rFonts w:ascii="Arial" w:hAnsi="Arial" w:cs="Arial"/>
        </w:rPr>
        <w:t xml:space="preserve"> </w:t>
      </w:r>
      <w:r w:rsidR="003F1FAE">
        <w:rPr>
          <w:rFonts w:ascii="Arial" w:hAnsi="Arial" w:cs="Arial"/>
        </w:rPr>
        <w:t>strategy was</w:t>
      </w:r>
      <w:r w:rsidRPr="00A81B64">
        <w:rPr>
          <w:rFonts w:ascii="Arial" w:hAnsi="Arial" w:cs="Arial"/>
        </w:rPr>
        <w:t xml:space="preserve"> a response to the need for improved access to and provision of public health education and training, both for the specialist and wider public health workforce</w:t>
      </w:r>
      <w:r w:rsidR="00D65669" w:rsidRPr="00A81B64">
        <w:rPr>
          <w:rFonts w:ascii="Arial" w:hAnsi="Arial" w:cs="Arial"/>
        </w:rPr>
        <w:t xml:space="preserve">. </w:t>
      </w:r>
      <w:r w:rsidR="00D532DA" w:rsidRPr="00A81B64">
        <w:rPr>
          <w:rFonts w:ascii="Arial" w:hAnsi="Arial" w:cs="Arial"/>
        </w:rPr>
        <w:t xml:space="preserve">Launched in 2006, </w:t>
      </w:r>
      <w:r w:rsidR="00D20D3D">
        <w:rPr>
          <w:rFonts w:ascii="Arial" w:hAnsi="Arial" w:cs="Arial"/>
        </w:rPr>
        <w:t>t</w:t>
      </w:r>
      <w:r w:rsidR="00D20D3D" w:rsidRPr="00F20A5A">
        <w:rPr>
          <w:rFonts w:ascii="Arial" w:hAnsi="Arial" w:cs="Arial"/>
        </w:rPr>
        <w:t xml:space="preserve">he overall model of </w:t>
      </w:r>
      <w:r w:rsidR="00D20D3D">
        <w:rPr>
          <w:rFonts w:ascii="Arial" w:hAnsi="Arial" w:cs="Arial"/>
        </w:rPr>
        <w:t>the national TPHN involve</w:t>
      </w:r>
      <w:r w:rsidR="003F1FAE">
        <w:rPr>
          <w:rFonts w:ascii="Arial" w:hAnsi="Arial" w:cs="Arial"/>
        </w:rPr>
        <w:t>d</w:t>
      </w:r>
      <w:r w:rsidR="00D20D3D">
        <w:rPr>
          <w:rFonts w:ascii="Arial" w:hAnsi="Arial" w:cs="Arial"/>
        </w:rPr>
        <w:t xml:space="preserve"> a lead team</w:t>
      </w:r>
      <w:r w:rsidR="00D20D3D" w:rsidRPr="00F20A5A">
        <w:rPr>
          <w:rFonts w:ascii="Arial" w:hAnsi="Arial" w:cs="Arial"/>
        </w:rPr>
        <w:t xml:space="preserve"> within </w:t>
      </w:r>
      <w:r w:rsidR="003F1FAE">
        <w:rPr>
          <w:rFonts w:ascii="Arial" w:hAnsi="Arial" w:cs="Arial"/>
        </w:rPr>
        <w:t>the D</w:t>
      </w:r>
      <w:r w:rsidR="00D20D3D" w:rsidRPr="00F20A5A">
        <w:rPr>
          <w:rFonts w:ascii="Arial" w:hAnsi="Arial" w:cs="Arial"/>
        </w:rPr>
        <w:t>epartm</w:t>
      </w:r>
      <w:r w:rsidR="00D20D3D">
        <w:rPr>
          <w:rFonts w:ascii="Arial" w:hAnsi="Arial" w:cs="Arial"/>
        </w:rPr>
        <w:t>ent</w:t>
      </w:r>
      <w:r w:rsidR="003F1FAE">
        <w:rPr>
          <w:rFonts w:ascii="Arial" w:hAnsi="Arial" w:cs="Arial"/>
        </w:rPr>
        <w:t xml:space="preserve"> of Health</w:t>
      </w:r>
      <w:r w:rsidR="00D20D3D">
        <w:rPr>
          <w:rFonts w:ascii="Arial" w:hAnsi="Arial" w:cs="Arial"/>
        </w:rPr>
        <w:t>, overseeing 9 regional networks</w:t>
      </w:r>
      <w:r w:rsidR="003F1FAE">
        <w:rPr>
          <w:rFonts w:ascii="Arial" w:hAnsi="Arial" w:cs="Arial"/>
        </w:rPr>
        <w:t xml:space="preserve"> across </w:t>
      </w:r>
      <w:smartTag w:uri="urn:schemas-microsoft-com:office:smarttags" w:element="country-region">
        <w:smartTag w:uri="urn:schemas-microsoft-com:office:smarttags" w:element="place">
          <w:r w:rsidR="003F1FAE">
            <w:rPr>
              <w:rFonts w:ascii="Arial" w:hAnsi="Arial" w:cs="Arial"/>
            </w:rPr>
            <w:t>England</w:t>
          </w:r>
        </w:smartTag>
      </w:smartTag>
      <w:r w:rsidR="00D20D3D" w:rsidRPr="00F20A5A">
        <w:rPr>
          <w:rFonts w:ascii="Arial" w:hAnsi="Arial" w:cs="Arial"/>
        </w:rPr>
        <w:t xml:space="preserve">, each with their own </w:t>
      </w:r>
      <w:r w:rsidR="00D20D3D">
        <w:rPr>
          <w:rFonts w:ascii="Arial" w:hAnsi="Arial" w:cs="Arial"/>
        </w:rPr>
        <w:t xml:space="preserve">support structure and </w:t>
      </w:r>
      <w:r w:rsidR="00D20D3D" w:rsidRPr="00F20A5A">
        <w:rPr>
          <w:rFonts w:ascii="Arial" w:hAnsi="Arial" w:cs="Arial"/>
        </w:rPr>
        <w:t xml:space="preserve">infrastructure involving </w:t>
      </w:r>
      <w:r w:rsidR="000F6E1D">
        <w:rPr>
          <w:rFonts w:ascii="Arial" w:hAnsi="Arial" w:cs="Arial"/>
        </w:rPr>
        <w:t>input from</w:t>
      </w:r>
      <w:r w:rsidR="00D20D3D" w:rsidRPr="00F20A5A">
        <w:rPr>
          <w:rFonts w:ascii="Arial" w:hAnsi="Arial" w:cs="Arial"/>
        </w:rPr>
        <w:t xml:space="preserve"> primary care trusts, higher and further education sector, </w:t>
      </w:r>
      <w:r w:rsidR="00923C4E">
        <w:rPr>
          <w:rFonts w:ascii="Arial" w:hAnsi="Arial" w:cs="Arial"/>
        </w:rPr>
        <w:t xml:space="preserve">regional public health groups, </w:t>
      </w:r>
      <w:r w:rsidR="003F1FAE">
        <w:rPr>
          <w:rFonts w:ascii="Arial" w:hAnsi="Arial" w:cs="Arial"/>
        </w:rPr>
        <w:t xml:space="preserve">Regional </w:t>
      </w:r>
      <w:r w:rsidR="00D20D3D" w:rsidRPr="00F20A5A">
        <w:rPr>
          <w:rFonts w:ascii="Arial" w:hAnsi="Arial" w:cs="Arial"/>
        </w:rPr>
        <w:t xml:space="preserve">Government Offices, public health observatories </w:t>
      </w:r>
      <w:r w:rsidR="00923C4E">
        <w:rPr>
          <w:rFonts w:ascii="Arial" w:hAnsi="Arial" w:cs="Arial"/>
        </w:rPr>
        <w:t>and other key stakeholders.</w:t>
      </w:r>
      <w:r w:rsidR="00D20D3D" w:rsidRPr="00F20A5A">
        <w:rPr>
          <w:rFonts w:ascii="Arial" w:hAnsi="Arial" w:cs="Arial"/>
        </w:rPr>
        <w:t xml:space="preserve">. </w:t>
      </w:r>
    </w:p>
    <w:p w:rsidR="00D20D3D" w:rsidRDefault="00D20D3D" w:rsidP="00D532DA">
      <w:pPr>
        <w:spacing w:line="360" w:lineRule="auto"/>
        <w:jc w:val="both"/>
        <w:rPr>
          <w:rFonts w:ascii="Arial" w:hAnsi="Arial" w:cs="Arial"/>
        </w:rPr>
      </w:pPr>
    </w:p>
    <w:p w:rsidR="00904FA3" w:rsidRPr="00A81B64" w:rsidRDefault="00D532DA" w:rsidP="00D532DA">
      <w:pPr>
        <w:spacing w:line="360" w:lineRule="auto"/>
        <w:jc w:val="both"/>
        <w:rPr>
          <w:rFonts w:ascii="Arial" w:hAnsi="Arial" w:cs="Arial"/>
        </w:rPr>
      </w:pPr>
      <w:r w:rsidRPr="00A81B64">
        <w:rPr>
          <w:rFonts w:ascii="Arial" w:hAnsi="Arial" w:cs="Arial"/>
        </w:rPr>
        <w:t>Their aims were to</w:t>
      </w:r>
      <w:r w:rsidRPr="00A81B64">
        <w:t>:</w:t>
      </w:r>
    </w:p>
    <w:p w:rsidR="00D532DA" w:rsidRPr="00A81B64" w:rsidRDefault="00D532DA" w:rsidP="00D532DA">
      <w:pPr>
        <w:numPr>
          <w:ilvl w:val="0"/>
          <w:numId w:val="1"/>
          <w:numberingChange w:id="0" w:author="Judy Orme" w:date="2009-04-24T13:10:00Z" w:original="•"/>
        </w:numPr>
        <w:suppressAutoHyphens w:val="0"/>
        <w:spacing w:line="360" w:lineRule="auto"/>
        <w:rPr>
          <w:rFonts w:ascii="Arial" w:hAnsi="Arial" w:cs="Arial"/>
        </w:rPr>
      </w:pPr>
      <w:r w:rsidRPr="00A81B64">
        <w:rPr>
          <w:rFonts w:ascii="Arial" w:hAnsi="Arial" w:cs="Arial"/>
        </w:rPr>
        <w:t>Enhance the knowledge of everyone who can improve the public’s health through the sphere of influence of their work (building capacity and capability by changing curricula of key groups and developing educator capacity)</w:t>
      </w:r>
      <w:r w:rsidR="003F1FAE">
        <w:rPr>
          <w:rFonts w:ascii="Arial" w:hAnsi="Arial" w:cs="Arial"/>
        </w:rPr>
        <w:t xml:space="preserve"> and</w:t>
      </w:r>
    </w:p>
    <w:p w:rsidR="00D532DA" w:rsidRPr="00A81B64" w:rsidRDefault="00D532DA" w:rsidP="00D532DA">
      <w:pPr>
        <w:numPr>
          <w:ilvl w:val="0"/>
          <w:numId w:val="1"/>
          <w:numberingChange w:id="1" w:author="Judy Orme" w:date="2009-04-24T13:10:00Z" w:original="•"/>
        </w:numPr>
        <w:suppressAutoHyphens w:val="0"/>
        <w:spacing w:line="360" w:lineRule="auto"/>
        <w:rPr>
          <w:rFonts w:ascii="Arial" w:hAnsi="Arial" w:cs="Arial"/>
        </w:rPr>
      </w:pPr>
      <w:r w:rsidRPr="00A81B64">
        <w:rPr>
          <w:rFonts w:ascii="Arial" w:hAnsi="Arial" w:cs="Arial"/>
        </w:rPr>
        <w:t>Create health promoting Universities and Colleges</w:t>
      </w:r>
    </w:p>
    <w:p w:rsidR="00D532DA" w:rsidRDefault="00D532DA" w:rsidP="00D20D3D">
      <w:pPr>
        <w:suppressAutoHyphens w:val="0"/>
        <w:spacing w:line="360" w:lineRule="auto"/>
        <w:rPr>
          <w:rFonts w:ascii="Arial" w:hAnsi="Arial" w:cs="Arial"/>
        </w:rPr>
      </w:pPr>
    </w:p>
    <w:p w:rsidR="00D20D3D" w:rsidRPr="00A81B64" w:rsidRDefault="00D20D3D" w:rsidP="00D20D3D">
      <w:pPr>
        <w:suppressAutoHyphens w:val="0"/>
        <w:spacing w:line="360" w:lineRule="auto"/>
        <w:rPr>
          <w:rFonts w:ascii="Arial" w:hAnsi="Arial" w:cs="Arial"/>
        </w:rPr>
      </w:pPr>
    </w:p>
    <w:p w:rsidR="00833033" w:rsidRDefault="002A7B19" w:rsidP="00642CB1">
      <w:pPr>
        <w:spacing w:line="360" w:lineRule="auto"/>
        <w:rPr>
          <w:rFonts w:ascii="Arial" w:hAnsi="Arial" w:cs="Arial"/>
        </w:rPr>
      </w:pPr>
      <w:r>
        <w:rPr>
          <w:rFonts w:ascii="Arial" w:hAnsi="Arial" w:cs="Arial"/>
        </w:rPr>
        <w:t>Each regional network receive</w:t>
      </w:r>
      <w:r w:rsidR="00D64E49">
        <w:rPr>
          <w:rFonts w:ascii="Arial" w:hAnsi="Arial" w:cs="Arial"/>
        </w:rPr>
        <w:t>d</w:t>
      </w:r>
      <w:r>
        <w:rPr>
          <w:rFonts w:ascii="Arial" w:hAnsi="Arial" w:cs="Arial"/>
        </w:rPr>
        <w:t xml:space="preserve"> funding from the Department of Health</w:t>
      </w:r>
      <w:r w:rsidR="00B56F29">
        <w:rPr>
          <w:rFonts w:ascii="Arial" w:hAnsi="Arial" w:cs="Arial"/>
        </w:rPr>
        <w:t xml:space="preserve">, and </w:t>
      </w:r>
      <w:r w:rsidR="00D64E49">
        <w:rPr>
          <w:rFonts w:ascii="Arial" w:hAnsi="Arial" w:cs="Arial"/>
        </w:rPr>
        <w:t>wa</w:t>
      </w:r>
      <w:r w:rsidR="00B56F29">
        <w:rPr>
          <w:rFonts w:ascii="Arial" w:hAnsi="Arial" w:cs="Arial"/>
        </w:rPr>
        <w:t>s required to prepare annual plans of activity.</w:t>
      </w:r>
      <w:r w:rsidR="00194843">
        <w:rPr>
          <w:rFonts w:ascii="Arial" w:hAnsi="Arial" w:cs="Arial"/>
        </w:rPr>
        <w:t xml:space="preserve"> Although guided and led by a central team, r</w:t>
      </w:r>
      <w:r w:rsidR="00D270AD">
        <w:rPr>
          <w:rFonts w:ascii="Arial" w:hAnsi="Arial" w:cs="Arial"/>
        </w:rPr>
        <w:t xml:space="preserve">egional networks </w:t>
      </w:r>
      <w:r w:rsidR="00D64E49">
        <w:rPr>
          <w:rFonts w:ascii="Arial" w:hAnsi="Arial" w:cs="Arial"/>
        </w:rPr>
        <w:t>we</w:t>
      </w:r>
      <w:r w:rsidR="00D270AD">
        <w:rPr>
          <w:rFonts w:ascii="Arial" w:hAnsi="Arial" w:cs="Arial"/>
        </w:rPr>
        <w:t xml:space="preserve">re </w:t>
      </w:r>
      <w:r w:rsidR="00194843">
        <w:rPr>
          <w:rFonts w:ascii="Arial" w:hAnsi="Arial" w:cs="Arial"/>
        </w:rPr>
        <w:t xml:space="preserve">encouraged to </w:t>
      </w:r>
      <w:r w:rsidR="00D270AD">
        <w:rPr>
          <w:rFonts w:ascii="Arial" w:hAnsi="Arial" w:cs="Arial"/>
        </w:rPr>
        <w:t>develop innovative approaches</w:t>
      </w:r>
      <w:r w:rsidR="000518E0">
        <w:rPr>
          <w:rFonts w:ascii="Arial" w:hAnsi="Arial" w:cs="Arial"/>
        </w:rPr>
        <w:t xml:space="preserve"> to meeting the aims of the initiative</w:t>
      </w:r>
      <w:r w:rsidR="00194843">
        <w:rPr>
          <w:rFonts w:ascii="Arial" w:hAnsi="Arial" w:cs="Arial"/>
        </w:rPr>
        <w:t>.</w:t>
      </w:r>
      <w:r w:rsidR="004733F2">
        <w:rPr>
          <w:rFonts w:ascii="Arial" w:hAnsi="Arial" w:cs="Arial"/>
        </w:rPr>
        <w:t xml:space="preserve"> </w:t>
      </w:r>
      <w:r w:rsidR="00194843">
        <w:rPr>
          <w:rFonts w:ascii="Arial" w:hAnsi="Arial" w:cs="Arial"/>
        </w:rPr>
        <w:t xml:space="preserve">Sharing of experiences and knowledge exchange </w:t>
      </w:r>
      <w:r w:rsidR="00D64E49">
        <w:rPr>
          <w:rFonts w:ascii="Arial" w:hAnsi="Arial" w:cs="Arial"/>
        </w:rPr>
        <w:t>wa</w:t>
      </w:r>
      <w:r w:rsidR="00194843">
        <w:rPr>
          <w:rFonts w:ascii="Arial" w:hAnsi="Arial" w:cs="Arial"/>
        </w:rPr>
        <w:t>s a key feature of the T</w:t>
      </w:r>
      <w:r w:rsidR="00D64E49">
        <w:rPr>
          <w:rFonts w:ascii="Arial" w:hAnsi="Arial" w:cs="Arial"/>
        </w:rPr>
        <w:t>PHNs</w:t>
      </w:r>
      <w:r w:rsidR="00194843">
        <w:rPr>
          <w:rFonts w:ascii="Arial" w:hAnsi="Arial" w:cs="Arial"/>
        </w:rPr>
        <w:t>, with</w:t>
      </w:r>
      <w:r w:rsidR="00E0623C">
        <w:rPr>
          <w:rFonts w:ascii="Arial" w:hAnsi="Arial" w:cs="Arial"/>
        </w:rPr>
        <w:t xml:space="preserve"> m</w:t>
      </w:r>
      <w:r w:rsidR="00813905">
        <w:rPr>
          <w:rFonts w:ascii="Arial" w:hAnsi="Arial" w:cs="Arial"/>
        </w:rPr>
        <w:t xml:space="preserve">onthly teleconferences and quarterly national learning </w:t>
      </w:r>
      <w:r w:rsidR="006E32B1">
        <w:rPr>
          <w:rFonts w:ascii="Arial" w:hAnsi="Arial" w:cs="Arial"/>
        </w:rPr>
        <w:t xml:space="preserve">sets </w:t>
      </w:r>
      <w:r w:rsidR="00FD4D6D">
        <w:rPr>
          <w:rFonts w:ascii="Arial" w:hAnsi="Arial" w:cs="Arial"/>
        </w:rPr>
        <w:t>facilitating this</w:t>
      </w:r>
      <w:r w:rsidR="00D64E49">
        <w:rPr>
          <w:rFonts w:ascii="Arial" w:hAnsi="Arial" w:cs="Arial"/>
        </w:rPr>
        <w:t xml:space="preserve"> collective learning</w:t>
      </w:r>
      <w:r w:rsidR="00E0623C">
        <w:rPr>
          <w:rFonts w:ascii="Arial" w:hAnsi="Arial" w:cs="Arial"/>
        </w:rPr>
        <w:t xml:space="preserve">.  </w:t>
      </w:r>
      <w:r w:rsidR="00813905">
        <w:rPr>
          <w:rFonts w:ascii="Arial" w:hAnsi="Arial" w:cs="Arial"/>
        </w:rPr>
        <w:t xml:space="preserve"> </w:t>
      </w:r>
    </w:p>
    <w:p w:rsidR="005B1D8B" w:rsidRDefault="005B1D8B" w:rsidP="00642CB1">
      <w:pPr>
        <w:spacing w:line="360" w:lineRule="auto"/>
        <w:rPr>
          <w:rFonts w:ascii="Arial" w:hAnsi="Arial" w:cs="Arial"/>
        </w:rPr>
      </w:pPr>
    </w:p>
    <w:p w:rsidR="005B1D8B" w:rsidRDefault="005B1D8B" w:rsidP="005B1D8B">
      <w:pPr>
        <w:spacing w:line="360" w:lineRule="auto"/>
        <w:rPr>
          <w:rFonts w:ascii="Arial" w:hAnsi="Arial" w:cs="Arial"/>
        </w:rPr>
      </w:pPr>
      <w:r w:rsidRPr="00DA6919">
        <w:rPr>
          <w:rFonts w:ascii="Arial" w:hAnsi="Arial" w:cs="Arial"/>
        </w:rPr>
        <w:t xml:space="preserve">The national lead for </w:t>
      </w:r>
      <w:r w:rsidR="00523085">
        <w:rPr>
          <w:rFonts w:ascii="Arial" w:hAnsi="Arial" w:cs="Arial"/>
        </w:rPr>
        <w:t xml:space="preserve">the </w:t>
      </w:r>
      <w:r w:rsidRPr="00DA6919">
        <w:rPr>
          <w:rFonts w:ascii="Arial" w:hAnsi="Arial" w:cs="Arial"/>
        </w:rPr>
        <w:t>TPHN</w:t>
      </w:r>
      <w:r w:rsidR="00523085">
        <w:rPr>
          <w:rFonts w:ascii="Arial" w:hAnsi="Arial" w:cs="Arial"/>
        </w:rPr>
        <w:t>,</w:t>
      </w:r>
      <w:r w:rsidR="00A87CD7">
        <w:rPr>
          <w:rFonts w:ascii="Arial" w:hAnsi="Arial" w:cs="Arial"/>
        </w:rPr>
        <w:t xml:space="preserve"> </w:t>
      </w:r>
      <w:r w:rsidRPr="00DA6919">
        <w:rPr>
          <w:rFonts w:ascii="Arial" w:hAnsi="Arial" w:cs="Arial"/>
        </w:rPr>
        <w:t>the Head of Public Health Development at the Department of Health</w:t>
      </w:r>
      <w:r w:rsidR="00D64E49">
        <w:rPr>
          <w:rFonts w:ascii="Arial" w:hAnsi="Arial" w:cs="Arial"/>
        </w:rPr>
        <w:t xml:space="preserve"> (DH)</w:t>
      </w:r>
      <w:r w:rsidR="00523085">
        <w:rPr>
          <w:rFonts w:ascii="Arial" w:hAnsi="Arial" w:cs="Arial"/>
        </w:rPr>
        <w:t>,</w:t>
      </w:r>
      <w:r w:rsidRPr="00DA6919">
        <w:rPr>
          <w:rFonts w:ascii="Arial" w:hAnsi="Arial" w:cs="Arial"/>
        </w:rPr>
        <w:t xml:space="preserve"> </w:t>
      </w:r>
      <w:r w:rsidR="00923C4E">
        <w:rPr>
          <w:rFonts w:ascii="Arial" w:hAnsi="Arial" w:cs="Arial"/>
        </w:rPr>
        <w:t>undert</w:t>
      </w:r>
      <w:r w:rsidR="00D64E49">
        <w:rPr>
          <w:rFonts w:ascii="Arial" w:hAnsi="Arial" w:cs="Arial"/>
        </w:rPr>
        <w:t>ook the responsibility to secure the support,ownership and involvement of</w:t>
      </w:r>
      <w:r w:rsidR="00923C4E">
        <w:rPr>
          <w:rFonts w:ascii="Arial" w:hAnsi="Arial" w:cs="Arial"/>
        </w:rPr>
        <w:t xml:space="preserve"> key </w:t>
      </w:r>
      <w:r w:rsidRPr="00DA6919">
        <w:rPr>
          <w:rFonts w:ascii="Arial" w:hAnsi="Arial" w:cs="Arial"/>
        </w:rPr>
        <w:t xml:space="preserve">national level bodies and </w:t>
      </w:r>
      <w:r w:rsidRPr="00DA6919">
        <w:rPr>
          <w:rFonts w:ascii="Arial" w:hAnsi="Arial" w:cs="Arial"/>
        </w:rPr>
        <w:lastRenderedPageBreak/>
        <w:t>organisations. Nine regional leads were appointed, each with a core support team</w:t>
      </w:r>
      <w:r w:rsidR="00D64E49">
        <w:rPr>
          <w:rFonts w:ascii="Arial" w:hAnsi="Arial" w:cs="Arial"/>
        </w:rPr>
        <w:t xml:space="preserve"> to complement the effort at national level with collaborative strategies for learning and development within their regions. </w:t>
      </w:r>
      <w:r w:rsidRPr="00DA6919">
        <w:rPr>
          <w:rFonts w:ascii="Arial" w:hAnsi="Arial" w:cs="Arial"/>
        </w:rPr>
        <w:t>Regular themed learning sets were organised by the DH lead</w:t>
      </w:r>
      <w:r>
        <w:rPr>
          <w:rFonts w:ascii="Arial" w:hAnsi="Arial" w:cs="Arial"/>
        </w:rPr>
        <w:t>,</w:t>
      </w:r>
      <w:r w:rsidRPr="00DA6919">
        <w:rPr>
          <w:rFonts w:ascii="Arial" w:hAnsi="Arial" w:cs="Arial"/>
        </w:rPr>
        <w:t xml:space="preserve"> mainly in </w:t>
      </w:r>
      <w:smartTag w:uri="urn:schemas-microsoft-com:office:smarttags" w:element="City">
        <w:smartTag w:uri="urn:schemas-microsoft-com:office:smarttags" w:element="place">
          <w:r w:rsidRPr="00DA6919">
            <w:rPr>
              <w:rFonts w:ascii="Arial" w:hAnsi="Arial" w:cs="Arial"/>
            </w:rPr>
            <w:t>London</w:t>
          </w:r>
        </w:smartTag>
      </w:smartTag>
      <w:r>
        <w:rPr>
          <w:rFonts w:ascii="Arial" w:hAnsi="Arial" w:cs="Arial"/>
        </w:rPr>
        <w:t>,</w:t>
      </w:r>
      <w:r w:rsidRPr="00DA6919">
        <w:rPr>
          <w:rFonts w:ascii="Arial" w:hAnsi="Arial" w:cs="Arial"/>
        </w:rPr>
        <w:t xml:space="preserve"> to</w:t>
      </w:r>
      <w:r w:rsidR="00523085">
        <w:rPr>
          <w:rFonts w:ascii="Arial" w:hAnsi="Arial" w:cs="Arial"/>
        </w:rPr>
        <w:t xml:space="preserve"> </w:t>
      </w:r>
      <w:r w:rsidRPr="00DA6919">
        <w:rPr>
          <w:rFonts w:ascii="Arial" w:hAnsi="Arial" w:cs="Arial"/>
        </w:rPr>
        <w:t xml:space="preserve">stimulate networks and to share good practice. </w:t>
      </w:r>
      <w:r w:rsidR="004A2700">
        <w:rPr>
          <w:rFonts w:ascii="Arial" w:hAnsi="Arial" w:cs="Arial"/>
        </w:rPr>
        <w:t xml:space="preserve">Heads of national organisations with a crucial role in supporting the work of the TPHNs were invited to participate in the learning sets. </w:t>
      </w:r>
      <w:r w:rsidRPr="00DA6919">
        <w:rPr>
          <w:rFonts w:ascii="Arial" w:hAnsi="Arial" w:cs="Arial"/>
        </w:rPr>
        <w:t>Regular telephone conferences were organised to share good practice, involve all regional teams in decision making and to discuss key issues of development and implementation. Regional teams were encouraged to take responsibility for chairing and delivering sections of the meetings, a mechanism which contributed further to regional engagement</w:t>
      </w:r>
      <w:r w:rsidR="00D64E49">
        <w:rPr>
          <w:rFonts w:ascii="Arial" w:hAnsi="Arial" w:cs="Arial"/>
        </w:rPr>
        <w:t>, leadership</w:t>
      </w:r>
      <w:r w:rsidRPr="00DA6919">
        <w:rPr>
          <w:rFonts w:ascii="Arial" w:hAnsi="Arial" w:cs="Arial"/>
        </w:rPr>
        <w:t xml:space="preserve"> and sharing of good practice. </w:t>
      </w:r>
      <w:r w:rsidR="00923C4E">
        <w:rPr>
          <w:rFonts w:ascii="Arial" w:hAnsi="Arial" w:cs="Arial"/>
        </w:rPr>
        <w:t xml:space="preserve">Key </w:t>
      </w:r>
      <w:r w:rsidRPr="00DA6919">
        <w:rPr>
          <w:rFonts w:ascii="Arial" w:hAnsi="Arial" w:cs="Arial"/>
        </w:rPr>
        <w:t xml:space="preserve">themes included </w:t>
      </w:r>
      <w:r w:rsidR="00923C4E">
        <w:rPr>
          <w:rFonts w:ascii="Arial" w:hAnsi="Arial" w:cs="Arial"/>
        </w:rPr>
        <w:t xml:space="preserve">emerging national </w:t>
      </w:r>
      <w:r w:rsidRPr="00DA6919">
        <w:rPr>
          <w:rFonts w:ascii="Arial" w:hAnsi="Arial" w:cs="Arial"/>
        </w:rPr>
        <w:t xml:space="preserve">issues e.g. </w:t>
      </w:r>
      <w:r w:rsidR="00523085">
        <w:rPr>
          <w:rFonts w:ascii="Arial" w:hAnsi="Arial" w:cs="Arial"/>
        </w:rPr>
        <w:t>s</w:t>
      </w:r>
      <w:r w:rsidRPr="00DA6919">
        <w:rPr>
          <w:rFonts w:ascii="Arial" w:hAnsi="Arial" w:cs="Arial"/>
        </w:rPr>
        <w:t>ocial marketing, public health workforce development</w:t>
      </w:r>
      <w:r>
        <w:rPr>
          <w:rFonts w:ascii="Arial" w:hAnsi="Arial" w:cs="Arial"/>
        </w:rPr>
        <w:t xml:space="preserve">, healthy universities and colleges </w:t>
      </w:r>
      <w:r w:rsidR="0096732A">
        <w:rPr>
          <w:rFonts w:ascii="Arial" w:hAnsi="Arial" w:cs="Arial"/>
        </w:rPr>
        <w:t xml:space="preserve">and </w:t>
      </w:r>
      <w:r>
        <w:rPr>
          <w:rFonts w:ascii="Arial" w:hAnsi="Arial" w:cs="Arial"/>
        </w:rPr>
        <w:t>health literacy</w:t>
      </w:r>
      <w:r w:rsidRPr="00DA6919">
        <w:rPr>
          <w:rFonts w:ascii="Arial" w:hAnsi="Arial" w:cs="Arial"/>
        </w:rPr>
        <w:t>.</w:t>
      </w:r>
      <w:r w:rsidR="00D64E49">
        <w:rPr>
          <w:rFonts w:ascii="Arial" w:hAnsi="Arial" w:cs="Arial"/>
        </w:rPr>
        <w:t xml:space="preserve"> </w:t>
      </w:r>
    </w:p>
    <w:p w:rsidR="00833033" w:rsidRDefault="00833033" w:rsidP="00642CB1">
      <w:pPr>
        <w:spacing w:line="360" w:lineRule="auto"/>
        <w:rPr>
          <w:rFonts w:ascii="Arial" w:hAnsi="Arial" w:cs="Arial"/>
        </w:rPr>
      </w:pPr>
    </w:p>
    <w:p w:rsidR="00833033" w:rsidRPr="0060755C" w:rsidRDefault="00923C4E" w:rsidP="00833033">
      <w:pPr>
        <w:spacing w:line="360" w:lineRule="auto"/>
        <w:jc w:val="both"/>
        <w:rPr>
          <w:rFonts w:ascii="Arial" w:hAnsi="Arial" w:cs="Arial"/>
        </w:rPr>
      </w:pPr>
      <w:r>
        <w:rPr>
          <w:rFonts w:ascii="Arial" w:hAnsi="Arial" w:cs="Arial"/>
        </w:rPr>
        <w:t>The flexibility provided by the u</w:t>
      </w:r>
      <w:r w:rsidR="00833033" w:rsidRPr="0060755C">
        <w:rPr>
          <w:rFonts w:ascii="Arial" w:hAnsi="Arial" w:cs="Arial"/>
        </w:rPr>
        <w:t xml:space="preserve">mbrella regional TPHN model </w:t>
      </w:r>
      <w:r>
        <w:rPr>
          <w:rFonts w:ascii="Arial" w:hAnsi="Arial" w:cs="Arial"/>
        </w:rPr>
        <w:t xml:space="preserve">has </w:t>
      </w:r>
      <w:r w:rsidR="00833033" w:rsidRPr="0060755C">
        <w:rPr>
          <w:rFonts w:ascii="Arial" w:hAnsi="Arial" w:cs="Arial"/>
        </w:rPr>
        <w:t>catalysed a huge range of activity that ha</w:t>
      </w:r>
      <w:r w:rsidR="0096732A">
        <w:rPr>
          <w:rFonts w:ascii="Arial" w:hAnsi="Arial" w:cs="Arial"/>
        </w:rPr>
        <w:t>s</w:t>
      </w:r>
      <w:r w:rsidR="00833033" w:rsidRPr="0060755C">
        <w:rPr>
          <w:rFonts w:ascii="Arial" w:hAnsi="Arial" w:cs="Arial"/>
        </w:rPr>
        <w:t xml:space="preserve"> had a significant impact on certain areas of public health development in </w:t>
      </w:r>
      <w:smartTag w:uri="urn:schemas-microsoft-com:office:smarttags" w:element="place">
        <w:smartTag w:uri="urn:schemas-microsoft-com:office:smarttags" w:element="country-region">
          <w:r w:rsidR="00833033" w:rsidRPr="0060755C">
            <w:rPr>
              <w:rFonts w:ascii="Arial" w:hAnsi="Arial" w:cs="Arial"/>
            </w:rPr>
            <w:t>England</w:t>
          </w:r>
        </w:smartTag>
      </w:smartTag>
      <w:r w:rsidR="00833033" w:rsidRPr="0060755C">
        <w:rPr>
          <w:rFonts w:ascii="Arial" w:hAnsi="Arial" w:cs="Arial"/>
        </w:rPr>
        <w:t xml:space="preserve">.  The </w:t>
      </w:r>
      <w:r w:rsidR="00833033" w:rsidRPr="0060755C">
        <w:rPr>
          <w:rFonts w:ascii="Arial" w:hAnsi="Arial"/>
        </w:rPr>
        <w:t>network</w:t>
      </w:r>
      <w:r>
        <w:rPr>
          <w:rFonts w:ascii="Arial" w:hAnsi="Arial"/>
        </w:rPr>
        <w:t>s</w:t>
      </w:r>
      <w:r w:rsidR="00833033" w:rsidRPr="0060755C">
        <w:rPr>
          <w:rFonts w:ascii="Arial" w:hAnsi="Arial"/>
        </w:rPr>
        <w:t xml:space="preserve"> ha</w:t>
      </w:r>
      <w:r>
        <w:rPr>
          <w:rFonts w:ascii="Arial" w:hAnsi="Arial"/>
        </w:rPr>
        <w:t xml:space="preserve">ve provided a </w:t>
      </w:r>
      <w:r w:rsidR="00833033" w:rsidRPr="0060755C">
        <w:rPr>
          <w:rFonts w:ascii="Arial" w:hAnsi="Arial"/>
        </w:rPr>
        <w:t xml:space="preserve">process which can capitalise and energise existing resources towards </w:t>
      </w:r>
      <w:r w:rsidR="0096732A">
        <w:rPr>
          <w:rFonts w:ascii="Arial" w:hAnsi="Arial"/>
        </w:rPr>
        <w:t xml:space="preserve">common </w:t>
      </w:r>
      <w:r w:rsidR="00833033" w:rsidRPr="0060755C">
        <w:rPr>
          <w:rFonts w:ascii="Arial" w:hAnsi="Arial"/>
        </w:rPr>
        <w:t xml:space="preserve">public health educational goals, and lever in additional resource to this end. </w:t>
      </w:r>
      <w:r>
        <w:rPr>
          <w:rFonts w:ascii="Arial" w:hAnsi="Arial"/>
        </w:rPr>
        <w:t>Examples of this work will be given, and f</w:t>
      </w:r>
      <w:r w:rsidR="00833033" w:rsidRPr="0060755C">
        <w:rPr>
          <w:rFonts w:ascii="Arial" w:hAnsi="Arial" w:cs="Arial"/>
        </w:rPr>
        <w:t xml:space="preserve">uture challenges for the networks, including sustainability, </w:t>
      </w:r>
      <w:r>
        <w:rPr>
          <w:rFonts w:ascii="Arial" w:hAnsi="Arial" w:cs="Arial"/>
        </w:rPr>
        <w:t>will be</w:t>
      </w:r>
      <w:r w:rsidR="00833033" w:rsidRPr="0060755C">
        <w:rPr>
          <w:rFonts w:ascii="Arial" w:hAnsi="Arial" w:cs="Arial"/>
        </w:rPr>
        <w:t xml:space="preserve"> discussed.</w:t>
      </w:r>
    </w:p>
    <w:p w:rsidR="0060755C" w:rsidRDefault="00CB2671" w:rsidP="005B1D8B">
      <w:pPr>
        <w:spacing w:line="360" w:lineRule="auto"/>
        <w:rPr>
          <w:rFonts w:ascii="Arial" w:hAnsi="Arial" w:cs="Arial"/>
        </w:rPr>
      </w:pPr>
      <w:r>
        <w:rPr>
          <w:rFonts w:ascii="Arial" w:hAnsi="Arial" w:cs="Arial"/>
        </w:rPr>
        <w:t xml:space="preserve"> </w:t>
      </w:r>
      <w:r w:rsidR="008B0CC6">
        <w:rPr>
          <w:rFonts w:ascii="Arial" w:hAnsi="Arial" w:cs="Arial"/>
        </w:rPr>
        <w:t xml:space="preserve">  </w:t>
      </w:r>
    </w:p>
    <w:p w:rsidR="00A87CD7" w:rsidRDefault="00A87CD7" w:rsidP="00FC73F5">
      <w:pPr>
        <w:outlineLvl w:val="0"/>
        <w:rPr>
          <w:rFonts w:ascii="Arial" w:hAnsi="Arial" w:cs="Arial"/>
          <w:b/>
        </w:rPr>
      </w:pPr>
    </w:p>
    <w:p w:rsidR="00A87CD7" w:rsidRDefault="00A87CD7" w:rsidP="00FC73F5">
      <w:pPr>
        <w:outlineLvl w:val="0"/>
        <w:rPr>
          <w:rFonts w:ascii="Arial" w:hAnsi="Arial" w:cs="Arial"/>
          <w:b/>
        </w:rPr>
      </w:pPr>
    </w:p>
    <w:p w:rsidR="00A87CD7" w:rsidRDefault="00A87CD7" w:rsidP="00FC73F5">
      <w:pPr>
        <w:outlineLvl w:val="0"/>
        <w:rPr>
          <w:rFonts w:ascii="Arial" w:hAnsi="Arial" w:cs="Arial"/>
          <w:b/>
        </w:rPr>
      </w:pPr>
    </w:p>
    <w:p w:rsidR="00494D4D" w:rsidRPr="005B1D8B" w:rsidRDefault="0066204E" w:rsidP="00FC73F5">
      <w:pPr>
        <w:outlineLvl w:val="0"/>
        <w:rPr>
          <w:rFonts w:ascii="Arial" w:hAnsi="Arial" w:cs="Arial"/>
          <w:b/>
        </w:rPr>
      </w:pPr>
      <w:r w:rsidRPr="005B1D8B">
        <w:rPr>
          <w:rFonts w:ascii="Arial" w:hAnsi="Arial" w:cs="Arial"/>
          <w:b/>
        </w:rPr>
        <w:t>Outcomes framework and indicators</w:t>
      </w:r>
    </w:p>
    <w:p w:rsidR="00A87CD7" w:rsidRDefault="00A87CD7" w:rsidP="009D0C69">
      <w:pPr>
        <w:spacing w:line="360" w:lineRule="auto"/>
        <w:rPr>
          <w:rFonts w:ascii="Arial" w:hAnsi="Arial" w:cs="Arial"/>
        </w:rPr>
      </w:pPr>
    </w:p>
    <w:p w:rsidR="0066204E" w:rsidRDefault="0066204E" w:rsidP="009D0C69">
      <w:pPr>
        <w:spacing w:line="360" w:lineRule="auto"/>
        <w:rPr>
          <w:rFonts w:ascii="Arial" w:hAnsi="Arial" w:cs="Arial"/>
        </w:rPr>
      </w:pPr>
      <w:r>
        <w:rPr>
          <w:rFonts w:ascii="Arial" w:hAnsi="Arial" w:cs="Arial"/>
        </w:rPr>
        <w:t xml:space="preserve">Providing a consistent framework for the measurement of outcomes from the TPHN activities was an essential but challenging task. </w:t>
      </w:r>
      <w:r w:rsidR="002B2F4B">
        <w:rPr>
          <w:rFonts w:ascii="Arial" w:hAnsi="Arial" w:cs="Arial"/>
        </w:rPr>
        <w:t>It needed to allow for a degree of cumulat</w:t>
      </w:r>
      <w:r>
        <w:rPr>
          <w:rFonts w:ascii="Arial" w:hAnsi="Arial" w:cs="Arial"/>
        </w:rPr>
        <w:t xml:space="preserve">ive </w:t>
      </w:r>
      <w:r w:rsidR="006A272A">
        <w:rPr>
          <w:rFonts w:ascii="Arial" w:hAnsi="Arial" w:cs="Arial"/>
        </w:rPr>
        <w:t xml:space="preserve">and realistic </w:t>
      </w:r>
      <w:r>
        <w:rPr>
          <w:rFonts w:ascii="Arial" w:hAnsi="Arial" w:cs="Arial"/>
        </w:rPr>
        <w:t>assessment of achievements through regular monitoring, with</w:t>
      </w:r>
      <w:r w:rsidR="006A272A">
        <w:rPr>
          <w:rFonts w:ascii="Arial" w:hAnsi="Arial" w:cs="Arial"/>
        </w:rPr>
        <w:t xml:space="preserve">out </w:t>
      </w:r>
      <w:r>
        <w:rPr>
          <w:rFonts w:ascii="Arial" w:hAnsi="Arial" w:cs="Arial"/>
        </w:rPr>
        <w:t>additional evalu</w:t>
      </w:r>
      <w:r w:rsidR="006A272A">
        <w:rPr>
          <w:rFonts w:ascii="Arial" w:hAnsi="Arial" w:cs="Arial"/>
        </w:rPr>
        <w:t>ation which would be</w:t>
      </w:r>
      <w:r>
        <w:rPr>
          <w:rFonts w:ascii="Arial" w:hAnsi="Arial" w:cs="Arial"/>
        </w:rPr>
        <w:t xml:space="preserve"> costl</w:t>
      </w:r>
      <w:r w:rsidR="006A272A">
        <w:rPr>
          <w:rFonts w:ascii="Arial" w:hAnsi="Arial" w:cs="Arial"/>
        </w:rPr>
        <w:t>y and burdensome</w:t>
      </w:r>
      <w:r w:rsidR="002B2F4B">
        <w:rPr>
          <w:rFonts w:ascii="Arial" w:hAnsi="Arial" w:cs="Arial"/>
        </w:rPr>
        <w:t>. Some of the difficulties inherent in evaluating an intervention like th</w:t>
      </w:r>
      <w:r w:rsidR="00523085">
        <w:rPr>
          <w:rFonts w:ascii="Arial" w:hAnsi="Arial" w:cs="Arial"/>
        </w:rPr>
        <w:t>is</w:t>
      </w:r>
      <w:r w:rsidR="002B2F4B">
        <w:rPr>
          <w:rFonts w:ascii="Arial" w:hAnsi="Arial" w:cs="Arial"/>
        </w:rPr>
        <w:t xml:space="preserve"> include: the </w:t>
      </w:r>
      <w:r w:rsidR="002B2F4B">
        <w:rPr>
          <w:rFonts w:ascii="Arial" w:hAnsi="Arial" w:cs="Arial"/>
        </w:rPr>
        <w:lastRenderedPageBreak/>
        <w:t>aim to create change in complex educational and service provision systems, the evolutionary nature of that change and the variability in processes and objectives depend</w:t>
      </w:r>
      <w:r w:rsidR="00E932AD">
        <w:rPr>
          <w:rFonts w:ascii="Arial" w:hAnsi="Arial" w:cs="Arial"/>
        </w:rPr>
        <w:t>e</w:t>
      </w:r>
      <w:r w:rsidR="002B2F4B">
        <w:rPr>
          <w:rFonts w:ascii="Arial" w:hAnsi="Arial" w:cs="Arial"/>
        </w:rPr>
        <w:t>nt on local contexts. Utilising a well known health promotion planning and outcomes framework</w:t>
      </w:r>
      <w:r w:rsidR="002B2F4B">
        <w:rPr>
          <w:rStyle w:val="FootnoteReference"/>
          <w:rFonts w:ascii="Arial" w:hAnsi="Arial" w:cs="Arial"/>
        </w:rPr>
        <w:footnoteReference w:id="1"/>
      </w:r>
      <w:r w:rsidR="006A272A">
        <w:rPr>
          <w:rFonts w:ascii="Arial" w:hAnsi="Arial" w:cs="Arial"/>
        </w:rPr>
        <w:t xml:space="preserve">, </w:t>
      </w:r>
      <w:r w:rsidR="003066BD">
        <w:rPr>
          <w:rFonts w:ascii="Arial" w:hAnsi="Arial" w:cs="Arial"/>
        </w:rPr>
        <w:t>t</w:t>
      </w:r>
      <w:r w:rsidR="002B2F4B">
        <w:rPr>
          <w:rFonts w:ascii="Arial" w:hAnsi="Arial" w:cs="Arial"/>
        </w:rPr>
        <w:t>hree capacity building headings</w:t>
      </w:r>
      <w:r w:rsidR="003066BD">
        <w:rPr>
          <w:rFonts w:ascii="Arial" w:hAnsi="Arial" w:cs="Arial"/>
        </w:rPr>
        <w:t xml:space="preserve"> </w:t>
      </w:r>
      <w:r w:rsidR="006A272A">
        <w:rPr>
          <w:rFonts w:ascii="Arial" w:hAnsi="Arial" w:cs="Arial"/>
        </w:rPr>
        <w:t>are</w:t>
      </w:r>
      <w:r w:rsidR="003066BD">
        <w:rPr>
          <w:rFonts w:ascii="Arial" w:hAnsi="Arial" w:cs="Arial"/>
        </w:rPr>
        <w:t xml:space="preserve"> used to capture the breadth of activity of the national network initiative</w:t>
      </w:r>
      <w:r w:rsidR="006A272A">
        <w:rPr>
          <w:rFonts w:ascii="Arial" w:hAnsi="Arial" w:cs="Arial"/>
        </w:rPr>
        <w:t>. These areas of activity are:</w:t>
      </w:r>
    </w:p>
    <w:p w:rsidR="002B2F4B" w:rsidRDefault="003066BD" w:rsidP="009D0C69">
      <w:pPr>
        <w:numPr>
          <w:ilvl w:val="0"/>
          <w:numId w:val="2"/>
          <w:numberingChange w:id="2" w:author="Judy Orme" w:date="2009-04-24T13:10:00Z" w:original="-"/>
        </w:numPr>
        <w:spacing w:line="360" w:lineRule="auto"/>
        <w:rPr>
          <w:rFonts w:ascii="Arial" w:hAnsi="Arial" w:cs="Arial"/>
        </w:rPr>
      </w:pPr>
      <w:r>
        <w:rPr>
          <w:rFonts w:ascii="Arial" w:hAnsi="Arial" w:cs="Arial"/>
        </w:rPr>
        <w:t xml:space="preserve">i)   </w:t>
      </w:r>
      <w:r w:rsidR="002B2F4B">
        <w:rPr>
          <w:rFonts w:ascii="Arial" w:hAnsi="Arial" w:cs="Arial"/>
        </w:rPr>
        <w:t>Mobilising resources, people, money and materials</w:t>
      </w:r>
    </w:p>
    <w:p w:rsidR="002B2F4B" w:rsidRDefault="003066BD" w:rsidP="009D0C69">
      <w:pPr>
        <w:numPr>
          <w:ilvl w:val="0"/>
          <w:numId w:val="2"/>
          <w:numberingChange w:id="3" w:author="Judy Orme" w:date="2009-04-24T13:10:00Z" w:original="-"/>
        </w:numPr>
        <w:spacing w:line="360" w:lineRule="auto"/>
        <w:rPr>
          <w:rFonts w:ascii="Arial" w:hAnsi="Arial" w:cs="Arial"/>
        </w:rPr>
      </w:pPr>
      <w:r>
        <w:rPr>
          <w:rFonts w:ascii="Arial" w:hAnsi="Arial" w:cs="Arial"/>
        </w:rPr>
        <w:t xml:space="preserve">ii)  </w:t>
      </w:r>
      <w:r w:rsidR="002B2F4B">
        <w:rPr>
          <w:rFonts w:ascii="Arial" w:hAnsi="Arial" w:cs="Arial"/>
        </w:rPr>
        <w:t>Building capacity through training  and infrastructure development</w:t>
      </w:r>
    </w:p>
    <w:p w:rsidR="00DC47D9" w:rsidRDefault="003066BD" w:rsidP="00523085">
      <w:pPr>
        <w:numPr>
          <w:ilvl w:val="0"/>
          <w:numId w:val="2"/>
          <w:numberingChange w:id="4" w:author="Judy Orme" w:date="2009-04-24T13:10:00Z" w:original="-"/>
        </w:numPr>
        <w:spacing w:line="360" w:lineRule="auto"/>
        <w:rPr>
          <w:rFonts w:ascii="Arial" w:hAnsi="Arial" w:cs="Arial"/>
          <w:color w:val="FF6600"/>
        </w:rPr>
      </w:pPr>
      <w:r>
        <w:rPr>
          <w:rFonts w:ascii="Arial" w:hAnsi="Arial" w:cs="Arial"/>
        </w:rPr>
        <w:t xml:space="preserve">iii) </w:t>
      </w:r>
      <w:r w:rsidR="002B2F4B">
        <w:rPr>
          <w:rFonts w:ascii="Arial" w:hAnsi="Arial" w:cs="Arial"/>
        </w:rPr>
        <w:t>Raising public and political awareness</w:t>
      </w:r>
    </w:p>
    <w:p w:rsidR="00DC47D9" w:rsidRPr="00DC47D9" w:rsidRDefault="00DC47D9">
      <w:pPr>
        <w:rPr>
          <w:rFonts w:ascii="Arial" w:hAnsi="Arial" w:cs="Arial"/>
          <w:color w:val="FF6600"/>
        </w:rPr>
      </w:pPr>
    </w:p>
    <w:p w:rsidR="009D0C69" w:rsidRDefault="009D0C69" w:rsidP="009D0C69">
      <w:pPr>
        <w:numPr>
          <w:ilvl w:val="0"/>
          <w:numId w:val="3"/>
          <w:numberingChange w:id="5" w:author="Judy Orme" w:date="2009-04-24T13:10:00Z" w:original="%1:1:2:)"/>
        </w:numPr>
        <w:rPr>
          <w:rFonts w:ascii="Arial" w:hAnsi="Arial" w:cs="Arial"/>
        </w:rPr>
      </w:pPr>
      <w:r>
        <w:rPr>
          <w:rFonts w:ascii="Arial" w:hAnsi="Arial" w:cs="Arial"/>
        </w:rPr>
        <w:t>Mobilising resources, people, money and materials</w:t>
      </w:r>
    </w:p>
    <w:p w:rsidR="009D0C69" w:rsidRDefault="009D0C69" w:rsidP="009D0C69">
      <w:pPr>
        <w:spacing w:line="480" w:lineRule="auto"/>
        <w:jc w:val="both"/>
        <w:rPr>
          <w:rFonts w:ascii="Arial" w:hAnsi="Arial" w:cs="Arial"/>
          <w:b/>
          <w:sz w:val="22"/>
          <w:szCs w:val="22"/>
        </w:rPr>
      </w:pPr>
    </w:p>
    <w:p w:rsidR="00D35657" w:rsidRDefault="00EE6F0D" w:rsidP="00F20A5A">
      <w:pPr>
        <w:spacing w:line="360" w:lineRule="auto"/>
        <w:jc w:val="both"/>
        <w:rPr>
          <w:rFonts w:ascii="Arial" w:hAnsi="Arial" w:cs="Arial"/>
        </w:rPr>
      </w:pPr>
      <w:r>
        <w:rPr>
          <w:rFonts w:ascii="Arial" w:hAnsi="Arial" w:cs="Arial"/>
        </w:rPr>
        <w:t xml:space="preserve">TPHNs </w:t>
      </w:r>
      <w:r w:rsidR="007A2DB2">
        <w:rPr>
          <w:rFonts w:ascii="Arial" w:hAnsi="Arial" w:cs="Arial"/>
        </w:rPr>
        <w:t xml:space="preserve">have sought to </w:t>
      </w:r>
      <w:r>
        <w:rPr>
          <w:rFonts w:ascii="Arial" w:hAnsi="Arial" w:cs="Arial"/>
        </w:rPr>
        <w:t>mobilis</w:t>
      </w:r>
      <w:r w:rsidR="007A2DB2">
        <w:rPr>
          <w:rFonts w:ascii="Arial" w:hAnsi="Arial" w:cs="Arial"/>
        </w:rPr>
        <w:t>e</w:t>
      </w:r>
      <w:r>
        <w:rPr>
          <w:rFonts w:ascii="Arial" w:hAnsi="Arial" w:cs="Arial"/>
        </w:rPr>
        <w:t xml:space="preserve"> resources, people and money to improve access to and provision of public health education and training. </w:t>
      </w:r>
      <w:r w:rsidR="00BE6F29">
        <w:rPr>
          <w:rFonts w:ascii="Arial" w:hAnsi="Arial" w:cs="Arial"/>
        </w:rPr>
        <w:t xml:space="preserve">As </w:t>
      </w:r>
      <w:r w:rsidR="002C63BC">
        <w:rPr>
          <w:rFonts w:ascii="Arial" w:hAnsi="Arial" w:cs="Arial"/>
        </w:rPr>
        <w:t>outlined</w:t>
      </w:r>
      <w:r w:rsidR="00BE6F29">
        <w:rPr>
          <w:rFonts w:ascii="Arial" w:hAnsi="Arial" w:cs="Arial"/>
        </w:rPr>
        <w:t xml:space="preserve">, each regional network has a steering group consisting of various stakeholders, including not only local health organisations and universities, but also regional </w:t>
      </w:r>
      <w:r w:rsidR="00402114">
        <w:rPr>
          <w:rFonts w:ascii="Arial" w:hAnsi="Arial" w:cs="Arial"/>
        </w:rPr>
        <w:t xml:space="preserve">NHS </w:t>
      </w:r>
      <w:r w:rsidR="00BE6F29">
        <w:rPr>
          <w:rFonts w:ascii="Arial" w:hAnsi="Arial" w:cs="Arial"/>
        </w:rPr>
        <w:t>workforce leads, and representatives from regional bodies such as Government Offices and Strategic Health Authorities.</w:t>
      </w:r>
      <w:r w:rsidR="007A2DB2">
        <w:rPr>
          <w:rFonts w:ascii="Arial" w:hAnsi="Arial" w:cs="Arial"/>
        </w:rPr>
        <w:t xml:space="preserve"> </w:t>
      </w:r>
      <w:r w:rsidR="00402114">
        <w:rPr>
          <w:rFonts w:ascii="Arial" w:hAnsi="Arial" w:cs="Arial"/>
        </w:rPr>
        <w:t xml:space="preserve">However, </w:t>
      </w:r>
      <w:r w:rsidR="007F117F">
        <w:rPr>
          <w:rFonts w:ascii="Arial" w:hAnsi="Arial" w:cs="Arial"/>
        </w:rPr>
        <w:t xml:space="preserve">it is the huge range of wider stakeholders, including </w:t>
      </w:r>
      <w:r w:rsidR="0015462B">
        <w:rPr>
          <w:rFonts w:ascii="Arial" w:hAnsi="Arial" w:cs="Arial"/>
        </w:rPr>
        <w:t xml:space="preserve">those from health, education, built environment, </w:t>
      </w:r>
      <w:r w:rsidR="002C63BC">
        <w:rPr>
          <w:rFonts w:ascii="Arial" w:hAnsi="Arial" w:cs="Arial"/>
        </w:rPr>
        <w:t xml:space="preserve">transport, local government, </w:t>
      </w:r>
      <w:r w:rsidR="0015462B">
        <w:rPr>
          <w:rFonts w:ascii="Arial" w:hAnsi="Arial" w:cs="Arial"/>
        </w:rPr>
        <w:t xml:space="preserve">business and </w:t>
      </w:r>
      <w:r w:rsidR="007F117F">
        <w:rPr>
          <w:rFonts w:ascii="Arial" w:hAnsi="Arial" w:cs="Arial"/>
        </w:rPr>
        <w:t xml:space="preserve">voluntary </w:t>
      </w:r>
      <w:r w:rsidR="0015462B">
        <w:rPr>
          <w:rFonts w:ascii="Arial" w:hAnsi="Arial" w:cs="Arial"/>
        </w:rPr>
        <w:t>sectors</w:t>
      </w:r>
      <w:r w:rsidR="007F117F">
        <w:rPr>
          <w:rFonts w:ascii="Arial" w:hAnsi="Arial" w:cs="Arial"/>
        </w:rPr>
        <w:t xml:space="preserve">, </w:t>
      </w:r>
      <w:r w:rsidR="0015462B">
        <w:rPr>
          <w:rFonts w:ascii="Arial" w:hAnsi="Arial" w:cs="Arial"/>
        </w:rPr>
        <w:t>which</w:t>
      </w:r>
      <w:r w:rsidR="007F117F">
        <w:rPr>
          <w:rFonts w:ascii="Arial" w:hAnsi="Arial" w:cs="Arial"/>
        </w:rPr>
        <w:t xml:space="preserve"> reflects the vast scope and potential of the wider public health workforce.</w:t>
      </w:r>
      <w:r w:rsidR="002C63BC">
        <w:rPr>
          <w:rFonts w:ascii="Arial" w:hAnsi="Arial" w:cs="Arial"/>
        </w:rPr>
        <w:t xml:space="preserve"> </w:t>
      </w:r>
      <w:r w:rsidR="0046091A">
        <w:rPr>
          <w:rFonts w:ascii="Arial" w:hAnsi="Arial" w:cs="Arial"/>
        </w:rPr>
        <w:t xml:space="preserve">Bringing these often disparate groups together, through joint events such as workshops and conferences, facilitates knowledge sharing in a way that otherwise would not be possible. </w:t>
      </w:r>
      <w:r w:rsidR="00E932AD">
        <w:rPr>
          <w:rFonts w:ascii="Arial" w:hAnsi="Arial" w:cs="Arial"/>
        </w:rPr>
        <w:t>For example, o</w:t>
      </w:r>
      <w:r w:rsidR="00402114">
        <w:rPr>
          <w:rFonts w:ascii="Arial" w:hAnsi="Arial" w:cs="Arial"/>
        </w:rPr>
        <w:t>ne TPHN has undertaken considerable work with the voluntary sector identifying public health training needs of their workers.</w:t>
      </w:r>
    </w:p>
    <w:p w:rsidR="00D35657" w:rsidRDefault="00D35657" w:rsidP="00F20A5A">
      <w:pPr>
        <w:spacing w:line="360" w:lineRule="auto"/>
        <w:jc w:val="both"/>
        <w:rPr>
          <w:rFonts w:ascii="Arial" w:hAnsi="Arial" w:cs="Arial"/>
        </w:rPr>
      </w:pPr>
    </w:p>
    <w:p w:rsidR="00AE24E4" w:rsidRDefault="00D35657" w:rsidP="00F20A5A">
      <w:pPr>
        <w:spacing w:line="360" w:lineRule="auto"/>
        <w:jc w:val="both"/>
        <w:rPr>
          <w:rFonts w:ascii="Arial" w:hAnsi="Arial" w:cs="Arial"/>
        </w:rPr>
      </w:pPr>
      <w:r>
        <w:rPr>
          <w:rFonts w:ascii="Arial" w:hAnsi="Arial" w:cs="Arial"/>
        </w:rPr>
        <w:t xml:space="preserve">Although funded centrally, Teaching Networks have been successful in obtaining additional investment for a range of activities, including developing </w:t>
      </w:r>
      <w:r w:rsidR="00DC7B24">
        <w:rPr>
          <w:rFonts w:ascii="Arial" w:hAnsi="Arial" w:cs="Arial"/>
        </w:rPr>
        <w:t>C</w:t>
      </w:r>
      <w:r w:rsidR="00E932AD">
        <w:rPr>
          <w:rFonts w:ascii="Arial" w:hAnsi="Arial" w:cs="Arial"/>
        </w:rPr>
        <w:t xml:space="preserve">ontinuing </w:t>
      </w:r>
      <w:r w:rsidR="00DC7B24">
        <w:rPr>
          <w:rFonts w:ascii="Arial" w:hAnsi="Arial" w:cs="Arial"/>
        </w:rPr>
        <w:lastRenderedPageBreak/>
        <w:t>P</w:t>
      </w:r>
      <w:r w:rsidR="00E932AD">
        <w:rPr>
          <w:rFonts w:ascii="Arial" w:hAnsi="Arial" w:cs="Arial"/>
        </w:rPr>
        <w:t xml:space="preserve">rofessional </w:t>
      </w:r>
      <w:r w:rsidR="00DC7B24">
        <w:rPr>
          <w:rFonts w:ascii="Arial" w:hAnsi="Arial" w:cs="Arial"/>
        </w:rPr>
        <w:t>D</w:t>
      </w:r>
      <w:r w:rsidR="00E932AD">
        <w:rPr>
          <w:rFonts w:ascii="Arial" w:hAnsi="Arial" w:cs="Arial"/>
        </w:rPr>
        <w:t>evelopment (CPD)</w:t>
      </w:r>
      <w:r w:rsidR="00DC7B24">
        <w:rPr>
          <w:rFonts w:ascii="Arial" w:hAnsi="Arial" w:cs="Arial"/>
        </w:rPr>
        <w:t xml:space="preserve"> programmes, </w:t>
      </w:r>
      <w:r>
        <w:rPr>
          <w:rFonts w:ascii="Arial" w:hAnsi="Arial" w:cs="Arial"/>
        </w:rPr>
        <w:t xml:space="preserve">e-learning resources such as </w:t>
      </w:r>
      <w:r w:rsidR="003B1C23">
        <w:rPr>
          <w:rFonts w:ascii="Arial" w:hAnsi="Arial" w:cs="Arial"/>
        </w:rPr>
        <w:t xml:space="preserve">webcasting </w:t>
      </w:r>
      <w:r w:rsidR="001A7BEB">
        <w:rPr>
          <w:rFonts w:ascii="Arial" w:hAnsi="Arial" w:cs="Arial"/>
        </w:rPr>
        <w:t>and</w:t>
      </w:r>
      <w:r>
        <w:rPr>
          <w:rFonts w:ascii="Arial" w:hAnsi="Arial" w:cs="Arial"/>
        </w:rPr>
        <w:t xml:space="preserve"> skills assessment tools</w:t>
      </w:r>
      <w:r w:rsidR="006D7850">
        <w:rPr>
          <w:rFonts w:ascii="Arial" w:hAnsi="Arial" w:cs="Arial"/>
        </w:rPr>
        <w:t xml:space="preserve">, undertaking mapping exercises to </w:t>
      </w:r>
      <w:r w:rsidR="00076DA8">
        <w:rPr>
          <w:rFonts w:ascii="Arial" w:hAnsi="Arial" w:cs="Arial"/>
        </w:rPr>
        <w:t>identify existing public health education and training provision</w:t>
      </w:r>
      <w:r w:rsidR="00DC7B24">
        <w:rPr>
          <w:rFonts w:ascii="Arial" w:hAnsi="Arial" w:cs="Arial"/>
        </w:rPr>
        <w:t>, and conducting research</w:t>
      </w:r>
      <w:r w:rsidR="00D30AF7">
        <w:rPr>
          <w:rFonts w:ascii="Arial" w:hAnsi="Arial" w:cs="Arial"/>
        </w:rPr>
        <w:t xml:space="preserve">. Investments range from several thousand pounds to </w:t>
      </w:r>
      <w:r w:rsidR="00402114">
        <w:rPr>
          <w:rFonts w:ascii="Arial" w:hAnsi="Arial" w:cs="Arial"/>
        </w:rPr>
        <w:t>several hundred thousand pounds</w:t>
      </w:r>
      <w:r w:rsidR="00D30AF7">
        <w:rPr>
          <w:rFonts w:ascii="Arial" w:hAnsi="Arial" w:cs="Arial"/>
        </w:rPr>
        <w:t>.</w:t>
      </w:r>
    </w:p>
    <w:p w:rsidR="00AE24E4" w:rsidRDefault="00AE24E4" w:rsidP="00F20A5A">
      <w:pPr>
        <w:spacing w:line="360" w:lineRule="auto"/>
        <w:jc w:val="both"/>
        <w:rPr>
          <w:rFonts w:ascii="Arial" w:hAnsi="Arial" w:cs="Arial"/>
        </w:rPr>
      </w:pPr>
    </w:p>
    <w:p w:rsidR="00EE6F0D" w:rsidRDefault="00AE24E4" w:rsidP="00F20A5A">
      <w:pPr>
        <w:spacing w:line="360" w:lineRule="auto"/>
        <w:jc w:val="both"/>
        <w:rPr>
          <w:rFonts w:ascii="Arial" w:hAnsi="Arial" w:cs="Arial"/>
        </w:rPr>
      </w:pPr>
      <w:r>
        <w:rPr>
          <w:rFonts w:ascii="Arial" w:hAnsi="Arial" w:cs="Arial"/>
        </w:rPr>
        <w:t xml:space="preserve">Outcomes from TPHN activity are shared both within and between regions. Resources such as self-assessment tools, survey instruments, and mapping tools have been made available to a range of stakeholders for their own use. </w:t>
      </w:r>
      <w:r w:rsidR="00DC7B24">
        <w:rPr>
          <w:rFonts w:ascii="Arial" w:hAnsi="Arial" w:cs="Arial"/>
        </w:rPr>
        <w:t xml:space="preserve">  </w:t>
      </w:r>
      <w:r w:rsidR="00076DA8">
        <w:rPr>
          <w:rFonts w:ascii="Arial" w:hAnsi="Arial" w:cs="Arial"/>
        </w:rPr>
        <w:t xml:space="preserve"> </w:t>
      </w:r>
      <w:r w:rsidR="00D35657">
        <w:rPr>
          <w:rFonts w:ascii="Arial" w:hAnsi="Arial" w:cs="Arial"/>
        </w:rPr>
        <w:t xml:space="preserve"> </w:t>
      </w:r>
      <w:r w:rsidR="0015462B">
        <w:rPr>
          <w:rFonts w:ascii="Arial" w:hAnsi="Arial" w:cs="Arial"/>
        </w:rPr>
        <w:t xml:space="preserve"> </w:t>
      </w:r>
      <w:r w:rsidR="007F117F">
        <w:rPr>
          <w:rFonts w:ascii="Arial" w:hAnsi="Arial" w:cs="Arial"/>
        </w:rPr>
        <w:t xml:space="preserve"> </w:t>
      </w:r>
      <w:r w:rsidR="00BE6F29">
        <w:rPr>
          <w:rFonts w:ascii="Arial" w:hAnsi="Arial" w:cs="Arial"/>
        </w:rPr>
        <w:t xml:space="preserve"> </w:t>
      </w:r>
      <w:r w:rsidR="007A2DB2">
        <w:rPr>
          <w:rFonts w:ascii="Arial" w:hAnsi="Arial" w:cs="Arial"/>
        </w:rPr>
        <w:t xml:space="preserve"> </w:t>
      </w:r>
    </w:p>
    <w:p w:rsidR="00EE6F0D" w:rsidRDefault="00EE6F0D" w:rsidP="00F20A5A">
      <w:pPr>
        <w:spacing w:line="360" w:lineRule="auto"/>
        <w:jc w:val="both"/>
        <w:rPr>
          <w:rFonts w:ascii="Arial" w:hAnsi="Arial" w:cs="Arial"/>
        </w:rPr>
      </w:pPr>
    </w:p>
    <w:p w:rsidR="009D0C69" w:rsidRDefault="009D0C69" w:rsidP="009D0C69">
      <w:pPr>
        <w:rPr>
          <w:rFonts w:ascii="Arial" w:hAnsi="Arial" w:cs="Arial"/>
        </w:rPr>
      </w:pPr>
    </w:p>
    <w:p w:rsidR="009D0C69" w:rsidRDefault="009D0C69" w:rsidP="009D0C69">
      <w:pPr>
        <w:numPr>
          <w:ilvl w:val="0"/>
          <w:numId w:val="3"/>
          <w:numberingChange w:id="6" w:author="Judy Orme" w:date="2009-04-24T13:10:00Z" w:original="%1:2:2:)"/>
        </w:numPr>
        <w:rPr>
          <w:rFonts w:ascii="Arial" w:hAnsi="Arial" w:cs="Arial"/>
        </w:rPr>
      </w:pPr>
      <w:r>
        <w:rPr>
          <w:rFonts w:ascii="Arial" w:hAnsi="Arial" w:cs="Arial"/>
        </w:rPr>
        <w:t>Building capacity through training  and infrastructure development</w:t>
      </w:r>
    </w:p>
    <w:p w:rsidR="009D0C69" w:rsidRDefault="009D0C69" w:rsidP="009D0C69">
      <w:pPr>
        <w:rPr>
          <w:rFonts w:ascii="Arial" w:hAnsi="Arial" w:cs="Arial"/>
        </w:rPr>
      </w:pPr>
    </w:p>
    <w:p w:rsidR="00F70EE4" w:rsidRDefault="00A9760A" w:rsidP="00D57EE5">
      <w:pPr>
        <w:spacing w:line="360" w:lineRule="auto"/>
        <w:rPr>
          <w:rFonts w:ascii="Arial" w:hAnsi="Arial" w:cs="Arial"/>
        </w:rPr>
      </w:pPr>
      <w:r>
        <w:rPr>
          <w:rFonts w:ascii="Arial" w:hAnsi="Arial" w:cs="Arial"/>
        </w:rPr>
        <w:t>T</w:t>
      </w:r>
      <w:r w:rsidR="00E932AD">
        <w:rPr>
          <w:rFonts w:ascii="Arial" w:hAnsi="Arial" w:cs="Arial"/>
        </w:rPr>
        <w:t>PHNs</w:t>
      </w:r>
      <w:r>
        <w:rPr>
          <w:rFonts w:ascii="Arial" w:hAnsi="Arial" w:cs="Arial"/>
        </w:rPr>
        <w:t xml:space="preserve"> have sought to build capacity in both the specialist and wider public health workforce through a number of means, including training and infrastructure development. </w:t>
      </w:r>
      <w:r w:rsidR="008E0CF6">
        <w:rPr>
          <w:rFonts w:ascii="Arial" w:hAnsi="Arial" w:cs="Arial"/>
        </w:rPr>
        <w:t xml:space="preserve">This has included workshops and conferences focused on training needs of specific workforce groupings (such as health service, local authority, or voluntary sector staff), </w:t>
      </w:r>
      <w:r w:rsidR="00C60FE2">
        <w:rPr>
          <w:rFonts w:ascii="Arial" w:hAnsi="Arial" w:cs="Arial"/>
        </w:rPr>
        <w:t xml:space="preserve">CPD events for professionals on specific public health topics (such as obesity) and also events designed to bring together different groups of professionals such as </w:t>
      </w:r>
      <w:r w:rsidR="00E932AD">
        <w:rPr>
          <w:rFonts w:ascii="Arial" w:hAnsi="Arial" w:cs="Arial"/>
        </w:rPr>
        <w:t xml:space="preserve">the </w:t>
      </w:r>
      <w:r w:rsidR="00C60FE2">
        <w:rPr>
          <w:rFonts w:ascii="Arial" w:hAnsi="Arial" w:cs="Arial"/>
        </w:rPr>
        <w:t>public health</w:t>
      </w:r>
      <w:r w:rsidR="00E932AD">
        <w:rPr>
          <w:rFonts w:ascii="Arial" w:hAnsi="Arial" w:cs="Arial"/>
        </w:rPr>
        <w:t xml:space="preserve"> workforce</w:t>
      </w:r>
      <w:r w:rsidR="00C60FE2">
        <w:rPr>
          <w:rFonts w:ascii="Arial" w:hAnsi="Arial" w:cs="Arial"/>
        </w:rPr>
        <w:t xml:space="preserve"> and built environment professionals.</w:t>
      </w:r>
      <w:r w:rsidR="008C7168">
        <w:rPr>
          <w:rFonts w:ascii="Arial" w:hAnsi="Arial" w:cs="Arial"/>
        </w:rPr>
        <w:t xml:space="preserve"> One network has funded the development of a short course on Healthy Urban Planning</w:t>
      </w:r>
      <w:r w:rsidR="005513CF">
        <w:rPr>
          <w:rFonts w:ascii="Arial" w:hAnsi="Arial" w:cs="Arial"/>
        </w:rPr>
        <w:t xml:space="preserve">, delivered in various locations nationwide, which </w:t>
      </w:r>
      <w:r w:rsidR="008522E3">
        <w:rPr>
          <w:rFonts w:ascii="Arial" w:hAnsi="Arial" w:cs="Arial"/>
        </w:rPr>
        <w:t>is aimed at both health and built environment professionals.</w:t>
      </w:r>
      <w:r w:rsidR="00216D14">
        <w:rPr>
          <w:rFonts w:ascii="Arial" w:hAnsi="Arial" w:cs="Arial"/>
        </w:rPr>
        <w:t xml:space="preserve"> Surveys </w:t>
      </w:r>
      <w:r w:rsidR="004933DA">
        <w:rPr>
          <w:rFonts w:ascii="Arial" w:hAnsi="Arial" w:cs="Arial"/>
        </w:rPr>
        <w:t xml:space="preserve">have </w:t>
      </w:r>
      <w:r w:rsidR="00F06CE9">
        <w:rPr>
          <w:rFonts w:ascii="Arial" w:hAnsi="Arial" w:cs="Arial"/>
        </w:rPr>
        <w:t>assessed</w:t>
      </w:r>
      <w:r w:rsidR="004933DA">
        <w:rPr>
          <w:rFonts w:ascii="Arial" w:hAnsi="Arial" w:cs="Arial"/>
        </w:rPr>
        <w:t xml:space="preserve"> training needs, including </w:t>
      </w:r>
      <w:r w:rsidR="0046275F">
        <w:rPr>
          <w:rFonts w:ascii="Arial" w:hAnsi="Arial" w:cs="Arial"/>
        </w:rPr>
        <w:t>one</w:t>
      </w:r>
      <w:r w:rsidR="009A04CE">
        <w:rPr>
          <w:rFonts w:ascii="Arial" w:hAnsi="Arial" w:cs="Arial"/>
        </w:rPr>
        <w:t xml:space="preserve"> identifying how service-based public health professionals</w:t>
      </w:r>
      <w:r w:rsidR="0046275F">
        <w:rPr>
          <w:rFonts w:ascii="Arial" w:hAnsi="Arial" w:cs="Arial"/>
        </w:rPr>
        <w:t xml:space="preserve"> can be supported to deliver public health training and education.</w:t>
      </w:r>
      <w:r w:rsidR="00F06CE9">
        <w:rPr>
          <w:rFonts w:ascii="Arial" w:hAnsi="Arial" w:cs="Arial"/>
        </w:rPr>
        <w:t xml:space="preserve"> This survey </w:t>
      </w:r>
      <w:r w:rsidR="004933DA">
        <w:rPr>
          <w:rFonts w:ascii="Arial" w:hAnsi="Arial" w:cs="Arial"/>
        </w:rPr>
        <w:t xml:space="preserve">identified a large number of public health professionals who </w:t>
      </w:r>
      <w:r w:rsidR="003B1C23">
        <w:rPr>
          <w:rFonts w:ascii="Arial" w:hAnsi="Arial" w:cs="Arial"/>
        </w:rPr>
        <w:t>wanted to</w:t>
      </w:r>
      <w:r w:rsidR="004933DA">
        <w:rPr>
          <w:rFonts w:ascii="Arial" w:hAnsi="Arial" w:cs="Arial"/>
        </w:rPr>
        <w:t xml:space="preserve"> engage with teaching and training</w:t>
      </w:r>
      <w:r w:rsidR="00F06CE9">
        <w:rPr>
          <w:rFonts w:ascii="Arial" w:hAnsi="Arial" w:cs="Arial"/>
        </w:rPr>
        <w:t>, and resulted in the commissioning of a teaching skills workshop at the annual regional Public Health Residential School</w:t>
      </w:r>
      <w:r w:rsidR="004933DA">
        <w:rPr>
          <w:rFonts w:ascii="Arial" w:hAnsi="Arial" w:cs="Arial"/>
        </w:rPr>
        <w:t xml:space="preserve">. Further surveys of the wider public health workforce are being </w:t>
      </w:r>
      <w:r w:rsidR="006D0813">
        <w:rPr>
          <w:rFonts w:ascii="Arial" w:hAnsi="Arial" w:cs="Arial"/>
        </w:rPr>
        <w:t>undertaken with a view to strengthening</w:t>
      </w:r>
      <w:r w:rsidR="004933DA">
        <w:rPr>
          <w:rFonts w:ascii="Arial" w:hAnsi="Arial" w:cs="Arial"/>
        </w:rPr>
        <w:t xml:space="preserve"> capacity and capability with targeted CPD </w:t>
      </w:r>
      <w:r w:rsidR="006D0813">
        <w:rPr>
          <w:rFonts w:ascii="Arial" w:hAnsi="Arial" w:cs="Arial"/>
        </w:rPr>
        <w:t xml:space="preserve">programmes </w:t>
      </w:r>
      <w:r w:rsidR="004933DA">
        <w:rPr>
          <w:rFonts w:ascii="Arial" w:hAnsi="Arial" w:cs="Arial"/>
        </w:rPr>
        <w:t xml:space="preserve">in the first instance. When one </w:t>
      </w:r>
      <w:r w:rsidR="004933DA">
        <w:rPr>
          <w:rFonts w:ascii="Arial" w:hAnsi="Arial" w:cs="Arial"/>
        </w:rPr>
        <w:lastRenderedPageBreak/>
        <w:t>considers the power of this scoping activity nationally, the benefits of a well-managed and co-ordinated TPHN structure are persuasive.</w:t>
      </w:r>
    </w:p>
    <w:p w:rsidR="00F70EE4" w:rsidRDefault="00F70EE4" w:rsidP="00D57EE5">
      <w:pPr>
        <w:spacing w:line="360" w:lineRule="auto"/>
        <w:rPr>
          <w:rFonts w:ascii="Arial" w:hAnsi="Arial" w:cs="Arial"/>
        </w:rPr>
      </w:pPr>
    </w:p>
    <w:p w:rsidR="00EC22FC" w:rsidRDefault="00F70EE4" w:rsidP="00D57EE5">
      <w:pPr>
        <w:spacing w:line="360" w:lineRule="auto"/>
        <w:rPr>
          <w:rFonts w:ascii="Arial" w:hAnsi="Arial" w:cs="Arial"/>
        </w:rPr>
      </w:pPr>
      <w:r>
        <w:rPr>
          <w:rFonts w:ascii="Arial" w:hAnsi="Arial" w:cs="Arial"/>
        </w:rPr>
        <w:t xml:space="preserve">The Networks </w:t>
      </w:r>
      <w:r w:rsidR="00A03B40">
        <w:rPr>
          <w:rFonts w:ascii="Arial" w:hAnsi="Arial" w:cs="Arial"/>
        </w:rPr>
        <w:t xml:space="preserve">have also sought to influence the training of </w:t>
      </w:r>
      <w:r w:rsidR="00B66B67">
        <w:rPr>
          <w:rFonts w:ascii="Arial" w:hAnsi="Arial" w:cs="Arial"/>
        </w:rPr>
        <w:t xml:space="preserve">a wide range of professionals, to </w:t>
      </w:r>
      <w:r w:rsidR="00DA1E48">
        <w:rPr>
          <w:rFonts w:ascii="Arial" w:hAnsi="Arial" w:cs="Arial"/>
        </w:rPr>
        <w:t>better</w:t>
      </w:r>
      <w:r w:rsidR="00B66B67">
        <w:rPr>
          <w:rFonts w:ascii="Arial" w:hAnsi="Arial" w:cs="Arial"/>
        </w:rPr>
        <w:t xml:space="preserve"> integrate public health skills and knowledge into the curricula</w:t>
      </w:r>
      <w:r w:rsidR="00DA1E48">
        <w:rPr>
          <w:rFonts w:ascii="Arial" w:hAnsi="Arial" w:cs="Arial"/>
        </w:rPr>
        <w:t xml:space="preserve"> of groups including medical students, built environment professionals, </w:t>
      </w:r>
      <w:r w:rsidR="006D0813">
        <w:rPr>
          <w:rFonts w:ascii="Arial" w:hAnsi="Arial" w:cs="Arial"/>
        </w:rPr>
        <w:t xml:space="preserve">school teachers </w:t>
      </w:r>
      <w:r w:rsidR="00DA1E48">
        <w:rPr>
          <w:rFonts w:ascii="Arial" w:hAnsi="Arial" w:cs="Arial"/>
        </w:rPr>
        <w:t xml:space="preserve">and those </w:t>
      </w:r>
      <w:r w:rsidR="006D0813">
        <w:rPr>
          <w:rFonts w:ascii="Arial" w:hAnsi="Arial" w:cs="Arial"/>
        </w:rPr>
        <w:t>undertaking</w:t>
      </w:r>
      <w:r w:rsidR="00DA1E48">
        <w:rPr>
          <w:rFonts w:ascii="Arial" w:hAnsi="Arial" w:cs="Arial"/>
        </w:rPr>
        <w:t xml:space="preserve"> a range of educational courses, including Sport, Exercise and Health,</w:t>
      </w:r>
      <w:r w:rsidR="00402114">
        <w:rPr>
          <w:rFonts w:ascii="Arial" w:hAnsi="Arial" w:cs="Arial"/>
        </w:rPr>
        <w:t xml:space="preserve"> pharmacy</w:t>
      </w:r>
      <w:r w:rsidR="00DA1E48">
        <w:rPr>
          <w:rFonts w:ascii="Arial" w:hAnsi="Arial" w:cs="Arial"/>
        </w:rPr>
        <w:t xml:space="preserve"> and </w:t>
      </w:r>
      <w:r w:rsidR="00402114">
        <w:rPr>
          <w:rFonts w:ascii="Arial" w:hAnsi="Arial" w:cs="Arial"/>
        </w:rPr>
        <w:t xml:space="preserve">the </w:t>
      </w:r>
      <w:r w:rsidR="00DA1E48">
        <w:rPr>
          <w:rFonts w:ascii="Arial" w:hAnsi="Arial" w:cs="Arial"/>
        </w:rPr>
        <w:t xml:space="preserve">prevention and management of long term </w:t>
      </w:r>
      <w:r w:rsidR="006D0813">
        <w:rPr>
          <w:rFonts w:ascii="Arial" w:hAnsi="Arial" w:cs="Arial"/>
        </w:rPr>
        <w:t xml:space="preserve">medical </w:t>
      </w:r>
      <w:r w:rsidR="00DA1E48">
        <w:rPr>
          <w:rFonts w:ascii="Arial" w:hAnsi="Arial" w:cs="Arial"/>
        </w:rPr>
        <w:t xml:space="preserve">conditions.  </w:t>
      </w:r>
      <w:r w:rsidR="00B66B67">
        <w:rPr>
          <w:rFonts w:ascii="Arial" w:hAnsi="Arial" w:cs="Arial"/>
        </w:rPr>
        <w:t xml:space="preserve"> </w:t>
      </w:r>
      <w:r w:rsidR="00EC22FC">
        <w:rPr>
          <w:rFonts w:ascii="Arial" w:hAnsi="Arial" w:cs="Arial"/>
        </w:rPr>
        <w:t xml:space="preserve"> </w:t>
      </w:r>
    </w:p>
    <w:p w:rsidR="00EC22FC" w:rsidRDefault="00EC22FC" w:rsidP="00D57EE5">
      <w:pPr>
        <w:spacing w:line="360" w:lineRule="auto"/>
        <w:rPr>
          <w:rFonts w:ascii="Arial" w:hAnsi="Arial" w:cs="Arial"/>
        </w:rPr>
      </w:pPr>
    </w:p>
    <w:p w:rsidR="0019318F" w:rsidRDefault="0075261C" w:rsidP="00D57EE5">
      <w:pPr>
        <w:spacing w:line="360" w:lineRule="auto"/>
        <w:rPr>
          <w:rFonts w:ascii="Arial" w:hAnsi="Arial" w:cs="Arial"/>
        </w:rPr>
      </w:pPr>
      <w:r>
        <w:rPr>
          <w:rFonts w:ascii="Arial" w:hAnsi="Arial" w:cs="Arial"/>
        </w:rPr>
        <w:t>An early exemplar has been the work of the South West TPHN in</w:t>
      </w:r>
      <w:r w:rsidR="00EC22FC">
        <w:rPr>
          <w:rFonts w:ascii="Arial" w:hAnsi="Arial" w:cs="Arial"/>
        </w:rPr>
        <w:t xml:space="preserve"> </w:t>
      </w:r>
      <w:r w:rsidR="00CB10E9">
        <w:rPr>
          <w:rFonts w:ascii="Arial" w:hAnsi="Arial" w:cs="Arial"/>
        </w:rPr>
        <w:t xml:space="preserve">bringing together </w:t>
      </w:r>
      <w:r w:rsidR="00EC22FC">
        <w:rPr>
          <w:rFonts w:ascii="Arial" w:hAnsi="Arial" w:cs="Arial"/>
        </w:rPr>
        <w:t xml:space="preserve">public health and built environment professionals (planners, architects and designers), </w:t>
      </w:r>
      <w:r>
        <w:rPr>
          <w:rFonts w:ascii="Arial" w:hAnsi="Arial" w:cs="Arial"/>
        </w:rPr>
        <w:t>building on</w:t>
      </w:r>
      <w:r w:rsidR="00EC22FC">
        <w:rPr>
          <w:rFonts w:ascii="Arial" w:hAnsi="Arial" w:cs="Arial"/>
        </w:rPr>
        <w:t xml:space="preserve"> the recent </w:t>
      </w:r>
      <w:r>
        <w:rPr>
          <w:rFonts w:ascii="Arial" w:hAnsi="Arial" w:cs="Arial"/>
        </w:rPr>
        <w:t>evidence on the impact of</w:t>
      </w:r>
      <w:r w:rsidR="00EC22FC">
        <w:rPr>
          <w:rFonts w:ascii="Arial" w:hAnsi="Arial" w:cs="Arial"/>
        </w:rPr>
        <w:t xml:space="preserve"> the built environment</w:t>
      </w:r>
      <w:r>
        <w:rPr>
          <w:rFonts w:ascii="Arial" w:hAnsi="Arial" w:cs="Arial"/>
        </w:rPr>
        <w:t xml:space="preserve"> </w:t>
      </w:r>
      <w:r w:rsidR="00EC22FC">
        <w:rPr>
          <w:rFonts w:ascii="Arial" w:hAnsi="Arial" w:cs="Arial"/>
        </w:rPr>
        <w:t>on public health and its role in promoting physical activity and tackling obesity</w:t>
      </w:r>
      <w:r w:rsidR="00CB10E9">
        <w:rPr>
          <w:rFonts w:ascii="Arial" w:hAnsi="Arial" w:cs="Arial"/>
        </w:rPr>
        <w:t xml:space="preserve"> (</w:t>
      </w:r>
      <w:r w:rsidR="00D61FBF">
        <w:rPr>
          <w:rFonts w:ascii="Arial" w:hAnsi="Arial" w:cs="Arial"/>
        </w:rPr>
        <w:t xml:space="preserve">Frank et al, 2003; </w:t>
      </w:r>
      <w:r w:rsidR="004E361A">
        <w:rPr>
          <w:rFonts w:ascii="Arial" w:hAnsi="Arial" w:cs="Arial"/>
        </w:rPr>
        <w:t>Barton, 2005;</w:t>
      </w:r>
      <w:r w:rsidR="00C010A7">
        <w:rPr>
          <w:rFonts w:ascii="Arial" w:hAnsi="Arial" w:cs="Arial"/>
        </w:rPr>
        <w:t xml:space="preserve"> Rao</w:t>
      </w:r>
      <w:r w:rsidR="00A87CD7">
        <w:rPr>
          <w:rFonts w:ascii="Arial" w:hAnsi="Arial" w:cs="Arial"/>
        </w:rPr>
        <w:t xml:space="preserve"> et al.</w:t>
      </w:r>
      <w:r w:rsidR="00C010A7">
        <w:rPr>
          <w:rFonts w:ascii="Arial" w:hAnsi="Arial" w:cs="Arial"/>
        </w:rPr>
        <w:t>, 2007;</w:t>
      </w:r>
      <w:r w:rsidR="004E361A">
        <w:rPr>
          <w:rFonts w:ascii="Arial" w:hAnsi="Arial" w:cs="Arial"/>
        </w:rPr>
        <w:t xml:space="preserve"> NICE, 2008</w:t>
      </w:r>
      <w:r w:rsidR="00CB10E9">
        <w:rPr>
          <w:rFonts w:ascii="Arial" w:hAnsi="Arial" w:cs="Arial"/>
        </w:rPr>
        <w:t>)</w:t>
      </w:r>
      <w:r w:rsidR="00EC22FC">
        <w:rPr>
          <w:rFonts w:ascii="Arial" w:hAnsi="Arial" w:cs="Arial"/>
        </w:rPr>
        <w:t>.</w:t>
      </w:r>
      <w:r w:rsidR="00CB10E9">
        <w:rPr>
          <w:rFonts w:ascii="Arial" w:hAnsi="Arial" w:cs="Arial"/>
        </w:rPr>
        <w:t xml:space="preserve"> </w:t>
      </w:r>
      <w:r w:rsidR="00486BF4">
        <w:rPr>
          <w:rFonts w:ascii="Arial" w:hAnsi="Arial" w:cs="Arial"/>
        </w:rPr>
        <w:t>The South West Teaching Public Health Ne</w:t>
      </w:r>
      <w:r w:rsidR="0052666D">
        <w:rPr>
          <w:rFonts w:ascii="Arial" w:hAnsi="Arial" w:cs="Arial"/>
        </w:rPr>
        <w:t xml:space="preserve">twork has taken a lead in this </w:t>
      </w:r>
      <w:r w:rsidR="00402114">
        <w:rPr>
          <w:rFonts w:ascii="Arial" w:hAnsi="Arial" w:cs="Arial"/>
        </w:rPr>
        <w:t>area</w:t>
      </w:r>
      <w:r>
        <w:rPr>
          <w:rFonts w:ascii="Arial" w:hAnsi="Arial" w:cs="Arial"/>
        </w:rPr>
        <w:t>of collaboration</w:t>
      </w:r>
      <w:r w:rsidR="003B1C23">
        <w:rPr>
          <w:rFonts w:ascii="Arial" w:hAnsi="Arial" w:cs="Arial"/>
        </w:rPr>
        <w:t xml:space="preserve"> (Pilkington et al, 200</w:t>
      </w:r>
      <w:r w:rsidR="009572CF">
        <w:rPr>
          <w:rFonts w:ascii="Arial" w:hAnsi="Arial" w:cs="Arial"/>
        </w:rPr>
        <w:t>8</w:t>
      </w:r>
      <w:r w:rsidR="003B1C23">
        <w:rPr>
          <w:rFonts w:ascii="Arial" w:hAnsi="Arial" w:cs="Arial"/>
        </w:rPr>
        <w:t>)</w:t>
      </w:r>
      <w:r w:rsidR="00402114">
        <w:rPr>
          <w:rFonts w:ascii="Arial" w:hAnsi="Arial" w:cs="Arial"/>
        </w:rPr>
        <w:t xml:space="preserve"> </w:t>
      </w:r>
      <w:r w:rsidR="0052666D">
        <w:rPr>
          <w:rFonts w:ascii="Arial" w:hAnsi="Arial" w:cs="Arial"/>
        </w:rPr>
        <w:t xml:space="preserve">(see </w:t>
      </w:r>
      <w:r w:rsidR="00523085">
        <w:rPr>
          <w:rFonts w:ascii="Arial" w:hAnsi="Arial" w:cs="Arial"/>
        </w:rPr>
        <w:t>C</w:t>
      </w:r>
      <w:r w:rsidR="0052666D">
        <w:rPr>
          <w:rFonts w:ascii="Arial" w:hAnsi="Arial" w:cs="Arial"/>
        </w:rPr>
        <w:t xml:space="preserve">ase </w:t>
      </w:r>
      <w:r w:rsidR="00523085">
        <w:rPr>
          <w:rFonts w:ascii="Arial" w:hAnsi="Arial" w:cs="Arial"/>
        </w:rPr>
        <w:t>S</w:t>
      </w:r>
      <w:r w:rsidR="0052666D">
        <w:rPr>
          <w:rFonts w:ascii="Arial" w:hAnsi="Arial" w:cs="Arial"/>
        </w:rPr>
        <w:t>tudy</w:t>
      </w:r>
      <w:r w:rsidR="00523085">
        <w:rPr>
          <w:rFonts w:ascii="Arial" w:hAnsi="Arial" w:cs="Arial"/>
        </w:rPr>
        <w:t xml:space="preserve"> 1</w:t>
      </w:r>
      <w:r w:rsidR="0052666D">
        <w:rPr>
          <w:rFonts w:ascii="Arial" w:hAnsi="Arial" w:cs="Arial"/>
        </w:rPr>
        <w:t>).</w:t>
      </w:r>
    </w:p>
    <w:p w:rsidR="0019318F" w:rsidRDefault="0019318F" w:rsidP="00D57EE5">
      <w:pPr>
        <w:spacing w:line="360" w:lineRule="auto"/>
        <w:rPr>
          <w:rFonts w:ascii="Arial" w:hAnsi="Arial" w:cs="Arial"/>
        </w:rPr>
      </w:pPr>
    </w:p>
    <w:p w:rsidR="006C7164" w:rsidRDefault="0019318F" w:rsidP="00D57EE5">
      <w:pPr>
        <w:spacing w:line="360" w:lineRule="auto"/>
        <w:rPr>
          <w:rFonts w:ascii="Arial" w:hAnsi="Arial" w:cs="Arial"/>
        </w:rPr>
      </w:pPr>
      <w:r>
        <w:rPr>
          <w:rFonts w:ascii="Arial" w:hAnsi="Arial" w:cs="Arial"/>
        </w:rPr>
        <w:t xml:space="preserve">A key aspect of the Networks has been the development of connections between different professional groups and organisations. </w:t>
      </w:r>
      <w:r w:rsidR="00AB2DEC">
        <w:rPr>
          <w:rFonts w:ascii="Arial" w:hAnsi="Arial" w:cs="Arial"/>
        </w:rPr>
        <w:t xml:space="preserve">In addition to the work with public health and built environment professionals, </w:t>
      </w:r>
      <w:r w:rsidR="00402114">
        <w:rPr>
          <w:rFonts w:ascii="Arial" w:hAnsi="Arial" w:cs="Arial"/>
        </w:rPr>
        <w:t>TPH</w:t>
      </w:r>
      <w:r w:rsidR="00D67A84">
        <w:rPr>
          <w:rFonts w:ascii="Arial" w:hAnsi="Arial" w:cs="Arial"/>
        </w:rPr>
        <w:t xml:space="preserve">Ns have </w:t>
      </w:r>
      <w:r w:rsidR="00AC3A3E">
        <w:rPr>
          <w:rFonts w:ascii="Arial" w:hAnsi="Arial" w:cs="Arial"/>
        </w:rPr>
        <w:t>encouraged closer working between academic institutions,</w:t>
      </w:r>
      <w:r w:rsidR="00514A99">
        <w:rPr>
          <w:rFonts w:ascii="Arial" w:hAnsi="Arial" w:cs="Arial"/>
        </w:rPr>
        <w:t xml:space="preserve"> and between academic institutions and service-based organisations. </w:t>
      </w:r>
      <w:r w:rsidR="002A2E8F">
        <w:rPr>
          <w:rFonts w:ascii="Arial" w:hAnsi="Arial" w:cs="Arial"/>
        </w:rPr>
        <w:t xml:space="preserve">Other connections include those between educational institutions and regional </w:t>
      </w:r>
      <w:r w:rsidR="00402114">
        <w:rPr>
          <w:rFonts w:ascii="Arial" w:hAnsi="Arial" w:cs="Arial"/>
        </w:rPr>
        <w:t xml:space="preserve">NHS </w:t>
      </w:r>
      <w:r w:rsidR="002A2E8F">
        <w:rPr>
          <w:rFonts w:ascii="Arial" w:hAnsi="Arial" w:cs="Arial"/>
        </w:rPr>
        <w:t xml:space="preserve">workforce development leads – </w:t>
      </w:r>
      <w:r w:rsidR="000118F2">
        <w:rPr>
          <w:rFonts w:ascii="Arial" w:hAnsi="Arial" w:cs="Arial"/>
        </w:rPr>
        <w:t>facilitating a shared</w:t>
      </w:r>
      <w:r w:rsidR="002A2E8F">
        <w:rPr>
          <w:rFonts w:ascii="Arial" w:hAnsi="Arial" w:cs="Arial"/>
        </w:rPr>
        <w:t xml:space="preserve"> understanding of training and education needs between </w:t>
      </w:r>
      <w:r w:rsidR="00402114">
        <w:rPr>
          <w:rFonts w:ascii="Arial" w:hAnsi="Arial" w:cs="Arial"/>
        </w:rPr>
        <w:t xml:space="preserve">NHS </w:t>
      </w:r>
      <w:r w:rsidR="002A2E8F">
        <w:rPr>
          <w:rFonts w:ascii="Arial" w:hAnsi="Arial" w:cs="Arial"/>
        </w:rPr>
        <w:t xml:space="preserve">commissioners and service providers. </w:t>
      </w:r>
    </w:p>
    <w:p w:rsidR="006C7164" w:rsidRDefault="006C7164" w:rsidP="00D57EE5">
      <w:pPr>
        <w:spacing w:line="360" w:lineRule="auto"/>
        <w:rPr>
          <w:rFonts w:ascii="Arial" w:hAnsi="Arial" w:cs="Arial"/>
        </w:rPr>
      </w:pPr>
    </w:p>
    <w:p w:rsidR="00A87CD7" w:rsidRDefault="006C7164" w:rsidP="00D57EE5">
      <w:pPr>
        <w:spacing w:line="360" w:lineRule="auto"/>
        <w:rPr>
          <w:rFonts w:ascii="Arial" w:hAnsi="Arial" w:cs="Arial"/>
        </w:rPr>
      </w:pPr>
      <w:r>
        <w:rPr>
          <w:rFonts w:ascii="Arial" w:hAnsi="Arial" w:cs="Arial"/>
        </w:rPr>
        <w:t xml:space="preserve">A key area for infrastructure development </w:t>
      </w:r>
      <w:r w:rsidR="00313AF0">
        <w:rPr>
          <w:rFonts w:ascii="Arial" w:hAnsi="Arial" w:cs="Arial"/>
        </w:rPr>
        <w:t>ha</w:t>
      </w:r>
      <w:r>
        <w:rPr>
          <w:rFonts w:ascii="Arial" w:hAnsi="Arial" w:cs="Arial"/>
        </w:rPr>
        <w:t>s</w:t>
      </w:r>
      <w:r w:rsidR="00313AF0">
        <w:rPr>
          <w:rFonts w:ascii="Arial" w:hAnsi="Arial" w:cs="Arial"/>
        </w:rPr>
        <w:t xml:space="preserve"> been</w:t>
      </w:r>
      <w:r w:rsidR="004278FF">
        <w:rPr>
          <w:rFonts w:ascii="Arial" w:hAnsi="Arial" w:cs="Arial"/>
        </w:rPr>
        <w:t xml:space="preserve"> that of Healthy Universities</w:t>
      </w:r>
      <w:r w:rsidR="00313AF0">
        <w:rPr>
          <w:rFonts w:ascii="Arial" w:hAnsi="Arial" w:cs="Arial"/>
        </w:rPr>
        <w:t xml:space="preserve"> based on the principle ‘practise what you preach’</w:t>
      </w:r>
      <w:r w:rsidR="004278FF">
        <w:rPr>
          <w:rFonts w:ascii="Arial" w:hAnsi="Arial" w:cs="Arial"/>
        </w:rPr>
        <w:t>, and this has</w:t>
      </w:r>
      <w:r w:rsidR="00313AF0">
        <w:rPr>
          <w:rFonts w:ascii="Arial" w:hAnsi="Arial" w:cs="Arial"/>
        </w:rPr>
        <w:t xml:space="preserve"> also</w:t>
      </w:r>
      <w:r w:rsidR="004278FF">
        <w:rPr>
          <w:rFonts w:ascii="Arial" w:hAnsi="Arial" w:cs="Arial"/>
        </w:rPr>
        <w:t xml:space="preserve"> been a strong focus for Teaching Network activity</w:t>
      </w:r>
      <w:r w:rsidR="00B14C70">
        <w:rPr>
          <w:rFonts w:ascii="Arial" w:hAnsi="Arial" w:cs="Arial"/>
        </w:rPr>
        <w:t xml:space="preserve"> (see </w:t>
      </w:r>
      <w:r w:rsidR="00523085">
        <w:rPr>
          <w:rFonts w:ascii="Arial" w:hAnsi="Arial" w:cs="Arial"/>
        </w:rPr>
        <w:t>C</w:t>
      </w:r>
      <w:r w:rsidR="00B14C70">
        <w:rPr>
          <w:rFonts w:ascii="Arial" w:hAnsi="Arial" w:cs="Arial"/>
        </w:rPr>
        <w:t xml:space="preserve">ase </w:t>
      </w:r>
      <w:r w:rsidR="00523085">
        <w:rPr>
          <w:rFonts w:ascii="Arial" w:hAnsi="Arial" w:cs="Arial"/>
        </w:rPr>
        <w:t>S</w:t>
      </w:r>
      <w:r w:rsidR="00B14C70">
        <w:rPr>
          <w:rFonts w:ascii="Arial" w:hAnsi="Arial" w:cs="Arial"/>
        </w:rPr>
        <w:t>tudy</w:t>
      </w:r>
      <w:r w:rsidR="00523085">
        <w:rPr>
          <w:rFonts w:ascii="Arial" w:hAnsi="Arial" w:cs="Arial"/>
        </w:rPr>
        <w:t xml:space="preserve"> 2</w:t>
      </w:r>
      <w:r w:rsidR="00B14C70">
        <w:rPr>
          <w:rFonts w:ascii="Arial" w:hAnsi="Arial" w:cs="Arial"/>
        </w:rPr>
        <w:t>)</w:t>
      </w:r>
      <w:r w:rsidR="004278FF">
        <w:rPr>
          <w:rFonts w:ascii="Arial" w:hAnsi="Arial" w:cs="Arial"/>
        </w:rPr>
        <w:t>.</w:t>
      </w:r>
      <w:r w:rsidR="00B14C70">
        <w:rPr>
          <w:rFonts w:ascii="Arial" w:hAnsi="Arial" w:cs="Arial"/>
        </w:rPr>
        <w:t xml:space="preserve"> </w:t>
      </w:r>
      <w:r w:rsidR="002635AF">
        <w:rPr>
          <w:rFonts w:ascii="Arial" w:hAnsi="Arial" w:cs="Arial"/>
        </w:rPr>
        <w:t xml:space="preserve">Work has including a national survey to map current activity in this </w:t>
      </w:r>
      <w:r w:rsidR="00313AF0">
        <w:rPr>
          <w:rFonts w:ascii="Arial" w:hAnsi="Arial" w:cs="Arial"/>
        </w:rPr>
        <w:t>sphere</w:t>
      </w:r>
      <w:r w:rsidR="002635AF">
        <w:rPr>
          <w:rFonts w:ascii="Arial" w:hAnsi="Arial" w:cs="Arial"/>
        </w:rPr>
        <w:t xml:space="preserve">, and regional </w:t>
      </w:r>
      <w:r w:rsidR="002635AF">
        <w:rPr>
          <w:rFonts w:ascii="Arial" w:hAnsi="Arial" w:cs="Arial"/>
        </w:rPr>
        <w:lastRenderedPageBreak/>
        <w:t xml:space="preserve">meetings </w:t>
      </w:r>
      <w:r w:rsidR="00402114">
        <w:rPr>
          <w:rFonts w:ascii="Arial" w:hAnsi="Arial" w:cs="Arial"/>
        </w:rPr>
        <w:t xml:space="preserve">with </w:t>
      </w:r>
      <w:r w:rsidR="002635AF">
        <w:rPr>
          <w:rFonts w:ascii="Arial" w:hAnsi="Arial" w:cs="Arial"/>
        </w:rPr>
        <w:t>Vice Chancellors that ha</w:t>
      </w:r>
      <w:r w:rsidR="00313AF0">
        <w:rPr>
          <w:rFonts w:ascii="Arial" w:hAnsi="Arial" w:cs="Arial"/>
        </w:rPr>
        <w:t>ve</w:t>
      </w:r>
      <w:r w:rsidR="002635AF">
        <w:rPr>
          <w:rFonts w:ascii="Arial" w:hAnsi="Arial" w:cs="Arial"/>
        </w:rPr>
        <w:t xml:space="preserve"> resulted in a commitment to further develop </w:t>
      </w:r>
      <w:r w:rsidR="00FE5DDE">
        <w:rPr>
          <w:rFonts w:ascii="Arial" w:hAnsi="Arial" w:cs="Arial"/>
        </w:rPr>
        <w:t xml:space="preserve">the </w:t>
      </w:r>
      <w:smartTag w:uri="urn:schemas-microsoft-com:office:smarttags" w:element="place">
        <w:smartTag w:uri="urn:schemas-microsoft-com:office:smarttags" w:element="PlaceName">
          <w:r w:rsidR="00FE5DDE">
            <w:rPr>
              <w:rFonts w:ascii="Arial" w:hAnsi="Arial" w:cs="Arial"/>
            </w:rPr>
            <w:t>Healthy</w:t>
          </w:r>
        </w:smartTag>
        <w:r w:rsidR="00FE5DDE">
          <w:rPr>
            <w:rFonts w:ascii="Arial" w:hAnsi="Arial" w:cs="Arial"/>
          </w:rPr>
          <w:t xml:space="preserve"> </w:t>
        </w:r>
        <w:smartTag w:uri="urn:schemas-microsoft-com:office:smarttags" w:element="PlaceType">
          <w:r w:rsidR="00FE5DDE">
            <w:rPr>
              <w:rFonts w:ascii="Arial" w:hAnsi="Arial" w:cs="Arial"/>
            </w:rPr>
            <w:t>University</w:t>
          </w:r>
        </w:smartTag>
      </w:smartTag>
      <w:r w:rsidR="00FE5DDE">
        <w:rPr>
          <w:rFonts w:ascii="Arial" w:hAnsi="Arial" w:cs="Arial"/>
        </w:rPr>
        <w:t xml:space="preserve"> concept across the Higher Education sector. </w:t>
      </w:r>
      <w:r w:rsidR="004278FF">
        <w:rPr>
          <w:rFonts w:ascii="Arial" w:hAnsi="Arial" w:cs="Arial"/>
        </w:rPr>
        <w:t xml:space="preserve"> </w:t>
      </w:r>
    </w:p>
    <w:p w:rsidR="00DA3751" w:rsidRDefault="006C7164" w:rsidP="00D57EE5">
      <w:pPr>
        <w:spacing w:line="360" w:lineRule="auto"/>
        <w:rPr>
          <w:rFonts w:ascii="Arial" w:hAnsi="Arial" w:cs="Arial"/>
        </w:rPr>
      </w:pPr>
      <w:r>
        <w:rPr>
          <w:rFonts w:ascii="Arial" w:hAnsi="Arial" w:cs="Arial"/>
        </w:rPr>
        <w:t xml:space="preserve"> </w:t>
      </w:r>
      <w:r w:rsidR="00AC3A3E">
        <w:rPr>
          <w:rFonts w:ascii="Arial" w:hAnsi="Arial" w:cs="Arial"/>
        </w:rPr>
        <w:t xml:space="preserve"> </w:t>
      </w:r>
      <w:r w:rsidR="00AB2DEC">
        <w:rPr>
          <w:rFonts w:ascii="Arial" w:hAnsi="Arial" w:cs="Arial"/>
        </w:rPr>
        <w:t xml:space="preserve">  </w:t>
      </w:r>
      <w:r w:rsidR="0019318F">
        <w:rPr>
          <w:rFonts w:ascii="Arial" w:hAnsi="Arial" w:cs="Arial"/>
        </w:rPr>
        <w:t xml:space="preserve"> </w:t>
      </w:r>
      <w:r w:rsidR="00486BF4">
        <w:rPr>
          <w:rFonts w:ascii="Arial" w:hAnsi="Arial" w:cs="Arial"/>
        </w:rPr>
        <w:t xml:space="preserve">  </w:t>
      </w:r>
      <w:r w:rsidR="00C60FE2">
        <w:rPr>
          <w:rFonts w:ascii="Arial" w:hAnsi="Arial" w:cs="Arial"/>
        </w:rPr>
        <w:t xml:space="preserve"> </w:t>
      </w:r>
    </w:p>
    <w:p w:rsidR="00EC22FC" w:rsidRDefault="00523085" w:rsidP="00D57EE5">
      <w:pPr>
        <w:spacing w:line="360" w:lineRule="auto"/>
        <w:rPr>
          <w:rFonts w:ascii="Arial" w:hAnsi="Arial" w:cs="Arial"/>
        </w:rPr>
      </w:pPr>
      <w:r>
        <w:rPr>
          <w:rFonts w:ascii="Arial" w:hAnsi="Arial" w:cs="Arial"/>
          <w:noProof/>
          <w:lang w:eastAsia="en-GB"/>
        </w:rPr>
      </w:r>
      <w:r w:rsidR="00CE71DC" w:rsidRPr="00523085">
        <w:rPr>
          <w:rFonts w:ascii="Arial" w:hAnsi="Arial" w:cs="Arial"/>
        </w:rPr>
        <w:pict>
          <v:group id="_x0000_s1027" editas="canvas" style="width:6in;height:354.25pt;mso-position-horizontal-relative:char;mso-position-vertical-relative:line" coordorigin="2520,592" coordsize="7500,63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0;top:592;width:7500;height:632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670;top:592;width:7050;height:6326">
              <v:textbox>
                <w:txbxContent>
                  <w:p w:rsidR="00EC274A" w:rsidRPr="00523085" w:rsidRDefault="00EC274A" w:rsidP="00523085">
                    <w:pPr>
                      <w:rPr>
                        <w:rFonts w:ascii="Arial" w:hAnsi="Arial" w:cs="Arial"/>
                        <w:b/>
                        <w:i/>
                        <w:u w:val="single"/>
                      </w:rPr>
                    </w:pPr>
                    <w:r w:rsidRPr="00523085">
                      <w:rPr>
                        <w:rFonts w:ascii="Arial" w:hAnsi="Arial" w:cs="Arial"/>
                        <w:b/>
                        <w:i/>
                        <w:u w:val="single"/>
                      </w:rPr>
                      <w:t>Case study</w:t>
                    </w:r>
                    <w:r>
                      <w:rPr>
                        <w:rFonts w:ascii="Arial" w:hAnsi="Arial" w:cs="Arial"/>
                        <w:b/>
                        <w:i/>
                        <w:u w:val="single"/>
                      </w:rPr>
                      <w:t xml:space="preserve"> 1</w:t>
                    </w:r>
                    <w:r w:rsidRPr="00523085">
                      <w:rPr>
                        <w:rFonts w:ascii="Arial" w:hAnsi="Arial" w:cs="Arial"/>
                        <w:b/>
                        <w:i/>
                        <w:u w:val="single"/>
                      </w:rPr>
                      <w:t>: Integrating built environment and public health professionals</w:t>
                    </w:r>
                  </w:p>
                  <w:p w:rsidR="00EC274A" w:rsidRPr="00523085" w:rsidRDefault="00EC274A" w:rsidP="00523085">
                    <w:pPr>
                      <w:rPr>
                        <w:rFonts w:ascii="Arial" w:hAnsi="Arial" w:cs="Arial"/>
                        <w:b/>
                        <w:i/>
                        <w:u w:val="single"/>
                      </w:rPr>
                    </w:pPr>
                  </w:p>
                  <w:p w:rsidR="00EC274A" w:rsidRPr="00CE71DC" w:rsidRDefault="00EC274A" w:rsidP="00523085">
                    <w:pPr>
                      <w:spacing w:line="360" w:lineRule="auto"/>
                      <w:rPr>
                        <w:sz w:val="20"/>
                        <w:szCs w:val="20"/>
                      </w:rPr>
                    </w:pPr>
                    <w:r w:rsidRPr="00CE71DC">
                      <w:rPr>
                        <w:rFonts w:ascii="Arial" w:hAnsi="Arial" w:cs="Arial"/>
                        <w:iCs/>
                        <w:sz w:val="20"/>
                        <w:szCs w:val="20"/>
                        <w:lang w:val="en-US"/>
                      </w:rPr>
                      <w:t>T</w:t>
                    </w:r>
                    <w:r w:rsidRPr="00CE71DC">
                      <w:rPr>
                        <w:rFonts w:ascii="Arial" w:hAnsi="Arial" w:cs="Arial"/>
                        <w:sz w:val="20"/>
                        <w:szCs w:val="20"/>
                      </w:rPr>
                      <w:t>he Bristol Planning Law and Policy Conference is an annual event for planning and legal professionals across the South West of England.  It is attended by key figures in the planning and law profession, from both the private and public sector.  In November 2007, assisted by funding from the SWTPHN, the conference focused for the first time on the links between health and planning, with several keynote speeches to delegates on this issue.  Following this, a workshop asked delegates to consider the links between planning and a wide variety of health issues.  As a stimulus to discussion, the workshop used the “Health Map”, a new model of health determinants applied to the planning of human settlements (Barton and Grant, 2006; www.uwe.ac.uk/ishe).  The Health Map had been designed to be a dynamic tool to provide a basis for dialogue and to provoke enquiry.  The group of planners were surprised and enthused by the extent of the relationship between health and planning.  However, there was a general feeling that as planners they did not have the requisite knowledge of health issues to be able to engage fully with the health implications of their work. A portfolio of short courses focused on planning, the built environment and public health ha</w:t>
                    </w:r>
                    <w:r>
                      <w:rPr>
                        <w:rFonts w:ascii="Arial" w:hAnsi="Arial" w:cs="Arial"/>
                        <w:sz w:val="20"/>
                        <w:szCs w:val="20"/>
                      </w:rPr>
                      <w:t>s</w:t>
                    </w:r>
                    <w:r w:rsidRPr="00CE71DC">
                      <w:rPr>
                        <w:rFonts w:ascii="Arial" w:hAnsi="Arial" w:cs="Arial"/>
                        <w:sz w:val="20"/>
                        <w:szCs w:val="20"/>
                      </w:rPr>
                      <w:t xml:space="preserve"> been validated to support the development of capacity and capability in this broad area of public health innovation (</w:t>
                    </w:r>
                    <w:hyperlink r:id="rId8" w:history="1">
                      <w:r w:rsidR="00C758ED" w:rsidRPr="001F4A30">
                        <w:rPr>
                          <w:rStyle w:val="Hyperlink"/>
                          <w:rFonts w:ascii="Arial" w:hAnsi="Arial" w:cs="Arial"/>
                          <w:sz w:val="20"/>
                          <w:szCs w:val="20"/>
                        </w:rPr>
                        <w:t>www.uwe.ac.uk/spatialplanning</w:t>
                      </w:r>
                    </w:hyperlink>
                    <w:r w:rsidRPr="00CE71DC">
                      <w:rPr>
                        <w:rFonts w:ascii="Arial" w:hAnsi="Arial" w:cs="Arial"/>
                        <w:sz w:val="20"/>
                        <w:szCs w:val="20"/>
                      </w:rPr>
                      <w:t>).</w:t>
                    </w:r>
                    <w:r w:rsidR="00C758ED">
                      <w:rPr>
                        <w:rFonts w:ascii="Arial" w:hAnsi="Arial" w:cs="Arial"/>
                        <w:sz w:val="20"/>
                        <w:szCs w:val="20"/>
                      </w:rPr>
                      <w:t xml:space="preserve"> In addition, a series of learning sets between planning and public health professionals sought to promote sharing learning and understanding.</w:t>
                    </w:r>
                  </w:p>
                  <w:p w:rsidR="00EC274A" w:rsidRDefault="00EC274A"/>
                </w:txbxContent>
              </v:textbox>
            </v:shape>
            <w10:anchorlock/>
          </v:group>
        </w:pict>
      </w:r>
    </w:p>
    <w:p w:rsidR="009D0C69" w:rsidRDefault="00523085" w:rsidP="0030551D">
      <w:pPr>
        <w:rPr>
          <w:rFonts w:ascii="Arial" w:hAnsi="Arial" w:cs="Arial"/>
        </w:rPr>
      </w:pPr>
      <w:r>
        <w:rPr>
          <w:rFonts w:ascii="Arial" w:hAnsi="Arial" w:cs="Arial"/>
          <w:noProof/>
          <w:u w:val="single"/>
          <w:lang w:eastAsia="en-GB"/>
        </w:rPr>
      </w:r>
      <w:r w:rsidR="00CE71DC" w:rsidRPr="00523085">
        <w:rPr>
          <w:rFonts w:ascii="Arial" w:hAnsi="Arial" w:cs="Arial"/>
          <w:u w:val="single"/>
        </w:rPr>
        <w:pict>
          <v:group id="_x0000_s1033" editas="canvas" style="width:389.15pt;height:538.2pt;mso-position-horizontal-relative:char;mso-position-vertical-relative:line" coordorigin="2670,7410" coordsize="7050,10027">
            <o:lock v:ext="edit" aspectratio="t"/>
            <v:shape id="_x0000_s1032" type="#_x0000_t75" style="position:absolute;left:2670;top:7410;width:7050;height:10027" o:preferrelative="f">
              <v:fill o:detectmouseclick="t"/>
              <v:path o:extrusionok="t" o:connecttype="none"/>
              <o:lock v:ext="edit" text="t"/>
            </v:shape>
            <v:rect id="_x0000_s1034" style="position:absolute;left:2820;top:7410;width:6900;height:10027">
              <v:textbox style="mso-next-textbox:#_x0000_s1034">
                <w:txbxContent>
                  <w:p w:rsidR="00EC274A" w:rsidRPr="0030551D" w:rsidRDefault="00EC274A" w:rsidP="0030551D">
                    <w:pPr>
                      <w:rPr>
                        <w:rFonts w:ascii="Arial" w:hAnsi="Arial" w:cs="Arial"/>
                        <w:b/>
                        <w:u w:val="single"/>
                      </w:rPr>
                    </w:pPr>
                    <w:r w:rsidRPr="0030551D">
                      <w:rPr>
                        <w:rFonts w:ascii="Arial" w:hAnsi="Arial" w:cs="Arial"/>
                        <w:b/>
                        <w:u w:val="single"/>
                      </w:rPr>
                      <w:t>Case Study</w:t>
                    </w:r>
                    <w:r>
                      <w:rPr>
                        <w:rFonts w:ascii="Arial" w:hAnsi="Arial" w:cs="Arial"/>
                        <w:b/>
                        <w:u w:val="single"/>
                      </w:rPr>
                      <w:t xml:space="preserve"> 2</w:t>
                    </w:r>
                    <w:r w:rsidRPr="0030551D">
                      <w:rPr>
                        <w:rFonts w:ascii="Arial" w:hAnsi="Arial" w:cs="Arial"/>
                        <w:b/>
                        <w:u w:val="single"/>
                      </w:rPr>
                      <w:t>: Progress towards creating Healthy Universities</w:t>
                    </w:r>
                  </w:p>
                  <w:p w:rsidR="00EC274A" w:rsidRPr="0030551D" w:rsidRDefault="00EC274A" w:rsidP="0030551D">
                    <w:pPr>
                      <w:spacing w:line="360" w:lineRule="auto"/>
                      <w:jc w:val="both"/>
                      <w:rPr>
                        <w:rFonts w:ascii="Arial" w:hAnsi="Arial" w:cs="Arial"/>
                        <w:b/>
                      </w:rPr>
                    </w:pPr>
                  </w:p>
                  <w:p w:rsidR="00EC274A" w:rsidRPr="00CE71DC" w:rsidRDefault="00EC274A" w:rsidP="0030551D">
                    <w:pPr>
                      <w:spacing w:line="360" w:lineRule="auto"/>
                      <w:jc w:val="both"/>
                      <w:rPr>
                        <w:rFonts w:ascii="Arial" w:hAnsi="Arial" w:cs="Arial"/>
                        <w:sz w:val="20"/>
                        <w:szCs w:val="20"/>
                      </w:rPr>
                    </w:pPr>
                    <w:r w:rsidRPr="00CE71DC">
                      <w:rPr>
                        <w:rFonts w:ascii="Arial" w:hAnsi="Arial" w:cs="Arial"/>
                        <w:sz w:val="20"/>
                        <w:szCs w:val="20"/>
                      </w:rPr>
                      <w:t>Universities are well placed to enhance the health and well-being of their students, staff and wider communities.</w:t>
                    </w:r>
                    <w:r>
                      <w:rPr>
                        <w:rFonts w:ascii="Arial" w:hAnsi="Arial" w:cs="Arial"/>
                        <w:sz w:val="20"/>
                        <w:szCs w:val="20"/>
                      </w:rPr>
                      <w:t xml:space="preserve"> Furthermore, learning related to health is likely to be more effective if educational environments are more conducive to health and well-being.</w:t>
                    </w:r>
                    <w:r w:rsidRPr="00CE71DC">
                      <w:rPr>
                        <w:rFonts w:ascii="Arial" w:hAnsi="Arial" w:cs="Arial"/>
                        <w:sz w:val="20"/>
                        <w:szCs w:val="20"/>
                      </w:rPr>
                      <w:t xml:space="preserve"> However, although the concept of a Health promoting University emerged during the 1990s and was adopted by the World Health Organisation in 1998, further development ha</w:t>
                    </w:r>
                    <w:r>
                      <w:rPr>
                        <w:rFonts w:ascii="Arial" w:hAnsi="Arial" w:cs="Arial"/>
                        <w:sz w:val="20"/>
                        <w:szCs w:val="20"/>
                      </w:rPr>
                      <w:t>d</w:t>
                    </w:r>
                    <w:r w:rsidRPr="00CE71DC">
                      <w:rPr>
                        <w:rFonts w:ascii="Arial" w:hAnsi="Arial" w:cs="Arial"/>
                        <w:sz w:val="20"/>
                        <w:szCs w:val="20"/>
                      </w:rPr>
                      <w:t xml:space="preserve"> been slow until 2008 when the TPHN (driven by two regions in particular) adopted it as a major </w:t>
                    </w:r>
                    <w:r>
                      <w:rPr>
                        <w:rFonts w:ascii="Arial" w:hAnsi="Arial" w:cs="Arial"/>
                        <w:sz w:val="20"/>
                        <w:szCs w:val="20"/>
                      </w:rPr>
                      <w:t>focus of their activity</w:t>
                    </w:r>
                    <w:r w:rsidRPr="00CE71DC">
                      <w:rPr>
                        <w:rFonts w:ascii="Arial" w:hAnsi="Arial" w:cs="Arial"/>
                        <w:sz w:val="20"/>
                        <w:szCs w:val="20"/>
                      </w:rPr>
                      <w:t>. As a result, there is increasing national and regional interest in encouraging universities to become healthier settings with discussion and debate at a number of key conferences e.g. HERDA-SW, AMOSSHE, IUPHE. As a result of a successful HEA bid an important national scoping study will report this year on the viability of establishing a national healthy university programme</w:t>
                    </w:r>
                    <w:r w:rsidRPr="00CE71DC">
                      <w:rPr>
                        <w:rStyle w:val="FootnoteReference"/>
                        <w:rFonts w:ascii="Arial" w:hAnsi="Arial" w:cs="Arial"/>
                        <w:sz w:val="20"/>
                        <w:szCs w:val="20"/>
                      </w:rPr>
                      <w:footnoteRef/>
                    </w:r>
                    <w:r w:rsidRPr="00CE71DC">
                      <w:rPr>
                        <w:rFonts w:ascii="Arial" w:hAnsi="Arial" w:cs="Arial"/>
                        <w:sz w:val="20"/>
                        <w:szCs w:val="20"/>
                      </w:rPr>
                      <w:t xml:space="preserve">. To date this study has revealed a growth of interest and activity among HEIs in developing a national level programme. A range of </w:t>
                    </w:r>
                    <w:r>
                      <w:rPr>
                        <w:rFonts w:ascii="Arial" w:hAnsi="Arial" w:cs="Arial"/>
                        <w:sz w:val="20"/>
                        <w:szCs w:val="20"/>
                      </w:rPr>
                      <w:t>barriers</w:t>
                    </w:r>
                    <w:r w:rsidRPr="00CE71DC">
                      <w:rPr>
                        <w:rFonts w:ascii="Arial" w:hAnsi="Arial" w:cs="Arial"/>
                        <w:sz w:val="20"/>
                        <w:szCs w:val="20"/>
                      </w:rPr>
                      <w:t xml:space="preserve"> have been identified and a common challenge of securing and sustaining effective leadership for a ‘whole university’ approach has been highlighted. Additionally, the benefits of this approach would build on the success of Healthy Schools Programme and be consistent with current developments within Further Education.  </w:t>
                    </w:r>
                  </w:p>
                  <w:p w:rsidR="00EC274A" w:rsidRPr="00CE71DC" w:rsidRDefault="00EC274A" w:rsidP="0030551D">
                    <w:pPr>
                      <w:spacing w:line="360" w:lineRule="auto"/>
                      <w:rPr>
                        <w:rFonts w:ascii="Arial" w:hAnsi="Arial" w:cs="Arial"/>
                        <w:sz w:val="20"/>
                        <w:szCs w:val="20"/>
                      </w:rPr>
                    </w:pPr>
                  </w:p>
                  <w:p w:rsidR="00EC274A" w:rsidRPr="00CE71DC" w:rsidRDefault="00EC274A" w:rsidP="0030551D">
                    <w:pPr>
                      <w:spacing w:line="360" w:lineRule="auto"/>
                      <w:rPr>
                        <w:rFonts w:ascii="Arial" w:hAnsi="Arial" w:cs="Arial"/>
                        <w:sz w:val="20"/>
                        <w:szCs w:val="20"/>
                      </w:rPr>
                    </w:pPr>
                    <w:r w:rsidRPr="00CE71DC">
                      <w:rPr>
                        <w:rFonts w:ascii="Arial" w:hAnsi="Arial" w:cs="Arial"/>
                        <w:sz w:val="20"/>
                        <w:szCs w:val="20"/>
                      </w:rPr>
                      <w:t>A regional study</w:t>
                    </w:r>
                    <w:r w:rsidRPr="00CE71DC">
                      <w:rPr>
                        <w:rStyle w:val="FootnoteReference"/>
                        <w:rFonts w:ascii="Arial" w:hAnsi="Arial" w:cs="Arial"/>
                        <w:sz w:val="20"/>
                        <w:szCs w:val="20"/>
                      </w:rPr>
                      <w:footnoteRef/>
                    </w:r>
                    <w:r w:rsidRPr="00CE71DC">
                      <w:rPr>
                        <w:rFonts w:ascii="Arial" w:hAnsi="Arial" w:cs="Arial"/>
                        <w:sz w:val="20"/>
                        <w:szCs w:val="20"/>
                      </w:rPr>
                      <w:t xml:space="preserve"> funded by HERDA-SW Proof of Concept Funds is an example of an opportunity that emerged through a regional TPHN as the priorities for the network became clear. This study has identified examples of </w:t>
                    </w:r>
                    <w:smartTag w:uri="urn:schemas-microsoft-com:office:smarttags" w:element="place">
                      <w:smartTag w:uri="urn:schemas-microsoft-com:office:smarttags" w:element="PlaceName">
                        <w:r w:rsidRPr="00CE71DC">
                          <w:rPr>
                            <w:rFonts w:ascii="Arial" w:hAnsi="Arial" w:cs="Arial"/>
                            <w:sz w:val="20"/>
                            <w:szCs w:val="20"/>
                          </w:rPr>
                          <w:t>Healthy</w:t>
                        </w:r>
                      </w:smartTag>
                      <w:r w:rsidRPr="00CE71DC">
                        <w:rPr>
                          <w:rFonts w:ascii="Arial" w:hAnsi="Arial" w:cs="Arial"/>
                          <w:sz w:val="20"/>
                          <w:szCs w:val="20"/>
                        </w:rPr>
                        <w:t xml:space="preserve"> </w:t>
                      </w:r>
                      <w:smartTag w:uri="urn:schemas-microsoft-com:office:smarttags" w:element="PlaceType">
                        <w:r w:rsidRPr="00CE71DC">
                          <w:rPr>
                            <w:rFonts w:ascii="Arial" w:hAnsi="Arial" w:cs="Arial"/>
                            <w:sz w:val="20"/>
                            <w:szCs w:val="20"/>
                          </w:rPr>
                          <w:t>University</w:t>
                        </w:r>
                      </w:smartTag>
                    </w:smartTag>
                    <w:r w:rsidRPr="00CE71DC">
                      <w:rPr>
                        <w:rFonts w:ascii="Arial" w:hAnsi="Arial" w:cs="Arial"/>
                        <w:sz w:val="20"/>
                        <w:szCs w:val="20"/>
                      </w:rPr>
                      <w:t xml:space="preserve"> initiatives in SW HEIs. Examples to date include a focus on the Positive Working Environment; a ‘Fit for Business’ initiative and ‘Feel Good February’ and ‘Sustainability Week’ initiatives. It is clear that the development of any holistic </w:t>
                    </w:r>
                    <w:smartTag w:uri="urn:schemas-microsoft-com:office:smarttags" w:element="place">
                      <w:smartTag w:uri="urn:schemas-microsoft-com:office:smarttags" w:element="PlaceName">
                        <w:r w:rsidRPr="00CE71DC">
                          <w:rPr>
                            <w:rFonts w:ascii="Arial" w:hAnsi="Arial" w:cs="Arial"/>
                            <w:sz w:val="20"/>
                            <w:szCs w:val="20"/>
                          </w:rPr>
                          <w:t>Healthy</w:t>
                        </w:r>
                      </w:smartTag>
                      <w:r w:rsidRPr="00CE71DC">
                        <w:rPr>
                          <w:rFonts w:ascii="Arial" w:hAnsi="Arial" w:cs="Arial"/>
                          <w:sz w:val="20"/>
                          <w:szCs w:val="20"/>
                        </w:rPr>
                        <w:t xml:space="preserve"> </w:t>
                      </w:r>
                      <w:smartTag w:uri="urn:schemas-microsoft-com:office:smarttags" w:element="PlaceType">
                        <w:r w:rsidRPr="00CE71DC">
                          <w:rPr>
                            <w:rFonts w:ascii="Arial" w:hAnsi="Arial" w:cs="Arial"/>
                            <w:sz w:val="20"/>
                            <w:szCs w:val="20"/>
                          </w:rPr>
                          <w:t>University</w:t>
                        </w:r>
                      </w:smartTag>
                    </w:smartTag>
                    <w:r w:rsidRPr="00CE71DC">
                      <w:rPr>
                        <w:rFonts w:ascii="Arial" w:hAnsi="Arial" w:cs="Arial"/>
                        <w:sz w:val="20"/>
                        <w:szCs w:val="20"/>
                      </w:rPr>
                      <w:t xml:space="preserve"> approach in the South West Region is embryonic and lacks leadership both within individual universities and across the South West region. One aim of the regional study is to contribute to the development of a Regional Healthy University Strategy. The development of a regional strategy will utilise elements of the national TPHN model of delivery. Additional funding bids have been submitted to the Higher Education Funding Council for England (HEFCE) with a view to developing more strategic leadership within and between higher education institutions in </w:t>
                    </w:r>
                    <w:smartTag w:uri="urn:schemas-microsoft-com:office:smarttags" w:element="place">
                      <w:smartTag w:uri="urn:schemas-microsoft-com:office:smarttags" w:element="country-region">
                        <w:r w:rsidRPr="00CE71DC">
                          <w:rPr>
                            <w:rFonts w:ascii="Arial" w:hAnsi="Arial" w:cs="Arial"/>
                            <w:sz w:val="20"/>
                            <w:szCs w:val="20"/>
                          </w:rPr>
                          <w:t>England</w:t>
                        </w:r>
                      </w:smartTag>
                    </w:smartTag>
                    <w:r w:rsidRPr="00CE71DC">
                      <w:rPr>
                        <w:rFonts w:ascii="Arial" w:hAnsi="Arial" w:cs="Arial"/>
                        <w:sz w:val="20"/>
                        <w:szCs w:val="20"/>
                      </w:rPr>
                      <w:t>. Another outcome of TPHN work is the strengthening of the English National Health Promoting University Network.</w:t>
                    </w:r>
                  </w:p>
                  <w:p w:rsidR="00EC274A" w:rsidRDefault="00EC274A" w:rsidP="0030551D">
                    <w:pPr>
                      <w:rPr>
                        <w:rFonts w:ascii="Arial" w:hAnsi="Arial" w:cs="Arial"/>
                      </w:rPr>
                    </w:pPr>
                  </w:p>
                  <w:p w:rsidR="00EC274A" w:rsidRDefault="00EC274A" w:rsidP="0030551D">
                    <w:pPr>
                      <w:rPr>
                        <w:rFonts w:ascii="Arial" w:hAnsi="Arial" w:cs="Arial"/>
                      </w:rPr>
                    </w:pPr>
                  </w:p>
                  <w:p w:rsidR="00EC274A" w:rsidRDefault="00EC274A"/>
                </w:txbxContent>
              </v:textbox>
            </v:rect>
            <w10:anchorlock/>
          </v:group>
        </w:pict>
      </w:r>
    </w:p>
    <w:p w:rsidR="009D0C69" w:rsidRDefault="009D0C69" w:rsidP="009D0C69">
      <w:pPr>
        <w:rPr>
          <w:rFonts w:ascii="Arial" w:hAnsi="Arial" w:cs="Arial"/>
        </w:rPr>
      </w:pPr>
    </w:p>
    <w:p w:rsidR="00CE71DC" w:rsidRDefault="00CE71DC" w:rsidP="00CE71DC">
      <w:pPr>
        <w:ind w:left="360"/>
        <w:rPr>
          <w:rFonts w:ascii="Arial" w:hAnsi="Arial" w:cs="Arial"/>
        </w:rPr>
      </w:pPr>
    </w:p>
    <w:p w:rsidR="00CE71DC" w:rsidRDefault="001A0FCA" w:rsidP="00CE71DC">
      <w:pPr>
        <w:ind w:left="360"/>
        <w:rPr>
          <w:rFonts w:ascii="Arial" w:hAnsi="Arial" w:cs="Arial"/>
        </w:rPr>
      </w:pPr>
      <w:r>
        <w:rPr>
          <w:rFonts w:ascii="Arial" w:hAnsi="Arial" w:cs="Arial"/>
        </w:rPr>
        <w:t xml:space="preserve">Judy – for some unexplained reason my computer would not allow comments within the box, so I am listing them here. All acronyms in the box may have to </w:t>
      </w:r>
      <w:r>
        <w:rPr>
          <w:rFonts w:ascii="Arial" w:hAnsi="Arial" w:cs="Arial"/>
        </w:rPr>
        <w:lastRenderedPageBreak/>
        <w:t>be expanded.  I would suggest that the ……. Lacks leadership (see 8</w:t>
      </w:r>
      <w:r w:rsidRPr="001A0FCA">
        <w:rPr>
          <w:rFonts w:ascii="Arial" w:hAnsi="Arial" w:cs="Arial"/>
          <w:vertAlign w:val="superscript"/>
        </w:rPr>
        <w:t>th</w:t>
      </w:r>
      <w:r>
        <w:rPr>
          <w:rFonts w:ascii="Arial" w:hAnsi="Arial" w:cs="Arial"/>
        </w:rPr>
        <w:t xml:space="preserve"> line from the bottom) is amended to …… is embryonic and leadership needs to be strengthened both within ……  This may be less critical and negative!</w:t>
      </w:r>
    </w:p>
    <w:p w:rsidR="00CE71DC" w:rsidRDefault="00CE71DC" w:rsidP="00A87CD7">
      <w:pPr>
        <w:rPr>
          <w:rFonts w:ascii="Arial" w:hAnsi="Arial" w:cs="Arial"/>
        </w:rPr>
      </w:pPr>
    </w:p>
    <w:p w:rsidR="009D0C69" w:rsidRDefault="009D0C69" w:rsidP="009D0C69">
      <w:pPr>
        <w:numPr>
          <w:ilvl w:val="0"/>
          <w:numId w:val="3"/>
          <w:numberingChange w:id="7" w:author="Judy Orme" w:date="2009-04-24T13:10:00Z" w:original="%1:3:2:)"/>
        </w:numPr>
        <w:rPr>
          <w:rFonts w:ascii="Arial" w:hAnsi="Arial" w:cs="Arial"/>
        </w:rPr>
      </w:pPr>
      <w:r>
        <w:rPr>
          <w:rFonts w:ascii="Arial" w:hAnsi="Arial" w:cs="Arial"/>
        </w:rPr>
        <w:t>Raising public and political awareness</w:t>
      </w:r>
    </w:p>
    <w:p w:rsidR="009D0C69" w:rsidRDefault="009D0C69" w:rsidP="009D0C69">
      <w:pPr>
        <w:rPr>
          <w:rFonts w:ascii="Arial" w:hAnsi="Arial" w:cs="Arial"/>
        </w:rPr>
      </w:pPr>
    </w:p>
    <w:p w:rsidR="009D0C69" w:rsidRDefault="009D0C69" w:rsidP="009D0C69">
      <w:pPr>
        <w:rPr>
          <w:rFonts w:ascii="Arial" w:hAnsi="Arial" w:cs="Arial"/>
        </w:rPr>
      </w:pPr>
    </w:p>
    <w:p w:rsidR="005A16BE" w:rsidRDefault="005A16BE" w:rsidP="004046E4">
      <w:pPr>
        <w:spacing w:line="360" w:lineRule="auto"/>
        <w:rPr>
          <w:rFonts w:ascii="Arial" w:hAnsi="Arial" w:cs="Arial"/>
        </w:rPr>
      </w:pPr>
      <w:r>
        <w:rPr>
          <w:rFonts w:ascii="Arial" w:hAnsi="Arial" w:cs="Arial"/>
        </w:rPr>
        <w:t xml:space="preserve">The Networks have used a number of means to raise their profile, ensuring that the resources developed </w:t>
      </w:r>
      <w:r w:rsidR="00D754FE">
        <w:rPr>
          <w:rFonts w:ascii="Arial" w:hAnsi="Arial" w:cs="Arial"/>
        </w:rPr>
        <w:t xml:space="preserve">by them and available to those working in public health </w:t>
      </w:r>
      <w:r>
        <w:rPr>
          <w:rFonts w:ascii="Arial" w:hAnsi="Arial" w:cs="Arial"/>
        </w:rPr>
        <w:t xml:space="preserve">are utilised, as well as bringing additional stakeholders on board and making links across </w:t>
      </w:r>
      <w:r w:rsidR="001A0FCA">
        <w:rPr>
          <w:rFonts w:ascii="Arial" w:hAnsi="Arial" w:cs="Arial"/>
        </w:rPr>
        <w:t xml:space="preserve">interdisciplinary and </w:t>
      </w:r>
      <w:r>
        <w:rPr>
          <w:rFonts w:ascii="Arial" w:hAnsi="Arial" w:cs="Arial"/>
        </w:rPr>
        <w:t>professional boundaries.</w:t>
      </w:r>
      <w:r w:rsidR="00D754FE">
        <w:rPr>
          <w:rFonts w:ascii="Arial" w:hAnsi="Arial" w:cs="Arial"/>
        </w:rPr>
        <w:t xml:space="preserve"> </w:t>
      </w:r>
      <w:r w:rsidR="00454432">
        <w:rPr>
          <w:rFonts w:ascii="Arial" w:hAnsi="Arial" w:cs="Arial"/>
        </w:rPr>
        <w:t xml:space="preserve">Networks have presented at national, regional and local events, including the 2008 Faculty of Public Health conference. </w:t>
      </w:r>
      <w:r w:rsidR="00EF270A">
        <w:rPr>
          <w:rFonts w:ascii="Arial" w:hAnsi="Arial" w:cs="Arial"/>
        </w:rPr>
        <w:t>Every Network has its own website, which acts as an information portal for CPD events, hold</w:t>
      </w:r>
      <w:r w:rsidR="00505C9D">
        <w:rPr>
          <w:rFonts w:ascii="Arial" w:hAnsi="Arial" w:cs="Arial"/>
        </w:rPr>
        <w:t xml:space="preserve">s </w:t>
      </w:r>
      <w:r w:rsidR="00EF270A">
        <w:rPr>
          <w:rFonts w:ascii="Arial" w:hAnsi="Arial" w:cs="Arial"/>
        </w:rPr>
        <w:t>resources such as podcasts and other teaching materials,</w:t>
      </w:r>
      <w:r w:rsidR="00505C9D">
        <w:rPr>
          <w:rFonts w:ascii="Arial" w:hAnsi="Arial" w:cs="Arial"/>
        </w:rPr>
        <w:t xml:space="preserve"> and contains interactive </w:t>
      </w:r>
      <w:r w:rsidR="001E2207">
        <w:rPr>
          <w:rFonts w:ascii="Arial" w:hAnsi="Arial" w:cs="Arial"/>
        </w:rPr>
        <w:t xml:space="preserve">features including skills assessment tools. </w:t>
      </w:r>
      <w:r w:rsidR="00D22AA7">
        <w:rPr>
          <w:rFonts w:ascii="Arial" w:hAnsi="Arial" w:cs="Arial"/>
        </w:rPr>
        <w:t xml:space="preserve">The Networks have a common </w:t>
      </w:r>
      <w:r w:rsidR="00D81A80">
        <w:rPr>
          <w:rFonts w:ascii="Arial" w:hAnsi="Arial" w:cs="Arial"/>
        </w:rPr>
        <w:t>branding, with u</w:t>
      </w:r>
      <w:r w:rsidR="00D22AA7">
        <w:rPr>
          <w:rFonts w:ascii="Arial" w:hAnsi="Arial" w:cs="Arial"/>
        </w:rPr>
        <w:t xml:space="preserve">nique </w:t>
      </w:r>
      <w:r w:rsidR="00D81A80">
        <w:rPr>
          <w:rFonts w:ascii="Arial" w:hAnsi="Arial" w:cs="Arial"/>
        </w:rPr>
        <w:t>colours for each of the nine regions</w:t>
      </w:r>
      <w:r w:rsidR="00855F66">
        <w:rPr>
          <w:rFonts w:ascii="Arial" w:hAnsi="Arial" w:cs="Arial"/>
        </w:rPr>
        <w:t xml:space="preserve">, and this is used on websites and promotional material. </w:t>
      </w:r>
      <w:r w:rsidR="00BE35BC">
        <w:rPr>
          <w:rFonts w:ascii="Arial" w:hAnsi="Arial" w:cs="Arial"/>
        </w:rPr>
        <w:t>Networks also raise awareness through newsletters</w:t>
      </w:r>
      <w:r w:rsidR="00221CEE">
        <w:rPr>
          <w:rFonts w:ascii="Arial" w:hAnsi="Arial" w:cs="Arial"/>
        </w:rPr>
        <w:t xml:space="preserve"> and stakeholder meetings.</w:t>
      </w:r>
      <w:r w:rsidR="00EF270A">
        <w:rPr>
          <w:rFonts w:ascii="Arial" w:hAnsi="Arial" w:cs="Arial"/>
        </w:rPr>
        <w:t xml:space="preserve"> </w:t>
      </w:r>
      <w:r>
        <w:rPr>
          <w:rFonts w:ascii="Arial" w:hAnsi="Arial" w:cs="Arial"/>
        </w:rPr>
        <w:t xml:space="preserve">   </w:t>
      </w:r>
    </w:p>
    <w:p w:rsidR="005A16BE" w:rsidRDefault="005A16BE" w:rsidP="004046E4">
      <w:pPr>
        <w:spacing w:line="360" w:lineRule="auto"/>
        <w:rPr>
          <w:rFonts w:ascii="Arial" w:hAnsi="Arial" w:cs="Arial"/>
        </w:rPr>
      </w:pPr>
    </w:p>
    <w:p w:rsidR="00077DAF" w:rsidRPr="000545C7" w:rsidRDefault="00077DAF" w:rsidP="00FC73F5">
      <w:pPr>
        <w:outlineLvl w:val="0"/>
        <w:rPr>
          <w:rFonts w:ascii="Arial" w:hAnsi="Arial" w:cs="Arial"/>
          <w:b/>
        </w:rPr>
      </w:pPr>
      <w:r w:rsidRPr="000545C7">
        <w:rPr>
          <w:rFonts w:ascii="Arial" w:hAnsi="Arial" w:cs="Arial"/>
          <w:b/>
        </w:rPr>
        <w:t>Discussion</w:t>
      </w:r>
    </w:p>
    <w:p w:rsidR="0048208A" w:rsidRDefault="0048208A">
      <w:pPr>
        <w:rPr>
          <w:rFonts w:ascii="Arial" w:hAnsi="Arial" w:cs="Arial"/>
        </w:rPr>
      </w:pPr>
    </w:p>
    <w:p w:rsidR="00B64EC7" w:rsidRDefault="00B64EC7" w:rsidP="00B64EC7">
      <w:pPr>
        <w:spacing w:line="360" w:lineRule="auto"/>
        <w:rPr>
          <w:rFonts w:ascii="Arial" w:hAnsi="Arial" w:cs="Arial"/>
        </w:rPr>
      </w:pPr>
      <w:r w:rsidRPr="0060755C">
        <w:rPr>
          <w:rFonts w:ascii="Arial" w:hAnsi="Arial" w:cs="Arial"/>
        </w:rPr>
        <w:t xml:space="preserve">Improving public health capacity and capability requires that professionals and disciplines commit to collaborative working to create sustainable change in health and well-being within a joined-up policy environment. Creativity, commitment and innovative models of working are key to success in this endeavour. The move towards establishing regional Teaching Public Health Networks (Rao, 2006) supports the </w:t>
      </w:r>
      <w:r w:rsidRPr="0060755C">
        <w:rPr>
          <w:rFonts w:ascii="Arial" w:hAnsi="Arial" w:cs="Arial"/>
          <w:i/>
        </w:rPr>
        <w:t>Choosing Health</w:t>
      </w:r>
      <w:r w:rsidRPr="0060755C">
        <w:rPr>
          <w:rFonts w:ascii="Arial" w:hAnsi="Arial" w:cs="Arial"/>
        </w:rPr>
        <w:t xml:space="preserve"> (DH, 2004) requirements of educating the whole workforce about the determinants of health. This Department of Health </w:t>
      </w:r>
      <w:r w:rsidR="00EC274A">
        <w:rPr>
          <w:rFonts w:ascii="Arial" w:hAnsi="Arial" w:cs="Arial"/>
        </w:rPr>
        <w:t>supported</w:t>
      </w:r>
      <w:r w:rsidRPr="0060755C">
        <w:rPr>
          <w:rFonts w:ascii="Arial" w:hAnsi="Arial" w:cs="Arial"/>
        </w:rPr>
        <w:t xml:space="preserve"> initiative recognises that it should involve not only the traditional public health workforce but also those for whom an appreciation of the public health approach and public health principles is vital if behaviour and practice are to lead to </w:t>
      </w:r>
      <w:r w:rsidR="00EC274A">
        <w:rPr>
          <w:rFonts w:ascii="Arial" w:hAnsi="Arial" w:cs="Arial"/>
        </w:rPr>
        <w:t>improvements</w:t>
      </w:r>
      <w:r w:rsidRPr="0060755C">
        <w:rPr>
          <w:rFonts w:ascii="Arial" w:hAnsi="Arial" w:cs="Arial"/>
        </w:rPr>
        <w:t xml:space="preserve"> in the health of the population. The need to change the mindset of not only </w:t>
      </w:r>
      <w:r w:rsidR="00402114">
        <w:rPr>
          <w:rFonts w:ascii="Arial" w:hAnsi="Arial" w:cs="Arial"/>
        </w:rPr>
        <w:t xml:space="preserve">staff working in health, </w:t>
      </w:r>
      <w:r w:rsidRPr="0060755C">
        <w:rPr>
          <w:rFonts w:ascii="Arial" w:hAnsi="Arial" w:cs="Arial"/>
        </w:rPr>
        <w:t xml:space="preserve">but also other workforces was a clear challenge if major inroads were to be met in tackling inequalities and meeting health targets. </w:t>
      </w:r>
      <w:r w:rsidRPr="0060755C">
        <w:rPr>
          <w:rFonts w:ascii="Arial" w:hAnsi="Arial" w:cs="Arial"/>
        </w:rPr>
        <w:lastRenderedPageBreak/>
        <w:t>Th</w:t>
      </w:r>
      <w:r w:rsidR="00412F3F">
        <w:rPr>
          <w:rFonts w:ascii="Arial" w:hAnsi="Arial" w:cs="Arial"/>
        </w:rPr>
        <w:t>e</w:t>
      </w:r>
      <w:r w:rsidRPr="0060755C">
        <w:rPr>
          <w:rFonts w:ascii="Arial" w:hAnsi="Arial" w:cs="Arial"/>
        </w:rPr>
        <w:t xml:space="preserve"> formation of a unique regional network model was considered to be a means of responding to the need for improved access to and provision of public health education and training and a way of developing focused work on curricula across universities, colleges of further education, the service and third sectors.</w:t>
      </w:r>
      <w:r w:rsidRPr="0060755C">
        <w:t xml:space="preserve"> </w:t>
      </w:r>
      <w:r w:rsidRPr="0060755C">
        <w:rPr>
          <w:rFonts w:ascii="Arial" w:hAnsi="Arial" w:cs="Arial"/>
        </w:rPr>
        <w:t xml:space="preserve">It was also however </w:t>
      </w:r>
      <w:r w:rsidR="00EC274A">
        <w:rPr>
          <w:rFonts w:ascii="Arial" w:hAnsi="Arial" w:cs="Arial"/>
        </w:rPr>
        <w:t>recognised</w:t>
      </w:r>
      <w:r w:rsidRPr="0060755C">
        <w:rPr>
          <w:rFonts w:ascii="Arial" w:hAnsi="Arial" w:cs="Arial"/>
        </w:rPr>
        <w:t xml:space="preserve"> to be a massive undertaking which had not been attempted before [Sim, 2007].   </w:t>
      </w:r>
    </w:p>
    <w:p w:rsidR="00412F3F" w:rsidRDefault="00412F3F" w:rsidP="00412F3F">
      <w:pPr>
        <w:rPr>
          <w:rFonts w:ascii="Arial" w:hAnsi="Arial" w:cs="Arial"/>
        </w:rPr>
      </w:pPr>
    </w:p>
    <w:p w:rsidR="00412F3F" w:rsidRDefault="00412F3F" w:rsidP="00A805AF">
      <w:pPr>
        <w:spacing w:line="360" w:lineRule="auto"/>
        <w:rPr>
          <w:rFonts w:ascii="Arial" w:hAnsi="Arial" w:cs="Arial"/>
        </w:rPr>
      </w:pPr>
      <w:r>
        <w:rPr>
          <w:rFonts w:ascii="Arial" w:hAnsi="Arial" w:cs="Arial"/>
        </w:rPr>
        <w:t xml:space="preserve">Reflecting on the overall structure of </w:t>
      </w:r>
      <w:r w:rsidR="00EC274A">
        <w:rPr>
          <w:rFonts w:ascii="Arial" w:hAnsi="Arial" w:cs="Arial"/>
        </w:rPr>
        <w:t xml:space="preserve">the </w:t>
      </w:r>
      <w:r>
        <w:rPr>
          <w:rFonts w:ascii="Arial" w:hAnsi="Arial" w:cs="Arial"/>
        </w:rPr>
        <w:t xml:space="preserve">whole TPHN  initiative and its achievements has been important in terms of highlighting the process of legitimisation to progress certain areas of collaborative working and to empower </w:t>
      </w:r>
      <w:r w:rsidR="00EC274A">
        <w:rPr>
          <w:rFonts w:ascii="Arial" w:hAnsi="Arial" w:cs="Arial"/>
        </w:rPr>
        <w:t>committed public health professionals</w:t>
      </w:r>
      <w:r>
        <w:rPr>
          <w:rFonts w:ascii="Arial" w:hAnsi="Arial" w:cs="Arial"/>
        </w:rPr>
        <w:t xml:space="preserve"> to </w:t>
      </w:r>
      <w:r w:rsidR="00EC274A">
        <w:rPr>
          <w:rFonts w:ascii="Arial" w:hAnsi="Arial" w:cs="Arial"/>
        </w:rPr>
        <w:t>take forward</w:t>
      </w:r>
      <w:r>
        <w:rPr>
          <w:rFonts w:ascii="Arial" w:hAnsi="Arial" w:cs="Arial"/>
        </w:rPr>
        <w:t xml:space="preserve"> </w:t>
      </w:r>
      <w:r w:rsidR="00EC274A">
        <w:rPr>
          <w:rFonts w:ascii="Arial" w:hAnsi="Arial" w:cs="Arial"/>
        </w:rPr>
        <w:t xml:space="preserve">key </w:t>
      </w:r>
      <w:r>
        <w:rPr>
          <w:rFonts w:ascii="Arial" w:hAnsi="Arial" w:cs="Arial"/>
        </w:rPr>
        <w:t xml:space="preserve">areas of </w:t>
      </w:r>
      <w:r w:rsidR="00EC274A">
        <w:rPr>
          <w:rFonts w:ascii="Arial" w:hAnsi="Arial" w:cs="Arial"/>
        </w:rPr>
        <w:t>recommended interdisciplinary</w:t>
      </w:r>
      <w:r>
        <w:rPr>
          <w:rFonts w:ascii="Arial" w:hAnsi="Arial" w:cs="Arial"/>
        </w:rPr>
        <w:t xml:space="preserve"> public health activity. The two case studies illustrate such examples. It is also important to recognise so</w:t>
      </w:r>
      <w:r w:rsidR="00666C69">
        <w:rPr>
          <w:rFonts w:ascii="Arial" w:hAnsi="Arial" w:cs="Arial"/>
        </w:rPr>
        <w:t xml:space="preserve">me of the barriers </w:t>
      </w:r>
      <w:r w:rsidR="00402114">
        <w:rPr>
          <w:rFonts w:ascii="Arial" w:hAnsi="Arial" w:cs="Arial"/>
        </w:rPr>
        <w:t xml:space="preserve">to </w:t>
      </w:r>
      <w:r w:rsidR="00666C69">
        <w:rPr>
          <w:rFonts w:ascii="Arial" w:hAnsi="Arial" w:cs="Arial"/>
        </w:rPr>
        <w:t xml:space="preserve">Network activities. Embedded in the aims of the TPHN is the commitment to working with the wider public health workforce i.e. professionals and practitioners who </w:t>
      </w:r>
      <w:r w:rsidR="00402114">
        <w:rPr>
          <w:rFonts w:ascii="Arial" w:hAnsi="Arial" w:cs="Arial"/>
        </w:rPr>
        <w:t xml:space="preserve">may not </w:t>
      </w:r>
      <w:r w:rsidR="00666C69">
        <w:rPr>
          <w:rFonts w:ascii="Arial" w:hAnsi="Arial" w:cs="Arial"/>
        </w:rPr>
        <w:t xml:space="preserve">not </w:t>
      </w:r>
      <w:r w:rsidR="00402114">
        <w:rPr>
          <w:rFonts w:ascii="Arial" w:hAnsi="Arial" w:cs="Arial"/>
        </w:rPr>
        <w:t xml:space="preserve">necessarily </w:t>
      </w:r>
      <w:r w:rsidR="00666C69">
        <w:rPr>
          <w:rFonts w:ascii="Arial" w:hAnsi="Arial" w:cs="Arial"/>
        </w:rPr>
        <w:t>see themselves as part of this wider workforce. Hence the a</w:t>
      </w:r>
      <w:r>
        <w:rPr>
          <w:rFonts w:ascii="Arial" w:hAnsi="Arial" w:cs="Arial"/>
        </w:rPr>
        <w:t xml:space="preserve">wareness raising function </w:t>
      </w:r>
      <w:r w:rsidR="00666C69">
        <w:rPr>
          <w:rFonts w:ascii="Arial" w:hAnsi="Arial" w:cs="Arial"/>
        </w:rPr>
        <w:t>has been key to the work of TPHN</w:t>
      </w:r>
      <w:r w:rsidR="00402114">
        <w:rPr>
          <w:rFonts w:ascii="Arial" w:hAnsi="Arial" w:cs="Arial"/>
        </w:rPr>
        <w:t xml:space="preserve">, </w:t>
      </w:r>
      <w:r w:rsidR="00666C69">
        <w:rPr>
          <w:rFonts w:ascii="Arial" w:hAnsi="Arial" w:cs="Arial"/>
        </w:rPr>
        <w:t xml:space="preserve">but </w:t>
      </w:r>
      <w:r w:rsidR="00402114">
        <w:rPr>
          <w:rFonts w:ascii="Arial" w:hAnsi="Arial" w:cs="Arial"/>
        </w:rPr>
        <w:t xml:space="preserve">initially there were </w:t>
      </w:r>
      <w:r w:rsidR="00666C69">
        <w:rPr>
          <w:rFonts w:ascii="Arial" w:hAnsi="Arial" w:cs="Arial"/>
        </w:rPr>
        <w:t>barrier</w:t>
      </w:r>
      <w:r w:rsidR="00402114">
        <w:rPr>
          <w:rFonts w:ascii="Arial" w:hAnsi="Arial" w:cs="Arial"/>
        </w:rPr>
        <w:t>s</w:t>
      </w:r>
      <w:r w:rsidR="00666C69">
        <w:rPr>
          <w:rFonts w:ascii="Arial" w:hAnsi="Arial" w:cs="Arial"/>
        </w:rPr>
        <w:t xml:space="preserve"> to overcome to </w:t>
      </w:r>
      <w:r w:rsidR="00402114">
        <w:rPr>
          <w:rFonts w:ascii="Arial" w:hAnsi="Arial" w:cs="Arial"/>
        </w:rPr>
        <w:t xml:space="preserve">be able to engage and then to </w:t>
      </w:r>
      <w:r w:rsidR="00666C69">
        <w:rPr>
          <w:rFonts w:ascii="Arial" w:hAnsi="Arial" w:cs="Arial"/>
        </w:rPr>
        <w:t xml:space="preserve">be able to make an impact. </w:t>
      </w:r>
    </w:p>
    <w:p w:rsidR="00A87CD7" w:rsidRDefault="00A87CD7" w:rsidP="00A805AF">
      <w:pPr>
        <w:spacing w:line="360" w:lineRule="auto"/>
        <w:rPr>
          <w:rFonts w:ascii="Arial" w:hAnsi="Arial" w:cs="Arial"/>
        </w:rPr>
      </w:pPr>
    </w:p>
    <w:p w:rsidR="00666C69" w:rsidRDefault="00666C69" w:rsidP="00A805AF">
      <w:pPr>
        <w:spacing w:line="360" w:lineRule="auto"/>
        <w:rPr>
          <w:rFonts w:ascii="Arial" w:hAnsi="Arial" w:cs="Arial"/>
        </w:rPr>
      </w:pPr>
      <w:r>
        <w:rPr>
          <w:rFonts w:ascii="Arial" w:hAnsi="Arial" w:cs="Arial"/>
        </w:rPr>
        <w:t xml:space="preserve">Currently the challenges of </w:t>
      </w:r>
      <w:r w:rsidR="00402114">
        <w:rPr>
          <w:rFonts w:ascii="Arial" w:hAnsi="Arial" w:cs="Arial"/>
        </w:rPr>
        <w:t xml:space="preserve">effectively </w:t>
      </w:r>
      <w:r>
        <w:rPr>
          <w:rFonts w:ascii="Arial" w:hAnsi="Arial" w:cs="Arial"/>
        </w:rPr>
        <w:t>reaching a range of different groups remain</w:t>
      </w:r>
      <w:r w:rsidR="00402114">
        <w:rPr>
          <w:rFonts w:ascii="Arial" w:hAnsi="Arial" w:cs="Arial"/>
        </w:rPr>
        <w:t xml:space="preserve">. For </w:t>
      </w:r>
      <w:r>
        <w:rPr>
          <w:rFonts w:ascii="Arial" w:hAnsi="Arial" w:cs="Arial"/>
        </w:rPr>
        <w:t xml:space="preserve">the foreseeable future </w:t>
      </w:r>
      <w:r w:rsidR="00A805AF">
        <w:rPr>
          <w:rFonts w:ascii="Arial" w:hAnsi="Arial" w:cs="Arial"/>
        </w:rPr>
        <w:t xml:space="preserve">it is clear that some targeted </w:t>
      </w:r>
      <w:r>
        <w:rPr>
          <w:rFonts w:ascii="Arial" w:hAnsi="Arial" w:cs="Arial"/>
        </w:rPr>
        <w:t xml:space="preserve">TPHN activity </w:t>
      </w:r>
      <w:r w:rsidR="00A805AF">
        <w:rPr>
          <w:rFonts w:ascii="Arial" w:hAnsi="Arial" w:cs="Arial"/>
        </w:rPr>
        <w:t xml:space="preserve">is still needed </w:t>
      </w:r>
      <w:r>
        <w:rPr>
          <w:rFonts w:ascii="Arial" w:hAnsi="Arial" w:cs="Arial"/>
        </w:rPr>
        <w:t>to stimulate and champion innovative inter</w:t>
      </w:r>
      <w:r w:rsidR="006F7227">
        <w:rPr>
          <w:rFonts w:ascii="Arial" w:hAnsi="Arial" w:cs="Arial"/>
        </w:rPr>
        <w:t>-</w:t>
      </w:r>
      <w:r>
        <w:rPr>
          <w:rFonts w:ascii="Arial" w:hAnsi="Arial" w:cs="Arial"/>
        </w:rPr>
        <w:t xml:space="preserve">professional work. </w:t>
      </w:r>
      <w:r w:rsidR="00A805AF">
        <w:rPr>
          <w:rFonts w:ascii="Arial" w:hAnsi="Arial" w:cs="Arial"/>
        </w:rPr>
        <w:t>An important question to consider now is</w:t>
      </w:r>
      <w:r w:rsidR="006F7227">
        <w:rPr>
          <w:rFonts w:ascii="Arial" w:hAnsi="Arial" w:cs="Arial"/>
        </w:rPr>
        <w:t>,</w:t>
      </w:r>
      <w:r w:rsidR="00A805AF">
        <w:rPr>
          <w:rFonts w:ascii="Arial" w:hAnsi="Arial" w:cs="Arial"/>
        </w:rPr>
        <w:t xml:space="preserve"> h</w:t>
      </w:r>
      <w:r>
        <w:rPr>
          <w:rFonts w:ascii="Arial" w:hAnsi="Arial" w:cs="Arial"/>
        </w:rPr>
        <w:t>ow a national perspective</w:t>
      </w:r>
      <w:r w:rsidR="00A805AF">
        <w:rPr>
          <w:rFonts w:ascii="Arial" w:hAnsi="Arial" w:cs="Arial"/>
        </w:rPr>
        <w:t xml:space="preserve"> can be retained on this innovative public health</w:t>
      </w:r>
      <w:r>
        <w:rPr>
          <w:rFonts w:ascii="Arial" w:hAnsi="Arial" w:cs="Arial"/>
        </w:rPr>
        <w:t xml:space="preserve"> activity?</w:t>
      </w:r>
    </w:p>
    <w:p w:rsidR="00666C69" w:rsidRDefault="00666C69" w:rsidP="00412F3F">
      <w:pPr>
        <w:rPr>
          <w:rFonts w:ascii="Arial" w:hAnsi="Arial" w:cs="Arial"/>
        </w:rPr>
      </w:pPr>
    </w:p>
    <w:p w:rsidR="00412F3F" w:rsidRDefault="00412F3F" w:rsidP="00412F3F">
      <w:pPr>
        <w:rPr>
          <w:rFonts w:ascii="Arial" w:hAnsi="Arial" w:cs="Arial"/>
        </w:rPr>
      </w:pPr>
    </w:p>
    <w:p w:rsidR="00412F3F" w:rsidRPr="00A81B64" w:rsidRDefault="00B64EC7" w:rsidP="00412F3F">
      <w:pPr>
        <w:suppressAutoHyphens w:val="0"/>
        <w:autoSpaceDE w:val="0"/>
        <w:autoSpaceDN w:val="0"/>
        <w:adjustRightInd w:val="0"/>
        <w:spacing w:line="360" w:lineRule="auto"/>
        <w:ind w:right="-181"/>
        <w:rPr>
          <w:rFonts w:ascii="Arial" w:hAnsi="Arial" w:cs="Arial"/>
        </w:rPr>
      </w:pPr>
      <w:r>
        <w:rPr>
          <w:rFonts w:ascii="Arial" w:hAnsi="Arial" w:cs="Arial"/>
        </w:rPr>
        <w:t>The mobilisation of resources within the national network was achieved by using a distributive mechanism where each regional TPHN submitted a bid identifying the resources needed to achieve the proposed aims and objectives. The regional resource</w:t>
      </w:r>
      <w:r w:rsidR="00402114">
        <w:rPr>
          <w:rFonts w:ascii="Arial" w:hAnsi="Arial" w:cs="Arial"/>
        </w:rPr>
        <w:t>s</w:t>
      </w:r>
      <w:r>
        <w:rPr>
          <w:rFonts w:ascii="Arial" w:hAnsi="Arial" w:cs="Arial"/>
        </w:rPr>
        <w:t xml:space="preserve"> have then been managed in different ways. In one region, a steering group comprising of representatives from all universities and Teaching Primary </w:t>
      </w:r>
      <w:r>
        <w:rPr>
          <w:rFonts w:ascii="Arial" w:hAnsi="Arial" w:cs="Arial"/>
        </w:rPr>
        <w:lastRenderedPageBreak/>
        <w:t>Care Trusts (t-PCTs) and chaired by the regional lead became the decision making group. Through this small pump-priming funding was allocated  to t-PCTs in the region in addition to an ‘integration and innovation’ fund being set up to encourage sub-regional bidding from organisations and groups to engage with relevant TPHN activity. This proved to be very important in terms of encouraging commitment and buy-in to the broad concept of improving public health capacity and capability.</w:t>
      </w:r>
      <w:r w:rsidR="00412F3F">
        <w:rPr>
          <w:rFonts w:ascii="Arial" w:hAnsi="Arial" w:cs="Arial"/>
        </w:rPr>
        <w:t xml:space="preserve"> </w:t>
      </w:r>
      <w:r w:rsidR="00412F3F" w:rsidRPr="00A81B64">
        <w:rPr>
          <w:rFonts w:ascii="Arial" w:hAnsi="Arial" w:cs="Arial"/>
        </w:rPr>
        <w:t xml:space="preserve">The competences and knowledge within the </w:t>
      </w:r>
      <w:r w:rsidR="00412F3F">
        <w:rPr>
          <w:rFonts w:ascii="Arial" w:hAnsi="Arial" w:cs="Arial"/>
        </w:rPr>
        <w:t xml:space="preserve">Public Health Skills and Career </w:t>
      </w:r>
      <w:r w:rsidR="00412F3F" w:rsidRPr="00A81B64">
        <w:rPr>
          <w:rFonts w:ascii="Arial" w:hAnsi="Arial" w:cs="Arial"/>
        </w:rPr>
        <w:t xml:space="preserve">framework are proving invaluable for networks for benchmarking courses and also in relation to establishing appropriate competences for groups within the wider workforce.   </w:t>
      </w:r>
    </w:p>
    <w:p w:rsidR="00B64EC7" w:rsidRDefault="00B64EC7" w:rsidP="00B64EC7">
      <w:pPr>
        <w:spacing w:line="360" w:lineRule="auto"/>
        <w:rPr>
          <w:rFonts w:ascii="Arial" w:hAnsi="Arial" w:cs="Arial"/>
        </w:rPr>
      </w:pPr>
    </w:p>
    <w:p w:rsidR="00B64EC7" w:rsidRDefault="00B64EC7" w:rsidP="00B64EC7">
      <w:pPr>
        <w:spacing w:line="360" w:lineRule="auto"/>
        <w:rPr>
          <w:rFonts w:ascii="Arial" w:hAnsi="Arial" w:cs="Arial"/>
        </w:rPr>
      </w:pPr>
      <w:r>
        <w:rPr>
          <w:rFonts w:ascii="Arial" w:hAnsi="Arial" w:cs="Arial"/>
        </w:rPr>
        <w:t>One of the challenges in setting up national networks is how to ensure that their carbon footprint is as low as possible. Telephone and video conferencing proved to be important as did individual sustainable travel wherever possible. Hence the accessib</w:t>
      </w:r>
      <w:r w:rsidR="00EC274A">
        <w:rPr>
          <w:rFonts w:ascii="Arial" w:hAnsi="Arial" w:cs="Arial"/>
        </w:rPr>
        <w:t>ility of</w:t>
      </w:r>
      <w:r>
        <w:rPr>
          <w:rFonts w:ascii="Arial" w:hAnsi="Arial" w:cs="Arial"/>
        </w:rPr>
        <w:t xml:space="preserve"> location of any meetings was always considered.</w:t>
      </w:r>
    </w:p>
    <w:p w:rsidR="002C79B5" w:rsidRDefault="002C79B5" w:rsidP="00A805AF">
      <w:pPr>
        <w:spacing w:line="360" w:lineRule="auto"/>
        <w:rPr>
          <w:rFonts w:ascii="Arial" w:hAnsi="Arial" w:cs="Arial"/>
        </w:rPr>
      </w:pPr>
    </w:p>
    <w:p w:rsidR="002C79B5" w:rsidRDefault="00A805AF" w:rsidP="00A805AF">
      <w:pPr>
        <w:spacing w:line="360" w:lineRule="auto"/>
        <w:rPr>
          <w:rFonts w:ascii="Arial" w:hAnsi="Arial" w:cs="Arial"/>
        </w:rPr>
      </w:pPr>
      <w:r>
        <w:rPr>
          <w:rFonts w:ascii="Arial" w:hAnsi="Arial" w:cs="Arial"/>
        </w:rPr>
        <w:t>Finally consideration is being given to the longer term s</w:t>
      </w:r>
      <w:r w:rsidR="002C79B5">
        <w:rPr>
          <w:rFonts w:ascii="Arial" w:hAnsi="Arial" w:cs="Arial"/>
        </w:rPr>
        <w:t>ustainability</w:t>
      </w:r>
      <w:r>
        <w:rPr>
          <w:rFonts w:ascii="Arial" w:hAnsi="Arial" w:cs="Arial"/>
        </w:rPr>
        <w:t xml:space="preserve"> of TPHN structure and activity.</w:t>
      </w:r>
      <w:r w:rsidR="002C79B5">
        <w:rPr>
          <w:rFonts w:ascii="Arial" w:hAnsi="Arial" w:cs="Arial"/>
        </w:rPr>
        <w:t xml:space="preserve"> </w:t>
      </w:r>
      <w:r>
        <w:rPr>
          <w:rFonts w:ascii="Arial" w:hAnsi="Arial" w:cs="Arial"/>
        </w:rPr>
        <w:t>Partial f</w:t>
      </w:r>
      <w:r w:rsidR="002C79B5">
        <w:rPr>
          <w:rFonts w:ascii="Arial" w:hAnsi="Arial" w:cs="Arial"/>
        </w:rPr>
        <w:t xml:space="preserve">unding </w:t>
      </w:r>
      <w:r>
        <w:rPr>
          <w:rFonts w:ascii="Arial" w:hAnsi="Arial" w:cs="Arial"/>
        </w:rPr>
        <w:t xml:space="preserve">is </w:t>
      </w:r>
      <w:r w:rsidR="002C79B5">
        <w:rPr>
          <w:rFonts w:ascii="Arial" w:hAnsi="Arial" w:cs="Arial"/>
        </w:rPr>
        <w:t xml:space="preserve">currently available </w:t>
      </w:r>
      <w:r>
        <w:rPr>
          <w:rFonts w:ascii="Arial" w:hAnsi="Arial" w:cs="Arial"/>
        </w:rPr>
        <w:t xml:space="preserve">until March 2010 and hence the strategy of integrating elements of the network </w:t>
      </w:r>
      <w:r w:rsidR="002C79B5">
        <w:rPr>
          <w:rFonts w:ascii="Arial" w:hAnsi="Arial" w:cs="Arial"/>
        </w:rPr>
        <w:t xml:space="preserve">into </w:t>
      </w:r>
      <w:r w:rsidR="006F7227">
        <w:rPr>
          <w:rFonts w:ascii="Arial" w:hAnsi="Arial" w:cs="Arial"/>
        </w:rPr>
        <w:t xml:space="preserve">NHS public health regional </w:t>
      </w:r>
      <w:r w:rsidR="002C79B5">
        <w:rPr>
          <w:rFonts w:ascii="Arial" w:hAnsi="Arial" w:cs="Arial"/>
        </w:rPr>
        <w:t>structures</w:t>
      </w:r>
      <w:r>
        <w:rPr>
          <w:rFonts w:ascii="Arial" w:hAnsi="Arial" w:cs="Arial"/>
        </w:rPr>
        <w:t xml:space="preserve"> where this synergy makes sense, is a distinct possibility.</w:t>
      </w:r>
    </w:p>
    <w:p w:rsidR="009868F6" w:rsidRDefault="009868F6">
      <w:pPr>
        <w:rPr>
          <w:rFonts w:ascii="Arial" w:hAnsi="Arial" w:cs="Arial"/>
        </w:rPr>
      </w:pPr>
    </w:p>
    <w:p w:rsidR="002C79B5" w:rsidRDefault="002C79B5">
      <w:pPr>
        <w:rPr>
          <w:rFonts w:ascii="Arial" w:hAnsi="Arial" w:cs="Arial"/>
        </w:rPr>
      </w:pPr>
    </w:p>
    <w:p w:rsidR="00494D4D" w:rsidRPr="00D07F40" w:rsidRDefault="00494D4D" w:rsidP="00FC73F5">
      <w:pPr>
        <w:outlineLvl w:val="0"/>
        <w:rPr>
          <w:rFonts w:ascii="Arial" w:hAnsi="Arial" w:cs="Arial"/>
          <w:b/>
        </w:rPr>
      </w:pPr>
      <w:r w:rsidRPr="00D07F40">
        <w:rPr>
          <w:rFonts w:ascii="Arial" w:hAnsi="Arial" w:cs="Arial"/>
          <w:b/>
        </w:rPr>
        <w:t>References</w:t>
      </w:r>
    </w:p>
    <w:p w:rsidR="004E361A" w:rsidRDefault="004E361A" w:rsidP="004E361A">
      <w:pPr>
        <w:rPr>
          <w:rFonts w:ascii="Arial" w:hAnsi="Arial" w:cs="Verdana"/>
          <w:sz w:val="22"/>
          <w:szCs w:val="22"/>
          <w:lang w:eastAsia="th-TH" w:bidi="th-TH"/>
        </w:rPr>
      </w:pPr>
      <w:r>
        <w:rPr>
          <w:rFonts w:ascii="Arial" w:hAnsi="Arial" w:cs="Verdana"/>
          <w:sz w:val="22"/>
          <w:szCs w:val="22"/>
          <w:lang w:eastAsia="th-TH" w:bidi="th-TH"/>
        </w:rPr>
        <w:t xml:space="preserve">Barton H. Healthy urban planning: setting the scene. </w:t>
      </w:r>
      <w:r>
        <w:rPr>
          <w:rFonts w:ascii="Arial" w:hAnsi="Arial" w:cs="Verdana"/>
          <w:i/>
          <w:iCs/>
          <w:sz w:val="22"/>
          <w:szCs w:val="22"/>
          <w:lang w:eastAsia="th-TH" w:bidi="th-TH"/>
        </w:rPr>
        <w:t>Built Environment</w:t>
      </w:r>
      <w:r>
        <w:rPr>
          <w:rFonts w:ascii="Arial" w:hAnsi="Arial" w:cs="Verdana"/>
          <w:sz w:val="22"/>
          <w:szCs w:val="22"/>
          <w:lang w:eastAsia="th-TH" w:bidi="th-TH"/>
        </w:rPr>
        <w:t>; 2005; 3(4):281-287.</w:t>
      </w:r>
    </w:p>
    <w:p w:rsidR="004E361A" w:rsidRDefault="004E361A" w:rsidP="00567BC4">
      <w:pPr>
        <w:autoSpaceDE w:val="0"/>
        <w:rPr>
          <w:rFonts w:ascii="Arial" w:hAnsi="Arial" w:cs="Verdana"/>
          <w:sz w:val="22"/>
          <w:szCs w:val="22"/>
          <w:lang w:eastAsia="th-TH" w:bidi="th-TH"/>
        </w:rPr>
      </w:pPr>
    </w:p>
    <w:p w:rsidR="0000324D" w:rsidRDefault="002C79B5" w:rsidP="00567BC4">
      <w:pPr>
        <w:autoSpaceDE w:val="0"/>
        <w:rPr>
          <w:rFonts w:ascii="Arial" w:hAnsi="Arial" w:cs="Verdana"/>
          <w:sz w:val="22"/>
          <w:szCs w:val="22"/>
          <w:lang w:eastAsia="th-TH" w:bidi="th-TH"/>
        </w:rPr>
      </w:pPr>
      <w:r>
        <w:rPr>
          <w:rFonts w:ascii="Arial" w:hAnsi="Arial" w:cs="Verdana"/>
          <w:sz w:val="22"/>
          <w:szCs w:val="22"/>
          <w:lang w:eastAsia="th-TH" w:bidi="th-TH"/>
        </w:rPr>
        <w:t xml:space="preserve">Barton H and Grant M. A health map for the local human habitat. </w:t>
      </w:r>
      <w:r w:rsidRPr="006760B6">
        <w:rPr>
          <w:rFonts w:ascii="Arial" w:hAnsi="Arial" w:cs="Verdana"/>
          <w:i/>
          <w:sz w:val="22"/>
          <w:szCs w:val="22"/>
          <w:lang w:eastAsia="th-TH" w:bidi="th-TH"/>
        </w:rPr>
        <w:t>Journal of the Royal Society for the Promotion of Health</w:t>
      </w:r>
      <w:r>
        <w:rPr>
          <w:rFonts w:ascii="Arial" w:hAnsi="Arial" w:cs="Verdana"/>
          <w:sz w:val="22"/>
          <w:szCs w:val="22"/>
          <w:lang w:eastAsia="th-TH" w:bidi="th-TH"/>
        </w:rPr>
        <w:t>; 2006; 126(6): 252-261.</w:t>
      </w:r>
    </w:p>
    <w:p w:rsidR="00567BC4" w:rsidRDefault="00567BC4" w:rsidP="0000324D">
      <w:pPr>
        <w:autoSpaceDE w:val="0"/>
        <w:rPr>
          <w:rFonts w:ascii="Arial" w:hAnsi="Arial" w:cs="Arial"/>
          <w:sz w:val="22"/>
          <w:szCs w:val="22"/>
          <w:lang w:eastAsia="th-TH" w:bidi="th-TH"/>
        </w:rPr>
      </w:pPr>
    </w:p>
    <w:p w:rsidR="00A87CD7" w:rsidRDefault="0000324D" w:rsidP="0000324D">
      <w:pPr>
        <w:autoSpaceDE w:val="0"/>
        <w:rPr>
          <w:rFonts w:ascii="Arial" w:eastAsia="Times New Roman" w:hAnsi="Arial" w:cs="Arial"/>
          <w:sz w:val="22"/>
          <w:szCs w:val="22"/>
          <w:lang w:eastAsia="en-GB"/>
        </w:rPr>
      </w:pPr>
      <w:r w:rsidRPr="0000324D">
        <w:rPr>
          <w:rFonts w:ascii="Arial" w:eastAsia="Times New Roman" w:hAnsi="Arial" w:cs="Arial"/>
          <w:sz w:val="22"/>
          <w:szCs w:val="22"/>
          <w:lang w:eastAsia="en-GB"/>
        </w:rPr>
        <w:t xml:space="preserve">Department of Health (2004) </w:t>
      </w:r>
      <w:r w:rsidRPr="0000324D">
        <w:rPr>
          <w:rFonts w:ascii="Arial" w:eastAsia="Times New Roman" w:hAnsi="Arial" w:cs="Arial"/>
          <w:i/>
          <w:iCs/>
          <w:sz w:val="22"/>
          <w:szCs w:val="22"/>
          <w:lang w:eastAsia="en-GB"/>
        </w:rPr>
        <w:t>Choosing Health:</w:t>
      </w:r>
      <w:r>
        <w:rPr>
          <w:rFonts w:ascii="Arial" w:eastAsia="Times New Roman" w:hAnsi="Arial" w:cs="Arial"/>
          <w:i/>
          <w:iCs/>
          <w:sz w:val="22"/>
          <w:szCs w:val="22"/>
          <w:lang w:eastAsia="en-GB"/>
        </w:rPr>
        <w:t xml:space="preserve"> </w:t>
      </w:r>
      <w:r w:rsidRPr="0000324D">
        <w:rPr>
          <w:rFonts w:ascii="Arial" w:eastAsia="Times New Roman" w:hAnsi="Arial" w:cs="Arial"/>
          <w:i/>
          <w:iCs/>
          <w:sz w:val="22"/>
          <w:szCs w:val="22"/>
          <w:lang w:eastAsia="en-GB"/>
        </w:rPr>
        <w:t>Making Healthy Choices Easier</w:t>
      </w:r>
      <w:r w:rsidRPr="0000324D">
        <w:rPr>
          <w:rFonts w:ascii="Arial" w:eastAsia="Times New Roman" w:hAnsi="Arial" w:cs="Arial"/>
          <w:sz w:val="22"/>
          <w:szCs w:val="22"/>
          <w:lang w:eastAsia="en-GB"/>
        </w:rPr>
        <w:t xml:space="preserve">. CM6374, </w:t>
      </w:r>
      <w:smartTag w:uri="urn:schemas-microsoft-com:office:smarttags" w:element="place">
        <w:smartTag w:uri="urn:schemas-microsoft-com:office:smarttags" w:element="City">
          <w:r w:rsidRPr="0000324D">
            <w:rPr>
              <w:rFonts w:ascii="Arial" w:eastAsia="Times New Roman" w:hAnsi="Arial" w:cs="Arial"/>
              <w:sz w:val="22"/>
              <w:szCs w:val="22"/>
              <w:lang w:eastAsia="en-GB"/>
            </w:rPr>
            <w:t>London</w:t>
          </w:r>
        </w:smartTag>
      </w:smartTag>
      <w:r>
        <w:rPr>
          <w:rFonts w:ascii="Arial" w:eastAsia="Times New Roman" w:hAnsi="Arial" w:cs="Arial"/>
          <w:sz w:val="22"/>
          <w:szCs w:val="22"/>
          <w:lang w:eastAsia="en-GB"/>
        </w:rPr>
        <w:t xml:space="preserve">: </w:t>
      </w:r>
      <w:r w:rsidRPr="0000324D">
        <w:rPr>
          <w:rFonts w:ascii="Arial" w:eastAsia="Times New Roman" w:hAnsi="Arial" w:cs="Arial"/>
          <w:sz w:val="22"/>
          <w:szCs w:val="22"/>
          <w:lang w:eastAsia="en-GB"/>
        </w:rPr>
        <w:t>The Stationery Office</w:t>
      </w:r>
    </w:p>
    <w:p w:rsidR="00D61FBF" w:rsidRDefault="00D61FBF" w:rsidP="00A87CD7">
      <w:pPr>
        <w:autoSpaceDE w:val="0"/>
        <w:rPr>
          <w:rFonts w:ascii="Arial" w:hAnsi="Arial" w:cs="Arial"/>
          <w:sz w:val="22"/>
          <w:szCs w:val="22"/>
          <w:lang w:eastAsia="th-TH" w:bidi="th-TH"/>
        </w:rPr>
      </w:pPr>
    </w:p>
    <w:p w:rsidR="00D61FBF" w:rsidRDefault="00D61FBF" w:rsidP="00D61FBF">
      <w:pPr>
        <w:autoSpaceDE w:val="0"/>
        <w:rPr>
          <w:rFonts w:ascii="Arial" w:hAnsi="Arial" w:cs="Arial"/>
          <w:sz w:val="22"/>
          <w:szCs w:val="22"/>
          <w:lang w:eastAsia="th-TH" w:bidi="th-TH"/>
        </w:rPr>
      </w:pPr>
      <w:r w:rsidRPr="00C06D89">
        <w:rPr>
          <w:rFonts w:ascii="Arial" w:hAnsi="Arial" w:cs="Arial"/>
          <w:sz w:val="22"/>
          <w:szCs w:val="22"/>
          <w:lang w:eastAsia="th-TH" w:bidi="th-TH"/>
        </w:rPr>
        <w:t xml:space="preserve">Frank LD, Engelke </w:t>
      </w:r>
      <w:smartTag w:uri="urn:schemas-microsoft-com:office:smarttags" w:element="place">
        <w:r w:rsidRPr="00C06D89">
          <w:rPr>
            <w:rFonts w:ascii="Arial" w:hAnsi="Arial" w:cs="Arial"/>
            <w:sz w:val="22"/>
            <w:szCs w:val="22"/>
            <w:lang w:eastAsia="th-TH" w:bidi="th-TH"/>
          </w:rPr>
          <w:t>PO</w:t>
        </w:r>
      </w:smartTag>
      <w:r w:rsidRPr="00C06D89">
        <w:rPr>
          <w:rFonts w:ascii="Arial" w:hAnsi="Arial" w:cs="Arial"/>
          <w:sz w:val="22"/>
          <w:szCs w:val="22"/>
          <w:lang w:eastAsia="th-TH" w:bidi="th-TH"/>
        </w:rPr>
        <w:t xml:space="preserve">, Schmid TL. </w:t>
      </w:r>
      <w:r w:rsidRPr="004D3245">
        <w:rPr>
          <w:rFonts w:ascii="Arial" w:hAnsi="Arial" w:cs="Arial"/>
          <w:i/>
          <w:sz w:val="22"/>
          <w:szCs w:val="22"/>
          <w:lang w:eastAsia="th-TH" w:bidi="th-TH"/>
        </w:rPr>
        <w:t>Health and community design: the impact of the built environment on physical activity</w:t>
      </w:r>
      <w:r w:rsidRPr="00C06D89">
        <w:rPr>
          <w:rFonts w:ascii="Arial" w:hAnsi="Arial" w:cs="Arial"/>
          <w:sz w:val="22"/>
          <w:szCs w:val="22"/>
          <w:lang w:eastAsia="th-TH" w:bidi="th-TH"/>
        </w:rPr>
        <w:t xml:space="preserve">. Island Press, </w:t>
      </w:r>
      <w:smartTag w:uri="urn:schemas-microsoft-com:office:smarttags" w:element="place">
        <w:smartTag w:uri="urn:schemas-microsoft-com:office:smarttags" w:element="City">
          <w:r w:rsidRPr="00C06D89">
            <w:rPr>
              <w:rFonts w:ascii="Arial" w:hAnsi="Arial" w:cs="Arial"/>
              <w:sz w:val="22"/>
              <w:szCs w:val="22"/>
              <w:lang w:eastAsia="th-TH" w:bidi="th-TH"/>
            </w:rPr>
            <w:t>Washington</w:t>
          </w:r>
        </w:smartTag>
        <w:r w:rsidRPr="00C06D89">
          <w:rPr>
            <w:rFonts w:ascii="Arial" w:hAnsi="Arial" w:cs="Arial"/>
            <w:sz w:val="22"/>
            <w:szCs w:val="22"/>
            <w:lang w:eastAsia="th-TH" w:bidi="th-TH"/>
          </w:rPr>
          <w:t xml:space="preserve"> </w:t>
        </w:r>
        <w:smartTag w:uri="urn:schemas-microsoft-com:office:smarttags" w:element="State">
          <w:r w:rsidRPr="00C06D89">
            <w:rPr>
              <w:rFonts w:ascii="Arial" w:hAnsi="Arial" w:cs="Arial"/>
              <w:sz w:val="22"/>
              <w:szCs w:val="22"/>
              <w:lang w:eastAsia="th-TH" w:bidi="th-TH"/>
            </w:rPr>
            <w:t>DC</w:t>
          </w:r>
        </w:smartTag>
      </w:smartTag>
      <w:r w:rsidRPr="00C06D89">
        <w:rPr>
          <w:rFonts w:ascii="Arial" w:hAnsi="Arial" w:cs="Arial"/>
          <w:sz w:val="22"/>
          <w:szCs w:val="22"/>
          <w:lang w:eastAsia="th-TH" w:bidi="th-TH"/>
        </w:rPr>
        <w:t>; 2003.</w:t>
      </w:r>
    </w:p>
    <w:p w:rsidR="004E361A" w:rsidRDefault="004E361A" w:rsidP="00D61FBF">
      <w:pPr>
        <w:autoSpaceDE w:val="0"/>
        <w:rPr>
          <w:rFonts w:ascii="Arial" w:hAnsi="Arial" w:cs="Arial"/>
          <w:sz w:val="22"/>
          <w:szCs w:val="22"/>
          <w:lang w:eastAsia="th-TH" w:bidi="th-TH"/>
        </w:rPr>
      </w:pPr>
    </w:p>
    <w:p w:rsidR="004E361A" w:rsidRDefault="004E361A" w:rsidP="004E361A">
      <w:pPr>
        <w:autoSpaceDE w:val="0"/>
        <w:rPr>
          <w:rFonts w:ascii="Arial" w:hAnsi="Arial" w:cs="Arial"/>
          <w:color w:val="000000"/>
          <w:sz w:val="22"/>
          <w:szCs w:val="22"/>
          <w:lang w:eastAsia="th-TH" w:bidi="th-TH"/>
        </w:rPr>
      </w:pPr>
      <w:r>
        <w:rPr>
          <w:rFonts w:ascii="Arial" w:hAnsi="Arial" w:cs="Arial"/>
          <w:color w:val="000000"/>
          <w:sz w:val="22"/>
          <w:szCs w:val="22"/>
          <w:lang w:eastAsia="th-TH" w:bidi="th-TH"/>
        </w:rPr>
        <w:t xml:space="preserve">National Institute for Health and Clinical Effectiveness. </w:t>
      </w:r>
      <w:r>
        <w:rPr>
          <w:rFonts w:ascii="Arial" w:hAnsi="Arial" w:cs="Arial"/>
          <w:i/>
          <w:color w:val="000000"/>
          <w:sz w:val="22"/>
          <w:szCs w:val="22"/>
          <w:lang w:eastAsia="th-TH" w:bidi="th-TH"/>
        </w:rPr>
        <w:t>Physical activity and environment: Quick reference guide</w:t>
      </w:r>
      <w:r>
        <w:rPr>
          <w:rFonts w:ascii="Arial" w:hAnsi="Arial" w:cs="Arial"/>
          <w:color w:val="000000"/>
          <w:sz w:val="22"/>
          <w:szCs w:val="22"/>
          <w:lang w:eastAsia="th-TH" w:bidi="th-TH"/>
        </w:rPr>
        <w:t xml:space="preserve">; 2008 [online] at: </w:t>
      </w:r>
      <w:hyperlink r:id="rId9" w:history="1">
        <w:r>
          <w:rPr>
            <w:rStyle w:val="Hyperlink"/>
            <w:rFonts w:ascii="Arial" w:hAnsi="Arial"/>
            <w:lang w:eastAsia="th-TH" w:bidi="th-TH"/>
          </w:rPr>
          <w:t>http://www.nice.org.uk/guidance/index.jsp?action=download&amp;o=38989</w:t>
        </w:r>
      </w:hyperlink>
      <w:r>
        <w:rPr>
          <w:rFonts w:ascii="Arial" w:hAnsi="Arial" w:cs="Arial"/>
          <w:color w:val="000000"/>
          <w:sz w:val="22"/>
          <w:szCs w:val="22"/>
          <w:lang w:eastAsia="th-TH" w:bidi="th-TH"/>
        </w:rPr>
        <w:t xml:space="preserve"> Last accessed 30.01.08.</w:t>
      </w:r>
    </w:p>
    <w:p w:rsidR="00567BC4" w:rsidRPr="0000324D" w:rsidRDefault="00567BC4" w:rsidP="0000324D">
      <w:pPr>
        <w:autoSpaceDE w:val="0"/>
        <w:rPr>
          <w:rFonts w:ascii="Arial" w:hAnsi="Arial" w:cs="Arial"/>
          <w:sz w:val="22"/>
          <w:szCs w:val="22"/>
        </w:rPr>
      </w:pPr>
    </w:p>
    <w:p w:rsidR="002C79B5" w:rsidRDefault="002C79B5" w:rsidP="002C79B5">
      <w:pPr>
        <w:pStyle w:val="FootnoteText"/>
        <w:rPr>
          <w:rFonts w:ascii="Arial" w:hAnsi="Arial" w:cs="Arial"/>
          <w:sz w:val="24"/>
          <w:szCs w:val="24"/>
        </w:rPr>
      </w:pPr>
      <w:r w:rsidRPr="002C79B5">
        <w:rPr>
          <w:rFonts w:ascii="Arial" w:hAnsi="Arial" w:cs="Arial"/>
          <w:sz w:val="24"/>
          <w:szCs w:val="24"/>
        </w:rPr>
        <w:t xml:space="preserve">Nutbeam, D. Using theory to guide changing individual behaviour. A planning models for health promotion. In: Davies M &amp; Macdowall W (Eds) 2006) </w:t>
      </w:r>
      <w:r w:rsidRPr="002C79B5">
        <w:rPr>
          <w:rFonts w:ascii="Arial" w:hAnsi="Arial" w:cs="Arial"/>
          <w:i/>
          <w:sz w:val="24"/>
          <w:szCs w:val="24"/>
        </w:rPr>
        <w:t xml:space="preserve">Health Promotion Theory, Understanding Public Health Series. </w:t>
      </w:r>
      <w:r w:rsidRPr="002C79B5">
        <w:rPr>
          <w:rFonts w:ascii="Arial" w:hAnsi="Arial" w:cs="Arial"/>
          <w:sz w:val="24"/>
          <w:szCs w:val="24"/>
        </w:rPr>
        <w:t xml:space="preserve">Open University Press. </w:t>
      </w:r>
    </w:p>
    <w:p w:rsidR="00A87CD7" w:rsidRPr="002C79B5" w:rsidRDefault="00A87CD7" w:rsidP="002C79B5">
      <w:pPr>
        <w:pStyle w:val="FootnoteText"/>
        <w:rPr>
          <w:rFonts w:ascii="Arial" w:hAnsi="Arial" w:cs="Arial"/>
          <w:sz w:val="24"/>
          <w:szCs w:val="24"/>
        </w:rPr>
      </w:pPr>
    </w:p>
    <w:p w:rsidR="00A87CD7" w:rsidRDefault="00D77D48" w:rsidP="00D77D48">
      <w:pPr>
        <w:rPr>
          <w:rFonts w:ascii="Arial" w:hAnsi="Arial" w:cs="Verdana"/>
          <w:sz w:val="22"/>
          <w:szCs w:val="22"/>
          <w:lang w:eastAsia="th-TH" w:bidi="th-TH"/>
        </w:rPr>
      </w:pPr>
      <w:r>
        <w:rPr>
          <w:rFonts w:ascii="Arial" w:hAnsi="Arial" w:cs="Verdana"/>
          <w:sz w:val="22"/>
          <w:szCs w:val="22"/>
          <w:lang w:eastAsia="th-TH" w:bidi="th-TH"/>
        </w:rPr>
        <w:t xml:space="preserve">Orme J, Powell J, Taylor P and Grey M. Mapping Public Health. In. Orme J, Powell J, Taylor P and Grey M (eds) </w:t>
      </w:r>
      <w:r>
        <w:rPr>
          <w:rFonts w:ascii="Arial" w:hAnsi="Arial" w:cs="Verdana"/>
          <w:i/>
          <w:sz w:val="22"/>
          <w:szCs w:val="22"/>
          <w:lang w:eastAsia="th-TH" w:bidi="th-TH"/>
        </w:rPr>
        <w:t>Public Health for the 21</w:t>
      </w:r>
      <w:r>
        <w:rPr>
          <w:rFonts w:ascii="Arial" w:hAnsi="Arial" w:cs="Verdana"/>
          <w:i/>
          <w:sz w:val="22"/>
          <w:szCs w:val="22"/>
          <w:vertAlign w:val="superscript"/>
          <w:lang w:eastAsia="th-TH" w:bidi="th-TH"/>
        </w:rPr>
        <w:t>st</w:t>
      </w:r>
      <w:r>
        <w:rPr>
          <w:rFonts w:ascii="Arial" w:hAnsi="Arial" w:cs="Verdana"/>
          <w:i/>
          <w:sz w:val="22"/>
          <w:szCs w:val="22"/>
          <w:lang w:eastAsia="th-TH" w:bidi="th-TH"/>
        </w:rPr>
        <w:t xml:space="preserve"> Century</w:t>
      </w:r>
      <w:r>
        <w:rPr>
          <w:rFonts w:ascii="Arial" w:hAnsi="Arial" w:cs="Verdana"/>
          <w:sz w:val="22"/>
          <w:szCs w:val="22"/>
          <w:lang w:eastAsia="th-TH" w:bidi="th-TH"/>
        </w:rPr>
        <w:t>. Second Edition. Open University Press. McGraw Hill; 2007.</w:t>
      </w:r>
    </w:p>
    <w:p w:rsidR="009572CF" w:rsidRDefault="009572CF" w:rsidP="00D77D48">
      <w:pPr>
        <w:rPr>
          <w:rFonts w:ascii="Arial" w:hAnsi="Arial" w:cs="Verdana"/>
          <w:sz w:val="22"/>
          <w:szCs w:val="22"/>
          <w:lang w:eastAsia="th-TH" w:bidi="th-TH"/>
        </w:rPr>
      </w:pPr>
    </w:p>
    <w:p w:rsidR="009572CF" w:rsidRPr="009572CF" w:rsidRDefault="009572CF" w:rsidP="00D77D48">
      <w:pPr>
        <w:rPr>
          <w:rFonts w:ascii="Arial" w:hAnsi="Arial" w:cs="Verdana"/>
          <w:sz w:val="22"/>
          <w:szCs w:val="22"/>
          <w:lang w:eastAsia="th-TH" w:bidi="th-TH"/>
        </w:rPr>
      </w:pPr>
      <w:r w:rsidRPr="009572CF">
        <w:rPr>
          <w:rFonts w:ascii="Arial" w:hAnsi="Arial"/>
          <w:noProof/>
          <w:sz w:val="22"/>
          <w:szCs w:val="22"/>
          <w:lang w:val="en-US"/>
        </w:rPr>
        <w:t xml:space="preserve">Pilkington P, Grant, M. Orme, J. Promoting integration of the health and built environment agendas through a workforce development initiative, </w:t>
      </w:r>
      <w:r w:rsidRPr="009572CF">
        <w:rPr>
          <w:rFonts w:ascii="Arial" w:hAnsi="Arial"/>
          <w:i/>
          <w:iCs/>
          <w:noProof/>
          <w:sz w:val="22"/>
          <w:szCs w:val="22"/>
          <w:lang w:val="en-US"/>
        </w:rPr>
        <w:t>Public Health</w:t>
      </w:r>
      <w:r w:rsidRPr="009572CF">
        <w:rPr>
          <w:rFonts w:ascii="Arial" w:hAnsi="Arial"/>
          <w:noProof/>
          <w:sz w:val="22"/>
          <w:szCs w:val="22"/>
          <w:lang w:val="en-US"/>
        </w:rPr>
        <w:t xml:space="preserve"> 2008; 122(6): 545-51.</w:t>
      </w:r>
    </w:p>
    <w:p w:rsidR="002C79B5" w:rsidRPr="002C79B5" w:rsidRDefault="002C79B5" w:rsidP="00A87CD7">
      <w:pPr>
        <w:rPr>
          <w:rFonts w:ascii="Arial" w:hAnsi="Arial" w:cs="Arial"/>
          <w:lang w:eastAsia="th-TH" w:bidi="th-TH"/>
        </w:rPr>
      </w:pPr>
    </w:p>
    <w:p w:rsidR="002C79B5" w:rsidRDefault="002C79B5" w:rsidP="00567BC4">
      <w:pPr>
        <w:autoSpaceDE w:val="0"/>
        <w:rPr>
          <w:rFonts w:ascii="Arial" w:hAnsi="Arial" w:cs="Arial"/>
          <w:sz w:val="22"/>
          <w:szCs w:val="22"/>
          <w:lang w:eastAsia="th-TH" w:bidi="th-TH"/>
        </w:rPr>
      </w:pPr>
      <w:r>
        <w:rPr>
          <w:rFonts w:ascii="Arial" w:hAnsi="Arial" w:cs="Arial"/>
          <w:sz w:val="22"/>
          <w:szCs w:val="22"/>
          <w:lang w:eastAsia="th-TH" w:bidi="th-TH"/>
        </w:rPr>
        <w:t xml:space="preserve">Rao, M. </w:t>
      </w:r>
      <w:r>
        <w:rPr>
          <w:rFonts w:ascii="Arial" w:hAnsi="Arial" w:cs="Arial"/>
          <w:i/>
          <w:sz w:val="22"/>
          <w:szCs w:val="22"/>
          <w:lang w:eastAsia="th-TH" w:bidi="th-TH"/>
        </w:rPr>
        <w:t>Editorial. ph.com. newsletter of the Faculty of Public Health</w:t>
      </w:r>
      <w:r>
        <w:rPr>
          <w:rFonts w:ascii="Arial" w:hAnsi="Arial" w:cs="Arial"/>
          <w:sz w:val="22"/>
          <w:szCs w:val="22"/>
          <w:lang w:eastAsia="th-TH" w:bidi="th-TH"/>
        </w:rPr>
        <w:t xml:space="preserve">. June. </w:t>
      </w:r>
      <w:smartTag w:uri="urn:schemas-microsoft-com:office:smarttags" w:element="place">
        <w:smartTag w:uri="urn:schemas-microsoft-com:office:smarttags" w:element="City">
          <w:r>
            <w:rPr>
              <w:rFonts w:ascii="Arial" w:hAnsi="Arial" w:cs="Arial"/>
              <w:sz w:val="22"/>
              <w:szCs w:val="22"/>
              <w:lang w:eastAsia="th-TH" w:bidi="th-TH"/>
            </w:rPr>
            <w:t>London</w:t>
          </w:r>
        </w:smartTag>
      </w:smartTag>
      <w:r>
        <w:rPr>
          <w:rFonts w:ascii="Arial" w:hAnsi="Arial" w:cs="Arial"/>
          <w:sz w:val="22"/>
          <w:szCs w:val="22"/>
          <w:lang w:eastAsia="th-TH" w:bidi="th-TH"/>
        </w:rPr>
        <w:t>: Faculty of Public Health; 2006.</w:t>
      </w:r>
    </w:p>
    <w:p w:rsidR="00C010A7" w:rsidRDefault="00C010A7" w:rsidP="00C010A7">
      <w:pPr>
        <w:suppressAutoHyphens w:val="0"/>
        <w:rPr>
          <w:rFonts w:eastAsia="Times New Roman"/>
          <w:lang w:val="pt-PT" w:eastAsia="en-US"/>
        </w:rPr>
      </w:pPr>
    </w:p>
    <w:p w:rsidR="00C010A7" w:rsidRPr="00C010A7" w:rsidRDefault="00C010A7" w:rsidP="00C010A7">
      <w:pPr>
        <w:suppressAutoHyphens w:val="0"/>
        <w:rPr>
          <w:rFonts w:ascii="Arial" w:eastAsia="Times New Roman" w:hAnsi="Arial" w:cs="Arial"/>
          <w:sz w:val="22"/>
          <w:szCs w:val="22"/>
          <w:lang w:val="en-US" w:eastAsia="en-US"/>
        </w:rPr>
      </w:pPr>
      <w:r w:rsidRPr="00C010A7">
        <w:rPr>
          <w:rFonts w:ascii="Arial" w:eastAsia="Times New Roman" w:hAnsi="Arial" w:cs="Arial"/>
          <w:sz w:val="22"/>
          <w:szCs w:val="22"/>
          <w:lang w:val="pt-PT" w:eastAsia="en-US"/>
        </w:rPr>
        <w:t xml:space="preserve">M . Rao , S . Prasad , F . </w:t>
      </w:r>
      <w:r w:rsidRPr="00C010A7">
        <w:rPr>
          <w:rFonts w:ascii="Arial" w:eastAsia="Times New Roman" w:hAnsi="Arial" w:cs="Arial"/>
          <w:sz w:val="22"/>
          <w:szCs w:val="22"/>
          <w:lang w:val="en-US" w:eastAsia="en-US"/>
        </w:rPr>
        <w:t xml:space="preserve">Adshead , H . Tissera. The built environment and health. </w:t>
      </w:r>
      <w:r w:rsidRPr="00C010A7">
        <w:rPr>
          <w:rFonts w:ascii="Arial" w:eastAsia="Times New Roman" w:hAnsi="Arial" w:cs="Arial"/>
          <w:i/>
          <w:iCs/>
          <w:sz w:val="22"/>
          <w:szCs w:val="22"/>
          <w:lang w:val="en-US" w:eastAsia="en-US"/>
        </w:rPr>
        <w:t>The Lancet</w:t>
      </w:r>
      <w:r w:rsidRPr="00C010A7">
        <w:rPr>
          <w:rFonts w:ascii="Arial" w:eastAsia="Times New Roman" w:hAnsi="Arial" w:cs="Arial"/>
          <w:sz w:val="22"/>
          <w:szCs w:val="22"/>
          <w:lang w:val="en-US" w:eastAsia="en-US"/>
        </w:rPr>
        <w:t xml:space="preserve"> , </w:t>
      </w:r>
      <w:r>
        <w:rPr>
          <w:rFonts w:ascii="Arial" w:eastAsia="Times New Roman" w:hAnsi="Arial" w:cs="Arial"/>
          <w:sz w:val="22"/>
          <w:szCs w:val="22"/>
          <w:lang w:val="en-US" w:eastAsia="en-US"/>
        </w:rPr>
        <w:t xml:space="preserve">2007. </w:t>
      </w:r>
      <w:r w:rsidRPr="00C010A7">
        <w:rPr>
          <w:rFonts w:ascii="Arial" w:eastAsia="Times New Roman" w:hAnsi="Arial" w:cs="Arial"/>
          <w:sz w:val="22"/>
          <w:szCs w:val="22"/>
          <w:lang w:val="en-US" w:eastAsia="en-US"/>
        </w:rPr>
        <w:t>Volume 370 , Issue 9593 , Pages 1111 - 1113.</w:t>
      </w:r>
    </w:p>
    <w:p w:rsidR="002C79B5" w:rsidRDefault="002C79B5" w:rsidP="00494D4D">
      <w:pPr>
        <w:autoSpaceDE w:val="0"/>
        <w:spacing w:line="480" w:lineRule="auto"/>
        <w:rPr>
          <w:rFonts w:ascii="Arial" w:hAnsi="Arial" w:cs="Arial"/>
          <w:sz w:val="22"/>
          <w:szCs w:val="22"/>
          <w:lang w:eastAsia="th-TH" w:bidi="th-TH"/>
        </w:rPr>
      </w:pPr>
    </w:p>
    <w:p w:rsidR="00494D4D" w:rsidRPr="00320A1A" w:rsidRDefault="00494D4D" w:rsidP="00567BC4">
      <w:pPr>
        <w:autoSpaceDE w:val="0"/>
        <w:rPr>
          <w:rFonts w:ascii="Arial" w:hAnsi="Arial" w:cs="Verdana"/>
          <w:sz w:val="22"/>
          <w:szCs w:val="22"/>
          <w:lang w:val="en-US" w:eastAsia="th-TH" w:bidi="th-TH"/>
        </w:rPr>
      </w:pPr>
      <w:r>
        <w:rPr>
          <w:rFonts w:ascii="Arial" w:hAnsi="Arial" w:cs="Arial"/>
          <w:sz w:val="22"/>
          <w:szCs w:val="22"/>
          <w:lang w:eastAsia="th-TH" w:bidi="th-TH"/>
        </w:rPr>
        <w:t xml:space="preserve">Sim F. Teaching Public Health Networks: connecting with Shaping the Future. </w:t>
      </w:r>
      <w:r>
        <w:rPr>
          <w:rFonts w:ascii="Arial" w:hAnsi="Arial" w:cs="Arial"/>
          <w:i/>
          <w:sz w:val="22"/>
          <w:szCs w:val="22"/>
          <w:lang w:eastAsia="th-TH" w:bidi="th-TH"/>
        </w:rPr>
        <w:t>The Journal of the Royal Society for the Promotion of Health</w:t>
      </w:r>
      <w:r>
        <w:rPr>
          <w:rFonts w:ascii="Arial" w:hAnsi="Arial" w:cs="Arial"/>
          <w:sz w:val="22"/>
          <w:szCs w:val="22"/>
          <w:lang w:eastAsia="th-TH" w:bidi="th-TH"/>
        </w:rPr>
        <w:t>. 2007; 127(5): 215-218.</w:t>
      </w:r>
    </w:p>
    <w:p w:rsidR="00D74C39" w:rsidRDefault="00D74C39" w:rsidP="00494D4D">
      <w:pPr>
        <w:autoSpaceDE w:val="0"/>
        <w:spacing w:line="480" w:lineRule="auto"/>
        <w:rPr>
          <w:rFonts w:ascii="Arial" w:hAnsi="Arial" w:cs="Verdana"/>
          <w:sz w:val="22"/>
          <w:szCs w:val="22"/>
          <w:lang w:eastAsia="th-TH" w:bidi="th-TH"/>
        </w:rPr>
      </w:pPr>
    </w:p>
    <w:p w:rsidR="00D74C39" w:rsidRDefault="00D74C39" w:rsidP="00567BC4">
      <w:pPr>
        <w:autoSpaceDE w:val="0"/>
        <w:rPr>
          <w:rFonts w:ascii="Arial" w:hAnsi="Arial" w:cs="Verdana"/>
          <w:sz w:val="22"/>
          <w:szCs w:val="22"/>
          <w:lang w:eastAsia="th-TH" w:bidi="th-TH"/>
        </w:rPr>
      </w:pPr>
      <w:r>
        <w:rPr>
          <w:rFonts w:ascii="Arial" w:hAnsi="Arial" w:cs="Arial"/>
        </w:rPr>
        <w:t>Skills for Health, Public Health Resource Unit. Draft Public Health Skills and Career Framework. 2007.</w:t>
      </w:r>
    </w:p>
    <w:p w:rsidR="00E009E4" w:rsidRDefault="00E009E4" w:rsidP="00E009E4">
      <w:pPr>
        <w:jc w:val="both"/>
        <w:rPr>
          <w:rFonts w:ascii="Arial" w:hAnsi="Arial" w:cs="Arial"/>
        </w:rPr>
      </w:pPr>
    </w:p>
    <w:p w:rsidR="00E009E4" w:rsidRDefault="00E009E4" w:rsidP="00E009E4">
      <w:pPr>
        <w:jc w:val="both"/>
        <w:rPr>
          <w:rFonts w:ascii="Arial" w:hAnsi="Arial" w:cs="Arial"/>
        </w:rPr>
      </w:pPr>
      <w:r>
        <w:rPr>
          <w:rFonts w:ascii="Arial" w:hAnsi="Arial" w:cs="Arial"/>
        </w:rPr>
        <w:t xml:space="preserve">Wanless D. Securing good health for the whole population: final report.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HM Treasury / Department of Health, 2004.</w:t>
      </w:r>
    </w:p>
    <w:p w:rsidR="00494D4D" w:rsidRDefault="00494D4D"/>
    <w:sectPr w:rsidR="00494D4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625" w:rsidRDefault="00753625">
      <w:r>
        <w:separator/>
      </w:r>
    </w:p>
  </w:endnote>
  <w:endnote w:type="continuationSeparator" w:id="0">
    <w:p w:rsidR="00753625" w:rsidRDefault="00753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625" w:rsidRDefault="00753625">
      <w:r>
        <w:separator/>
      </w:r>
    </w:p>
  </w:footnote>
  <w:footnote w:type="continuationSeparator" w:id="0">
    <w:p w:rsidR="00753625" w:rsidRDefault="00753625">
      <w:r>
        <w:continuationSeparator/>
      </w:r>
    </w:p>
  </w:footnote>
  <w:footnote w:id="1">
    <w:p w:rsidR="00EC274A" w:rsidRPr="002B2F4B" w:rsidRDefault="00EC274A">
      <w:pPr>
        <w:pStyle w:val="FootnoteText"/>
      </w:pPr>
      <w:r>
        <w:rPr>
          <w:rStyle w:val="FootnoteReference"/>
        </w:rPr>
        <w:footnoteRef/>
      </w:r>
      <w:r>
        <w:t xml:space="preserve"> Nutbeam, D. Using theory to guide changing individual behaviour. A planning models for health promotion. In: Davies M &amp; Macdowall W (Eds) 2006) </w:t>
      </w:r>
      <w:r>
        <w:rPr>
          <w:i/>
        </w:rPr>
        <w:t xml:space="preserve">Health Promotion Theory, Understanding Public Health Series. </w:t>
      </w:r>
      <w:r>
        <w:t xml:space="preserve">Open University Press.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BE0"/>
    <w:multiLevelType w:val="hybridMultilevel"/>
    <w:tmpl w:val="21F28CEC"/>
    <w:lvl w:ilvl="0" w:tplc="91B676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D00118"/>
    <w:multiLevelType w:val="hybridMultilevel"/>
    <w:tmpl w:val="51B037C6"/>
    <w:lvl w:ilvl="0" w:tplc="36605960">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444C1"/>
    <w:multiLevelType w:val="hybridMultilevel"/>
    <w:tmpl w:val="BA7232E8"/>
    <w:lvl w:ilvl="0" w:tplc="9D52D9DC">
      <w:start w:val="1"/>
      <w:numFmt w:val="bullet"/>
      <w:lvlText w:val="•"/>
      <w:lvlJc w:val="left"/>
      <w:pPr>
        <w:tabs>
          <w:tab w:val="num" w:pos="720"/>
        </w:tabs>
        <w:ind w:left="720" w:hanging="360"/>
      </w:pPr>
      <w:rPr>
        <w:rFonts w:ascii="Times New Roman" w:hAnsi="Times New Roman" w:hint="default"/>
      </w:rPr>
    </w:lvl>
    <w:lvl w:ilvl="1" w:tplc="4970A56A" w:tentative="1">
      <w:start w:val="1"/>
      <w:numFmt w:val="bullet"/>
      <w:lvlText w:val="•"/>
      <w:lvlJc w:val="left"/>
      <w:pPr>
        <w:tabs>
          <w:tab w:val="num" w:pos="1440"/>
        </w:tabs>
        <w:ind w:left="1440" w:hanging="360"/>
      </w:pPr>
      <w:rPr>
        <w:rFonts w:ascii="Times New Roman" w:hAnsi="Times New Roman" w:hint="default"/>
      </w:rPr>
    </w:lvl>
    <w:lvl w:ilvl="2" w:tplc="6680C62A" w:tentative="1">
      <w:start w:val="1"/>
      <w:numFmt w:val="bullet"/>
      <w:lvlText w:val="•"/>
      <w:lvlJc w:val="left"/>
      <w:pPr>
        <w:tabs>
          <w:tab w:val="num" w:pos="2160"/>
        </w:tabs>
        <w:ind w:left="2160" w:hanging="360"/>
      </w:pPr>
      <w:rPr>
        <w:rFonts w:ascii="Times New Roman" w:hAnsi="Times New Roman" w:hint="default"/>
      </w:rPr>
    </w:lvl>
    <w:lvl w:ilvl="3" w:tplc="E43ED9EA" w:tentative="1">
      <w:start w:val="1"/>
      <w:numFmt w:val="bullet"/>
      <w:lvlText w:val="•"/>
      <w:lvlJc w:val="left"/>
      <w:pPr>
        <w:tabs>
          <w:tab w:val="num" w:pos="2880"/>
        </w:tabs>
        <w:ind w:left="2880" w:hanging="360"/>
      </w:pPr>
      <w:rPr>
        <w:rFonts w:ascii="Times New Roman" w:hAnsi="Times New Roman" w:hint="default"/>
      </w:rPr>
    </w:lvl>
    <w:lvl w:ilvl="4" w:tplc="98A6B662" w:tentative="1">
      <w:start w:val="1"/>
      <w:numFmt w:val="bullet"/>
      <w:lvlText w:val="•"/>
      <w:lvlJc w:val="left"/>
      <w:pPr>
        <w:tabs>
          <w:tab w:val="num" w:pos="3600"/>
        </w:tabs>
        <w:ind w:left="3600" w:hanging="360"/>
      </w:pPr>
      <w:rPr>
        <w:rFonts w:ascii="Times New Roman" w:hAnsi="Times New Roman" w:hint="default"/>
      </w:rPr>
    </w:lvl>
    <w:lvl w:ilvl="5" w:tplc="719E1FF4" w:tentative="1">
      <w:start w:val="1"/>
      <w:numFmt w:val="bullet"/>
      <w:lvlText w:val="•"/>
      <w:lvlJc w:val="left"/>
      <w:pPr>
        <w:tabs>
          <w:tab w:val="num" w:pos="4320"/>
        </w:tabs>
        <w:ind w:left="4320" w:hanging="360"/>
      </w:pPr>
      <w:rPr>
        <w:rFonts w:ascii="Times New Roman" w:hAnsi="Times New Roman" w:hint="default"/>
      </w:rPr>
    </w:lvl>
    <w:lvl w:ilvl="6" w:tplc="4E3000DC" w:tentative="1">
      <w:start w:val="1"/>
      <w:numFmt w:val="bullet"/>
      <w:lvlText w:val="•"/>
      <w:lvlJc w:val="left"/>
      <w:pPr>
        <w:tabs>
          <w:tab w:val="num" w:pos="5040"/>
        </w:tabs>
        <w:ind w:left="5040" w:hanging="360"/>
      </w:pPr>
      <w:rPr>
        <w:rFonts w:ascii="Times New Roman" w:hAnsi="Times New Roman" w:hint="default"/>
      </w:rPr>
    </w:lvl>
    <w:lvl w:ilvl="7" w:tplc="69BE0384" w:tentative="1">
      <w:start w:val="1"/>
      <w:numFmt w:val="bullet"/>
      <w:lvlText w:val="•"/>
      <w:lvlJc w:val="left"/>
      <w:pPr>
        <w:tabs>
          <w:tab w:val="num" w:pos="5760"/>
        </w:tabs>
        <w:ind w:left="5760" w:hanging="360"/>
      </w:pPr>
      <w:rPr>
        <w:rFonts w:ascii="Times New Roman" w:hAnsi="Times New Roman" w:hint="default"/>
      </w:rPr>
    </w:lvl>
    <w:lvl w:ilvl="8" w:tplc="5B22B9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4D4D"/>
    <w:rsid w:val="0000324D"/>
    <w:rsid w:val="000118F2"/>
    <w:rsid w:val="000370CB"/>
    <w:rsid w:val="00041AF5"/>
    <w:rsid w:val="00044345"/>
    <w:rsid w:val="00046371"/>
    <w:rsid w:val="000518E0"/>
    <w:rsid w:val="000545C7"/>
    <w:rsid w:val="00062014"/>
    <w:rsid w:val="0006284E"/>
    <w:rsid w:val="00064B11"/>
    <w:rsid w:val="00076DA8"/>
    <w:rsid w:val="00077DAF"/>
    <w:rsid w:val="000820B9"/>
    <w:rsid w:val="000A405B"/>
    <w:rsid w:val="000F5F6F"/>
    <w:rsid w:val="000F6E1D"/>
    <w:rsid w:val="00120E92"/>
    <w:rsid w:val="001326A1"/>
    <w:rsid w:val="00137486"/>
    <w:rsid w:val="00137C75"/>
    <w:rsid w:val="001504FD"/>
    <w:rsid w:val="0015462B"/>
    <w:rsid w:val="0019318F"/>
    <w:rsid w:val="00194843"/>
    <w:rsid w:val="001A0FCA"/>
    <w:rsid w:val="001A7BEB"/>
    <w:rsid w:val="001B6D31"/>
    <w:rsid w:val="001D0514"/>
    <w:rsid w:val="001E2207"/>
    <w:rsid w:val="00216D14"/>
    <w:rsid w:val="00221CEE"/>
    <w:rsid w:val="0025627C"/>
    <w:rsid w:val="002621B2"/>
    <w:rsid w:val="002635AF"/>
    <w:rsid w:val="00267F1B"/>
    <w:rsid w:val="00290798"/>
    <w:rsid w:val="002A2E8F"/>
    <w:rsid w:val="002A7707"/>
    <w:rsid w:val="002A7B19"/>
    <w:rsid w:val="002B2F4B"/>
    <w:rsid w:val="002C277A"/>
    <w:rsid w:val="002C5A00"/>
    <w:rsid w:val="002C63BC"/>
    <w:rsid w:val="002C79B5"/>
    <w:rsid w:val="002F1B9F"/>
    <w:rsid w:val="0030551D"/>
    <w:rsid w:val="003066BD"/>
    <w:rsid w:val="00313AF0"/>
    <w:rsid w:val="00316BF6"/>
    <w:rsid w:val="00320A1A"/>
    <w:rsid w:val="00333BD7"/>
    <w:rsid w:val="00360AE3"/>
    <w:rsid w:val="003823F7"/>
    <w:rsid w:val="003B05F4"/>
    <w:rsid w:val="003B1C23"/>
    <w:rsid w:val="003D3DD0"/>
    <w:rsid w:val="003F1FAE"/>
    <w:rsid w:val="00402114"/>
    <w:rsid w:val="004046E4"/>
    <w:rsid w:val="0040556C"/>
    <w:rsid w:val="00412F3F"/>
    <w:rsid w:val="004278FF"/>
    <w:rsid w:val="0043722E"/>
    <w:rsid w:val="00446A24"/>
    <w:rsid w:val="00454432"/>
    <w:rsid w:val="00457568"/>
    <w:rsid w:val="0046091A"/>
    <w:rsid w:val="0046275F"/>
    <w:rsid w:val="00463DDB"/>
    <w:rsid w:val="00473347"/>
    <w:rsid w:val="004733F2"/>
    <w:rsid w:val="00481902"/>
    <w:rsid w:val="0048208A"/>
    <w:rsid w:val="00486BF4"/>
    <w:rsid w:val="004933DA"/>
    <w:rsid w:val="00494D4D"/>
    <w:rsid w:val="004A2700"/>
    <w:rsid w:val="004B353F"/>
    <w:rsid w:val="004C4064"/>
    <w:rsid w:val="004D0C32"/>
    <w:rsid w:val="004D507D"/>
    <w:rsid w:val="004E361A"/>
    <w:rsid w:val="00505C9D"/>
    <w:rsid w:val="005075D3"/>
    <w:rsid w:val="00514A99"/>
    <w:rsid w:val="005179FE"/>
    <w:rsid w:val="00523085"/>
    <w:rsid w:val="00523506"/>
    <w:rsid w:val="0052666D"/>
    <w:rsid w:val="00540B16"/>
    <w:rsid w:val="00540DDD"/>
    <w:rsid w:val="005513CF"/>
    <w:rsid w:val="00560B5F"/>
    <w:rsid w:val="00567BC4"/>
    <w:rsid w:val="005A14CB"/>
    <w:rsid w:val="005A16BE"/>
    <w:rsid w:val="005B1D8B"/>
    <w:rsid w:val="005E3058"/>
    <w:rsid w:val="00605296"/>
    <w:rsid w:val="0060755C"/>
    <w:rsid w:val="006169DC"/>
    <w:rsid w:val="00622D79"/>
    <w:rsid w:val="00634FB1"/>
    <w:rsid w:val="00642CB1"/>
    <w:rsid w:val="0066204E"/>
    <w:rsid w:val="00663140"/>
    <w:rsid w:val="00666C69"/>
    <w:rsid w:val="00677240"/>
    <w:rsid w:val="006A272A"/>
    <w:rsid w:val="006C0A15"/>
    <w:rsid w:val="006C7164"/>
    <w:rsid w:val="006D0813"/>
    <w:rsid w:val="006D2C56"/>
    <w:rsid w:val="006D7850"/>
    <w:rsid w:val="006E32B1"/>
    <w:rsid w:val="006F22F8"/>
    <w:rsid w:val="006F7227"/>
    <w:rsid w:val="00700ABC"/>
    <w:rsid w:val="00721F0D"/>
    <w:rsid w:val="00736045"/>
    <w:rsid w:val="007454E4"/>
    <w:rsid w:val="0075043B"/>
    <w:rsid w:val="0075261C"/>
    <w:rsid w:val="00753625"/>
    <w:rsid w:val="00762518"/>
    <w:rsid w:val="007A2DB2"/>
    <w:rsid w:val="007C1EA6"/>
    <w:rsid w:val="007D0DA5"/>
    <w:rsid w:val="007F117F"/>
    <w:rsid w:val="00813905"/>
    <w:rsid w:val="00832638"/>
    <w:rsid w:val="00833033"/>
    <w:rsid w:val="008426F0"/>
    <w:rsid w:val="008522E3"/>
    <w:rsid w:val="00855F66"/>
    <w:rsid w:val="00874328"/>
    <w:rsid w:val="00875A16"/>
    <w:rsid w:val="008A79AC"/>
    <w:rsid w:val="008B0CC6"/>
    <w:rsid w:val="008B1128"/>
    <w:rsid w:val="008C7168"/>
    <w:rsid w:val="008E00FC"/>
    <w:rsid w:val="008E0CF6"/>
    <w:rsid w:val="008E7985"/>
    <w:rsid w:val="008F7341"/>
    <w:rsid w:val="00904FA3"/>
    <w:rsid w:val="00923C4E"/>
    <w:rsid w:val="00930649"/>
    <w:rsid w:val="009312CA"/>
    <w:rsid w:val="00932575"/>
    <w:rsid w:val="00944086"/>
    <w:rsid w:val="009572CF"/>
    <w:rsid w:val="009605FF"/>
    <w:rsid w:val="00962C98"/>
    <w:rsid w:val="0096732A"/>
    <w:rsid w:val="009841F7"/>
    <w:rsid w:val="009868F6"/>
    <w:rsid w:val="00992C12"/>
    <w:rsid w:val="009A04CE"/>
    <w:rsid w:val="009B2CE9"/>
    <w:rsid w:val="009B3B40"/>
    <w:rsid w:val="009D0C69"/>
    <w:rsid w:val="009D2503"/>
    <w:rsid w:val="00A011DC"/>
    <w:rsid w:val="00A03B40"/>
    <w:rsid w:val="00A0607A"/>
    <w:rsid w:val="00A14213"/>
    <w:rsid w:val="00A237DB"/>
    <w:rsid w:val="00A27EEC"/>
    <w:rsid w:val="00A353FD"/>
    <w:rsid w:val="00A468E7"/>
    <w:rsid w:val="00A805AF"/>
    <w:rsid w:val="00A81B64"/>
    <w:rsid w:val="00A8250C"/>
    <w:rsid w:val="00A87A0C"/>
    <w:rsid w:val="00A87CD7"/>
    <w:rsid w:val="00A9760A"/>
    <w:rsid w:val="00AA1A4D"/>
    <w:rsid w:val="00AB18C1"/>
    <w:rsid w:val="00AB2DEC"/>
    <w:rsid w:val="00AC28BA"/>
    <w:rsid w:val="00AC3A3E"/>
    <w:rsid w:val="00AC4358"/>
    <w:rsid w:val="00AC591B"/>
    <w:rsid w:val="00AE24E4"/>
    <w:rsid w:val="00B14C70"/>
    <w:rsid w:val="00B46D0C"/>
    <w:rsid w:val="00B56F29"/>
    <w:rsid w:val="00B64EC7"/>
    <w:rsid w:val="00B66B67"/>
    <w:rsid w:val="00B721B7"/>
    <w:rsid w:val="00BE35BC"/>
    <w:rsid w:val="00BE6F29"/>
    <w:rsid w:val="00C010A7"/>
    <w:rsid w:val="00C061C9"/>
    <w:rsid w:val="00C16080"/>
    <w:rsid w:val="00C55667"/>
    <w:rsid w:val="00C60FE2"/>
    <w:rsid w:val="00C74159"/>
    <w:rsid w:val="00C758ED"/>
    <w:rsid w:val="00C82342"/>
    <w:rsid w:val="00CB10E9"/>
    <w:rsid w:val="00CB2671"/>
    <w:rsid w:val="00CD7F9B"/>
    <w:rsid w:val="00CE71DC"/>
    <w:rsid w:val="00D03C39"/>
    <w:rsid w:val="00D05D10"/>
    <w:rsid w:val="00D07F40"/>
    <w:rsid w:val="00D20D3D"/>
    <w:rsid w:val="00D22AA7"/>
    <w:rsid w:val="00D270AD"/>
    <w:rsid w:val="00D27108"/>
    <w:rsid w:val="00D30AF7"/>
    <w:rsid w:val="00D35657"/>
    <w:rsid w:val="00D44BEC"/>
    <w:rsid w:val="00D532DA"/>
    <w:rsid w:val="00D5419A"/>
    <w:rsid w:val="00D57EE5"/>
    <w:rsid w:val="00D603E9"/>
    <w:rsid w:val="00D61FBF"/>
    <w:rsid w:val="00D64E49"/>
    <w:rsid w:val="00D65669"/>
    <w:rsid w:val="00D67A84"/>
    <w:rsid w:val="00D74C39"/>
    <w:rsid w:val="00D754FE"/>
    <w:rsid w:val="00D77D48"/>
    <w:rsid w:val="00D8166F"/>
    <w:rsid w:val="00D81A80"/>
    <w:rsid w:val="00DA1E48"/>
    <w:rsid w:val="00DA2519"/>
    <w:rsid w:val="00DA3751"/>
    <w:rsid w:val="00DA6919"/>
    <w:rsid w:val="00DC40A4"/>
    <w:rsid w:val="00DC47D9"/>
    <w:rsid w:val="00DC7B24"/>
    <w:rsid w:val="00DD4E57"/>
    <w:rsid w:val="00DE0D54"/>
    <w:rsid w:val="00DF31EC"/>
    <w:rsid w:val="00E009E4"/>
    <w:rsid w:val="00E0623C"/>
    <w:rsid w:val="00E254F9"/>
    <w:rsid w:val="00E932AD"/>
    <w:rsid w:val="00E96C28"/>
    <w:rsid w:val="00EA1B3D"/>
    <w:rsid w:val="00EA2396"/>
    <w:rsid w:val="00EA75EC"/>
    <w:rsid w:val="00EC22FC"/>
    <w:rsid w:val="00EC274A"/>
    <w:rsid w:val="00EE6F0D"/>
    <w:rsid w:val="00EF241C"/>
    <w:rsid w:val="00EF270A"/>
    <w:rsid w:val="00F06CE9"/>
    <w:rsid w:val="00F07A27"/>
    <w:rsid w:val="00F07C90"/>
    <w:rsid w:val="00F20A5A"/>
    <w:rsid w:val="00F70EE4"/>
    <w:rsid w:val="00FA0A8A"/>
    <w:rsid w:val="00FA4DA1"/>
    <w:rsid w:val="00FA7871"/>
    <w:rsid w:val="00FB4BF3"/>
    <w:rsid w:val="00FC73F5"/>
    <w:rsid w:val="00FD4D6D"/>
    <w:rsid w:val="00FE280E"/>
    <w:rsid w:val="00FE5D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4D"/>
    <w:pPr>
      <w:suppressAutoHyphens/>
    </w:pPr>
    <w:rPr>
      <w:rFonts w:eastAsia="SimSun"/>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20A1A"/>
    <w:pPr>
      <w:suppressAutoHyphens w:val="0"/>
      <w:spacing w:before="90" w:after="240"/>
    </w:pPr>
    <w:rPr>
      <w:rFonts w:eastAsia="Times New Roman"/>
      <w:sz w:val="18"/>
      <w:szCs w:val="18"/>
      <w:lang w:val="en-US" w:eastAsia="en-US"/>
    </w:rPr>
  </w:style>
  <w:style w:type="paragraph" w:styleId="FootnoteText">
    <w:name w:val="footnote text"/>
    <w:basedOn w:val="Normal"/>
    <w:semiHidden/>
    <w:rsid w:val="00832638"/>
    <w:pPr>
      <w:suppressAutoHyphens w:val="0"/>
    </w:pPr>
    <w:rPr>
      <w:rFonts w:eastAsia="Times New Roman"/>
      <w:sz w:val="20"/>
      <w:szCs w:val="20"/>
      <w:lang w:eastAsia="en-US"/>
    </w:rPr>
  </w:style>
  <w:style w:type="character" w:styleId="FootnoteReference">
    <w:name w:val="footnote reference"/>
    <w:basedOn w:val="DefaultParagraphFont"/>
    <w:semiHidden/>
    <w:rsid w:val="00832638"/>
    <w:rPr>
      <w:vertAlign w:val="superscript"/>
    </w:rPr>
  </w:style>
  <w:style w:type="paragraph" w:styleId="BalloonText">
    <w:name w:val="Balloon Text"/>
    <w:basedOn w:val="Normal"/>
    <w:semiHidden/>
    <w:rsid w:val="007454E4"/>
    <w:rPr>
      <w:rFonts w:ascii="Tahoma" w:hAnsi="Tahoma" w:cs="Tahoma"/>
      <w:sz w:val="16"/>
      <w:szCs w:val="16"/>
    </w:rPr>
  </w:style>
  <w:style w:type="character" w:styleId="CommentReference">
    <w:name w:val="annotation reference"/>
    <w:basedOn w:val="DefaultParagraphFont"/>
    <w:semiHidden/>
    <w:rsid w:val="005A14CB"/>
    <w:rPr>
      <w:sz w:val="16"/>
      <w:szCs w:val="16"/>
    </w:rPr>
  </w:style>
  <w:style w:type="paragraph" w:styleId="CommentText">
    <w:name w:val="annotation text"/>
    <w:basedOn w:val="Normal"/>
    <w:semiHidden/>
    <w:rsid w:val="005A14CB"/>
    <w:rPr>
      <w:sz w:val="20"/>
      <w:szCs w:val="20"/>
    </w:rPr>
  </w:style>
  <w:style w:type="paragraph" w:styleId="CommentSubject">
    <w:name w:val="annotation subject"/>
    <w:basedOn w:val="CommentText"/>
    <w:next w:val="CommentText"/>
    <w:semiHidden/>
    <w:rsid w:val="005A14CB"/>
    <w:rPr>
      <w:b/>
      <w:bCs/>
    </w:rPr>
  </w:style>
  <w:style w:type="character" w:styleId="Hyperlink">
    <w:name w:val="Hyperlink"/>
    <w:basedOn w:val="DefaultParagraphFont"/>
    <w:rsid w:val="00D5419A"/>
    <w:rPr>
      <w:color w:val="0000FF"/>
      <w:u w:val="single"/>
    </w:rPr>
  </w:style>
  <w:style w:type="paragraph" w:styleId="DocumentMap">
    <w:name w:val="Document Map"/>
    <w:basedOn w:val="Normal"/>
    <w:semiHidden/>
    <w:rsid w:val="00FC73F5"/>
    <w:pPr>
      <w:shd w:val="clear" w:color="auto" w:fill="000080"/>
    </w:pPr>
    <w:rPr>
      <w:rFonts w:ascii="Tahoma" w:hAnsi="Tahoma" w:cs="Tahoma"/>
      <w:sz w:val="20"/>
      <w:szCs w:val="20"/>
    </w:rPr>
  </w:style>
  <w:style w:type="character" w:styleId="Emphasis">
    <w:name w:val="Emphasis"/>
    <w:basedOn w:val="DefaultParagraphFont"/>
    <w:qFormat/>
    <w:rsid w:val="00C010A7"/>
    <w:rPr>
      <w:i/>
      <w:iCs/>
    </w:rPr>
  </w:style>
</w:styles>
</file>

<file path=word/webSettings.xml><?xml version="1.0" encoding="utf-8"?>
<w:webSettings xmlns:r="http://schemas.openxmlformats.org/officeDocument/2006/relationships" xmlns:w="http://schemas.openxmlformats.org/wordprocessingml/2006/main">
  <w:divs>
    <w:div w:id="53740514">
      <w:bodyDiv w:val="1"/>
      <w:marLeft w:val="0"/>
      <w:marRight w:val="0"/>
      <w:marTop w:val="0"/>
      <w:marBottom w:val="0"/>
      <w:divBdr>
        <w:top w:val="none" w:sz="0" w:space="0" w:color="auto"/>
        <w:left w:val="none" w:sz="0" w:space="0" w:color="auto"/>
        <w:bottom w:val="none" w:sz="0" w:space="0" w:color="auto"/>
        <w:right w:val="none" w:sz="0" w:space="0" w:color="auto"/>
      </w:divBdr>
    </w:div>
    <w:div w:id="1658722166">
      <w:bodyDiv w:val="1"/>
      <w:marLeft w:val="0"/>
      <w:marRight w:val="0"/>
      <w:marTop w:val="0"/>
      <w:marBottom w:val="0"/>
      <w:divBdr>
        <w:top w:val="none" w:sz="0" w:space="0" w:color="auto"/>
        <w:left w:val="none" w:sz="0" w:space="0" w:color="auto"/>
        <w:bottom w:val="none" w:sz="0" w:space="0" w:color="auto"/>
        <w:right w:val="none" w:sz="0" w:space="0" w:color="auto"/>
      </w:divBdr>
      <w:divsChild>
        <w:div w:id="1252931967">
          <w:marLeft w:val="0"/>
          <w:marRight w:val="0"/>
          <w:marTop w:val="0"/>
          <w:marBottom w:val="0"/>
          <w:divBdr>
            <w:top w:val="none" w:sz="0" w:space="0" w:color="auto"/>
            <w:left w:val="none" w:sz="0" w:space="0" w:color="auto"/>
            <w:bottom w:val="none" w:sz="0" w:space="0" w:color="auto"/>
            <w:right w:val="none" w:sz="0" w:space="0" w:color="auto"/>
          </w:divBdr>
          <w:divsChild>
            <w:div w:id="1612081401">
              <w:marLeft w:val="0"/>
              <w:marRight w:val="0"/>
              <w:marTop w:val="0"/>
              <w:marBottom w:val="0"/>
              <w:divBdr>
                <w:top w:val="none" w:sz="0" w:space="0" w:color="auto"/>
                <w:left w:val="none" w:sz="0" w:space="0" w:color="auto"/>
                <w:bottom w:val="none" w:sz="0" w:space="0" w:color="auto"/>
                <w:right w:val="none" w:sz="0" w:space="0" w:color="auto"/>
              </w:divBdr>
              <w:divsChild>
                <w:div w:id="1432045645">
                  <w:marLeft w:val="0"/>
                  <w:marRight w:val="0"/>
                  <w:marTop w:val="0"/>
                  <w:marBottom w:val="0"/>
                  <w:divBdr>
                    <w:top w:val="none" w:sz="0" w:space="0" w:color="auto"/>
                    <w:left w:val="none" w:sz="0" w:space="0" w:color="auto"/>
                    <w:bottom w:val="none" w:sz="0" w:space="0" w:color="auto"/>
                    <w:right w:val="none" w:sz="0" w:space="0" w:color="auto"/>
                  </w:divBdr>
                  <w:divsChild>
                    <w:div w:id="321665691">
                      <w:marLeft w:val="0"/>
                      <w:marRight w:val="0"/>
                      <w:marTop w:val="0"/>
                      <w:marBottom w:val="0"/>
                      <w:divBdr>
                        <w:top w:val="none" w:sz="0" w:space="0" w:color="auto"/>
                        <w:left w:val="none" w:sz="0" w:space="0" w:color="auto"/>
                        <w:bottom w:val="none" w:sz="0" w:space="0" w:color="auto"/>
                        <w:right w:val="none" w:sz="0" w:space="0" w:color="auto"/>
                      </w:divBdr>
                      <w:divsChild>
                        <w:div w:id="439646520">
                          <w:marLeft w:val="0"/>
                          <w:marRight w:val="0"/>
                          <w:marTop w:val="0"/>
                          <w:marBottom w:val="0"/>
                          <w:divBdr>
                            <w:top w:val="none" w:sz="0" w:space="0" w:color="auto"/>
                            <w:left w:val="none" w:sz="0" w:space="0" w:color="auto"/>
                            <w:bottom w:val="none" w:sz="0" w:space="0" w:color="auto"/>
                            <w:right w:val="none" w:sz="0" w:space="0" w:color="auto"/>
                          </w:divBdr>
                          <w:divsChild>
                            <w:div w:id="19989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e.ac.uk/spatialplanning" TargetMode="External"/><Relationship Id="rId3" Type="http://schemas.openxmlformats.org/officeDocument/2006/relationships/settings" Target="settings.xml"/><Relationship Id="rId7" Type="http://schemas.openxmlformats.org/officeDocument/2006/relationships/hyperlink" Target="http://www.phru.nhs.uk/Doc_Links/PHSkills&amp;CareerFramework_Launchdoc_April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ce.org.uk/guidance/index.jsp?action=download&amp;o=38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Improving the public health in England through the support of Teaching Public Health Networks</vt:lpstr>
    </vt:vector>
  </TitlesOfParts>
  <Company/>
  <LinksUpToDate>false</LinksUpToDate>
  <CharactersWithSpaces>21317</CharactersWithSpaces>
  <SharedDoc>false</SharedDoc>
  <HLinks>
    <vt:vector size="18" baseType="variant">
      <vt:variant>
        <vt:i4>1310803</vt:i4>
      </vt:variant>
      <vt:variant>
        <vt:i4>9</vt:i4>
      </vt:variant>
      <vt:variant>
        <vt:i4>0</vt:i4>
      </vt:variant>
      <vt:variant>
        <vt:i4>5</vt:i4>
      </vt:variant>
      <vt:variant>
        <vt:lpwstr>http://www.nice.org.uk/guidance/index.jsp?action=download&amp;o=38989</vt:lpwstr>
      </vt:variant>
      <vt:variant>
        <vt:lpwstr/>
      </vt:variant>
      <vt:variant>
        <vt:i4>8061011</vt:i4>
      </vt:variant>
      <vt:variant>
        <vt:i4>0</vt:i4>
      </vt:variant>
      <vt:variant>
        <vt:i4>0</vt:i4>
      </vt:variant>
      <vt:variant>
        <vt:i4>5</vt:i4>
      </vt:variant>
      <vt:variant>
        <vt:lpwstr>http://www.phru.nhs.uk/Doc_Links/PHSkills&amp;CareerFramework_Launchdoc_April08.pdf</vt:lpwstr>
      </vt:variant>
      <vt:variant>
        <vt:lpwstr/>
      </vt:variant>
      <vt:variant>
        <vt:i4>262212</vt:i4>
      </vt:variant>
      <vt:variant>
        <vt:i4>0</vt:i4>
      </vt:variant>
      <vt:variant>
        <vt:i4>0</vt:i4>
      </vt:variant>
      <vt:variant>
        <vt:i4>5</vt:i4>
      </vt:variant>
      <vt:variant>
        <vt:lpwstr>http://www.uwe.ac.uk/spatialplanning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public health in England through the support of Teaching Public Health Networks</dc:title>
  <dc:subject/>
  <dc:creator>Judy Orme</dc:creator>
  <cp:keywords/>
  <dc:description/>
  <cp:lastModifiedBy>Anna Lawson</cp:lastModifiedBy>
  <cp:revision>2</cp:revision>
  <cp:lastPrinted>2008-10-06T09:23:00Z</cp:lastPrinted>
  <dcterms:created xsi:type="dcterms:W3CDTF">2010-09-27T10:41:00Z</dcterms:created>
  <dcterms:modified xsi:type="dcterms:W3CDTF">2010-09-27T10:41:00Z</dcterms:modified>
</cp:coreProperties>
</file>