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A1" w:rsidRDefault="004B4BA1" w:rsidP="004B4BA1">
      <w:pPr>
        <w:pStyle w:val="Default"/>
      </w:pPr>
    </w:p>
    <w:p w:rsidR="004B4BA1" w:rsidRDefault="004B4BA1" w:rsidP="002A75CB">
      <w:pPr>
        <w:pStyle w:val="CM1"/>
        <w:framePr w:w="6464" w:wrap="auto" w:vAnchor="page" w:hAnchor="page" w:x="2641" w:y="3886"/>
        <w:jc w:val="center"/>
        <w:rPr>
          <w:rFonts w:cs="Verdana"/>
          <w:color w:val="000000"/>
          <w:sz w:val="40"/>
          <w:szCs w:val="40"/>
        </w:rPr>
      </w:pPr>
      <w:r>
        <w:rPr>
          <w:rFonts w:cs="Verdana"/>
          <w:b/>
          <w:bCs/>
          <w:color w:val="000000"/>
          <w:sz w:val="40"/>
          <w:szCs w:val="40"/>
        </w:rPr>
        <w:t xml:space="preserve">UKCLE Law Subject Survey – European Union Law </w:t>
      </w:r>
    </w:p>
    <w:p w:rsidR="004B4BA1" w:rsidRPr="00D07CF4" w:rsidRDefault="004B4BA1" w:rsidP="004B4BA1">
      <w:pPr>
        <w:pStyle w:val="CM2"/>
        <w:framePr w:w="7949" w:wrap="auto" w:vAnchor="page" w:hAnchor="page" w:x="1996" w:y="14320"/>
        <w:jc w:val="center"/>
        <w:rPr>
          <w:rFonts w:ascii="Arial" w:hAnsi="Arial" w:cs="Arial"/>
          <w:color w:val="000000"/>
        </w:rPr>
      </w:pPr>
      <w:r w:rsidRPr="00D07CF4">
        <w:rPr>
          <w:rFonts w:ascii="Arial" w:hAnsi="Arial" w:cs="Arial"/>
          <w:color w:val="000000"/>
        </w:rPr>
        <w:t>Richard Ball, Ch</w:t>
      </w:r>
      <w:r w:rsidR="000378A5">
        <w:rPr>
          <w:rFonts w:ascii="Arial" w:hAnsi="Arial" w:cs="Arial"/>
          <w:color w:val="000000"/>
        </w:rPr>
        <w:t>ristian Dadomo and Nicola Liles</w:t>
      </w: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2A75CB" w:rsidRDefault="002A75CB" w:rsidP="002A75CB">
      <w:pPr>
        <w:pStyle w:val="CM1"/>
        <w:framePr w:w="3736" w:wrap="auto" w:vAnchor="page" w:hAnchor="page" w:x="4141" w:y="7996"/>
        <w:jc w:val="center"/>
        <w:rPr>
          <w:rFonts w:cs="Verdana"/>
          <w:color w:val="000000"/>
          <w:sz w:val="40"/>
          <w:szCs w:val="40"/>
        </w:rPr>
      </w:pPr>
      <w:r>
        <w:rPr>
          <w:rFonts w:cs="Verdana"/>
          <w:b/>
          <w:bCs/>
          <w:color w:val="000000"/>
          <w:sz w:val="40"/>
          <w:szCs w:val="40"/>
        </w:rPr>
        <w:t xml:space="preserve">Final Report </w:t>
      </w: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4B4BA1" w:rsidRDefault="004B4BA1" w:rsidP="004B4BA1">
      <w:pPr>
        <w:spacing w:line="360" w:lineRule="auto"/>
        <w:jc w:val="both"/>
        <w:rPr>
          <w:rFonts w:cs="Verdana"/>
          <w:color w:val="000000"/>
          <w:sz w:val="19"/>
          <w:szCs w:val="19"/>
        </w:rPr>
      </w:pPr>
    </w:p>
    <w:p w:rsidR="00D07CF4" w:rsidRDefault="00D07CF4">
      <w:pPr>
        <w:spacing w:after="0" w:line="240" w:lineRule="auto"/>
        <w:rPr>
          <w:rFonts w:ascii="Arial" w:hAnsi="Arial" w:cs="Arial"/>
          <w:b/>
          <w:sz w:val="28"/>
          <w:szCs w:val="28"/>
        </w:rPr>
      </w:pPr>
      <w:r>
        <w:rPr>
          <w:rFonts w:ascii="Arial" w:hAnsi="Arial" w:cs="Arial"/>
          <w:b/>
          <w:sz w:val="28"/>
          <w:szCs w:val="28"/>
        </w:rPr>
        <w:br w:type="page"/>
      </w:r>
    </w:p>
    <w:p w:rsidR="004B4BA1" w:rsidRDefault="004B4BA1" w:rsidP="004B4BA1">
      <w:pPr>
        <w:spacing w:line="360" w:lineRule="auto"/>
        <w:jc w:val="both"/>
        <w:rPr>
          <w:rFonts w:ascii="Arial" w:hAnsi="Arial" w:cs="Arial"/>
          <w:b/>
          <w:sz w:val="28"/>
          <w:szCs w:val="28"/>
        </w:rPr>
      </w:pPr>
      <w:r>
        <w:rPr>
          <w:rFonts w:ascii="Arial" w:hAnsi="Arial" w:cs="Arial"/>
          <w:b/>
          <w:sz w:val="28"/>
          <w:szCs w:val="28"/>
        </w:rPr>
        <w:lastRenderedPageBreak/>
        <w:t>Acknowledgements</w:t>
      </w:r>
    </w:p>
    <w:p w:rsidR="004B4BA1" w:rsidRDefault="004B4BA1" w:rsidP="004B4BA1">
      <w:pPr>
        <w:spacing w:line="360" w:lineRule="auto"/>
        <w:jc w:val="both"/>
        <w:rPr>
          <w:rFonts w:ascii="Arial" w:hAnsi="Arial" w:cs="Arial"/>
          <w:sz w:val="24"/>
          <w:szCs w:val="24"/>
        </w:rPr>
      </w:pPr>
    </w:p>
    <w:p w:rsidR="004B4BA1" w:rsidRDefault="004B4BA1" w:rsidP="004B4BA1">
      <w:pPr>
        <w:spacing w:line="360" w:lineRule="auto"/>
        <w:jc w:val="both"/>
        <w:rPr>
          <w:rFonts w:ascii="Arial" w:hAnsi="Arial" w:cs="Arial"/>
          <w:color w:val="000000"/>
          <w:sz w:val="24"/>
          <w:szCs w:val="24"/>
        </w:rPr>
      </w:pPr>
      <w:r w:rsidRPr="004B4BA1">
        <w:rPr>
          <w:rFonts w:ascii="Arial" w:hAnsi="Arial" w:cs="Arial"/>
          <w:color w:val="000000"/>
          <w:sz w:val="24"/>
          <w:szCs w:val="24"/>
        </w:rPr>
        <w:t xml:space="preserve">Our first debt of gratitude is to all those colleagues who have given valuable time in replying to questionnaires, undertaking </w:t>
      </w:r>
      <w:r>
        <w:rPr>
          <w:rFonts w:ascii="Arial" w:hAnsi="Arial" w:cs="Arial"/>
          <w:color w:val="000000"/>
          <w:sz w:val="24"/>
          <w:szCs w:val="24"/>
        </w:rPr>
        <w:t>discussions</w:t>
      </w:r>
      <w:r w:rsidRPr="004B4BA1">
        <w:rPr>
          <w:rFonts w:ascii="Arial" w:hAnsi="Arial" w:cs="Arial"/>
          <w:color w:val="000000"/>
          <w:sz w:val="24"/>
          <w:szCs w:val="24"/>
        </w:rPr>
        <w:t xml:space="preserve">, and participating in </w:t>
      </w:r>
      <w:r w:rsidR="00342764">
        <w:rPr>
          <w:rFonts w:ascii="Arial" w:hAnsi="Arial" w:cs="Arial"/>
          <w:color w:val="000000"/>
          <w:sz w:val="24"/>
          <w:szCs w:val="24"/>
        </w:rPr>
        <w:t>conferences</w:t>
      </w:r>
      <w:r w:rsidRPr="004B4BA1">
        <w:rPr>
          <w:rFonts w:ascii="Arial" w:hAnsi="Arial" w:cs="Arial"/>
          <w:color w:val="000000"/>
          <w:sz w:val="24"/>
          <w:szCs w:val="24"/>
        </w:rPr>
        <w:t xml:space="preserve">. It goes without saying that this report would not have been possible without the active co-operation and </w:t>
      </w:r>
      <w:r w:rsidR="00342764">
        <w:rPr>
          <w:rFonts w:ascii="Arial" w:hAnsi="Arial" w:cs="Arial"/>
          <w:color w:val="000000"/>
          <w:sz w:val="24"/>
          <w:szCs w:val="24"/>
        </w:rPr>
        <w:t>predominantly enthusiastic response</w:t>
      </w:r>
      <w:r w:rsidRPr="004B4BA1">
        <w:rPr>
          <w:rFonts w:ascii="Arial" w:hAnsi="Arial" w:cs="Arial"/>
          <w:color w:val="000000"/>
          <w:sz w:val="24"/>
          <w:szCs w:val="24"/>
        </w:rPr>
        <w:t xml:space="preserve"> of the </w:t>
      </w:r>
      <w:r w:rsidR="00342764">
        <w:rPr>
          <w:rFonts w:ascii="Arial" w:hAnsi="Arial" w:cs="Arial"/>
          <w:color w:val="000000"/>
          <w:sz w:val="24"/>
          <w:szCs w:val="24"/>
        </w:rPr>
        <w:t>European Union</w:t>
      </w:r>
      <w:r w:rsidRPr="004B4BA1">
        <w:rPr>
          <w:rFonts w:ascii="Arial" w:hAnsi="Arial" w:cs="Arial"/>
          <w:color w:val="000000"/>
          <w:sz w:val="24"/>
          <w:szCs w:val="24"/>
        </w:rPr>
        <w:t xml:space="preserve"> </w:t>
      </w:r>
      <w:r w:rsidR="00342764">
        <w:rPr>
          <w:rFonts w:ascii="Arial" w:hAnsi="Arial" w:cs="Arial"/>
          <w:color w:val="000000"/>
          <w:sz w:val="24"/>
          <w:szCs w:val="24"/>
        </w:rPr>
        <w:t>L</w:t>
      </w:r>
      <w:r w:rsidRPr="004B4BA1">
        <w:rPr>
          <w:rFonts w:ascii="Arial" w:hAnsi="Arial" w:cs="Arial"/>
          <w:color w:val="000000"/>
          <w:sz w:val="24"/>
          <w:szCs w:val="24"/>
        </w:rPr>
        <w:t>aw teaching community across the UK. It must also be stated, if only for the avoidance of any doubt, that the conclusions drawn in this report are those of the authors.</w:t>
      </w:r>
    </w:p>
    <w:p w:rsidR="004B4BA1" w:rsidRDefault="004B4BA1" w:rsidP="004B4BA1">
      <w:pPr>
        <w:spacing w:line="360" w:lineRule="auto"/>
        <w:jc w:val="both"/>
        <w:rPr>
          <w:rFonts w:ascii="Arial" w:hAnsi="Arial" w:cs="Arial"/>
          <w:color w:val="000000"/>
          <w:sz w:val="24"/>
          <w:szCs w:val="24"/>
        </w:rPr>
      </w:pPr>
    </w:p>
    <w:p w:rsidR="00342764" w:rsidRDefault="004B4BA1" w:rsidP="004B4BA1">
      <w:pPr>
        <w:spacing w:line="360" w:lineRule="auto"/>
        <w:jc w:val="both"/>
        <w:rPr>
          <w:rFonts w:ascii="Arial" w:hAnsi="Arial" w:cs="Arial"/>
          <w:color w:val="000000"/>
          <w:sz w:val="24"/>
          <w:szCs w:val="24"/>
        </w:rPr>
      </w:pPr>
      <w:r w:rsidRPr="004B4BA1">
        <w:rPr>
          <w:rFonts w:ascii="Arial" w:hAnsi="Arial" w:cs="Arial"/>
          <w:color w:val="000000"/>
          <w:sz w:val="24"/>
          <w:szCs w:val="24"/>
        </w:rPr>
        <w:t xml:space="preserve">The authors are extremely grateful to Tracey Varnava at UKCLE for her encouragement and guidance throughout the undertaking of this report. We would also like to thank </w:t>
      </w:r>
      <w:r w:rsidR="00342764">
        <w:rPr>
          <w:rFonts w:ascii="Arial" w:hAnsi="Arial" w:cs="Arial"/>
          <w:color w:val="000000"/>
          <w:sz w:val="24"/>
          <w:szCs w:val="24"/>
        </w:rPr>
        <w:t>Chris Maguire, Organiser of the Association of Law Teachers Conference, held at Clare College, Cambridge (29 – 31 March 2010) and Jackie Jones, Convener of the European Union Law subject section of the Socio-Legal Studies Association Conference, held at Bristol Law School, University of the West of England (30 March – 1 April 2010) for the opportunities to present our findings</w:t>
      </w:r>
      <w:r w:rsidRPr="004B4BA1">
        <w:rPr>
          <w:rFonts w:ascii="Arial" w:hAnsi="Arial" w:cs="Arial"/>
          <w:color w:val="000000"/>
          <w:sz w:val="24"/>
          <w:szCs w:val="24"/>
        </w:rPr>
        <w:t>.</w:t>
      </w:r>
    </w:p>
    <w:p w:rsidR="00CC58DE" w:rsidRDefault="00CC58DE" w:rsidP="004B4BA1">
      <w:pPr>
        <w:spacing w:line="360" w:lineRule="auto"/>
        <w:jc w:val="both"/>
        <w:rPr>
          <w:rFonts w:ascii="Arial" w:hAnsi="Arial" w:cs="Arial"/>
          <w:color w:val="000000"/>
          <w:sz w:val="24"/>
          <w:szCs w:val="24"/>
        </w:rPr>
      </w:pPr>
    </w:p>
    <w:p w:rsidR="00CC58DE" w:rsidRDefault="00CC58DE" w:rsidP="004B4BA1">
      <w:pPr>
        <w:spacing w:line="360" w:lineRule="auto"/>
        <w:jc w:val="both"/>
        <w:rPr>
          <w:rFonts w:ascii="Arial" w:hAnsi="Arial" w:cs="Arial"/>
          <w:color w:val="000000"/>
          <w:sz w:val="24"/>
          <w:szCs w:val="24"/>
        </w:rPr>
      </w:pPr>
      <w:r>
        <w:rPr>
          <w:rFonts w:ascii="Arial" w:hAnsi="Arial" w:cs="Arial"/>
          <w:color w:val="000000"/>
          <w:sz w:val="24"/>
          <w:szCs w:val="24"/>
        </w:rPr>
        <w:t>Finally we would like to thank our colleagues Caroline Maughan and Jane Kay</w:t>
      </w:r>
      <w:r w:rsidR="007A3165">
        <w:rPr>
          <w:rFonts w:ascii="Arial" w:hAnsi="Arial" w:cs="Arial"/>
          <w:color w:val="000000"/>
          <w:sz w:val="24"/>
          <w:szCs w:val="24"/>
        </w:rPr>
        <w:t xml:space="preserve"> </w:t>
      </w:r>
      <w:r w:rsidR="000378A5">
        <w:rPr>
          <w:rFonts w:ascii="Arial" w:hAnsi="Arial" w:cs="Arial"/>
          <w:color w:val="000000"/>
          <w:sz w:val="24"/>
          <w:szCs w:val="24"/>
        </w:rPr>
        <w:t xml:space="preserve">for their contributions </w:t>
      </w:r>
      <w:r w:rsidR="007A3165">
        <w:rPr>
          <w:rFonts w:ascii="Arial" w:hAnsi="Arial" w:cs="Arial"/>
          <w:color w:val="000000"/>
          <w:sz w:val="24"/>
          <w:szCs w:val="24"/>
        </w:rPr>
        <w:t>during the first and second phases of the project.</w:t>
      </w:r>
    </w:p>
    <w:p w:rsidR="00D74D8B" w:rsidRDefault="00D74D8B">
      <w:pPr>
        <w:spacing w:after="0" w:line="240" w:lineRule="auto"/>
        <w:rPr>
          <w:rFonts w:ascii="Arial" w:hAnsi="Arial" w:cs="Arial"/>
          <w:color w:val="000000"/>
          <w:sz w:val="24"/>
          <w:szCs w:val="24"/>
        </w:rPr>
      </w:pPr>
      <w:r>
        <w:rPr>
          <w:rFonts w:ascii="Arial" w:hAnsi="Arial" w:cs="Arial"/>
          <w:color w:val="000000"/>
          <w:sz w:val="24"/>
          <w:szCs w:val="24"/>
        </w:rPr>
        <w:br w:type="page"/>
      </w:r>
    </w:p>
    <w:p w:rsidR="00D74D8B" w:rsidRDefault="00D74D8B" w:rsidP="004B4BA1">
      <w:pPr>
        <w:spacing w:line="360" w:lineRule="auto"/>
        <w:jc w:val="both"/>
        <w:rPr>
          <w:rFonts w:ascii="Arial" w:hAnsi="Arial" w:cs="Arial"/>
          <w:color w:val="000000"/>
          <w:sz w:val="28"/>
          <w:szCs w:val="28"/>
        </w:rPr>
      </w:pPr>
      <w:r>
        <w:rPr>
          <w:rFonts w:ascii="Arial" w:hAnsi="Arial" w:cs="Arial"/>
          <w:b/>
          <w:color w:val="000000"/>
          <w:sz w:val="28"/>
          <w:szCs w:val="28"/>
        </w:rPr>
        <w:lastRenderedPageBreak/>
        <w:t>Contents</w:t>
      </w:r>
    </w:p>
    <w:p w:rsidR="00D74D8B" w:rsidRDefault="00D74D8B" w:rsidP="004B4BA1">
      <w:pPr>
        <w:spacing w:line="360" w:lineRule="auto"/>
        <w:jc w:val="both"/>
        <w:rPr>
          <w:rFonts w:ascii="Arial" w:hAnsi="Arial" w:cs="Arial"/>
          <w:color w:val="000000"/>
          <w:sz w:val="24"/>
          <w:szCs w:val="24"/>
        </w:rPr>
      </w:pP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Acknowledgments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2</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Contents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3</w:t>
      </w:r>
    </w:p>
    <w:p w:rsidR="00D74D8B" w:rsidRDefault="00650E92" w:rsidP="004B4BA1">
      <w:pPr>
        <w:spacing w:line="360" w:lineRule="auto"/>
        <w:jc w:val="both"/>
        <w:rPr>
          <w:rFonts w:ascii="Arial" w:hAnsi="Arial" w:cs="Arial"/>
          <w:color w:val="000000"/>
          <w:sz w:val="24"/>
          <w:szCs w:val="24"/>
        </w:rPr>
      </w:pPr>
      <w:r>
        <w:rPr>
          <w:rFonts w:ascii="Arial" w:hAnsi="Arial" w:cs="Arial"/>
          <w:color w:val="000000"/>
          <w:sz w:val="24"/>
          <w:szCs w:val="24"/>
        </w:rPr>
        <w:t>Chapter 1</w:t>
      </w:r>
      <w:r>
        <w:rPr>
          <w:rFonts w:ascii="Arial" w:hAnsi="Arial" w:cs="Arial"/>
          <w:color w:val="000000"/>
          <w:sz w:val="24"/>
          <w:szCs w:val="24"/>
        </w:rPr>
        <w:tab/>
        <w:t>Introduction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6</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EU Law and the UK</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6</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Teaching EU Law and Commentary on Teaching and Learning</w:t>
      </w:r>
      <w:r>
        <w:rPr>
          <w:rFonts w:ascii="Arial" w:hAnsi="Arial" w:cs="Arial"/>
          <w:color w:val="000000"/>
          <w:sz w:val="24"/>
          <w:szCs w:val="24"/>
        </w:rPr>
        <w:tab/>
      </w:r>
      <w:r w:rsidR="00650E92">
        <w:rPr>
          <w:rFonts w:ascii="Arial" w:hAnsi="Arial" w:cs="Arial"/>
          <w:color w:val="000000"/>
          <w:sz w:val="24"/>
          <w:szCs w:val="24"/>
        </w:rPr>
        <w:t>6</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Aims and Objectives of the EU Law Subject Survey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14</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Structure of this Report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15</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Chapter 2</w:t>
      </w:r>
      <w:r>
        <w:rPr>
          <w:rFonts w:ascii="Arial" w:hAnsi="Arial" w:cs="Arial"/>
          <w:color w:val="000000"/>
          <w:sz w:val="24"/>
          <w:szCs w:val="24"/>
        </w:rPr>
        <w:tab/>
        <w:t>Methodology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17</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Chapter 3</w:t>
      </w:r>
      <w:r>
        <w:rPr>
          <w:rFonts w:ascii="Arial" w:hAnsi="Arial" w:cs="Arial"/>
          <w:color w:val="000000"/>
          <w:sz w:val="24"/>
          <w:szCs w:val="24"/>
        </w:rPr>
        <w:tab/>
        <w:t>European Law Teachers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21</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Gender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21</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Number of Teachers per Institution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22</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0817F3">
        <w:rPr>
          <w:rFonts w:ascii="Arial" w:hAnsi="Arial" w:cs="Arial"/>
          <w:color w:val="000000"/>
          <w:sz w:val="24"/>
          <w:szCs w:val="24"/>
        </w:rPr>
        <w:t>Summary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22</w:t>
      </w:r>
    </w:p>
    <w:p w:rsidR="00D74D8B" w:rsidRDefault="00D74D8B" w:rsidP="004B4BA1">
      <w:pPr>
        <w:spacing w:line="360" w:lineRule="auto"/>
        <w:jc w:val="both"/>
        <w:rPr>
          <w:rFonts w:ascii="Arial" w:hAnsi="Arial" w:cs="Arial"/>
          <w:color w:val="000000"/>
          <w:sz w:val="24"/>
          <w:szCs w:val="24"/>
        </w:rPr>
      </w:pPr>
      <w:r>
        <w:rPr>
          <w:rFonts w:ascii="Arial" w:hAnsi="Arial" w:cs="Arial"/>
          <w:color w:val="000000"/>
          <w:sz w:val="24"/>
          <w:szCs w:val="24"/>
        </w:rPr>
        <w:t>Chapter 4</w:t>
      </w:r>
      <w:r>
        <w:rPr>
          <w:rFonts w:ascii="Arial" w:hAnsi="Arial" w:cs="Arial"/>
          <w:color w:val="000000"/>
          <w:sz w:val="24"/>
          <w:szCs w:val="24"/>
        </w:rPr>
        <w:tab/>
        <w:t>Contents of European Union Law Courses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650E92">
        <w:rPr>
          <w:rFonts w:ascii="Arial" w:hAnsi="Arial" w:cs="Arial"/>
          <w:color w:val="000000"/>
          <w:sz w:val="24"/>
          <w:szCs w:val="24"/>
        </w:rPr>
        <w:t>24</w:t>
      </w:r>
    </w:p>
    <w:p w:rsidR="00D74D8B" w:rsidRDefault="00D74D8B" w:rsidP="004B4BA1">
      <w:pPr>
        <w:spacing w:line="360" w:lineRule="auto"/>
        <w:jc w:val="both"/>
        <w:rPr>
          <w:rFonts w:ascii="Arial" w:hAnsi="Arial" w:cs="Arial"/>
          <w:sz w:val="24"/>
          <w:szCs w:val="24"/>
        </w:rPr>
      </w:pPr>
      <w:r>
        <w:rPr>
          <w:rFonts w:ascii="Arial" w:hAnsi="Arial" w:cs="Arial"/>
          <w:color w:val="000000"/>
          <w:sz w:val="24"/>
          <w:szCs w:val="24"/>
        </w:rPr>
        <w:tab/>
      </w:r>
      <w:r>
        <w:rPr>
          <w:rFonts w:ascii="Arial" w:hAnsi="Arial" w:cs="Arial"/>
          <w:color w:val="000000"/>
          <w:sz w:val="24"/>
          <w:szCs w:val="24"/>
        </w:rPr>
        <w:tab/>
      </w:r>
      <w:r w:rsidR="00CC1ADE" w:rsidRPr="00E80F0C">
        <w:rPr>
          <w:rFonts w:ascii="Arial" w:hAnsi="Arial" w:cs="Arial"/>
          <w:sz w:val="24"/>
          <w:szCs w:val="24"/>
        </w:rPr>
        <w:t>EU L</w:t>
      </w:r>
      <w:r w:rsidR="00CC1ADE">
        <w:rPr>
          <w:rFonts w:ascii="Arial" w:hAnsi="Arial" w:cs="Arial"/>
          <w:sz w:val="24"/>
          <w:szCs w:val="24"/>
        </w:rPr>
        <w:t>aw as a Compulsory S</w:t>
      </w:r>
      <w:r w:rsidR="00CC1ADE" w:rsidRPr="00E80F0C">
        <w:rPr>
          <w:rFonts w:ascii="Arial" w:hAnsi="Arial" w:cs="Arial"/>
          <w:sz w:val="24"/>
          <w:szCs w:val="24"/>
        </w:rPr>
        <w:t>ubject</w:t>
      </w:r>
      <w:r w:rsidR="00CC1ADE">
        <w:rPr>
          <w:rFonts w:ascii="Arial" w:hAnsi="Arial" w:cs="Arial"/>
          <w:sz w:val="24"/>
          <w:szCs w:val="24"/>
        </w:rPr>
        <w:tab/>
      </w:r>
      <w:r w:rsidR="00CC1ADE">
        <w:rPr>
          <w:rFonts w:ascii="Arial" w:hAnsi="Arial" w:cs="Arial"/>
          <w:sz w:val="24"/>
          <w:szCs w:val="24"/>
        </w:rPr>
        <w:tab/>
      </w:r>
      <w:r w:rsidR="00CC1ADE">
        <w:rPr>
          <w:rFonts w:ascii="Arial" w:hAnsi="Arial" w:cs="Arial"/>
          <w:sz w:val="24"/>
          <w:szCs w:val="24"/>
        </w:rPr>
        <w:tab/>
      </w:r>
      <w:r w:rsidR="00CC1ADE">
        <w:rPr>
          <w:rFonts w:ascii="Arial" w:hAnsi="Arial" w:cs="Arial"/>
          <w:sz w:val="24"/>
          <w:szCs w:val="24"/>
        </w:rPr>
        <w:tab/>
      </w:r>
      <w:r w:rsidR="00CC1ADE">
        <w:rPr>
          <w:rFonts w:ascii="Arial" w:hAnsi="Arial" w:cs="Arial"/>
          <w:sz w:val="24"/>
          <w:szCs w:val="24"/>
        </w:rPr>
        <w:tab/>
      </w:r>
      <w:r w:rsidR="00CC1ADE">
        <w:rPr>
          <w:rFonts w:ascii="Arial" w:hAnsi="Arial" w:cs="Arial"/>
          <w:sz w:val="24"/>
          <w:szCs w:val="24"/>
        </w:rPr>
        <w:tab/>
      </w:r>
      <w:r w:rsidR="00650E92">
        <w:rPr>
          <w:rFonts w:ascii="Arial" w:hAnsi="Arial" w:cs="Arial"/>
          <w:sz w:val="24"/>
          <w:szCs w:val="24"/>
        </w:rPr>
        <w:t>24</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F0C">
        <w:rPr>
          <w:rFonts w:ascii="Arial" w:hAnsi="Arial" w:cs="Arial"/>
          <w:sz w:val="24"/>
          <w:szCs w:val="24"/>
        </w:rPr>
        <w:t>EU L</w:t>
      </w:r>
      <w:r>
        <w:rPr>
          <w:rFonts w:ascii="Arial" w:hAnsi="Arial" w:cs="Arial"/>
          <w:sz w:val="24"/>
          <w:szCs w:val="24"/>
        </w:rPr>
        <w:t>aw as an Optional S</w:t>
      </w:r>
      <w:r w:rsidRPr="00E80F0C">
        <w:rPr>
          <w:rFonts w:ascii="Arial" w:hAnsi="Arial" w:cs="Arial"/>
          <w:sz w:val="24"/>
          <w:szCs w:val="24"/>
        </w:rPr>
        <w:t>ubject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25</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Integrating EU L</w:t>
      </w:r>
      <w:r w:rsidRPr="00E80F0C">
        <w:rPr>
          <w:rFonts w:ascii="Arial" w:hAnsi="Arial" w:cs="Arial"/>
          <w:sz w:val="24"/>
          <w:szCs w:val="24"/>
        </w:rPr>
        <w:t xml:space="preserve">aw </w:t>
      </w:r>
      <w:r>
        <w:rPr>
          <w:rFonts w:ascii="Arial" w:hAnsi="Arial" w:cs="Arial"/>
          <w:sz w:val="24"/>
          <w:szCs w:val="24"/>
        </w:rPr>
        <w:t>in Other C</w:t>
      </w:r>
      <w:r w:rsidRPr="00E80F0C">
        <w:rPr>
          <w:rFonts w:ascii="Arial" w:hAnsi="Arial" w:cs="Arial"/>
          <w:sz w:val="24"/>
          <w:szCs w:val="24"/>
        </w:rPr>
        <w:t>ourses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27</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Conclusions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30</w:t>
      </w:r>
    </w:p>
    <w:p w:rsidR="00CC1ADE" w:rsidRDefault="00CC1ADE" w:rsidP="004B4BA1">
      <w:pPr>
        <w:spacing w:line="360" w:lineRule="auto"/>
        <w:jc w:val="both"/>
        <w:rPr>
          <w:rFonts w:ascii="Arial" w:hAnsi="Arial" w:cs="Arial"/>
          <w:sz w:val="24"/>
          <w:szCs w:val="24"/>
        </w:rPr>
      </w:pPr>
      <w:r>
        <w:rPr>
          <w:rFonts w:ascii="Arial" w:hAnsi="Arial" w:cs="Arial"/>
          <w:sz w:val="24"/>
          <w:szCs w:val="24"/>
        </w:rPr>
        <w:t>Chapter 5</w:t>
      </w:r>
      <w:r>
        <w:rPr>
          <w:rFonts w:ascii="Arial" w:hAnsi="Arial" w:cs="Arial"/>
          <w:sz w:val="24"/>
          <w:szCs w:val="24"/>
        </w:rPr>
        <w:tab/>
        <w:t>Type of Course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32</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Main C</w:t>
      </w:r>
      <w:r w:rsidRPr="00E80F0C">
        <w:rPr>
          <w:rFonts w:ascii="Arial" w:hAnsi="Arial" w:cs="Arial"/>
          <w:sz w:val="24"/>
          <w:szCs w:val="24"/>
        </w:rPr>
        <w:t>haracteristics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32</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LLB/QLD and CPE: T</w:t>
      </w:r>
      <w:r w:rsidRPr="00E80F0C">
        <w:rPr>
          <w:rFonts w:ascii="Arial" w:hAnsi="Arial" w:cs="Arial"/>
          <w:sz w:val="24"/>
          <w:szCs w:val="24"/>
        </w:rPr>
        <w:t xml:space="preserve">ogether or </w:t>
      </w:r>
      <w:r>
        <w:rPr>
          <w:rFonts w:ascii="Arial" w:hAnsi="Arial" w:cs="Arial"/>
          <w:sz w:val="24"/>
          <w:szCs w:val="24"/>
        </w:rPr>
        <w:t>S</w:t>
      </w:r>
      <w:r w:rsidRPr="00E80F0C">
        <w:rPr>
          <w:rFonts w:ascii="Arial" w:hAnsi="Arial" w:cs="Arial"/>
          <w:sz w:val="24"/>
          <w:szCs w:val="24"/>
        </w:rPr>
        <w:t>eparate?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32</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Conclusions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33</w:t>
      </w:r>
    </w:p>
    <w:p w:rsidR="00CC1ADE" w:rsidRDefault="00CC1ADE" w:rsidP="004B4BA1">
      <w:pPr>
        <w:spacing w:line="360" w:lineRule="auto"/>
        <w:jc w:val="both"/>
        <w:rPr>
          <w:rFonts w:ascii="Arial" w:hAnsi="Arial" w:cs="Arial"/>
          <w:sz w:val="24"/>
          <w:szCs w:val="24"/>
        </w:rPr>
      </w:pPr>
      <w:r>
        <w:rPr>
          <w:rFonts w:ascii="Arial" w:hAnsi="Arial" w:cs="Arial"/>
          <w:sz w:val="24"/>
          <w:szCs w:val="24"/>
        </w:rPr>
        <w:lastRenderedPageBreak/>
        <w:t>Chapter 6</w:t>
      </w:r>
      <w:r>
        <w:rPr>
          <w:rFonts w:ascii="Arial" w:hAnsi="Arial" w:cs="Arial"/>
          <w:sz w:val="24"/>
          <w:szCs w:val="24"/>
        </w:rPr>
        <w:tab/>
        <w:t>Course Content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34</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80F0C">
        <w:rPr>
          <w:rFonts w:ascii="Arial" w:hAnsi="Arial" w:cs="Arial"/>
          <w:sz w:val="24"/>
          <w:szCs w:val="24"/>
        </w:rPr>
        <w:t xml:space="preserve">General </w:t>
      </w:r>
      <w:r>
        <w:rPr>
          <w:rFonts w:ascii="Arial" w:hAnsi="Arial" w:cs="Arial"/>
          <w:sz w:val="24"/>
          <w:szCs w:val="24"/>
        </w:rPr>
        <w:t>Areas Covered in Principal EU C</w:t>
      </w:r>
      <w:r w:rsidRPr="00E80F0C">
        <w:rPr>
          <w:rFonts w:ascii="Arial" w:hAnsi="Arial" w:cs="Arial"/>
          <w:sz w:val="24"/>
          <w:szCs w:val="24"/>
        </w:rPr>
        <w:t>ourses</w:t>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34</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EU Law Subjects Taught in Other Courses/M</w:t>
      </w:r>
      <w:r w:rsidRPr="00E80F0C">
        <w:rPr>
          <w:rFonts w:ascii="Arial" w:hAnsi="Arial" w:cs="Arial"/>
          <w:sz w:val="24"/>
          <w:szCs w:val="24"/>
        </w:rPr>
        <w:t>odules</w:t>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40</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Conclusions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43</w:t>
      </w:r>
    </w:p>
    <w:p w:rsidR="00CC1ADE" w:rsidRDefault="00CC1ADE" w:rsidP="004B4BA1">
      <w:pPr>
        <w:spacing w:line="360" w:lineRule="auto"/>
        <w:jc w:val="both"/>
        <w:rPr>
          <w:rFonts w:ascii="Arial" w:hAnsi="Arial" w:cs="Arial"/>
          <w:sz w:val="24"/>
          <w:szCs w:val="24"/>
        </w:rPr>
      </w:pPr>
      <w:r>
        <w:rPr>
          <w:rFonts w:ascii="Arial" w:hAnsi="Arial" w:cs="Arial"/>
          <w:sz w:val="24"/>
          <w:szCs w:val="24"/>
        </w:rPr>
        <w:t>Chapter 7</w:t>
      </w:r>
      <w:r>
        <w:rPr>
          <w:rFonts w:ascii="Arial" w:hAnsi="Arial" w:cs="Arial"/>
          <w:sz w:val="24"/>
          <w:szCs w:val="24"/>
        </w:rPr>
        <w:tab/>
        <w:t>Factors Affecting Course Content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0E92">
        <w:rPr>
          <w:rFonts w:ascii="Arial" w:hAnsi="Arial" w:cs="Arial"/>
          <w:sz w:val="24"/>
          <w:szCs w:val="24"/>
        </w:rPr>
        <w:t>44</w:t>
      </w:r>
    </w:p>
    <w:p w:rsidR="00CC1ADE" w:rsidRDefault="00CC1ADE" w:rsidP="004B4BA1">
      <w:pPr>
        <w:spacing w:line="360" w:lineRule="auto"/>
        <w:jc w:val="both"/>
        <w:rPr>
          <w:rFonts w:ascii="Arial" w:eastAsiaTheme="minorHAnsi" w:hAnsi="Arial" w:cs="Arial"/>
          <w:sz w:val="24"/>
          <w:szCs w:val="24"/>
        </w:rPr>
      </w:pPr>
      <w:r>
        <w:rPr>
          <w:rFonts w:ascii="Arial" w:hAnsi="Arial" w:cs="Arial"/>
          <w:sz w:val="24"/>
          <w:szCs w:val="24"/>
        </w:rPr>
        <w:tab/>
      </w:r>
      <w:r>
        <w:rPr>
          <w:rFonts w:ascii="Arial" w:hAnsi="Arial" w:cs="Arial"/>
          <w:sz w:val="24"/>
          <w:szCs w:val="24"/>
        </w:rPr>
        <w:tab/>
      </w:r>
      <w:r>
        <w:rPr>
          <w:rFonts w:ascii="Arial" w:eastAsiaTheme="minorHAnsi" w:hAnsi="Arial" w:cs="Arial"/>
          <w:sz w:val="24"/>
          <w:szCs w:val="24"/>
        </w:rPr>
        <w:t>Influential Factors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650E92">
        <w:rPr>
          <w:rFonts w:ascii="Arial" w:eastAsiaTheme="minorHAnsi" w:hAnsi="Arial" w:cs="Arial"/>
          <w:sz w:val="24"/>
          <w:szCs w:val="24"/>
        </w:rPr>
        <w:t>44</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Minor Factors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650E92">
        <w:rPr>
          <w:rFonts w:ascii="Arial" w:eastAsiaTheme="minorHAnsi" w:hAnsi="Arial" w:cs="Arial"/>
          <w:sz w:val="24"/>
          <w:szCs w:val="24"/>
        </w:rPr>
        <w:t>44</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Conclusions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650E92">
        <w:rPr>
          <w:rFonts w:ascii="Arial" w:eastAsiaTheme="minorHAnsi" w:hAnsi="Arial" w:cs="Arial"/>
          <w:sz w:val="24"/>
          <w:szCs w:val="24"/>
        </w:rPr>
        <w:t>54</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Chapter 8</w:t>
      </w:r>
      <w:r>
        <w:rPr>
          <w:rFonts w:ascii="Arial" w:eastAsiaTheme="minorHAnsi" w:hAnsi="Arial" w:cs="Arial"/>
          <w:sz w:val="24"/>
          <w:szCs w:val="24"/>
        </w:rPr>
        <w:tab/>
        <w:t>Teaching and Learning Methods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650E92">
        <w:rPr>
          <w:rFonts w:ascii="Arial" w:eastAsiaTheme="minorHAnsi" w:hAnsi="Arial" w:cs="Arial"/>
          <w:sz w:val="24"/>
          <w:szCs w:val="24"/>
        </w:rPr>
        <w:t>55</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Conclusions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701839">
        <w:rPr>
          <w:rFonts w:ascii="Arial" w:eastAsiaTheme="minorHAnsi" w:hAnsi="Arial" w:cs="Arial"/>
          <w:sz w:val="24"/>
          <w:szCs w:val="24"/>
        </w:rPr>
        <w:t>59</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Chapter 9</w:t>
      </w:r>
      <w:r>
        <w:rPr>
          <w:rFonts w:ascii="Arial" w:eastAsiaTheme="minorHAnsi" w:hAnsi="Arial" w:cs="Arial"/>
          <w:sz w:val="24"/>
          <w:szCs w:val="24"/>
        </w:rPr>
        <w:tab/>
        <w:t>Electronic Resources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60</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Results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60</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Conclusions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701839">
        <w:rPr>
          <w:rFonts w:ascii="Arial" w:eastAsiaTheme="minorHAnsi" w:hAnsi="Arial" w:cs="Arial"/>
          <w:sz w:val="24"/>
          <w:szCs w:val="24"/>
        </w:rPr>
        <w:t>64</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Chapter 10</w:t>
      </w:r>
      <w:r>
        <w:rPr>
          <w:rFonts w:ascii="Arial" w:eastAsiaTheme="minorHAnsi" w:hAnsi="Arial" w:cs="Arial"/>
          <w:sz w:val="24"/>
          <w:szCs w:val="24"/>
        </w:rPr>
        <w:tab/>
        <w:t>Textbooks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66</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Results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66</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Specialist Textbooks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70</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hAnsi="Arial" w:cs="Arial"/>
          <w:sz w:val="24"/>
          <w:szCs w:val="24"/>
        </w:rPr>
        <w:t>Reasons for Choice of Books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71</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Conclusions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71</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Chapter 11</w:t>
      </w:r>
      <w:r>
        <w:rPr>
          <w:rFonts w:ascii="Arial" w:eastAsiaTheme="minorHAnsi" w:hAnsi="Arial" w:cs="Arial"/>
          <w:sz w:val="24"/>
          <w:szCs w:val="24"/>
        </w:rPr>
        <w:tab/>
      </w:r>
      <w:proofErr w:type="gramStart"/>
      <w:r>
        <w:rPr>
          <w:rFonts w:ascii="Arial" w:eastAsiaTheme="minorHAnsi" w:hAnsi="Arial" w:cs="Arial"/>
          <w:sz w:val="24"/>
          <w:szCs w:val="24"/>
        </w:rPr>
        <w:t>The</w:t>
      </w:r>
      <w:proofErr w:type="gramEnd"/>
      <w:r>
        <w:rPr>
          <w:rFonts w:ascii="Arial" w:eastAsiaTheme="minorHAnsi" w:hAnsi="Arial" w:cs="Arial"/>
          <w:sz w:val="24"/>
          <w:szCs w:val="24"/>
        </w:rPr>
        <w:t xml:space="preserve"> Challenges of Teaching EU Law</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73</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Results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73</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t>Conclusions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81</w:t>
      </w:r>
    </w:p>
    <w:p w:rsidR="00CC1ADE" w:rsidRDefault="00CC1ADE" w:rsidP="004B4BA1">
      <w:pPr>
        <w:spacing w:line="360" w:lineRule="auto"/>
        <w:jc w:val="both"/>
        <w:rPr>
          <w:rFonts w:ascii="Arial" w:eastAsiaTheme="minorHAnsi" w:hAnsi="Arial" w:cs="Arial"/>
          <w:sz w:val="24"/>
          <w:szCs w:val="24"/>
        </w:rPr>
      </w:pPr>
      <w:r>
        <w:rPr>
          <w:rFonts w:ascii="Arial" w:eastAsiaTheme="minorHAnsi" w:hAnsi="Arial" w:cs="Arial"/>
          <w:sz w:val="24"/>
          <w:szCs w:val="24"/>
        </w:rPr>
        <w:t>Chapter 12</w:t>
      </w:r>
      <w:r>
        <w:rPr>
          <w:rFonts w:ascii="Arial" w:eastAsiaTheme="minorHAnsi" w:hAnsi="Arial" w:cs="Arial"/>
          <w:sz w:val="24"/>
          <w:szCs w:val="24"/>
        </w:rPr>
        <w:tab/>
        <w:t>Assessment Methods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132904">
        <w:rPr>
          <w:rFonts w:ascii="Arial" w:eastAsiaTheme="minorHAnsi" w:hAnsi="Arial" w:cs="Arial"/>
          <w:sz w:val="24"/>
          <w:szCs w:val="24"/>
        </w:rPr>
        <w:t>83</w:t>
      </w:r>
    </w:p>
    <w:p w:rsidR="00CC1ADE" w:rsidRDefault="00CC1ADE" w:rsidP="004B4BA1">
      <w:pPr>
        <w:spacing w:line="360" w:lineRule="auto"/>
        <w:jc w:val="both"/>
        <w:rPr>
          <w:rFonts w:ascii="Arial"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hAnsi="Arial" w:cs="Arial"/>
          <w:sz w:val="24"/>
          <w:szCs w:val="24"/>
        </w:rPr>
        <w:t>Summative Assessment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83</w:t>
      </w:r>
    </w:p>
    <w:p w:rsidR="00CC1ADE" w:rsidRDefault="00CC1ADE" w:rsidP="004B4BA1">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Formative Assessment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86</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Conclusions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87</w:t>
      </w:r>
    </w:p>
    <w:p w:rsidR="00CC1ADE" w:rsidRDefault="00CC1ADE" w:rsidP="004B4BA1">
      <w:pPr>
        <w:spacing w:line="360" w:lineRule="auto"/>
        <w:jc w:val="both"/>
        <w:rPr>
          <w:rFonts w:ascii="Arial" w:hAnsi="Arial" w:cs="Arial"/>
          <w:sz w:val="24"/>
          <w:szCs w:val="24"/>
        </w:rPr>
      </w:pPr>
      <w:r>
        <w:rPr>
          <w:rFonts w:ascii="Arial" w:hAnsi="Arial" w:cs="Arial"/>
          <w:sz w:val="24"/>
          <w:szCs w:val="24"/>
        </w:rPr>
        <w:t>Chapter 13</w:t>
      </w:r>
      <w:r>
        <w:rPr>
          <w:rFonts w:ascii="Arial" w:hAnsi="Arial" w:cs="Arial"/>
          <w:sz w:val="24"/>
          <w:szCs w:val="24"/>
        </w:rPr>
        <w:tab/>
        <w:t>Course Evaluation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88</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Results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88</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Method of Course Evaluation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89</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0817F3">
        <w:rPr>
          <w:rFonts w:ascii="Arial" w:hAnsi="Arial" w:cs="Arial"/>
          <w:sz w:val="24"/>
          <w:szCs w:val="24"/>
        </w:rPr>
        <w:t xml:space="preserve">Perceived Value of </w:t>
      </w:r>
      <w:r>
        <w:rPr>
          <w:rFonts w:ascii="Arial" w:hAnsi="Arial" w:cs="Arial"/>
          <w:sz w:val="24"/>
          <w:szCs w:val="24"/>
        </w:rPr>
        <w:t xml:space="preserve">Course Evaluation </w:t>
      </w:r>
      <w:r w:rsidR="000817F3">
        <w:rPr>
          <w:rFonts w:ascii="Arial" w:hAnsi="Arial" w:cs="Arial"/>
          <w:sz w:val="24"/>
          <w:szCs w:val="24"/>
        </w:rPr>
        <w:t>Methods</w:t>
      </w:r>
      <w:r w:rsidR="000817F3">
        <w:rPr>
          <w:rFonts w:ascii="Arial" w:hAnsi="Arial" w:cs="Arial"/>
          <w:sz w:val="24"/>
          <w:szCs w:val="24"/>
        </w:rPr>
        <w:tab/>
      </w:r>
      <w:r w:rsidR="000817F3">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89</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Conclusions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95</w:t>
      </w:r>
    </w:p>
    <w:p w:rsidR="00CC1ADE" w:rsidRDefault="00CC1ADE" w:rsidP="004B4BA1">
      <w:pPr>
        <w:spacing w:line="360" w:lineRule="auto"/>
        <w:jc w:val="both"/>
        <w:rPr>
          <w:rFonts w:ascii="Arial" w:hAnsi="Arial" w:cs="Arial"/>
          <w:sz w:val="24"/>
          <w:szCs w:val="24"/>
        </w:rPr>
      </w:pPr>
      <w:r>
        <w:rPr>
          <w:rFonts w:ascii="Arial" w:hAnsi="Arial" w:cs="Arial"/>
          <w:sz w:val="24"/>
          <w:szCs w:val="24"/>
        </w:rPr>
        <w:t>Chapter 14</w:t>
      </w:r>
      <w:r>
        <w:rPr>
          <w:rFonts w:ascii="Arial" w:hAnsi="Arial" w:cs="Arial"/>
          <w:sz w:val="24"/>
          <w:szCs w:val="24"/>
        </w:rPr>
        <w:tab/>
      </w:r>
      <w:r w:rsidR="000817F3">
        <w:rPr>
          <w:rFonts w:ascii="Arial" w:hAnsi="Arial" w:cs="Arial"/>
          <w:sz w:val="24"/>
          <w:szCs w:val="24"/>
        </w:rPr>
        <w:t>Effective</w:t>
      </w:r>
      <w:r>
        <w:rPr>
          <w:rFonts w:ascii="Arial" w:hAnsi="Arial" w:cs="Arial"/>
          <w:sz w:val="24"/>
          <w:szCs w:val="24"/>
        </w:rPr>
        <w:t xml:space="preserve"> Practice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96</w:t>
      </w:r>
    </w:p>
    <w:p w:rsidR="00CC1ADE" w:rsidRDefault="00CC1ADE"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7D7387">
        <w:rPr>
          <w:rFonts w:ascii="Arial" w:hAnsi="Arial" w:cs="Arial"/>
          <w:sz w:val="24"/>
          <w:szCs w:val="24"/>
        </w:rPr>
        <w:t>Results</w:t>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7D7387">
        <w:rPr>
          <w:rFonts w:ascii="Arial" w:hAnsi="Arial" w:cs="Arial"/>
          <w:sz w:val="24"/>
          <w:szCs w:val="24"/>
        </w:rPr>
        <w:tab/>
      </w:r>
      <w:r w:rsidR="00132904">
        <w:rPr>
          <w:rFonts w:ascii="Arial" w:hAnsi="Arial" w:cs="Arial"/>
          <w:sz w:val="24"/>
          <w:szCs w:val="24"/>
        </w:rPr>
        <w:t>96</w:t>
      </w:r>
    </w:p>
    <w:p w:rsidR="007D7387" w:rsidRDefault="007D7387"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LLB/QLD Providers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904">
        <w:rPr>
          <w:rFonts w:ascii="Arial" w:hAnsi="Arial" w:cs="Arial"/>
          <w:sz w:val="24"/>
          <w:szCs w:val="24"/>
        </w:rPr>
        <w:t>96</w:t>
      </w:r>
    </w:p>
    <w:p w:rsidR="007D7387" w:rsidRDefault="007D7387"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CPE Providers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817F3">
        <w:rPr>
          <w:rFonts w:ascii="Arial" w:hAnsi="Arial" w:cs="Arial"/>
          <w:sz w:val="24"/>
          <w:szCs w:val="24"/>
        </w:rPr>
        <w:t xml:space="preserve">          101</w:t>
      </w:r>
    </w:p>
    <w:p w:rsidR="007D7387" w:rsidRDefault="007D7387" w:rsidP="004B4BA1">
      <w:pPr>
        <w:spacing w:line="360" w:lineRule="auto"/>
        <w:jc w:val="both"/>
        <w:rPr>
          <w:rFonts w:ascii="Arial" w:hAnsi="Arial" w:cs="Arial"/>
          <w:sz w:val="24"/>
          <w:szCs w:val="24"/>
        </w:rPr>
      </w:pPr>
      <w:r>
        <w:rPr>
          <w:rFonts w:ascii="Arial" w:hAnsi="Arial" w:cs="Arial"/>
          <w:sz w:val="24"/>
          <w:szCs w:val="24"/>
        </w:rPr>
        <w:tab/>
      </w:r>
      <w:r w:rsidR="00650E92">
        <w:rPr>
          <w:rFonts w:ascii="Arial" w:hAnsi="Arial" w:cs="Arial"/>
          <w:sz w:val="24"/>
          <w:szCs w:val="24"/>
        </w:rPr>
        <w:tab/>
      </w:r>
      <w:r w:rsidR="00132904">
        <w:rPr>
          <w:rFonts w:ascii="Arial" w:hAnsi="Arial" w:cs="Arial"/>
          <w:sz w:val="24"/>
          <w:szCs w:val="24"/>
        </w:rPr>
        <w:t>Conclusions</w:t>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t xml:space="preserve">          104</w:t>
      </w:r>
    </w:p>
    <w:p w:rsidR="007D7387" w:rsidRDefault="00650E92" w:rsidP="004B4BA1">
      <w:pPr>
        <w:spacing w:line="360" w:lineRule="auto"/>
        <w:jc w:val="both"/>
        <w:rPr>
          <w:rFonts w:ascii="Arial" w:hAnsi="Arial" w:cs="Arial"/>
          <w:sz w:val="24"/>
          <w:szCs w:val="24"/>
        </w:rPr>
      </w:pPr>
      <w:r>
        <w:rPr>
          <w:rFonts w:ascii="Arial" w:hAnsi="Arial" w:cs="Arial"/>
          <w:sz w:val="24"/>
          <w:szCs w:val="24"/>
        </w:rPr>
        <w:t>Chapter 15</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Future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32904">
        <w:rPr>
          <w:rFonts w:ascii="Arial" w:hAnsi="Arial" w:cs="Arial"/>
          <w:sz w:val="24"/>
          <w:szCs w:val="24"/>
        </w:rPr>
        <w:t xml:space="preserve">     106</w:t>
      </w:r>
    </w:p>
    <w:p w:rsidR="00650E92" w:rsidRDefault="00650E92"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Future Directions for </w:t>
      </w:r>
      <w:r w:rsidR="00132904">
        <w:rPr>
          <w:rFonts w:ascii="Arial" w:hAnsi="Arial" w:cs="Arial"/>
          <w:sz w:val="24"/>
          <w:szCs w:val="24"/>
        </w:rPr>
        <w:t>Teaching EU Law</w:t>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t xml:space="preserve">          106</w:t>
      </w:r>
    </w:p>
    <w:p w:rsidR="00650E92" w:rsidRDefault="00650E92" w:rsidP="004B4BA1">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Future Research</w:t>
      </w:r>
      <w:r w:rsidR="00132904">
        <w:rPr>
          <w:rFonts w:ascii="Arial" w:hAnsi="Arial" w:cs="Arial"/>
          <w:sz w:val="24"/>
          <w:szCs w:val="24"/>
        </w:rPr>
        <w:t xml:space="preserve"> Opportunities</w:t>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t xml:space="preserve">          108</w:t>
      </w:r>
    </w:p>
    <w:p w:rsidR="007D7387" w:rsidRDefault="00650E92" w:rsidP="004B4BA1">
      <w:pPr>
        <w:spacing w:line="360" w:lineRule="auto"/>
        <w:jc w:val="both"/>
        <w:rPr>
          <w:rFonts w:ascii="Arial" w:hAnsi="Arial" w:cs="Arial"/>
          <w:sz w:val="24"/>
          <w:szCs w:val="24"/>
        </w:rPr>
      </w:pPr>
      <w:r>
        <w:rPr>
          <w:rFonts w:ascii="Arial" w:hAnsi="Arial" w:cs="Arial"/>
          <w:sz w:val="24"/>
          <w:szCs w:val="24"/>
        </w:rPr>
        <w:t>Bi</w:t>
      </w:r>
      <w:r w:rsidR="00132904">
        <w:rPr>
          <w:rFonts w:ascii="Arial" w:hAnsi="Arial" w:cs="Arial"/>
          <w:sz w:val="24"/>
          <w:szCs w:val="24"/>
        </w:rPr>
        <w:t>bliography</w:t>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r>
      <w:r w:rsidR="00132904">
        <w:rPr>
          <w:rFonts w:ascii="Arial" w:hAnsi="Arial" w:cs="Arial"/>
          <w:sz w:val="24"/>
          <w:szCs w:val="24"/>
        </w:rPr>
        <w:tab/>
        <w:t xml:space="preserve">          111</w:t>
      </w:r>
    </w:p>
    <w:p w:rsidR="007D7387" w:rsidRDefault="002A75CB" w:rsidP="004B4BA1">
      <w:pPr>
        <w:spacing w:line="360" w:lineRule="auto"/>
        <w:jc w:val="both"/>
        <w:rPr>
          <w:rFonts w:ascii="Arial" w:hAnsi="Arial" w:cs="Arial"/>
          <w:sz w:val="24"/>
          <w:szCs w:val="24"/>
        </w:rPr>
      </w:pPr>
      <w:r>
        <w:rPr>
          <w:rFonts w:ascii="Arial" w:hAnsi="Arial" w:cs="Arial"/>
          <w:sz w:val="24"/>
          <w:szCs w:val="24"/>
        </w:rPr>
        <w:t>App</w:t>
      </w:r>
      <w:r w:rsidR="007D7387">
        <w:rPr>
          <w:rFonts w:ascii="Arial" w:hAnsi="Arial" w:cs="Arial"/>
          <w:sz w:val="24"/>
          <w:szCs w:val="24"/>
        </w:rPr>
        <w:t>e</w:t>
      </w:r>
      <w:r>
        <w:rPr>
          <w:rFonts w:ascii="Arial" w:hAnsi="Arial" w:cs="Arial"/>
          <w:sz w:val="24"/>
          <w:szCs w:val="24"/>
        </w:rPr>
        <w:t>ndi</w:t>
      </w:r>
      <w:r w:rsidR="007D7387">
        <w:rPr>
          <w:rFonts w:ascii="Arial" w:hAnsi="Arial" w:cs="Arial"/>
          <w:sz w:val="24"/>
          <w:szCs w:val="24"/>
        </w:rPr>
        <w:t>x</w:t>
      </w:r>
      <w:r w:rsidR="00527467">
        <w:rPr>
          <w:rFonts w:ascii="Arial" w:hAnsi="Arial" w:cs="Arial"/>
          <w:sz w:val="24"/>
          <w:szCs w:val="24"/>
        </w:rPr>
        <w:t xml:space="preserve"> 1</w:t>
      </w:r>
      <w:r w:rsidR="007D7387">
        <w:rPr>
          <w:rFonts w:ascii="Arial" w:hAnsi="Arial" w:cs="Arial"/>
          <w:sz w:val="24"/>
          <w:szCs w:val="24"/>
        </w:rPr>
        <w:tab/>
        <w:t>EU Law S</w:t>
      </w:r>
      <w:r w:rsidR="00527467">
        <w:rPr>
          <w:rFonts w:ascii="Arial" w:hAnsi="Arial" w:cs="Arial"/>
          <w:sz w:val="24"/>
          <w:szCs w:val="24"/>
        </w:rPr>
        <w:t>ubject Survey Questionnaire – LLB/QLD</w:t>
      </w:r>
      <w:r w:rsidR="00650E92">
        <w:rPr>
          <w:rFonts w:ascii="Arial" w:hAnsi="Arial" w:cs="Arial"/>
          <w:sz w:val="24"/>
          <w:szCs w:val="24"/>
        </w:rPr>
        <w:tab/>
      </w:r>
      <w:r w:rsidR="00650E92">
        <w:rPr>
          <w:rFonts w:ascii="Arial" w:hAnsi="Arial" w:cs="Arial"/>
          <w:sz w:val="24"/>
          <w:szCs w:val="24"/>
        </w:rPr>
        <w:tab/>
        <w:t xml:space="preserve">          11</w:t>
      </w:r>
      <w:r w:rsidR="00132904">
        <w:rPr>
          <w:rFonts w:ascii="Arial" w:hAnsi="Arial" w:cs="Arial"/>
          <w:sz w:val="24"/>
          <w:szCs w:val="24"/>
        </w:rPr>
        <w:t>9</w:t>
      </w:r>
    </w:p>
    <w:p w:rsidR="00527467" w:rsidRDefault="00527467" w:rsidP="004B4BA1">
      <w:pPr>
        <w:spacing w:line="360" w:lineRule="auto"/>
        <w:jc w:val="both"/>
        <w:rPr>
          <w:rFonts w:ascii="Arial" w:hAnsi="Arial" w:cs="Arial"/>
          <w:sz w:val="24"/>
          <w:szCs w:val="24"/>
        </w:rPr>
      </w:pPr>
      <w:r>
        <w:rPr>
          <w:rFonts w:ascii="Arial" w:hAnsi="Arial" w:cs="Arial"/>
          <w:sz w:val="24"/>
          <w:szCs w:val="24"/>
        </w:rPr>
        <w:t>Appendix 2</w:t>
      </w:r>
      <w:r>
        <w:rPr>
          <w:rFonts w:ascii="Arial" w:hAnsi="Arial" w:cs="Arial"/>
          <w:sz w:val="24"/>
          <w:szCs w:val="24"/>
        </w:rPr>
        <w:tab/>
        <w:t xml:space="preserve">EU Law Subject Survey Questionnaire – CPE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141</w:t>
      </w:r>
    </w:p>
    <w:p w:rsidR="007D7387" w:rsidRDefault="007D7387" w:rsidP="004B4BA1">
      <w:pPr>
        <w:spacing w:line="360" w:lineRule="auto"/>
        <w:jc w:val="both"/>
        <w:rPr>
          <w:rFonts w:ascii="Arial" w:hAnsi="Arial" w:cs="Arial"/>
          <w:sz w:val="24"/>
          <w:szCs w:val="24"/>
        </w:rPr>
      </w:pPr>
    </w:p>
    <w:p w:rsidR="007D7387" w:rsidRDefault="007D7387">
      <w:pPr>
        <w:spacing w:after="0" w:line="240" w:lineRule="auto"/>
        <w:rPr>
          <w:rFonts w:ascii="Arial" w:hAnsi="Arial" w:cs="Arial"/>
          <w:sz w:val="24"/>
          <w:szCs w:val="24"/>
        </w:rPr>
      </w:pPr>
      <w:r>
        <w:rPr>
          <w:rFonts w:ascii="Arial" w:hAnsi="Arial" w:cs="Arial"/>
          <w:sz w:val="24"/>
          <w:szCs w:val="24"/>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1.</w:t>
      </w:r>
      <w:r>
        <w:rPr>
          <w:rFonts w:ascii="Arial" w:hAnsi="Arial" w:cs="Arial"/>
          <w:b/>
          <w:sz w:val="28"/>
          <w:szCs w:val="28"/>
        </w:rPr>
        <w:tab/>
        <w:t>Introduction</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EU Law and the UK</w:t>
      </w:r>
    </w:p>
    <w:p w:rsidR="00E03B54" w:rsidRPr="007A2919"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The European Economic Community (EEC) was created by the Treaty of Rome in 1957</w:t>
      </w:r>
      <w:r>
        <w:rPr>
          <w:rStyle w:val="FootnoteReference"/>
          <w:rFonts w:ascii="Arial" w:hAnsi="Arial" w:cs="Arial"/>
          <w:sz w:val="24"/>
          <w:szCs w:val="24"/>
        </w:rPr>
        <w:footnoteReference w:id="1"/>
      </w:r>
      <w:r>
        <w:rPr>
          <w:rFonts w:ascii="Arial" w:hAnsi="Arial" w:cs="Arial"/>
          <w:sz w:val="24"/>
          <w:szCs w:val="24"/>
        </w:rPr>
        <w:t xml:space="preserve"> with six Member States (Germany, France, Italy, the Netherlands, Belgium and Luxembourg). The United Kingdom became a Member State of the EEC on 1 January 1973 in the first round of enlargement. Since then the EEC has been transformed into the European Union (EU), initially by the Maastricht Treaty in 1993</w:t>
      </w:r>
      <w:r>
        <w:rPr>
          <w:rStyle w:val="FootnoteReference"/>
          <w:rFonts w:ascii="Arial" w:hAnsi="Arial" w:cs="Arial"/>
          <w:sz w:val="24"/>
          <w:szCs w:val="24"/>
        </w:rPr>
        <w:footnoteReference w:id="2"/>
      </w:r>
      <w:r>
        <w:rPr>
          <w:rFonts w:ascii="Arial" w:hAnsi="Arial" w:cs="Arial"/>
          <w:sz w:val="24"/>
          <w:szCs w:val="24"/>
        </w:rPr>
        <w:t>, and the EU has expanded to twenty-seven Member States in six rounds of expansion and enlargement, with the possibility of more in future years. On 1 December 2009 the Lisbon Treaty</w:t>
      </w:r>
      <w:r>
        <w:rPr>
          <w:rStyle w:val="FootnoteReference"/>
          <w:rFonts w:ascii="Arial" w:hAnsi="Arial" w:cs="Arial"/>
          <w:sz w:val="24"/>
          <w:szCs w:val="24"/>
        </w:rPr>
        <w:footnoteReference w:id="3"/>
      </w:r>
      <w:r>
        <w:rPr>
          <w:rFonts w:ascii="Arial" w:hAnsi="Arial" w:cs="Arial"/>
          <w:sz w:val="24"/>
          <w:szCs w:val="24"/>
        </w:rPr>
        <w:t>, incorporating the Treaty on European Union (TEU) and the Treaty on the Functioning of the European Union (TFEU), came into force.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The European Communities Act 1972 introduced EU Law into the UK legal system. This gave the Treaty at the time, and any subsequent Treaty changes, full legal effect in the UK such that EU Law took primacy over the law of the UK, nationals could enforce their rights in domestic courts (direct effect) and domestic courts had to interpret domestic legislation in such a way that it complied with the objectives and purposes of EU Law (indirect effect).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Teaching EU Law and Commentary on Teaching and Learning</w:t>
      </w:r>
    </w:p>
    <w:p w:rsidR="00E03B54" w:rsidRPr="007A2919"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1.3</w:t>
      </w:r>
      <w:r>
        <w:rPr>
          <w:rFonts w:ascii="Arial" w:hAnsi="Arial" w:cs="Arial"/>
          <w:sz w:val="24"/>
          <w:szCs w:val="24"/>
        </w:rPr>
        <w:tab/>
        <w:t xml:space="preserve">This fundamental change in the law of the United Kingdom was not initially reflected in the teaching of EU Law in UK universities. EU Law remained an optional subject that could be delivered as a stand-alone module, as part of another module (e.g. public law) or not taught at all. </w:t>
      </w:r>
    </w:p>
    <w:p w:rsidR="00E03B54"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F36AC9">
        <w:rPr>
          <w:rFonts w:ascii="Arial" w:hAnsi="Arial" w:cs="Arial"/>
          <w:sz w:val="24"/>
          <w:szCs w:val="24"/>
        </w:rPr>
        <w:t>The Lord Chancellor’s Advisory Committee on Legal Education and Conduct (ACLEC) issued a consultation paper in 1994</w:t>
      </w:r>
      <w:r w:rsidRPr="00F36AC9">
        <w:rPr>
          <w:rFonts w:ascii="Arial" w:hAnsi="Arial" w:cs="Arial"/>
          <w:sz w:val="24"/>
          <w:szCs w:val="24"/>
          <w:vertAlign w:val="superscript"/>
        </w:rPr>
        <w:footnoteReference w:id="4"/>
      </w:r>
      <w:r w:rsidRPr="00F36AC9">
        <w:rPr>
          <w:rFonts w:ascii="Arial" w:hAnsi="Arial" w:cs="Arial"/>
          <w:sz w:val="24"/>
          <w:szCs w:val="24"/>
        </w:rPr>
        <w:t>. One of the five major themes of the consultation paper was “[t]he need to give full recognition to the profound influence which European law and some aspects of public international law are having on the legal system of England and Wales”</w:t>
      </w:r>
      <w:r w:rsidRPr="00F36AC9">
        <w:rPr>
          <w:rFonts w:ascii="Arial" w:hAnsi="Arial" w:cs="Arial"/>
          <w:sz w:val="24"/>
          <w:szCs w:val="24"/>
          <w:vertAlign w:val="superscript"/>
        </w:rPr>
        <w:footnoteReference w:id="5"/>
      </w:r>
      <w:r w:rsidRPr="00F36AC9">
        <w:rPr>
          <w:rFonts w:ascii="Arial" w:hAnsi="Arial" w:cs="Arial"/>
          <w:sz w:val="24"/>
          <w:szCs w:val="24"/>
        </w:rPr>
        <w:t>. The consultation paper went on to suggest that two of the aims of a qualifying law degree should be to “give an understanding of the fundamental principles and concepts of English law and the law of the EC” and to “be informed by comparisons from other legal systems, particularly civil law systems, and relevant international law”</w:t>
      </w:r>
      <w:r w:rsidRPr="00F36AC9">
        <w:rPr>
          <w:rFonts w:ascii="Arial" w:hAnsi="Arial" w:cs="Arial"/>
          <w:sz w:val="24"/>
          <w:szCs w:val="24"/>
          <w:vertAlign w:val="superscript"/>
        </w:rPr>
        <w:footnoteReference w:id="6"/>
      </w:r>
      <w:r w:rsidRPr="00F36AC9">
        <w:rPr>
          <w:rFonts w:ascii="Arial" w:hAnsi="Arial" w:cs="Arial"/>
          <w:sz w:val="24"/>
          <w:szCs w:val="24"/>
          <w:vertAlign w:val="superscript"/>
        </w:rPr>
        <w:footnoteReference w:id="7"/>
      </w:r>
      <w:r w:rsidRPr="00F36AC9">
        <w:rPr>
          <w:rFonts w:ascii="Arial" w:hAnsi="Arial" w:cs="Arial"/>
          <w:sz w:val="24"/>
          <w:szCs w:val="24"/>
        </w:rPr>
        <w:t>. Furthermore “[students should] demonstrate some understanding of differences between common law and civil law systems, including codified systems”</w:t>
      </w:r>
      <w:r w:rsidRPr="00F36AC9">
        <w:rPr>
          <w:rFonts w:ascii="Arial" w:hAnsi="Arial" w:cs="Arial"/>
          <w:sz w:val="24"/>
          <w:szCs w:val="24"/>
          <w:vertAlign w:val="superscript"/>
        </w:rPr>
        <w:footnoteReference w:id="8"/>
      </w:r>
      <w:r w:rsidRPr="00F36AC9">
        <w:rPr>
          <w:rFonts w:ascii="Arial" w:hAnsi="Arial" w:cs="Arial"/>
          <w:sz w:val="24"/>
          <w:szCs w:val="24"/>
        </w:rPr>
        <w:t>. As Hodgson</w:t>
      </w:r>
      <w:r w:rsidRPr="00F36AC9">
        <w:rPr>
          <w:rFonts w:ascii="Arial" w:hAnsi="Arial" w:cs="Arial"/>
          <w:sz w:val="24"/>
          <w:szCs w:val="24"/>
          <w:vertAlign w:val="superscript"/>
        </w:rPr>
        <w:footnoteReference w:id="9"/>
      </w:r>
      <w:r>
        <w:rPr>
          <w:rFonts w:ascii="Arial" w:hAnsi="Arial" w:cs="Arial"/>
          <w:sz w:val="24"/>
          <w:szCs w:val="24"/>
        </w:rPr>
        <w:t xml:space="preserve"> noted these aims we</w:t>
      </w:r>
      <w:r w:rsidRPr="00F36AC9">
        <w:rPr>
          <w:rFonts w:ascii="Arial" w:hAnsi="Arial" w:cs="Arial"/>
          <w:sz w:val="24"/>
          <w:szCs w:val="24"/>
        </w:rPr>
        <w:t>re more extensive than just the coverage of EU Law, a point expanded on in the consultation paper:</w:t>
      </w:r>
    </w:p>
    <w:p w:rsidR="00E03B54" w:rsidRPr="00F36AC9"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sidRPr="00F36AC9">
        <w:rPr>
          <w:rFonts w:ascii="Arial" w:hAnsi="Arial" w:cs="Arial"/>
          <w:sz w:val="24"/>
          <w:szCs w:val="24"/>
        </w:rPr>
        <w:tab/>
        <w:t xml:space="preserve">“…few law courses involve a significant element of rigorous induction in </w:t>
      </w:r>
      <w:r w:rsidRPr="00F36AC9">
        <w:rPr>
          <w:rFonts w:ascii="Arial" w:hAnsi="Arial" w:cs="Arial"/>
          <w:sz w:val="24"/>
          <w:szCs w:val="24"/>
        </w:rPr>
        <w:tab/>
        <w:t xml:space="preserve">legal theory, history and process. The descriptive method could be used to </w:t>
      </w:r>
      <w:r w:rsidRPr="00F36AC9">
        <w:rPr>
          <w:rFonts w:ascii="Arial" w:hAnsi="Arial" w:cs="Arial"/>
          <w:sz w:val="24"/>
          <w:szCs w:val="24"/>
        </w:rPr>
        <w:tab/>
        <w:t xml:space="preserve">correct this imbalance by encouraging such study, which could be developed </w:t>
      </w:r>
      <w:r w:rsidRPr="00F36AC9">
        <w:rPr>
          <w:rFonts w:ascii="Arial" w:hAnsi="Arial" w:cs="Arial"/>
          <w:sz w:val="24"/>
          <w:szCs w:val="24"/>
        </w:rPr>
        <w:tab/>
        <w:t xml:space="preserve">throughout the degree by increasing elements of theoretical study, including </w:t>
      </w:r>
      <w:r w:rsidRPr="00F36AC9">
        <w:rPr>
          <w:rFonts w:ascii="Arial" w:hAnsi="Arial" w:cs="Arial"/>
          <w:sz w:val="24"/>
          <w:szCs w:val="24"/>
        </w:rPr>
        <w:tab/>
        <w:t>formal jurisprudence and Comparative law.</w:t>
      </w:r>
    </w:p>
    <w:p w:rsidR="00E03B54" w:rsidRPr="00F36AC9"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sidRPr="00F36AC9">
        <w:rPr>
          <w:rFonts w:ascii="Arial" w:hAnsi="Arial" w:cs="Arial"/>
          <w:sz w:val="24"/>
          <w:szCs w:val="24"/>
        </w:rPr>
        <w:lastRenderedPageBreak/>
        <w:tab/>
        <w:t xml:space="preserve">EC law is an integral, increasingly influential, part of our domestic law. Study </w:t>
      </w:r>
      <w:r w:rsidRPr="00F36AC9">
        <w:rPr>
          <w:rFonts w:ascii="Arial" w:hAnsi="Arial" w:cs="Arial"/>
          <w:sz w:val="24"/>
          <w:szCs w:val="24"/>
        </w:rPr>
        <w:tab/>
        <w:t xml:space="preserve">of the central concepts and methods of civil law, as a contrast to common law, </w:t>
      </w:r>
      <w:r w:rsidRPr="00F36AC9">
        <w:rPr>
          <w:rFonts w:ascii="Arial" w:hAnsi="Arial" w:cs="Arial"/>
          <w:sz w:val="24"/>
          <w:szCs w:val="24"/>
        </w:rPr>
        <w:tab/>
        <w:t>is particularly important in that context.</w:t>
      </w:r>
    </w:p>
    <w:p w:rsidR="00E03B54" w:rsidRPr="00F36AC9"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sidRPr="00F36AC9">
        <w:rPr>
          <w:rFonts w:ascii="Arial" w:hAnsi="Arial" w:cs="Arial"/>
          <w:sz w:val="24"/>
          <w:szCs w:val="24"/>
        </w:rPr>
        <w:tab/>
        <w:t xml:space="preserve">Other important strands might need to be emphasised according to the </w:t>
      </w:r>
      <w:r w:rsidRPr="00F36AC9">
        <w:rPr>
          <w:rFonts w:ascii="Arial" w:hAnsi="Arial" w:cs="Arial"/>
          <w:sz w:val="24"/>
          <w:szCs w:val="24"/>
        </w:rPr>
        <w:tab/>
        <w:t xml:space="preserve">practices and context of particular courses and institutions. First, the study of </w:t>
      </w:r>
      <w:r w:rsidRPr="00F36AC9">
        <w:rPr>
          <w:rFonts w:ascii="Arial" w:hAnsi="Arial" w:cs="Arial"/>
          <w:sz w:val="24"/>
          <w:szCs w:val="24"/>
        </w:rPr>
        <w:tab/>
        <w:t xml:space="preserve">Roman law is useful in understanding all civil law based systems. Apart from </w:t>
      </w:r>
      <w:r w:rsidRPr="00F36AC9">
        <w:rPr>
          <w:rFonts w:ascii="Arial" w:hAnsi="Arial" w:cs="Arial"/>
          <w:sz w:val="24"/>
          <w:szCs w:val="24"/>
        </w:rPr>
        <w:tab/>
        <w:t xml:space="preserve">the practical advantages for lawyers of some acquaintance with the legal </w:t>
      </w:r>
      <w:r w:rsidRPr="00F36AC9">
        <w:rPr>
          <w:rFonts w:ascii="Arial" w:hAnsi="Arial" w:cs="Arial"/>
          <w:sz w:val="24"/>
          <w:szCs w:val="24"/>
        </w:rPr>
        <w:tab/>
        <w:t xml:space="preserve">systems of other Member States, comparative study illuminates how law can </w:t>
      </w:r>
      <w:r w:rsidRPr="00F36AC9">
        <w:rPr>
          <w:rFonts w:ascii="Arial" w:hAnsi="Arial" w:cs="Arial"/>
          <w:sz w:val="24"/>
          <w:szCs w:val="24"/>
        </w:rPr>
        <w:tab/>
        <w:t xml:space="preserve">develop to meet similar problems in different situations. It uncovers the </w:t>
      </w:r>
      <w:r w:rsidRPr="00F36AC9">
        <w:rPr>
          <w:rFonts w:ascii="Arial" w:hAnsi="Arial" w:cs="Arial"/>
          <w:sz w:val="24"/>
          <w:szCs w:val="24"/>
        </w:rPr>
        <w:tab/>
        <w:t xml:space="preserve">common principles of European law. The study of the new </w:t>
      </w:r>
      <w:proofErr w:type="spellStart"/>
      <w:r w:rsidRPr="00F36AC9">
        <w:rPr>
          <w:rFonts w:ascii="Arial" w:hAnsi="Arial" w:cs="Arial"/>
          <w:i/>
          <w:sz w:val="24"/>
          <w:szCs w:val="24"/>
        </w:rPr>
        <w:t>ius</w:t>
      </w:r>
      <w:proofErr w:type="spellEnd"/>
      <w:r w:rsidRPr="00F36AC9">
        <w:rPr>
          <w:rFonts w:ascii="Arial" w:hAnsi="Arial" w:cs="Arial"/>
          <w:i/>
          <w:sz w:val="24"/>
          <w:szCs w:val="24"/>
        </w:rPr>
        <w:t xml:space="preserve"> commune</w:t>
      </w:r>
      <w:r w:rsidRPr="00F36AC9">
        <w:rPr>
          <w:rFonts w:ascii="Arial" w:hAnsi="Arial" w:cs="Arial"/>
          <w:sz w:val="24"/>
          <w:szCs w:val="24"/>
        </w:rPr>
        <w:t xml:space="preserve"> is </w:t>
      </w:r>
      <w:r w:rsidRPr="00F36AC9">
        <w:rPr>
          <w:rFonts w:ascii="Arial" w:hAnsi="Arial" w:cs="Arial"/>
          <w:sz w:val="24"/>
          <w:szCs w:val="24"/>
        </w:rPr>
        <w:tab/>
        <w:t xml:space="preserve">both intellectually exacting and practically relevant. Understanding of the civil </w:t>
      </w:r>
      <w:r w:rsidRPr="00F36AC9">
        <w:rPr>
          <w:rFonts w:ascii="Arial" w:hAnsi="Arial" w:cs="Arial"/>
          <w:sz w:val="24"/>
          <w:szCs w:val="24"/>
        </w:rPr>
        <w:tab/>
        <w:t xml:space="preserve">law is also needed to understand multilateral conventions covering areas as </w:t>
      </w:r>
      <w:r w:rsidRPr="00F36AC9">
        <w:rPr>
          <w:rFonts w:ascii="Arial" w:hAnsi="Arial" w:cs="Arial"/>
          <w:sz w:val="24"/>
          <w:szCs w:val="24"/>
        </w:rPr>
        <w:tab/>
        <w:t xml:space="preserve">diverse as trade law and human rights. The origin and techniques of such </w:t>
      </w:r>
      <w:r w:rsidRPr="00F36AC9">
        <w:rPr>
          <w:rFonts w:ascii="Arial" w:hAnsi="Arial" w:cs="Arial"/>
          <w:sz w:val="24"/>
          <w:szCs w:val="24"/>
        </w:rPr>
        <w:tab/>
        <w:t>conventions are, of course, very different from traditional statute law”</w:t>
      </w:r>
      <w:r w:rsidRPr="00F36AC9">
        <w:rPr>
          <w:rFonts w:ascii="Arial" w:hAnsi="Arial" w:cs="Arial"/>
          <w:sz w:val="24"/>
          <w:szCs w:val="24"/>
          <w:vertAlign w:val="superscript"/>
        </w:rPr>
        <w:footnoteReference w:id="10"/>
      </w:r>
      <w:r w:rsidRPr="00F36AC9">
        <w:rPr>
          <w:rFonts w:ascii="Arial" w:hAnsi="Arial" w:cs="Arial"/>
          <w:sz w:val="24"/>
          <w:szCs w:val="24"/>
        </w:rPr>
        <w:t>.</w:t>
      </w:r>
    </w:p>
    <w:p w:rsidR="00E03B54" w:rsidRPr="00F36AC9"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F36AC9">
        <w:rPr>
          <w:rFonts w:ascii="Arial" w:hAnsi="Arial" w:cs="Arial"/>
          <w:sz w:val="24"/>
          <w:szCs w:val="24"/>
        </w:rPr>
        <w:t>These matters were discussed at the Review of Legal Education Second Consultative Conference</w:t>
      </w:r>
      <w:r w:rsidRPr="00F36AC9">
        <w:rPr>
          <w:rFonts w:ascii="Arial" w:hAnsi="Arial" w:cs="Arial"/>
          <w:sz w:val="24"/>
          <w:szCs w:val="24"/>
          <w:vertAlign w:val="superscript"/>
        </w:rPr>
        <w:footnoteReference w:id="11"/>
      </w:r>
      <w:r w:rsidRPr="00F36AC9">
        <w:rPr>
          <w:rFonts w:ascii="Arial" w:hAnsi="Arial" w:cs="Arial"/>
          <w:sz w:val="24"/>
          <w:szCs w:val="24"/>
        </w:rPr>
        <w:t xml:space="preserve"> in July 1994.</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Unexpectedly in </w:t>
      </w:r>
      <w:proofErr w:type="gramStart"/>
      <w:r>
        <w:rPr>
          <w:rFonts w:ascii="Arial" w:hAnsi="Arial" w:cs="Arial"/>
          <w:sz w:val="24"/>
          <w:szCs w:val="24"/>
        </w:rPr>
        <w:t>Autumn</w:t>
      </w:r>
      <w:proofErr w:type="gramEnd"/>
      <w:r>
        <w:rPr>
          <w:rFonts w:ascii="Arial" w:hAnsi="Arial" w:cs="Arial"/>
          <w:sz w:val="24"/>
          <w:szCs w:val="24"/>
        </w:rPr>
        <w:t xml:space="preserve"> 1995</w:t>
      </w:r>
      <w:r>
        <w:rPr>
          <w:rStyle w:val="FootnoteReference"/>
          <w:rFonts w:ascii="Arial" w:hAnsi="Arial" w:cs="Arial"/>
          <w:sz w:val="24"/>
          <w:szCs w:val="24"/>
        </w:rPr>
        <w:footnoteReference w:id="12"/>
      </w:r>
      <w:r>
        <w:rPr>
          <w:rFonts w:ascii="Arial" w:hAnsi="Arial" w:cs="Arial"/>
          <w:sz w:val="24"/>
          <w:szCs w:val="24"/>
        </w:rPr>
        <w:t>, in a joint announcement by the Law Society and the Council of Legal Education in January 1995, EU Law was added to the other six core subjects of the LLB</w:t>
      </w:r>
      <w:r>
        <w:rPr>
          <w:rStyle w:val="FootnoteReference"/>
          <w:rFonts w:ascii="Arial" w:hAnsi="Arial" w:cs="Arial"/>
          <w:sz w:val="24"/>
          <w:szCs w:val="24"/>
        </w:rPr>
        <w:footnoteReference w:id="13"/>
      </w:r>
      <w:r>
        <w:rPr>
          <w:rFonts w:ascii="Arial" w:hAnsi="Arial" w:cs="Arial"/>
          <w:sz w:val="24"/>
          <w:szCs w:val="24"/>
        </w:rPr>
        <w:t>, a Qualifying Law Degree to enable the individual to become a solicitor or barrister (a practising advocate).</w:t>
      </w:r>
    </w:p>
    <w:p w:rsidR="00E03B54"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Pr>
          <w:rFonts w:ascii="Arial" w:hAnsi="Arial" w:cs="Arial"/>
          <w:sz w:val="24"/>
          <w:szCs w:val="24"/>
        </w:rPr>
        <w:lastRenderedPageBreak/>
        <w:t>1.6</w:t>
      </w:r>
      <w:r>
        <w:rPr>
          <w:rFonts w:ascii="Arial" w:hAnsi="Arial" w:cs="Arial"/>
          <w:sz w:val="24"/>
          <w:szCs w:val="24"/>
        </w:rPr>
        <w:tab/>
      </w:r>
      <w:r w:rsidRPr="00F36AC9">
        <w:rPr>
          <w:rFonts w:ascii="Arial" w:hAnsi="Arial" w:cs="Arial"/>
          <w:sz w:val="24"/>
          <w:szCs w:val="24"/>
        </w:rPr>
        <w:t>ACLEC’s report</w:t>
      </w:r>
      <w:r>
        <w:rPr>
          <w:rStyle w:val="FootnoteReference"/>
          <w:rFonts w:ascii="Arial" w:hAnsi="Arial" w:cs="Arial"/>
          <w:sz w:val="24"/>
          <w:szCs w:val="24"/>
        </w:rPr>
        <w:footnoteReference w:id="14"/>
      </w:r>
      <w:r w:rsidRPr="00F36AC9">
        <w:rPr>
          <w:rFonts w:ascii="Arial" w:hAnsi="Arial" w:cs="Arial"/>
          <w:sz w:val="24"/>
          <w:szCs w:val="24"/>
        </w:rPr>
        <w:t xml:space="preserve"> was </w:t>
      </w:r>
      <w:r>
        <w:rPr>
          <w:rFonts w:ascii="Arial" w:hAnsi="Arial" w:cs="Arial"/>
          <w:sz w:val="24"/>
          <w:szCs w:val="24"/>
        </w:rPr>
        <w:t xml:space="preserve">subsequently </w:t>
      </w:r>
      <w:r w:rsidR="000378A5">
        <w:rPr>
          <w:rFonts w:ascii="Arial" w:hAnsi="Arial" w:cs="Arial"/>
          <w:sz w:val="24"/>
          <w:szCs w:val="24"/>
        </w:rPr>
        <w:t>issued in 1996 and its’</w:t>
      </w:r>
      <w:r w:rsidRPr="00F36AC9">
        <w:rPr>
          <w:rFonts w:ascii="Arial" w:hAnsi="Arial" w:cs="Arial"/>
          <w:sz w:val="24"/>
          <w:szCs w:val="24"/>
        </w:rPr>
        <w:t xml:space="preserve"> proposals were “aimed at preparing the system of legal education and training for a new era”</w:t>
      </w:r>
      <w:r w:rsidRPr="00F36AC9">
        <w:rPr>
          <w:rFonts w:ascii="Arial" w:hAnsi="Arial" w:cs="Arial"/>
          <w:sz w:val="24"/>
          <w:szCs w:val="24"/>
          <w:vertAlign w:val="superscript"/>
        </w:rPr>
        <w:footnoteReference w:id="15"/>
      </w:r>
      <w:r w:rsidRPr="00F36AC9">
        <w:rPr>
          <w:rFonts w:ascii="Arial" w:hAnsi="Arial" w:cs="Arial"/>
          <w:sz w:val="24"/>
          <w:szCs w:val="24"/>
        </w:rPr>
        <w:t>. The Committee identified a number of significant deficiencies that included:</w:t>
      </w:r>
    </w:p>
    <w:p w:rsidR="00E03B54" w:rsidRPr="00F36AC9" w:rsidRDefault="00E03B54" w:rsidP="00E03B54">
      <w:pPr>
        <w:spacing w:line="360" w:lineRule="auto"/>
        <w:jc w:val="both"/>
        <w:rPr>
          <w:rFonts w:ascii="Arial" w:hAnsi="Arial" w:cs="Arial"/>
          <w:sz w:val="24"/>
          <w:szCs w:val="24"/>
        </w:rPr>
      </w:pPr>
    </w:p>
    <w:p w:rsidR="00E03B54" w:rsidRDefault="00E03B54" w:rsidP="00E03B54">
      <w:pPr>
        <w:spacing w:line="360" w:lineRule="auto"/>
        <w:ind w:left="720"/>
        <w:jc w:val="both"/>
        <w:rPr>
          <w:rFonts w:ascii="Arial" w:hAnsi="Arial" w:cs="Arial"/>
          <w:sz w:val="24"/>
          <w:szCs w:val="24"/>
        </w:rPr>
      </w:pPr>
      <w:r w:rsidRPr="00F36AC9">
        <w:rPr>
          <w:rFonts w:ascii="Arial" w:hAnsi="Arial" w:cs="Arial"/>
          <w:sz w:val="24"/>
          <w:szCs w:val="24"/>
        </w:rPr>
        <w:t>“…the relative lack of attention to an understanding of the civil law systems. This goes beyond the need for English lawyers to have a sound grasp of the law of the European Union, which is already recognised in the professional bodies’ requirements for the qualifying law degree</w:t>
      </w:r>
      <w:r w:rsidRPr="00F36AC9">
        <w:rPr>
          <w:rFonts w:ascii="Arial" w:hAnsi="Arial" w:cs="Arial"/>
          <w:sz w:val="24"/>
          <w:szCs w:val="24"/>
          <w:vertAlign w:val="superscript"/>
        </w:rPr>
        <w:footnoteReference w:id="16"/>
      </w:r>
      <w:r w:rsidRPr="00F36AC9">
        <w:rPr>
          <w:rFonts w:ascii="Arial" w:hAnsi="Arial" w:cs="Arial"/>
          <w:sz w:val="24"/>
          <w:szCs w:val="24"/>
        </w:rPr>
        <w:t>. Community law should lead to a wider study of civil law systems, not least as a means of gaining a greater understanding of the distinctive characteristics of our own system. Many of the ideas and assumptions behind Community law spring from legal traditions different from our own. The Codes pre</w:t>
      </w:r>
      <w:r>
        <w:rPr>
          <w:rFonts w:ascii="Arial" w:hAnsi="Arial" w:cs="Arial"/>
          <w:sz w:val="24"/>
          <w:szCs w:val="24"/>
        </w:rPr>
        <w:t xml:space="preserve">sent a model of law as a unity </w:t>
      </w:r>
      <w:r w:rsidRPr="00F36AC9">
        <w:rPr>
          <w:rFonts w:ascii="Arial" w:hAnsi="Arial" w:cs="Arial"/>
          <w:sz w:val="24"/>
          <w:szCs w:val="24"/>
        </w:rPr>
        <w:t>comprising a series of interlocking principl</w:t>
      </w:r>
      <w:r>
        <w:rPr>
          <w:rFonts w:ascii="Arial" w:hAnsi="Arial" w:cs="Arial"/>
          <w:sz w:val="24"/>
          <w:szCs w:val="24"/>
        </w:rPr>
        <w:t xml:space="preserve">es. </w:t>
      </w:r>
      <w:proofErr w:type="gramStart"/>
      <w:r>
        <w:rPr>
          <w:rFonts w:ascii="Arial" w:hAnsi="Arial" w:cs="Arial"/>
          <w:sz w:val="24"/>
          <w:szCs w:val="24"/>
        </w:rPr>
        <w:t xml:space="preserve">This approach to law, as a </w:t>
      </w:r>
      <w:r w:rsidRPr="00F36AC9">
        <w:rPr>
          <w:rFonts w:ascii="Arial" w:hAnsi="Arial" w:cs="Arial"/>
          <w:sz w:val="24"/>
          <w:szCs w:val="24"/>
        </w:rPr>
        <w:t>comprehensive framework for society base</w:t>
      </w:r>
      <w:r>
        <w:rPr>
          <w:rFonts w:ascii="Arial" w:hAnsi="Arial" w:cs="Arial"/>
          <w:sz w:val="24"/>
          <w:szCs w:val="24"/>
        </w:rPr>
        <w:t xml:space="preserve">d on scientific study by legal </w:t>
      </w:r>
      <w:r w:rsidRPr="00F36AC9">
        <w:rPr>
          <w:rFonts w:ascii="Arial" w:hAnsi="Arial" w:cs="Arial"/>
          <w:sz w:val="24"/>
          <w:szCs w:val="24"/>
        </w:rPr>
        <w:t>scholars, stands in contrast to the common law t</w:t>
      </w:r>
      <w:r>
        <w:rPr>
          <w:rFonts w:ascii="Arial" w:hAnsi="Arial" w:cs="Arial"/>
          <w:sz w:val="24"/>
          <w:szCs w:val="24"/>
        </w:rPr>
        <w:t>radition.</w:t>
      </w:r>
      <w:proofErr w:type="gramEnd"/>
      <w:r>
        <w:rPr>
          <w:rFonts w:ascii="Arial" w:hAnsi="Arial" w:cs="Arial"/>
          <w:sz w:val="24"/>
          <w:szCs w:val="24"/>
        </w:rPr>
        <w:t xml:space="preserve"> Exposure not only to </w:t>
      </w:r>
      <w:r w:rsidRPr="00F36AC9">
        <w:rPr>
          <w:rFonts w:ascii="Arial" w:hAnsi="Arial" w:cs="Arial"/>
          <w:sz w:val="24"/>
          <w:szCs w:val="24"/>
        </w:rPr>
        <w:t>Community law, but also to the civilian s</w:t>
      </w:r>
      <w:r>
        <w:rPr>
          <w:rFonts w:ascii="Arial" w:hAnsi="Arial" w:cs="Arial"/>
          <w:sz w:val="24"/>
          <w:szCs w:val="24"/>
        </w:rPr>
        <w:t xml:space="preserve">ystems, based on Roman law, is </w:t>
      </w:r>
      <w:r w:rsidRPr="00F36AC9">
        <w:rPr>
          <w:rFonts w:ascii="Arial" w:hAnsi="Arial" w:cs="Arial"/>
          <w:sz w:val="24"/>
          <w:szCs w:val="24"/>
        </w:rPr>
        <w:t>essential if English lawyers are to respond to</w:t>
      </w:r>
      <w:r>
        <w:rPr>
          <w:rFonts w:ascii="Arial" w:hAnsi="Arial" w:cs="Arial"/>
          <w:sz w:val="24"/>
          <w:szCs w:val="24"/>
        </w:rPr>
        <w:t xml:space="preserve"> the profound changes which EU </w:t>
      </w:r>
      <w:r w:rsidRPr="00F36AC9">
        <w:rPr>
          <w:rFonts w:ascii="Arial" w:hAnsi="Arial" w:cs="Arial"/>
          <w:sz w:val="24"/>
          <w:szCs w:val="24"/>
        </w:rPr>
        <w:t>law is making to our legal system. Legal</w:t>
      </w:r>
      <w:r>
        <w:rPr>
          <w:rFonts w:ascii="Arial" w:hAnsi="Arial" w:cs="Arial"/>
          <w:sz w:val="24"/>
          <w:szCs w:val="24"/>
        </w:rPr>
        <w:t xml:space="preserve"> transactions are increasingly </w:t>
      </w:r>
      <w:r w:rsidRPr="00F36AC9">
        <w:rPr>
          <w:rFonts w:ascii="Arial" w:hAnsi="Arial" w:cs="Arial"/>
          <w:sz w:val="24"/>
          <w:szCs w:val="24"/>
        </w:rPr>
        <w:t>international in character. An understanding of th</w:t>
      </w:r>
      <w:r>
        <w:rPr>
          <w:rFonts w:ascii="Arial" w:hAnsi="Arial" w:cs="Arial"/>
          <w:sz w:val="24"/>
          <w:szCs w:val="24"/>
        </w:rPr>
        <w:t xml:space="preserve">e different ways that civilian </w:t>
      </w:r>
      <w:r w:rsidRPr="00F36AC9">
        <w:rPr>
          <w:rFonts w:ascii="Arial" w:hAnsi="Arial" w:cs="Arial"/>
          <w:sz w:val="24"/>
          <w:szCs w:val="24"/>
        </w:rPr>
        <w:t>lawyers approach common problems can no longer be regarded as the preserve</w:t>
      </w:r>
      <w:r>
        <w:rPr>
          <w:rFonts w:ascii="Arial" w:hAnsi="Arial" w:cs="Arial"/>
          <w:sz w:val="24"/>
          <w:szCs w:val="24"/>
        </w:rPr>
        <w:t xml:space="preserve"> </w:t>
      </w:r>
      <w:r w:rsidRPr="00F36AC9">
        <w:rPr>
          <w:rFonts w:ascii="Arial" w:hAnsi="Arial" w:cs="Arial"/>
          <w:sz w:val="24"/>
          <w:szCs w:val="24"/>
        </w:rPr>
        <w:t xml:space="preserve">of a few specialists. Legal education in England and </w:t>
      </w:r>
      <w:proofErr w:type="spellStart"/>
      <w:r w:rsidRPr="00F36AC9">
        <w:rPr>
          <w:rFonts w:ascii="Arial" w:hAnsi="Arial" w:cs="Arial"/>
          <w:sz w:val="24"/>
          <w:szCs w:val="24"/>
        </w:rPr>
        <w:t>ales</w:t>
      </w:r>
      <w:proofErr w:type="spellEnd"/>
      <w:r w:rsidRPr="00F36AC9">
        <w:rPr>
          <w:rFonts w:ascii="Arial" w:hAnsi="Arial" w:cs="Arial"/>
          <w:sz w:val="24"/>
          <w:szCs w:val="24"/>
        </w:rPr>
        <w:t xml:space="preserve"> must </w:t>
      </w:r>
      <w:r>
        <w:rPr>
          <w:rFonts w:ascii="Arial" w:hAnsi="Arial" w:cs="Arial"/>
          <w:sz w:val="24"/>
          <w:szCs w:val="24"/>
        </w:rPr>
        <w:t xml:space="preserve">be both more </w:t>
      </w:r>
      <w:r w:rsidRPr="00F36AC9">
        <w:rPr>
          <w:rFonts w:ascii="Arial" w:hAnsi="Arial" w:cs="Arial"/>
          <w:sz w:val="24"/>
          <w:szCs w:val="24"/>
        </w:rPr>
        <w:t>European and more international. Although a nu</w:t>
      </w:r>
      <w:r>
        <w:rPr>
          <w:rFonts w:ascii="Arial" w:hAnsi="Arial" w:cs="Arial"/>
          <w:sz w:val="24"/>
          <w:szCs w:val="24"/>
        </w:rPr>
        <w:t xml:space="preserve">mber of universities now offer </w:t>
      </w:r>
      <w:r w:rsidRPr="00F36AC9">
        <w:rPr>
          <w:rFonts w:ascii="Arial" w:hAnsi="Arial" w:cs="Arial"/>
          <w:sz w:val="24"/>
          <w:szCs w:val="24"/>
        </w:rPr>
        <w:t xml:space="preserve">degrees in English law with a foreign legal </w:t>
      </w:r>
      <w:r>
        <w:rPr>
          <w:rFonts w:ascii="Arial" w:hAnsi="Arial" w:cs="Arial"/>
          <w:sz w:val="24"/>
          <w:szCs w:val="24"/>
        </w:rPr>
        <w:t>system, including in some cases</w:t>
      </w:r>
      <w:r w:rsidRPr="00F36AC9">
        <w:rPr>
          <w:rFonts w:ascii="Arial" w:hAnsi="Arial" w:cs="Arial"/>
          <w:sz w:val="24"/>
          <w:szCs w:val="24"/>
        </w:rPr>
        <w:tab/>
        <w:t>one or two years of study in another European co</w:t>
      </w:r>
      <w:r>
        <w:rPr>
          <w:rFonts w:ascii="Arial" w:hAnsi="Arial" w:cs="Arial"/>
          <w:sz w:val="24"/>
          <w:szCs w:val="24"/>
        </w:rPr>
        <w:t xml:space="preserve">untry, only a relatively small </w:t>
      </w:r>
      <w:r w:rsidRPr="00F36AC9">
        <w:rPr>
          <w:rFonts w:ascii="Arial" w:hAnsi="Arial" w:cs="Arial"/>
          <w:sz w:val="24"/>
          <w:szCs w:val="24"/>
        </w:rPr>
        <w:t xml:space="preserve">minority of students benefit from these </w:t>
      </w:r>
      <w:r w:rsidRPr="00F36AC9">
        <w:rPr>
          <w:rFonts w:ascii="Arial" w:hAnsi="Arial" w:cs="Arial"/>
          <w:sz w:val="24"/>
          <w:szCs w:val="24"/>
        </w:rPr>
        <w:lastRenderedPageBreak/>
        <w:t xml:space="preserve">courses. </w:t>
      </w:r>
      <w:r>
        <w:rPr>
          <w:rFonts w:ascii="Arial" w:hAnsi="Arial" w:cs="Arial"/>
          <w:sz w:val="24"/>
          <w:szCs w:val="24"/>
        </w:rPr>
        <w:t xml:space="preserve">In our view, there needs to be </w:t>
      </w:r>
      <w:r w:rsidRPr="00F36AC9">
        <w:rPr>
          <w:rFonts w:ascii="Arial" w:hAnsi="Arial" w:cs="Arial"/>
          <w:sz w:val="24"/>
          <w:szCs w:val="24"/>
        </w:rPr>
        <w:t>much wider provision for the study of civil law systems”</w:t>
      </w:r>
      <w:r w:rsidRPr="00F36AC9">
        <w:rPr>
          <w:rFonts w:ascii="Arial" w:hAnsi="Arial" w:cs="Arial"/>
          <w:sz w:val="24"/>
          <w:szCs w:val="24"/>
          <w:vertAlign w:val="superscript"/>
        </w:rPr>
        <w:footnoteReference w:id="17"/>
      </w:r>
      <w:r w:rsidRPr="00F36AC9">
        <w:rPr>
          <w:rFonts w:ascii="Arial" w:hAnsi="Arial" w:cs="Arial"/>
          <w:sz w:val="24"/>
          <w:szCs w:val="24"/>
        </w:rPr>
        <w:t>.</w:t>
      </w:r>
      <w:r>
        <w:rPr>
          <w:rFonts w:ascii="Arial" w:hAnsi="Arial" w:cs="Arial"/>
          <w:sz w:val="24"/>
          <w:szCs w:val="24"/>
        </w:rPr>
        <w:tab/>
      </w:r>
    </w:p>
    <w:p w:rsidR="00E03B54"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Pr>
          <w:rFonts w:ascii="Arial" w:hAnsi="Arial" w:cs="Arial"/>
          <w:sz w:val="24"/>
          <w:szCs w:val="24"/>
        </w:rPr>
        <w:t>1.7</w:t>
      </w:r>
      <w:r>
        <w:rPr>
          <w:rFonts w:ascii="Arial" w:hAnsi="Arial" w:cs="Arial"/>
          <w:sz w:val="24"/>
          <w:szCs w:val="24"/>
        </w:rPr>
        <w:tab/>
        <w:t xml:space="preserve">It is not surprising that, as the European Union is made up of 27 Member </w:t>
      </w:r>
      <w:proofErr w:type="gramStart"/>
      <w:r>
        <w:rPr>
          <w:rFonts w:ascii="Arial" w:hAnsi="Arial" w:cs="Arial"/>
          <w:sz w:val="24"/>
          <w:szCs w:val="24"/>
        </w:rPr>
        <w:t>States,</w:t>
      </w:r>
      <w:proofErr w:type="gramEnd"/>
      <w:r>
        <w:rPr>
          <w:rFonts w:ascii="Arial" w:hAnsi="Arial" w:cs="Arial"/>
          <w:sz w:val="24"/>
          <w:szCs w:val="24"/>
        </w:rPr>
        <w:t xml:space="preserve"> teaching in higher education establishments is likely to be influenced by the traditions of the other Member States. </w:t>
      </w:r>
      <w:r w:rsidRPr="00F36AC9">
        <w:rPr>
          <w:rFonts w:ascii="Arial" w:hAnsi="Arial" w:cs="Arial"/>
          <w:sz w:val="24"/>
          <w:szCs w:val="24"/>
        </w:rPr>
        <w:t xml:space="preserve">Over </w:t>
      </w:r>
      <w:r>
        <w:rPr>
          <w:rFonts w:ascii="Arial" w:hAnsi="Arial" w:cs="Arial"/>
          <w:sz w:val="24"/>
          <w:szCs w:val="24"/>
        </w:rPr>
        <w:t xml:space="preserve">a significant period of </w:t>
      </w:r>
      <w:r w:rsidRPr="00F36AC9">
        <w:rPr>
          <w:rFonts w:ascii="Arial" w:hAnsi="Arial" w:cs="Arial"/>
          <w:sz w:val="24"/>
          <w:szCs w:val="24"/>
        </w:rPr>
        <w:t xml:space="preserve">time there have been </w:t>
      </w:r>
      <w:r>
        <w:rPr>
          <w:rFonts w:ascii="Arial" w:hAnsi="Arial" w:cs="Arial"/>
          <w:sz w:val="24"/>
          <w:szCs w:val="24"/>
        </w:rPr>
        <w:t xml:space="preserve">frequent </w:t>
      </w:r>
      <w:r w:rsidRPr="00F36AC9">
        <w:rPr>
          <w:rFonts w:ascii="Arial" w:hAnsi="Arial" w:cs="Arial"/>
          <w:sz w:val="24"/>
          <w:szCs w:val="24"/>
        </w:rPr>
        <w:t xml:space="preserve">calls for a common law (or </w:t>
      </w:r>
      <w:proofErr w:type="spellStart"/>
      <w:r w:rsidRPr="00F36AC9">
        <w:rPr>
          <w:rFonts w:ascii="Arial" w:hAnsi="Arial" w:cs="Arial"/>
          <w:i/>
          <w:sz w:val="24"/>
          <w:szCs w:val="24"/>
        </w:rPr>
        <w:t>ius</w:t>
      </w:r>
      <w:proofErr w:type="spellEnd"/>
      <w:r w:rsidRPr="00F36AC9">
        <w:rPr>
          <w:rFonts w:ascii="Arial" w:hAnsi="Arial" w:cs="Arial"/>
          <w:i/>
          <w:sz w:val="24"/>
          <w:szCs w:val="24"/>
        </w:rPr>
        <w:t xml:space="preserve"> commune</w:t>
      </w:r>
      <w:r w:rsidRPr="00F36AC9">
        <w:rPr>
          <w:rFonts w:ascii="Arial" w:hAnsi="Arial" w:cs="Arial"/>
          <w:sz w:val="24"/>
          <w:szCs w:val="24"/>
        </w:rPr>
        <w:t>) for Europe</w:t>
      </w:r>
      <w:r w:rsidRPr="00F36AC9">
        <w:rPr>
          <w:rFonts w:ascii="Arial" w:hAnsi="Arial" w:cs="Arial"/>
          <w:sz w:val="24"/>
          <w:szCs w:val="24"/>
          <w:vertAlign w:val="superscript"/>
        </w:rPr>
        <w:footnoteReference w:id="18"/>
      </w:r>
      <w:r w:rsidRPr="00F36AC9">
        <w:rPr>
          <w:rFonts w:ascii="Arial" w:hAnsi="Arial" w:cs="Arial"/>
          <w:sz w:val="24"/>
          <w:szCs w:val="24"/>
        </w:rPr>
        <w:t xml:space="preserve">. In May 1998 the Ministers of Education for </w:t>
      </w:r>
      <w:smartTag w:uri="urn:schemas-microsoft-com:office:smarttags" w:element="country-region">
        <w:r w:rsidRPr="00F36AC9">
          <w:rPr>
            <w:rFonts w:ascii="Arial" w:hAnsi="Arial" w:cs="Arial"/>
            <w:sz w:val="24"/>
            <w:szCs w:val="24"/>
          </w:rPr>
          <w:t>France</w:t>
        </w:r>
      </w:smartTag>
      <w:r w:rsidRPr="00F36AC9">
        <w:rPr>
          <w:rFonts w:ascii="Arial" w:hAnsi="Arial" w:cs="Arial"/>
          <w:sz w:val="24"/>
          <w:szCs w:val="24"/>
        </w:rPr>
        <w:t xml:space="preserve">, </w:t>
      </w:r>
      <w:smartTag w:uri="urn:schemas-microsoft-com:office:smarttags" w:element="country-region">
        <w:r w:rsidRPr="00F36AC9">
          <w:rPr>
            <w:rFonts w:ascii="Arial" w:hAnsi="Arial" w:cs="Arial"/>
            <w:sz w:val="24"/>
            <w:szCs w:val="24"/>
          </w:rPr>
          <w:t>Germany</w:t>
        </w:r>
      </w:smartTag>
      <w:r w:rsidRPr="00F36AC9">
        <w:rPr>
          <w:rFonts w:ascii="Arial" w:hAnsi="Arial" w:cs="Arial"/>
          <w:sz w:val="24"/>
          <w:szCs w:val="24"/>
        </w:rPr>
        <w:t xml:space="preserve">, </w:t>
      </w:r>
      <w:smartTag w:uri="urn:schemas-microsoft-com:office:smarttags" w:element="country-region">
        <w:r w:rsidRPr="00F36AC9">
          <w:rPr>
            <w:rFonts w:ascii="Arial" w:hAnsi="Arial" w:cs="Arial"/>
            <w:sz w:val="24"/>
            <w:szCs w:val="24"/>
          </w:rPr>
          <w:t>Italy</w:t>
        </w:r>
      </w:smartTag>
      <w:r w:rsidRPr="00F36AC9">
        <w:rPr>
          <w:rFonts w:ascii="Arial" w:hAnsi="Arial" w:cs="Arial"/>
          <w:sz w:val="24"/>
          <w:szCs w:val="24"/>
        </w:rPr>
        <w:t xml:space="preserve"> and the </w:t>
      </w:r>
      <w:smartTag w:uri="urn:schemas-microsoft-com:office:smarttags" w:element="place">
        <w:smartTag w:uri="urn:schemas-microsoft-com:office:smarttags" w:element="country-region">
          <w:r w:rsidRPr="00F36AC9">
            <w:rPr>
              <w:rFonts w:ascii="Arial" w:hAnsi="Arial" w:cs="Arial"/>
              <w:sz w:val="24"/>
              <w:szCs w:val="24"/>
            </w:rPr>
            <w:t>United Kingdom</w:t>
          </w:r>
        </w:smartTag>
      </w:smartTag>
      <w:r w:rsidRPr="00F36AC9">
        <w:rPr>
          <w:rFonts w:ascii="Arial" w:hAnsi="Arial" w:cs="Arial"/>
          <w:sz w:val="24"/>
          <w:szCs w:val="24"/>
        </w:rPr>
        <w:t xml:space="preserve"> signed the Sorbonne Declaration</w:t>
      </w:r>
      <w:r w:rsidRPr="00F36AC9">
        <w:rPr>
          <w:rFonts w:ascii="Arial" w:hAnsi="Arial" w:cs="Arial"/>
          <w:sz w:val="24"/>
          <w:szCs w:val="24"/>
          <w:vertAlign w:val="superscript"/>
        </w:rPr>
        <w:footnoteReference w:id="19"/>
      </w:r>
      <w:r w:rsidRPr="00F36AC9">
        <w:rPr>
          <w:rFonts w:ascii="Arial" w:hAnsi="Arial" w:cs="Arial"/>
          <w:sz w:val="24"/>
          <w:szCs w:val="24"/>
        </w:rPr>
        <w:t xml:space="preserve"> calling for the development of a European Higher Education space</w:t>
      </w:r>
      <w:r w:rsidRPr="00F36AC9">
        <w:rPr>
          <w:rFonts w:ascii="Arial" w:hAnsi="Arial" w:cs="Arial"/>
          <w:sz w:val="24"/>
          <w:szCs w:val="24"/>
          <w:vertAlign w:val="superscript"/>
        </w:rPr>
        <w:footnoteReference w:id="20"/>
      </w:r>
      <w:r w:rsidRPr="00F36AC9">
        <w:rPr>
          <w:rFonts w:ascii="Arial" w:hAnsi="Arial" w:cs="Arial"/>
          <w:sz w:val="24"/>
          <w:szCs w:val="24"/>
        </w:rPr>
        <w:t>. This was followed in 1999 by the Bologna Declaration</w:t>
      </w:r>
      <w:r w:rsidRPr="00F36AC9">
        <w:rPr>
          <w:rFonts w:ascii="Arial" w:hAnsi="Arial" w:cs="Arial"/>
          <w:sz w:val="24"/>
          <w:szCs w:val="24"/>
          <w:vertAlign w:val="superscript"/>
        </w:rPr>
        <w:footnoteReference w:id="21"/>
      </w:r>
      <w:r w:rsidRPr="00F36AC9">
        <w:rPr>
          <w:rFonts w:ascii="Arial" w:hAnsi="Arial" w:cs="Arial"/>
          <w:sz w:val="24"/>
          <w:szCs w:val="24"/>
        </w:rPr>
        <w:t xml:space="preserve"> of 29 European Ministers of Education with the aim of creating a European space for higher education by 2010</w:t>
      </w:r>
      <w:r w:rsidRPr="00F36AC9">
        <w:rPr>
          <w:rFonts w:ascii="Arial" w:hAnsi="Arial" w:cs="Arial"/>
          <w:sz w:val="24"/>
          <w:szCs w:val="24"/>
          <w:vertAlign w:val="superscript"/>
        </w:rPr>
        <w:footnoteReference w:id="22"/>
      </w:r>
      <w:r w:rsidRPr="00F36AC9">
        <w:rPr>
          <w:rFonts w:ascii="Arial" w:hAnsi="Arial" w:cs="Arial"/>
          <w:sz w:val="24"/>
          <w:szCs w:val="24"/>
        </w:rPr>
        <w:t>. This process had a set of clearly defined objectives: the adoption of a system of easily readable and comparable degrees; adoption of undergraduate and postgraduate levels of degrees in all countries with first degrees being no shorter than 3 years; establishment of a series of credits (e.g. the ECTS system) to promote student mobility; elimination of remaining obstacles to the free movement of students and teachers; promotion of European co-operation in quality assurance; and, promotion of the European dimension in higher education. Follow-</w:t>
      </w:r>
      <w:r w:rsidRPr="00F36AC9">
        <w:rPr>
          <w:rFonts w:ascii="Arial" w:hAnsi="Arial" w:cs="Arial"/>
          <w:sz w:val="24"/>
          <w:szCs w:val="24"/>
        </w:rPr>
        <w:lastRenderedPageBreak/>
        <w:t>up conferences were held in Prague in 2001</w:t>
      </w:r>
      <w:r w:rsidRPr="00F36AC9">
        <w:rPr>
          <w:rFonts w:ascii="Arial" w:hAnsi="Arial" w:cs="Arial"/>
          <w:sz w:val="24"/>
          <w:szCs w:val="24"/>
          <w:vertAlign w:val="superscript"/>
        </w:rPr>
        <w:footnoteReference w:id="23"/>
      </w:r>
      <w:r w:rsidRPr="00F36AC9">
        <w:rPr>
          <w:rFonts w:ascii="Arial" w:hAnsi="Arial" w:cs="Arial"/>
          <w:sz w:val="24"/>
          <w:szCs w:val="24"/>
        </w:rPr>
        <w:t>, Berlin in 2003</w:t>
      </w:r>
      <w:r w:rsidRPr="00F36AC9">
        <w:rPr>
          <w:rFonts w:ascii="Arial" w:hAnsi="Arial" w:cs="Arial"/>
          <w:sz w:val="24"/>
          <w:szCs w:val="24"/>
          <w:vertAlign w:val="superscript"/>
        </w:rPr>
        <w:footnoteReference w:id="24"/>
      </w:r>
      <w:r>
        <w:rPr>
          <w:rFonts w:ascii="Arial" w:hAnsi="Arial" w:cs="Arial"/>
          <w:sz w:val="24"/>
          <w:szCs w:val="24"/>
        </w:rPr>
        <w:t>,</w:t>
      </w:r>
      <w:r w:rsidRPr="00F36AC9">
        <w:rPr>
          <w:rFonts w:ascii="Arial" w:hAnsi="Arial" w:cs="Arial"/>
          <w:sz w:val="24"/>
          <w:szCs w:val="24"/>
        </w:rPr>
        <w:t xml:space="preserve"> Bergen in 2005</w:t>
      </w:r>
      <w:r w:rsidRPr="00F36AC9">
        <w:rPr>
          <w:rFonts w:ascii="Arial" w:hAnsi="Arial" w:cs="Arial"/>
          <w:sz w:val="24"/>
          <w:szCs w:val="24"/>
          <w:vertAlign w:val="superscript"/>
        </w:rPr>
        <w:footnoteReference w:id="25"/>
      </w:r>
      <w:r>
        <w:rPr>
          <w:rFonts w:ascii="Arial" w:hAnsi="Arial" w:cs="Arial"/>
          <w:sz w:val="24"/>
          <w:szCs w:val="24"/>
        </w:rPr>
        <w:t>, London in 2007</w:t>
      </w:r>
      <w:r>
        <w:rPr>
          <w:rStyle w:val="FootnoteReference"/>
          <w:rFonts w:ascii="Arial" w:hAnsi="Arial" w:cs="Arial"/>
          <w:sz w:val="24"/>
          <w:szCs w:val="24"/>
        </w:rPr>
        <w:footnoteReference w:id="26"/>
      </w:r>
      <w:r>
        <w:rPr>
          <w:rFonts w:ascii="Arial" w:hAnsi="Arial" w:cs="Arial"/>
          <w:sz w:val="24"/>
          <w:szCs w:val="24"/>
        </w:rPr>
        <w:t xml:space="preserve"> and Leuven/Louvain-La-</w:t>
      </w:r>
      <w:proofErr w:type="spellStart"/>
      <w:r>
        <w:rPr>
          <w:rFonts w:ascii="Arial" w:hAnsi="Arial" w:cs="Arial"/>
          <w:sz w:val="24"/>
          <w:szCs w:val="24"/>
        </w:rPr>
        <w:t>Neuve</w:t>
      </w:r>
      <w:proofErr w:type="spellEnd"/>
      <w:r>
        <w:rPr>
          <w:rFonts w:ascii="Arial" w:hAnsi="Arial" w:cs="Arial"/>
          <w:sz w:val="24"/>
          <w:szCs w:val="24"/>
        </w:rPr>
        <w:t xml:space="preserve"> in 2009</w:t>
      </w:r>
      <w:r>
        <w:rPr>
          <w:rStyle w:val="FootnoteReference"/>
          <w:rFonts w:ascii="Arial" w:hAnsi="Arial" w:cs="Arial"/>
          <w:sz w:val="24"/>
          <w:szCs w:val="24"/>
        </w:rPr>
        <w:footnoteReference w:id="27"/>
      </w:r>
      <w:r>
        <w:rPr>
          <w:rFonts w:ascii="Arial" w:hAnsi="Arial" w:cs="Arial"/>
          <w:sz w:val="24"/>
          <w:szCs w:val="24"/>
        </w:rPr>
        <w:t>. On 12 March 2010, the now 47 Education Ministers of the participating States in the Bologna Process</w:t>
      </w:r>
      <w:r>
        <w:rPr>
          <w:rStyle w:val="FootnoteReference"/>
          <w:rFonts w:ascii="Arial" w:hAnsi="Arial" w:cs="Arial"/>
          <w:sz w:val="24"/>
          <w:szCs w:val="24"/>
        </w:rPr>
        <w:footnoteReference w:id="28"/>
      </w:r>
      <w:r>
        <w:rPr>
          <w:rFonts w:ascii="Arial" w:hAnsi="Arial" w:cs="Arial"/>
          <w:sz w:val="24"/>
          <w:szCs w:val="24"/>
        </w:rPr>
        <w:t xml:space="preserve"> launched the European Higher Education Area</w:t>
      </w:r>
      <w:r>
        <w:rPr>
          <w:rStyle w:val="FootnoteReference"/>
          <w:rFonts w:ascii="Arial" w:hAnsi="Arial" w:cs="Arial"/>
          <w:sz w:val="24"/>
          <w:szCs w:val="24"/>
        </w:rPr>
        <w:footnoteReference w:id="29"/>
      </w:r>
      <w:r>
        <w:rPr>
          <w:rFonts w:ascii="Arial" w:hAnsi="Arial" w:cs="Arial"/>
          <w:sz w:val="24"/>
          <w:szCs w:val="24"/>
        </w:rPr>
        <w:t>.</w:t>
      </w:r>
    </w:p>
    <w:p w:rsidR="00E03B54" w:rsidRPr="00F36AC9"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F36AC9">
        <w:rPr>
          <w:rFonts w:ascii="Arial" w:hAnsi="Arial" w:cs="Arial"/>
          <w:sz w:val="24"/>
          <w:szCs w:val="24"/>
        </w:rPr>
        <w:t xml:space="preserve">Academic commentary </w:t>
      </w:r>
      <w:r>
        <w:rPr>
          <w:rFonts w:ascii="Arial" w:hAnsi="Arial" w:cs="Arial"/>
          <w:sz w:val="24"/>
          <w:szCs w:val="24"/>
        </w:rPr>
        <w:t xml:space="preserve">on this subject </w:t>
      </w:r>
      <w:r w:rsidRPr="00F36AC9">
        <w:rPr>
          <w:rFonts w:ascii="Arial" w:hAnsi="Arial" w:cs="Arial"/>
          <w:sz w:val="24"/>
          <w:szCs w:val="24"/>
        </w:rPr>
        <w:t xml:space="preserve">has tended to focus on the possibility of a European common law. </w:t>
      </w:r>
      <w:r>
        <w:rPr>
          <w:rFonts w:ascii="Arial" w:hAnsi="Arial" w:cs="Arial"/>
          <w:sz w:val="24"/>
          <w:szCs w:val="24"/>
        </w:rPr>
        <w:t>ACLEC’s consultation paper made</w:t>
      </w:r>
      <w:r w:rsidRPr="00F36AC9">
        <w:rPr>
          <w:rFonts w:ascii="Arial" w:hAnsi="Arial" w:cs="Arial"/>
          <w:sz w:val="24"/>
          <w:szCs w:val="24"/>
        </w:rPr>
        <w:t xml:space="preserve"> reference to this </w:t>
      </w:r>
      <w:proofErr w:type="spellStart"/>
      <w:r w:rsidRPr="00F36AC9">
        <w:rPr>
          <w:rFonts w:ascii="Arial" w:hAnsi="Arial" w:cs="Arial"/>
          <w:i/>
          <w:sz w:val="24"/>
          <w:szCs w:val="24"/>
        </w:rPr>
        <w:t>ius</w:t>
      </w:r>
      <w:proofErr w:type="spellEnd"/>
      <w:r w:rsidRPr="00F36AC9">
        <w:rPr>
          <w:rFonts w:ascii="Arial" w:hAnsi="Arial" w:cs="Arial"/>
          <w:i/>
          <w:sz w:val="24"/>
          <w:szCs w:val="24"/>
        </w:rPr>
        <w:t xml:space="preserve"> commune</w:t>
      </w:r>
      <w:r w:rsidRPr="00F36AC9">
        <w:rPr>
          <w:rFonts w:ascii="Arial" w:hAnsi="Arial" w:cs="Arial"/>
          <w:i/>
          <w:sz w:val="24"/>
          <w:szCs w:val="24"/>
          <w:vertAlign w:val="superscript"/>
        </w:rPr>
        <w:footnoteReference w:id="30"/>
      </w:r>
      <w:r>
        <w:rPr>
          <w:rFonts w:ascii="Arial" w:hAnsi="Arial" w:cs="Arial"/>
          <w:sz w:val="24"/>
          <w:szCs w:val="24"/>
        </w:rPr>
        <w:t xml:space="preserve"> as did</w:t>
      </w:r>
      <w:r w:rsidRPr="00F36AC9">
        <w:rPr>
          <w:rFonts w:ascii="Arial" w:hAnsi="Arial" w:cs="Arial"/>
          <w:sz w:val="24"/>
          <w:szCs w:val="24"/>
        </w:rPr>
        <w:t xml:space="preserve"> Goode</w:t>
      </w:r>
      <w:r w:rsidRPr="00F36AC9">
        <w:rPr>
          <w:rFonts w:ascii="Arial" w:hAnsi="Arial" w:cs="Arial"/>
          <w:sz w:val="24"/>
          <w:szCs w:val="24"/>
          <w:vertAlign w:val="superscript"/>
        </w:rPr>
        <w:footnoteReference w:id="31"/>
      </w:r>
      <w:r w:rsidRPr="00F36AC9">
        <w:rPr>
          <w:rFonts w:ascii="Arial" w:hAnsi="Arial" w:cs="Arial"/>
          <w:sz w:val="24"/>
          <w:szCs w:val="24"/>
        </w:rPr>
        <w:t>, albeit negatively, Edward</w:t>
      </w:r>
      <w:r w:rsidRPr="00F36AC9">
        <w:rPr>
          <w:rFonts w:ascii="Arial" w:hAnsi="Arial" w:cs="Arial"/>
          <w:sz w:val="24"/>
          <w:szCs w:val="24"/>
          <w:vertAlign w:val="superscript"/>
        </w:rPr>
        <w:footnoteReference w:id="32"/>
      </w:r>
      <w:r w:rsidRPr="00F36AC9">
        <w:rPr>
          <w:rFonts w:ascii="Arial" w:hAnsi="Arial" w:cs="Arial"/>
          <w:sz w:val="24"/>
          <w:szCs w:val="24"/>
        </w:rPr>
        <w:t xml:space="preserve">, </w:t>
      </w:r>
      <w:proofErr w:type="spellStart"/>
      <w:r w:rsidRPr="00F36AC9">
        <w:rPr>
          <w:rFonts w:ascii="Arial" w:hAnsi="Arial" w:cs="Arial"/>
          <w:sz w:val="24"/>
          <w:szCs w:val="24"/>
        </w:rPr>
        <w:t>Umbach</w:t>
      </w:r>
      <w:proofErr w:type="spellEnd"/>
      <w:r w:rsidRPr="00F36AC9">
        <w:rPr>
          <w:rFonts w:ascii="Arial" w:hAnsi="Arial" w:cs="Arial"/>
          <w:sz w:val="24"/>
          <w:szCs w:val="24"/>
        </w:rPr>
        <w:t xml:space="preserve"> and Scholl</w:t>
      </w:r>
      <w:r w:rsidRPr="00F36AC9">
        <w:rPr>
          <w:rFonts w:ascii="Arial" w:hAnsi="Arial" w:cs="Arial"/>
          <w:sz w:val="24"/>
          <w:szCs w:val="24"/>
          <w:vertAlign w:val="superscript"/>
        </w:rPr>
        <w:footnoteReference w:id="33"/>
      </w:r>
      <w:r w:rsidRPr="00F36AC9">
        <w:rPr>
          <w:rFonts w:ascii="Arial" w:hAnsi="Arial" w:cs="Arial"/>
          <w:sz w:val="24"/>
          <w:szCs w:val="24"/>
        </w:rPr>
        <w:t>, Bache</w:t>
      </w:r>
      <w:r w:rsidRPr="00F36AC9">
        <w:rPr>
          <w:rFonts w:ascii="Arial" w:hAnsi="Arial" w:cs="Arial"/>
          <w:sz w:val="24"/>
          <w:szCs w:val="24"/>
          <w:vertAlign w:val="superscript"/>
        </w:rPr>
        <w:footnoteReference w:id="34"/>
      </w:r>
      <w:r w:rsidRPr="00F36AC9">
        <w:rPr>
          <w:rFonts w:ascii="Arial" w:hAnsi="Arial" w:cs="Arial"/>
          <w:sz w:val="24"/>
          <w:szCs w:val="24"/>
        </w:rPr>
        <w:t xml:space="preserve">, and </w:t>
      </w:r>
      <w:proofErr w:type="spellStart"/>
      <w:r w:rsidRPr="00F36AC9">
        <w:rPr>
          <w:rFonts w:ascii="Arial" w:hAnsi="Arial" w:cs="Arial"/>
          <w:sz w:val="24"/>
          <w:szCs w:val="24"/>
        </w:rPr>
        <w:t>Wessels</w:t>
      </w:r>
      <w:proofErr w:type="spellEnd"/>
      <w:r w:rsidRPr="00F36AC9">
        <w:rPr>
          <w:rFonts w:ascii="Arial" w:hAnsi="Arial" w:cs="Arial"/>
          <w:sz w:val="24"/>
          <w:szCs w:val="24"/>
        </w:rPr>
        <w:t xml:space="preserve">, </w:t>
      </w:r>
      <w:proofErr w:type="spellStart"/>
      <w:r w:rsidRPr="00F36AC9">
        <w:rPr>
          <w:rFonts w:ascii="Arial" w:hAnsi="Arial" w:cs="Arial"/>
          <w:sz w:val="24"/>
          <w:szCs w:val="24"/>
        </w:rPr>
        <w:t>Linsenmann</w:t>
      </w:r>
      <w:proofErr w:type="spellEnd"/>
      <w:r w:rsidRPr="00F36AC9">
        <w:rPr>
          <w:rFonts w:ascii="Arial" w:hAnsi="Arial" w:cs="Arial"/>
          <w:sz w:val="24"/>
          <w:szCs w:val="24"/>
        </w:rPr>
        <w:t xml:space="preserve"> and </w:t>
      </w:r>
      <w:proofErr w:type="spellStart"/>
      <w:r w:rsidRPr="00F36AC9">
        <w:rPr>
          <w:rFonts w:ascii="Arial" w:hAnsi="Arial" w:cs="Arial"/>
          <w:sz w:val="24"/>
          <w:szCs w:val="24"/>
        </w:rPr>
        <w:t>Hägele</w:t>
      </w:r>
      <w:proofErr w:type="spellEnd"/>
      <w:r w:rsidRPr="00F36AC9">
        <w:rPr>
          <w:rFonts w:ascii="Arial" w:hAnsi="Arial" w:cs="Arial"/>
          <w:sz w:val="24"/>
          <w:szCs w:val="24"/>
          <w:vertAlign w:val="superscript"/>
        </w:rPr>
        <w:footnoteReference w:id="35"/>
      </w:r>
      <w:r w:rsidRPr="00F36AC9">
        <w:rPr>
          <w:rFonts w:ascii="Arial" w:hAnsi="Arial" w:cs="Arial"/>
          <w:sz w:val="24"/>
          <w:szCs w:val="24"/>
        </w:rPr>
        <w:t xml:space="preserve">. By 2003, </w:t>
      </w:r>
      <w:proofErr w:type="spellStart"/>
      <w:r w:rsidRPr="00F36AC9">
        <w:rPr>
          <w:rFonts w:ascii="Arial" w:hAnsi="Arial" w:cs="Arial"/>
          <w:sz w:val="24"/>
          <w:szCs w:val="24"/>
        </w:rPr>
        <w:t>Wessels</w:t>
      </w:r>
      <w:proofErr w:type="spellEnd"/>
      <w:r w:rsidRPr="00F36AC9">
        <w:rPr>
          <w:rFonts w:ascii="Arial" w:hAnsi="Arial" w:cs="Arial"/>
          <w:sz w:val="24"/>
          <w:szCs w:val="24"/>
        </w:rPr>
        <w:t xml:space="preserve">, now writing with </w:t>
      </w:r>
      <w:proofErr w:type="spellStart"/>
      <w:r w:rsidRPr="00F36AC9">
        <w:rPr>
          <w:rFonts w:ascii="Arial" w:hAnsi="Arial" w:cs="Arial"/>
          <w:sz w:val="24"/>
          <w:szCs w:val="24"/>
        </w:rPr>
        <w:t>Grothe</w:t>
      </w:r>
      <w:proofErr w:type="spellEnd"/>
      <w:r w:rsidRPr="00F36AC9">
        <w:rPr>
          <w:rFonts w:ascii="Arial" w:hAnsi="Arial" w:cs="Arial"/>
          <w:sz w:val="24"/>
          <w:szCs w:val="24"/>
        </w:rPr>
        <w:t xml:space="preserve"> and </w:t>
      </w:r>
      <w:proofErr w:type="spellStart"/>
      <w:r w:rsidRPr="00F36AC9">
        <w:rPr>
          <w:rFonts w:ascii="Arial" w:hAnsi="Arial" w:cs="Arial"/>
          <w:sz w:val="24"/>
          <w:szCs w:val="24"/>
        </w:rPr>
        <w:t>Umbach</w:t>
      </w:r>
      <w:proofErr w:type="spellEnd"/>
      <w:r w:rsidRPr="00F36AC9">
        <w:rPr>
          <w:rFonts w:ascii="Arial" w:hAnsi="Arial" w:cs="Arial"/>
          <w:sz w:val="24"/>
          <w:szCs w:val="24"/>
          <w:vertAlign w:val="superscript"/>
        </w:rPr>
        <w:footnoteReference w:id="36"/>
      </w:r>
      <w:r w:rsidRPr="00F36AC9">
        <w:rPr>
          <w:rFonts w:ascii="Arial" w:hAnsi="Arial" w:cs="Arial"/>
          <w:sz w:val="24"/>
          <w:szCs w:val="24"/>
        </w:rPr>
        <w:t xml:space="preserve"> was suggesting the use of a ‘Teaching Companion’ rather than a core curriculum.</w:t>
      </w:r>
      <w:r>
        <w:rPr>
          <w:rFonts w:ascii="Arial" w:hAnsi="Arial" w:cs="Arial"/>
          <w:sz w:val="24"/>
          <w:szCs w:val="24"/>
        </w:rPr>
        <w:t xml:space="preserve"> However, so far there has been little harmonising influence on the legal curriculum taught in law schools.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1.8</w:t>
      </w:r>
      <w:r>
        <w:rPr>
          <w:rFonts w:ascii="Arial" w:hAnsi="Arial" w:cs="Arial"/>
          <w:sz w:val="24"/>
          <w:szCs w:val="24"/>
        </w:rPr>
        <w:tab/>
        <w:t xml:space="preserve">Apart from the commentary noted already, the teaching of EU Law has been studied both in the US and the UK. In the US, instead of simply focusing on EU Law, European Studies are taught as </w:t>
      </w:r>
      <w:r w:rsidRPr="00F36AC9">
        <w:rPr>
          <w:rFonts w:ascii="Arial" w:hAnsi="Arial" w:cs="Arial"/>
          <w:sz w:val="24"/>
          <w:szCs w:val="24"/>
        </w:rPr>
        <w:t xml:space="preserve"> a multi-disciplinary experience, covering law, economics, political science, sociology, anthropology and history</w:t>
      </w:r>
      <w:r w:rsidRPr="00F36AC9">
        <w:rPr>
          <w:rFonts w:ascii="Arial" w:hAnsi="Arial" w:cs="Arial"/>
          <w:sz w:val="24"/>
          <w:szCs w:val="24"/>
          <w:vertAlign w:val="superscript"/>
        </w:rPr>
        <w:footnoteReference w:id="37"/>
      </w:r>
      <w:r w:rsidRPr="00F36AC9">
        <w:rPr>
          <w:rFonts w:ascii="Arial" w:hAnsi="Arial" w:cs="Arial"/>
          <w:sz w:val="24"/>
          <w:szCs w:val="24"/>
        </w:rPr>
        <w:t>. In law</w:t>
      </w:r>
      <w:r>
        <w:rPr>
          <w:rFonts w:ascii="Arial" w:hAnsi="Arial" w:cs="Arial"/>
          <w:sz w:val="24"/>
          <w:szCs w:val="24"/>
        </w:rPr>
        <w:t>,</w:t>
      </w:r>
      <w:r w:rsidRPr="00F36AC9">
        <w:rPr>
          <w:rFonts w:ascii="Arial" w:hAnsi="Arial" w:cs="Arial"/>
          <w:sz w:val="24"/>
          <w:szCs w:val="24"/>
        </w:rPr>
        <w:t xml:space="preserve"> Goebel</w:t>
      </w:r>
      <w:r w:rsidRPr="00F36AC9">
        <w:rPr>
          <w:rFonts w:ascii="Arial" w:hAnsi="Arial" w:cs="Arial"/>
          <w:sz w:val="24"/>
          <w:szCs w:val="24"/>
          <w:vertAlign w:val="superscript"/>
        </w:rPr>
        <w:footnoteReference w:id="38"/>
      </w:r>
      <w:r w:rsidRPr="00F36AC9">
        <w:rPr>
          <w:rFonts w:ascii="Arial" w:hAnsi="Arial" w:cs="Arial"/>
          <w:sz w:val="24"/>
          <w:szCs w:val="24"/>
        </w:rPr>
        <w:t xml:space="preserve"> has briefly written about the pedagogical goals and approaches for teaching EU law, </w:t>
      </w:r>
      <w:r w:rsidRPr="00F36AC9">
        <w:rPr>
          <w:rFonts w:ascii="Arial" w:hAnsi="Arial" w:cs="Arial"/>
          <w:sz w:val="24"/>
          <w:szCs w:val="24"/>
        </w:rPr>
        <w:lastRenderedPageBreak/>
        <w:t xml:space="preserve">although in a personal e-mail he </w:t>
      </w:r>
      <w:r>
        <w:rPr>
          <w:rFonts w:ascii="Arial" w:hAnsi="Arial" w:cs="Arial"/>
          <w:sz w:val="24"/>
          <w:szCs w:val="24"/>
        </w:rPr>
        <w:t>has admitted that this account wa</w:t>
      </w:r>
      <w:r w:rsidRPr="00F36AC9">
        <w:rPr>
          <w:rFonts w:ascii="Arial" w:hAnsi="Arial" w:cs="Arial"/>
          <w:sz w:val="24"/>
          <w:szCs w:val="24"/>
        </w:rPr>
        <w:t>s now dated and aimed purely at the US</w:t>
      </w:r>
      <w:r w:rsidRPr="00F36AC9">
        <w:rPr>
          <w:rFonts w:ascii="Arial" w:hAnsi="Arial" w:cs="Arial"/>
          <w:sz w:val="24"/>
          <w:szCs w:val="24"/>
          <w:vertAlign w:val="superscript"/>
        </w:rPr>
        <w:footnoteReference w:id="39"/>
      </w:r>
      <w:r w:rsidRPr="00F36AC9">
        <w:rPr>
          <w:rFonts w:ascii="Arial" w:hAnsi="Arial" w:cs="Arial"/>
          <w:sz w:val="24"/>
          <w:szCs w:val="24"/>
        </w:rPr>
        <w:t>. Smith and Hogan</w:t>
      </w:r>
      <w:r w:rsidRPr="00F36AC9">
        <w:rPr>
          <w:rFonts w:ascii="Arial" w:hAnsi="Arial" w:cs="Arial"/>
          <w:sz w:val="24"/>
          <w:szCs w:val="24"/>
          <w:vertAlign w:val="superscript"/>
        </w:rPr>
        <w:footnoteReference w:id="40"/>
      </w:r>
      <w:r w:rsidRPr="00F36AC9">
        <w:rPr>
          <w:rFonts w:ascii="Arial" w:hAnsi="Arial" w:cs="Arial"/>
          <w:sz w:val="24"/>
          <w:szCs w:val="24"/>
        </w:rPr>
        <w:t xml:space="preserve"> analyse</w:t>
      </w:r>
      <w:r>
        <w:rPr>
          <w:rFonts w:ascii="Arial" w:hAnsi="Arial" w:cs="Arial"/>
          <w:sz w:val="24"/>
          <w:szCs w:val="24"/>
        </w:rPr>
        <w:t>d</w:t>
      </w:r>
      <w:r w:rsidRPr="00F36AC9">
        <w:rPr>
          <w:rFonts w:ascii="Arial" w:hAnsi="Arial" w:cs="Arial"/>
          <w:sz w:val="24"/>
          <w:szCs w:val="24"/>
        </w:rPr>
        <w:t xml:space="preserve"> the teachi</w:t>
      </w:r>
      <w:r>
        <w:rPr>
          <w:rFonts w:ascii="Arial" w:hAnsi="Arial" w:cs="Arial"/>
          <w:sz w:val="24"/>
          <w:szCs w:val="24"/>
        </w:rPr>
        <w:t>ng of an online EU law course and a</w:t>
      </w:r>
      <w:r w:rsidRPr="00F36AC9">
        <w:rPr>
          <w:rFonts w:ascii="Arial" w:hAnsi="Arial" w:cs="Arial"/>
          <w:sz w:val="24"/>
          <w:szCs w:val="24"/>
        </w:rPr>
        <w:t xml:space="preserve"> more general discip</w:t>
      </w:r>
      <w:r>
        <w:rPr>
          <w:rFonts w:ascii="Arial" w:hAnsi="Arial" w:cs="Arial"/>
          <w:sz w:val="24"/>
          <w:szCs w:val="24"/>
        </w:rPr>
        <w:t>linary analysis of web-teaching wa</w:t>
      </w:r>
      <w:r w:rsidRPr="00F36AC9">
        <w:rPr>
          <w:rFonts w:ascii="Arial" w:hAnsi="Arial" w:cs="Arial"/>
          <w:sz w:val="24"/>
          <w:szCs w:val="24"/>
        </w:rPr>
        <w:t xml:space="preserve">s provided by </w:t>
      </w:r>
      <w:proofErr w:type="spellStart"/>
      <w:r w:rsidRPr="00F36AC9">
        <w:rPr>
          <w:rFonts w:ascii="Arial" w:hAnsi="Arial" w:cs="Arial"/>
          <w:sz w:val="24"/>
          <w:szCs w:val="24"/>
        </w:rPr>
        <w:t>Wilkin</w:t>
      </w:r>
      <w:proofErr w:type="spellEnd"/>
      <w:r w:rsidRPr="00F36AC9">
        <w:rPr>
          <w:rFonts w:ascii="Arial" w:hAnsi="Arial" w:cs="Arial"/>
          <w:sz w:val="24"/>
          <w:szCs w:val="24"/>
          <w:vertAlign w:val="superscript"/>
        </w:rPr>
        <w:footnoteReference w:id="41"/>
      </w:r>
      <w:r w:rsidRPr="00F36AC9">
        <w:rPr>
          <w:rFonts w:ascii="Arial" w:hAnsi="Arial" w:cs="Arial"/>
          <w:sz w:val="24"/>
          <w:szCs w:val="24"/>
        </w:rPr>
        <w:t xml:space="preserve">. </w:t>
      </w:r>
      <w:r>
        <w:rPr>
          <w:rFonts w:ascii="Arial" w:hAnsi="Arial" w:cs="Arial"/>
          <w:sz w:val="24"/>
          <w:szCs w:val="24"/>
        </w:rPr>
        <w:t>Innovative teaching of the EU wa</w:t>
      </w:r>
      <w:r w:rsidRPr="00F36AC9">
        <w:rPr>
          <w:rFonts w:ascii="Arial" w:hAnsi="Arial" w:cs="Arial"/>
          <w:sz w:val="24"/>
          <w:szCs w:val="24"/>
        </w:rPr>
        <w:t xml:space="preserve">s evidenced </w:t>
      </w:r>
      <w:r>
        <w:rPr>
          <w:rFonts w:ascii="Arial" w:hAnsi="Arial" w:cs="Arial"/>
          <w:sz w:val="24"/>
          <w:szCs w:val="24"/>
        </w:rPr>
        <w:t>by</w:t>
      </w:r>
      <w:r w:rsidRPr="00F36AC9">
        <w:rPr>
          <w:rFonts w:ascii="Arial" w:hAnsi="Arial" w:cs="Arial"/>
          <w:sz w:val="24"/>
          <w:szCs w:val="24"/>
        </w:rPr>
        <w:t xml:space="preserve"> the use of European Union simulations (</w:t>
      </w:r>
      <w:proofErr w:type="spellStart"/>
      <w:r w:rsidRPr="00F36AC9">
        <w:rPr>
          <w:rFonts w:ascii="Arial" w:hAnsi="Arial" w:cs="Arial"/>
          <w:sz w:val="24"/>
          <w:szCs w:val="24"/>
        </w:rPr>
        <w:t>Eurosims</w:t>
      </w:r>
      <w:proofErr w:type="spellEnd"/>
      <w:r w:rsidRPr="00F36AC9">
        <w:rPr>
          <w:rFonts w:ascii="Arial" w:hAnsi="Arial" w:cs="Arial"/>
          <w:sz w:val="24"/>
          <w:szCs w:val="24"/>
        </w:rPr>
        <w:t xml:space="preserve">), analysed by </w:t>
      </w:r>
      <w:proofErr w:type="spellStart"/>
      <w:r w:rsidRPr="00F36AC9">
        <w:rPr>
          <w:rFonts w:ascii="Arial" w:hAnsi="Arial" w:cs="Arial"/>
          <w:sz w:val="24"/>
          <w:szCs w:val="24"/>
        </w:rPr>
        <w:t>Bookmiller</w:t>
      </w:r>
      <w:proofErr w:type="spellEnd"/>
      <w:r w:rsidRPr="00F36AC9">
        <w:rPr>
          <w:rFonts w:ascii="Arial" w:hAnsi="Arial" w:cs="Arial"/>
          <w:sz w:val="24"/>
          <w:szCs w:val="24"/>
        </w:rPr>
        <w:t xml:space="preserve">, </w:t>
      </w:r>
      <w:proofErr w:type="spellStart"/>
      <w:r w:rsidRPr="00F36AC9">
        <w:rPr>
          <w:rFonts w:ascii="Arial" w:hAnsi="Arial" w:cs="Arial"/>
          <w:sz w:val="24"/>
          <w:szCs w:val="24"/>
        </w:rPr>
        <w:t>DeClair</w:t>
      </w:r>
      <w:proofErr w:type="spellEnd"/>
      <w:r w:rsidRPr="00F36AC9">
        <w:rPr>
          <w:rFonts w:ascii="Arial" w:hAnsi="Arial" w:cs="Arial"/>
          <w:sz w:val="24"/>
          <w:szCs w:val="24"/>
        </w:rPr>
        <w:t xml:space="preserve"> and </w:t>
      </w:r>
      <w:proofErr w:type="spellStart"/>
      <w:r w:rsidRPr="00F36AC9">
        <w:rPr>
          <w:rFonts w:ascii="Arial" w:hAnsi="Arial" w:cs="Arial"/>
          <w:sz w:val="24"/>
          <w:szCs w:val="24"/>
        </w:rPr>
        <w:t>Loedel</w:t>
      </w:r>
      <w:proofErr w:type="spellEnd"/>
      <w:r w:rsidRPr="00F36AC9">
        <w:rPr>
          <w:rFonts w:ascii="Arial" w:hAnsi="Arial" w:cs="Arial"/>
          <w:sz w:val="24"/>
          <w:szCs w:val="24"/>
          <w:vertAlign w:val="superscript"/>
        </w:rPr>
        <w:footnoteReference w:id="42"/>
      </w:r>
      <w:r w:rsidRPr="00F36AC9">
        <w:rPr>
          <w:rFonts w:ascii="Arial" w:hAnsi="Arial" w:cs="Arial"/>
          <w:sz w:val="24"/>
          <w:szCs w:val="24"/>
        </w:rPr>
        <w:t xml:space="preserve"> and their importance stressed by </w:t>
      </w:r>
      <w:proofErr w:type="spellStart"/>
      <w:r w:rsidRPr="00F36AC9">
        <w:rPr>
          <w:rFonts w:ascii="Arial" w:hAnsi="Arial" w:cs="Arial"/>
          <w:sz w:val="24"/>
          <w:szCs w:val="24"/>
        </w:rPr>
        <w:t>Loedel</w:t>
      </w:r>
      <w:proofErr w:type="spellEnd"/>
      <w:r w:rsidRPr="00F36AC9">
        <w:rPr>
          <w:rFonts w:ascii="Arial" w:hAnsi="Arial" w:cs="Arial"/>
          <w:sz w:val="24"/>
          <w:szCs w:val="24"/>
        </w:rPr>
        <w:t xml:space="preserve"> and </w:t>
      </w:r>
      <w:proofErr w:type="spellStart"/>
      <w:r w:rsidRPr="00F36AC9">
        <w:rPr>
          <w:rFonts w:ascii="Arial" w:hAnsi="Arial" w:cs="Arial"/>
          <w:sz w:val="24"/>
          <w:szCs w:val="24"/>
        </w:rPr>
        <w:t>Occhiphinti</w:t>
      </w:r>
      <w:proofErr w:type="spellEnd"/>
      <w:r w:rsidRPr="00F36AC9">
        <w:rPr>
          <w:rFonts w:ascii="Arial" w:hAnsi="Arial" w:cs="Arial"/>
          <w:sz w:val="24"/>
          <w:szCs w:val="24"/>
          <w:vertAlign w:val="superscript"/>
        </w:rPr>
        <w:footnoteReference w:id="43"/>
      </w:r>
      <w:r w:rsidRPr="00F36AC9">
        <w:rPr>
          <w:rFonts w:ascii="Arial" w:hAnsi="Arial" w:cs="Arial"/>
          <w:sz w:val="24"/>
          <w:szCs w:val="24"/>
        </w:rPr>
        <w:t xml:space="preserve">. Finally </w:t>
      </w:r>
      <w:proofErr w:type="spellStart"/>
      <w:r w:rsidRPr="00F36AC9">
        <w:rPr>
          <w:rFonts w:ascii="Arial" w:hAnsi="Arial" w:cs="Arial"/>
          <w:sz w:val="24"/>
          <w:szCs w:val="24"/>
        </w:rPr>
        <w:t>Makins</w:t>
      </w:r>
      <w:proofErr w:type="spellEnd"/>
      <w:r w:rsidRPr="00F36AC9">
        <w:rPr>
          <w:rFonts w:ascii="Arial" w:hAnsi="Arial" w:cs="Arial"/>
          <w:sz w:val="24"/>
          <w:szCs w:val="24"/>
          <w:vertAlign w:val="superscript"/>
        </w:rPr>
        <w:footnoteReference w:id="44"/>
      </w:r>
      <w:r>
        <w:rPr>
          <w:rFonts w:ascii="Arial" w:hAnsi="Arial" w:cs="Arial"/>
          <w:sz w:val="24"/>
          <w:szCs w:val="24"/>
        </w:rPr>
        <w:t xml:space="preserve"> provided</w:t>
      </w:r>
      <w:r w:rsidRPr="00F36AC9">
        <w:rPr>
          <w:rFonts w:ascii="Arial" w:hAnsi="Arial" w:cs="Arial"/>
          <w:sz w:val="24"/>
          <w:szCs w:val="24"/>
        </w:rPr>
        <w:t xml:space="preserve"> an inter-disciplinary analysis of European st</w:t>
      </w:r>
      <w:r>
        <w:rPr>
          <w:rFonts w:ascii="Arial" w:hAnsi="Arial" w:cs="Arial"/>
          <w:sz w:val="24"/>
          <w:szCs w:val="24"/>
        </w:rPr>
        <w:t>udy in the US. Apart from law and, a</w:t>
      </w:r>
      <w:r w:rsidRPr="00F36AC9">
        <w:rPr>
          <w:rFonts w:ascii="Arial" w:hAnsi="Arial" w:cs="Arial"/>
          <w:sz w:val="24"/>
          <w:szCs w:val="24"/>
        </w:rPr>
        <w:t xml:space="preserve">lthough of interest, this </w:t>
      </w:r>
      <w:r>
        <w:rPr>
          <w:rFonts w:ascii="Arial" w:hAnsi="Arial" w:cs="Arial"/>
          <w:sz w:val="24"/>
          <w:szCs w:val="24"/>
        </w:rPr>
        <w:t xml:space="preserve">analysis </w:t>
      </w:r>
      <w:r w:rsidRPr="00F36AC9">
        <w:rPr>
          <w:rFonts w:ascii="Arial" w:hAnsi="Arial" w:cs="Arial"/>
          <w:sz w:val="24"/>
          <w:szCs w:val="24"/>
        </w:rPr>
        <w:t>does not consider the specifics of teaching and learning the EU in general or EU law in particular.</w:t>
      </w:r>
    </w:p>
    <w:p w:rsidR="00E03B54" w:rsidRDefault="00E03B54" w:rsidP="00E03B54">
      <w:pPr>
        <w:spacing w:line="360" w:lineRule="auto"/>
        <w:jc w:val="both"/>
        <w:rPr>
          <w:rFonts w:ascii="Arial" w:hAnsi="Arial" w:cs="Arial"/>
          <w:sz w:val="24"/>
          <w:szCs w:val="24"/>
        </w:rPr>
      </w:pPr>
    </w:p>
    <w:p w:rsidR="00E03B54" w:rsidRPr="00F36AC9" w:rsidRDefault="00E03B54" w:rsidP="00E03B54">
      <w:pPr>
        <w:spacing w:line="360" w:lineRule="auto"/>
        <w:jc w:val="both"/>
        <w:rPr>
          <w:rFonts w:ascii="Arial" w:hAnsi="Arial" w:cs="Arial"/>
          <w:sz w:val="24"/>
          <w:szCs w:val="24"/>
        </w:rPr>
      </w:pPr>
      <w:r>
        <w:rPr>
          <w:rFonts w:ascii="Arial" w:hAnsi="Arial" w:cs="Arial"/>
          <w:sz w:val="24"/>
          <w:szCs w:val="24"/>
        </w:rPr>
        <w:t>1.9</w:t>
      </w:r>
      <w:r>
        <w:rPr>
          <w:rFonts w:ascii="Arial" w:hAnsi="Arial" w:cs="Arial"/>
          <w:sz w:val="24"/>
          <w:szCs w:val="24"/>
        </w:rPr>
        <w:tab/>
        <w:t xml:space="preserve">In the UK, the study of EU Law has been more focused, although analysis of teaching and learning has been negligible. </w:t>
      </w:r>
      <w:r w:rsidRPr="00F36AC9">
        <w:rPr>
          <w:rFonts w:ascii="Arial" w:hAnsi="Arial" w:cs="Arial"/>
          <w:sz w:val="24"/>
          <w:szCs w:val="24"/>
        </w:rPr>
        <w:t xml:space="preserve">In 1993 two surveys of law teaching were conducted. The first by Harris and </w:t>
      </w:r>
      <w:proofErr w:type="spellStart"/>
      <w:r w:rsidRPr="00F36AC9">
        <w:rPr>
          <w:rFonts w:ascii="Arial" w:hAnsi="Arial" w:cs="Arial"/>
          <w:sz w:val="24"/>
          <w:szCs w:val="24"/>
        </w:rPr>
        <w:t>Bellerby</w:t>
      </w:r>
      <w:proofErr w:type="spellEnd"/>
      <w:r w:rsidRPr="00F36AC9">
        <w:rPr>
          <w:rFonts w:ascii="Arial" w:hAnsi="Arial" w:cs="Arial"/>
          <w:sz w:val="24"/>
          <w:szCs w:val="24"/>
          <w:vertAlign w:val="superscript"/>
        </w:rPr>
        <w:footnoteReference w:id="45"/>
      </w:r>
      <w:r w:rsidRPr="00F36AC9">
        <w:rPr>
          <w:rFonts w:ascii="Arial" w:hAnsi="Arial" w:cs="Arial"/>
          <w:sz w:val="24"/>
          <w:szCs w:val="24"/>
        </w:rPr>
        <w:t xml:space="preserve"> concentrated on the new universities and colleges, and </w:t>
      </w:r>
      <w:smartTag w:uri="urn:schemas-microsoft-com:office:smarttags" w:element="place">
        <w:smartTag w:uri="urn:schemas-microsoft-com:office:smarttags" w:element="City">
          <w:r w:rsidRPr="00F36AC9">
            <w:rPr>
              <w:rFonts w:ascii="Arial" w:hAnsi="Arial" w:cs="Arial"/>
              <w:sz w:val="24"/>
              <w:szCs w:val="24"/>
            </w:rPr>
            <w:t>Wilson</w:t>
          </w:r>
        </w:smartTag>
      </w:smartTag>
      <w:r w:rsidRPr="00F36AC9">
        <w:rPr>
          <w:rFonts w:ascii="Arial" w:hAnsi="Arial" w:cs="Arial"/>
          <w:sz w:val="24"/>
          <w:szCs w:val="24"/>
          <w:vertAlign w:val="superscript"/>
        </w:rPr>
        <w:footnoteReference w:id="46"/>
      </w:r>
      <w:r w:rsidRPr="00F36AC9">
        <w:rPr>
          <w:rFonts w:ascii="Arial" w:hAnsi="Arial" w:cs="Arial"/>
          <w:sz w:val="24"/>
          <w:szCs w:val="24"/>
        </w:rPr>
        <w:t xml:space="preserve"> focused entirely on old universities. It is notable that these surveys were conducted before EU law became a core subject. Thus Wilson</w:t>
      </w:r>
      <w:r w:rsidRPr="00F36AC9">
        <w:rPr>
          <w:rFonts w:ascii="Arial" w:hAnsi="Arial" w:cs="Arial"/>
          <w:sz w:val="24"/>
          <w:szCs w:val="24"/>
          <w:vertAlign w:val="superscript"/>
        </w:rPr>
        <w:footnoteReference w:id="47"/>
      </w:r>
      <w:r>
        <w:rPr>
          <w:rFonts w:ascii="Arial" w:hAnsi="Arial" w:cs="Arial"/>
          <w:sz w:val="24"/>
          <w:szCs w:val="24"/>
        </w:rPr>
        <w:t xml:space="preserve"> detailed</w:t>
      </w:r>
      <w:r w:rsidRPr="00F36AC9">
        <w:rPr>
          <w:rFonts w:ascii="Arial" w:hAnsi="Arial" w:cs="Arial"/>
          <w:sz w:val="24"/>
          <w:szCs w:val="24"/>
        </w:rPr>
        <w:t xml:space="preserve"> the number of institutions providing EEC law as a</w:t>
      </w:r>
      <w:r>
        <w:rPr>
          <w:rFonts w:ascii="Arial" w:hAnsi="Arial" w:cs="Arial"/>
          <w:sz w:val="24"/>
          <w:szCs w:val="24"/>
        </w:rPr>
        <w:t>n optional course and then noted</w:t>
      </w:r>
      <w:r w:rsidRPr="00F36AC9">
        <w:rPr>
          <w:rFonts w:ascii="Arial" w:hAnsi="Arial" w:cs="Arial"/>
          <w:sz w:val="24"/>
          <w:szCs w:val="24"/>
        </w:rPr>
        <w:t xml:space="preserve"> the growing importance of the European dimension</w:t>
      </w:r>
      <w:r w:rsidRPr="00F36AC9">
        <w:rPr>
          <w:rFonts w:ascii="Arial" w:hAnsi="Arial" w:cs="Arial"/>
          <w:sz w:val="24"/>
          <w:szCs w:val="24"/>
          <w:vertAlign w:val="superscript"/>
        </w:rPr>
        <w:footnoteReference w:id="48"/>
      </w:r>
      <w:r w:rsidRPr="00F36AC9">
        <w:rPr>
          <w:rFonts w:ascii="Arial" w:hAnsi="Arial" w:cs="Arial"/>
          <w:sz w:val="24"/>
          <w:szCs w:val="24"/>
        </w:rPr>
        <w:t xml:space="preserve">. Harris and </w:t>
      </w:r>
      <w:proofErr w:type="spellStart"/>
      <w:r w:rsidRPr="00F36AC9">
        <w:rPr>
          <w:rFonts w:ascii="Arial" w:hAnsi="Arial" w:cs="Arial"/>
          <w:sz w:val="24"/>
          <w:szCs w:val="24"/>
        </w:rPr>
        <w:t>Bellerby</w:t>
      </w:r>
      <w:proofErr w:type="spellEnd"/>
      <w:r w:rsidRPr="00F36AC9">
        <w:rPr>
          <w:rFonts w:ascii="Arial" w:hAnsi="Arial" w:cs="Arial"/>
          <w:sz w:val="24"/>
          <w:szCs w:val="24"/>
          <w:vertAlign w:val="superscript"/>
        </w:rPr>
        <w:footnoteReference w:id="49"/>
      </w:r>
      <w:r w:rsidRPr="00F36AC9">
        <w:rPr>
          <w:rFonts w:ascii="Arial" w:hAnsi="Arial" w:cs="Arial"/>
          <w:sz w:val="24"/>
          <w:szCs w:val="24"/>
        </w:rPr>
        <w:t xml:space="preserve"> consider</w:t>
      </w:r>
      <w:r>
        <w:rPr>
          <w:rFonts w:ascii="Arial" w:hAnsi="Arial" w:cs="Arial"/>
          <w:sz w:val="24"/>
          <w:szCs w:val="24"/>
        </w:rPr>
        <w:t>ed</w:t>
      </w:r>
      <w:r w:rsidRPr="00F36AC9">
        <w:rPr>
          <w:rFonts w:ascii="Arial" w:hAnsi="Arial" w:cs="Arial"/>
          <w:sz w:val="24"/>
          <w:szCs w:val="24"/>
        </w:rPr>
        <w:t xml:space="preserve"> how</w:t>
      </w:r>
      <w:r>
        <w:rPr>
          <w:rFonts w:ascii="Arial" w:hAnsi="Arial" w:cs="Arial"/>
          <w:sz w:val="24"/>
          <w:szCs w:val="24"/>
        </w:rPr>
        <w:t xml:space="preserve"> the European dimension of law wa</w:t>
      </w:r>
      <w:r w:rsidRPr="00F36AC9">
        <w:rPr>
          <w:rFonts w:ascii="Arial" w:hAnsi="Arial" w:cs="Arial"/>
          <w:sz w:val="24"/>
          <w:szCs w:val="24"/>
        </w:rPr>
        <w:t>s taught (discrete or integrated units for teaching European legal institutions and substantive law), the percentage of institutions that organise</w:t>
      </w:r>
      <w:r>
        <w:rPr>
          <w:rFonts w:ascii="Arial" w:hAnsi="Arial" w:cs="Arial"/>
          <w:sz w:val="24"/>
          <w:szCs w:val="24"/>
        </w:rPr>
        <w:t>d</w:t>
      </w:r>
      <w:r w:rsidRPr="00F36AC9">
        <w:rPr>
          <w:rFonts w:ascii="Arial" w:hAnsi="Arial" w:cs="Arial"/>
          <w:sz w:val="24"/>
          <w:szCs w:val="24"/>
        </w:rPr>
        <w:t xml:space="preserve"> European visits and the percentage of institutions that organise</w:t>
      </w:r>
      <w:r>
        <w:rPr>
          <w:rFonts w:ascii="Arial" w:hAnsi="Arial" w:cs="Arial"/>
          <w:sz w:val="24"/>
          <w:szCs w:val="24"/>
        </w:rPr>
        <w:t>d</w:t>
      </w:r>
      <w:r w:rsidRPr="00F36AC9">
        <w:rPr>
          <w:rFonts w:ascii="Arial" w:hAnsi="Arial" w:cs="Arial"/>
          <w:sz w:val="24"/>
          <w:szCs w:val="24"/>
        </w:rPr>
        <w:t xml:space="preserve"> student and teacher exchanges. In 2004 Harris and </w:t>
      </w:r>
      <w:proofErr w:type="spellStart"/>
      <w:r w:rsidRPr="00F36AC9">
        <w:rPr>
          <w:rFonts w:ascii="Arial" w:hAnsi="Arial" w:cs="Arial"/>
          <w:sz w:val="24"/>
          <w:szCs w:val="24"/>
        </w:rPr>
        <w:t>Beinart</w:t>
      </w:r>
      <w:proofErr w:type="spellEnd"/>
      <w:r w:rsidRPr="00F36AC9">
        <w:rPr>
          <w:rFonts w:ascii="Arial" w:hAnsi="Arial" w:cs="Arial"/>
          <w:sz w:val="24"/>
          <w:szCs w:val="24"/>
          <w:vertAlign w:val="superscript"/>
        </w:rPr>
        <w:footnoteReference w:id="50"/>
      </w:r>
      <w:r w:rsidRPr="00F36AC9">
        <w:rPr>
          <w:rFonts w:ascii="Arial" w:hAnsi="Arial" w:cs="Arial"/>
          <w:sz w:val="24"/>
          <w:szCs w:val="24"/>
        </w:rPr>
        <w:t xml:space="preserve"> conducted a further survey of all law schools in the </w:t>
      </w:r>
      <w:smartTag w:uri="urn:schemas-microsoft-com:office:smarttags" w:element="country-region">
        <w:smartTag w:uri="urn:schemas-microsoft-com:office:smarttags" w:element="place">
          <w:r w:rsidRPr="00F36AC9">
            <w:rPr>
              <w:rFonts w:ascii="Arial" w:hAnsi="Arial" w:cs="Arial"/>
              <w:sz w:val="24"/>
              <w:szCs w:val="24"/>
            </w:rPr>
            <w:t>UK</w:t>
          </w:r>
        </w:smartTag>
      </w:smartTag>
      <w:r w:rsidRPr="00F36AC9">
        <w:rPr>
          <w:rFonts w:ascii="Arial" w:hAnsi="Arial" w:cs="Arial"/>
          <w:sz w:val="24"/>
          <w:szCs w:val="24"/>
        </w:rPr>
        <w:t xml:space="preserve">. The European dimension of this report </w:t>
      </w:r>
      <w:r w:rsidRPr="00F36AC9">
        <w:rPr>
          <w:rFonts w:ascii="Arial" w:hAnsi="Arial" w:cs="Arial"/>
          <w:sz w:val="24"/>
          <w:szCs w:val="24"/>
        </w:rPr>
        <w:lastRenderedPageBreak/>
        <w:t>was brief, concentrating on the mobility of students</w:t>
      </w:r>
      <w:r w:rsidRPr="00F36AC9">
        <w:rPr>
          <w:rFonts w:ascii="Arial" w:hAnsi="Arial" w:cs="Arial"/>
          <w:sz w:val="24"/>
          <w:szCs w:val="24"/>
          <w:vertAlign w:val="superscript"/>
        </w:rPr>
        <w:footnoteReference w:id="51"/>
      </w:r>
      <w:r w:rsidRPr="00F36AC9">
        <w:rPr>
          <w:rFonts w:ascii="Arial" w:hAnsi="Arial" w:cs="Arial"/>
          <w:sz w:val="24"/>
          <w:szCs w:val="24"/>
        </w:rPr>
        <w:t>. A further survey was reported in 1986</w:t>
      </w:r>
      <w:r w:rsidRPr="00F36AC9">
        <w:rPr>
          <w:rFonts w:ascii="Arial" w:hAnsi="Arial" w:cs="Arial"/>
          <w:sz w:val="24"/>
          <w:szCs w:val="24"/>
          <w:vertAlign w:val="superscript"/>
        </w:rPr>
        <w:footnoteReference w:id="52"/>
      </w:r>
      <w:r w:rsidRPr="00F36AC9">
        <w:rPr>
          <w:rFonts w:ascii="Arial" w:hAnsi="Arial" w:cs="Arial"/>
          <w:sz w:val="24"/>
          <w:szCs w:val="24"/>
        </w:rPr>
        <w:t xml:space="preserve"> (but initiated in 1982) that considered the teaching of European law to lawyers in practice.</w:t>
      </w:r>
    </w:p>
    <w:p w:rsidR="00E03B54" w:rsidRPr="00F36AC9"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F36AC9">
        <w:rPr>
          <w:rFonts w:ascii="Arial" w:hAnsi="Arial" w:cs="Arial"/>
          <w:sz w:val="24"/>
          <w:szCs w:val="24"/>
        </w:rPr>
        <w:t>Apart from surveys, Chisholm</w:t>
      </w:r>
      <w:r w:rsidRPr="00F36AC9">
        <w:rPr>
          <w:rFonts w:ascii="Arial" w:hAnsi="Arial" w:cs="Arial"/>
          <w:sz w:val="24"/>
          <w:szCs w:val="24"/>
          <w:vertAlign w:val="superscript"/>
        </w:rPr>
        <w:footnoteReference w:id="53"/>
      </w:r>
      <w:r>
        <w:rPr>
          <w:rFonts w:ascii="Arial" w:hAnsi="Arial" w:cs="Arial"/>
          <w:sz w:val="24"/>
          <w:szCs w:val="24"/>
        </w:rPr>
        <w:t xml:space="preserve"> detailed</w:t>
      </w:r>
      <w:r w:rsidRPr="00F36AC9">
        <w:rPr>
          <w:rFonts w:ascii="Arial" w:hAnsi="Arial" w:cs="Arial"/>
          <w:sz w:val="24"/>
          <w:szCs w:val="24"/>
        </w:rPr>
        <w:t xml:space="preserve"> an alternative approach to the traditional lecture-tutorial teaching techniques called the directed study, lecture and case study (Di-Le-</w:t>
      </w:r>
      <w:proofErr w:type="spellStart"/>
      <w:r w:rsidRPr="00F36AC9">
        <w:rPr>
          <w:rFonts w:ascii="Arial" w:hAnsi="Arial" w:cs="Arial"/>
          <w:sz w:val="24"/>
          <w:szCs w:val="24"/>
        </w:rPr>
        <w:t>Ca</w:t>
      </w:r>
      <w:proofErr w:type="spellEnd"/>
      <w:r w:rsidRPr="00F36AC9">
        <w:rPr>
          <w:rFonts w:ascii="Arial" w:hAnsi="Arial" w:cs="Arial"/>
          <w:sz w:val="24"/>
          <w:szCs w:val="24"/>
        </w:rPr>
        <w:t>) approach for teaching European law</w:t>
      </w:r>
      <w:r>
        <w:rPr>
          <w:rFonts w:ascii="Arial" w:hAnsi="Arial" w:cs="Arial"/>
          <w:sz w:val="24"/>
          <w:szCs w:val="24"/>
        </w:rPr>
        <w:t xml:space="preserve"> to Business Studies students. Furthermore t</w:t>
      </w:r>
      <w:r w:rsidRPr="00F36AC9">
        <w:rPr>
          <w:rFonts w:ascii="Arial" w:hAnsi="Arial" w:cs="Arial"/>
          <w:sz w:val="24"/>
          <w:szCs w:val="24"/>
        </w:rPr>
        <w:t>he University of Exeter provide reports of activities of the Centre for European Legal Studies (CELS) for the Jean Monnet Project on their website</w:t>
      </w:r>
      <w:r w:rsidR="00467A24">
        <w:rPr>
          <w:rStyle w:val="FootnoteReference"/>
          <w:rFonts w:ascii="Arial" w:hAnsi="Arial" w:cs="Arial"/>
          <w:sz w:val="24"/>
          <w:szCs w:val="24"/>
        </w:rPr>
        <w:footnoteReference w:id="54"/>
      </w:r>
      <w:r w:rsidR="00467A24">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b/>
          <w:sz w:val="24"/>
          <w:szCs w:val="24"/>
        </w:rPr>
      </w:pPr>
      <w:r>
        <w:rPr>
          <w:rFonts w:ascii="Arial" w:hAnsi="Arial" w:cs="Arial"/>
          <w:b/>
          <w:sz w:val="24"/>
          <w:szCs w:val="24"/>
        </w:rPr>
        <w:t>Aims and Objectives of the EU Law Subject Survey</w:t>
      </w:r>
    </w:p>
    <w:p w:rsidR="00E03B54" w:rsidRPr="003772E1" w:rsidRDefault="00E03B54" w:rsidP="00E03B54">
      <w:pPr>
        <w:spacing w:line="360" w:lineRule="auto"/>
        <w:jc w:val="both"/>
        <w:rPr>
          <w:rFonts w:ascii="Arial" w:hAnsi="Arial" w:cs="Arial"/>
          <w:b/>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1.10</w:t>
      </w:r>
      <w:r>
        <w:rPr>
          <w:rFonts w:ascii="Arial" w:hAnsi="Arial" w:cs="Arial"/>
          <w:sz w:val="24"/>
          <w:szCs w:val="24"/>
        </w:rPr>
        <w:tab/>
        <w:t>The EU Law Subject Survey has the following aims:</w:t>
      </w:r>
    </w:p>
    <w:p w:rsidR="00E03B54" w:rsidRPr="006007BF" w:rsidRDefault="00E03B54" w:rsidP="00E03B54">
      <w:pPr>
        <w:pStyle w:val="ListParagraph"/>
        <w:numPr>
          <w:ilvl w:val="0"/>
          <w:numId w:val="1"/>
        </w:numPr>
        <w:spacing w:line="360" w:lineRule="auto"/>
        <w:jc w:val="both"/>
        <w:rPr>
          <w:rFonts w:ascii="Arial" w:hAnsi="Arial" w:cs="Arial"/>
          <w:sz w:val="24"/>
          <w:szCs w:val="24"/>
        </w:rPr>
      </w:pPr>
      <w:r w:rsidRPr="006007BF">
        <w:rPr>
          <w:rFonts w:ascii="Arial" w:hAnsi="Arial" w:cs="Arial"/>
          <w:sz w:val="24"/>
          <w:szCs w:val="24"/>
        </w:rPr>
        <w:t xml:space="preserve">to examine the teaching of European Union law to students on </w:t>
      </w:r>
      <w:r w:rsidR="006D7C13">
        <w:rPr>
          <w:rFonts w:ascii="Arial" w:hAnsi="Arial" w:cs="Arial"/>
          <w:sz w:val="24"/>
          <w:szCs w:val="24"/>
        </w:rPr>
        <w:t xml:space="preserve">the </w:t>
      </w:r>
      <w:r w:rsidRPr="006007BF">
        <w:rPr>
          <w:rFonts w:ascii="Arial" w:hAnsi="Arial" w:cs="Arial"/>
          <w:sz w:val="24"/>
          <w:szCs w:val="24"/>
        </w:rPr>
        <w:t xml:space="preserve">Qualifying Law Degree </w:t>
      </w:r>
      <w:r>
        <w:rPr>
          <w:rFonts w:ascii="Arial" w:hAnsi="Arial" w:cs="Arial"/>
          <w:sz w:val="24"/>
          <w:szCs w:val="24"/>
        </w:rPr>
        <w:t xml:space="preserve">(henceforth LLB/QLD) </w:t>
      </w:r>
      <w:r w:rsidRPr="006007BF">
        <w:rPr>
          <w:rFonts w:ascii="Arial" w:hAnsi="Arial" w:cs="Arial"/>
          <w:sz w:val="24"/>
          <w:szCs w:val="24"/>
        </w:rPr>
        <w:t xml:space="preserve">and Common Professional Examination </w:t>
      </w:r>
      <w:r>
        <w:rPr>
          <w:rFonts w:ascii="Arial" w:hAnsi="Arial" w:cs="Arial"/>
          <w:sz w:val="24"/>
          <w:szCs w:val="24"/>
        </w:rPr>
        <w:t xml:space="preserve">(henceforth CPE) </w:t>
      </w:r>
      <w:r w:rsidRPr="006007BF">
        <w:rPr>
          <w:rFonts w:ascii="Arial" w:hAnsi="Arial" w:cs="Arial"/>
          <w:sz w:val="24"/>
          <w:szCs w:val="24"/>
        </w:rPr>
        <w:t>programmes (or their equivalent) in the UK;</w:t>
      </w:r>
    </w:p>
    <w:p w:rsidR="00E03B54" w:rsidRDefault="00E03B54" w:rsidP="00E03B54">
      <w:pPr>
        <w:pStyle w:val="ListParagraph"/>
        <w:numPr>
          <w:ilvl w:val="0"/>
          <w:numId w:val="1"/>
        </w:numPr>
        <w:spacing w:line="360" w:lineRule="auto"/>
        <w:jc w:val="both"/>
        <w:rPr>
          <w:rFonts w:ascii="Arial" w:hAnsi="Arial" w:cs="Arial"/>
          <w:sz w:val="24"/>
          <w:szCs w:val="24"/>
        </w:rPr>
      </w:pPr>
      <w:r>
        <w:rPr>
          <w:rFonts w:ascii="Arial" w:hAnsi="Arial" w:cs="Arial"/>
          <w:sz w:val="24"/>
          <w:szCs w:val="24"/>
        </w:rPr>
        <w:t>to identify, where possible, the structure of the teaching team for EU Law;</w:t>
      </w:r>
    </w:p>
    <w:p w:rsidR="00E03B54" w:rsidRDefault="00E03B54" w:rsidP="00E03B54">
      <w:pPr>
        <w:pStyle w:val="ListParagraph"/>
        <w:numPr>
          <w:ilvl w:val="0"/>
          <w:numId w:val="1"/>
        </w:numPr>
        <w:spacing w:line="360" w:lineRule="auto"/>
        <w:jc w:val="both"/>
        <w:rPr>
          <w:rFonts w:ascii="Arial" w:hAnsi="Arial" w:cs="Arial"/>
          <w:sz w:val="24"/>
          <w:szCs w:val="24"/>
        </w:rPr>
      </w:pPr>
      <w:r>
        <w:rPr>
          <w:rFonts w:ascii="Arial" w:hAnsi="Arial" w:cs="Arial"/>
          <w:sz w:val="24"/>
          <w:szCs w:val="24"/>
        </w:rPr>
        <w:t>to establish what is being taught under the banner of EU Law;</w:t>
      </w:r>
    </w:p>
    <w:p w:rsidR="00E03B54" w:rsidRDefault="00E03B54" w:rsidP="00E03B54">
      <w:pPr>
        <w:pStyle w:val="ListParagraph"/>
        <w:numPr>
          <w:ilvl w:val="0"/>
          <w:numId w:val="1"/>
        </w:numPr>
        <w:spacing w:line="360" w:lineRule="auto"/>
        <w:jc w:val="both"/>
        <w:rPr>
          <w:rFonts w:ascii="Arial" w:hAnsi="Arial" w:cs="Arial"/>
          <w:sz w:val="24"/>
          <w:szCs w:val="24"/>
        </w:rPr>
      </w:pPr>
      <w:r>
        <w:rPr>
          <w:rFonts w:ascii="Arial" w:hAnsi="Arial" w:cs="Arial"/>
          <w:sz w:val="24"/>
          <w:szCs w:val="24"/>
        </w:rPr>
        <w:t>to e</w:t>
      </w:r>
      <w:r w:rsidR="000378A5">
        <w:rPr>
          <w:rFonts w:ascii="Arial" w:hAnsi="Arial" w:cs="Arial"/>
          <w:sz w:val="24"/>
          <w:szCs w:val="24"/>
        </w:rPr>
        <w:t>xamine</w:t>
      </w:r>
      <w:r>
        <w:rPr>
          <w:rFonts w:ascii="Arial" w:hAnsi="Arial" w:cs="Arial"/>
          <w:sz w:val="24"/>
          <w:szCs w:val="24"/>
        </w:rPr>
        <w:t xml:space="preserve"> the </w:t>
      </w:r>
      <w:r w:rsidRPr="006007BF">
        <w:rPr>
          <w:rFonts w:ascii="Arial" w:hAnsi="Arial" w:cs="Arial"/>
          <w:sz w:val="24"/>
          <w:szCs w:val="24"/>
        </w:rPr>
        <w:t xml:space="preserve">learning and teaching approaches used on these courses </w:t>
      </w:r>
      <w:r>
        <w:rPr>
          <w:rFonts w:ascii="Arial" w:hAnsi="Arial" w:cs="Arial"/>
          <w:sz w:val="24"/>
          <w:szCs w:val="24"/>
        </w:rPr>
        <w:t>and the factors that influence teaching and learning strategies; and,</w:t>
      </w:r>
    </w:p>
    <w:p w:rsidR="00E03B54" w:rsidRDefault="00E03B54" w:rsidP="00E03B54">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to identify examples of </w:t>
      </w:r>
      <w:r w:rsidR="000378A5">
        <w:rPr>
          <w:rFonts w:ascii="Arial" w:hAnsi="Arial" w:cs="Arial"/>
          <w:sz w:val="24"/>
          <w:szCs w:val="24"/>
        </w:rPr>
        <w:t>effective</w:t>
      </w:r>
      <w:r>
        <w:rPr>
          <w:rFonts w:ascii="Arial" w:hAnsi="Arial" w:cs="Arial"/>
          <w:sz w:val="24"/>
          <w:szCs w:val="24"/>
        </w:rPr>
        <w:t xml:space="preserve"> practice.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1.11</w:t>
      </w:r>
      <w:r>
        <w:rPr>
          <w:rFonts w:ascii="Arial" w:hAnsi="Arial" w:cs="Arial"/>
          <w:sz w:val="24"/>
          <w:szCs w:val="24"/>
        </w:rPr>
        <w:tab/>
        <w:t>The objectives of the Survey therefore were:</w:t>
      </w:r>
    </w:p>
    <w:p w:rsidR="00E03B54" w:rsidRDefault="00E03B54" w:rsidP="00E03B54">
      <w:pPr>
        <w:pStyle w:val="ListParagraph"/>
        <w:numPr>
          <w:ilvl w:val="0"/>
          <w:numId w:val="2"/>
        </w:numPr>
        <w:spacing w:line="360" w:lineRule="auto"/>
        <w:jc w:val="both"/>
        <w:rPr>
          <w:rFonts w:ascii="Arial" w:hAnsi="Arial" w:cs="Arial"/>
          <w:sz w:val="24"/>
          <w:szCs w:val="24"/>
        </w:rPr>
      </w:pPr>
      <w:r>
        <w:rPr>
          <w:rFonts w:ascii="Arial" w:hAnsi="Arial" w:cs="Arial"/>
          <w:sz w:val="24"/>
          <w:szCs w:val="24"/>
        </w:rPr>
        <w:t>to provide the first quantitative and empirical benchmark for EU Law;</w:t>
      </w:r>
    </w:p>
    <w:p w:rsidR="00E03B54" w:rsidRDefault="00E03B54" w:rsidP="00E03B54">
      <w:pPr>
        <w:pStyle w:val="ListParagraph"/>
        <w:numPr>
          <w:ilvl w:val="0"/>
          <w:numId w:val="2"/>
        </w:numPr>
        <w:spacing w:line="360" w:lineRule="auto"/>
        <w:jc w:val="both"/>
        <w:rPr>
          <w:rFonts w:ascii="Arial" w:hAnsi="Arial" w:cs="Arial"/>
          <w:sz w:val="24"/>
          <w:szCs w:val="24"/>
        </w:rPr>
      </w:pPr>
      <w:r>
        <w:rPr>
          <w:rFonts w:ascii="Arial" w:hAnsi="Arial" w:cs="Arial"/>
          <w:sz w:val="24"/>
          <w:szCs w:val="24"/>
        </w:rPr>
        <w:lastRenderedPageBreak/>
        <w:t>to provide an overview of teaching and learning methods in EU Law;</w:t>
      </w:r>
    </w:p>
    <w:p w:rsidR="00E03B54" w:rsidRDefault="00E03B54" w:rsidP="00E03B54">
      <w:pPr>
        <w:pStyle w:val="ListParagraph"/>
        <w:numPr>
          <w:ilvl w:val="0"/>
          <w:numId w:val="2"/>
        </w:numPr>
        <w:spacing w:line="360" w:lineRule="auto"/>
        <w:jc w:val="both"/>
        <w:rPr>
          <w:rFonts w:ascii="Arial" w:hAnsi="Arial" w:cs="Arial"/>
          <w:sz w:val="24"/>
          <w:szCs w:val="24"/>
        </w:rPr>
      </w:pPr>
      <w:r>
        <w:rPr>
          <w:rFonts w:ascii="Arial" w:hAnsi="Arial" w:cs="Arial"/>
          <w:sz w:val="24"/>
          <w:szCs w:val="24"/>
        </w:rPr>
        <w:t>to inform EU Law lecturers of teaching and learning methodology in EU Law;</w:t>
      </w:r>
    </w:p>
    <w:p w:rsidR="00E03B54" w:rsidRPr="006007BF" w:rsidRDefault="00E03B54" w:rsidP="00E03B54">
      <w:pPr>
        <w:pStyle w:val="ListParagraph"/>
        <w:numPr>
          <w:ilvl w:val="0"/>
          <w:numId w:val="2"/>
        </w:numPr>
        <w:spacing w:line="360" w:lineRule="auto"/>
        <w:jc w:val="both"/>
        <w:rPr>
          <w:rFonts w:ascii="Arial" w:hAnsi="Arial" w:cs="Arial"/>
          <w:sz w:val="24"/>
          <w:szCs w:val="24"/>
        </w:rPr>
      </w:pPr>
      <w:r w:rsidRPr="006007BF">
        <w:rPr>
          <w:rFonts w:ascii="Arial" w:hAnsi="Arial" w:cs="Arial"/>
          <w:sz w:val="24"/>
          <w:szCs w:val="24"/>
        </w:rPr>
        <w:t>to promote innovation in learning and teaching in the subject area;</w:t>
      </w:r>
    </w:p>
    <w:p w:rsidR="00E03B54" w:rsidRDefault="00E03B54" w:rsidP="00E03B54">
      <w:pPr>
        <w:pStyle w:val="ListParagraph"/>
        <w:numPr>
          <w:ilvl w:val="0"/>
          <w:numId w:val="2"/>
        </w:numPr>
        <w:spacing w:line="360" w:lineRule="auto"/>
        <w:jc w:val="both"/>
        <w:rPr>
          <w:rFonts w:ascii="Arial" w:hAnsi="Arial" w:cs="Arial"/>
          <w:sz w:val="24"/>
          <w:szCs w:val="24"/>
        </w:rPr>
      </w:pPr>
      <w:r w:rsidRPr="006007BF">
        <w:rPr>
          <w:rFonts w:ascii="Arial" w:hAnsi="Arial" w:cs="Arial"/>
          <w:sz w:val="24"/>
          <w:szCs w:val="24"/>
        </w:rPr>
        <w:t xml:space="preserve">to compare and contrast the teaching of EU law on </w:t>
      </w:r>
      <w:r w:rsidR="006D7C13">
        <w:rPr>
          <w:rFonts w:ascii="Arial" w:hAnsi="Arial" w:cs="Arial"/>
          <w:sz w:val="24"/>
          <w:szCs w:val="24"/>
        </w:rPr>
        <w:t xml:space="preserve">the </w:t>
      </w:r>
      <w:r>
        <w:rPr>
          <w:rFonts w:ascii="Arial" w:hAnsi="Arial" w:cs="Arial"/>
          <w:sz w:val="24"/>
          <w:szCs w:val="24"/>
        </w:rPr>
        <w:t>LLB/</w:t>
      </w:r>
      <w:r w:rsidRPr="006007BF">
        <w:rPr>
          <w:rFonts w:ascii="Arial" w:hAnsi="Arial" w:cs="Arial"/>
          <w:sz w:val="24"/>
          <w:szCs w:val="24"/>
        </w:rPr>
        <w:t>QLD and CPE programmes</w:t>
      </w:r>
      <w:r>
        <w:rPr>
          <w:rFonts w:ascii="Arial" w:hAnsi="Arial" w:cs="Arial"/>
          <w:sz w:val="24"/>
          <w:szCs w:val="24"/>
        </w:rPr>
        <w:t>; and,</w:t>
      </w:r>
    </w:p>
    <w:p w:rsidR="00E03B54" w:rsidRDefault="00E03B54" w:rsidP="00E03B54">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to identify and disseminate innovation and </w:t>
      </w:r>
      <w:r w:rsidR="000378A5">
        <w:rPr>
          <w:rFonts w:ascii="Arial" w:hAnsi="Arial" w:cs="Arial"/>
          <w:sz w:val="24"/>
          <w:szCs w:val="24"/>
        </w:rPr>
        <w:t>effective</w:t>
      </w:r>
      <w:r>
        <w:rPr>
          <w:rFonts w:ascii="Arial" w:hAnsi="Arial" w:cs="Arial"/>
          <w:sz w:val="24"/>
          <w:szCs w:val="24"/>
        </w:rPr>
        <w:t xml:space="preserve"> practice in teaching and learning in EU Law.</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1.12</w:t>
      </w:r>
      <w:r>
        <w:rPr>
          <w:rFonts w:ascii="Arial" w:hAnsi="Arial" w:cs="Arial"/>
          <w:sz w:val="24"/>
          <w:szCs w:val="24"/>
        </w:rPr>
        <w:tab/>
        <w:t>It must be emphasised that the Survey made no attempt to analyse the quality of the courses being offered at institutions, nor did it apply any weighting to whether the institution could be classified as “new” or “old”. This means that there was no analysis conducted on the “success” of courses, or indeed how to measure whether a course was successful or not. This was considered to be a matter for the teams teaching EU Law and their institutions and can be classified as subjective. The intention of the authors of this Report is to present a wh</w:t>
      </w:r>
      <w:r w:rsidR="006D7C13">
        <w:rPr>
          <w:rFonts w:ascii="Arial" w:hAnsi="Arial" w:cs="Arial"/>
          <w:sz w:val="24"/>
          <w:szCs w:val="24"/>
        </w:rPr>
        <w:t>olly objective analysis of the t</w:t>
      </w:r>
      <w:r>
        <w:rPr>
          <w:rFonts w:ascii="Arial" w:hAnsi="Arial" w:cs="Arial"/>
          <w:sz w:val="24"/>
          <w:szCs w:val="24"/>
        </w:rPr>
        <w:t>eaching and learning of EU Law.</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1.13</w:t>
      </w:r>
      <w:r>
        <w:rPr>
          <w:rFonts w:ascii="Arial" w:hAnsi="Arial" w:cs="Arial"/>
          <w:sz w:val="24"/>
          <w:szCs w:val="24"/>
        </w:rPr>
        <w:tab/>
        <w:t xml:space="preserve"> The initial response to the questionnaire was rather disappointing, requiring considerable time and effort </w:t>
      </w:r>
      <w:r w:rsidR="000378A5">
        <w:rPr>
          <w:rFonts w:ascii="Arial" w:hAnsi="Arial" w:cs="Arial"/>
          <w:sz w:val="24"/>
          <w:szCs w:val="24"/>
        </w:rPr>
        <w:t xml:space="preserve">on the part </w:t>
      </w:r>
      <w:r>
        <w:rPr>
          <w:rFonts w:ascii="Arial" w:hAnsi="Arial" w:cs="Arial"/>
          <w:sz w:val="24"/>
          <w:szCs w:val="24"/>
        </w:rPr>
        <w:t xml:space="preserve">of the team to persuade and encourage lecturers to fill </w:t>
      </w:r>
      <w:r w:rsidR="000378A5">
        <w:rPr>
          <w:rFonts w:ascii="Arial" w:hAnsi="Arial" w:cs="Arial"/>
          <w:sz w:val="24"/>
          <w:szCs w:val="24"/>
        </w:rPr>
        <w:t xml:space="preserve">out </w:t>
      </w:r>
      <w:r>
        <w:rPr>
          <w:rFonts w:ascii="Arial" w:hAnsi="Arial" w:cs="Arial"/>
          <w:sz w:val="24"/>
          <w:szCs w:val="24"/>
        </w:rPr>
        <w:t>the questionnaire and return it. However, most of the academics who took the time to complete the questionnaire were more than willing to answer any further questions. A reason suggested for a lower than expected response to the research might be the RAE of 2008 and the high work-load associated with the compilation of the RAE Submission. It should be noted though that the questionnaire only consisted of 12 questions that were relatively easy and quick to complete.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b/>
          <w:sz w:val="24"/>
          <w:szCs w:val="24"/>
        </w:rPr>
      </w:pPr>
      <w:r w:rsidRPr="003772E1">
        <w:rPr>
          <w:rFonts w:ascii="Arial" w:hAnsi="Arial" w:cs="Arial"/>
          <w:b/>
          <w:sz w:val="24"/>
          <w:szCs w:val="24"/>
        </w:rPr>
        <w:t>Structure of this Report</w:t>
      </w:r>
    </w:p>
    <w:p w:rsidR="00E03B54" w:rsidRDefault="00E03B54" w:rsidP="00E03B54">
      <w:pPr>
        <w:spacing w:line="360" w:lineRule="auto"/>
        <w:jc w:val="both"/>
        <w:rPr>
          <w:rFonts w:ascii="Arial" w:hAnsi="Arial" w:cs="Arial"/>
          <w:sz w:val="24"/>
          <w:szCs w:val="24"/>
        </w:rPr>
      </w:pPr>
    </w:p>
    <w:p w:rsidR="00E03B54" w:rsidRPr="003772E1" w:rsidRDefault="00E03B54" w:rsidP="00E03B54">
      <w:pPr>
        <w:spacing w:line="360" w:lineRule="auto"/>
        <w:jc w:val="both"/>
        <w:rPr>
          <w:rFonts w:ascii="Arial" w:hAnsi="Arial" w:cs="Arial"/>
          <w:sz w:val="24"/>
          <w:szCs w:val="24"/>
        </w:rPr>
      </w:pPr>
      <w:r>
        <w:rPr>
          <w:rFonts w:ascii="Arial" w:hAnsi="Arial" w:cs="Arial"/>
          <w:sz w:val="24"/>
          <w:szCs w:val="24"/>
        </w:rPr>
        <w:lastRenderedPageBreak/>
        <w:t>1.14</w:t>
      </w:r>
      <w:r>
        <w:rPr>
          <w:rFonts w:ascii="Arial" w:hAnsi="Arial" w:cs="Arial"/>
          <w:sz w:val="24"/>
          <w:szCs w:val="24"/>
        </w:rPr>
        <w:tab/>
        <w:t>Following this introductory chapter, chapter 2 sets out the methodology employed during the project. Each question of the Survey questionnaire is analysed individually in chapters 3 to 14 before future directions are looked at, recommendations made and further research opportunities considered in chapter 15. A bibliography is provided with the Survey qu</w:t>
      </w:r>
      <w:r w:rsidR="00206EBD">
        <w:rPr>
          <w:rFonts w:ascii="Arial" w:hAnsi="Arial" w:cs="Arial"/>
          <w:sz w:val="24"/>
          <w:szCs w:val="24"/>
        </w:rPr>
        <w:t>estionnaire</w:t>
      </w:r>
      <w:r w:rsidR="00527467">
        <w:rPr>
          <w:rFonts w:ascii="Arial" w:hAnsi="Arial" w:cs="Arial"/>
          <w:sz w:val="24"/>
          <w:szCs w:val="24"/>
        </w:rPr>
        <w:t>s</w:t>
      </w:r>
      <w:r w:rsidR="00206EBD">
        <w:rPr>
          <w:rFonts w:ascii="Arial" w:hAnsi="Arial" w:cs="Arial"/>
          <w:sz w:val="24"/>
          <w:szCs w:val="24"/>
        </w:rPr>
        <w:t xml:space="preserve"> </w:t>
      </w:r>
      <w:r w:rsidR="00527467">
        <w:rPr>
          <w:rFonts w:ascii="Arial" w:hAnsi="Arial" w:cs="Arial"/>
          <w:sz w:val="24"/>
          <w:szCs w:val="24"/>
        </w:rPr>
        <w:t>included in two appendixes</w:t>
      </w:r>
      <w:r>
        <w:rPr>
          <w:rFonts w:ascii="Arial" w:hAnsi="Arial" w:cs="Arial"/>
          <w:sz w:val="24"/>
          <w:szCs w:val="24"/>
        </w:rPr>
        <w:t>.</w:t>
      </w:r>
    </w:p>
    <w:p w:rsidR="00E03B54" w:rsidRDefault="00E03B54">
      <w:pPr>
        <w:spacing w:after="0" w:line="240" w:lineRule="auto"/>
        <w:rPr>
          <w:rFonts w:ascii="Arial" w:hAnsi="Arial" w:cs="Arial"/>
          <w:sz w:val="24"/>
          <w:szCs w:val="24"/>
        </w:rPr>
      </w:pPr>
      <w:r>
        <w:rPr>
          <w:rFonts w:ascii="Arial" w:hAnsi="Arial" w:cs="Arial"/>
          <w:sz w:val="24"/>
          <w:szCs w:val="24"/>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2.</w:t>
      </w:r>
      <w:r>
        <w:rPr>
          <w:rFonts w:ascii="Arial" w:hAnsi="Arial" w:cs="Arial"/>
          <w:b/>
          <w:sz w:val="28"/>
          <w:szCs w:val="28"/>
        </w:rPr>
        <w:tab/>
        <w:t>Methodology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w:t>
      </w:r>
      <w:r>
        <w:rPr>
          <w:rFonts w:ascii="Arial" w:hAnsi="Arial" w:cs="Arial"/>
          <w:sz w:val="24"/>
          <w:szCs w:val="24"/>
        </w:rPr>
        <w:tab/>
        <w:t>The Survey was designed to id</w:t>
      </w:r>
      <w:bookmarkStart w:id="0" w:name="_GoBack"/>
      <w:bookmarkEnd w:id="0"/>
      <w:r>
        <w:rPr>
          <w:rFonts w:ascii="Arial" w:hAnsi="Arial" w:cs="Arial"/>
          <w:sz w:val="24"/>
          <w:szCs w:val="24"/>
        </w:rPr>
        <w:t>entify the broad nature of EU Law teaching and learning, in the UK in accordance with the stated aims and objectives of the research</w:t>
      </w:r>
      <w:r>
        <w:rPr>
          <w:rStyle w:val="FootnoteReference"/>
          <w:rFonts w:ascii="Arial" w:hAnsi="Arial" w:cs="Arial"/>
          <w:sz w:val="24"/>
          <w:szCs w:val="24"/>
        </w:rPr>
        <w:footnoteReference w:id="55"/>
      </w:r>
      <w:r>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t>The adopted methodology was designed firstly to help to identify all the courses and modules in UK universities that contained an element of EU Law, be that on the LLB/QLD or CPE, and secondly to help to identify all the lecturers that delivered EU Law teaching</w:t>
      </w:r>
      <w:r w:rsidR="000378A5">
        <w:rPr>
          <w:rFonts w:ascii="Arial" w:hAnsi="Arial" w:cs="Arial"/>
          <w:sz w:val="24"/>
          <w:szCs w:val="24"/>
        </w:rPr>
        <w:t xml:space="preserve"> on those courses</w:t>
      </w:r>
      <w:r>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Unlike other subjects </w:t>
      </w:r>
      <w:r w:rsidR="00A346E4">
        <w:rPr>
          <w:rFonts w:ascii="Arial" w:hAnsi="Arial" w:cs="Arial"/>
          <w:sz w:val="24"/>
          <w:szCs w:val="24"/>
        </w:rPr>
        <w:t xml:space="preserve">(e.g. the environment, the media) </w:t>
      </w:r>
      <w:r>
        <w:rPr>
          <w:rFonts w:ascii="Arial" w:hAnsi="Arial" w:cs="Arial"/>
          <w:sz w:val="24"/>
          <w:szCs w:val="24"/>
        </w:rPr>
        <w:t>that can exist outside the confines of</w:t>
      </w:r>
      <w:r w:rsidR="006D7C13">
        <w:rPr>
          <w:rFonts w:ascii="Arial" w:hAnsi="Arial" w:cs="Arial"/>
          <w:sz w:val="24"/>
          <w:szCs w:val="24"/>
        </w:rPr>
        <w:t xml:space="preserve"> the law schools, this</w:t>
      </w:r>
      <w:r>
        <w:rPr>
          <w:rFonts w:ascii="Arial" w:hAnsi="Arial" w:cs="Arial"/>
          <w:sz w:val="24"/>
          <w:szCs w:val="24"/>
        </w:rPr>
        <w:t xml:space="preserve"> research was directed specifically at law schools.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t>The project was divided into four main phases.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The </w:t>
      </w:r>
      <w:r>
        <w:rPr>
          <w:rFonts w:ascii="Arial" w:hAnsi="Arial" w:cs="Arial"/>
          <w:b/>
          <w:sz w:val="24"/>
          <w:szCs w:val="24"/>
        </w:rPr>
        <w:t>first phase</w:t>
      </w:r>
      <w:r>
        <w:rPr>
          <w:rFonts w:ascii="Arial" w:hAnsi="Arial" w:cs="Arial"/>
          <w:sz w:val="24"/>
          <w:szCs w:val="24"/>
        </w:rPr>
        <w:t xml:space="preserve"> involved three specific tasks:</w:t>
      </w:r>
    </w:p>
    <w:p w:rsidR="00E03B54" w:rsidRPr="00DA7B54" w:rsidRDefault="00E03B54" w:rsidP="00E03B54">
      <w:pPr>
        <w:pStyle w:val="ListParagraph"/>
        <w:numPr>
          <w:ilvl w:val="0"/>
          <w:numId w:val="3"/>
        </w:numPr>
        <w:spacing w:line="360" w:lineRule="auto"/>
        <w:jc w:val="both"/>
        <w:rPr>
          <w:rFonts w:ascii="Arial" w:hAnsi="Arial" w:cs="Arial"/>
          <w:sz w:val="24"/>
          <w:szCs w:val="24"/>
        </w:rPr>
      </w:pPr>
      <w:r w:rsidRPr="00DA7B54">
        <w:rPr>
          <w:rFonts w:ascii="Arial" w:hAnsi="Arial" w:cs="Arial"/>
          <w:sz w:val="24"/>
          <w:szCs w:val="24"/>
        </w:rPr>
        <w:t>drafting the Survey questionnaire that was designed to be both quan</w:t>
      </w:r>
      <w:r>
        <w:rPr>
          <w:rFonts w:ascii="Arial" w:hAnsi="Arial" w:cs="Arial"/>
          <w:sz w:val="24"/>
          <w:szCs w:val="24"/>
        </w:rPr>
        <w:t>titative and qualitative;</w:t>
      </w:r>
    </w:p>
    <w:p w:rsidR="00E03B54" w:rsidRPr="00DA7B54" w:rsidRDefault="00E03B54" w:rsidP="00E03B54">
      <w:pPr>
        <w:pStyle w:val="ListParagraph"/>
        <w:numPr>
          <w:ilvl w:val="0"/>
          <w:numId w:val="3"/>
        </w:numPr>
        <w:spacing w:line="360" w:lineRule="auto"/>
        <w:jc w:val="both"/>
        <w:rPr>
          <w:rFonts w:ascii="Arial" w:hAnsi="Arial" w:cs="Arial"/>
          <w:sz w:val="24"/>
          <w:szCs w:val="24"/>
        </w:rPr>
      </w:pPr>
      <w:r w:rsidRPr="00DA7B54">
        <w:rPr>
          <w:rFonts w:ascii="Arial" w:hAnsi="Arial" w:cs="Arial"/>
          <w:sz w:val="24"/>
          <w:szCs w:val="24"/>
        </w:rPr>
        <w:t>identifying the recipients for the Survey;</w:t>
      </w:r>
      <w:r>
        <w:rPr>
          <w:rFonts w:ascii="Arial" w:hAnsi="Arial" w:cs="Arial"/>
          <w:sz w:val="24"/>
          <w:szCs w:val="24"/>
        </w:rPr>
        <w:t xml:space="preserve"> and,</w:t>
      </w:r>
    </w:p>
    <w:p w:rsidR="00E03B54" w:rsidRPr="00DA7B54" w:rsidRDefault="00E03B54" w:rsidP="00E03B54">
      <w:pPr>
        <w:pStyle w:val="ListParagraph"/>
        <w:numPr>
          <w:ilvl w:val="0"/>
          <w:numId w:val="3"/>
        </w:numPr>
        <w:spacing w:line="360" w:lineRule="auto"/>
        <w:jc w:val="both"/>
        <w:rPr>
          <w:rFonts w:ascii="Arial" w:hAnsi="Arial" w:cs="Arial"/>
          <w:sz w:val="24"/>
          <w:szCs w:val="24"/>
        </w:rPr>
      </w:pPr>
      <w:r w:rsidRPr="00DA7B54">
        <w:rPr>
          <w:rFonts w:ascii="Arial" w:hAnsi="Arial" w:cs="Arial"/>
          <w:sz w:val="24"/>
          <w:szCs w:val="24"/>
        </w:rPr>
        <w:t>dispatching the Survey q</w:t>
      </w:r>
      <w:r>
        <w:rPr>
          <w:rFonts w:ascii="Arial" w:hAnsi="Arial" w:cs="Arial"/>
          <w:sz w:val="24"/>
          <w:szCs w:val="24"/>
        </w:rPr>
        <w:t>uestionnaire to the recipients.</w:t>
      </w:r>
    </w:p>
    <w:p w:rsidR="00E03B54" w:rsidRPr="006D4C56" w:rsidRDefault="00E03B54" w:rsidP="00E03B54">
      <w:pPr>
        <w:spacing w:line="360" w:lineRule="auto"/>
        <w:jc w:val="both"/>
        <w:rPr>
          <w:rFonts w:ascii="Arial" w:hAnsi="Arial" w:cs="Arial"/>
          <w:sz w:val="24"/>
          <w:szCs w:val="24"/>
        </w:rPr>
      </w:pPr>
      <w:r>
        <w:rPr>
          <w:rFonts w:ascii="Arial" w:hAnsi="Arial" w:cs="Arial"/>
          <w:sz w:val="24"/>
          <w:szCs w:val="24"/>
        </w:rPr>
        <w:t>The basis for the questionnaire was the template provided by UKCLE</w:t>
      </w:r>
      <w:r>
        <w:rPr>
          <w:rStyle w:val="FootnoteReference"/>
          <w:rFonts w:ascii="Arial" w:hAnsi="Arial" w:cs="Arial"/>
          <w:sz w:val="24"/>
          <w:szCs w:val="24"/>
        </w:rPr>
        <w:footnoteReference w:id="56"/>
      </w:r>
      <w:r w:rsidR="006C2548">
        <w:rPr>
          <w:rFonts w:ascii="Arial" w:hAnsi="Arial" w:cs="Arial"/>
          <w:sz w:val="24"/>
          <w:szCs w:val="24"/>
        </w:rPr>
        <w:t>, a</w:t>
      </w:r>
      <w:r>
        <w:rPr>
          <w:rFonts w:ascii="Arial" w:hAnsi="Arial" w:cs="Arial"/>
          <w:sz w:val="24"/>
          <w:szCs w:val="24"/>
        </w:rPr>
        <w:t xml:space="preserve"> </w:t>
      </w:r>
      <w:r w:rsidR="006C2548">
        <w:rPr>
          <w:rFonts w:ascii="Arial" w:hAnsi="Arial" w:cs="Arial"/>
          <w:sz w:val="24"/>
          <w:szCs w:val="24"/>
        </w:rPr>
        <w:t xml:space="preserve">format that had previously been </w:t>
      </w:r>
      <w:r>
        <w:rPr>
          <w:rFonts w:ascii="Arial" w:hAnsi="Arial" w:cs="Arial"/>
          <w:sz w:val="24"/>
          <w:szCs w:val="24"/>
        </w:rPr>
        <w:t>employed by the Environmental Law Subject Survey team</w:t>
      </w:r>
      <w:r>
        <w:rPr>
          <w:rStyle w:val="FootnoteReference"/>
          <w:rFonts w:ascii="Arial" w:hAnsi="Arial" w:cs="Arial"/>
          <w:sz w:val="24"/>
          <w:szCs w:val="24"/>
        </w:rPr>
        <w:footnoteReference w:id="57"/>
      </w:r>
      <w:r w:rsidR="006C2548">
        <w:rPr>
          <w:rFonts w:ascii="Arial" w:hAnsi="Arial" w:cs="Arial"/>
          <w:sz w:val="24"/>
          <w:szCs w:val="24"/>
        </w:rPr>
        <w:t>. However, the</w:t>
      </w:r>
      <w:r>
        <w:rPr>
          <w:rFonts w:ascii="Arial" w:hAnsi="Arial" w:cs="Arial"/>
          <w:sz w:val="24"/>
          <w:szCs w:val="24"/>
        </w:rPr>
        <w:t xml:space="preserve"> model was heavily modified to fit this Survey’s aims and objectives </w:t>
      </w:r>
      <w:r>
        <w:rPr>
          <w:rFonts w:ascii="Arial" w:hAnsi="Arial" w:cs="Arial"/>
          <w:sz w:val="24"/>
          <w:szCs w:val="24"/>
        </w:rPr>
        <w:lastRenderedPageBreak/>
        <w:t xml:space="preserve">with </w:t>
      </w:r>
      <w:r w:rsidR="006C2548">
        <w:rPr>
          <w:rFonts w:ascii="Arial" w:hAnsi="Arial" w:cs="Arial"/>
          <w:sz w:val="24"/>
          <w:szCs w:val="24"/>
        </w:rPr>
        <w:t>a</w:t>
      </w:r>
      <w:r>
        <w:rPr>
          <w:rFonts w:ascii="Arial" w:hAnsi="Arial" w:cs="Arial"/>
          <w:sz w:val="24"/>
          <w:szCs w:val="24"/>
        </w:rPr>
        <w:t xml:space="preserve"> view to reflecting the nature of EU Law as a compulsory module rather than an optional course.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2.6</w:t>
      </w:r>
      <w:r>
        <w:rPr>
          <w:rFonts w:ascii="Arial" w:hAnsi="Arial" w:cs="Arial"/>
          <w:sz w:val="24"/>
          <w:szCs w:val="24"/>
        </w:rPr>
        <w:tab/>
        <w:t xml:space="preserve">As indicated, this period also involved the identification of the potential recipients for the Survey questionnaire. This involved two stages of research. The first identified the universities where EU Law was taught, either as part of the LLB/QLD and/or the CPE. The second identified the module leader or senior member of the university staff delivering an EU Law module. These </w:t>
      </w:r>
      <w:r w:rsidR="006C2548">
        <w:rPr>
          <w:rFonts w:ascii="Arial" w:hAnsi="Arial" w:cs="Arial"/>
          <w:sz w:val="24"/>
          <w:szCs w:val="24"/>
        </w:rPr>
        <w:t xml:space="preserve">details </w:t>
      </w:r>
      <w:r>
        <w:rPr>
          <w:rFonts w:ascii="Arial" w:hAnsi="Arial" w:cs="Arial"/>
          <w:sz w:val="24"/>
          <w:szCs w:val="24"/>
        </w:rPr>
        <w:t xml:space="preserve">were </w:t>
      </w:r>
      <w:r w:rsidR="006C2548">
        <w:rPr>
          <w:rFonts w:ascii="Arial" w:hAnsi="Arial" w:cs="Arial"/>
          <w:sz w:val="24"/>
          <w:szCs w:val="24"/>
        </w:rPr>
        <w:t>collected via a number of methods</w:t>
      </w:r>
      <w:r>
        <w:rPr>
          <w:rFonts w:ascii="Arial" w:hAnsi="Arial" w:cs="Arial"/>
          <w:sz w:val="24"/>
          <w:szCs w:val="24"/>
        </w:rPr>
        <w:t xml:space="preserve"> including personal contacts, online prospectuses and detailed web searches.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2.7</w:t>
      </w:r>
      <w:r>
        <w:rPr>
          <w:rFonts w:ascii="Arial" w:hAnsi="Arial" w:cs="Arial"/>
          <w:sz w:val="24"/>
          <w:szCs w:val="24"/>
        </w:rPr>
        <w:tab/>
        <w:t xml:space="preserve"> The final part of the first phase involved dispatching the Survey questionnaires. The questionnaire was first piloted in November 2006 by sending it to four known lecturers of EU Law. The results were received by January 2007 and the questionnaire was then re-worked so that it was targeted specifically at the providers of the LLB/QLD and CPE separately, even if they were established in the same institution, rather than targeted at an institution running both courses. The amended questionnaire was emailed “en masse” to the recipients in January 2007, with 110 sent to LLB/QLD providers and 31 to CPE providers. The email contained a copy of the questionnaire </w:t>
      </w:r>
      <w:r w:rsidR="006C2548">
        <w:rPr>
          <w:rFonts w:ascii="Arial" w:hAnsi="Arial" w:cs="Arial"/>
          <w:sz w:val="24"/>
          <w:szCs w:val="24"/>
        </w:rPr>
        <w:t>and</w:t>
      </w:r>
      <w:r>
        <w:rPr>
          <w:rFonts w:ascii="Arial" w:hAnsi="Arial" w:cs="Arial"/>
          <w:sz w:val="24"/>
          <w:szCs w:val="24"/>
        </w:rPr>
        <w:t xml:space="preserve"> a covering letter giving a brief description of the research and funding.</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The </w:t>
      </w:r>
      <w:r>
        <w:rPr>
          <w:rFonts w:ascii="Arial" w:hAnsi="Arial" w:cs="Arial"/>
          <w:b/>
          <w:sz w:val="24"/>
          <w:szCs w:val="24"/>
        </w:rPr>
        <w:t>second phase</w:t>
      </w:r>
      <w:r>
        <w:rPr>
          <w:rFonts w:ascii="Arial" w:hAnsi="Arial" w:cs="Arial"/>
          <w:sz w:val="24"/>
          <w:szCs w:val="24"/>
        </w:rPr>
        <w:t xml:space="preserve"> of the project involved a further three specific tasks:</w:t>
      </w:r>
    </w:p>
    <w:p w:rsidR="00E03B54" w:rsidRPr="00DA7B54" w:rsidRDefault="00E03B54" w:rsidP="00E03B54">
      <w:pPr>
        <w:pStyle w:val="ListParagraph"/>
        <w:numPr>
          <w:ilvl w:val="0"/>
          <w:numId w:val="4"/>
        </w:numPr>
        <w:spacing w:line="360" w:lineRule="auto"/>
        <w:jc w:val="both"/>
        <w:rPr>
          <w:rFonts w:ascii="Arial" w:hAnsi="Arial" w:cs="Arial"/>
          <w:sz w:val="24"/>
          <w:szCs w:val="24"/>
        </w:rPr>
      </w:pPr>
      <w:r w:rsidRPr="00DA7B54">
        <w:rPr>
          <w:rFonts w:ascii="Arial" w:hAnsi="Arial" w:cs="Arial"/>
          <w:sz w:val="24"/>
          <w:szCs w:val="24"/>
        </w:rPr>
        <w:t>the collectio</w:t>
      </w:r>
      <w:r>
        <w:rPr>
          <w:rFonts w:ascii="Arial" w:hAnsi="Arial" w:cs="Arial"/>
          <w:sz w:val="24"/>
          <w:szCs w:val="24"/>
        </w:rPr>
        <w:t>n of the Survey questionnaires;</w:t>
      </w:r>
    </w:p>
    <w:p w:rsidR="00E03B54" w:rsidRPr="00DA7B54" w:rsidRDefault="00E03B54" w:rsidP="00E03B54">
      <w:pPr>
        <w:pStyle w:val="ListParagraph"/>
        <w:numPr>
          <w:ilvl w:val="0"/>
          <w:numId w:val="4"/>
        </w:numPr>
        <w:spacing w:line="360" w:lineRule="auto"/>
        <w:jc w:val="both"/>
        <w:rPr>
          <w:rFonts w:ascii="Arial" w:hAnsi="Arial" w:cs="Arial"/>
          <w:sz w:val="24"/>
          <w:szCs w:val="24"/>
        </w:rPr>
      </w:pPr>
      <w:r w:rsidRPr="00DA7B54">
        <w:rPr>
          <w:rFonts w:ascii="Arial" w:hAnsi="Arial" w:cs="Arial"/>
          <w:sz w:val="24"/>
          <w:szCs w:val="24"/>
        </w:rPr>
        <w:t>following up recipients for the comple</w:t>
      </w:r>
      <w:r>
        <w:rPr>
          <w:rFonts w:ascii="Arial" w:hAnsi="Arial" w:cs="Arial"/>
          <w:sz w:val="24"/>
          <w:szCs w:val="24"/>
        </w:rPr>
        <w:t>tion of the questionnaire; and,</w:t>
      </w:r>
    </w:p>
    <w:p w:rsidR="00E03B54" w:rsidRPr="00DA7B54" w:rsidRDefault="00E03B54" w:rsidP="00E03B54">
      <w:pPr>
        <w:pStyle w:val="ListParagraph"/>
        <w:numPr>
          <w:ilvl w:val="0"/>
          <w:numId w:val="4"/>
        </w:numPr>
        <w:spacing w:line="360" w:lineRule="auto"/>
        <w:jc w:val="both"/>
        <w:rPr>
          <w:rFonts w:ascii="Arial" w:hAnsi="Arial" w:cs="Arial"/>
          <w:sz w:val="24"/>
          <w:szCs w:val="24"/>
        </w:rPr>
      </w:pPr>
      <w:r w:rsidRPr="00DA7B54">
        <w:rPr>
          <w:rFonts w:ascii="Arial" w:hAnsi="Arial" w:cs="Arial"/>
          <w:sz w:val="24"/>
          <w:szCs w:val="24"/>
        </w:rPr>
        <w:t>statistical analysis of the results.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2.9</w:t>
      </w:r>
      <w:r>
        <w:rPr>
          <w:rFonts w:ascii="Arial" w:hAnsi="Arial" w:cs="Arial"/>
          <w:sz w:val="24"/>
          <w:szCs w:val="24"/>
        </w:rPr>
        <w:tab/>
        <w:t>Fifty questionnaires were eventually returned, of which 37</w:t>
      </w:r>
      <w:r>
        <w:rPr>
          <w:rStyle w:val="FootnoteReference"/>
          <w:rFonts w:ascii="Arial" w:hAnsi="Arial" w:cs="Arial"/>
          <w:sz w:val="24"/>
          <w:szCs w:val="24"/>
        </w:rPr>
        <w:footnoteReference w:id="58"/>
      </w:r>
      <w:r>
        <w:rPr>
          <w:rFonts w:ascii="Arial" w:hAnsi="Arial" w:cs="Arial"/>
          <w:sz w:val="24"/>
          <w:szCs w:val="24"/>
        </w:rPr>
        <w:t xml:space="preserve"> were from LLB/QLD providers and 13</w:t>
      </w:r>
      <w:r>
        <w:rPr>
          <w:rStyle w:val="FootnoteReference"/>
          <w:rFonts w:ascii="Arial" w:hAnsi="Arial" w:cs="Arial"/>
          <w:sz w:val="24"/>
          <w:szCs w:val="24"/>
        </w:rPr>
        <w:footnoteReference w:id="59"/>
      </w:r>
      <w:r>
        <w:rPr>
          <w:rFonts w:ascii="Arial" w:hAnsi="Arial" w:cs="Arial"/>
          <w:sz w:val="24"/>
          <w:szCs w:val="24"/>
        </w:rPr>
        <w:t xml:space="preserve"> from CPE. This collection process was predominantly by email, although a small number were returned by post. Collection of questionnaires continued until Easter 2008.</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2.10</w:t>
      </w:r>
      <w:r>
        <w:rPr>
          <w:rFonts w:ascii="Arial" w:hAnsi="Arial" w:cs="Arial"/>
          <w:sz w:val="24"/>
          <w:szCs w:val="24"/>
        </w:rPr>
        <w:tab/>
        <w:t>As the initial response was slow, in July 2007 a reminder letter was forwarded by email to all those who had not responded. In September 2007 individuals were contacted directly via email to encourage the completion of the form and from January to Easter 2008 attempts were made by phone to persuade recipients to submit the questionnaire. For LLB/QLD the response rate was 34% and for CPE 42%, giving an overall response rate of 36%.</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2.11</w:t>
      </w:r>
      <w:r>
        <w:rPr>
          <w:rFonts w:ascii="Arial" w:hAnsi="Arial" w:cs="Arial"/>
          <w:sz w:val="24"/>
          <w:szCs w:val="24"/>
        </w:rPr>
        <w:tab/>
        <w:t>Statistical analysis was undertaken on the quantitative data by Nicola Liles, LLM Administrator at Bristol Law School, UWE, in the summer of 2008.</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2.12</w:t>
      </w:r>
      <w:r>
        <w:rPr>
          <w:rFonts w:ascii="Arial" w:hAnsi="Arial" w:cs="Arial"/>
          <w:sz w:val="24"/>
          <w:szCs w:val="24"/>
        </w:rPr>
        <w:tab/>
        <w:t xml:space="preserve">The </w:t>
      </w:r>
      <w:r>
        <w:rPr>
          <w:rFonts w:ascii="Arial" w:hAnsi="Arial" w:cs="Arial"/>
          <w:b/>
          <w:sz w:val="24"/>
          <w:szCs w:val="24"/>
        </w:rPr>
        <w:t>third stage</w:t>
      </w:r>
      <w:r>
        <w:rPr>
          <w:rFonts w:ascii="Arial" w:hAnsi="Arial" w:cs="Arial"/>
          <w:sz w:val="24"/>
          <w:szCs w:val="24"/>
        </w:rPr>
        <w:t xml:space="preserve"> of the project was </w:t>
      </w:r>
      <w:r w:rsidR="006C2548">
        <w:rPr>
          <w:rFonts w:ascii="Arial" w:hAnsi="Arial" w:cs="Arial"/>
          <w:sz w:val="24"/>
          <w:szCs w:val="24"/>
        </w:rPr>
        <w:t xml:space="preserve">originally </w:t>
      </w:r>
      <w:r>
        <w:rPr>
          <w:rFonts w:ascii="Arial" w:hAnsi="Arial" w:cs="Arial"/>
          <w:sz w:val="24"/>
          <w:szCs w:val="24"/>
        </w:rPr>
        <w:t xml:space="preserve">envisaged to </w:t>
      </w:r>
      <w:r w:rsidR="006C2548">
        <w:rPr>
          <w:rFonts w:ascii="Arial" w:hAnsi="Arial" w:cs="Arial"/>
          <w:sz w:val="24"/>
          <w:szCs w:val="24"/>
        </w:rPr>
        <w:t>comprise of</w:t>
      </w:r>
      <w:r>
        <w:rPr>
          <w:rFonts w:ascii="Arial" w:hAnsi="Arial" w:cs="Arial"/>
          <w:sz w:val="24"/>
          <w:szCs w:val="24"/>
        </w:rPr>
        <w:t xml:space="preserve"> identifying further areas of research interest, the devising of a detailed and structured interview and the undertaking of that interview to gather further qualitative data.  However, we were surprised to receive a substantial amount of qualitative information in the returned questionnaires. As a result the team decided that a formal interview was not required and so, as the report was written, discrete inquiries were made of the providers to clarify the answers given.</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2.13</w:t>
      </w:r>
      <w:r>
        <w:rPr>
          <w:rFonts w:ascii="Arial" w:hAnsi="Arial" w:cs="Arial"/>
          <w:sz w:val="24"/>
          <w:szCs w:val="24"/>
        </w:rPr>
        <w:tab/>
        <w:t xml:space="preserve">The </w:t>
      </w:r>
      <w:r>
        <w:rPr>
          <w:rFonts w:ascii="Arial" w:hAnsi="Arial" w:cs="Arial"/>
          <w:b/>
          <w:sz w:val="24"/>
          <w:szCs w:val="24"/>
        </w:rPr>
        <w:t>fourth</w:t>
      </w:r>
      <w:r>
        <w:rPr>
          <w:rFonts w:ascii="Arial" w:hAnsi="Arial" w:cs="Arial"/>
          <w:sz w:val="24"/>
          <w:szCs w:val="24"/>
        </w:rPr>
        <w:t xml:space="preserve"> and </w:t>
      </w:r>
      <w:r>
        <w:rPr>
          <w:rFonts w:ascii="Arial" w:hAnsi="Arial" w:cs="Arial"/>
          <w:b/>
          <w:sz w:val="24"/>
          <w:szCs w:val="24"/>
        </w:rPr>
        <w:t>final stage</w:t>
      </w:r>
      <w:r>
        <w:rPr>
          <w:rFonts w:ascii="Arial" w:hAnsi="Arial" w:cs="Arial"/>
          <w:sz w:val="24"/>
          <w:szCs w:val="24"/>
        </w:rPr>
        <w:t xml:space="preserve"> of the project involved two elements: the writing of the report and the dissemination of the findings.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2.14</w:t>
      </w:r>
      <w:r>
        <w:rPr>
          <w:rFonts w:ascii="Arial" w:hAnsi="Arial" w:cs="Arial"/>
          <w:sz w:val="24"/>
          <w:szCs w:val="24"/>
        </w:rPr>
        <w:tab/>
        <w:t xml:space="preserve">The writing of the report was </w:t>
      </w:r>
      <w:r w:rsidR="006C2548">
        <w:rPr>
          <w:rFonts w:ascii="Arial" w:hAnsi="Arial" w:cs="Arial"/>
          <w:sz w:val="24"/>
          <w:szCs w:val="24"/>
        </w:rPr>
        <w:t>impacted</w:t>
      </w:r>
      <w:r>
        <w:rPr>
          <w:rFonts w:ascii="Arial" w:hAnsi="Arial" w:cs="Arial"/>
          <w:sz w:val="24"/>
          <w:szCs w:val="24"/>
        </w:rPr>
        <w:t xml:space="preserve"> by the loss of two members of the team in summer 2008, the first due to retirement and the second (the original project leader) due to the demands of other research projects. This had the effect of slowing down this stage of the project.</w:t>
      </w:r>
    </w:p>
    <w:p w:rsidR="00E03B54" w:rsidRDefault="00E03B54" w:rsidP="00E03B54">
      <w:pPr>
        <w:spacing w:line="360" w:lineRule="auto"/>
        <w:jc w:val="both"/>
        <w:rPr>
          <w:rFonts w:ascii="Arial" w:hAnsi="Arial" w:cs="Arial"/>
          <w:sz w:val="24"/>
          <w:szCs w:val="24"/>
        </w:rPr>
      </w:pPr>
    </w:p>
    <w:p w:rsidR="00E03B54" w:rsidRPr="003A50B1" w:rsidRDefault="00E03B54" w:rsidP="00E03B54">
      <w:pPr>
        <w:spacing w:line="360" w:lineRule="auto"/>
        <w:jc w:val="both"/>
        <w:rPr>
          <w:rFonts w:ascii="Arial" w:hAnsi="Arial" w:cs="Arial"/>
          <w:sz w:val="24"/>
          <w:szCs w:val="24"/>
        </w:rPr>
      </w:pPr>
      <w:r>
        <w:rPr>
          <w:rFonts w:ascii="Arial" w:hAnsi="Arial" w:cs="Arial"/>
          <w:sz w:val="24"/>
          <w:szCs w:val="24"/>
        </w:rPr>
        <w:t>2.15</w:t>
      </w:r>
      <w:r>
        <w:rPr>
          <w:rFonts w:ascii="Arial" w:hAnsi="Arial" w:cs="Arial"/>
          <w:sz w:val="24"/>
          <w:szCs w:val="24"/>
        </w:rPr>
        <w:tab/>
        <w:t>The findings were presented through papers delivered at two conferences: the Association of Law Teachers at Clare College, University of Cambridge on 31 March 2010; and the Socio-Legal Studies Association at Bristol Law School, University of the West of England on 1 April 2010.</w:t>
      </w:r>
    </w:p>
    <w:p w:rsidR="00E03B54" w:rsidRPr="000E50CF" w:rsidRDefault="00E03B54" w:rsidP="00E03B54">
      <w:pPr>
        <w:rPr>
          <w:szCs w:val="24"/>
        </w:rPr>
      </w:pPr>
    </w:p>
    <w:p w:rsidR="00E03B54" w:rsidRDefault="00E03B54">
      <w:pPr>
        <w:spacing w:after="0" w:line="240" w:lineRule="auto"/>
        <w:rPr>
          <w:rFonts w:ascii="Arial" w:hAnsi="Arial" w:cs="Arial"/>
          <w:sz w:val="24"/>
          <w:szCs w:val="24"/>
        </w:rPr>
      </w:pPr>
      <w:r>
        <w:rPr>
          <w:rFonts w:ascii="Arial" w:hAnsi="Arial" w:cs="Arial"/>
          <w:sz w:val="24"/>
          <w:szCs w:val="24"/>
        </w:rPr>
        <w:br w:type="page"/>
      </w:r>
    </w:p>
    <w:p w:rsidR="00E03B54" w:rsidRPr="00E80F0C" w:rsidRDefault="00E03B54" w:rsidP="00E03B54">
      <w:pPr>
        <w:spacing w:line="360" w:lineRule="auto"/>
        <w:jc w:val="both"/>
        <w:rPr>
          <w:rFonts w:ascii="Arial" w:hAnsi="Arial" w:cs="Arial"/>
          <w:b/>
          <w:sz w:val="28"/>
          <w:szCs w:val="28"/>
        </w:rPr>
      </w:pPr>
      <w:r>
        <w:rPr>
          <w:rFonts w:ascii="Arial" w:hAnsi="Arial" w:cs="Arial"/>
          <w:b/>
          <w:sz w:val="28"/>
          <w:szCs w:val="28"/>
        </w:rPr>
        <w:lastRenderedPageBreak/>
        <w:t xml:space="preserve">3.  </w:t>
      </w:r>
      <w:r>
        <w:rPr>
          <w:rFonts w:ascii="Arial" w:hAnsi="Arial" w:cs="Arial"/>
          <w:b/>
          <w:sz w:val="28"/>
          <w:szCs w:val="28"/>
        </w:rPr>
        <w:tab/>
        <w:t>European Law T</w:t>
      </w:r>
      <w:r w:rsidRPr="00E80F0C">
        <w:rPr>
          <w:rFonts w:ascii="Arial" w:hAnsi="Arial" w:cs="Arial"/>
          <w:b/>
          <w:sz w:val="28"/>
          <w:szCs w:val="28"/>
        </w:rPr>
        <w:t>eachers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3.1</w:t>
      </w:r>
      <w:r w:rsidRPr="00E80F0C">
        <w:rPr>
          <w:rFonts w:ascii="Arial" w:hAnsi="Arial" w:cs="Arial"/>
          <w:sz w:val="24"/>
          <w:szCs w:val="24"/>
        </w:rPr>
        <w:tab/>
        <w:t xml:space="preserve">The first part of the questionnaire was aimed at gathering general information about people who taught European Union Law. </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3.2</w:t>
      </w:r>
      <w:r w:rsidRPr="00E80F0C">
        <w:rPr>
          <w:rFonts w:ascii="Arial" w:hAnsi="Arial" w:cs="Arial"/>
          <w:sz w:val="24"/>
          <w:szCs w:val="24"/>
        </w:rPr>
        <w:tab/>
      </w:r>
      <w:r>
        <w:rPr>
          <w:rFonts w:ascii="Arial" w:hAnsi="Arial" w:cs="Arial"/>
          <w:sz w:val="24"/>
          <w:szCs w:val="24"/>
        </w:rPr>
        <w:t>Gender</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Table 3.1 belo</w:t>
      </w:r>
      <w:r w:rsidR="006C2548">
        <w:rPr>
          <w:rFonts w:ascii="Arial" w:hAnsi="Arial" w:cs="Arial"/>
          <w:sz w:val="24"/>
          <w:szCs w:val="24"/>
        </w:rPr>
        <w:t>w sets out the split between male</w:t>
      </w:r>
      <w:r w:rsidRPr="00E80F0C">
        <w:rPr>
          <w:rFonts w:ascii="Arial" w:hAnsi="Arial" w:cs="Arial"/>
          <w:sz w:val="24"/>
          <w:szCs w:val="24"/>
        </w:rPr>
        <w:t xml:space="preserve"> and </w:t>
      </w:r>
      <w:r w:rsidR="006C2548">
        <w:rPr>
          <w:rFonts w:ascii="Arial" w:hAnsi="Arial" w:cs="Arial"/>
          <w:sz w:val="24"/>
          <w:szCs w:val="24"/>
        </w:rPr>
        <w:t>female</w:t>
      </w:r>
      <w:r w:rsidRPr="00E80F0C">
        <w:rPr>
          <w:rFonts w:ascii="Arial" w:hAnsi="Arial" w:cs="Arial"/>
          <w:sz w:val="24"/>
          <w:szCs w:val="24"/>
        </w:rPr>
        <w:t xml:space="preserve"> teachers.  196 European law teachers were identified across the 50 institutions. Of those, 46% were men and 54% were women. As the figures below show, where all institutions are considered together, there were significantly more female than male teachers. The gender </w:t>
      </w:r>
      <w:r w:rsidR="006C2548">
        <w:rPr>
          <w:rFonts w:ascii="Arial" w:hAnsi="Arial" w:cs="Arial"/>
          <w:sz w:val="24"/>
          <w:szCs w:val="24"/>
        </w:rPr>
        <w:t>divide</w:t>
      </w:r>
      <w:r w:rsidRPr="00E80F0C">
        <w:rPr>
          <w:rFonts w:ascii="Arial" w:hAnsi="Arial" w:cs="Arial"/>
          <w:sz w:val="24"/>
          <w:szCs w:val="24"/>
        </w:rPr>
        <w:t xml:space="preserve"> is however more significant in old universities than in post 92 ones (42% were men and 58% were women as opposed to an almost strict 50/50 split in post 92 universities)</w:t>
      </w:r>
      <w:r w:rsidR="00A346E4">
        <w:rPr>
          <w:rStyle w:val="FootnoteReference"/>
          <w:rFonts w:ascii="Arial" w:hAnsi="Arial" w:cs="Arial"/>
          <w:sz w:val="24"/>
          <w:szCs w:val="24"/>
        </w:rPr>
        <w:footnoteReference w:id="60"/>
      </w:r>
      <w:r w:rsidRPr="00E80F0C">
        <w:rPr>
          <w:rFonts w:ascii="Arial" w:hAnsi="Arial" w:cs="Arial"/>
          <w:sz w:val="24"/>
          <w:szCs w:val="24"/>
        </w:rPr>
        <w:t xml:space="preserve">. On </w:t>
      </w:r>
      <w:r>
        <w:rPr>
          <w:rFonts w:ascii="Arial" w:hAnsi="Arial" w:cs="Arial"/>
          <w:sz w:val="24"/>
          <w:szCs w:val="24"/>
        </w:rPr>
        <w:t>LLB/</w:t>
      </w:r>
      <w:r w:rsidRPr="00E80F0C">
        <w:rPr>
          <w:rFonts w:ascii="Arial" w:hAnsi="Arial" w:cs="Arial"/>
          <w:sz w:val="24"/>
          <w:szCs w:val="24"/>
        </w:rPr>
        <w:t xml:space="preserve">QLD and CPE courses, the gender split is more in favour of women (47/53 and 45/55 respectively) but neither deviates much from the split for all institutions. </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To put these figures into context they must be examined in relation to studi</w:t>
      </w:r>
      <w:r w:rsidR="006C2548">
        <w:rPr>
          <w:rFonts w:ascii="Arial" w:hAnsi="Arial" w:cs="Arial"/>
          <w:sz w:val="24"/>
          <w:szCs w:val="24"/>
        </w:rPr>
        <w:t>es on the gender split within “the law school”</w:t>
      </w:r>
      <w:r>
        <w:rPr>
          <w:rFonts w:ascii="Arial" w:hAnsi="Arial" w:cs="Arial"/>
          <w:sz w:val="24"/>
          <w:szCs w:val="24"/>
        </w:rPr>
        <w:t>. In 1999 McGlynn</w:t>
      </w:r>
      <w:r>
        <w:rPr>
          <w:rStyle w:val="FootnoteReference"/>
          <w:rFonts w:ascii="Arial" w:hAnsi="Arial" w:cs="Arial"/>
          <w:sz w:val="24"/>
          <w:szCs w:val="24"/>
        </w:rPr>
        <w:footnoteReference w:id="61"/>
      </w:r>
      <w:r>
        <w:rPr>
          <w:rFonts w:ascii="Arial" w:hAnsi="Arial" w:cs="Arial"/>
          <w:sz w:val="24"/>
          <w:szCs w:val="24"/>
        </w:rPr>
        <w:t xml:space="preserve"> published her evaluation of the 1996-97 </w:t>
      </w:r>
      <w:r w:rsidRPr="002F46C6">
        <w:rPr>
          <w:rFonts w:ascii="Arial" w:hAnsi="Arial" w:cs="Arial"/>
          <w:sz w:val="24"/>
          <w:szCs w:val="24"/>
        </w:rPr>
        <w:t>Higher Education Statistics Agency figures</w:t>
      </w:r>
      <w:r>
        <w:rPr>
          <w:rFonts w:ascii="Arial" w:hAnsi="Arial" w:cs="Arial"/>
          <w:sz w:val="24"/>
          <w:szCs w:val="24"/>
        </w:rPr>
        <w:t xml:space="preserve">. She found that 14% of chairs were occupied by women, whilst 22% of readers, </w:t>
      </w:r>
      <w:r w:rsidRPr="002F46C6">
        <w:rPr>
          <w:rFonts w:ascii="Arial" w:hAnsi="Arial" w:cs="Arial"/>
          <w:sz w:val="24"/>
          <w:szCs w:val="24"/>
        </w:rPr>
        <w:t xml:space="preserve">40% </w:t>
      </w:r>
      <w:r>
        <w:rPr>
          <w:rFonts w:ascii="Arial" w:hAnsi="Arial" w:cs="Arial"/>
          <w:sz w:val="24"/>
          <w:szCs w:val="24"/>
        </w:rPr>
        <w:t>of</w:t>
      </w:r>
      <w:r w:rsidRPr="002F46C6">
        <w:rPr>
          <w:rFonts w:ascii="Arial" w:hAnsi="Arial" w:cs="Arial"/>
          <w:sz w:val="24"/>
          <w:szCs w:val="24"/>
        </w:rPr>
        <w:t xml:space="preserve"> principal lecturers, 42% </w:t>
      </w:r>
      <w:r>
        <w:rPr>
          <w:rFonts w:ascii="Arial" w:hAnsi="Arial" w:cs="Arial"/>
          <w:sz w:val="24"/>
          <w:szCs w:val="24"/>
        </w:rPr>
        <w:t>of</w:t>
      </w:r>
      <w:r w:rsidRPr="002F46C6">
        <w:rPr>
          <w:rFonts w:ascii="Arial" w:hAnsi="Arial" w:cs="Arial"/>
          <w:sz w:val="24"/>
          <w:szCs w:val="24"/>
        </w:rPr>
        <w:t xml:space="preserve"> senior lecturers, and 49% </w:t>
      </w:r>
      <w:r>
        <w:rPr>
          <w:rFonts w:ascii="Arial" w:hAnsi="Arial" w:cs="Arial"/>
          <w:sz w:val="24"/>
          <w:szCs w:val="24"/>
        </w:rPr>
        <w:t>of</w:t>
      </w:r>
      <w:r w:rsidRPr="002F46C6">
        <w:rPr>
          <w:rFonts w:ascii="Arial" w:hAnsi="Arial" w:cs="Arial"/>
          <w:sz w:val="24"/>
          <w:szCs w:val="24"/>
        </w:rPr>
        <w:t xml:space="preserve"> lecturers</w:t>
      </w:r>
      <w:r>
        <w:rPr>
          <w:rFonts w:ascii="Arial" w:hAnsi="Arial" w:cs="Arial"/>
          <w:sz w:val="24"/>
          <w:szCs w:val="24"/>
        </w:rPr>
        <w:t xml:space="preserve"> were women. Thus 40% of academics in law schools were women, with 35% in old universities and 45% in new universities</w:t>
      </w:r>
      <w:r>
        <w:rPr>
          <w:rStyle w:val="FootnoteReference"/>
          <w:rFonts w:ascii="Arial" w:hAnsi="Arial" w:cs="Arial"/>
          <w:sz w:val="24"/>
          <w:szCs w:val="24"/>
        </w:rPr>
        <w:footnoteReference w:id="62"/>
      </w:r>
      <w:r>
        <w:rPr>
          <w:rFonts w:ascii="Arial" w:hAnsi="Arial" w:cs="Arial"/>
          <w:sz w:val="24"/>
          <w:szCs w:val="24"/>
        </w:rPr>
        <w:t>. Wells</w:t>
      </w:r>
      <w:r>
        <w:rPr>
          <w:rStyle w:val="FootnoteReference"/>
          <w:rFonts w:ascii="Arial" w:hAnsi="Arial" w:cs="Arial"/>
          <w:sz w:val="24"/>
          <w:szCs w:val="24"/>
        </w:rPr>
        <w:footnoteReference w:id="63"/>
      </w:r>
      <w:r>
        <w:rPr>
          <w:rFonts w:ascii="Arial" w:hAnsi="Arial" w:cs="Arial"/>
          <w:sz w:val="24"/>
          <w:szCs w:val="24"/>
        </w:rPr>
        <w:t xml:space="preserve"> suggests that the gender split has moved positively in the direction of women since McGlynn’s report but there are no new statistics to support such an opinion.</w:t>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 xml:space="preserve">From the figures for the teaching of EU Law in the sample analysed, the gender split for EU is significantly different </w:t>
      </w:r>
      <w:r w:rsidR="00F65E2F">
        <w:rPr>
          <w:rFonts w:ascii="Arial" w:hAnsi="Arial" w:cs="Arial"/>
          <w:sz w:val="24"/>
          <w:szCs w:val="24"/>
        </w:rPr>
        <w:t>from</w:t>
      </w:r>
      <w:r>
        <w:rPr>
          <w:rFonts w:ascii="Arial" w:hAnsi="Arial" w:cs="Arial"/>
          <w:sz w:val="24"/>
          <w:szCs w:val="24"/>
        </w:rPr>
        <w:t xml:space="preserve"> that of the legal academic in general, with women outnumbering their male counterpart</w:t>
      </w:r>
      <w:r w:rsidR="006C2548">
        <w:rPr>
          <w:rFonts w:ascii="Arial" w:hAnsi="Arial" w:cs="Arial"/>
          <w:sz w:val="24"/>
          <w:szCs w:val="24"/>
        </w:rPr>
        <w:t>s</w:t>
      </w:r>
      <w:r>
        <w:rPr>
          <w:rFonts w:ascii="Arial" w:hAnsi="Arial" w:cs="Arial"/>
          <w:sz w:val="24"/>
          <w:szCs w:val="24"/>
        </w:rPr>
        <w:t>. It is not possible to analyse this in any more detail due to the period since the original McGlynn report, the scale of the EU Law sample and limitations on the current research.</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center"/>
        <w:rPr>
          <w:rFonts w:ascii="Arial" w:hAnsi="Arial" w:cs="Arial"/>
          <w:b/>
          <w:sz w:val="24"/>
          <w:szCs w:val="24"/>
        </w:rPr>
      </w:pPr>
      <w:r w:rsidRPr="00E80F0C">
        <w:rPr>
          <w:rFonts w:ascii="Arial" w:hAnsi="Arial" w:cs="Arial"/>
          <w:sz w:val="24"/>
          <w:szCs w:val="24"/>
        </w:rPr>
        <w:t>Table 3.1 – Gender Split of European Law Teachers</w:t>
      </w:r>
    </w:p>
    <w:tbl>
      <w:tblPr>
        <w:tblStyle w:val="TableGrid"/>
        <w:tblW w:w="0" w:type="auto"/>
        <w:tblLook w:val="04A0" w:firstRow="1" w:lastRow="0" w:firstColumn="1" w:lastColumn="0" w:noHBand="0" w:noVBand="1"/>
      </w:tblPr>
      <w:tblGrid>
        <w:gridCol w:w="1848"/>
        <w:gridCol w:w="1848"/>
        <w:gridCol w:w="924"/>
        <w:gridCol w:w="1300"/>
        <w:gridCol w:w="1134"/>
        <w:gridCol w:w="1559"/>
      </w:tblGrid>
      <w:tr w:rsidR="00E03B54" w:rsidRPr="00E80F0C" w:rsidTr="00E03B54">
        <w:tc>
          <w:tcPr>
            <w:tcW w:w="1848" w:type="dxa"/>
          </w:tcPr>
          <w:p w:rsidR="00E03B54" w:rsidRPr="00E80F0C" w:rsidRDefault="00E03B54" w:rsidP="00E03B54">
            <w:pPr>
              <w:jc w:val="center"/>
              <w:rPr>
                <w:rFonts w:cs="Arial"/>
                <w:b/>
                <w:sz w:val="24"/>
                <w:szCs w:val="24"/>
              </w:rPr>
            </w:pPr>
            <w:r w:rsidRPr="00E80F0C">
              <w:rPr>
                <w:rFonts w:cs="Arial"/>
                <w:b/>
                <w:sz w:val="24"/>
                <w:szCs w:val="24"/>
              </w:rPr>
              <w:t>Gender</w:t>
            </w:r>
          </w:p>
        </w:tc>
        <w:tc>
          <w:tcPr>
            <w:tcW w:w="1848" w:type="dxa"/>
          </w:tcPr>
          <w:p w:rsidR="00E03B54" w:rsidRPr="00E80F0C" w:rsidRDefault="00E03B54" w:rsidP="00E03B54">
            <w:pPr>
              <w:jc w:val="center"/>
              <w:rPr>
                <w:rFonts w:cs="Arial"/>
                <w:b/>
                <w:sz w:val="24"/>
                <w:szCs w:val="24"/>
              </w:rPr>
            </w:pPr>
            <w:r w:rsidRPr="00E80F0C">
              <w:rPr>
                <w:rFonts w:cs="Arial"/>
                <w:b/>
                <w:sz w:val="24"/>
                <w:szCs w:val="24"/>
              </w:rPr>
              <w:t>All</w:t>
            </w:r>
            <w:r w:rsidR="00293881">
              <w:rPr>
                <w:rFonts w:cs="Arial"/>
                <w:b/>
                <w:sz w:val="24"/>
                <w:szCs w:val="24"/>
              </w:rPr>
              <w:t xml:space="preserve"> U</w:t>
            </w:r>
            <w:r w:rsidRPr="00E80F0C">
              <w:rPr>
                <w:rFonts w:cs="Arial"/>
                <w:b/>
                <w:sz w:val="24"/>
                <w:szCs w:val="24"/>
              </w:rPr>
              <w:t>niversities</w:t>
            </w:r>
          </w:p>
        </w:tc>
        <w:tc>
          <w:tcPr>
            <w:tcW w:w="2224" w:type="dxa"/>
            <w:gridSpan w:val="2"/>
          </w:tcPr>
          <w:p w:rsidR="00E03B54" w:rsidRPr="00E80F0C" w:rsidRDefault="00293881" w:rsidP="00E03B54">
            <w:pPr>
              <w:jc w:val="center"/>
              <w:rPr>
                <w:rFonts w:cs="Arial"/>
                <w:b/>
                <w:sz w:val="24"/>
                <w:szCs w:val="24"/>
              </w:rPr>
            </w:pPr>
            <w:r>
              <w:rPr>
                <w:rFonts w:cs="Arial"/>
                <w:b/>
                <w:sz w:val="24"/>
                <w:szCs w:val="24"/>
              </w:rPr>
              <w:t>New / Old U</w:t>
            </w:r>
            <w:r w:rsidR="00E03B54" w:rsidRPr="00E80F0C">
              <w:rPr>
                <w:rFonts w:cs="Arial"/>
                <w:b/>
                <w:sz w:val="24"/>
                <w:szCs w:val="24"/>
              </w:rPr>
              <w:t>niversities</w:t>
            </w:r>
          </w:p>
        </w:tc>
        <w:tc>
          <w:tcPr>
            <w:tcW w:w="2693" w:type="dxa"/>
            <w:gridSpan w:val="2"/>
          </w:tcPr>
          <w:p w:rsidR="00E03B54" w:rsidRPr="00E80F0C" w:rsidRDefault="00E03B54" w:rsidP="00E03B54">
            <w:pPr>
              <w:jc w:val="center"/>
              <w:rPr>
                <w:rFonts w:cs="Arial"/>
                <w:b/>
                <w:sz w:val="24"/>
                <w:szCs w:val="24"/>
              </w:rPr>
            </w:pPr>
            <w:r w:rsidRPr="00E80F0C">
              <w:rPr>
                <w:rFonts w:cs="Arial"/>
                <w:b/>
                <w:sz w:val="24"/>
                <w:szCs w:val="24"/>
              </w:rPr>
              <w:t>QLD/ CPE</w:t>
            </w:r>
          </w:p>
        </w:tc>
      </w:tr>
      <w:tr w:rsidR="00E03B54" w:rsidRPr="00E80F0C" w:rsidTr="00E03B54">
        <w:tc>
          <w:tcPr>
            <w:tcW w:w="1848" w:type="dxa"/>
          </w:tcPr>
          <w:p w:rsidR="00E03B54" w:rsidRPr="00E80F0C" w:rsidRDefault="00E03B54" w:rsidP="00E03B54">
            <w:pPr>
              <w:jc w:val="both"/>
              <w:rPr>
                <w:rFonts w:cs="Arial"/>
                <w:sz w:val="24"/>
                <w:szCs w:val="24"/>
              </w:rPr>
            </w:pPr>
            <w:r w:rsidRPr="00E80F0C">
              <w:rPr>
                <w:rFonts w:cs="Arial"/>
                <w:sz w:val="24"/>
                <w:szCs w:val="24"/>
              </w:rPr>
              <w:t>Male</w:t>
            </w:r>
          </w:p>
        </w:tc>
        <w:tc>
          <w:tcPr>
            <w:tcW w:w="1848" w:type="dxa"/>
          </w:tcPr>
          <w:p w:rsidR="00E03B54" w:rsidRPr="00E80F0C" w:rsidRDefault="00E03B54" w:rsidP="00E03B54">
            <w:pPr>
              <w:jc w:val="center"/>
              <w:rPr>
                <w:rFonts w:cs="Arial"/>
                <w:sz w:val="24"/>
                <w:szCs w:val="24"/>
              </w:rPr>
            </w:pPr>
            <w:r w:rsidRPr="00E80F0C">
              <w:rPr>
                <w:rFonts w:cs="Arial"/>
                <w:sz w:val="24"/>
                <w:szCs w:val="24"/>
              </w:rPr>
              <w:t>91</w:t>
            </w:r>
          </w:p>
        </w:tc>
        <w:tc>
          <w:tcPr>
            <w:tcW w:w="924" w:type="dxa"/>
          </w:tcPr>
          <w:p w:rsidR="00E03B54" w:rsidRPr="00E80F0C" w:rsidRDefault="00E03B54" w:rsidP="00E03B54">
            <w:pPr>
              <w:jc w:val="center"/>
              <w:rPr>
                <w:rFonts w:cs="Arial"/>
                <w:sz w:val="24"/>
                <w:szCs w:val="24"/>
              </w:rPr>
            </w:pPr>
            <w:r w:rsidRPr="00E80F0C">
              <w:rPr>
                <w:rFonts w:cs="Arial"/>
                <w:sz w:val="24"/>
                <w:szCs w:val="24"/>
              </w:rPr>
              <w:t>51</w:t>
            </w:r>
          </w:p>
        </w:tc>
        <w:tc>
          <w:tcPr>
            <w:tcW w:w="1300" w:type="dxa"/>
          </w:tcPr>
          <w:p w:rsidR="00E03B54" w:rsidRPr="00E80F0C" w:rsidRDefault="00E03B54" w:rsidP="00E03B54">
            <w:pPr>
              <w:jc w:val="center"/>
              <w:rPr>
                <w:rFonts w:cs="Arial"/>
                <w:sz w:val="24"/>
                <w:szCs w:val="24"/>
              </w:rPr>
            </w:pPr>
            <w:r w:rsidRPr="00E80F0C">
              <w:rPr>
                <w:rFonts w:cs="Arial"/>
                <w:sz w:val="24"/>
                <w:szCs w:val="24"/>
              </w:rPr>
              <w:t>40</w:t>
            </w:r>
          </w:p>
        </w:tc>
        <w:tc>
          <w:tcPr>
            <w:tcW w:w="1134" w:type="dxa"/>
          </w:tcPr>
          <w:p w:rsidR="00E03B54" w:rsidRPr="00E80F0C" w:rsidRDefault="00E03B54" w:rsidP="00E03B54">
            <w:pPr>
              <w:jc w:val="center"/>
              <w:rPr>
                <w:rFonts w:cs="Arial"/>
                <w:sz w:val="24"/>
                <w:szCs w:val="24"/>
              </w:rPr>
            </w:pPr>
            <w:r w:rsidRPr="00E80F0C">
              <w:rPr>
                <w:rFonts w:cs="Arial"/>
                <w:sz w:val="24"/>
                <w:szCs w:val="24"/>
              </w:rPr>
              <w:t>73</w:t>
            </w:r>
          </w:p>
        </w:tc>
        <w:tc>
          <w:tcPr>
            <w:tcW w:w="1559" w:type="dxa"/>
          </w:tcPr>
          <w:p w:rsidR="00E03B54" w:rsidRPr="00E80F0C" w:rsidRDefault="00E03B54" w:rsidP="00E03B54">
            <w:pPr>
              <w:jc w:val="center"/>
              <w:rPr>
                <w:rFonts w:cs="Arial"/>
                <w:sz w:val="24"/>
                <w:szCs w:val="24"/>
              </w:rPr>
            </w:pPr>
            <w:r w:rsidRPr="00E80F0C">
              <w:rPr>
                <w:rFonts w:cs="Arial"/>
                <w:sz w:val="24"/>
                <w:szCs w:val="24"/>
              </w:rPr>
              <w:t>18</w:t>
            </w:r>
          </w:p>
        </w:tc>
      </w:tr>
      <w:tr w:rsidR="00E03B54" w:rsidRPr="00E80F0C" w:rsidTr="00E03B54">
        <w:tc>
          <w:tcPr>
            <w:tcW w:w="1848" w:type="dxa"/>
          </w:tcPr>
          <w:p w:rsidR="00E03B54" w:rsidRPr="00E80F0C" w:rsidRDefault="00E03B54" w:rsidP="00E03B54">
            <w:pPr>
              <w:jc w:val="both"/>
              <w:rPr>
                <w:rFonts w:cs="Arial"/>
                <w:sz w:val="24"/>
                <w:szCs w:val="24"/>
              </w:rPr>
            </w:pPr>
            <w:r w:rsidRPr="00E80F0C">
              <w:rPr>
                <w:rFonts w:cs="Arial"/>
                <w:sz w:val="24"/>
                <w:szCs w:val="24"/>
              </w:rPr>
              <w:t>Female</w:t>
            </w:r>
          </w:p>
        </w:tc>
        <w:tc>
          <w:tcPr>
            <w:tcW w:w="1848" w:type="dxa"/>
          </w:tcPr>
          <w:p w:rsidR="00E03B54" w:rsidRPr="00E80F0C" w:rsidRDefault="00E03B54" w:rsidP="00E03B54">
            <w:pPr>
              <w:jc w:val="center"/>
              <w:rPr>
                <w:rFonts w:cs="Arial"/>
                <w:sz w:val="24"/>
                <w:szCs w:val="24"/>
              </w:rPr>
            </w:pPr>
            <w:r w:rsidRPr="00E80F0C">
              <w:rPr>
                <w:rFonts w:cs="Arial"/>
                <w:sz w:val="24"/>
                <w:szCs w:val="24"/>
              </w:rPr>
              <w:t>105</w:t>
            </w:r>
          </w:p>
        </w:tc>
        <w:tc>
          <w:tcPr>
            <w:tcW w:w="924" w:type="dxa"/>
          </w:tcPr>
          <w:p w:rsidR="00E03B54" w:rsidRPr="00E80F0C" w:rsidRDefault="00E03B54" w:rsidP="00E03B54">
            <w:pPr>
              <w:jc w:val="center"/>
              <w:rPr>
                <w:rFonts w:cs="Arial"/>
                <w:sz w:val="24"/>
                <w:szCs w:val="24"/>
              </w:rPr>
            </w:pPr>
            <w:r w:rsidRPr="00E80F0C">
              <w:rPr>
                <w:rFonts w:cs="Arial"/>
                <w:sz w:val="24"/>
                <w:szCs w:val="24"/>
              </w:rPr>
              <w:t>50</w:t>
            </w:r>
          </w:p>
        </w:tc>
        <w:tc>
          <w:tcPr>
            <w:tcW w:w="1300" w:type="dxa"/>
          </w:tcPr>
          <w:p w:rsidR="00E03B54" w:rsidRPr="00E80F0C" w:rsidRDefault="00E03B54" w:rsidP="00E03B54">
            <w:pPr>
              <w:jc w:val="center"/>
              <w:rPr>
                <w:rFonts w:cs="Arial"/>
                <w:sz w:val="24"/>
                <w:szCs w:val="24"/>
              </w:rPr>
            </w:pPr>
            <w:r w:rsidRPr="00E80F0C">
              <w:rPr>
                <w:rFonts w:cs="Arial"/>
                <w:sz w:val="24"/>
                <w:szCs w:val="24"/>
              </w:rPr>
              <w:t>55</w:t>
            </w:r>
          </w:p>
        </w:tc>
        <w:tc>
          <w:tcPr>
            <w:tcW w:w="1134" w:type="dxa"/>
          </w:tcPr>
          <w:p w:rsidR="00E03B54" w:rsidRPr="00E80F0C" w:rsidRDefault="00E03B54" w:rsidP="00E03B54">
            <w:pPr>
              <w:jc w:val="center"/>
              <w:rPr>
                <w:rFonts w:cs="Arial"/>
                <w:sz w:val="24"/>
                <w:szCs w:val="24"/>
              </w:rPr>
            </w:pPr>
            <w:r w:rsidRPr="00E80F0C">
              <w:rPr>
                <w:rFonts w:cs="Arial"/>
                <w:sz w:val="24"/>
                <w:szCs w:val="24"/>
              </w:rPr>
              <w:t>83</w:t>
            </w:r>
          </w:p>
        </w:tc>
        <w:tc>
          <w:tcPr>
            <w:tcW w:w="1559" w:type="dxa"/>
          </w:tcPr>
          <w:p w:rsidR="00E03B54" w:rsidRPr="00E80F0C" w:rsidRDefault="00E03B54" w:rsidP="00E03B54">
            <w:pPr>
              <w:jc w:val="center"/>
              <w:rPr>
                <w:rFonts w:cs="Arial"/>
                <w:sz w:val="24"/>
                <w:szCs w:val="24"/>
              </w:rPr>
            </w:pPr>
            <w:r w:rsidRPr="00E80F0C">
              <w:rPr>
                <w:rFonts w:cs="Arial"/>
                <w:sz w:val="24"/>
                <w:szCs w:val="24"/>
              </w:rPr>
              <w:t>22</w:t>
            </w:r>
          </w:p>
        </w:tc>
      </w:tr>
    </w:tbl>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3.3</w:t>
      </w:r>
      <w:r w:rsidRPr="00E80F0C">
        <w:rPr>
          <w:rFonts w:ascii="Arial" w:hAnsi="Arial" w:cs="Arial"/>
          <w:sz w:val="24"/>
          <w:szCs w:val="24"/>
        </w:rPr>
        <w:tab/>
      </w:r>
      <w:r>
        <w:rPr>
          <w:rFonts w:ascii="Arial" w:hAnsi="Arial" w:cs="Arial"/>
          <w:sz w:val="24"/>
          <w:szCs w:val="24"/>
        </w:rPr>
        <w:t>Number of Teachers per Institution</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Considering that EU L</w:t>
      </w:r>
      <w:r w:rsidRPr="00E80F0C">
        <w:rPr>
          <w:rFonts w:ascii="Arial" w:hAnsi="Arial" w:cs="Arial"/>
          <w:sz w:val="24"/>
          <w:szCs w:val="24"/>
        </w:rPr>
        <w:t>aw is a core subject, and that LLB/QLD courses have a greater number of students than CPE courses (see below 5.1), one would naturally expect larger teaching teams on LLB/QLD courses. On CPE courses, and with the exception of two providers with larger than average teaching teams</w:t>
      </w:r>
      <w:r w:rsidRPr="00E80F0C">
        <w:rPr>
          <w:rStyle w:val="FootnoteReference"/>
          <w:rFonts w:ascii="Arial" w:hAnsi="Arial" w:cs="Arial"/>
          <w:sz w:val="24"/>
          <w:szCs w:val="24"/>
        </w:rPr>
        <w:footnoteReference w:id="64"/>
      </w:r>
      <w:r>
        <w:rPr>
          <w:rFonts w:ascii="Arial" w:hAnsi="Arial" w:cs="Arial"/>
          <w:sz w:val="24"/>
          <w:szCs w:val="24"/>
        </w:rPr>
        <w:t>, EU L</w:t>
      </w:r>
      <w:r w:rsidRPr="00E80F0C">
        <w:rPr>
          <w:rFonts w:ascii="Arial" w:hAnsi="Arial" w:cs="Arial"/>
          <w:sz w:val="24"/>
          <w:szCs w:val="24"/>
        </w:rPr>
        <w:t>aw is generally taught by teams of 2 to 3 members. On LLB/QLD courses, EU teams have between 2 and 6 members</w:t>
      </w:r>
      <w:r w:rsidRPr="00E80F0C">
        <w:rPr>
          <w:rStyle w:val="FootnoteReference"/>
          <w:rFonts w:ascii="Arial" w:hAnsi="Arial" w:cs="Arial"/>
          <w:sz w:val="24"/>
          <w:szCs w:val="24"/>
        </w:rPr>
        <w:footnoteReference w:id="65"/>
      </w:r>
      <w:r w:rsidRPr="00E80F0C">
        <w:rPr>
          <w:rFonts w:ascii="Arial" w:hAnsi="Arial" w:cs="Arial"/>
          <w:sz w:val="24"/>
          <w:szCs w:val="24"/>
        </w:rPr>
        <w:t>.</w:t>
      </w:r>
      <w:r w:rsidR="00565269">
        <w:rPr>
          <w:rFonts w:ascii="Arial" w:hAnsi="Arial" w:cs="Arial"/>
          <w:sz w:val="24"/>
          <w:szCs w:val="24"/>
        </w:rPr>
        <w:t xml:space="preserve"> T</w:t>
      </w:r>
      <w:r w:rsidRPr="00E80F0C">
        <w:rPr>
          <w:rFonts w:ascii="Arial" w:hAnsi="Arial" w:cs="Arial"/>
          <w:sz w:val="24"/>
          <w:szCs w:val="24"/>
        </w:rPr>
        <w:t>he average number of EU team members is higher in old universities (4.2) than in post-92 institutions (2.7)</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3.4</w:t>
      </w:r>
      <w:r>
        <w:rPr>
          <w:rFonts w:ascii="Arial" w:hAnsi="Arial" w:cs="Arial"/>
          <w:sz w:val="24"/>
          <w:szCs w:val="24"/>
        </w:rPr>
        <w:tab/>
      </w:r>
      <w:r w:rsidR="00565269">
        <w:rPr>
          <w:rFonts w:ascii="Arial" w:hAnsi="Arial" w:cs="Arial"/>
          <w:sz w:val="24"/>
          <w:szCs w:val="24"/>
        </w:rPr>
        <w:t>Summary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The following </w:t>
      </w:r>
      <w:r w:rsidR="00565269">
        <w:rPr>
          <w:rFonts w:ascii="Arial" w:hAnsi="Arial" w:cs="Arial"/>
          <w:sz w:val="24"/>
          <w:szCs w:val="24"/>
        </w:rPr>
        <w:t>points concerning the gender and construction of teaching teams emerge</w:t>
      </w:r>
      <w:r>
        <w:rPr>
          <w:rFonts w:ascii="Arial" w:hAnsi="Arial" w:cs="Arial"/>
          <w:sz w:val="24"/>
          <w:szCs w:val="24"/>
        </w:rPr>
        <w:t xml:space="preserve"> from this research.</w:t>
      </w:r>
    </w:p>
    <w:p w:rsidR="00E03B54" w:rsidRDefault="00565269" w:rsidP="00E03B54">
      <w:pPr>
        <w:pStyle w:val="ListParagraph"/>
        <w:numPr>
          <w:ilvl w:val="0"/>
          <w:numId w:val="19"/>
        </w:numPr>
        <w:spacing w:line="360" w:lineRule="auto"/>
        <w:jc w:val="both"/>
        <w:rPr>
          <w:rFonts w:ascii="Arial" w:hAnsi="Arial" w:cs="Arial"/>
          <w:sz w:val="24"/>
          <w:szCs w:val="24"/>
        </w:rPr>
      </w:pPr>
      <w:r>
        <w:rPr>
          <w:rFonts w:ascii="Arial" w:hAnsi="Arial" w:cs="Arial"/>
          <w:sz w:val="24"/>
          <w:szCs w:val="24"/>
        </w:rPr>
        <w:t>EU law is marginally more likely to be taught by women than men with 54% of EU lecturers being women.</w:t>
      </w:r>
      <w:r w:rsidRPr="002768C5">
        <w:rPr>
          <w:rFonts w:ascii="Arial" w:hAnsi="Arial" w:cs="Arial"/>
          <w:sz w:val="24"/>
          <w:szCs w:val="24"/>
        </w:rPr>
        <w:t xml:space="preserve"> </w:t>
      </w:r>
      <w:r>
        <w:rPr>
          <w:rFonts w:ascii="Arial" w:hAnsi="Arial" w:cs="Arial"/>
          <w:sz w:val="24"/>
          <w:szCs w:val="24"/>
        </w:rPr>
        <w:t>The skew in favour of women is more pronounced in</w:t>
      </w:r>
      <w:r w:rsidRPr="002768C5">
        <w:rPr>
          <w:rFonts w:ascii="Arial" w:hAnsi="Arial" w:cs="Arial"/>
          <w:sz w:val="24"/>
          <w:szCs w:val="24"/>
        </w:rPr>
        <w:t xml:space="preserve"> </w:t>
      </w:r>
      <w:r w:rsidR="00E03B54" w:rsidRPr="002768C5">
        <w:rPr>
          <w:rFonts w:ascii="Arial" w:hAnsi="Arial" w:cs="Arial"/>
          <w:sz w:val="24"/>
          <w:szCs w:val="24"/>
        </w:rPr>
        <w:t>old unive</w:t>
      </w:r>
      <w:r w:rsidR="00E03B54">
        <w:rPr>
          <w:rFonts w:ascii="Arial" w:hAnsi="Arial" w:cs="Arial"/>
          <w:sz w:val="24"/>
          <w:szCs w:val="24"/>
        </w:rPr>
        <w:t>r</w:t>
      </w:r>
      <w:r w:rsidR="00E03B54" w:rsidRPr="002768C5">
        <w:rPr>
          <w:rFonts w:ascii="Arial" w:hAnsi="Arial" w:cs="Arial"/>
          <w:sz w:val="24"/>
          <w:szCs w:val="24"/>
        </w:rPr>
        <w:t xml:space="preserve">sities than in new universities. </w:t>
      </w:r>
      <w:r w:rsidR="00E03B54">
        <w:rPr>
          <w:rFonts w:ascii="Arial" w:hAnsi="Arial" w:cs="Arial"/>
          <w:sz w:val="24"/>
          <w:szCs w:val="24"/>
        </w:rPr>
        <w:t xml:space="preserve">It can be tentatively suggested that this is a more positive picture for women teaching EU Law then </w:t>
      </w:r>
      <w:r>
        <w:rPr>
          <w:rFonts w:ascii="Arial" w:hAnsi="Arial" w:cs="Arial"/>
          <w:sz w:val="24"/>
          <w:szCs w:val="24"/>
        </w:rPr>
        <w:t>for</w:t>
      </w:r>
      <w:r w:rsidR="00E03B54">
        <w:rPr>
          <w:rFonts w:ascii="Arial" w:hAnsi="Arial" w:cs="Arial"/>
          <w:sz w:val="24"/>
          <w:szCs w:val="24"/>
        </w:rPr>
        <w:t xml:space="preserve"> women in </w:t>
      </w:r>
      <w:r>
        <w:rPr>
          <w:rFonts w:ascii="Arial" w:hAnsi="Arial" w:cs="Arial"/>
          <w:sz w:val="24"/>
          <w:szCs w:val="24"/>
        </w:rPr>
        <w:t xml:space="preserve">law schools </w:t>
      </w:r>
      <w:r w:rsidR="00E03B54">
        <w:rPr>
          <w:rFonts w:ascii="Arial" w:hAnsi="Arial" w:cs="Arial"/>
          <w:sz w:val="24"/>
          <w:szCs w:val="24"/>
        </w:rPr>
        <w:t>general</w:t>
      </w:r>
      <w:r>
        <w:rPr>
          <w:rFonts w:ascii="Arial" w:hAnsi="Arial" w:cs="Arial"/>
          <w:sz w:val="24"/>
          <w:szCs w:val="24"/>
        </w:rPr>
        <w:t>ly</w:t>
      </w:r>
      <w:r w:rsidR="00E03B54">
        <w:rPr>
          <w:rFonts w:ascii="Arial" w:hAnsi="Arial" w:cs="Arial"/>
          <w:sz w:val="24"/>
          <w:szCs w:val="24"/>
        </w:rPr>
        <w:t>.</w:t>
      </w:r>
    </w:p>
    <w:p w:rsidR="00E03B54" w:rsidRPr="002768C5" w:rsidRDefault="00E03B54" w:rsidP="00E03B54">
      <w:pPr>
        <w:pStyle w:val="ListParagraph"/>
        <w:numPr>
          <w:ilvl w:val="0"/>
          <w:numId w:val="19"/>
        </w:numPr>
        <w:spacing w:line="360" w:lineRule="auto"/>
        <w:jc w:val="both"/>
        <w:rPr>
          <w:rFonts w:ascii="Arial" w:hAnsi="Arial" w:cs="Arial"/>
          <w:sz w:val="24"/>
          <w:szCs w:val="24"/>
        </w:rPr>
      </w:pPr>
      <w:r>
        <w:rPr>
          <w:rFonts w:ascii="Arial" w:hAnsi="Arial" w:cs="Arial"/>
          <w:sz w:val="24"/>
          <w:szCs w:val="24"/>
        </w:rPr>
        <w:t>EU Law is taught by teams of academics rather than sole lecturers.</w:t>
      </w:r>
      <w:r w:rsidR="00565269">
        <w:rPr>
          <w:rFonts w:ascii="Arial" w:hAnsi="Arial" w:cs="Arial"/>
          <w:sz w:val="24"/>
          <w:szCs w:val="24"/>
        </w:rPr>
        <w:t xml:space="preserve"> This is not surprising given its status as a core subject.</w:t>
      </w:r>
    </w:p>
    <w:p w:rsidR="00E03B54" w:rsidRPr="002768C5" w:rsidRDefault="00E03B54" w:rsidP="00E03B54">
      <w:pPr>
        <w:spacing w:line="360" w:lineRule="auto"/>
        <w:jc w:val="both"/>
        <w:rPr>
          <w:rFonts w:ascii="Arial" w:hAnsi="Arial" w:cs="Arial"/>
          <w:b/>
          <w:sz w:val="28"/>
          <w:szCs w:val="28"/>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Pr="00E80F0C" w:rsidRDefault="00E03B54" w:rsidP="00E03B54">
      <w:pPr>
        <w:spacing w:line="360" w:lineRule="auto"/>
        <w:jc w:val="both"/>
        <w:rPr>
          <w:rFonts w:ascii="Arial" w:hAnsi="Arial" w:cs="Arial"/>
          <w:b/>
          <w:sz w:val="28"/>
          <w:szCs w:val="28"/>
        </w:rPr>
      </w:pPr>
      <w:r w:rsidRPr="00E80F0C">
        <w:rPr>
          <w:rFonts w:ascii="Arial" w:hAnsi="Arial" w:cs="Arial"/>
          <w:b/>
          <w:sz w:val="28"/>
          <w:szCs w:val="28"/>
        </w:rPr>
        <w:lastRenderedPageBreak/>
        <w:t xml:space="preserve">4. </w:t>
      </w:r>
      <w:r w:rsidRPr="00E80F0C">
        <w:rPr>
          <w:rFonts w:ascii="Arial" w:hAnsi="Arial" w:cs="Arial"/>
          <w:b/>
          <w:sz w:val="28"/>
          <w:szCs w:val="28"/>
        </w:rPr>
        <w:tab/>
        <w:t>Contents of European Union Law Courses</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4.1 </w:t>
      </w:r>
      <w:r w:rsidRPr="00E80F0C">
        <w:rPr>
          <w:rFonts w:ascii="Arial" w:hAnsi="Arial" w:cs="Arial"/>
          <w:sz w:val="24"/>
          <w:szCs w:val="24"/>
        </w:rPr>
        <w:tab/>
        <w:t>EU L</w:t>
      </w:r>
      <w:r>
        <w:rPr>
          <w:rFonts w:ascii="Arial" w:hAnsi="Arial" w:cs="Arial"/>
          <w:sz w:val="24"/>
          <w:szCs w:val="24"/>
        </w:rPr>
        <w:t>aw as a Compulsory S</w:t>
      </w:r>
      <w:r w:rsidRPr="00E80F0C">
        <w:rPr>
          <w:rFonts w:ascii="Arial" w:hAnsi="Arial" w:cs="Arial"/>
          <w:sz w:val="24"/>
          <w:szCs w:val="24"/>
        </w:rPr>
        <w:t>ubject</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The teaching </w:t>
      </w:r>
      <w:r>
        <w:rPr>
          <w:rFonts w:ascii="Arial" w:hAnsi="Arial" w:cs="Arial"/>
          <w:sz w:val="24"/>
          <w:szCs w:val="24"/>
        </w:rPr>
        <w:t xml:space="preserve">of </w:t>
      </w:r>
      <w:r w:rsidRPr="00E80F0C">
        <w:rPr>
          <w:rFonts w:ascii="Arial" w:hAnsi="Arial" w:cs="Arial"/>
          <w:sz w:val="24"/>
          <w:szCs w:val="24"/>
        </w:rPr>
        <w:t>EU Law has become an integral part of all qualifying law and CPE degrees since the mid-1990s and is generally delivered in compulsory courses/modules which focus on core aspects of EU Law (either institutional and/or substantive ones), and in optional courses/modules which tend to focus on specific aspects of EU Law (such as the European single market, European competition law, commercial law, etc</w:t>
      </w:r>
      <w:r>
        <w:rPr>
          <w:rFonts w:ascii="Arial" w:hAnsi="Arial" w:cs="Arial"/>
          <w:sz w:val="24"/>
          <w:szCs w:val="24"/>
        </w:rPr>
        <w:t>.</w:t>
      </w:r>
      <w:r w:rsidRPr="00E80F0C">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Owing to the nature of CPE programmes, EU Law is primarily offered as a compulsory subject</w:t>
      </w:r>
      <w:r>
        <w:rPr>
          <w:rFonts w:ascii="Arial" w:hAnsi="Arial" w:cs="Arial"/>
          <w:sz w:val="24"/>
          <w:szCs w:val="24"/>
        </w:rPr>
        <w:t xml:space="preserve"> as demonstrated in Table 4.1</w:t>
      </w:r>
      <w:r w:rsidRPr="00E80F0C">
        <w:rPr>
          <w:rFonts w:ascii="Arial" w:hAnsi="Arial" w:cs="Arial"/>
          <w:sz w:val="24"/>
          <w:szCs w:val="24"/>
        </w:rPr>
        <w:t>.</w:t>
      </w: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t>Table 4.1 - CPE Compulsory Modules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03"/>
      </w:tblGrid>
      <w:tr w:rsidR="00E03B54" w:rsidRPr="00E80F0C" w:rsidTr="00E03B54">
        <w:tc>
          <w:tcPr>
            <w:tcW w:w="4077"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5103"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Number of Universities</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EU Law</w:t>
            </w:r>
          </w:p>
        </w:tc>
        <w:tc>
          <w:tcPr>
            <w:tcW w:w="5103" w:type="dxa"/>
          </w:tcPr>
          <w:p w:rsidR="00E03B54" w:rsidRPr="00E80F0C" w:rsidRDefault="00E03B54" w:rsidP="00E03B54">
            <w:pPr>
              <w:spacing w:after="0" w:line="240" w:lineRule="auto"/>
              <w:jc w:val="center"/>
              <w:rPr>
                <w:rFonts w:cs="Arial"/>
                <w:sz w:val="24"/>
                <w:szCs w:val="24"/>
              </w:rPr>
            </w:pPr>
            <w:r>
              <w:rPr>
                <w:rFonts w:cs="Arial"/>
                <w:sz w:val="24"/>
                <w:szCs w:val="24"/>
              </w:rPr>
              <w:t>10</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EC Law</w:t>
            </w:r>
          </w:p>
        </w:tc>
        <w:tc>
          <w:tcPr>
            <w:tcW w:w="5103"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Foundations of EU Law</w:t>
            </w:r>
          </w:p>
        </w:tc>
        <w:tc>
          <w:tcPr>
            <w:tcW w:w="5103"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Law and Policy of the EU</w:t>
            </w:r>
          </w:p>
        </w:tc>
        <w:tc>
          <w:tcPr>
            <w:tcW w:w="5103"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Pr="00E80F0C" w:rsidRDefault="00E03B54" w:rsidP="00E03B54">
      <w:pPr>
        <w:spacing w:line="360" w:lineRule="auto"/>
        <w:jc w:val="both"/>
        <w:rPr>
          <w:rFonts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On LLB/QLD programmes, </w:t>
      </w:r>
      <w:r>
        <w:rPr>
          <w:rFonts w:ascii="Arial" w:hAnsi="Arial" w:cs="Arial"/>
          <w:sz w:val="24"/>
          <w:szCs w:val="24"/>
        </w:rPr>
        <w:t xml:space="preserve">as can be observed in Table 4.2, </w:t>
      </w:r>
      <w:r w:rsidRPr="00E80F0C">
        <w:rPr>
          <w:rFonts w:ascii="Arial" w:hAnsi="Arial" w:cs="Arial"/>
          <w:sz w:val="24"/>
          <w:szCs w:val="24"/>
        </w:rPr>
        <w:t>the course title varies from EU Law and EC Law</w:t>
      </w:r>
      <w:r w:rsidRPr="00E80F0C">
        <w:rPr>
          <w:rStyle w:val="FootnoteReference"/>
          <w:rFonts w:ascii="Arial" w:hAnsi="Arial" w:cs="Arial"/>
          <w:sz w:val="24"/>
          <w:szCs w:val="24"/>
        </w:rPr>
        <w:footnoteReference w:id="66"/>
      </w:r>
      <w:r w:rsidRPr="00E80F0C">
        <w:rPr>
          <w:rFonts w:ascii="Arial" w:hAnsi="Arial" w:cs="Arial"/>
          <w:sz w:val="24"/>
          <w:szCs w:val="24"/>
        </w:rPr>
        <w:t xml:space="preserve"> (the vast majority of universities have chosen such a title) to the Law of European Integration, Fundamental </w:t>
      </w:r>
      <w:r>
        <w:rPr>
          <w:rFonts w:ascii="Arial" w:hAnsi="Arial" w:cs="Arial"/>
          <w:sz w:val="24"/>
          <w:szCs w:val="24"/>
        </w:rPr>
        <w:t>Principles and Procedure of EU L</w:t>
      </w:r>
      <w:r w:rsidRPr="00E80F0C">
        <w:rPr>
          <w:rFonts w:ascii="Arial" w:hAnsi="Arial" w:cs="Arial"/>
          <w:sz w:val="24"/>
          <w:szCs w:val="24"/>
        </w:rPr>
        <w:t>aw and (Legal) Foundation</w:t>
      </w:r>
      <w:r>
        <w:rPr>
          <w:rFonts w:ascii="Arial" w:hAnsi="Arial" w:cs="Arial"/>
          <w:sz w:val="24"/>
          <w:szCs w:val="24"/>
        </w:rPr>
        <w:t>(s)</w:t>
      </w:r>
      <w:r w:rsidRPr="00E80F0C">
        <w:rPr>
          <w:rFonts w:ascii="Arial" w:hAnsi="Arial" w:cs="Arial"/>
          <w:sz w:val="24"/>
          <w:szCs w:val="24"/>
        </w:rPr>
        <w:t xml:space="preserve"> of E</w:t>
      </w:r>
      <w:r>
        <w:rPr>
          <w:rFonts w:ascii="Arial" w:hAnsi="Arial" w:cs="Arial"/>
          <w:sz w:val="24"/>
          <w:szCs w:val="24"/>
        </w:rPr>
        <w:t>uropean L</w:t>
      </w:r>
      <w:r w:rsidRPr="00E80F0C">
        <w:rPr>
          <w:rFonts w:ascii="Arial" w:hAnsi="Arial" w:cs="Arial"/>
          <w:sz w:val="24"/>
          <w:szCs w:val="24"/>
        </w:rPr>
        <w:t xml:space="preserve">aw. The </w:t>
      </w:r>
      <w:r>
        <w:rPr>
          <w:rFonts w:ascii="Arial" w:hAnsi="Arial" w:cs="Arial"/>
          <w:sz w:val="24"/>
          <w:szCs w:val="24"/>
        </w:rPr>
        <w:t xml:space="preserve">significance of the </w:t>
      </w:r>
      <w:r w:rsidRPr="00E80F0C">
        <w:rPr>
          <w:rFonts w:ascii="Arial" w:hAnsi="Arial" w:cs="Arial"/>
          <w:sz w:val="24"/>
          <w:szCs w:val="24"/>
        </w:rPr>
        <w:t xml:space="preserve">title </w:t>
      </w:r>
      <w:r>
        <w:rPr>
          <w:rFonts w:ascii="Arial" w:hAnsi="Arial" w:cs="Arial"/>
          <w:sz w:val="24"/>
          <w:szCs w:val="24"/>
        </w:rPr>
        <w:t xml:space="preserve">appears to indicate the content of the course or module with either only institutional, constitutional or </w:t>
      </w:r>
      <w:r w:rsidRPr="00E80F0C">
        <w:rPr>
          <w:rFonts w:ascii="Arial" w:hAnsi="Arial" w:cs="Arial"/>
          <w:sz w:val="24"/>
          <w:szCs w:val="24"/>
        </w:rPr>
        <w:t xml:space="preserve">public aspects </w:t>
      </w:r>
      <w:r>
        <w:rPr>
          <w:rFonts w:ascii="Arial" w:hAnsi="Arial" w:cs="Arial"/>
          <w:sz w:val="24"/>
          <w:szCs w:val="24"/>
        </w:rPr>
        <w:t xml:space="preserve">being taught </w:t>
      </w:r>
      <w:r w:rsidRPr="00E80F0C">
        <w:rPr>
          <w:rFonts w:ascii="Arial" w:hAnsi="Arial" w:cs="Arial"/>
          <w:sz w:val="24"/>
          <w:szCs w:val="24"/>
        </w:rPr>
        <w:t>or both public and s</w:t>
      </w:r>
      <w:r>
        <w:rPr>
          <w:rFonts w:ascii="Arial" w:hAnsi="Arial" w:cs="Arial"/>
          <w:sz w:val="24"/>
          <w:szCs w:val="24"/>
        </w:rPr>
        <w:t>ubstantive aspects of European Law on the syllabus</w:t>
      </w:r>
      <w:r w:rsidRPr="00E80F0C">
        <w:rPr>
          <w:rFonts w:ascii="Arial" w:hAnsi="Arial" w:cs="Arial"/>
          <w:sz w:val="24"/>
          <w:szCs w:val="24"/>
        </w:rPr>
        <w:t xml:space="preserve">. </w:t>
      </w:r>
    </w:p>
    <w:p w:rsidR="00E03B54" w:rsidRPr="00E80F0C" w:rsidRDefault="00E03B54" w:rsidP="00E03B54">
      <w:pPr>
        <w:spacing w:line="360" w:lineRule="auto"/>
        <w:jc w:val="center"/>
        <w:rPr>
          <w:rFonts w:ascii="Arial" w:hAnsi="Arial" w:cs="Arial"/>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lastRenderedPageBreak/>
        <w:t>Table 4.2 – LLB/QLD Compulsory Modules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5141"/>
      </w:tblGrid>
      <w:tr w:rsidR="00E03B54" w:rsidRPr="00E80F0C" w:rsidTr="00E03B54">
        <w:tc>
          <w:tcPr>
            <w:tcW w:w="0" w:type="auto"/>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5141" w:type="dxa"/>
          </w:tcPr>
          <w:p w:rsidR="00E03B54" w:rsidRPr="00E80F0C" w:rsidRDefault="00293881" w:rsidP="00E03B54">
            <w:pPr>
              <w:spacing w:after="0" w:line="240" w:lineRule="auto"/>
              <w:jc w:val="center"/>
              <w:rPr>
                <w:rFonts w:cs="Arial"/>
                <w:b/>
                <w:sz w:val="24"/>
                <w:szCs w:val="24"/>
              </w:rPr>
            </w:pPr>
            <w:r>
              <w:rPr>
                <w:rFonts w:cs="Arial"/>
                <w:b/>
                <w:sz w:val="24"/>
                <w:szCs w:val="24"/>
              </w:rPr>
              <w:t>Number of U</w:t>
            </w:r>
            <w:r w:rsidR="00E03B54" w:rsidRPr="00E80F0C">
              <w:rPr>
                <w:rFonts w:cs="Arial"/>
                <w:b/>
                <w:sz w:val="24"/>
                <w:szCs w:val="24"/>
              </w:rPr>
              <w:t>niversities</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Pr>
                <w:rFonts w:cs="Arial"/>
                <w:sz w:val="24"/>
                <w:szCs w:val="24"/>
              </w:rPr>
              <w:t>EU L</w:t>
            </w:r>
            <w:r w:rsidRPr="00E80F0C">
              <w:rPr>
                <w:rFonts w:cs="Arial"/>
                <w:sz w:val="24"/>
                <w:szCs w:val="24"/>
              </w:rPr>
              <w:t>aw and Institutions</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Law of European Integration</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EC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GDL EU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Lib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12</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Substantive Law of the EU</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European Constitution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European Community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Law of the Internal Market</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Understanding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Legal Foundation of the European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 Law 1</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 Law 2</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Law of the EU</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5</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 Legal Principles and Institutions</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Foundations of EU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 Substantive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0" w:type="auto"/>
          </w:tcPr>
          <w:p w:rsidR="00E03B54" w:rsidRPr="00E80F0C" w:rsidRDefault="00E03B54" w:rsidP="00E03B54">
            <w:pPr>
              <w:spacing w:after="0" w:line="240" w:lineRule="auto"/>
              <w:jc w:val="both"/>
              <w:rPr>
                <w:rFonts w:cs="Arial"/>
                <w:sz w:val="24"/>
                <w:szCs w:val="24"/>
              </w:rPr>
            </w:pPr>
            <w:r w:rsidRPr="00E80F0C">
              <w:rPr>
                <w:rFonts w:cs="Arial"/>
                <w:sz w:val="24"/>
                <w:szCs w:val="24"/>
              </w:rPr>
              <w:t>European Community Law</w:t>
            </w:r>
          </w:p>
        </w:tc>
        <w:tc>
          <w:tcPr>
            <w:tcW w:w="5141"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Pr="00E80F0C" w:rsidRDefault="00E03B54" w:rsidP="00E03B54">
      <w:pPr>
        <w:spacing w:line="360" w:lineRule="auto"/>
        <w:jc w:val="both"/>
        <w:rPr>
          <w:rFonts w:ascii="Arial" w:hAnsi="Arial" w:cs="Arial"/>
          <w:b/>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4.2 </w:t>
      </w:r>
      <w:r w:rsidRPr="00E80F0C">
        <w:rPr>
          <w:rFonts w:ascii="Arial" w:hAnsi="Arial" w:cs="Arial"/>
          <w:sz w:val="24"/>
          <w:szCs w:val="24"/>
        </w:rPr>
        <w:tab/>
        <w:t>EU L</w:t>
      </w:r>
      <w:r>
        <w:rPr>
          <w:rFonts w:ascii="Arial" w:hAnsi="Arial" w:cs="Arial"/>
          <w:sz w:val="24"/>
          <w:szCs w:val="24"/>
        </w:rPr>
        <w:t>aw as an Optional S</w:t>
      </w:r>
      <w:r w:rsidRPr="00E80F0C">
        <w:rPr>
          <w:rFonts w:ascii="Arial" w:hAnsi="Arial" w:cs="Arial"/>
          <w:sz w:val="24"/>
          <w:szCs w:val="24"/>
        </w:rPr>
        <w:t>ubject</w:t>
      </w:r>
    </w:p>
    <w:p w:rsidR="00E03B54" w:rsidRPr="00E80F0C" w:rsidRDefault="00E03B54" w:rsidP="00E03B54">
      <w:pPr>
        <w:spacing w:line="360" w:lineRule="auto"/>
        <w:jc w:val="both"/>
        <w:rPr>
          <w:rFonts w:ascii="Arial" w:hAnsi="Arial" w:cs="Arial"/>
          <w:sz w:val="24"/>
          <w:szCs w:val="24"/>
        </w:rPr>
      </w:pPr>
    </w:p>
    <w:p w:rsidR="00E6534A" w:rsidRPr="00E80F0C" w:rsidRDefault="00565269" w:rsidP="00E03B54">
      <w:pPr>
        <w:spacing w:line="360" w:lineRule="auto"/>
        <w:jc w:val="both"/>
        <w:rPr>
          <w:rFonts w:ascii="Arial" w:hAnsi="Arial" w:cs="Arial"/>
          <w:sz w:val="24"/>
          <w:szCs w:val="24"/>
        </w:rPr>
      </w:pPr>
      <w:r>
        <w:rPr>
          <w:rFonts w:ascii="Arial" w:hAnsi="Arial" w:cs="Arial"/>
          <w:sz w:val="24"/>
          <w:szCs w:val="24"/>
        </w:rPr>
        <w:t>Since the professional Foundations of Legal Knowledge require only that QLDs/CPEs teach the “key elements and general principles” of EU law, it is possible to deliver additional substantive elements of EU law as optional courses. While most LLB/QLD providers do offer a mix of compulsory and optional courses, very few CPE providers offer optional courses, as Table 4.3 shows. This can largely be explained by the nature and function of the CPE programme as a bridge for non-law graduates to obtain the necessary prescribed academic knowledge to proceed to the vocational stage of legal education and training.</w:t>
      </w:r>
      <w:r w:rsidR="00E03B54" w:rsidRPr="00E80F0C">
        <w:rPr>
          <w:rFonts w:ascii="Arial" w:hAnsi="Arial" w:cs="Arial"/>
          <w:sz w:val="24"/>
          <w:szCs w:val="24"/>
        </w:rPr>
        <w:t xml:space="preserve"> </w:t>
      </w:r>
      <w:r w:rsidR="00E6534A">
        <w:rPr>
          <w:rFonts w:ascii="Arial" w:hAnsi="Arial" w:cs="Arial"/>
          <w:sz w:val="24"/>
          <w:szCs w:val="24"/>
        </w:rPr>
        <w:t>In all three instances specified in Table 4.3 it can be seen that the optional ‘EU element’ was constituted by research and independent study whereby students were permitted (but not required) to write on a topic related to EU law. The dissertation option was compulsory but the choice of studying EU Law was optional whereas the EU Law project was purely optional.</w:t>
      </w:r>
    </w:p>
    <w:p w:rsidR="00E03B54" w:rsidRPr="00E80F0C" w:rsidRDefault="00E03B54" w:rsidP="00E03B54">
      <w:pPr>
        <w:spacing w:line="360" w:lineRule="auto"/>
        <w:jc w:val="center"/>
        <w:rPr>
          <w:rFonts w:ascii="Arial" w:hAnsi="Arial" w:cs="Arial"/>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t>Table 4.3 - CPE Optional Courses/Modules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03"/>
      </w:tblGrid>
      <w:tr w:rsidR="00E03B54" w:rsidRPr="00E80F0C" w:rsidTr="00E03B54">
        <w:tc>
          <w:tcPr>
            <w:tcW w:w="4077"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5103"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Number of Universities</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Project</w:t>
            </w:r>
          </w:p>
        </w:tc>
        <w:tc>
          <w:tcPr>
            <w:tcW w:w="5103"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4077" w:type="dxa"/>
          </w:tcPr>
          <w:p w:rsidR="00E03B54" w:rsidRPr="00E80F0C" w:rsidRDefault="00E03B54" w:rsidP="00E03B54">
            <w:pPr>
              <w:spacing w:after="0" w:line="240" w:lineRule="auto"/>
              <w:jc w:val="both"/>
              <w:rPr>
                <w:rFonts w:cs="Arial"/>
                <w:sz w:val="24"/>
                <w:szCs w:val="24"/>
              </w:rPr>
            </w:pPr>
            <w:r w:rsidRPr="00E80F0C">
              <w:rPr>
                <w:rFonts w:cs="Arial"/>
                <w:sz w:val="24"/>
                <w:szCs w:val="24"/>
              </w:rPr>
              <w:t>Dissertation</w:t>
            </w:r>
          </w:p>
        </w:tc>
        <w:tc>
          <w:tcPr>
            <w:tcW w:w="5103"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bl>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In </w:t>
      </w:r>
      <w:r>
        <w:rPr>
          <w:rFonts w:ascii="Arial" w:hAnsi="Arial" w:cs="Arial"/>
          <w:sz w:val="24"/>
          <w:szCs w:val="24"/>
        </w:rPr>
        <w:t>comparison to CPE providers</w:t>
      </w:r>
      <w:r w:rsidRPr="00E80F0C">
        <w:rPr>
          <w:rFonts w:ascii="Arial" w:hAnsi="Arial" w:cs="Arial"/>
          <w:sz w:val="24"/>
          <w:szCs w:val="24"/>
        </w:rPr>
        <w:t xml:space="preserve">, </w:t>
      </w:r>
      <w:r>
        <w:rPr>
          <w:rFonts w:ascii="Arial" w:hAnsi="Arial" w:cs="Arial"/>
          <w:sz w:val="24"/>
          <w:szCs w:val="24"/>
        </w:rPr>
        <w:t xml:space="preserve">LLB/QLD course providers </w:t>
      </w:r>
      <w:r w:rsidR="00E6534A">
        <w:rPr>
          <w:rFonts w:ascii="Arial" w:hAnsi="Arial" w:cs="Arial"/>
          <w:sz w:val="24"/>
          <w:szCs w:val="24"/>
        </w:rPr>
        <w:t>address</w:t>
      </w:r>
      <w:r>
        <w:rPr>
          <w:rFonts w:ascii="Arial" w:hAnsi="Arial" w:cs="Arial"/>
          <w:sz w:val="24"/>
          <w:szCs w:val="24"/>
        </w:rPr>
        <w:t xml:space="preserve"> </w:t>
      </w:r>
      <w:r w:rsidRPr="00E80F0C">
        <w:rPr>
          <w:rFonts w:ascii="Arial" w:hAnsi="Arial" w:cs="Arial"/>
          <w:sz w:val="24"/>
          <w:szCs w:val="24"/>
        </w:rPr>
        <w:t xml:space="preserve">substantive law in optional courses as the </w:t>
      </w:r>
      <w:r>
        <w:rPr>
          <w:rFonts w:ascii="Arial" w:hAnsi="Arial" w:cs="Arial"/>
          <w:sz w:val="24"/>
          <w:szCs w:val="24"/>
        </w:rPr>
        <w:t>Table 4.4</w:t>
      </w:r>
      <w:r w:rsidRPr="00E80F0C">
        <w:rPr>
          <w:rFonts w:ascii="Arial" w:hAnsi="Arial" w:cs="Arial"/>
          <w:sz w:val="24"/>
          <w:szCs w:val="24"/>
        </w:rPr>
        <w:t xml:space="preserve"> shows. However, only 37% offer optional modules which cover EU Law</w:t>
      </w:r>
      <w:r w:rsidR="00E6534A">
        <w:rPr>
          <w:rFonts w:ascii="Arial" w:hAnsi="Arial" w:cs="Arial"/>
          <w:sz w:val="24"/>
          <w:szCs w:val="24"/>
        </w:rPr>
        <w:t xml:space="preserve"> </w:t>
      </w:r>
      <w:r w:rsidR="00E6534A" w:rsidRPr="00E80F0C">
        <w:rPr>
          <w:rFonts w:ascii="Arial" w:hAnsi="Arial" w:cs="Arial"/>
          <w:sz w:val="24"/>
          <w:szCs w:val="24"/>
        </w:rPr>
        <w:t>exclusively</w:t>
      </w:r>
      <w:r w:rsidR="008A61D7">
        <w:rPr>
          <w:rFonts w:ascii="Arial" w:hAnsi="Arial" w:cs="Arial"/>
          <w:sz w:val="24"/>
          <w:szCs w:val="24"/>
        </w:rPr>
        <w:t xml:space="preserve"> and</w:t>
      </w:r>
      <w:r w:rsidRPr="00E80F0C">
        <w:rPr>
          <w:rFonts w:ascii="Arial" w:hAnsi="Arial" w:cs="Arial"/>
          <w:sz w:val="24"/>
          <w:szCs w:val="24"/>
        </w:rPr>
        <w:t xml:space="preserve"> just 25% said such module</w:t>
      </w:r>
      <w:r>
        <w:rPr>
          <w:rFonts w:ascii="Arial" w:hAnsi="Arial" w:cs="Arial"/>
          <w:sz w:val="24"/>
          <w:szCs w:val="24"/>
        </w:rPr>
        <w:t>s were not offered every year.</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The subjects in italics listed in </w:t>
      </w:r>
      <w:r w:rsidR="008A61D7">
        <w:rPr>
          <w:rFonts w:ascii="Arial" w:hAnsi="Arial" w:cs="Arial"/>
          <w:sz w:val="24"/>
          <w:szCs w:val="24"/>
        </w:rPr>
        <w:t>Table 4.4</w:t>
      </w:r>
      <w:r w:rsidRPr="00E80F0C">
        <w:rPr>
          <w:rFonts w:ascii="Arial" w:hAnsi="Arial" w:cs="Arial"/>
          <w:sz w:val="24"/>
          <w:szCs w:val="24"/>
        </w:rPr>
        <w:t xml:space="preserve"> are not offered every year.  Reasons for this are usually: </w:t>
      </w:r>
    </w:p>
    <w:p w:rsidR="00E03B54" w:rsidRPr="00E80F0C" w:rsidRDefault="00E03B54" w:rsidP="00E03B54">
      <w:pPr>
        <w:pStyle w:val="ListParagraph"/>
        <w:numPr>
          <w:ilvl w:val="0"/>
          <w:numId w:val="12"/>
        </w:numPr>
        <w:spacing w:line="360" w:lineRule="auto"/>
        <w:jc w:val="both"/>
        <w:rPr>
          <w:rFonts w:ascii="Arial" w:hAnsi="Arial" w:cs="Arial"/>
          <w:sz w:val="24"/>
          <w:szCs w:val="24"/>
        </w:rPr>
      </w:pPr>
      <w:r>
        <w:rPr>
          <w:rFonts w:ascii="Arial" w:hAnsi="Arial" w:cs="Arial"/>
          <w:sz w:val="24"/>
          <w:szCs w:val="24"/>
        </w:rPr>
        <w:t xml:space="preserve">an </w:t>
      </w:r>
      <w:r w:rsidRPr="00E80F0C">
        <w:rPr>
          <w:rFonts w:ascii="Arial" w:hAnsi="Arial" w:cs="Arial"/>
          <w:sz w:val="24"/>
          <w:szCs w:val="24"/>
        </w:rPr>
        <w:t xml:space="preserve">optional module </w:t>
      </w:r>
      <w:r w:rsidR="008A61D7">
        <w:rPr>
          <w:rFonts w:ascii="Arial" w:hAnsi="Arial" w:cs="Arial"/>
          <w:sz w:val="24"/>
          <w:szCs w:val="24"/>
        </w:rPr>
        <w:t>will only run if a minimum number of</w:t>
      </w:r>
      <w:r w:rsidRPr="00E80F0C">
        <w:rPr>
          <w:rFonts w:ascii="Arial" w:hAnsi="Arial" w:cs="Arial"/>
          <w:sz w:val="24"/>
          <w:szCs w:val="24"/>
        </w:rPr>
        <w:t xml:space="preserve"> students </w:t>
      </w:r>
      <w:r w:rsidR="008A61D7">
        <w:rPr>
          <w:rFonts w:ascii="Arial" w:hAnsi="Arial" w:cs="Arial"/>
          <w:sz w:val="24"/>
          <w:szCs w:val="24"/>
        </w:rPr>
        <w:t xml:space="preserve">are </w:t>
      </w:r>
      <w:r w:rsidRPr="00E80F0C">
        <w:rPr>
          <w:rFonts w:ascii="Arial" w:hAnsi="Arial" w:cs="Arial"/>
          <w:sz w:val="24"/>
          <w:szCs w:val="24"/>
        </w:rPr>
        <w:t>registered on it; and,</w:t>
      </w:r>
    </w:p>
    <w:p w:rsidR="00E03B54" w:rsidRPr="00E80F0C" w:rsidRDefault="00E03B54" w:rsidP="00E03B54">
      <w:pPr>
        <w:pStyle w:val="ListParagraph"/>
        <w:numPr>
          <w:ilvl w:val="0"/>
          <w:numId w:val="12"/>
        </w:numPr>
        <w:spacing w:line="360" w:lineRule="auto"/>
        <w:jc w:val="both"/>
        <w:rPr>
          <w:rFonts w:ascii="Arial" w:hAnsi="Arial" w:cs="Arial"/>
          <w:sz w:val="24"/>
          <w:szCs w:val="24"/>
        </w:rPr>
      </w:pPr>
      <w:r w:rsidRPr="00E80F0C">
        <w:rPr>
          <w:rFonts w:ascii="Arial" w:hAnsi="Arial" w:cs="Arial"/>
          <w:sz w:val="24"/>
          <w:szCs w:val="24"/>
        </w:rPr>
        <w:t>staff unavailability and other departmental priorities.</w:t>
      </w:r>
    </w:p>
    <w:p w:rsidR="008A61D7" w:rsidRDefault="008A61D7" w:rsidP="00E03B54">
      <w:pPr>
        <w:spacing w:line="360" w:lineRule="auto"/>
        <w:jc w:val="center"/>
        <w:rPr>
          <w:rFonts w:ascii="Arial" w:hAnsi="Arial" w:cs="Arial"/>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t>Table 4.4 – LLB/QLD Optional Courses/Modules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296"/>
      </w:tblGrid>
      <w:tr w:rsidR="00E03B54" w:rsidRPr="00E80F0C" w:rsidTr="00E03B54">
        <w:tc>
          <w:tcPr>
            <w:tcW w:w="5778"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3296" w:type="dxa"/>
          </w:tcPr>
          <w:p w:rsidR="00E03B54" w:rsidRPr="00E80F0C" w:rsidRDefault="00293881" w:rsidP="00E03B54">
            <w:pPr>
              <w:spacing w:after="0" w:line="240" w:lineRule="auto"/>
              <w:jc w:val="center"/>
              <w:rPr>
                <w:rFonts w:cs="Arial"/>
                <w:b/>
                <w:sz w:val="24"/>
                <w:szCs w:val="24"/>
              </w:rPr>
            </w:pPr>
            <w:r>
              <w:rPr>
                <w:rFonts w:cs="Arial"/>
                <w:b/>
                <w:sz w:val="24"/>
                <w:szCs w:val="24"/>
              </w:rPr>
              <w:t>Number of U</w:t>
            </w:r>
            <w:r w:rsidR="00E03B54" w:rsidRPr="00E80F0C">
              <w:rPr>
                <w:rFonts w:cs="Arial"/>
                <w:b/>
                <w:sz w:val="24"/>
                <w:szCs w:val="24"/>
              </w:rPr>
              <w:t>niversities</w:t>
            </w:r>
          </w:p>
        </w:tc>
      </w:tr>
      <w:tr w:rsidR="00E03B54" w:rsidRPr="00E80F0C" w:rsidTr="00E03B54">
        <w:tc>
          <w:tcPr>
            <w:tcW w:w="5778" w:type="dxa"/>
          </w:tcPr>
          <w:p w:rsidR="00E03B54" w:rsidRPr="00306EB1" w:rsidRDefault="00E03B54" w:rsidP="00E03B54">
            <w:pPr>
              <w:spacing w:after="0" w:line="240" w:lineRule="auto"/>
              <w:jc w:val="both"/>
              <w:rPr>
                <w:rFonts w:cs="Arial"/>
                <w:i/>
                <w:sz w:val="24"/>
                <w:szCs w:val="24"/>
              </w:rPr>
            </w:pPr>
            <w:r w:rsidRPr="00306EB1">
              <w:rPr>
                <w:rFonts w:cs="Arial"/>
                <w:i/>
                <w:sz w:val="24"/>
                <w:szCs w:val="24"/>
              </w:rPr>
              <w:t>Law of Single European Market</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306EB1" w:rsidRDefault="00E03B54" w:rsidP="00E03B54">
            <w:pPr>
              <w:spacing w:after="0" w:line="240" w:lineRule="auto"/>
              <w:jc w:val="both"/>
              <w:rPr>
                <w:rFonts w:cs="Arial"/>
                <w:i/>
                <w:sz w:val="24"/>
                <w:szCs w:val="24"/>
              </w:rPr>
            </w:pPr>
            <w:r w:rsidRPr="00306EB1">
              <w:rPr>
                <w:rFonts w:cs="Arial"/>
                <w:i/>
                <w:sz w:val="24"/>
                <w:szCs w:val="24"/>
              </w:rPr>
              <w:t>EC and UK Competition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European Administrative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306EB1" w:rsidRDefault="00E03B54" w:rsidP="00E03B54">
            <w:pPr>
              <w:spacing w:after="0" w:line="240" w:lineRule="auto"/>
              <w:jc w:val="both"/>
              <w:rPr>
                <w:rFonts w:cs="Arial"/>
                <w:i/>
                <w:sz w:val="24"/>
                <w:szCs w:val="24"/>
              </w:rPr>
            </w:pPr>
            <w:r w:rsidRPr="00306EB1">
              <w:rPr>
                <w:rFonts w:cs="Arial"/>
                <w:i/>
                <w:sz w:val="24"/>
                <w:szCs w:val="24"/>
              </w:rPr>
              <w:t>European Business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Aspects</w:t>
            </w:r>
            <w:r w:rsidR="008A61D7">
              <w:rPr>
                <w:rFonts w:cs="Arial"/>
                <w:sz w:val="24"/>
                <w:szCs w:val="24"/>
              </w:rPr>
              <w:t xml:space="preserve"> of EU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Law of EU</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Contemporary I</w:t>
            </w:r>
            <w:r w:rsidRPr="00E80F0C">
              <w:rPr>
                <w:rFonts w:cs="Arial"/>
                <w:sz w:val="24"/>
                <w:szCs w:val="24"/>
              </w:rPr>
              <w:t>ssues in EU Social Law and Policy</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306EB1" w:rsidRDefault="00E03B54" w:rsidP="00E03B54">
            <w:pPr>
              <w:spacing w:after="0" w:line="240" w:lineRule="auto"/>
              <w:jc w:val="both"/>
              <w:rPr>
                <w:rFonts w:cs="Arial"/>
                <w:i/>
                <w:sz w:val="24"/>
                <w:szCs w:val="24"/>
              </w:rPr>
            </w:pPr>
            <w:r w:rsidRPr="00306EB1">
              <w:rPr>
                <w:rFonts w:cs="Arial"/>
                <w:i/>
                <w:sz w:val="24"/>
                <w:szCs w:val="24"/>
              </w:rPr>
              <w:t>European Commercial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Institutions and Judicial Control O</w:t>
            </w:r>
            <w:r w:rsidRPr="00E80F0C">
              <w:rPr>
                <w:rFonts w:cs="Arial"/>
                <w:sz w:val="24"/>
                <w:szCs w:val="24"/>
              </w:rPr>
              <w:t>ver the EU</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European Rules on Competition</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European Social Law</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Substantive Law of the EU</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Law of the European Union (30 credits)</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Law of the European Union (20 credits)</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Law and Policies of the EU</w:t>
            </w:r>
          </w:p>
        </w:tc>
        <w:tc>
          <w:tcPr>
            <w:tcW w:w="3296"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Pr="00E80F0C" w:rsidRDefault="00E03B54" w:rsidP="00E03B54">
      <w:pPr>
        <w:spacing w:line="360" w:lineRule="auto"/>
        <w:jc w:val="both"/>
        <w:rPr>
          <w:rFonts w:ascii="Arial" w:hAnsi="Arial" w:cs="Arial"/>
          <w:b/>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4.3</w:t>
      </w:r>
      <w:r>
        <w:rPr>
          <w:rFonts w:ascii="Arial" w:hAnsi="Arial" w:cs="Arial"/>
          <w:sz w:val="24"/>
          <w:szCs w:val="24"/>
        </w:rPr>
        <w:tab/>
        <w:t>Integrating EU L</w:t>
      </w:r>
      <w:r w:rsidRPr="00E80F0C">
        <w:rPr>
          <w:rFonts w:ascii="Arial" w:hAnsi="Arial" w:cs="Arial"/>
          <w:sz w:val="24"/>
          <w:szCs w:val="24"/>
        </w:rPr>
        <w:t xml:space="preserve">aw </w:t>
      </w:r>
      <w:r>
        <w:rPr>
          <w:rFonts w:ascii="Arial" w:hAnsi="Arial" w:cs="Arial"/>
          <w:sz w:val="24"/>
          <w:szCs w:val="24"/>
        </w:rPr>
        <w:t>in Other C</w:t>
      </w:r>
      <w:r w:rsidRPr="00E80F0C">
        <w:rPr>
          <w:rFonts w:ascii="Arial" w:hAnsi="Arial" w:cs="Arial"/>
          <w:sz w:val="24"/>
          <w:szCs w:val="24"/>
        </w:rPr>
        <w:t>ourses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Consider</w:t>
      </w:r>
      <w:r>
        <w:rPr>
          <w:rFonts w:ascii="Arial" w:hAnsi="Arial" w:cs="Arial"/>
          <w:sz w:val="24"/>
          <w:szCs w:val="24"/>
        </w:rPr>
        <w:t>ing the pervasive nature of EU L</w:t>
      </w:r>
      <w:r w:rsidRPr="00E80F0C">
        <w:rPr>
          <w:rFonts w:ascii="Arial" w:hAnsi="Arial" w:cs="Arial"/>
          <w:sz w:val="24"/>
          <w:szCs w:val="24"/>
        </w:rPr>
        <w:t>aw, we were naturally also int</w:t>
      </w:r>
      <w:r>
        <w:rPr>
          <w:rFonts w:ascii="Arial" w:hAnsi="Arial" w:cs="Arial"/>
          <w:sz w:val="24"/>
          <w:szCs w:val="24"/>
        </w:rPr>
        <w:t>erested to discover whether EU L</w:t>
      </w:r>
      <w:r w:rsidRPr="00E80F0C">
        <w:rPr>
          <w:rFonts w:ascii="Arial" w:hAnsi="Arial" w:cs="Arial"/>
          <w:sz w:val="24"/>
          <w:szCs w:val="24"/>
        </w:rPr>
        <w:t>aw was taught as an aspect of any other law subject within an institution</w:t>
      </w:r>
      <w:r>
        <w:rPr>
          <w:rFonts w:ascii="Arial" w:hAnsi="Arial" w:cs="Arial"/>
          <w:sz w:val="24"/>
          <w:szCs w:val="24"/>
        </w:rPr>
        <w:t xml:space="preserve"> or not</w:t>
      </w:r>
      <w:r w:rsidRPr="00E80F0C">
        <w:rPr>
          <w:rFonts w:ascii="Arial" w:hAnsi="Arial" w:cs="Arial"/>
          <w:sz w:val="24"/>
          <w:szCs w:val="24"/>
        </w:rPr>
        <w:t>. We therefore asked the respondents to identify other courses or module</w:t>
      </w:r>
      <w:r>
        <w:rPr>
          <w:rFonts w:ascii="Arial" w:hAnsi="Arial" w:cs="Arial"/>
          <w:sz w:val="24"/>
          <w:szCs w:val="24"/>
        </w:rPr>
        <w:t>s that included elements of EU L</w:t>
      </w:r>
      <w:r w:rsidRPr="00E80F0C">
        <w:rPr>
          <w:rFonts w:ascii="Arial" w:hAnsi="Arial" w:cs="Arial"/>
          <w:sz w:val="24"/>
          <w:szCs w:val="24"/>
        </w:rPr>
        <w:t>aw.</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ind w:firstLine="720"/>
        <w:jc w:val="both"/>
        <w:rPr>
          <w:rFonts w:ascii="Arial" w:hAnsi="Arial" w:cs="Arial"/>
          <w:sz w:val="24"/>
          <w:szCs w:val="24"/>
        </w:rPr>
      </w:pPr>
      <w:r>
        <w:rPr>
          <w:rFonts w:ascii="Arial" w:hAnsi="Arial" w:cs="Arial"/>
          <w:sz w:val="24"/>
          <w:szCs w:val="24"/>
        </w:rPr>
        <w:t>4.3.1</w:t>
      </w:r>
      <w:r>
        <w:rPr>
          <w:rFonts w:ascii="Arial" w:hAnsi="Arial" w:cs="Arial"/>
          <w:sz w:val="24"/>
          <w:szCs w:val="24"/>
        </w:rPr>
        <w:tab/>
        <w:t>Integrating EU Law in Core S</w:t>
      </w:r>
      <w:r w:rsidRPr="00E80F0C">
        <w:rPr>
          <w:rFonts w:ascii="Arial" w:hAnsi="Arial" w:cs="Arial"/>
          <w:sz w:val="24"/>
          <w:szCs w:val="24"/>
        </w:rPr>
        <w:t>ubjects</w:t>
      </w: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Unsurprisingly, what we found wa</w:t>
      </w:r>
      <w:r w:rsidRPr="00E80F0C">
        <w:rPr>
          <w:rFonts w:ascii="Arial" w:hAnsi="Arial" w:cs="Arial"/>
          <w:sz w:val="24"/>
          <w:szCs w:val="24"/>
        </w:rPr>
        <w:t xml:space="preserve">s a sharp contrast between public law subjects on the one hand, and foundation courses, legal skills and private law subjects on the other. While across the majority of CPE and </w:t>
      </w:r>
      <w:r>
        <w:rPr>
          <w:rFonts w:ascii="Arial" w:hAnsi="Arial" w:cs="Arial"/>
          <w:sz w:val="24"/>
          <w:szCs w:val="24"/>
        </w:rPr>
        <w:t>LLB/QLD courses, there wa</w:t>
      </w:r>
      <w:r w:rsidRPr="00E80F0C">
        <w:rPr>
          <w:rFonts w:ascii="Arial" w:hAnsi="Arial" w:cs="Arial"/>
          <w:sz w:val="24"/>
          <w:szCs w:val="24"/>
        </w:rPr>
        <w:t xml:space="preserve">s a fairly </w:t>
      </w:r>
      <w:r>
        <w:rPr>
          <w:rFonts w:ascii="Arial" w:hAnsi="Arial" w:cs="Arial"/>
          <w:sz w:val="24"/>
          <w:szCs w:val="24"/>
        </w:rPr>
        <w:t>high rate of integration of EU L</w:t>
      </w:r>
      <w:r w:rsidRPr="00E80F0C">
        <w:rPr>
          <w:rFonts w:ascii="Arial" w:hAnsi="Arial" w:cs="Arial"/>
          <w:sz w:val="24"/>
          <w:szCs w:val="24"/>
        </w:rPr>
        <w:t>aw</w:t>
      </w:r>
      <w:r>
        <w:rPr>
          <w:rFonts w:ascii="Arial" w:hAnsi="Arial" w:cs="Arial"/>
          <w:sz w:val="24"/>
          <w:szCs w:val="24"/>
        </w:rPr>
        <w:t xml:space="preserve"> in public law subjects (p</w:t>
      </w:r>
      <w:r w:rsidRPr="00E80F0C">
        <w:rPr>
          <w:rFonts w:ascii="Arial" w:hAnsi="Arial" w:cs="Arial"/>
          <w:sz w:val="24"/>
          <w:szCs w:val="24"/>
        </w:rPr>
        <w:t>ublic law, constitutional and admi</w:t>
      </w:r>
      <w:r>
        <w:rPr>
          <w:rFonts w:ascii="Arial" w:hAnsi="Arial" w:cs="Arial"/>
          <w:sz w:val="24"/>
          <w:szCs w:val="24"/>
        </w:rPr>
        <w:t>nistrative law), this rate dropped</w:t>
      </w:r>
      <w:r w:rsidRPr="00E80F0C">
        <w:rPr>
          <w:rFonts w:ascii="Arial" w:hAnsi="Arial" w:cs="Arial"/>
          <w:sz w:val="24"/>
          <w:szCs w:val="24"/>
        </w:rPr>
        <w:t xml:space="preserve"> drastically</w:t>
      </w:r>
      <w:r>
        <w:rPr>
          <w:rFonts w:ascii="Arial" w:hAnsi="Arial" w:cs="Arial"/>
          <w:sz w:val="24"/>
          <w:szCs w:val="24"/>
        </w:rPr>
        <w:t xml:space="preserve"> in foundation courses such as legal method and systems, English legal system, i</w:t>
      </w:r>
      <w:r w:rsidRPr="00E80F0C">
        <w:rPr>
          <w:rFonts w:ascii="Arial" w:hAnsi="Arial" w:cs="Arial"/>
          <w:sz w:val="24"/>
          <w:szCs w:val="24"/>
        </w:rPr>
        <w:t>ntr</w:t>
      </w:r>
      <w:r>
        <w:rPr>
          <w:rFonts w:ascii="Arial" w:hAnsi="Arial" w:cs="Arial"/>
          <w:sz w:val="24"/>
          <w:szCs w:val="24"/>
        </w:rPr>
        <w:t xml:space="preserve">oduction to Scottish law, </w:t>
      </w:r>
      <w:r w:rsidRPr="00E80F0C">
        <w:rPr>
          <w:rFonts w:ascii="Arial" w:hAnsi="Arial" w:cs="Arial"/>
          <w:sz w:val="24"/>
          <w:szCs w:val="24"/>
        </w:rPr>
        <w:t>and in private law subjects such as contract law or obligations and tort</w:t>
      </w:r>
      <w:r>
        <w:rPr>
          <w:rFonts w:ascii="Arial" w:hAnsi="Arial" w:cs="Arial"/>
          <w:sz w:val="24"/>
          <w:szCs w:val="24"/>
        </w:rPr>
        <w:t xml:space="preserve"> (see Tables 4.5 and 4.6)</w:t>
      </w:r>
      <w:r w:rsidRPr="00E80F0C">
        <w:rPr>
          <w:rFonts w:ascii="Arial" w:hAnsi="Arial" w:cs="Arial"/>
          <w:sz w:val="24"/>
          <w:szCs w:val="24"/>
        </w:rPr>
        <w:t xml:space="preserve">. </w:t>
      </w:r>
    </w:p>
    <w:p w:rsidR="00E03B54" w:rsidRPr="00E80F0C" w:rsidRDefault="00E03B54" w:rsidP="00E03B54">
      <w:pPr>
        <w:spacing w:line="360" w:lineRule="auto"/>
        <w:rPr>
          <w:rFonts w:ascii="Arial" w:hAnsi="Arial" w:cs="Arial"/>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t>Table 4.</w:t>
      </w:r>
      <w:r>
        <w:rPr>
          <w:rFonts w:ascii="Arial" w:hAnsi="Arial" w:cs="Arial"/>
          <w:sz w:val="24"/>
          <w:szCs w:val="24"/>
        </w:rPr>
        <w:t xml:space="preserve">5 – </w:t>
      </w:r>
      <w:r w:rsidRPr="00E80F0C">
        <w:rPr>
          <w:rFonts w:ascii="Arial" w:hAnsi="Arial" w:cs="Arial"/>
          <w:sz w:val="24"/>
          <w:szCs w:val="24"/>
        </w:rPr>
        <w:t>CPE Providers’ Compulsory Modules</w:t>
      </w:r>
      <w:r w:rsidR="008A61D7">
        <w:rPr>
          <w:rFonts w:ascii="Arial" w:hAnsi="Arial" w:cs="Arial"/>
          <w:sz w:val="24"/>
          <w:szCs w:val="24"/>
        </w:rPr>
        <w:t xml:space="preserve"> with Substantive EU law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685"/>
      </w:tblGrid>
      <w:tr w:rsidR="00E03B54" w:rsidRPr="00E80F0C" w:rsidTr="00E03B54">
        <w:tc>
          <w:tcPr>
            <w:tcW w:w="5495"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3685"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Number of Universities</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Constitutional and Administrative Law</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English Legal Systems</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Public Law</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10</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Legal Method</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Legal Process</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Law and Legal Skills</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Legal Research Skills</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Obligations I</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cs="Arial"/>
                <w:sz w:val="24"/>
                <w:szCs w:val="24"/>
              </w:rPr>
            </w:pPr>
            <w:r w:rsidRPr="00E80F0C">
              <w:rPr>
                <w:rFonts w:cs="Arial"/>
                <w:sz w:val="24"/>
                <w:szCs w:val="24"/>
              </w:rPr>
              <w:t>Obligations II</w:t>
            </w:r>
          </w:p>
        </w:tc>
        <w:tc>
          <w:tcPr>
            <w:tcW w:w="3685"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Default="00E03B54" w:rsidP="00E03B54">
      <w:pPr>
        <w:spacing w:line="360" w:lineRule="auto"/>
        <w:jc w:val="both"/>
        <w:rPr>
          <w:rFonts w:ascii="Arial" w:hAnsi="Arial" w:cs="Arial"/>
          <w:b/>
          <w:sz w:val="24"/>
          <w:szCs w:val="24"/>
        </w:rPr>
      </w:pPr>
    </w:p>
    <w:p w:rsidR="00FF393C" w:rsidRDefault="00FF393C" w:rsidP="00E03B54">
      <w:pPr>
        <w:spacing w:line="360" w:lineRule="auto"/>
        <w:jc w:val="both"/>
        <w:rPr>
          <w:rFonts w:ascii="Arial" w:hAnsi="Arial" w:cs="Arial"/>
          <w:b/>
          <w:sz w:val="24"/>
          <w:szCs w:val="24"/>
        </w:rPr>
      </w:pPr>
    </w:p>
    <w:p w:rsidR="008A61D7" w:rsidRPr="00E80F0C" w:rsidRDefault="00E03B54" w:rsidP="008A61D7">
      <w:pPr>
        <w:spacing w:line="360" w:lineRule="auto"/>
        <w:jc w:val="center"/>
        <w:rPr>
          <w:rFonts w:ascii="Arial" w:hAnsi="Arial" w:cs="Arial"/>
          <w:sz w:val="24"/>
          <w:szCs w:val="24"/>
        </w:rPr>
      </w:pPr>
      <w:r>
        <w:rPr>
          <w:rFonts w:ascii="Arial" w:hAnsi="Arial" w:cs="Arial"/>
          <w:sz w:val="24"/>
          <w:szCs w:val="24"/>
        </w:rPr>
        <w:lastRenderedPageBreak/>
        <w:t>Table 4.6 – LLB/</w:t>
      </w:r>
      <w:r w:rsidRPr="00E80F0C">
        <w:rPr>
          <w:rFonts w:ascii="Arial" w:hAnsi="Arial" w:cs="Arial"/>
          <w:sz w:val="24"/>
          <w:szCs w:val="24"/>
        </w:rPr>
        <w:t>QLD Providers’ Compulsory Modules</w:t>
      </w:r>
      <w:r w:rsidR="008A61D7">
        <w:rPr>
          <w:rFonts w:ascii="Arial" w:hAnsi="Arial" w:cs="Arial"/>
          <w:sz w:val="24"/>
          <w:szCs w:val="24"/>
        </w:rPr>
        <w:t xml:space="preserve"> with Substantive EU law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685"/>
      </w:tblGrid>
      <w:tr w:rsidR="00E03B54" w:rsidRPr="00E80F0C" w:rsidTr="00E03B54">
        <w:tc>
          <w:tcPr>
            <w:tcW w:w="5495"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3685" w:type="dxa"/>
          </w:tcPr>
          <w:p w:rsidR="00E03B54" w:rsidRPr="00E80F0C" w:rsidRDefault="00293881" w:rsidP="00E03B54">
            <w:pPr>
              <w:spacing w:after="0" w:line="240" w:lineRule="auto"/>
              <w:jc w:val="center"/>
              <w:rPr>
                <w:rFonts w:cs="Arial"/>
                <w:b/>
                <w:sz w:val="24"/>
                <w:szCs w:val="24"/>
              </w:rPr>
            </w:pPr>
            <w:r>
              <w:rPr>
                <w:rFonts w:cs="Arial"/>
                <w:b/>
                <w:sz w:val="24"/>
                <w:szCs w:val="24"/>
              </w:rPr>
              <w:t>Number of U</w:t>
            </w:r>
            <w:r w:rsidR="00E03B54" w:rsidRPr="00E80F0C">
              <w:rPr>
                <w:rFonts w:cs="Arial"/>
                <w:b/>
                <w:sz w:val="24"/>
                <w:szCs w:val="24"/>
              </w:rPr>
              <w:t>niversities</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Pr>
                <w:rFonts w:asciiTheme="minorHAnsi" w:hAnsiTheme="minorHAnsi" w:cs="Arial"/>
                <w:sz w:val="24"/>
                <w:szCs w:val="24"/>
              </w:rPr>
              <w:t>Elements of L</w:t>
            </w:r>
            <w:r w:rsidRPr="00E80F0C">
              <w:rPr>
                <w:rFonts w:asciiTheme="minorHAnsi" w:hAnsiTheme="minorHAnsi" w:cs="Arial"/>
                <w:sz w:val="24"/>
                <w:szCs w:val="24"/>
              </w:rPr>
              <w:t>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Pr>
                <w:rFonts w:asciiTheme="minorHAnsi" w:hAnsiTheme="minorHAnsi" w:cs="Arial"/>
                <w:sz w:val="24"/>
                <w:szCs w:val="24"/>
              </w:rPr>
              <w:t>Law and Con</w:t>
            </w:r>
            <w:r w:rsidRPr="00E80F0C">
              <w:rPr>
                <w:rFonts w:asciiTheme="minorHAnsi" w:hAnsiTheme="minorHAnsi" w:cs="Arial"/>
                <w:sz w:val="24"/>
                <w:szCs w:val="24"/>
              </w:rPr>
              <w:t>temporary Society</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Constitutional and Admin</w:t>
            </w:r>
            <w:r>
              <w:rPr>
                <w:rFonts w:asciiTheme="minorHAnsi" w:hAnsiTheme="minorHAnsi" w:cs="Arial"/>
                <w:sz w:val="24"/>
                <w:szCs w:val="24"/>
              </w:rPr>
              <w:t>istrative</w:t>
            </w:r>
            <w:r w:rsidRPr="00E80F0C">
              <w:rPr>
                <w:rFonts w:asciiTheme="minorHAnsi" w:hAnsiTheme="minorHAnsi" w:cs="Arial"/>
                <w:sz w:val="24"/>
                <w:szCs w:val="24"/>
              </w:rPr>
              <w:t xml:space="preserve">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7</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Public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17</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Constitutional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4</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Contract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2</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Tort</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Modern Legal Systems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Foundations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Introduction to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4</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Introductory Scottish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Learning Scottish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Sources and Institutions of Scottish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Law and Government</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Tax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Environment of Business and Employment</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Administrative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Law and Society</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Sources and Skills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English Legal System</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2</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Law and Legal Skills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Method and Systems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3</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Environmental Law</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2</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Method and Skills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Method</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Intellectual Property</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2</w:t>
            </w:r>
          </w:p>
        </w:tc>
      </w:tr>
      <w:tr w:rsidR="00E03B54" w:rsidRPr="00E80F0C" w:rsidTr="00E03B54">
        <w:tc>
          <w:tcPr>
            <w:tcW w:w="5495" w:type="dxa"/>
          </w:tcPr>
          <w:p w:rsidR="00E03B54" w:rsidRPr="00E80F0C" w:rsidRDefault="00E03B54" w:rsidP="00E03B54">
            <w:pPr>
              <w:spacing w:after="0" w:line="240" w:lineRule="auto"/>
              <w:jc w:val="both"/>
              <w:rPr>
                <w:rFonts w:asciiTheme="minorHAnsi" w:hAnsiTheme="minorHAnsi" w:cs="Arial"/>
                <w:sz w:val="24"/>
                <w:szCs w:val="24"/>
              </w:rPr>
            </w:pPr>
            <w:r w:rsidRPr="00E80F0C">
              <w:rPr>
                <w:rFonts w:asciiTheme="minorHAnsi" w:hAnsiTheme="minorHAnsi" w:cs="Arial"/>
                <w:sz w:val="24"/>
                <w:szCs w:val="24"/>
              </w:rPr>
              <w:t>Legal Institutions and Methods</w:t>
            </w:r>
          </w:p>
        </w:tc>
        <w:tc>
          <w:tcPr>
            <w:tcW w:w="3685" w:type="dxa"/>
          </w:tcPr>
          <w:p w:rsidR="00E03B54" w:rsidRPr="00E80F0C" w:rsidRDefault="00E03B54" w:rsidP="00E03B54">
            <w:pPr>
              <w:spacing w:after="0" w:line="240" w:lineRule="auto"/>
              <w:jc w:val="center"/>
              <w:rPr>
                <w:rFonts w:asciiTheme="minorHAnsi" w:hAnsiTheme="minorHAnsi" w:cs="Arial"/>
                <w:sz w:val="24"/>
                <w:szCs w:val="24"/>
              </w:rPr>
            </w:pPr>
            <w:r w:rsidRPr="00E80F0C">
              <w:rPr>
                <w:rFonts w:asciiTheme="minorHAnsi" w:hAnsiTheme="minorHAnsi" w:cs="Arial"/>
                <w:sz w:val="24"/>
                <w:szCs w:val="24"/>
              </w:rPr>
              <w:t>1</w:t>
            </w:r>
          </w:p>
        </w:tc>
      </w:tr>
    </w:tbl>
    <w:p w:rsidR="00E03B54" w:rsidRPr="00E80F0C" w:rsidRDefault="00E03B54" w:rsidP="00E03B54">
      <w:pPr>
        <w:jc w:val="both"/>
        <w:rPr>
          <w:rFonts w:ascii="Arial" w:hAnsi="Arial" w:cs="Arial"/>
          <w:sz w:val="24"/>
          <w:szCs w:val="24"/>
        </w:rPr>
      </w:pPr>
    </w:p>
    <w:p w:rsidR="00E03B54" w:rsidRPr="00E80F0C" w:rsidRDefault="00E03B54" w:rsidP="00E03B54">
      <w:pPr>
        <w:spacing w:line="360" w:lineRule="auto"/>
        <w:ind w:firstLine="720"/>
        <w:jc w:val="both"/>
        <w:rPr>
          <w:rFonts w:ascii="Arial" w:hAnsi="Arial" w:cs="Arial"/>
          <w:sz w:val="24"/>
          <w:szCs w:val="24"/>
        </w:rPr>
      </w:pPr>
      <w:r>
        <w:rPr>
          <w:rFonts w:ascii="Arial" w:hAnsi="Arial" w:cs="Arial"/>
          <w:sz w:val="24"/>
          <w:szCs w:val="24"/>
        </w:rPr>
        <w:t>4.3.2.</w:t>
      </w:r>
      <w:r>
        <w:rPr>
          <w:rFonts w:ascii="Arial" w:hAnsi="Arial" w:cs="Arial"/>
          <w:sz w:val="24"/>
          <w:szCs w:val="24"/>
        </w:rPr>
        <w:tab/>
        <w:t xml:space="preserve">Integrating </w:t>
      </w:r>
      <w:r w:rsidRPr="00E80F0C">
        <w:rPr>
          <w:rFonts w:ascii="Arial" w:hAnsi="Arial" w:cs="Arial"/>
          <w:sz w:val="24"/>
          <w:szCs w:val="24"/>
        </w:rPr>
        <w:t xml:space="preserve">in </w:t>
      </w:r>
      <w:r>
        <w:rPr>
          <w:rFonts w:ascii="Arial" w:hAnsi="Arial" w:cs="Arial"/>
          <w:sz w:val="24"/>
          <w:szCs w:val="24"/>
        </w:rPr>
        <w:t>Optional S</w:t>
      </w:r>
      <w:r w:rsidRPr="00E80F0C">
        <w:rPr>
          <w:rFonts w:ascii="Arial" w:hAnsi="Arial" w:cs="Arial"/>
          <w:sz w:val="24"/>
          <w:szCs w:val="24"/>
        </w:rPr>
        <w:t>ubjects</w:t>
      </w: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As with compulsory subjects, one can </w:t>
      </w:r>
      <w:r>
        <w:rPr>
          <w:rFonts w:ascii="Arial" w:hAnsi="Arial" w:cs="Arial"/>
          <w:sz w:val="24"/>
          <w:szCs w:val="24"/>
        </w:rPr>
        <w:t xml:space="preserve">also </w:t>
      </w:r>
      <w:r w:rsidRPr="00E80F0C">
        <w:rPr>
          <w:rFonts w:ascii="Arial" w:hAnsi="Arial" w:cs="Arial"/>
          <w:sz w:val="24"/>
          <w:szCs w:val="24"/>
        </w:rPr>
        <w:t>clearly differentiate between two categories of optional subjects</w:t>
      </w:r>
      <w:r>
        <w:rPr>
          <w:rFonts w:ascii="Arial" w:hAnsi="Arial" w:cs="Arial"/>
          <w:sz w:val="24"/>
          <w:szCs w:val="24"/>
        </w:rPr>
        <w:t xml:space="preserve"> (see Table 4.7)</w:t>
      </w:r>
      <w:r w:rsidRPr="00E80F0C">
        <w:rPr>
          <w:rFonts w:ascii="Arial" w:hAnsi="Arial" w:cs="Arial"/>
          <w:sz w:val="24"/>
          <w:szCs w:val="24"/>
        </w:rPr>
        <w:t xml:space="preserve">: </w:t>
      </w:r>
    </w:p>
    <w:p w:rsidR="00E03B54" w:rsidRPr="009061D9" w:rsidRDefault="00E03B54" w:rsidP="00E03B54">
      <w:pPr>
        <w:pStyle w:val="ListParagraph"/>
        <w:numPr>
          <w:ilvl w:val="0"/>
          <w:numId w:val="13"/>
        </w:numPr>
        <w:spacing w:line="360" w:lineRule="auto"/>
        <w:jc w:val="both"/>
        <w:rPr>
          <w:rFonts w:ascii="Arial" w:hAnsi="Arial" w:cs="Arial"/>
          <w:sz w:val="24"/>
          <w:szCs w:val="24"/>
        </w:rPr>
      </w:pPr>
      <w:r w:rsidRPr="009061D9">
        <w:rPr>
          <w:rFonts w:ascii="Arial" w:hAnsi="Arial" w:cs="Arial"/>
          <w:sz w:val="24"/>
          <w:szCs w:val="24"/>
        </w:rPr>
        <w:t xml:space="preserve">those </w:t>
      </w:r>
      <w:r>
        <w:rPr>
          <w:rFonts w:ascii="Arial" w:hAnsi="Arial" w:cs="Arial"/>
          <w:sz w:val="24"/>
          <w:szCs w:val="24"/>
        </w:rPr>
        <w:t>that</w:t>
      </w:r>
      <w:r w:rsidRPr="009061D9">
        <w:rPr>
          <w:rFonts w:ascii="Arial" w:hAnsi="Arial" w:cs="Arial"/>
          <w:sz w:val="24"/>
          <w:szCs w:val="24"/>
        </w:rPr>
        <w:t xml:space="preserve"> fully integrate</w:t>
      </w:r>
      <w:r>
        <w:rPr>
          <w:rFonts w:ascii="Arial" w:hAnsi="Arial" w:cs="Arial"/>
          <w:sz w:val="24"/>
          <w:szCs w:val="24"/>
        </w:rPr>
        <w:t>d</w:t>
      </w:r>
      <w:r w:rsidRPr="009061D9">
        <w:rPr>
          <w:rFonts w:ascii="Arial" w:hAnsi="Arial" w:cs="Arial"/>
          <w:sz w:val="24"/>
          <w:szCs w:val="24"/>
        </w:rPr>
        <w:t xml:space="preserve"> EU</w:t>
      </w:r>
      <w:r>
        <w:rPr>
          <w:rFonts w:ascii="Arial" w:hAnsi="Arial" w:cs="Arial"/>
          <w:sz w:val="24"/>
          <w:szCs w:val="24"/>
        </w:rPr>
        <w:t xml:space="preserve"> Law</w:t>
      </w:r>
      <w:r w:rsidRPr="009061D9">
        <w:rPr>
          <w:rFonts w:ascii="Arial" w:hAnsi="Arial" w:cs="Arial"/>
          <w:sz w:val="24"/>
          <w:szCs w:val="24"/>
        </w:rPr>
        <w:t xml:space="preserve"> as a result of its recognised growing and </w:t>
      </w:r>
      <w:r w:rsidR="008A61D7">
        <w:rPr>
          <w:rFonts w:ascii="Arial" w:hAnsi="Arial" w:cs="Arial"/>
          <w:sz w:val="24"/>
          <w:szCs w:val="24"/>
        </w:rPr>
        <w:t>strengthening</w:t>
      </w:r>
      <w:r w:rsidRPr="009061D9">
        <w:rPr>
          <w:rFonts w:ascii="Arial" w:hAnsi="Arial" w:cs="Arial"/>
          <w:sz w:val="24"/>
          <w:szCs w:val="24"/>
        </w:rPr>
        <w:t xml:space="preserve"> influence, such as intellectual property (and its v</w:t>
      </w:r>
      <w:r>
        <w:rPr>
          <w:rFonts w:ascii="Arial" w:hAnsi="Arial" w:cs="Arial"/>
          <w:sz w:val="24"/>
          <w:szCs w:val="24"/>
        </w:rPr>
        <w:t>ariants: copyrights and designs;</w:t>
      </w:r>
      <w:r w:rsidRPr="009061D9">
        <w:rPr>
          <w:rFonts w:ascii="Arial" w:hAnsi="Arial" w:cs="Arial"/>
          <w:sz w:val="24"/>
          <w:szCs w:val="24"/>
        </w:rPr>
        <w:t xml:space="preserve"> patents and trademarks, etc</w:t>
      </w:r>
      <w:r>
        <w:rPr>
          <w:rFonts w:ascii="Arial" w:hAnsi="Arial" w:cs="Arial"/>
          <w:sz w:val="24"/>
          <w:szCs w:val="24"/>
        </w:rPr>
        <w:t>.</w:t>
      </w:r>
      <w:r w:rsidRPr="009061D9">
        <w:rPr>
          <w:rFonts w:ascii="Arial" w:hAnsi="Arial" w:cs="Arial"/>
          <w:sz w:val="24"/>
          <w:szCs w:val="24"/>
        </w:rPr>
        <w:t xml:space="preserve">), employment or labour law, environmental law and competition law; and </w:t>
      </w:r>
    </w:p>
    <w:p w:rsidR="00E03B54" w:rsidRPr="00E80F0C" w:rsidRDefault="00E03B54" w:rsidP="00E03B54">
      <w:pPr>
        <w:pStyle w:val="ListParagraph"/>
        <w:numPr>
          <w:ilvl w:val="0"/>
          <w:numId w:val="13"/>
        </w:numPr>
        <w:spacing w:line="360" w:lineRule="auto"/>
        <w:jc w:val="both"/>
        <w:rPr>
          <w:rFonts w:ascii="Arial" w:hAnsi="Arial" w:cs="Arial"/>
          <w:sz w:val="24"/>
          <w:szCs w:val="24"/>
        </w:rPr>
      </w:pPr>
      <w:r w:rsidRPr="00E80F0C">
        <w:rPr>
          <w:rFonts w:ascii="Arial" w:hAnsi="Arial" w:cs="Arial"/>
          <w:sz w:val="24"/>
          <w:szCs w:val="24"/>
        </w:rPr>
        <w:lastRenderedPageBreak/>
        <w:t>those wh</w:t>
      </w:r>
      <w:r>
        <w:rPr>
          <w:rFonts w:ascii="Arial" w:hAnsi="Arial" w:cs="Arial"/>
          <w:sz w:val="24"/>
          <w:szCs w:val="24"/>
        </w:rPr>
        <w:t>ere the influence of EU Law was less but nevertheless growing (e.g.</w:t>
      </w:r>
      <w:r w:rsidRPr="00E80F0C">
        <w:rPr>
          <w:rFonts w:ascii="Arial" w:hAnsi="Arial" w:cs="Arial"/>
          <w:sz w:val="24"/>
          <w:szCs w:val="24"/>
        </w:rPr>
        <w:t xml:space="preserve"> media law, company law,</w:t>
      </w:r>
      <w:r>
        <w:rPr>
          <w:rFonts w:ascii="Arial" w:hAnsi="Arial" w:cs="Arial"/>
          <w:sz w:val="24"/>
          <w:szCs w:val="24"/>
        </w:rPr>
        <w:t xml:space="preserve"> human rights, family law, etc.</w:t>
      </w:r>
      <w:r w:rsidRPr="00E80F0C">
        <w:rPr>
          <w:rFonts w:ascii="Arial" w:hAnsi="Arial" w:cs="Arial"/>
          <w:sz w:val="24"/>
          <w:szCs w:val="24"/>
        </w:rPr>
        <w:t>) or not perceived as</w:t>
      </w:r>
      <w:r>
        <w:rPr>
          <w:rFonts w:ascii="Arial" w:hAnsi="Arial" w:cs="Arial"/>
          <w:sz w:val="24"/>
          <w:szCs w:val="24"/>
        </w:rPr>
        <w:t xml:space="preserve"> a major</w:t>
      </w:r>
      <w:r w:rsidRPr="00E80F0C">
        <w:rPr>
          <w:rFonts w:ascii="Arial" w:hAnsi="Arial" w:cs="Arial"/>
          <w:sz w:val="24"/>
          <w:szCs w:val="24"/>
        </w:rPr>
        <w:t xml:space="preserve"> </w:t>
      </w:r>
      <w:r>
        <w:rPr>
          <w:rFonts w:ascii="Arial" w:hAnsi="Arial" w:cs="Arial"/>
          <w:sz w:val="24"/>
          <w:szCs w:val="24"/>
        </w:rPr>
        <w:t>influence</w:t>
      </w:r>
      <w:r w:rsidRPr="00E80F0C">
        <w:rPr>
          <w:rFonts w:ascii="Arial" w:hAnsi="Arial" w:cs="Arial"/>
          <w:sz w:val="24"/>
          <w:szCs w:val="24"/>
        </w:rPr>
        <w:t xml:space="preserve"> (commercial law, international trade, cyber law, conflicts of law).</w:t>
      </w:r>
    </w:p>
    <w:p w:rsidR="00E03B54" w:rsidRPr="00E80F0C" w:rsidRDefault="00E03B54" w:rsidP="00E03B54">
      <w:pPr>
        <w:spacing w:line="360" w:lineRule="auto"/>
        <w:jc w:val="both"/>
        <w:rPr>
          <w:rFonts w:ascii="Arial" w:hAnsi="Arial" w:cs="Arial"/>
          <w:b/>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t>Table 4.</w:t>
      </w:r>
      <w:r>
        <w:rPr>
          <w:rFonts w:ascii="Arial" w:hAnsi="Arial" w:cs="Arial"/>
          <w:sz w:val="24"/>
          <w:szCs w:val="24"/>
        </w:rPr>
        <w:t xml:space="preserve">7 – </w:t>
      </w:r>
      <w:r w:rsidRPr="00E80F0C">
        <w:rPr>
          <w:rFonts w:ascii="Arial" w:hAnsi="Arial" w:cs="Arial"/>
          <w:sz w:val="24"/>
          <w:szCs w:val="24"/>
        </w:rPr>
        <w:t>CPE Option Courses/Modules</w:t>
      </w:r>
      <w:r w:rsidR="008A61D7">
        <w:rPr>
          <w:rFonts w:ascii="Arial" w:hAnsi="Arial" w:cs="Arial"/>
          <w:sz w:val="24"/>
          <w:szCs w:val="24"/>
        </w:rPr>
        <w:t xml:space="preserve"> with Substantive EU law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02"/>
      </w:tblGrid>
      <w:tr w:rsidR="00E03B54" w:rsidRPr="00E80F0C" w:rsidTr="00E03B54">
        <w:tc>
          <w:tcPr>
            <w:tcW w:w="5778"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3402"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Number of Universities</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Project</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Competition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Environmental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Anothe</w:t>
            </w:r>
            <w:r>
              <w:rPr>
                <w:rFonts w:cs="Arial"/>
                <w:sz w:val="24"/>
                <w:szCs w:val="24"/>
              </w:rPr>
              <w:t>r A</w:t>
            </w:r>
            <w:r w:rsidRPr="00E80F0C">
              <w:rPr>
                <w:rFonts w:cs="Arial"/>
                <w:sz w:val="24"/>
                <w:szCs w:val="24"/>
              </w:rPr>
              <w:t xml:space="preserve">rea of Law </w:t>
            </w:r>
            <w:r w:rsidRPr="00E80F0C">
              <w:rPr>
                <w:rStyle w:val="FootnoteReference"/>
                <w:rFonts w:cs="Arial"/>
                <w:sz w:val="24"/>
                <w:szCs w:val="24"/>
              </w:rPr>
              <w:footnoteReference w:id="67"/>
            </w:r>
          </w:p>
          <w:p w:rsidR="00E03B54" w:rsidRPr="00E80F0C" w:rsidRDefault="00E03B54" w:rsidP="00E03B54">
            <w:pPr>
              <w:spacing w:after="0" w:line="240" w:lineRule="auto"/>
              <w:jc w:val="both"/>
              <w:rPr>
                <w:rFonts w:cs="Arial"/>
                <w:sz w:val="24"/>
                <w:szCs w:val="24"/>
              </w:rPr>
            </w:pPr>
            <w:r w:rsidRPr="00E80F0C">
              <w:rPr>
                <w:rFonts w:cs="Arial"/>
                <w:sz w:val="24"/>
                <w:szCs w:val="24"/>
              </w:rPr>
              <w:t>(option chosen by students from list of subjects)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Pr="00E80F0C" w:rsidRDefault="00E03B54" w:rsidP="00E03B54">
      <w:pPr>
        <w:jc w:val="both"/>
        <w:rPr>
          <w:rFonts w:ascii="Arial" w:hAnsi="Arial" w:cs="Arial"/>
          <w:b/>
          <w:sz w:val="24"/>
          <w:szCs w:val="24"/>
        </w:rPr>
      </w:pPr>
    </w:p>
    <w:p w:rsidR="00E03B54" w:rsidRPr="00E80F0C" w:rsidRDefault="00E03B54" w:rsidP="00E03B54">
      <w:pPr>
        <w:jc w:val="center"/>
        <w:rPr>
          <w:rFonts w:ascii="Arial" w:hAnsi="Arial" w:cs="Arial"/>
          <w:sz w:val="24"/>
          <w:szCs w:val="24"/>
        </w:rPr>
      </w:pPr>
      <w:r w:rsidRPr="00E80F0C">
        <w:rPr>
          <w:rFonts w:ascii="Arial" w:hAnsi="Arial" w:cs="Arial"/>
          <w:sz w:val="24"/>
          <w:szCs w:val="24"/>
        </w:rPr>
        <w:t>Table 4</w:t>
      </w:r>
      <w:r>
        <w:rPr>
          <w:rFonts w:ascii="Arial" w:hAnsi="Arial" w:cs="Arial"/>
          <w:sz w:val="24"/>
          <w:szCs w:val="24"/>
        </w:rPr>
        <w:t>.8 – LLB/</w:t>
      </w:r>
      <w:r w:rsidRPr="00E80F0C">
        <w:rPr>
          <w:rFonts w:ascii="Arial" w:hAnsi="Arial" w:cs="Arial"/>
          <w:sz w:val="24"/>
          <w:szCs w:val="24"/>
        </w:rPr>
        <w:t>QLD Option Courses/Modules</w:t>
      </w:r>
      <w:r w:rsidR="008A61D7">
        <w:rPr>
          <w:rFonts w:ascii="Arial" w:hAnsi="Arial" w:cs="Arial"/>
          <w:sz w:val="24"/>
          <w:szCs w:val="24"/>
        </w:rPr>
        <w:t xml:space="preserve"> with Substantive EU law Content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02"/>
      </w:tblGrid>
      <w:tr w:rsidR="00E03B54" w:rsidRPr="00E80F0C" w:rsidTr="00E03B54">
        <w:tc>
          <w:tcPr>
            <w:tcW w:w="5778" w:type="dxa"/>
          </w:tcPr>
          <w:p w:rsidR="00E03B54" w:rsidRPr="00E80F0C" w:rsidRDefault="00E03B54" w:rsidP="00E03B54">
            <w:pPr>
              <w:spacing w:after="0" w:line="240" w:lineRule="auto"/>
              <w:jc w:val="center"/>
              <w:rPr>
                <w:rFonts w:cs="Arial"/>
                <w:b/>
                <w:sz w:val="24"/>
                <w:szCs w:val="24"/>
              </w:rPr>
            </w:pPr>
            <w:r w:rsidRPr="00E80F0C">
              <w:rPr>
                <w:rFonts w:cs="Arial"/>
                <w:b/>
                <w:sz w:val="24"/>
                <w:szCs w:val="24"/>
              </w:rPr>
              <w:t>Subject</w:t>
            </w:r>
          </w:p>
        </w:tc>
        <w:tc>
          <w:tcPr>
            <w:tcW w:w="3402" w:type="dxa"/>
          </w:tcPr>
          <w:p w:rsidR="00E03B54" w:rsidRPr="00E80F0C" w:rsidRDefault="00293881" w:rsidP="00E03B54">
            <w:pPr>
              <w:spacing w:after="0" w:line="240" w:lineRule="auto"/>
              <w:jc w:val="center"/>
              <w:rPr>
                <w:rFonts w:cs="Arial"/>
                <w:b/>
                <w:sz w:val="24"/>
                <w:szCs w:val="24"/>
              </w:rPr>
            </w:pPr>
            <w:r>
              <w:rPr>
                <w:rFonts w:cs="Arial"/>
                <w:b/>
                <w:sz w:val="24"/>
                <w:szCs w:val="24"/>
              </w:rPr>
              <w:t>Number of U</w:t>
            </w:r>
            <w:r w:rsidR="00E03B54" w:rsidRPr="00E80F0C">
              <w:rPr>
                <w:rFonts w:cs="Arial"/>
                <w:b/>
                <w:sz w:val="24"/>
                <w:szCs w:val="24"/>
              </w:rPr>
              <w:t>niversities</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Commercial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Competition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7</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Environmental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8</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Labour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Constitutional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Media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Employment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7</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Company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3</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Intellectual Property</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7</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Sports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Banking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Family Law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2</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Human Rights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Discrimination</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Copyright and Design</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Patents and Trademarks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Business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Conflicts of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Company Law and Partnerships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Rules, Rights and Justice: An introduction</w:t>
            </w:r>
            <w:r>
              <w:rPr>
                <w:rFonts w:cs="Arial"/>
                <w:sz w:val="24"/>
                <w:szCs w:val="24"/>
              </w:rPr>
              <w:t xml:space="preserve"> To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lastRenderedPageBreak/>
              <w:t>Cyber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International Trade</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Collective Security</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International Human Rights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7</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International Minority Rights</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sidRPr="00E80F0C">
              <w:rPr>
                <w:rFonts w:cs="Arial"/>
                <w:sz w:val="24"/>
                <w:szCs w:val="24"/>
              </w:rPr>
              <w:t>E-commerce</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Maritime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Media and Information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Consumer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r w:rsidR="00E03B54" w:rsidRPr="00E80F0C" w:rsidTr="00E03B54">
        <w:tc>
          <w:tcPr>
            <w:tcW w:w="5778" w:type="dxa"/>
          </w:tcPr>
          <w:p w:rsidR="00E03B54" w:rsidRPr="00E80F0C" w:rsidRDefault="00E03B54" w:rsidP="00E03B54">
            <w:pPr>
              <w:spacing w:after="0" w:line="240" w:lineRule="auto"/>
              <w:jc w:val="both"/>
              <w:rPr>
                <w:rFonts w:cs="Arial"/>
                <w:sz w:val="24"/>
                <w:szCs w:val="24"/>
              </w:rPr>
            </w:pPr>
            <w:r>
              <w:rPr>
                <w:rFonts w:cs="Arial"/>
                <w:sz w:val="24"/>
                <w:szCs w:val="24"/>
              </w:rPr>
              <w:t>Immigration L</w:t>
            </w:r>
            <w:r w:rsidRPr="00E80F0C">
              <w:rPr>
                <w:rFonts w:cs="Arial"/>
                <w:sz w:val="24"/>
                <w:szCs w:val="24"/>
              </w:rPr>
              <w:t>aw</w:t>
            </w:r>
          </w:p>
        </w:tc>
        <w:tc>
          <w:tcPr>
            <w:tcW w:w="3402" w:type="dxa"/>
          </w:tcPr>
          <w:p w:rsidR="00E03B54" w:rsidRPr="00E80F0C" w:rsidRDefault="00E03B54" w:rsidP="00E03B54">
            <w:pPr>
              <w:spacing w:after="0" w:line="240" w:lineRule="auto"/>
              <w:jc w:val="center"/>
              <w:rPr>
                <w:rFonts w:cs="Arial"/>
                <w:sz w:val="24"/>
                <w:szCs w:val="24"/>
              </w:rPr>
            </w:pPr>
            <w:r w:rsidRPr="00E80F0C">
              <w:rPr>
                <w:rFonts w:cs="Arial"/>
                <w:sz w:val="24"/>
                <w:szCs w:val="24"/>
              </w:rPr>
              <w:t>1</w:t>
            </w:r>
          </w:p>
        </w:tc>
      </w:tr>
    </w:tbl>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While CPE optional modules are all run every year, on LLB/QLD the picture is rather different and more variable.  Seven LLB</w:t>
      </w:r>
      <w:r>
        <w:rPr>
          <w:rFonts w:ascii="Arial" w:hAnsi="Arial" w:cs="Arial"/>
          <w:sz w:val="24"/>
          <w:szCs w:val="24"/>
        </w:rPr>
        <w:t>/QLD</w:t>
      </w:r>
      <w:r w:rsidRPr="00E80F0C">
        <w:rPr>
          <w:rFonts w:ascii="Arial" w:hAnsi="Arial" w:cs="Arial"/>
          <w:sz w:val="24"/>
          <w:szCs w:val="24"/>
        </w:rPr>
        <w:t xml:space="preserve"> providers stated that option courses were not run every year. The main rea</w:t>
      </w:r>
      <w:r>
        <w:rPr>
          <w:rFonts w:ascii="Arial" w:hAnsi="Arial" w:cs="Arial"/>
          <w:sz w:val="24"/>
          <w:szCs w:val="24"/>
        </w:rPr>
        <w:t>sons usually advanced for this we</w:t>
      </w:r>
      <w:r w:rsidRPr="00E80F0C">
        <w:rPr>
          <w:rFonts w:ascii="Arial" w:hAnsi="Arial" w:cs="Arial"/>
          <w:sz w:val="24"/>
          <w:szCs w:val="24"/>
        </w:rPr>
        <w:t xml:space="preserve">re the following: </w:t>
      </w:r>
    </w:p>
    <w:p w:rsidR="00E03B54" w:rsidRPr="00E80F0C" w:rsidRDefault="00E03B54" w:rsidP="00E03B54">
      <w:pPr>
        <w:pStyle w:val="ListParagraph"/>
        <w:numPr>
          <w:ilvl w:val="0"/>
          <w:numId w:val="14"/>
        </w:numPr>
        <w:spacing w:line="360" w:lineRule="auto"/>
        <w:jc w:val="both"/>
        <w:rPr>
          <w:rFonts w:ascii="Arial" w:hAnsi="Arial" w:cs="Arial"/>
          <w:sz w:val="24"/>
          <w:szCs w:val="24"/>
        </w:rPr>
      </w:pPr>
      <w:r w:rsidRPr="00E80F0C">
        <w:rPr>
          <w:rFonts w:ascii="Arial" w:hAnsi="Arial" w:cs="Arial"/>
          <w:sz w:val="24"/>
          <w:szCs w:val="24"/>
        </w:rPr>
        <w:t xml:space="preserve">variability of  student interest; </w:t>
      </w:r>
    </w:p>
    <w:p w:rsidR="00E03B54" w:rsidRPr="00E80F0C" w:rsidRDefault="00E03B54" w:rsidP="00E03B54">
      <w:pPr>
        <w:pStyle w:val="ListParagraph"/>
        <w:numPr>
          <w:ilvl w:val="0"/>
          <w:numId w:val="14"/>
        </w:numPr>
        <w:spacing w:line="360" w:lineRule="auto"/>
        <w:jc w:val="both"/>
        <w:rPr>
          <w:rFonts w:ascii="Arial" w:hAnsi="Arial" w:cs="Arial"/>
          <w:sz w:val="24"/>
          <w:szCs w:val="24"/>
        </w:rPr>
      </w:pPr>
      <w:r w:rsidRPr="00E80F0C">
        <w:rPr>
          <w:rFonts w:ascii="Arial" w:hAnsi="Arial" w:cs="Arial"/>
          <w:sz w:val="24"/>
          <w:szCs w:val="24"/>
        </w:rPr>
        <w:t>variability of student numbers</w:t>
      </w:r>
      <w:r>
        <w:rPr>
          <w:rFonts w:ascii="Arial" w:hAnsi="Arial" w:cs="Arial"/>
          <w:sz w:val="24"/>
          <w:szCs w:val="24"/>
        </w:rPr>
        <w:t>;</w:t>
      </w:r>
    </w:p>
    <w:p w:rsidR="00E03B54" w:rsidRPr="00E80F0C" w:rsidRDefault="00E03B54" w:rsidP="00E03B54">
      <w:pPr>
        <w:pStyle w:val="ListParagraph"/>
        <w:numPr>
          <w:ilvl w:val="0"/>
          <w:numId w:val="14"/>
        </w:numPr>
        <w:spacing w:line="360" w:lineRule="auto"/>
        <w:jc w:val="both"/>
        <w:rPr>
          <w:rFonts w:ascii="Arial" w:hAnsi="Arial" w:cs="Arial"/>
          <w:sz w:val="24"/>
          <w:szCs w:val="24"/>
        </w:rPr>
      </w:pPr>
      <w:r w:rsidRPr="00E80F0C">
        <w:rPr>
          <w:rFonts w:ascii="Arial" w:hAnsi="Arial" w:cs="Arial"/>
          <w:sz w:val="24"/>
          <w:szCs w:val="24"/>
        </w:rPr>
        <w:t>availability of staff expertise;</w:t>
      </w:r>
    </w:p>
    <w:p w:rsidR="00E03B54" w:rsidRPr="00E80F0C" w:rsidRDefault="00E03B54" w:rsidP="00E03B54">
      <w:pPr>
        <w:pStyle w:val="ListParagraph"/>
        <w:numPr>
          <w:ilvl w:val="0"/>
          <w:numId w:val="14"/>
        </w:numPr>
        <w:spacing w:line="360" w:lineRule="auto"/>
        <w:jc w:val="both"/>
        <w:rPr>
          <w:rFonts w:ascii="Arial" w:hAnsi="Arial" w:cs="Arial"/>
          <w:sz w:val="24"/>
          <w:szCs w:val="24"/>
        </w:rPr>
      </w:pPr>
      <w:r w:rsidRPr="00E80F0C">
        <w:rPr>
          <w:rFonts w:ascii="Arial" w:hAnsi="Arial" w:cs="Arial"/>
          <w:sz w:val="24"/>
          <w:szCs w:val="24"/>
        </w:rPr>
        <w:t>availability of resources;</w:t>
      </w:r>
      <w:r>
        <w:rPr>
          <w:rFonts w:ascii="Arial" w:hAnsi="Arial" w:cs="Arial"/>
          <w:sz w:val="24"/>
          <w:szCs w:val="24"/>
        </w:rPr>
        <w:t xml:space="preserve"> and,</w:t>
      </w:r>
    </w:p>
    <w:p w:rsidR="00E03B54" w:rsidRPr="00E80F0C" w:rsidRDefault="00E03B54" w:rsidP="00E03B54">
      <w:pPr>
        <w:pStyle w:val="ListParagraph"/>
        <w:numPr>
          <w:ilvl w:val="0"/>
          <w:numId w:val="14"/>
        </w:numPr>
        <w:spacing w:line="360" w:lineRule="auto"/>
        <w:jc w:val="both"/>
        <w:rPr>
          <w:rFonts w:ascii="Arial" w:hAnsi="Arial" w:cs="Arial"/>
          <w:sz w:val="24"/>
          <w:szCs w:val="24"/>
        </w:rPr>
      </w:pPr>
      <w:r w:rsidRPr="00E80F0C">
        <w:rPr>
          <w:rFonts w:ascii="Arial" w:hAnsi="Arial" w:cs="Arial"/>
          <w:sz w:val="24"/>
          <w:szCs w:val="24"/>
        </w:rPr>
        <w:t>under the Scottish system (4 year degrees with 2 years at Honours level) each student would have the opportunity to select a module offered in al</w:t>
      </w:r>
      <w:r>
        <w:rPr>
          <w:rFonts w:ascii="Arial" w:hAnsi="Arial" w:cs="Arial"/>
          <w:sz w:val="24"/>
          <w:szCs w:val="24"/>
        </w:rPr>
        <w:t>ternative years – this increased</w:t>
      </w:r>
      <w:r w:rsidRPr="00E80F0C">
        <w:rPr>
          <w:rFonts w:ascii="Arial" w:hAnsi="Arial" w:cs="Arial"/>
          <w:sz w:val="24"/>
          <w:szCs w:val="24"/>
        </w:rPr>
        <w:t xml:space="preserve"> student choice in a programme staffed by only 10 members of teaching staff.</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4.4</w:t>
      </w:r>
      <w:r w:rsidRPr="00E80F0C">
        <w:rPr>
          <w:rFonts w:ascii="Arial" w:hAnsi="Arial" w:cs="Arial"/>
          <w:sz w:val="24"/>
          <w:szCs w:val="24"/>
        </w:rPr>
        <w:tab/>
        <w:t>Conclusions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The following conclusions can be drawn from this research.</w:t>
      </w:r>
    </w:p>
    <w:p w:rsidR="00E03B54" w:rsidRPr="00E80F0C" w:rsidRDefault="00E03B54" w:rsidP="00E03B54">
      <w:pPr>
        <w:pStyle w:val="ListParagraph"/>
        <w:numPr>
          <w:ilvl w:val="0"/>
          <w:numId w:val="7"/>
        </w:numPr>
        <w:spacing w:line="360" w:lineRule="auto"/>
        <w:ind w:left="714" w:hanging="357"/>
        <w:jc w:val="both"/>
        <w:rPr>
          <w:rFonts w:ascii="Arial" w:hAnsi="Arial" w:cs="Arial"/>
          <w:sz w:val="24"/>
          <w:szCs w:val="24"/>
        </w:rPr>
      </w:pPr>
      <w:r w:rsidRPr="00E80F0C">
        <w:rPr>
          <w:rFonts w:ascii="Arial" w:hAnsi="Arial" w:cs="Arial"/>
          <w:sz w:val="24"/>
          <w:szCs w:val="24"/>
        </w:rPr>
        <w:t xml:space="preserve">Since the mid-1990s, as a result of the new legal professional bodies’ requirements for qualifying law degrees, EU </w:t>
      </w:r>
      <w:r>
        <w:rPr>
          <w:rFonts w:ascii="Arial" w:hAnsi="Arial" w:cs="Arial"/>
          <w:sz w:val="24"/>
          <w:szCs w:val="24"/>
        </w:rPr>
        <w:t xml:space="preserve">Law </w:t>
      </w:r>
      <w:r w:rsidRPr="00E80F0C">
        <w:rPr>
          <w:rFonts w:ascii="Arial" w:hAnsi="Arial" w:cs="Arial"/>
          <w:sz w:val="24"/>
          <w:szCs w:val="24"/>
        </w:rPr>
        <w:t>has become an integral part of all universities’ law degrees, with core EU courses being supplemented with optional EU courses covering more specialised areas.</w:t>
      </w:r>
    </w:p>
    <w:p w:rsidR="00E03B54" w:rsidRPr="00E80F0C" w:rsidRDefault="00E03B54" w:rsidP="00E03B54">
      <w:pPr>
        <w:pStyle w:val="ListParagraph"/>
        <w:numPr>
          <w:ilvl w:val="0"/>
          <w:numId w:val="7"/>
        </w:numPr>
        <w:spacing w:line="360" w:lineRule="auto"/>
        <w:jc w:val="both"/>
        <w:rPr>
          <w:rFonts w:ascii="Arial" w:hAnsi="Arial" w:cs="Arial"/>
          <w:sz w:val="24"/>
          <w:szCs w:val="24"/>
        </w:rPr>
      </w:pPr>
      <w:r>
        <w:rPr>
          <w:rFonts w:ascii="Arial" w:hAnsi="Arial" w:cs="Arial"/>
          <w:sz w:val="24"/>
          <w:szCs w:val="24"/>
        </w:rPr>
        <w:lastRenderedPageBreak/>
        <w:t>While EU Law wa</w:t>
      </w:r>
      <w:r w:rsidRPr="00E80F0C">
        <w:rPr>
          <w:rFonts w:ascii="Arial" w:hAnsi="Arial" w:cs="Arial"/>
          <w:sz w:val="24"/>
          <w:szCs w:val="24"/>
        </w:rPr>
        <w:t>s naturally integrated in</w:t>
      </w:r>
      <w:r>
        <w:rPr>
          <w:rFonts w:ascii="Arial" w:hAnsi="Arial" w:cs="Arial"/>
          <w:sz w:val="24"/>
          <w:szCs w:val="24"/>
        </w:rPr>
        <w:t>to</w:t>
      </w:r>
      <w:r w:rsidRPr="00E80F0C">
        <w:rPr>
          <w:rFonts w:ascii="Arial" w:hAnsi="Arial" w:cs="Arial"/>
          <w:sz w:val="24"/>
          <w:szCs w:val="24"/>
        </w:rPr>
        <w:t xml:space="preserve"> core public law subjects, its influence on foundation and core private law subjects </w:t>
      </w:r>
      <w:r>
        <w:rPr>
          <w:rFonts w:ascii="Arial" w:hAnsi="Arial" w:cs="Arial"/>
          <w:sz w:val="24"/>
          <w:szCs w:val="24"/>
        </w:rPr>
        <w:t>would</w:t>
      </w:r>
      <w:r w:rsidRPr="00E80F0C">
        <w:rPr>
          <w:rFonts w:ascii="Arial" w:hAnsi="Arial" w:cs="Arial"/>
          <w:sz w:val="24"/>
          <w:szCs w:val="24"/>
        </w:rPr>
        <w:t xml:space="preserve"> appear </w:t>
      </w:r>
      <w:r>
        <w:rPr>
          <w:rFonts w:ascii="Arial" w:hAnsi="Arial" w:cs="Arial"/>
          <w:sz w:val="24"/>
          <w:szCs w:val="24"/>
        </w:rPr>
        <w:t>still to be less</w:t>
      </w:r>
      <w:r w:rsidRPr="00E80F0C">
        <w:rPr>
          <w:rFonts w:ascii="Arial" w:hAnsi="Arial" w:cs="Arial"/>
          <w:sz w:val="24"/>
          <w:szCs w:val="24"/>
        </w:rPr>
        <w:t>.</w:t>
      </w:r>
    </w:p>
    <w:p w:rsidR="00E03B54" w:rsidRPr="00E80F0C" w:rsidRDefault="00E03B54" w:rsidP="00E03B54">
      <w:pPr>
        <w:pStyle w:val="ListParagraph"/>
        <w:numPr>
          <w:ilvl w:val="0"/>
          <w:numId w:val="7"/>
        </w:numPr>
        <w:spacing w:line="360" w:lineRule="auto"/>
        <w:jc w:val="both"/>
        <w:rPr>
          <w:rFonts w:ascii="Arial" w:hAnsi="Arial" w:cs="Arial"/>
          <w:sz w:val="24"/>
          <w:szCs w:val="24"/>
        </w:rPr>
      </w:pPr>
      <w:r>
        <w:rPr>
          <w:rFonts w:ascii="Arial" w:hAnsi="Arial" w:cs="Arial"/>
          <w:sz w:val="24"/>
          <w:szCs w:val="24"/>
        </w:rPr>
        <w:t>EU L</w:t>
      </w:r>
      <w:r w:rsidRPr="00E80F0C">
        <w:rPr>
          <w:rFonts w:ascii="Arial" w:hAnsi="Arial" w:cs="Arial"/>
          <w:sz w:val="24"/>
          <w:szCs w:val="24"/>
        </w:rPr>
        <w:t xml:space="preserve">aw </w:t>
      </w:r>
      <w:r>
        <w:rPr>
          <w:rFonts w:ascii="Arial" w:hAnsi="Arial" w:cs="Arial"/>
          <w:sz w:val="24"/>
          <w:szCs w:val="24"/>
        </w:rPr>
        <w:t>has</w:t>
      </w:r>
      <w:r w:rsidRPr="00E80F0C">
        <w:rPr>
          <w:rFonts w:ascii="Arial" w:hAnsi="Arial" w:cs="Arial"/>
          <w:sz w:val="24"/>
          <w:szCs w:val="24"/>
        </w:rPr>
        <w:t xml:space="preserve"> also increasingly</w:t>
      </w:r>
      <w:r>
        <w:rPr>
          <w:rFonts w:ascii="Arial" w:hAnsi="Arial" w:cs="Arial"/>
          <w:sz w:val="24"/>
          <w:szCs w:val="24"/>
        </w:rPr>
        <w:t xml:space="preserve"> been</w:t>
      </w:r>
      <w:r w:rsidRPr="00E80F0C">
        <w:rPr>
          <w:rFonts w:ascii="Arial" w:hAnsi="Arial" w:cs="Arial"/>
          <w:sz w:val="24"/>
          <w:szCs w:val="24"/>
        </w:rPr>
        <w:t xml:space="preserve"> incorporated in</w:t>
      </w:r>
      <w:r>
        <w:rPr>
          <w:rFonts w:ascii="Arial" w:hAnsi="Arial" w:cs="Arial"/>
          <w:sz w:val="24"/>
          <w:szCs w:val="24"/>
        </w:rPr>
        <w:t>to</w:t>
      </w:r>
      <w:r w:rsidRPr="00E80F0C">
        <w:rPr>
          <w:rFonts w:ascii="Arial" w:hAnsi="Arial" w:cs="Arial"/>
          <w:sz w:val="24"/>
          <w:szCs w:val="24"/>
        </w:rPr>
        <w:t xml:space="preserve"> the teaching of optional subjects n</w:t>
      </w:r>
      <w:r>
        <w:rPr>
          <w:rFonts w:ascii="Arial" w:hAnsi="Arial" w:cs="Arial"/>
          <w:sz w:val="24"/>
          <w:szCs w:val="24"/>
        </w:rPr>
        <w:t>ot only where the impact of EU L</w:t>
      </w:r>
      <w:r w:rsidRPr="00E80F0C">
        <w:rPr>
          <w:rFonts w:ascii="Arial" w:hAnsi="Arial" w:cs="Arial"/>
          <w:sz w:val="24"/>
          <w:szCs w:val="24"/>
        </w:rPr>
        <w:t xml:space="preserve">aw on </w:t>
      </w:r>
      <w:r>
        <w:rPr>
          <w:rFonts w:ascii="Arial" w:hAnsi="Arial" w:cs="Arial"/>
          <w:sz w:val="24"/>
          <w:szCs w:val="24"/>
        </w:rPr>
        <w:t xml:space="preserve">the </w:t>
      </w:r>
      <w:r w:rsidRPr="00E80F0C">
        <w:rPr>
          <w:rFonts w:ascii="Arial" w:hAnsi="Arial" w:cs="Arial"/>
          <w:sz w:val="24"/>
          <w:szCs w:val="24"/>
        </w:rPr>
        <w:t>domestic law area is clearly accepted but also where it is regarded as peripheral.</w:t>
      </w:r>
    </w:p>
    <w:p w:rsidR="00E03B54" w:rsidRPr="00E80F0C"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Pr="00E80F0C" w:rsidRDefault="00E03B54" w:rsidP="00E03B54">
      <w:pPr>
        <w:spacing w:line="360" w:lineRule="auto"/>
        <w:jc w:val="both"/>
        <w:rPr>
          <w:rFonts w:ascii="Arial" w:hAnsi="Arial" w:cs="Arial"/>
          <w:b/>
          <w:sz w:val="28"/>
          <w:szCs w:val="28"/>
        </w:rPr>
      </w:pPr>
      <w:r w:rsidRPr="00E80F0C">
        <w:rPr>
          <w:rFonts w:ascii="Arial" w:hAnsi="Arial" w:cs="Arial"/>
          <w:b/>
          <w:sz w:val="28"/>
          <w:szCs w:val="28"/>
        </w:rPr>
        <w:lastRenderedPageBreak/>
        <w:t xml:space="preserve">5. </w:t>
      </w:r>
      <w:r w:rsidRPr="00E80F0C">
        <w:rPr>
          <w:rFonts w:ascii="Arial" w:hAnsi="Arial" w:cs="Arial"/>
          <w:b/>
          <w:sz w:val="28"/>
          <w:szCs w:val="28"/>
        </w:rPr>
        <w:tab/>
      </w:r>
      <w:r>
        <w:rPr>
          <w:rFonts w:ascii="Arial" w:hAnsi="Arial" w:cs="Arial"/>
          <w:b/>
          <w:sz w:val="28"/>
          <w:szCs w:val="28"/>
        </w:rPr>
        <w:t>Type of Course</w:t>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5.1</w:t>
      </w:r>
      <w:r>
        <w:rPr>
          <w:rFonts w:ascii="Arial" w:hAnsi="Arial" w:cs="Arial"/>
          <w:sz w:val="24"/>
          <w:szCs w:val="24"/>
        </w:rPr>
        <w:tab/>
      </w:r>
      <w:r w:rsidR="008A61D7">
        <w:rPr>
          <w:rFonts w:ascii="Arial" w:hAnsi="Arial" w:cs="Arial"/>
          <w:sz w:val="24"/>
          <w:szCs w:val="24"/>
        </w:rPr>
        <w:t>In</w:t>
      </w:r>
      <w:r w:rsidRPr="00E80F0C">
        <w:rPr>
          <w:rFonts w:ascii="Arial" w:hAnsi="Arial" w:cs="Arial"/>
          <w:sz w:val="24"/>
          <w:szCs w:val="24"/>
        </w:rPr>
        <w:t xml:space="preserve"> question 3, we were interested in identifying the main characteristics of the courses taught, such </w:t>
      </w:r>
      <w:r>
        <w:rPr>
          <w:rFonts w:ascii="Arial" w:hAnsi="Arial" w:cs="Arial"/>
          <w:sz w:val="24"/>
          <w:szCs w:val="24"/>
        </w:rPr>
        <w:t>as the stage at which it wa</w:t>
      </w:r>
      <w:r w:rsidRPr="00E80F0C">
        <w:rPr>
          <w:rFonts w:ascii="Arial" w:hAnsi="Arial" w:cs="Arial"/>
          <w:sz w:val="24"/>
          <w:szCs w:val="24"/>
        </w:rPr>
        <w:t>s offered, whether prerequisites exist</w:t>
      </w:r>
      <w:r>
        <w:rPr>
          <w:rFonts w:ascii="Arial" w:hAnsi="Arial" w:cs="Arial"/>
          <w:sz w:val="24"/>
          <w:szCs w:val="24"/>
        </w:rPr>
        <w:t>ed</w:t>
      </w:r>
      <w:r w:rsidRPr="00E80F0C">
        <w:rPr>
          <w:rFonts w:ascii="Arial" w:hAnsi="Arial" w:cs="Arial"/>
          <w:sz w:val="24"/>
          <w:szCs w:val="24"/>
        </w:rPr>
        <w:t xml:space="preserve">, </w:t>
      </w:r>
      <w:r>
        <w:rPr>
          <w:rFonts w:ascii="Arial" w:hAnsi="Arial" w:cs="Arial"/>
          <w:sz w:val="24"/>
          <w:szCs w:val="24"/>
        </w:rPr>
        <w:t>its length and</w:t>
      </w:r>
      <w:r w:rsidRPr="00E80F0C">
        <w:rPr>
          <w:rFonts w:ascii="Arial" w:hAnsi="Arial" w:cs="Arial"/>
          <w:sz w:val="24"/>
          <w:szCs w:val="24"/>
        </w:rPr>
        <w:t xml:space="preserve"> weekly student contact hours.</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5.2</w:t>
      </w:r>
      <w:r>
        <w:rPr>
          <w:rFonts w:ascii="Arial" w:hAnsi="Arial" w:cs="Arial"/>
          <w:sz w:val="24"/>
          <w:szCs w:val="24"/>
        </w:rPr>
        <w:tab/>
        <w:t>Main C</w:t>
      </w:r>
      <w:r w:rsidRPr="00E80F0C">
        <w:rPr>
          <w:rFonts w:ascii="Arial" w:hAnsi="Arial" w:cs="Arial"/>
          <w:sz w:val="24"/>
          <w:szCs w:val="24"/>
        </w:rPr>
        <w:t>haracteristics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With the exception of a very few </w:t>
      </w:r>
      <w:r>
        <w:rPr>
          <w:rFonts w:ascii="Arial" w:hAnsi="Arial" w:cs="Arial"/>
          <w:sz w:val="24"/>
          <w:szCs w:val="24"/>
        </w:rPr>
        <w:t>LLB/</w:t>
      </w:r>
      <w:r w:rsidRPr="00E80F0C">
        <w:rPr>
          <w:rFonts w:ascii="Arial" w:hAnsi="Arial" w:cs="Arial"/>
          <w:sz w:val="24"/>
          <w:szCs w:val="24"/>
        </w:rPr>
        <w:t>QLD providers</w:t>
      </w:r>
      <w:r w:rsidRPr="00E80F0C">
        <w:rPr>
          <w:rStyle w:val="FootnoteReference"/>
          <w:rFonts w:ascii="Arial" w:hAnsi="Arial" w:cs="Arial"/>
          <w:sz w:val="24"/>
          <w:szCs w:val="24"/>
        </w:rPr>
        <w:footnoteReference w:id="68"/>
      </w:r>
      <w:r>
        <w:rPr>
          <w:rFonts w:ascii="Arial" w:hAnsi="Arial" w:cs="Arial"/>
          <w:sz w:val="24"/>
          <w:szCs w:val="24"/>
        </w:rPr>
        <w:t>, the main EU Law courses we</w:t>
      </w:r>
      <w:r w:rsidRPr="00E80F0C">
        <w:rPr>
          <w:rFonts w:ascii="Arial" w:hAnsi="Arial" w:cs="Arial"/>
          <w:sz w:val="24"/>
          <w:szCs w:val="24"/>
        </w:rPr>
        <w:t>re generally offered at level 2/3 over a period of 20 to 30 weeks</w:t>
      </w:r>
      <w:r w:rsidRPr="00E80F0C">
        <w:rPr>
          <w:rStyle w:val="FootnoteReference"/>
          <w:rFonts w:ascii="Arial" w:hAnsi="Arial" w:cs="Arial"/>
          <w:sz w:val="24"/>
          <w:szCs w:val="24"/>
        </w:rPr>
        <w:footnoteReference w:id="69"/>
      </w:r>
      <w:r w:rsidRPr="00E80F0C">
        <w:rPr>
          <w:rFonts w:ascii="Arial" w:hAnsi="Arial" w:cs="Arial"/>
          <w:sz w:val="24"/>
          <w:szCs w:val="24"/>
        </w:rPr>
        <w:t>. Weekly contact hours tend</w:t>
      </w:r>
      <w:r>
        <w:rPr>
          <w:rFonts w:ascii="Arial" w:hAnsi="Arial" w:cs="Arial"/>
          <w:sz w:val="24"/>
          <w:szCs w:val="24"/>
        </w:rPr>
        <w:t>ed</w:t>
      </w:r>
      <w:r w:rsidRPr="00E80F0C">
        <w:rPr>
          <w:rFonts w:ascii="Arial" w:hAnsi="Arial" w:cs="Arial"/>
          <w:sz w:val="24"/>
          <w:szCs w:val="24"/>
        </w:rPr>
        <w:t xml:space="preserve"> to be between 2 and 3, </w:t>
      </w:r>
      <w:r>
        <w:rPr>
          <w:rFonts w:ascii="Arial" w:hAnsi="Arial" w:cs="Arial"/>
          <w:sz w:val="24"/>
          <w:szCs w:val="24"/>
        </w:rPr>
        <w:t xml:space="preserve">with </w:t>
      </w:r>
      <w:r w:rsidRPr="00E80F0C">
        <w:rPr>
          <w:rFonts w:ascii="Arial" w:hAnsi="Arial" w:cs="Arial"/>
          <w:sz w:val="24"/>
          <w:szCs w:val="24"/>
        </w:rPr>
        <w:t xml:space="preserve">generally 2 hours lectures and 1 hour </w:t>
      </w:r>
      <w:r>
        <w:rPr>
          <w:rFonts w:ascii="Arial" w:hAnsi="Arial" w:cs="Arial"/>
          <w:sz w:val="24"/>
          <w:szCs w:val="24"/>
        </w:rPr>
        <w:t>seminars. Student cohorts varied</w:t>
      </w:r>
      <w:r w:rsidRPr="00E80F0C">
        <w:rPr>
          <w:rFonts w:ascii="Arial" w:hAnsi="Arial" w:cs="Arial"/>
          <w:sz w:val="24"/>
          <w:szCs w:val="24"/>
        </w:rPr>
        <w:t xml:space="preserve"> bet</w:t>
      </w:r>
      <w:r w:rsidR="00F65E2F">
        <w:rPr>
          <w:rFonts w:ascii="Arial" w:hAnsi="Arial" w:cs="Arial"/>
          <w:sz w:val="24"/>
          <w:szCs w:val="24"/>
        </w:rPr>
        <w:t>ween 30 and 35</w:t>
      </w:r>
      <w:r w:rsidRPr="00E80F0C">
        <w:rPr>
          <w:rFonts w:ascii="Arial" w:hAnsi="Arial" w:cs="Arial"/>
          <w:sz w:val="24"/>
          <w:szCs w:val="24"/>
        </w:rPr>
        <w:t>0 stu</w:t>
      </w:r>
      <w:r>
        <w:rPr>
          <w:rFonts w:ascii="Arial" w:hAnsi="Arial" w:cs="Arial"/>
          <w:sz w:val="24"/>
          <w:szCs w:val="24"/>
        </w:rPr>
        <w:t>dents</w:t>
      </w:r>
      <w:r w:rsidR="00F65E2F">
        <w:rPr>
          <w:rStyle w:val="FootnoteReference"/>
          <w:rFonts w:ascii="Arial" w:hAnsi="Arial" w:cs="Arial"/>
          <w:sz w:val="24"/>
          <w:szCs w:val="24"/>
        </w:rPr>
        <w:footnoteReference w:id="70"/>
      </w:r>
      <w:r>
        <w:rPr>
          <w:rFonts w:ascii="Arial" w:hAnsi="Arial" w:cs="Arial"/>
          <w:sz w:val="24"/>
          <w:szCs w:val="24"/>
        </w:rPr>
        <w:t xml:space="preserve"> and very few providers had</w:t>
      </w:r>
      <w:r w:rsidRPr="00E80F0C">
        <w:rPr>
          <w:rFonts w:ascii="Arial" w:hAnsi="Arial" w:cs="Arial"/>
          <w:sz w:val="24"/>
          <w:szCs w:val="24"/>
        </w:rPr>
        <w:t xml:space="preserve"> pre-requisite courses.</w:t>
      </w:r>
      <w:r w:rsidRPr="00E80F0C">
        <w:rPr>
          <w:rStyle w:val="FootnoteReference"/>
          <w:rFonts w:ascii="Arial" w:hAnsi="Arial" w:cs="Arial"/>
          <w:sz w:val="24"/>
          <w:szCs w:val="24"/>
        </w:rPr>
        <w:footnoteReference w:id="71"/>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On CPE courses, EU Law wa</w:t>
      </w:r>
      <w:r w:rsidRPr="00E80F0C">
        <w:rPr>
          <w:rFonts w:ascii="Arial" w:hAnsi="Arial" w:cs="Arial"/>
          <w:sz w:val="24"/>
          <w:szCs w:val="24"/>
        </w:rPr>
        <w:t>s either taught over 1 semester only (12 weeks) or a whole year (23-30 weeks). Contact hours tend</w:t>
      </w:r>
      <w:r>
        <w:rPr>
          <w:rFonts w:ascii="Arial" w:hAnsi="Arial" w:cs="Arial"/>
          <w:sz w:val="24"/>
          <w:szCs w:val="24"/>
        </w:rPr>
        <w:t>ed</w:t>
      </w:r>
      <w:r w:rsidRPr="00E80F0C">
        <w:rPr>
          <w:rFonts w:ascii="Arial" w:hAnsi="Arial" w:cs="Arial"/>
          <w:sz w:val="24"/>
          <w:szCs w:val="24"/>
        </w:rPr>
        <w:t xml:space="preserve"> </w:t>
      </w:r>
      <w:r>
        <w:rPr>
          <w:rFonts w:ascii="Arial" w:hAnsi="Arial" w:cs="Arial"/>
          <w:sz w:val="24"/>
          <w:szCs w:val="24"/>
        </w:rPr>
        <w:t>to be the standard 3 per week and</w:t>
      </w:r>
      <w:r w:rsidR="00F65E2F">
        <w:rPr>
          <w:rFonts w:ascii="Arial" w:hAnsi="Arial" w:cs="Arial"/>
          <w:sz w:val="24"/>
          <w:szCs w:val="24"/>
        </w:rPr>
        <w:t>,</w:t>
      </w:r>
      <w:r>
        <w:rPr>
          <w:rFonts w:ascii="Arial" w:hAnsi="Arial" w:cs="Arial"/>
          <w:sz w:val="24"/>
          <w:szCs w:val="24"/>
        </w:rPr>
        <w:t xml:space="preserve"> w</w:t>
      </w:r>
      <w:r w:rsidRPr="00E80F0C">
        <w:rPr>
          <w:rFonts w:ascii="Arial" w:hAnsi="Arial" w:cs="Arial"/>
          <w:sz w:val="24"/>
          <w:szCs w:val="24"/>
        </w:rPr>
        <w:t>ith t</w:t>
      </w:r>
      <w:r>
        <w:rPr>
          <w:rFonts w:ascii="Arial" w:hAnsi="Arial" w:cs="Arial"/>
          <w:sz w:val="24"/>
          <w:szCs w:val="24"/>
        </w:rPr>
        <w:t>he exception of the College of L</w:t>
      </w:r>
      <w:r w:rsidRPr="00E80F0C">
        <w:rPr>
          <w:rFonts w:ascii="Arial" w:hAnsi="Arial" w:cs="Arial"/>
          <w:sz w:val="24"/>
          <w:szCs w:val="24"/>
        </w:rPr>
        <w:t xml:space="preserve">aw (1400 students), </w:t>
      </w:r>
      <w:r>
        <w:rPr>
          <w:rFonts w:ascii="Arial" w:hAnsi="Arial" w:cs="Arial"/>
          <w:sz w:val="24"/>
          <w:szCs w:val="24"/>
        </w:rPr>
        <w:t>total students numbers varied</w:t>
      </w:r>
      <w:r w:rsidRPr="00E80F0C">
        <w:rPr>
          <w:rFonts w:ascii="Arial" w:hAnsi="Arial" w:cs="Arial"/>
          <w:sz w:val="24"/>
          <w:szCs w:val="24"/>
        </w:rPr>
        <w:t xml:space="preserve"> between 12 and 100. </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5.3</w:t>
      </w:r>
      <w:r w:rsidRPr="00E80F0C">
        <w:rPr>
          <w:rFonts w:ascii="Arial" w:hAnsi="Arial" w:cs="Arial"/>
          <w:sz w:val="24"/>
          <w:szCs w:val="24"/>
        </w:rPr>
        <w:tab/>
      </w:r>
      <w:r>
        <w:rPr>
          <w:rFonts w:ascii="Arial" w:hAnsi="Arial" w:cs="Arial"/>
          <w:sz w:val="24"/>
          <w:szCs w:val="24"/>
        </w:rPr>
        <w:t>LLB/QLD and CPE: T</w:t>
      </w:r>
      <w:r w:rsidRPr="00E80F0C">
        <w:rPr>
          <w:rFonts w:ascii="Arial" w:hAnsi="Arial" w:cs="Arial"/>
          <w:sz w:val="24"/>
          <w:szCs w:val="24"/>
        </w:rPr>
        <w:t xml:space="preserve">ogether or </w:t>
      </w:r>
      <w:r>
        <w:rPr>
          <w:rFonts w:ascii="Arial" w:hAnsi="Arial" w:cs="Arial"/>
          <w:sz w:val="24"/>
          <w:szCs w:val="24"/>
        </w:rPr>
        <w:t>S</w:t>
      </w:r>
      <w:r w:rsidRPr="00E80F0C">
        <w:rPr>
          <w:rFonts w:ascii="Arial" w:hAnsi="Arial" w:cs="Arial"/>
          <w:sz w:val="24"/>
          <w:szCs w:val="24"/>
        </w:rPr>
        <w:t>eparate?</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We asked</w:t>
      </w:r>
      <w:r w:rsidRPr="00E80F0C">
        <w:rPr>
          <w:rFonts w:ascii="Arial" w:hAnsi="Arial" w:cs="Arial"/>
          <w:sz w:val="24"/>
          <w:szCs w:val="24"/>
        </w:rPr>
        <w:t xml:space="preserve"> whether CPE students were taught together with undergraduate students</w:t>
      </w:r>
      <w:r>
        <w:rPr>
          <w:rFonts w:ascii="Arial" w:hAnsi="Arial" w:cs="Arial"/>
          <w:sz w:val="24"/>
          <w:szCs w:val="24"/>
        </w:rPr>
        <w:t xml:space="preserve"> where the institution also ran</w:t>
      </w:r>
      <w:r w:rsidRPr="00E80F0C">
        <w:rPr>
          <w:rFonts w:ascii="Arial" w:hAnsi="Arial" w:cs="Arial"/>
          <w:sz w:val="24"/>
          <w:szCs w:val="24"/>
        </w:rPr>
        <w:t xml:space="preserve"> a CPE course, </w:t>
      </w:r>
      <w:r>
        <w:rPr>
          <w:rFonts w:ascii="Arial" w:hAnsi="Arial" w:cs="Arial"/>
          <w:sz w:val="24"/>
          <w:szCs w:val="24"/>
        </w:rPr>
        <w:t xml:space="preserve">with only </w:t>
      </w:r>
      <w:r w:rsidRPr="00E80F0C">
        <w:rPr>
          <w:rFonts w:ascii="Arial" w:hAnsi="Arial" w:cs="Arial"/>
          <w:sz w:val="24"/>
          <w:szCs w:val="24"/>
        </w:rPr>
        <w:t xml:space="preserve">7 institutions </w:t>
      </w:r>
      <w:r>
        <w:rPr>
          <w:rFonts w:ascii="Arial" w:hAnsi="Arial" w:cs="Arial"/>
          <w:sz w:val="24"/>
          <w:szCs w:val="24"/>
        </w:rPr>
        <w:t>reporting</w:t>
      </w:r>
      <w:r w:rsidRPr="00E80F0C">
        <w:rPr>
          <w:rFonts w:ascii="Arial" w:hAnsi="Arial" w:cs="Arial"/>
          <w:sz w:val="24"/>
          <w:szCs w:val="24"/>
        </w:rPr>
        <w:t xml:space="preserve"> that CPE students were taught with undergraduate students</w:t>
      </w:r>
      <w:r w:rsidRPr="00E80F0C">
        <w:rPr>
          <w:rStyle w:val="FootnoteReference"/>
          <w:rFonts w:ascii="Arial" w:hAnsi="Arial" w:cs="Arial"/>
          <w:sz w:val="24"/>
          <w:szCs w:val="24"/>
        </w:rPr>
        <w:footnoteReference w:id="72"/>
      </w:r>
      <w:r w:rsidRPr="00E80F0C">
        <w:rPr>
          <w:rFonts w:ascii="Arial" w:hAnsi="Arial" w:cs="Arial"/>
          <w:sz w:val="24"/>
          <w:szCs w:val="24"/>
        </w:rPr>
        <w:t>.  While nearly half of all CPE and LLB</w:t>
      </w:r>
      <w:r>
        <w:rPr>
          <w:rFonts w:ascii="Arial" w:hAnsi="Arial" w:cs="Arial"/>
          <w:sz w:val="24"/>
          <w:szCs w:val="24"/>
        </w:rPr>
        <w:t>/</w:t>
      </w:r>
      <w:r w:rsidRPr="00B22E75">
        <w:rPr>
          <w:rFonts w:ascii="Arial" w:hAnsi="Arial" w:cs="Arial"/>
          <w:sz w:val="24"/>
          <w:szCs w:val="24"/>
        </w:rPr>
        <w:t xml:space="preserve"> </w:t>
      </w:r>
      <w:r w:rsidRPr="00E80F0C">
        <w:rPr>
          <w:rFonts w:ascii="Arial" w:hAnsi="Arial" w:cs="Arial"/>
          <w:sz w:val="24"/>
          <w:szCs w:val="24"/>
        </w:rPr>
        <w:t xml:space="preserve">QLD providers (8 for CPE and 13 for LLB/QLD) reported that students were taught separately, 11 </w:t>
      </w:r>
      <w:r>
        <w:rPr>
          <w:rFonts w:ascii="Arial" w:hAnsi="Arial" w:cs="Arial"/>
          <w:sz w:val="24"/>
          <w:szCs w:val="24"/>
        </w:rPr>
        <w:t>LLB/</w:t>
      </w:r>
      <w:r w:rsidRPr="00E80F0C">
        <w:rPr>
          <w:rFonts w:ascii="Arial" w:hAnsi="Arial" w:cs="Arial"/>
          <w:sz w:val="24"/>
          <w:szCs w:val="24"/>
        </w:rPr>
        <w:t>QLD providers reported that this question was not applicable to the</w:t>
      </w:r>
      <w:r w:rsidR="00DC2FA9">
        <w:rPr>
          <w:rFonts w:ascii="Arial" w:hAnsi="Arial" w:cs="Arial"/>
          <w:sz w:val="24"/>
          <w:szCs w:val="24"/>
        </w:rPr>
        <w:t>ir university as the</w:t>
      </w:r>
      <w:r>
        <w:rPr>
          <w:rFonts w:ascii="Arial" w:hAnsi="Arial" w:cs="Arial"/>
          <w:sz w:val="24"/>
          <w:szCs w:val="24"/>
        </w:rPr>
        <w:t xml:space="preserve"> institutions did</w:t>
      </w:r>
      <w:r w:rsidRPr="00E80F0C">
        <w:rPr>
          <w:rFonts w:ascii="Arial" w:hAnsi="Arial" w:cs="Arial"/>
          <w:sz w:val="24"/>
          <w:szCs w:val="24"/>
        </w:rPr>
        <w:t xml:space="preserve"> not run the CPE course</w:t>
      </w:r>
      <w:r w:rsidRPr="00E80F0C">
        <w:rPr>
          <w:rStyle w:val="FootnoteReference"/>
          <w:rFonts w:ascii="Arial" w:hAnsi="Arial" w:cs="Arial"/>
          <w:sz w:val="24"/>
          <w:szCs w:val="24"/>
        </w:rPr>
        <w:footnoteReference w:id="73"/>
      </w:r>
      <w:r w:rsidRPr="00E80F0C">
        <w:rPr>
          <w:rFonts w:ascii="Arial" w:hAnsi="Arial" w:cs="Arial"/>
          <w:sz w:val="24"/>
          <w:szCs w:val="24"/>
        </w:rPr>
        <w:t xml:space="preserve">.  All 7 institutions </w:t>
      </w:r>
      <w:r>
        <w:rPr>
          <w:rFonts w:ascii="Arial" w:hAnsi="Arial" w:cs="Arial"/>
          <w:sz w:val="24"/>
          <w:szCs w:val="24"/>
        </w:rPr>
        <w:t>that</w:t>
      </w:r>
      <w:r w:rsidRPr="00E80F0C">
        <w:rPr>
          <w:rFonts w:ascii="Arial" w:hAnsi="Arial" w:cs="Arial"/>
          <w:sz w:val="24"/>
          <w:szCs w:val="24"/>
        </w:rPr>
        <w:t xml:space="preserve"> reported CPE and LLB/QLD students were taught together stated that this was for lectures only.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There we</w:t>
      </w:r>
      <w:r w:rsidRPr="00E80F0C">
        <w:rPr>
          <w:rFonts w:ascii="Arial" w:hAnsi="Arial" w:cs="Arial"/>
          <w:sz w:val="24"/>
          <w:szCs w:val="24"/>
        </w:rPr>
        <w:t xml:space="preserve">re two main probable reasons </w:t>
      </w:r>
      <w:r>
        <w:rPr>
          <w:rFonts w:ascii="Arial" w:hAnsi="Arial" w:cs="Arial"/>
          <w:sz w:val="24"/>
          <w:szCs w:val="24"/>
        </w:rPr>
        <w:t>for keeping the teaching of EU L</w:t>
      </w:r>
      <w:r w:rsidRPr="00E80F0C">
        <w:rPr>
          <w:rFonts w:ascii="Arial" w:hAnsi="Arial" w:cs="Arial"/>
          <w:sz w:val="24"/>
          <w:szCs w:val="24"/>
        </w:rPr>
        <w:t xml:space="preserve">aw on </w:t>
      </w:r>
      <w:r>
        <w:rPr>
          <w:rFonts w:ascii="Arial" w:hAnsi="Arial" w:cs="Arial"/>
          <w:sz w:val="24"/>
          <w:szCs w:val="24"/>
        </w:rPr>
        <w:t>LLB/</w:t>
      </w:r>
      <w:r w:rsidRPr="00E80F0C">
        <w:rPr>
          <w:rFonts w:ascii="Arial" w:hAnsi="Arial" w:cs="Arial"/>
          <w:sz w:val="24"/>
          <w:szCs w:val="24"/>
        </w:rPr>
        <w:t>QLD and CPE courses separate:</w:t>
      </w:r>
    </w:p>
    <w:p w:rsidR="00E03B54" w:rsidRPr="006C4168" w:rsidRDefault="00E03B54" w:rsidP="00E03B54">
      <w:pPr>
        <w:pStyle w:val="ListParagraph"/>
        <w:numPr>
          <w:ilvl w:val="0"/>
          <w:numId w:val="15"/>
        </w:numPr>
        <w:spacing w:line="360" w:lineRule="auto"/>
        <w:jc w:val="both"/>
        <w:rPr>
          <w:rFonts w:ascii="Arial" w:hAnsi="Arial" w:cs="Arial"/>
          <w:sz w:val="24"/>
          <w:szCs w:val="24"/>
        </w:rPr>
      </w:pPr>
      <w:r w:rsidRPr="006C4168">
        <w:rPr>
          <w:rFonts w:ascii="Arial" w:hAnsi="Arial" w:cs="Arial"/>
          <w:sz w:val="24"/>
          <w:szCs w:val="24"/>
        </w:rPr>
        <w:t xml:space="preserve">while </w:t>
      </w:r>
      <w:r>
        <w:rPr>
          <w:rFonts w:ascii="Arial" w:hAnsi="Arial" w:cs="Arial"/>
          <w:sz w:val="24"/>
          <w:szCs w:val="24"/>
        </w:rPr>
        <w:t>LLB/QLDs we</w:t>
      </w:r>
      <w:r w:rsidRPr="006C4168">
        <w:rPr>
          <w:rFonts w:ascii="Arial" w:hAnsi="Arial" w:cs="Arial"/>
          <w:sz w:val="24"/>
          <w:szCs w:val="24"/>
        </w:rPr>
        <w:t xml:space="preserve">re regarded as academic courses, </w:t>
      </w:r>
      <w:r>
        <w:rPr>
          <w:rFonts w:ascii="Arial" w:hAnsi="Arial" w:cs="Arial"/>
          <w:sz w:val="24"/>
          <w:szCs w:val="24"/>
        </w:rPr>
        <w:t xml:space="preserve">the </w:t>
      </w:r>
      <w:r w:rsidRPr="006C4168">
        <w:rPr>
          <w:rFonts w:ascii="Arial" w:hAnsi="Arial" w:cs="Arial"/>
          <w:sz w:val="24"/>
          <w:szCs w:val="24"/>
        </w:rPr>
        <w:t>CPE tend</w:t>
      </w:r>
      <w:r>
        <w:rPr>
          <w:rFonts w:ascii="Arial" w:hAnsi="Arial" w:cs="Arial"/>
          <w:sz w:val="24"/>
          <w:szCs w:val="24"/>
        </w:rPr>
        <w:t>ed</w:t>
      </w:r>
      <w:r w:rsidRPr="006C4168">
        <w:rPr>
          <w:rFonts w:ascii="Arial" w:hAnsi="Arial" w:cs="Arial"/>
          <w:sz w:val="24"/>
          <w:szCs w:val="24"/>
        </w:rPr>
        <w:t xml:space="preserve"> to be classed as </w:t>
      </w:r>
      <w:r>
        <w:rPr>
          <w:rFonts w:ascii="Arial" w:hAnsi="Arial" w:cs="Arial"/>
          <w:sz w:val="24"/>
          <w:szCs w:val="24"/>
        </w:rPr>
        <w:t>a professional course</w:t>
      </w:r>
      <w:r w:rsidRPr="006C4168">
        <w:rPr>
          <w:rFonts w:ascii="Arial" w:hAnsi="Arial" w:cs="Arial"/>
          <w:sz w:val="24"/>
          <w:szCs w:val="24"/>
        </w:rPr>
        <w:t xml:space="preserve"> like the LPC and the BVC; and,</w:t>
      </w:r>
    </w:p>
    <w:p w:rsidR="00E03B54" w:rsidRPr="006C4168" w:rsidRDefault="00E03B54" w:rsidP="00E03B54">
      <w:pPr>
        <w:pStyle w:val="ListParagraph"/>
        <w:numPr>
          <w:ilvl w:val="0"/>
          <w:numId w:val="15"/>
        </w:numPr>
        <w:spacing w:line="360" w:lineRule="auto"/>
        <w:jc w:val="both"/>
        <w:rPr>
          <w:rFonts w:ascii="Arial" w:hAnsi="Arial" w:cs="Arial"/>
          <w:sz w:val="24"/>
          <w:szCs w:val="24"/>
        </w:rPr>
      </w:pPr>
      <w:r w:rsidRPr="006C4168">
        <w:rPr>
          <w:rFonts w:ascii="Arial" w:hAnsi="Arial" w:cs="Arial"/>
          <w:sz w:val="24"/>
          <w:szCs w:val="24"/>
        </w:rPr>
        <w:t>the large number of students on either co</w:t>
      </w:r>
      <w:r>
        <w:rPr>
          <w:rFonts w:ascii="Arial" w:hAnsi="Arial" w:cs="Arial"/>
          <w:sz w:val="24"/>
          <w:szCs w:val="24"/>
        </w:rPr>
        <w:t>urse reduced</w:t>
      </w:r>
      <w:r w:rsidRPr="006C4168">
        <w:rPr>
          <w:rFonts w:ascii="Arial" w:hAnsi="Arial" w:cs="Arial"/>
          <w:sz w:val="24"/>
          <w:szCs w:val="24"/>
        </w:rPr>
        <w:t xml:space="preserve"> the practicality of joint teaching.</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5.4</w:t>
      </w:r>
      <w:r w:rsidRPr="00E80F0C">
        <w:rPr>
          <w:rFonts w:ascii="Arial" w:hAnsi="Arial" w:cs="Arial"/>
          <w:sz w:val="24"/>
          <w:szCs w:val="24"/>
        </w:rPr>
        <w:tab/>
        <w:t>Conclusions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The following conclusions can be drawn from this analysis.</w:t>
      </w:r>
    </w:p>
    <w:p w:rsidR="00E03B54" w:rsidRPr="00E80F0C" w:rsidRDefault="00E03B54" w:rsidP="00E03B54">
      <w:pPr>
        <w:pStyle w:val="ListParagraph"/>
        <w:numPr>
          <w:ilvl w:val="0"/>
          <w:numId w:val="7"/>
        </w:numPr>
        <w:spacing w:line="360" w:lineRule="auto"/>
        <w:jc w:val="both"/>
        <w:rPr>
          <w:rFonts w:ascii="Arial" w:hAnsi="Arial" w:cs="Arial"/>
          <w:sz w:val="24"/>
          <w:szCs w:val="24"/>
        </w:rPr>
      </w:pPr>
      <w:r w:rsidRPr="00E80F0C">
        <w:rPr>
          <w:rFonts w:ascii="Arial" w:hAnsi="Arial" w:cs="Arial"/>
          <w:sz w:val="24"/>
          <w:szCs w:val="24"/>
        </w:rPr>
        <w:t>The vast majorit</w:t>
      </w:r>
      <w:r>
        <w:rPr>
          <w:rFonts w:ascii="Arial" w:hAnsi="Arial" w:cs="Arial"/>
          <w:sz w:val="24"/>
          <w:szCs w:val="24"/>
        </w:rPr>
        <w:t>y of core EU Law courses we</w:t>
      </w:r>
      <w:r w:rsidRPr="00E80F0C">
        <w:rPr>
          <w:rFonts w:ascii="Arial" w:hAnsi="Arial" w:cs="Arial"/>
          <w:sz w:val="24"/>
          <w:szCs w:val="24"/>
        </w:rPr>
        <w:t xml:space="preserve">re offered at level 2 on </w:t>
      </w:r>
      <w:r>
        <w:rPr>
          <w:rFonts w:ascii="Arial" w:hAnsi="Arial" w:cs="Arial"/>
          <w:sz w:val="24"/>
          <w:szCs w:val="24"/>
        </w:rPr>
        <w:t>LLB/</w:t>
      </w:r>
      <w:r w:rsidRPr="00E80F0C">
        <w:rPr>
          <w:rFonts w:ascii="Arial" w:hAnsi="Arial" w:cs="Arial"/>
          <w:sz w:val="24"/>
          <w:szCs w:val="24"/>
        </w:rPr>
        <w:t>QLDs, generally over an average period of 24 weeks at the average rate of 3 weekly hours.</w:t>
      </w:r>
    </w:p>
    <w:p w:rsidR="00E03B54" w:rsidRPr="00FF393C" w:rsidRDefault="00E03B54" w:rsidP="00E03B54">
      <w:pPr>
        <w:pStyle w:val="ListParagraph"/>
        <w:numPr>
          <w:ilvl w:val="0"/>
          <w:numId w:val="7"/>
        </w:numPr>
        <w:tabs>
          <w:tab w:val="left" w:pos="2775"/>
        </w:tabs>
        <w:spacing w:line="360" w:lineRule="auto"/>
        <w:jc w:val="both"/>
        <w:rPr>
          <w:rFonts w:ascii="Arial" w:hAnsi="Arial" w:cs="Arial"/>
          <w:b/>
          <w:sz w:val="28"/>
          <w:szCs w:val="28"/>
        </w:rPr>
      </w:pPr>
      <w:r w:rsidRPr="00FF393C">
        <w:rPr>
          <w:rFonts w:ascii="Arial" w:hAnsi="Arial" w:cs="Arial"/>
          <w:sz w:val="24"/>
          <w:szCs w:val="24"/>
        </w:rPr>
        <w:t>Where LLB/QLD and CPE courses were offered in the same institution, students on those courses were generally taught separately.</w:t>
      </w:r>
    </w:p>
    <w:p w:rsidR="00E03B54" w:rsidRPr="00E80F0C" w:rsidRDefault="00E03B54" w:rsidP="00FF393C">
      <w:pPr>
        <w:spacing w:after="0" w:line="240" w:lineRule="auto"/>
        <w:rPr>
          <w:rFonts w:ascii="Arial" w:hAnsi="Arial" w:cs="Arial"/>
          <w:sz w:val="24"/>
          <w:szCs w:val="24"/>
        </w:rPr>
      </w:pPr>
      <w:r>
        <w:rPr>
          <w:rFonts w:ascii="Arial" w:hAnsi="Arial" w:cs="Arial"/>
          <w:b/>
          <w:sz w:val="28"/>
          <w:szCs w:val="28"/>
        </w:rPr>
        <w:br w:type="page"/>
      </w:r>
      <w:r w:rsidRPr="00E80F0C">
        <w:rPr>
          <w:rFonts w:ascii="Arial" w:hAnsi="Arial" w:cs="Arial"/>
          <w:b/>
          <w:sz w:val="28"/>
          <w:szCs w:val="28"/>
        </w:rPr>
        <w:lastRenderedPageBreak/>
        <w:t>6.</w:t>
      </w:r>
      <w:r w:rsidRPr="00E80F0C">
        <w:rPr>
          <w:rFonts w:ascii="Arial" w:hAnsi="Arial" w:cs="Arial"/>
          <w:b/>
          <w:sz w:val="28"/>
          <w:szCs w:val="28"/>
        </w:rPr>
        <w:tab/>
      </w:r>
      <w:r>
        <w:rPr>
          <w:rFonts w:ascii="Arial" w:hAnsi="Arial" w:cs="Arial"/>
          <w:b/>
          <w:sz w:val="28"/>
          <w:szCs w:val="28"/>
        </w:rPr>
        <w:t>Course C</w:t>
      </w:r>
      <w:r w:rsidRPr="00E80F0C">
        <w:rPr>
          <w:rFonts w:ascii="Arial" w:hAnsi="Arial" w:cs="Arial"/>
          <w:b/>
          <w:sz w:val="28"/>
          <w:szCs w:val="28"/>
        </w:rPr>
        <w:t>ontent</w:t>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6.1</w:t>
      </w:r>
      <w:r>
        <w:rPr>
          <w:rFonts w:ascii="Arial" w:hAnsi="Arial" w:cs="Arial"/>
          <w:sz w:val="24"/>
          <w:szCs w:val="24"/>
        </w:rPr>
        <w:tab/>
      </w:r>
      <w:r w:rsidRPr="00E80F0C">
        <w:rPr>
          <w:rFonts w:ascii="Arial" w:hAnsi="Arial" w:cs="Arial"/>
          <w:sz w:val="24"/>
          <w:szCs w:val="24"/>
        </w:rPr>
        <w:t>We were i</w:t>
      </w:r>
      <w:r>
        <w:rPr>
          <w:rFonts w:ascii="Arial" w:hAnsi="Arial" w:cs="Arial"/>
          <w:sz w:val="24"/>
          <w:szCs w:val="24"/>
        </w:rPr>
        <w:t xml:space="preserve">nterested </w:t>
      </w:r>
      <w:r w:rsidRPr="00E80F0C">
        <w:rPr>
          <w:rFonts w:ascii="Arial" w:hAnsi="Arial" w:cs="Arial"/>
          <w:sz w:val="24"/>
          <w:szCs w:val="24"/>
        </w:rPr>
        <w:t xml:space="preserve">here </w:t>
      </w:r>
      <w:r>
        <w:rPr>
          <w:rFonts w:ascii="Arial" w:hAnsi="Arial" w:cs="Arial"/>
          <w:sz w:val="24"/>
          <w:szCs w:val="24"/>
        </w:rPr>
        <w:t>in the content of EU L</w:t>
      </w:r>
      <w:r w:rsidRPr="00E80F0C">
        <w:rPr>
          <w:rFonts w:ascii="Arial" w:hAnsi="Arial" w:cs="Arial"/>
          <w:sz w:val="24"/>
          <w:szCs w:val="24"/>
        </w:rPr>
        <w:t>aw courses generally (Q 4(a)) but more particularly in the rough percentage of the overall course content each area taught represented (Q 4(b))</w:t>
      </w:r>
      <w:r w:rsidRPr="00E80F0C">
        <w:rPr>
          <w:rStyle w:val="FootnoteReference"/>
          <w:rFonts w:ascii="Arial" w:hAnsi="Arial" w:cs="Arial"/>
          <w:sz w:val="24"/>
          <w:szCs w:val="24"/>
        </w:rPr>
        <w:footnoteReference w:id="74"/>
      </w:r>
      <w:r w:rsidRPr="00E80F0C">
        <w:rPr>
          <w:rFonts w:ascii="Arial" w:hAnsi="Arial" w:cs="Arial"/>
          <w:sz w:val="24"/>
          <w:szCs w:val="24"/>
        </w:rPr>
        <w:t>, and whether certain area</w:t>
      </w:r>
      <w:r>
        <w:rPr>
          <w:rFonts w:ascii="Arial" w:hAnsi="Arial" w:cs="Arial"/>
          <w:sz w:val="24"/>
          <w:szCs w:val="24"/>
        </w:rPr>
        <w:t>s of EU L</w:t>
      </w:r>
      <w:r w:rsidRPr="00E80F0C">
        <w:rPr>
          <w:rFonts w:ascii="Arial" w:hAnsi="Arial" w:cs="Arial"/>
          <w:sz w:val="24"/>
          <w:szCs w:val="24"/>
        </w:rPr>
        <w:t xml:space="preserve">aw were </w:t>
      </w:r>
      <w:r>
        <w:rPr>
          <w:rFonts w:ascii="Arial" w:hAnsi="Arial" w:cs="Arial"/>
          <w:sz w:val="24"/>
          <w:szCs w:val="24"/>
        </w:rPr>
        <w:t xml:space="preserve">taught </w:t>
      </w:r>
      <w:r w:rsidRPr="00E80F0C">
        <w:rPr>
          <w:rFonts w:ascii="Arial" w:hAnsi="Arial" w:cs="Arial"/>
          <w:sz w:val="24"/>
          <w:szCs w:val="24"/>
        </w:rPr>
        <w:t xml:space="preserve">on courses other than the principal EU course </w:t>
      </w:r>
      <w:r>
        <w:rPr>
          <w:rFonts w:ascii="Arial" w:hAnsi="Arial" w:cs="Arial"/>
          <w:sz w:val="24"/>
          <w:szCs w:val="24"/>
        </w:rPr>
        <w:t>(</w:t>
      </w:r>
      <w:r w:rsidRPr="00E80F0C">
        <w:rPr>
          <w:rFonts w:ascii="Arial" w:hAnsi="Arial" w:cs="Arial"/>
          <w:sz w:val="24"/>
          <w:szCs w:val="24"/>
        </w:rPr>
        <w:t xml:space="preserve">Q4(c)). </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t>General Areas Covered in Principal EU C</w:t>
      </w:r>
      <w:r w:rsidRPr="00E80F0C">
        <w:rPr>
          <w:rFonts w:ascii="Arial" w:hAnsi="Arial" w:cs="Arial"/>
          <w:sz w:val="24"/>
          <w:szCs w:val="24"/>
        </w:rPr>
        <w:t>ourses</w:t>
      </w:r>
    </w:p>
    <w:p w:rsidR="00E03B54" w:rsidRPr="00E80F0C" w:rsidRDefault="00E03B54" w:rsidP="00E03B54">
      <w:pPr>
        <w:spacing w:line="360" w:lineRule="auto"/>
        <w:jc w:val="both"/>
        <w:rPr>
          <w:rFonts w:ascii="Arial" w:hAnsi="Arial" w:cs="Arial"/>
          <w:sz w:val="24"/>
          <w:szCs w:val="24"/>
        </w:rPr>
      </w:pPr>
    </w:p>
    <w:p w:rsidR="00FF393C" w:rsidRDefault="00E03B54" w:rsidP="00E03B54">
      <w:pPr>
        <w:spacing w:line="360" w:lineRule="auto"/>
        <w:jc w:val="both"/>
        <w:rPr>
          <w:rFonts w:ascii="Arial" w:hAnsi="Arial" w:cs="Arial"/>
          <w:sz w:val="24"/>
          <w:szCs w:val="24"/>
        </w:rPr>
      </w:pPr>
      <w:r w:rsidRPr="00E80F0C">
        <w:rPr>
          <w:rFonts w:ascii="Arial" w:hAnsi="Arial" w:cs="Arial"/>
          <w:sz w:val="24"/>
          <w:szCs w:val="24"/>
        </w:rPr>
        <w:t xml:space="preserve">Table </w:t>
      </w:r>
      <w:r>
        <w:rPr>
          <w:rFonts w:ascii="Arial" w:hAnsi="Arial" w:cs="Arial"/>
          <w:sz w:val="24"/>
          <w:szCs w:val="24"/>
        </w:rPr>
        <w:t>6.1 shows which subjects we</w:t>
      </w:r>
      <w:r w:rsidRPr="00E80F0C">
        <w:rPr>
          <w:rFonts w:ascii="Arial" w:hAnsi="Arial" w:cs="Arial"/>
          <w:sz w:val="24"/>
          <w:szCs w:val="24"/>
        </w:rPr>
        <w:t xml:space="preserve">re generally covered by CPE and </w:t>
      </w:r>
      <w:r>
        <w:rPr>
          <w:rFonts w:ascii="Arial" w:hAnsi="Arial" w:cs="Arial"/>
          <w:sz w:val="24"/>
          <w:szCs w:val="24"/>
        </w:rPr>
        <w:t>LLB/</w:t>
      </w:r>
      <w:r w:rsidRPr="00E80F0C">
        <w:rPr>
          <w:rFonts w:ascii="Arial" w:hAnsi="Arial" w:cs="Arial"/>
          <w:sz w:val="24"/>
          <w:szCs w:val="24"/>
        </w:rPr>
        <w:t>QLD courses.</w:t>
      </w:r>
    </w:p>
    <w:p w:rsidR="00FF393C" w:rsidRDefault="00FF393C" w:rsidP="00E03B54">
      <w:pPr>
        <w:spacing w:line="360" w:lineRule="auto"/>
        <w:jc w:val="both"/>
        <w:rPr>
          <w:rFonts w:ascii="Arial" w:hAnsi="Arial" w:cs="Arial"/>
          <w:sz w:val="24"/>
          <w:szCs w:val="24"/>
        </w:rPr>
      </w:pPr>
    </w:p>
    <w:p w:rsidR="008B15B9" w:rsidRDefault="008B15B9" w:rsidP="008B15B9">
      <w:pPr>
        <w:spacing w:line="360" w:lineRule="auto"/>
        <w:jc w:val="both"/>
        <w:rPr>
          <w:rFonts w:ascii="Arial" w:hAnsi="Arial" w:cs="Arial"/>
          <w:sz w:val="24"/>
          <w:szCs w:val="24"/>
        </w:rPr>
      </w:pPr>
      <w:r w:rsidRPr="00E80F0C">
        <w:rPr>
          <w:rFonts w:ascii="Arial" w:hAnsi="Arial" w:cs="Arial"/>
          <w:sz w:val="24"/>
          <w:szCs w:val="24"/>
        </w:rPr>
        <w:t xml:space="preserve">For ease of analysis, </w:t>
      </w:r>
      <w:r>
        <w:rPr>
          <w:rFonts w:ascii="Arial" w:hAnsi="Arial" w:cs="Arial"/>
          <w:sz w:val="24"/>
          <w:szCs w:val="24"/>
        </w:rPr>
        <w:t xml:space="preserve">particularly for display in </w:t>
      </w:r>
      <w:r w:rsidR="00DC2FA9">
        <w:rPr>
          <w:rFonts w:ascii="Arial" w:hAnsi="Arial" w:cs="Arial"/>
          <w:sz w:val="24"/>
          <w:szCs w:val="24"/>
        </w:rPr>
        <w:t>graphical</w:t>
      </w:r>
      <w:r>
        <w:rPr>
          <w:rFonts w:ascii="Arial" w:hAnsi="Arial" w:cs="Arial"/>
          <w:sz w:val="24"/>
          <w:szCs w:val="24"/>
        </w:rPr>
        <w:t xml:space="preserve"> form, </w:t>
      </w:r>
      <w:r w:rsidRPr="00E80F0C">
        <w:rPr>
          <w:rFonts w:ascii="Arial" w:hAnsi="Arial" w:cs="Arial"/>
          <w:sz w:val="24"/>
          <w:szCs w:val="24"/>
        </w:rPr>
        <w:t xml:space="preserve">the subjects were </w:t>
      </w:r>
      <w:r>
        <w:rPr>
          <w:rFonts w:ascii="Arial" w:hAnsi="Arial" w:cs="Arial"/>
          <w:sz w:val="24"/>
          <w:szCs w:val="24"/>
        </w:rPr>
        <w:t>grouped into three categories: history and institutional law (Chart 6.1.1); f</w:t>
      </w:r>
      <w:r w:rsidRPr="00E80F0C">
        <w:rPr>
          <w:rFonts w:ascii="Arial" w:hAnsi="Arial" w:cs="Arial"/>
          <w:sz w:val="24"/>
          <w:szCs w:val="24"/>
        </w:rPr>
        <w:t>oundational principles (supremacy and direct effect) and remedies</w:t>
      </w:r>
      <w:r>
        <w:rPr>
          <w:rFonts w:ascii="Arial" w:hAnsi="Arial" w:cs="Arial"/>
          <w:sz w:val="24"/>
          <w:szCs w:val="24"/>
        </w:rPr>
        <w:t xml:space="preserve"> (Chart 6.1.2)</w:t>
      </w:r>
      <w:r w:rsidRPr="00E80F0C">
        <w:rPr>
          <w:rFonts w:ascii="Arial" w:hAnsi="Arial" w:cs="Arial"/>
          <w:sz w:val="24"/>
          <w:szCs w:val="24"/>
        </w:rPr>
        <w:t>; substantive law</w:t>
      </w:r>
      <w:r>
        <w:rPr>
          <w:rFonts w:ascii="Arial" w:hAnsi="Arial" w:cs="Arial"/>
          <w:sz w:val="24"/>
          <w:szCs w:val="24"/>
        </w:rPr>
        <w:t xml:space="preserve"> (Chart 6.1.3)</w:t>
      </w:r>
      <w:r w:rsidRPr="00E80F0C">
        <w:rPr>
          <w:rFonts w:ascii="Arial" w:hAnsi="Arial" w:cs="Arial"/>
          <w:sz w:val="24"/>
          <w:szCs w:val="24"/>
        </w:rPr>
        <w:t>.</w:t>
      </w: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FF393C" w:rsidRDefault="00FF393C" w:rsidP="00E03B54">
      <w:pPr>
        <w:spacing w:line="360" w:lineRule="auto"/>
        <w:jc w:val="both"/>
        <w:rPr>
          <w:rFonts w:ascii="Arial" w:hAnsi="Arial" w:cs="Arial"/>
          <w:sz w:val="24"/>
          <w:szCs w:val="24"/>
        </w:rPr>
      </w:pPr>
    </w:p>
    <w:p w:rsidR="00E03B54" w:rsidRPr="00E80F0C" w:rsidRDefault="00E03B54" w:rsidP="00E03B54">
      <w:pPr>
        <w:spacing w:line="360" w:lineRule="auto"/>
        <w:jc w:val="center"/>
        <w:rPr>
          <w:rFonts w:ascii="Arial" w:hAnsi="Arial" w:cs="Arial"/>
          <w:sz w:val="24"/>
          <w:szCs w:val="24"/>
        </w:rPr>
      </w:pPr>
      <w:r w:rsidRPr="00E80F0C">
        <w:rPr>
          <w:rFonts w:ascii="Arial" w:hAnsi="Arial" w:cs="Arial"/>
          <w:sz w:val="24"/>
          <w:szCs w:val="24"/>
        </w:rPr>
        <w:lastRenderedPageBreak/>
        <w:t>Table 6.1</w:t>
      </w:r>
      <w:r>
        <w:rPr>
          <w:rFonts w:ascii="Arial" w:hAnsi="Arial" w:cs="Arial"/>
          <w:sz w:val="24"/>
          <w:szCs w:val="24"/>
        </w:rPr>
        <w:t xml:space="preserve"> – Subjects Included in Principal EU C</w:t>
      </w:r>
      <w:r w:rsidRPr="00E80F0C">
        <w:rPr>
          <w:rFonts w:ascii="Arial" w:hAnsi="Arial" w:cs="Arial"/>
          <w:sz w:val="24"/>
          <w:szCs w:val="24"/>
        </w:rPr>
        <w:t>ourses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178"/>
        <w:gridCol w:w="1134"/>
        <w:gridCol w:w="1560"/>
      </w:tblGrid>
      <w:tr w:rsidR="00E03B54" w:rsidRPr="00E80F0C" w:rsidTr="00E03B54">
        <w:tc>
          <w:tcPr>
            <w:tcW w:w="0" w:type="auto"/>
          </w:tcPr>
          <w:p w:rsidR="00E03B54" w:rsidRPr="006C4168" w:rsidRDefault="00E03B54" w:rsidP="00E03B54">
            <w:pPr>
              <w:spacing w:after="0" w:line="240" w:lineRule="auto"/>
              <w:jc w:val="center"/>
              <w:rPr>
                <w:b/>
                <w:sz w:val="24"/>
                <w:szCs w:val="24"/>
              </w:rPr>
            </w:pPr>
            <w:r w:rsidRPr="006C4168">
              <w:rPr>
                <w:b/>
                <w:sz w:val="24"/>
                <w:szCs w:val="24"/>
              </w:rPr>
              <w:t>Su</w:t>
            </w:r>
            <w:r w:rsidR="00293881">
              <w:rPr>
                <w:b/>
                <w:sz w:val="24"/>
                <w:szCs w:val="24"/>
              </w:rPr>
              <w:t>bject Included in Principal EU C</w:t>
            </w:r>
            <w:r w:rsidRPr="006C4168">
              <w:rPr>
                <w:b/>
                <w:sz w:val="24"/>
                <w:szCs w:val="24"/>
              </w:rPr>
              <w:t>ourse</w:t>
            </w:r>
          </w:p>
        </w:tc>
        <w:tc>
          <w:tcPr>
            <w:tcW w:w="1178" w:type="dxa"/>
          </w:tcPr>
          <w:p w:rsidR="00E03B54" w:rsidRPr="006C4168" w:rsidRDefault="00E03B54" w:rsidP="00E03B54">
            <w:pPr>
              <w:spacing w:after="0" w:line="240" w:lineRule="auto"/>
              <w:jc w:val="center"/>
              <w:rPr>
                <w:b/>
                <w:sz w:val="24"/>
                <w:szCs w:val="24"/>
              </w:rPr>
            </w:pPr>
            <w:r w:rsidRPr="006C4168">
              <w:rPr>
                <w:b/>
                <w:sz w:val="24"/>
                <w:szCs w:val="24"/>
              </w:rPr>
              <w:t>CPE</w:t>
            </w:r>
          </w:p>
        </w:tc>
        <w:tc>
          <w:tcPr>
            <w:tcW w:w="1134" w:type="dxa"/>
          </w:tcPr>
          <w:p w:rsidR="00E03B54" w:rsidRPr="006C4168" w:rsidRDefault="00E03B54" w:rsidP="00E03B54">
            <w:pPr>
              <w:spacing w:after="0" w:line="240" w:lineRule="auto"/>
              <w:jc w:val="center"/>
              <w:rPr>
                <w:b/>
                <w:sz w:val="24"/>
                <w:szCs w:val="24"/>
              </w:rPr>
            </w:pPr>
            <w:r w:rsidRPr="006C4168">
              <w:rPr>
                <w:b/>
                <w:sz w:val="24"/>
                <w:szCs w:val="24"/>
              </w:rPr>
              <w:t>LLB/QLD</w:t>
            </w:r>
          </w:p>
        </w:tc>
        <w:tc>
          <w:tcPr>
            <w:tcW w:w="1560" w:type="dxa"/>
          </w:tcPr>
          <w:p w:rsidR="00E03B54" w:rsidRPr="006C4168" w:rsidRDefault="00E03B54" w:rsidP="00E03B54">
            <w:pPr>
              <w:spacing w:after="0" w:line="240" w:lineRule="auto"/>
              <w:jc w:val="center"/>
              <w:rPr>
                <w:b/>
                <w:sz w:val="24"/>
                <w:szCs w:val="24"/>
              </w:rPr>
            </w:pPr>
            <w:r w:rsidRPr="006C4168">
              <w:rPr>
                <w:b/>
                <w:sz w:val="24"/>
                <w:szCs w:val="24"/>
              </w:rPr>
              <w:t>Total</w:t>
            </w:r>
          </w:p>
          <w:p w:rsidR="00E03B54" w:rsidRPr="006C4168" w:rsidRDefault="00E03B54" w:rsidP="00E03B54">
            <w:pPr>
              <w:spacing w:after="0" w:line="240" w:lineRule="auto"/>
              <w:jc w:val="center"/>
              <w:rPr>
                <w:b/>
                <w:sz w:val="24"/>
                <w:szCs w:val="24"/>
              </w:rPr>
            </w:pP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Historical background</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r w:rsidR="008F26E0">
              <w:rPr>
                <w:rFonts w:asciiTheme="minorHAnsi" w:hAnsiTheme="minorHAnsi"/>
                <w:sz w:val="24"/>
                <w:szCs w:val="24"/>
              </w:rPr>
              <w:t>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35</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w:t>
            </w:r>
            <w:r w:rsidR="008F26E0">
              <w:rPr>
                <w:rFonts w:asciiTheme="minorHAnsi" w:hAnsiTheme="minorHAnsi"/>
                <w:sz w:val="24"/>
                <w:szCs w:val="24"/>
              </w:rPr>
              <w:t>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Institutional framework</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r w:rsidR="008F26E0">
              <w:rPr>
                <w:rFonts w:asciiTheme="minorHAnsi" w:hAnsiTheme="minorHAnsi"/>
                <w:sz w:val="24"/>
                <w:szCs w:val="24"/>
              </w:rPr>
              <w:t>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34</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w:t>
            </w:r>
            <w:r w:rsidR="008F26E0">
              <w:rPr>
                <w:rFonts w:asciiTheme="minorHAnsi" w:hAnsiTheme="minorHAnsi"/>
                <w:sz w:val="24"/>
                <w:szCs w:val="24"/>
              </w:rPr>
              <w:t>7</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Nature and function of the EU</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r w:rsidR="008F26E0">
              <w:rPr>
                <w:rFonts w:asciiTheme="minorHAnsi" w:hAnsiTheme="minorHAnsi"/>
                <w:sz w:val="24"/>
                <w:szCs w:val="24"/>
              </w:rPr>
              <w:t>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32</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45</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Integration Theory</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15</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19</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Civil law systems and reasoning</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5</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7</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12</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Sources of law</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35</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General Principles</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12</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30</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42</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Principle of Subsidiarity</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10</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27</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37</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Fundamental Rights</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12</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26</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38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Supremacy</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11</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33</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45</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Direct effect</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34</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47</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 xml:space="preserve">Preliminary Rulings </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12</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33</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45</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 xml:space="preserve">Enforcement Actions </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10</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32</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42</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 xml:space="preserve">Action for Annulment </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8</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30</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38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State Liability</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33</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46</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Free Movement of Goods</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34</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47</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Free Movement of Persons</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33</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46</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Free Movement of Capital</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5</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9</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14</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Pr>
                <w:rFonts w:asciiTheme="minorHAnsi" w:hAnsiTheme="minorHAnsi"/>
                <w:sz w:val="24"/>
                <w:szCs w:val="24"/>
              </w:rPr>
              <w:t>Free Movement of Services and Right of E</w:t>
            </w:r>
            <w:r w:rsidRPr="006C4168">
              <w:rPr>
                <w:rFonts w:asciiTheme="minorHAnsi" w:hAnsiTheme="minorHAnsi"/>
                <w:sz w:val="24"/>
                <w:szCs w:val="24"/>
              </w:rPr>
              <w:t>stablishment</w:t>
            </w: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13</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25</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38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Competition Law</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4</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21</w:t>
            </w:r>
          </w:p>
        </w:tc>
        <w:tc>
          <w:tcPr>
            <w:tcW w:w="1560" w:type="dxa"/>
          </w:tcPr>
          <w:p w:rsidR="00E03B54" w:rsidRPr="006C4168" w:rsidRDefault="008F26E0" w:rsidP="00E03B54">
            <w:pPr>
              <w:spacing w:after="0" w:line="240" w:lineRule="auto"/>
              <w:jc w:val="center"/>
              <w:rPr>
                <w:rFonts w:asciiTheme="minorHAnsi" w:hAnsiTheme="minorHAnsi"/>
                <w:sz w:val="24"/>
                <w:szCs w:val="24"/>
              </w:rPr>
            </w:pPr>
            <w:r>
              <w:rPr>
                <w:rFonts w:asciiTheme="minorHAnsi" w:hAnsiTheme="minorHAnsi"/>
                <w:sz w:val="24"/>
                <w:szCs w:val="24"/>
              </w:rPr>
              <w:t>25</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State Aid</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7</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8</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lastRenderedPageBreak/>
              <w:t>Intellectual Property Law</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2</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Social Policy</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5</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9</w:t>
            </w:r>
          </w:p>
        </w:tc>
      </w:tr>
      <w:tr w:rsidR="00E03B54" w:rsidRPr="00E80F0C" w:rsidTr="00E03B54">
        <w:tc>
          <w:tcPr>
            <w:tcW w:w="0" w:type="auto"/>
          </w:tcPr>
          <w:p w:rsidR="00E03B54" w:rsidRPr="006C4168"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Sex Discrimination</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4</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13</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17</w:t>
            </w:r>
          </w:p>
        </w:tc>
      </w:tr>
      <w:tr w:rsidR="00E03B54" w:rsidRPr="00E80F0C" w:rsidTr="00E03B54">
        <w:tc>
          <w:tcPr>
            <w:tcW w:w="0" w:type="auto"/>
          </w:tcPr>
          <w:p w:rsidR="00E03B54" w:rsidRDefault="00E03B54" w:rsidP="00E03B54">
            <w:pPr>
              <w:spacing w:after="0" w:line="240" w:lineRule="auto"/>
              <w:rPr>
                <w:rFonts w:asciiTheme="minorHAnsi" w:hAnsiTheme="minorHAnsi"/>
                <w:sz w:val="24"/>
                <w:szCs w:val="24"/>
              </w:rPr>
            </w:pPr>
            <w:r w:rsidRPr="006C4168">
              <w:rPr>
                <w:rFonts w:asciiTheme="minorHAnsi" w:hAnsiTheme="minorHAnsi"/>
                <w:sz w:val="24"/>
                <w:szCs w:val="24"/>
              </w:rPr>
              <w:t>Environmental Law</w:t>
            </w:r>
          </w:p>
          <w:p w:rsidR="00E03B54" w:rsidRPr="006C4168" w:rsidRDefault="00E03B54" w:rsidP="00E03B54">
            <w:pPr>
              <w:spacing w:after="0" w:line="240" w:lineRule="auto"/>
              <w:rPr>
                <w:rFonts w:asciiTheme="minorHAnsi" w:hAnsiTheme="minorHAnsi"/>
                <w:sz w:val="24"/>
                <w:szCs w:val="24"/>
              </w:rPr>
            </w:pPr>
          </w:p>
        </w:tc>
        <w:tc>
          <w:tcPr>
            <w:tcW w:w="1178"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0</w:t>
            </w:r>
          </w:p>
        </w:tc>
        <w:tc>
          <w:tcPr>
            <w:tcW w:w="1134"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p>
        </w:tc>
        <w:tc>
          <w:tcPr>
            <w:tcW w:w="1560" w:type="dxa"/>
          </w:tcPr>
          <w:p w:rsidR="00E03B54" w:rsidRPr="006C4168" w:rsidRDefault="00E03B54" w:rsidP="00E03B54">
            <w:pPr>
              <w:spacing w:after="0" w:line="240" w:lineRule="auto"/>
              <w:jc w:val="center"/>
              <w:rPr>
                <w:rFonts w:asciiTheme="minorHAnsi" w:hAnsiTheme="minorHAnsi"/>
                <w:sz w:val="24"/>
                <w:szCs w:val="24"/>
              </w:rPr>
            </w:pPr>
            <w:r w:rsidRPr="006C4168">
              <w:rPr>
                <w:rFonts w:asciiTheme="minorHAnsi" w:hAnsiTheme="minorHAnsi"/>
                <w:sz w:val="24"/>
                <w:szCs w:val="24"/>
              </w:rPr>
              <w:t>1</w:t>
            </w:r>
          </w:p>
        </w:tc>
      </w:tr>
    </w:tbl>
    <w:p w:rsidR="00E03B54" w:rsidRPr="00E80F0C" w:rsidRDefault="00E03B54" w:rsidP="00E03B54">
      <w:pPr>
        <w:jc w:val="both"/>
        <w:rPr>
          <w:rFonts w:ascii="Arial" w:hAnsi="Arial" w:cs="Arial"/>
          <w:sz w:val="24"/>
          <w:szCs w:val="24"/>
        </w:rPr>
      </w:pPr>
    </w:p>
    <w:p w:rsidR="00E03B54" w:rsidRPr="00E80F0C" w:rsidRDefault="00E03B54" w:rsidP="00E03B54">
      <w:pPr>
        <w:jc w:val="both"/>
        <w:rPr>
          <w:rFonts w:ascii="Arial" w:hAnsi="Arial" w:cs="Arial"/>
          <w:sz w:val="24"/>
          <w:szCs w:val="24"/>
        </w:rPr>
      </w:pPr>
    </w:p>
    <w:p w:rsidR="00F54409" w:rsidRDefault="00F54409" w:rsidP="00E03B54">
      <w:pPr>
        <w:spacing w:line="360" w:lineRule="auto"/>
        <w:jc w:val="both"/>
        <w:rPr>
          <w:rFonts w:ascii="Arial" w:hAnsi="Arial" w:cs="Arial"/>
          <w:sz w:val="24"/>
          <w:szCs w:val="24"/>
        </w:rPr>
        <w:sectPr w:rsidR="00F54409" w:rsidSect="00E03B54">
          <w:footerReference w:type="default" r:id="rId9"/>
          <w:pgSz w:w="11906" w:h="16838" w:code="9"/>
          <w:pgMar w:top="1440" w:right="1440" w:bottom="1440" w:left="1440" w:header="709" w:footer="709" w:gutter="0"/>
          <w:cols w:space="708"/>
          <w:docGrid w:linePitch="360"/>
        </w:sectPr>
      </w:pPr>
    </w:p>
    <w:p w:rsidR="00E03B54" w:rsidRDefault="00F54409" w:rsidP="00E03B54">
      <w:pPr>
        <w:spacing w:line="360" w:lineRule="auto"/>
        <w:jc w:val="both"/>
        <w:rPr>
          <w:rFonts w:ascii="Arial" w:hAnsi="Arial" w:cs="Arial"/>
          <w:sz w:val="24"/>
          <w:szCs w:val="24"/>
        </w:rPr>
      </w:pPr>
      <w:r w:rsidRPr="00F54409">
        <w:rPr>
          <w:rFonts w:ascii="Arial" w:hAnsi="Arial" w:cs="Arial"/>
          <w:noProof/>
          <w:sz w:val="24"/>
          <w:szCs w:val="24"/>
          <w:lang w:eastAsia="en-GB"/>
        </w:rPr>
        <w:lastRenderedPageBreak/>
        <w:drawing>
          <wp:inline distT="0" distB="0" distL="0" distR="0">
            <wp:extent cx="9220200" cy="5676900"/>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4409" w:rsidRDefault="00FF393C" w:rsidP="00E03B54">
      <w:pPr>
        <w:spacing w:line="360" w:lineRule="auto"/>
        <w:jc w:val="both"/>
        <w:rPr>
          <w:rFonts w:ascii="Arial" w:hAnsi="Arial" w:cs="Arial"/>
          <w:sz w:val="24"/>
          <w:szCs w:val="24"/>
        </w:rPr>
      </w:pPr>
      <w:r w:rsidRPr="00FF393C">
        <w:rPr>
          <w:rFonts w:ascii="Arial" w:hAnsi="Arial" w:cs="Arial"/>
          <w:noProof/>
          <w:sz w:val="24"/>
          <w:szCs w:val="24"/>
          <w:lang w:eastAsia="en-GB"/>
        </w:rPr>
        <w:lastRenderedPageBreak/>
        <w:drawing>
          <wp:inline distT="0" distB="0" distL="0" distR="0">
            <wp:extent cx="8991600" cy="5924550"/>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4409" w:rsidRDefault="00FF393C" w:rsidP="00E03B54">
      <w:pPr>
        <w:spacing w:line="360" w:lineRule="auto"/>
        <w:jc w:val="both"/>
        <w:rPr>
          <w:rFonts w:ascii="Arial" w:hAnsi="Arial" w:cs="Arial"/>
          <w:sz w:val="24"/>
          <w:szCs w:val="24"/>
        </w:rPr>
      </w:pPr>
      <w:r w:rsidRPr="00FF393C">
        <w:rPr>
          <w:rFonts w:ascii="Arial" w:hAnsi="Arial" w:cs="Arial"/>
          <w:noProof/>
          <w:sz w:val="24"/>
          <w:szCs w:val="24"/>
          <w:lang w:eastAsia="en-GB"/>
        </w:rPr>
        <w:lastRenderedPageBreak/>
        <w:drawing>
          <wp:inline distT="0" distB="0" distL="0" distR="0">
            <wp:extent cx="9115425" cy="5876925"/>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393C" w:rsidRDefault="00FF393C" w:rsidP="00E03B54">
      <w:pPr>
        <w:spacing w:line="360" w:lineRule="auto"/>
        <w:jc w:val="both"/>
        <w:rPr>
          <w:rFonts w:ascii="Arial" w:hAnsi="Arial" w:cs="Arial"/>
          <w:sz w:val="24"/>
          <w:szCs w:val="24"/>
        </w:rPr>
        <w:sectPr w:rsidR="00FF393C" w:rsidSect="00F54409">
          <w:pgSz w:w="16838" w:h="11906" w:orient="landscape" w:code="9"/>
          <w:pgMar w:top="1440" w:right="1440" w:bottom="1440" w:left="1440" w:header="709" w:footer="709" w:gutter="0"/>
          <w:cols w:space="708"/>
          <w:docGrid w:linePitch="360"/>
        </w:sect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lastRenderedPageBreak/>
        <w:t>Chart 6.1.1 clearly sho</w:t>
      </w:r>
      <w:r>
        <w:rPr>
          <w:rFonts w:ascii="Arial" w:hAnsi="Arial" w:cs="Arial"/>
          <w:sz w:val="24"/>
          <w:szCs w:val="24"/>
        </w:rPr>
        <w:t>ws that, with the exception of integration theory and civil law systems and r</w:t>
      </w:r>
      <w:r w:rsidRPr="00E80F0C">
        <w:rPr>
          <w:rFonts w:ascii="Arial" w:hAnsi="Arial" w:cs="Arial"/>
          <w:sz w:val="24"/>
          <w:szCs w:val="24"/>
        </w:rPr>
        <w:t xml:space="preserve">easoning, most, if not all, CPE and </w:t>
      </w:r>
      <w:r>
        <w:rPr>
          <w:rFonts w:ascii="Arial" w:hAnsi="Arial" w:cs="Arial"/>
          <w:sz w:val="24"/>
          <w:szCs w:val="24"/>
        </w:rPr>
        <w:t>LLB/</w:t>
      </w:r>
      <w:r w:rsidRPr="00E80F0C">
        <w:rPr>
          <w:rFonts w:ascii="Arial" w:hAnsi="Arial" w:cs="Arial"/>
          <w:sz w:val="24"/>
          <w:szCs w:val="24"/>
        </w:rPr>
        <w:t>QLD courses cover</w:t>
      </w:r>
      <w:r>
        <w:rPr>
          <w:rFonts w:ascii="Arial" w:hAnsi="Arial" w:cs="Arial"/>
          <w:sz w:val="24"/>
          <w:szCs w:val="24"/>
        </w:rPr>
        <w:t>ed</w:t>
      </w:r>
      <w:r w:rsidRPr="00E80F0C">
        <w:rPr>
          <w:rFonts w:ascii="Arial" w:hAnsi="Arial" w:cs="Arial"/>
          <w:sz w:val="24"/>
          <w:szCs w:val="24"/>
        </w:rPr>
        <w:t xml:space="preserve"> the basic aspects of the historical and institutional foundations of the EU. However, in percentage</w:t>
      </w:r>
      <w:r w:rsidR="00DC2FA9">
        <w:rPr>
          <w:rFonts w:ascii="Arial" w:hAnsi="Arial" w:cs="Arial"/>
          <w:sz w:val="24"/>
          <w:szCs w:val="24"/>
        </w:rPr>
        <w:t xml:space="preserve"> term</w:t>
      </w:r>
      <w:r w:rsidRPr="00E80F0C">
        <w:rPr>
          <w:rFonts w:ascii="Arial" w:hAnsi="Arial" w:cs="Arial"/>
          <w:sz w:val="24"/>
          <w:szCs w:val="24"/>
        </w:rPr>
        <w:t xml:space="preserve">s, more CPE than </w:t>
      </w:r>
      <w:r>
        <w:rPr>
          <w:rFonts w:ascii="Arial" w:hAnsi="Arial" w:cs="Arial"/>
          <w:sz w:val="24"/>
          <w:szCs w:val="24"/>
        </w:rPr>
        <w:t>LLB/</w:t>
      </w:r>
      <w:r w:rsidRPr="00E80F0C">
        <w:rPr>
          <w:rFonts w:ascii="Arial" w:hAnsi="Arial" w:cs="Arial"/>
          <w:sz w:val="24"/>
          <w:szCs w:val="24"/>
        </w:rPr>
        <w:t>QLD courses cover</w:t>
      </w:r>
      <w:r>
        <w:rPr>
          <w:rFonts w:ascii="Arial" w:hAnsi="Arial" w:cs="Arial"/>
          <w:sz w:val="24"/>
          <w:szCs w:val="24"/>
        </w:rPr>
        <w:t>ed</w:t>
      </w:r>
      <w:r w:rsidRPr="00E80F0C">
        <w:rPr>
          <w:rFonts w:ascii="Arial" w:hAnsi="Arial" w:cs="Arial"/>
          <w:sz w:val="24"/>
          <w:szCs w:val="24"/>
        </w:rPr>
        <w:t xml:space="preserve"> </w:t>
      </w:r>
      <w:r>
        <w:rPr>
          <w:rFonts w:ascii="Arial" w:hAnsi="Arial" w:cs="Arial"/>
          <w:sz w:val="24"/>
          <w:szCs w:val="24"/>
        </w:rPr>
        <w:t>g</w:t>
      </w:r>
      <w:r w:rsidRPr="00E80F0C">
        <w:rPr>
          <w:rFonts w:ascii="Arial" w:hAnsi="Arial" w:cs="Arial"/>
          <w:sz w:val="24"/>
          <w:szCs w:val="24"/>
        </w:rPr>
        <w:t xml:space="preserve">eneral </w:t>
      </w:r>
      <w:r>
        <w:rPr>
          <w:rFonts w:ascii="Arial" w:hAnsi="Arial" w:cs="Arial"/>
          <w:sz w:val="24"/>
          <w:szCs w:val="24"/>
        </w:rPr>
        <w:t>principles, the principle of s</w:t>
      </w:r>
      <w:r w:rsidRPr="00E80F0C">
        <w:rPr>
          <w:rFonts w:ascii="Arial" w:hAnsi="Arial" w:cs="Arial"/>
          <w:sz w:val="24"/>
          <w:szCs w:val="24"/>
        </w:rPr>
        <w:t>ubsidiarit</w:t>
      </w:r>
      <w:r>
        <w:rPr>
          <w:rFonts w:ascii="Arial" w:hAnsi="Arial" w:cs="Arial"/>
          <w:sz w:val="24"/>
          <w:szCs w:val="24"/>
        </w:rPr>
        <w:t>y and fundamental r</w:t>
      </w:r>
      <w:r w:rsidRPr="00E80F0C">
        <w:rPr>
          <w:rFonts w:ascii="Arial" w:hAnsi="Arial" w:cs="Arial"/>
          <w:sz w:val="24"/>
          <w:szCs w:val="24"/>
        </w:rPr>
        <w:t>ights.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With regard to th</w:t>
      </w:r>
      <w:r>
        <w:rPr>
          <w:rFonts w:ascii="Arial" w:hAnsi="Arial" w:cs="Arial"/>
          <w:sz w:val="24"/>
          <w:szCs w:val="24"/>
        </w:rPr>
        <w:t>e second category of subjects, C</w:t>
      </w:r>
      <w:r w:rsidRPr="00E80F0C">
        <w:rPr>
          <w:rFonts w:ascii="Arial" w:hAnsi="Arial" w:cs="Arial"/>
          <w:sz w:val="24"/>
          <w:szCs w:val="24"/>
        </w:rPr>
        <w:t>hart 6.1.2 shows that, unsurprisingly, the va</w:t>
      </w:r>
      <w:r>
        <w:rPr>
          <w:rFonts w:ascii="Arial" w:hAnsi="Arial" w:cs="Arial"/>
          <w:sz w:val="24"/>
          <w:szCs w:val="24"/>
        </w:rPr>
        <w:t>st majority of courses covered s</w:t>
      </w:r>
      <w:r w:rsidRPr="00E80F0C">
        <w:rPr>
          <w:rFonts w:ascii="Arial" w:hAnsi="Arial" w:cs="Arial"/>
          <w:sz w:val="24"/>
          <w:szCs w:val="24"/>
        </w:rPr>
        <w:t>uprem</w:t>
      </w:r>
      <w:r>
        <w:rPr>
          <w:rFonts w:ascii="Arial" w:hAnsi="Arial" w:cs="Arial"/>
          <w:sz w:val="24"/>
          <w:szCs w:val="24"/>
        </w:rPr>
        <w:t>acy, direct effect, the preliminary r</w:t>
      </w:r>
      <w:r w:rsidRPr="00E80F0C">
        <w:rPr>
          <w:rFonts w:ascii="Arial" w:hAnsi="Arial" w:cs="Arial"/>
          <w:sz w:val="24"/>
          <w:szCs w:val="24"/>
        </w:rPr>
        <w:t>uling</w:t>
      </w:r>
      <w:r>
        <w:rPr>
          <w:rFonts w:ascii="Arial" w:hAnsi="Arial" w:cs="Arial"/>
          <w:sz w:val="24"/>
          <w:szCs w:val="24"/>
        </w:rPr>
        <w:t>s</w:t>
      </w:r>
      <w:r w:rsidRPr="00E80F0C">
        <w:rPr>
          <w:rFonts w:ascii="Arial" w:hAnsi="Arial" w:cs="Arial"/>
          <w:sz w:val="24"/>
          <w:szCs w:val="24"/>
        </w:rPr>
        <w:t xml:space="preserve"> </w:t>
      </w:r>
      <w:r>
        <w:rPr>
          <w:rFonts w:ascii="Arial" w:hAnsi="Arial" w:cs="Arial"/>
          <w:sz w:val="24"/>
          <w:szCs w:val="24"/>
        </w:rPr>
        <w:t>procedure and State l</w:t>
      </w:r>
      <w:r w:rsidRPr="00E80F0C">
        <w:rPr>
          <w:rFonts w:ascii="Arial" w:hAnsi="Arial" w:cs="Arial"/>
          <w:sz w:val="24"/>
          <w:szCs w:val="24"/>
        </w:rPr>
        <w:t>iability. However, some providers did no</w:t>
      </w:r>
      <w:r>
        <w:rPr>
          <w:rFonts w:ascii="Arial" w:hAnsi="Arial" w:cs="Arial"/>
          <w:sz w:val="24"/>
          <w:szCs w:val="24"/>
        </w:rPr>
        <w:t>t deem it necessary to mention e</w:t>
      </w:r>
      <w:r w:rsidRPr="00E80F0C">
        <w:rPr>
          <w:rFonts w:ascii="Arial" w:hAnsi="Arial" w:cs="Arial"/>
          <w:sz w:val="24"/>
          <w:szCs w:val="24"/>
        </w:rPr>
        <w:t xml:space="preserve">nforcement </w:t>
      </w:r>
      <w:r>
        <w:rPr>
          <w:rFonts w:ascii="Arial" w:hAnsi="Arial" w:cs="Arial"/>
          <w:sz w:val="24"/>
          <w:szCs w:val="24"/>
        </w:rPr>
        <w:t>a</w:t>
      </w:r>
      <w:r w:rsidRPr="00E80F0C">
        <w:rPr>
          <w:rFonts w:ascii="Arial" w:hAnsi="Arial" w:cs="Arial"/>
          <w:sz w:val="24"/>
          <w:szCs w:val="24"/>
        </w:rPr>
        <w:t xml:space="preserve">ctions and </w:t>
      </w:r>
      <w:r>
        <w:rPr>
          <w:rFonts w:ascii="Arial" w:hAnsi="Arial" w:cs="Arial"/>
          <w:sz w:val="24"/>
          <w:szCs w:val="24"/>
        </w:rPr>
        <w:t>j</w:t>
      </w:r>
      <w:r w:rsidRPr="00E80F0C">
        <w:rPr>
          <w:rFonts w:ascii="Arial" w:hAnsi="Arial" w:cs="Arial"/>
          <w:sz w:val="24"/>
          <w:szCs w:val="24"/>
        </w:rPr>
        <w:t xml:space="preserve">udicial </w:t>
      </w:r>
      <w:r>
        <w:rPr>
          <w:rFonts w:ascii="Arial" w:hAnsi="Arial" w:cs="Arial"/>
          <w:sz w:val="24"/>
          <w:szCs w:val="24"/>
        </w:rPr>
        <w:t>r</w:t>
      </w:r>
      <w:r w:rsidRPr="00E80F0C">
        <w:rPr>
          <w:rFonts w:ascii="Arial" w:hAnsi="Arial" w:cs="Arial"/>
          <w:sz w:val="24"/>
          <w:szCs w:val="24"/>
        </w:rPr>
        <w:t xml:space="preserve">eview. </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As to substantive law, C</w:t>
      </w:r>
      <w:r w:rsidRPr="00E80F0C">
        <w:rPr>
          <w:rFonts w:ascii="Arial" w:hAnsi="Arial" w:cs="Arial"/>
          <w:sz w:val="24"/>
          <w:szCs w:val="24"/>
        </w:rPr>
        <w:t xml:space="preserve">hart 6.1.3 </w:t>
      </w:r>
      <w:r>
        <w:rPr>
          <w:rFonts w:ascii="Arial" w:hAnsi="Arial" w:cs="Arial"/>
          <w:sz w:val="24"/>
          <w:szCs w:val="24"/>
        </w:rPr>
        <w:t>also displays expected results. Free movement of goods and free movement of persons we</w:t>
      </w:r>
      <w:r w:rsidRPr="00E80F0C">
        <w:rPr>
          <w:rFonts w:ascii="Arial" w:hAnsi="Arial" w:cs="Arial"/>
          <w:sz w:val="24"/>
          <w:szCs w:val="24"/>
        </w:rPr>
        <w:t>re covered in all courses and very few institutions across the board offer</w:t>
      </w:r>
      <w:r>
        <w:rPr>
          <w:rFonts w:ascii="Arial" w:hAnsi="Arial" w:cs="Arial"/>
          <w:sz w:val="24"/>
          <w:szCs w:val="24"/>
        </w:rPr>
        <w:t>ed, what could be considered,</w:t>
      </w:r>
      <w:r w:rsidRPr="00E80F0C">
        <w:rPr>
          <w:rFonts w:ascii="Arial" w:hAnsi="Arial" w:cs="Arial"/>
          <w:sz w:val="24"/>
          <w:szCs w:val="24"/>
        </w:rPr>
        <w:t xml:space="preserve"> minor subjects such as competition law, discrimination law or intellectual property law.</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6.2 </w:t>
      </w:r>
      <w:r>
        <w:rPr>
          <w:rFonts w:ascii="Arial" w:hAnsi="Arial" w:cs="Arial"/>
          <w:sz w:val="24"/>
          <w:szCs w:val="24"/>
        </w:rPr>
        <w:tab/>
        <w:t>EU Law Subjects Taught in Other Courses/M</w:t>
      </w:r>
      <w:r w:rsidRPr="00E80F0C">
        <w:rPr>
          <w:rFonts w:ascii="Arial" w:hAnsi="Arial" w:cs="Arial"/>
          <w:sz w:val="24"/>
          <w:szCs w:val="24"/>
        </w:rPr>
        <w:t>odules</w:t>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Generally, the major EU Law topics we</w:t>
      </w:r>
      <w:r w:rsidRPr="00E80F0C">
        <w:rPr>
          <w:rFonts w:ascii="Arial" w:hAnsi="Arial" w:cs="Arial"/>
          <w:sz w:val="24"/>
          <w:szCs w:val="24"/>
        </w:rPr>
        <w:t>r</w:t>
      </w:r>
      <w:r w:rsidR="00DC2FA9">
        <w:rPr>
          <w:rFonts w:ascii="Arial" w:hAnsi="Arial" w:cs="Arial"/>
          <w:sz w:val="24"/>
          <w:szCs w:val="24"/>
        </w:rPr>
        <w:t>e taught on the main EU courses but</w:t>
      </w:r>
      <w:r w:rsidRPr="00E80F0C">
        <w:rPr>
          <w:rFonts w:ascii="Arial" w:hAnsi="Arial" w:cs="Arial"/>
          <w:sz w:val="24"/>
          <w:szCs w:val="24"/>
        </w:rPr>
        <w:t xml:space="preserve"> </w:t>
      </w:r>
      <w:r w:rsidR="00DC2FA9">
        <w:rPr>
          <w:rFonts w:ascii="Arial" w:hAnsi="Arial" w:cs="Arial"/>
          <w:sz w:val="24"/>
          <w:szCs w:val="24"/>
        </w:rPr>
        <w:t xml:space="preserve">there were </w:t>
      </w:r>
      <w:r w:rsidRPr="00E80F0C">
        <w:rPr>
          <w:rFonts w:ascii="Arial" w:hAnsi="Arial" w:cs="Arial"/>
          <w:sz w:val="24"/>
          <w:szCs w:val="24"/>
        </w:rPr>
        <w:t xml:space="preserve">some universities </w:t>
      </w:r>
      <w:r w:rsidR="00DC2FA9">
        <w:rPr>
          <w:rFonts w:ascii="Arial" w:hAnsi="Arial" w:cs="Arial"/>
          <w:sz w:val="24"/>
          <w:szCs w:val="24"/>
        </w:rPr>
        <w:t xml:space="preserve">that </w:t>
      </w:r>
      <w:r w:rsidRPr="00E80F0C">
        <w:rPr>
          <w:rFonts w:ascii="Arial" w:hAnsi="Arial" w:cs="Arial"/>
          <w:sz w:val="24"/>
          <w:szCs w:val="24"/>
        </w:rPr>
        <w:t>opted to offer some of t</w:t>
      </w:r>
      <w:r>
        <w:rPr>
          <w:rFonts w:ascii="Arial" w:hAnsi="Arial" w:cs="Arial"/>
          <w:sz w:val="24"/>
          <w:szCs w:val="24"/>
        </w:rPr>
        <w:t>hem in other core courses like public, constitutional law or introduction to law. This wa</w:t>
      </w:r>
      <w:r w:rsidRPr="00E80F0C">
        <w:rPr>
          <w:rFonts w:ascii="Arial" w:hAnsi="Arial" w:cs="Arial"/>
          <w:sz w:val="24"/>
          <w:szCs w:val="24"/>
        </w:rPr>
        <w:t xml:space="preserve">s the case </w:t>
      </w:r>
      <w:r>
        <w:rPr>
          <w:rFonts w:ascii="Arial" w:hAnsi="Arial" w:cs="Arial"/>
          <w:sz w:val="24"/>
          <w:szCs w:val="24"/>
        </w:rPr>
        <w:t>for the topics of</w:t>
      </w:r>
      <w:r w:rsidRPr="00E80F0C">
        <w:rPr>
          <w:rFonts w:ascii="Arial" w:hAnsi="Arial" w:cs="Arial"/>
          <w:sz w:val="24"/>
          <w:szCs w:val="24"/>
        </w:rPr>
        <w:t xml:space="preserve"> the EU historical background, institutions, sources of law, supremacy and direct effect</w:t>
      </w:r>
      <w:r w:rsidRPr="00E80F0C">
        <w:rPr>
          <w:rFonts w:ascii="Arial" w:hAnsi="Arial" w:cs="Arial"/>
          <w:sz w:val="24"/>
          <w:szCs w:val="24"/>
          <w:vertAlign w:val="superscript"/>
        </w:rPr>
        <w:footnoteReference w:id="75"/>
      </w:r>
      <w:r>
        <w:rPr>
          <w:rFonts w:ascii="Arial" w:hAnsi="Arial" w:cs="Arial"/>
          <w:sz w:val="24"/>
          <w:szCs w:val="24"/>
        </w:rPr>
        <w:t>. Equally, some had</w:t>
      </w:r>
      <w:r w:rsidRPr="00E80F0C">
        <w:rPr>
          <w:rFonts w:ascii="Arial" w:hAnsi="Arial" w:cs="Arial"/>
          <w:sz w:val="24"/>
          <w:szCs w:val="24"/>
        </w:rPr>
        <w:t xml:space="preserve"> also opted to teach the main EU substantive law topics, </w:t>
      </w:r>
      <w:r w:rsidRPr="00E80F0C">
        <w:rPr>
          <w:rFonts w:ascii="Arial" w:hAnsi="Arial" w:cs="Arial"/>
          <w:sz w:val="24"/>
          <w:szCs w:val="24"/>
        </w:rPr>
        <w:lastRenderedPageBreak/>
        <w:t>such as FMG, FMP, FMSRE an</w:t>
      </w:r>
      <w:r>
        <w:rPr>
          <w:rFonts w:ascii="Arial" w:hAnsi="Arial" w:cs="Arial"/>
          <w:sz w:val="24"/>
          <w:szCs w:val="24"/>
        </w:rPr>
        <w:t>d FMC in distinct modules (e.g.</w:t>
      </w:r>
      <w:r w:rsidRPr="00E80F0C">
        <w:rPr>
          <w:rFonts w:ascii="Arial" w:hAnsi="Arial" w:cs="Arial"/>
          <w:sz w:val="24"/>
          <w:szCs w:val="24"/>
        </w:rPr>
        <w:t xml:space="preserve"> </w:t>
      </w:r>
      <w:r>
        <w:rPr>
          <w:rFonts w:ascii="Arial" w:hAnsi="Arial" w:cs="Arial"/>
          <w:sz w:val="24"/>
          <w:szCs w:val="24"/>
        </w:rPr>
        <w:t>competition law, law and policies, EU substantive law, aw and the single m</w:t>
      </w:r>
      <w:r w:rsidRPr="00E80F0C">
        <w:rPr>
          <w:rFonts w:ascii="Arial" w:hAnsi="Arial" w:cs="Arial"/>
          <w:sz w:val="24"/>
          <w:szCs w:val="24"/>
        </w:rPr>
        <w:t>arket).</w:t>
      </w:r>
      <w:r w:rsidRPr="00E80F0C">
        <w:rPr>
          <w:rFonts w:ascii="Arial" w:hAnsi="Arial" w:cs="Arial"/>
          <w:sz w:val="24"/>
          <w:szCs w:val="24"/>
          <w:vertAlign w:val="superscript"/>
        </w:rPr>
        <w:footnoteReference w:id="76"/>
      </w:r>
    </w:p>
    <w:p w:rsidR="00E03B54" w:rsidRPr="00E80F0C"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“Minor” topics tend</w:t>
      </w:r>
      <w:r>
        <w:rPr>
          <w:rFonts w:ascii="Arial" w:hAnsi="Arial" w:cs="Arial"/>
          <w:sz w:val="24"/>
          <w:szCs w:val="24"/>
        </w:rPr>
        <w:t>ed</w:t>
      </w:r>
      <w:r w:rsidRPr="00E80F0C">
        <w:rPr>
          <w:rFonts w:ascii="Arial" w:hAnsi="Arial" w:cs="Arial"/>
          <w:sz w:val="24"/>
          <w:szCs w:val="24"/>
        </w:rPr>
        <w:t xml:space="preserve"> to be offered in other courses/modules</w:t>
      </w:r>
      <w:r w:rsidR="008B15B9">
        <w:rPr>
          <w:rFonts w:ascii="Arial" w:hAnsi="Arial" w:cs="Arial"/>
          <w:sz w:val="24"/>
          <w:szCs w:val="24"/>
        </w:rPr>
        <w:t>, the results of which are displayed in Chart 6.2</w:t>
      </w:r>
      <w:r w:rsidRPr="00E80F0C">
        <w:rPr>
          <w:rFonts w:ascii="Arial" w:hAnsi="Arial" w:cs="Arial"/>
          <w:sz w:val="24"/>
          <w:szCs w:val="24"/>
        </w:rPr>
        <w:t xml:space="preserve">. Out of 31(25 </w:t>
      </w:r>
      <w:r>
        <w:rPr>
          <w:rFonts w:ascii="Arial" w:hAnsi="Arial" w:cs="Arial"/>
          <w:sz w:val="24"/>
          <w:szCs w:val="24"/>
        </w:rPr>
        <w:t>LLB/</w:t>
      </w:r>
      <w:r w:rsidRPr="00E80F0C">
        <w:rPr>
          <w:rFonts w:ascii="Arial" w:hAnsi="Arial" w:cs="Arial"/>
          <w:sz w:val="24"/>
          <w:szCs w:val="24"/>
        </w:rPr>
        <w:t>QLD and 6 C</w:t>
      </w:r>
      <w:r w:rsidR="00DC2FA9">
        <w:rPr>
          <w:rFonts w:ascii="Arial" w:hAnsi="Arial" w:cs="Arial"/>
          <w:sz w:val="24"/>
          <w:szCs w:val="24"/>
        </w:rPr>
        <w:t>PE providers) universities who</w:t>
      </w:r>
      <w:r w:rsidRPr="00E80F0C">
        <w:rPr>
          <w:rFonts w:ascii="Arial" w:hAnsi="Arial" w:cs="Arial"/>
          <w:sz w:val="24"/>
          <w:szCs w:val="24"/>
        </w:rPr>
        <w:t xml:space="preserve"> responded to question 4(c):</w:t>
      </w:r>
    </w:p>
    <w:p w:rsidR="00E03B54" w:rsidRPr="006C4168" w:rsidRDefault="00E03B54" w:rsidP="00E03B54">
      <w:pPr>
        <w:pStyle w:val="ListParagraph"/>
        <w:numPr>
          <w:ilvl w:val="0"/>
          <w:numId w:val="16"/>
        </w:numPr>
        <w:spacing w:line="360" w:lineRule="auto"/>
        <w:jc w:val="both"/>
        <w:rPr>
          <w:rFonts w:ascii="Arial" w:hAnsi="Arial" w:cs="Arial"/>
          <w:sz w:val="24"/>
          <w:szCs w:val="24"/>
        </w:rPr>
      </w:pPr>
      <w:r>
        <w:rPr>
          <w:rFonts w:ascii="Arial" w:hAnsi="Arial" w:cs="Arial"/>
          <w:sz w:val="24"/>
          <w:szCs w:val="24"/>
        </w:rPr>
        <w:t>6 offered civil law system and reasoning in either comparative law, legal skills, legal systems or Roman law, French and German l</w:t>
      </w:r>
      <w:r w:rsidRPr="006C4168">
        <w:rPr>
          <w:rFonts w:ascii="Arial" w:hAnsi="Arial" w:cs="Arial"/>
          <w:sz w:val="24"/>
          <w:szCs w:val="24"/>
        </w:rPr>
        <w:t>aw</w:t>
      </w:r>
      <w:r w:rsidRPr="006C4168">
        <w:rPr>
          <w:vertAlign w:val="superscript"/>
        </w:rPr>
        <w:footnoteReference w:id="77"/>
      </w:r>
      <w:r w:rsidRPr="006C4168">
        <w:rPr>
          <w:rFonts w:ascii="Arial" w:hAnsi="Arial" w:cs="Arial"/>
          <w:sz w:val="24"/>
          <w:szCs w:val="24"/>
        </w:rPr>
        <w:t>;</w:t>
      </w:r>
    </w:p>
    <w:p w:rsidR="00E03B54" w:rsidRPr="006C4168" w:rsidRDefault="00E03B54" w:rsidP="00E03B54">
      <w:pPr>
        <w:pStyle w:val="ListParagraph"/>
        <w:numPr>
          <w:ilvl w:val="0"/>
          <w:numId w:val="16"/>
        </w:numPr>
        <w:spacing w:line="360" w:lineRule="auto"/>
        <w:jc w:val="both"/>
        <w:rPr>
          <w:rFonts w:ascii="Arial" w:hAnsi="Arial" w:cs="Arial"/>
          <w:sz w:val="24"/>
          <w:szCs w:val="24"/>
        </w:rPr>
      </w:pPr>
      <w:r>
        <w:rPr>
          <w:rFonts w:ascii="Arial" w:hAnsi="Arial" w:cs="Arial"/>
          <w:sz w:val="24"/>
          <w:szCs w:val="24"/>
        </w:rPr>
        <w:t>in 8 universities, European competition l</w:t>
      </w:r>
      <w:r w:rsidRPr="006C4168">
        <w:rPr>
          <w:rFonts w:ascii="Arial" w:hAnsi="Arial" w:cs="Arial"/>
          <w:sz w:val="24"/>
          <w:szCs w:val="24"/>
        </w:rPr>
        <w:t xml:space="preserve">aw </w:t>
      </w:r>
      <w:r>
        <w:rPr>
          <w:rFonts w:ascii="Arial" w:hAnsi="Arial" w:cs="Arial"/>
          <w:sz w:val="24"/>
          <w:szCs w:val="24"/>
        </w:rPr>
        <w:t>was</w:t>
      </w:r>
      <w:r w:rsidRPr="006C4168">
        <w:rPr>
          <w:rFonts w:ascii="Arial" w:hAnsi="Arial" w:cs="Arial"/>
          <w:sz w:val="24"/>
          <w:szCs w:val="24"/>
        </w:rPr>
        <w:t xml:space="preserve"> part of general competition law modules</w:t>
      </w:r>
      <w:r w:rsidRPr="00E80F0C">
        <w:rPr>
          <w:vertAlign w:val="superscript"/>
        </w:rPr>
        <w:footnoteReference w:id="78"/>
      </w:r>
      <w:r w:rsidRPr="006C4168">
        <w:rPr>
          <w:rFonts w:ascii="Arial" w:hAnsi="Arial" w:cs="Arial"/>
          <w:sz w:val="24"/>
          <w:szCs w:val="24"/>
        </w:rPr>
        <w:t>;</w:t>
      </w:r>
    </w:p>
    <w:p w:rsidR="00E03B54" w:rsidRPr="006C4168" w:rsidRDefault="00E03B54" w:rsidP="00E03B54">
      <w:pPr>
        <w:pStyle w:val="ListParagraph"/>
        <w:numPr>
          <w:ilvl w:val="0"/>
          <w:numId w:val="16"/>
        </w:numPr>
        <w:spacing w:line="360" w:lineRule="auto"/>
        <w:jc w:val="both"/>
        <w:rPr>
          <w:rFonts w:ascii="Arial" w:hAnsi="Arial" w:cs="Arial"/>
          <w:sz w:val="24"/>
          <w:szCs w:val="24"/>
        </w:rPr>
      </w:pPr>
      <w:r>
        <w:rPr>
          <w:rFonts w:ascii="Arial" w:hAnsi="Arial" w:cs="Arial"/>
          <w:sz w:val="24"/>
          <w:szCs w:val="24"/>
        </w:rPr>
        <w:t>18 included European intellectual property in separate IP (or m</w:t>
      </w:r>
      <w:r w:rsidRPr="006C4168">
        <w:rPr>
          <w:rFonts w:ascii="Arial" w:hAnsi="Arial" w:cs="Arial"/>
          <w:sz w:val="24"/>
          <w:szCs w:val="24"/>
        </w:rPr>
        <w:t>edia law) modules</w:t>
      </w:r>
      <w:r w:rsidRPr="00E80F0C">
        <w:rPr>
          <w:vertAlign w:val="superscript"/>
        </w:rPr>
        <w:footnoteReference w:id="79"/>
      </w:r>
      <w:r w:rsidRPr="006C4168">
        <w:rPr>
          <w:rFonts w:ascii="Arial" w:hAnsi="Arial" w:cs="Arial"/>
          <w:sz w:val="24"/>
          <w:szCs w:val="24"/>
        </w:rPr>
        <w:t>;</w:t>
      </w:r>
    </w:p>
    <w:p w:rsidR="00E03B54" w:rsidRPr="006C4168" w:rsidRDefault="00E03B54" w:rsidP="00E03B54">
      <w:pPr>
        <w:pStyle w:val="ListParagraph"/>
        <w:numPr>
          <w:ilvl w:val="0"/>
          <w:numId w:val="16"/>
        </w:numPr>
        <w:spacing w:line="360" w:lineRule="auto"/>
        <w:jc w:val="both"/>
        <w:rPr>
          <w:rFonts w:ascii="Arial" w:hAnsi="Arial" w:cs="Arial"/>
          <w:sz w:val="24"/>
          <w:szCs w:val="24"/>
        </w:rPr>
      </w:pPr>
      <w:r w:rsidRPr="006C4168">
        <w:rPr>
          <w:rFonts w:ascii="Arial" w:hAnsi="Arial" w:cs="Arial"/>
          <w:sz w:val="24"/>
          <w:szCs w:val="24"/>
        </w:rPr>
        <w:t>10 offer</w:t>
      </w:r>
      <w:r>
        <w:rPr>
          <w:rFonts w:ascii="Arial" w:hAnsi="Arial" w:cs="Arial"/>
          <w:sz w:val="24"/>
          <w:szCs w:val="24"/>
        </w:rPr>
        <w:t>ed European e</w:t>
      </w:r>
      <w:r w:rsidRPr="006C4168">
        <w:rPr>
          <w:rFonts w:ascii="Arial" w:hAnsi="Arial" w:cs="Arial"/>
          <w:sz w:val="24"/>
          <w:szCs w:val="24"/>
        </w:rPr>
        <w:t>nviro</w:t>
      </w:r>
      <w:r>
        <w:rPr>
          <w:rFonts w:ascii="Arial" w:hAnsi="Arial" w:cs="Arial"/>
          <w:sz w:val="24"/>
          <w:szCs w:val="24"/>
        </w:rPr>
        <w:t>nmental law as part of general e</w:t>
      </w:r>
      <w:r w:rsidRPr="006C4168">
        <w:rPr>
          <w:rFonts w:ascii="Arial" w:hAnsi="Arial" w:cs="Arial"/>
          <w:sz w:val="24"/>
          <w:szCs w:val="24"/>
        </w:rPr>
        <w:t>nvironmental law modules</w:t>
      </w:r>
      <w:r w:rsidRPr="00E80F0C">
        <w:rPr>
          <w:vertAlign w:val="superscript"/>
        </w:rPr>
        <w:footnoteReference w:id="80"/>
      </w:r>
      <w:r w:rsidRPr="006C4168">
        <w:rPr>
          <w:rFonts w:ascii="Arial" w:hAnsi="Arial" w:cs="Arial"/>
          <w:sz w:val="24"/>
          <w:szCs w:val="24"/>
        </w:rPr>
        <w:t>;</w:t>
      </w:r>
    </w:p>
    <w:p w:rsidR="00E03B54" w:rsidRPr="006C4168" w:rsidRDefault="00E03B54" w:rsidP="00E03B54">
      <w:pPr>
        <w:pStyle w:val="ListParagraph"/>
        <w:numPr>
          <w:ilvl w:val="0"/>
          <w:numId w:val="16"/>
        </w:numPr>
        <w:spacing w:line="360" w:lineRule="auto"/>
        <w:jc w:val="both"/>
        <w:rPr>
          <w:rFonts w:ascii="Arial" w:hAnsi="Arial" w:cs="Arial"/>
          <w:sz w:val="24"/>
          <w:szCs w:val="24"/>
        </w:rPr>
      </w:pPr>
      <w:r>
        <w:rPr>
          <w:rFonts w:ascii="Arial" w:hAnsi="Arial" w:cs="Arial"/>
          <w:sz w:val="24"/>
          <w:szCs w:val="24"/>
        </w:rPr>
        <w:t>4 included fundamental rights in a human r</w:t>
      </w:r>
      <w:r w:rsidRPr="006C4168">
        <w:rPr>
          <w:rFonts w:ascii="Arial" w:hAnsi="Arial" w:cs="Arial"/>
          <w:sz w:val="24"/>
          <w:szCs w:val="24"/>
        </w:rPr>
        <w:t>ights module</w:t>
      </w:r>
      <w:r w:rsidRPr="00E80F0C">
        <w:rPr>
          <w:vertAlign w:val="superscript"/>
        </w:rPr>
        <w:footnoteReference w:id="81"/>
      </w:r>
      <w:r w:rsidRPr="006C4168">
        <w:rPr>
          <w:rFonts w:ascii="Arial" w:hAnsi="Arial" w:cs="Arial"/>
          <w:sz w:val="24"/>
          <w:szCs w:val="24"/>
        </w:rPr>
        <w:t xml:space="preserve">; </w:t>
      </w:r>
      <w:r>
        <w:rPr>
          <w:rFonts w:ascii="Arial" w:hAnsi="Arial" w:cs="Arial"/>
          <w:sz w:val="24"/>
          <w:szCs w:val="24"/>
        </w:rPr>
        <w:t>and,</w:t>
      </w:r>
    </w:p>
    <w:p w:rsidR="00E03B54" w:rsidRPr="00D057B1" w:rsidRDefault="00E03B54" w:rsidP="00E03B54">
      <w:pPr>
        <w:pStyle w:val="ListParagraph"/>
        <w:numPr>
          <w:ilvl w:val="0"/>
          <w:numId w:val="16"/>
        </w:numPr>
        <w:spacing w:line="360" w:lineRule="auto"/>
        <w:jc w:val="both"/>
        <w:rPr>
          <w:rFonts w:ascii="Arial" w:hAnsi="Arial" w:cs="Arial"/>
          <w:sz w:val="24"/>
          <w:szCs w:val="24"/>
        </w:rPr>
        <w:sectPr w:rsidR="00E03B54" w:rsidRPr="00D057B1" w:rsidSect="00FF393C">
          <w:pgSz w:w="11906" w:h="16838" w:code="9"/>
          <w:pgMar w:top="1440" w:right="1440" w:bottom="1440" w:left="1440" w:header="709" w:footer="709" w:gutter="0"/>
          <w:cols w:space="708"/>
          <w:docGrid w:linePitch="360"/>
        </w:sectPr>
      </w:pPr>
      <w:r>
        <w:rPr>
          <w:rFonts w:ascii="Arial" w:hAnsi="Arial" w:cs="Arial"/>
          <w:sz w:val="24"/>
          <w:szCs w:val="24"/>
        </w:rPr>
        <w:t>in 16 universities, European sex discrimination and social policy were generally included in their labour or employment l</w:t>
      </w:r>
      <w:r w:rsidRPr="006C4168">
        <w:rPr>
          <w:rFonts w:ascii="Arial" w:hAnsi="Arial" w:cs="Arial"/>
          <w:sz w:val="24"/>
          <w:szCs w:val="24"/>
        </w:rPr>
        <w:t>aw courses</w:t>
      </w:r>
      <w:r w:rsidRPr="00E80F0C">
        <w:rPr>
          <w:vertAlign w:val="superscript"/>
        </w:rPr>
        <w:footnoteReference w:id="82"/>
      </w:r>
      <w:r>
        <w:rPr>
          <w:rFonts w:ascii="Arial" w:hAnsi="Arial" w:cs="Arial"/>
          <w:sz w:val="24"/>
          <w:szCs w:val="24"/>
        </w:rPr>
        <w:t>.</w:t>
      </w:r>
    </w:p>
    <w:p w:rsidR="008B15B9" w:rsidRDefault="008B15B9" w:rsidP="008B15B9">
      <w:pPr>
        <w:pStyle w:val="Caption"/>
        <w:keepNext/>
        <w:jc w:val="center"/>
        <w:rPr>
          <w:rFonts w:ascii="Arial" w:eastAsiaTheme="minorHAnsi" w:hAnsi="Arial" w:cs="Arial"/>
          <w:sz w:val="24"/>
          <w:szCs w:val="24"/>
        </w:rPr>
      </w:pPr>
      <w:r w:rsidRPr="008B15B9">
        <w:rPr>
          <w:rFonts w:ascii="Arial" w:hAnsi="Arial" w:cs="Arial"/>
          <w:b w:val="0"/>
          <w:color w:val="auto"/>
          <w:sz w:val="24"/>
          <w:szCs w:val="24"/>
        </w:rPr>
        <w:lastRenderedPageBreak/>
        <w:t>Chart 6.</w:t>
      </w:r>
      <w:r>
        <w:rPr>
          <w:rFonts w:ascii="Arial" w:hAnsi="Arial" w:cs="Arial"/>
          <w:b w:val="0"/>
          <w:color w:val="auto"/>
          <w:sz w:val="24"/>
          <w:szCs w:val="24"/>
        </w:rPr>
        <w:t>2</w:t>
      </w:r>
      <w:r>
        <w:rPr>
          <w:rFonts w:ascii="Arial" w:hAnsi="Arial" w:cs="Arial"/>
          <w:b w:val="0"/>
          <w:color w:val="auto"/>
          <w:sz w:val="24"/>
          <w:szCs w:val="24"/>
        </w:rPr>
        <w:tab/>
        <w:t>EU Law Taught in Other Courses/Modules</w:t>
      </w:r>
      <w:r w:rsidRPr="008B15B9">
        <w:rPr>
          <w:rFonts w:ascii="Arial" w:eastAsiaTheme="minorHAnsi" w:hAnsi="Arial" w:cs="Arial"/>
          <w:noProof/>
          <w:sz w:val="24"/>
          <w:szCs w:val="24"/>
          <w:lang w:eastAsia="en-GB"/>
        </w:rPr>
        <w:drawing>
          <wp:inline distT="0" distB="0" distL="0" distR="0">
            <wp:extent cx="8648700" cy="5438775"/>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15B9" w:rsidRDefault="008B15B9" w:rsidP="00E03B54">
      <w:pPr>
        <w:spacing w:line="360" w:lineRule="auto"/>
        <w:jc w:val="both"/>
        <w:rPr>
          <w:rFonts w:ascii="Arial" w:eastAsiaTheme="minorHAnsi" w:hAnsi="Arial" w:cs="Arial"/>
          <w:sz w:val="24"/>
          <w:szCs w:val="24"/>
        </w:rPr>
        <w:sectPr w:rsidR="008B15B9" w:rsidSect="008B15B9">
          <w:pgSz w:w="16838" w:h="11906" w:orient="landscape" w:code="9"/>
          <w:pgMar w:top="1440" w:right="1440" w:bottom="1440" w:left="1440" w:header="709" w:footer="709" w:gutter="0"/>
          <w:cols w:space="708"/>
          <w:docGrid w:linePitch="360"/>
        </w:sectPr>
      </w:pPr>
    </w:p>
    <w:p w:rsidR="00E03B54" w:rsidRPr="00E80F0C" w:rsidRDefault="00E03B54" w:rsidP="00E03B54">
      <w:pPr>
        <w:spacing w:line="360" w:lineRule="auto"/>
        <w:jc w:val="both"/>
        <w:rPr>
          <w:rFonts w:ascii="Arial" w:eastAsiaTheme="minorHAnsi" w:hAnsi="Arial" w:cs="Arial"/>
          <w:sz w:val="24"/>
          <w:szCs w:val="24"/>
        </w:rPr>
      </w:pPr>
      <w:r w:rsidRPr="00E80F0C">
        <w:rPr>
          <w:rFonts w:ascii="Arial" w:eastAsiaTheme="minorHAnsi" w:hAnsi="Arial" w:cs="Arial"/>
          <w:sz w:val="24"/>
          <w:szCs w:val="24"/>
        </w:rPr>
        <w:lastRenderedPageBreak/>
        <w:t>6.3</w:t>
      </w:r>
      <w:r w:rsidRPr="00E80F0C">
        <w:rPr>
          <w:rFonts w:ascii="Arial" w:eastAsiaTheme="minorHAnsi" w:hAnsi="Arial" w:cs="Arial"/>
          <w:sz w:val="24"/>
          <w:szCs w:val="24"/>
        </w:rPr>
        <w:tab/>
        <w:t>Conclusions</w:t>
      </w:r>
    </w:p>
    <w:p w:rsidR="00E03B54" w:rsidRPr="00E80F0C" w:rsidRDefault="00E03B54" w:rsidP="00E03B54">
      <w:pPr>
        <w:spacing w:line="360" w:lineRule="auto"/>
        <w:jc w:val="both"/>
        <w:rPr>
          <w:rFonts w:ascii="Arial" w:eastAsiaTheme="minorHAnsi" w:hAnsi="Arial" w:cs="Arial"/>
          <w:sz w:val="24"/>
          <w:szCs w:val="24"/>
        </w:rPr>
      </w:pPr>
      <w:r w:rsidRPr="00E80F0C">
        <w:rPr>
          <w:rFonts w:ascii="Arial" w:eastAsiaTheme="minorHAnsi" w:hAnsi="Arial" w:cs="Arial"/>
          <w:sz w:val="24"/>
          <w:szCs w:val="24"/>
        </w:rPr>
        <w:t>The following conclusions can be drawn:</w:t>
      </w:r>
    </w:p>
    <w:p w:rsidR="00E03B54" w:rsidRPr="00E80F0C" w:rsidRDefault="00E03B54" w:rsidP="00E03B54">
      <w:pPr>
        <w:numPr>
          <w:ilvl w:val="0"/>
          <w:numId w:val="8"/>
        </w:numPr>
        <w:spacing w:line="360" w:lineRule="auto"/>
        <w:contextualSpacing/>
        <w:jc w:val="both"/>
        <w:rPr>
          <w:rFonts w:ascii="Arial" w:eastAsiaTheme="minorHAnsi" w:hAnsi="Arial" w:cs="Arial"/>
          <w:sz w:val="24"/>
          <w:szCs w:val="24"/>
        </w:rPr>
      </w:pPr>
      <w:r w:rsidRPr="00E80F0C">
        <w:rPr>
          <w:rFonts w:ascii="Arial" w:eastAsiaTheme="minorHAnsi" w:hAnsi="Arial" w:cs="Arial"/>
          <w:sz w:val="24"/>
          <w:szCs w:val="24"/>
        </w:rPr>
        <w:t>The vast majority of courses cover</w:t>
      </w:r>
      <w:r>
        <w:rPr>
          <w:rFonts w:ascii="Arial" w:eastAsiaTheme="minorHAnsi" w:hAnsi="Arial" w:cs="Arial"/>
          <w:sz w:val="24"/>
          <w:szCs w:val="24"/>
        </w:rPr>
        <w:t>ed</w:t>
      </w:r>
      <w:r w:rsidRPr="00E80F0C">
        <w:rPr>
          <w:rFonts w:ascii="Arial" w:eastAsiaTheme="minorHAnsi" w:hAnsi="Arial" w:cs="Arial"/>
          <w:sz w:val="24"/>
          <w:szCs w:val="24"/>
        </w:rPr>
        <w:t xml:space="preserve"> the key aspects of the history and the institutional framework of th</w:t>
      </w:r>
      <w:r>
        <w:rPr>
          <w:rFonts w:ascii="Arial" w:eastAsiaTheme="minorHAnsi" w:hAnsi="Arial" w:cs="Arial"/>
          <w:sz w:val="24"/>
          <w:szCs w:val="24"/>
        </w:rPr>
        <w:t>e EU, the key principles of EU L</w:t>
      </w:r>
      <w:r w:rsidRPr="00E80F0C">
        <w:rPr>
          <w:rFonts w:ascii="Arial" w:eastAsiaTheme="minorHAnsi" w:hAnsi="Arial" w:cs="Arial"/>
          <w:sz w:val="24"/>
          <w:szCs w:val="24"/>
        </w:rPr>
        <w:t>aw and remedies.</w:t>
      </w:r>
    </w:p>
    <w:p w:rsidR="00E03B54" w:rsidRPr="00E80F0C" w:rsidRDefault="00E03B54" w:rsidP="00E03B54">
      <w:pPr>
        <w:numPr>
          <w:ilvl w:val="0"/>
          <w:numId w:val="8"/>
        </w:numPr>
        <w:spacing w:line="360" w:lineRule="auto"/>
        <w:contextualSpacing/>
        <w:jc w:val="both"/>
        <w:rPr>
          <w:rFonts w:ascii="Arial" w:eastAsiaTheme="minorHAnsi" w:hAnsi="Arial" w:cs="Arial"/>
          <w:sz w:val="24"/>
          <w:szCs w:val="24"/>
        </w:rPr>
      </w:pPr>
      <w:r w:rsidRPr="00E80F0C">
        <w:rPr>
          <w:rFonts w:ascii="Arial" w:eastAsiaTheme="minorHAnsi" w:hAnsi="Arial" w:cs="Arial"/>
          <w:sz w:val="24"/>
          <w:szCs w:val="24"/>
        </w:rPr>
        <w:t xml:space="preserve">However, some of those topics </w:t>
      </w:r>
      <w:r>
        <w:rPr>
          <w:rFonts w:ascii="Arial" w:eastAsiaTheme="minorHAnsi" w:hAnsi="Arial" w:cs="Arial"/>
          <w:sz w:val="24"/>
          <w:szCs w:val="24"/>
        </w:rPr>
        <w:t>could</w:t>
      </w:r>
      <w:r w:rsidRPr="00E80F0C">
        <w:rPr>
          <w:rFonts w:ascii="Arial" w:eastAsiaTheme="minorHAnsi" w:hAnsi="Arial" w:cs="Arial"/>
          <w:sz w:val="24"/>
          <w:szCs w:val="24"/>
        </w:rPr>
        <w:t xml:space="preserve"> be covered in other core subjects.</w:t>
      </w:r>
    </w:p>
    <w:p w:rsidR="00E03B54" w:rsidRPr="00E80F0C" w:rsidRDefault="00E03B54" w:rsidP="00E03B54">
      <w:pPr>
        <w:numPr>
          <w:ilvl w:val="0"/>
          <w:numId w:val="8"/>
        </w:numPr>
        <w:spacing w:line="360" w:lineRule="auto"/>
        <w:contextualSpacing/>
        <w:jc w:val="both"/>
        <w:rPr>
          <w:rFonts w:ascii="Arial" w:eastAsiaTheme="minorHAnsi" w:hAnsi="Arial" w:cs="Arial"/>
          <w:sz w:val="24"/>
          <w:szCs w:val="24"/>
        </w:rPr>
      </w:pPr>
      <w:r w:rsidRPr="00E80F0C">
        <w:rPr>
          <w:rFonts w:ascii="Arial" w:eastAsiaTheme="minorHAnsi" w:hAnsi="Arial" w:cs="Arial"/>
          <w:sz w:val="24"/>
          <w:szCs w:val="24"/>
        </w:rPr>
        <w:t>With regard t</w:t>
      </w:r>
      <w:r>
        <w:rPr>
          <w:rFonts w:ascii="Arial" w:eastAsiaTheme="minorHAnsi" w:hAnsi="Arial" w:cs="Arial"/>
          <w:sz w:val="24"/>
          <w:szCs w:val="24"/>
        </w:rPr>
        <w:t>o substantive law, FMG and FMP we</w:t>
      </w:r>
      <w:r w:rsidRPr="00E80F0C">
        <w:rPr>
          <w:rFonts w:ascii="Arial" w:eastAsiaTheme="minorHAnsi" w:hAnsi="Arial" w:cs="Arial"/>
          <w:sz w:val="24"/>
          <w:szCs w:val="24"/>
        </w:rPr>
        <w:t>re g</w:t>
      </w:r>
      <w:r>
        <w:rPr>
          <w:rFonts w:ascii="Arial" w:eastAsiaTheme="minorHAnsi" w:hAnsi="Arial" w:cs="Arial"/>
          <w:sz w:val="24"/>
          <w:szCs w:val="24"/>
        </w:rPr>
        <w:t>enerally key topics in core EU Law modules but we</w:t>
      </w:r>
      <w:r w:rsidRPr="00E80F0C">
        <w:rPr>
          <w:rFonts w:ascii="Arial" w:eastAsiaTheme="minorHAnsi" w:hAnsi="Arial" w:cs="Arial"/>
          <w:sz w:val="24"/>
          <w:szCs w:val="24"/>
        </w:rPr>
        <w:t>re also taught in their own separate modules.</w:t>
      </w:r>
    </w:p>
    <w:p w:rsidR="00E03B54" w:rsidRPr="00E80F0C" w:rsidRDefault="00E03B54" w:rsidP="00E03B54">
      <w:pPr>
        <w:numPr>
          <w:ilvl w:val="0"/>
          <w:numId w:val="8"/>
        </w:numPr>
        <w:spacing w:line="360" w:lineRule="auto"/>
        <w:contextualSpacing/>
        <w:jc w:val="both"/>
        <w:rPr>
          <w:rFonts w:ascii="Arial" w:eastAsiaTheme="minorHAnsi" w:hAnsi="Arial" w:cs="Arial"/>
          <w:sz w:val="24"/>
          <w:szCs w:val="24"/>
        </w:rPr>
      </w:pPr>
      <w:r w:rsidRPr="00E80F0C">
        <w:rPr>
          <w:rFonts w:ascii="Arial" w:eastAsiaTheme="minorHAnsi" w:hAnsi="Arial" w:cs="Arial"/>
          <w:sz w:val="24"/>
          <w:szCs w:val="24"/>
        </w:rPr>
        <w:t xml:space="preserve">Other “minor” substantive law subjects </w:t>
      </w:r>
      <w:r>
        <w:rPr>
          <w:rFonts w:ascii="Arial" w:eastAsiaTheme="minorHAnsi" w:hAnsi="Arial" w:cs="Arial"/>
          <w:sz w:val="24"/>
          <w:szCs w:val="24"/>
        </w:rPr>
        <w:t>we</w:t>
      </w:r>
      <w:r w:rsidRPr="00E80F0C">
        <w:rPr>
          <w:rFonts w:ascii="Arial" w:eastAsiaTheme="minorHAnsi" w:hAnsi="Arial" w:cs="Arial"/>
          <w:sz w:val="24"/>
          <w:szCs w:val="24"/>
        </w:rPr>
        <w:t>re more likely to be taught in separate modules.</w:t>
      </w:r>
    </w:p>
    <w:p w:rsidR="00E03B54" w:rsidRPr="00E80F0C" w:rsidRDefault="00E03B54" w:rsidP="00E03B54">
      <w:pPr>
        <w:spacing w:line="360" w:lineRule="auto"/>
        <w:jc w:val="both"/>
        <w:rPr>
          <w:rFonts w:ascii="Arial" w:eastAsiaTheme="minorHAnsi" w:hAnsi="Arial" w:cs="Arial"/>
          <w:b/>
          <w:sz w:val="24"/>
          <w:szCs w:val="24"/>
        </w:rPr>
      </w:pPr>
    </w:p>
    <w:p w:rsidR="00E03B54" w:rsidRPr="00E80F0C" w:rsidRDefault="00E03B54" w:rsidP="00E03B54">
      <w:pPr>
        <w:spacing w:line="360" w:lineRule="auto"/>
        <w:jc w:val="both"/>
        <w:rPr>
          <w:rFonts w:ascii="Arial" w:eastAsiaTheme="minorHAnsi" w:hAnsi="Arial" w:cs="Arial"/>
          <w:b/>
          <w:sz w:val="24"/>
          <w:szCs w:val="24"/>
        </w:rPr>
      </w:pPr>
    </w:p>
    <w:p w:rsidR="00E03B54" w:rsidRPr="00E80F0C" w:rsidRDefault="00E03B54" w:rsidP="00E03B54">
      <w:pPr>
        <w:spacing w:line="360" w:lineRule="auto"/>
        <w:jc w:val="both"/>
        <w:rPr>
          <w:rFonts w:ascii="Arial" w:eastAsiaTheme="minorHAnsi" w:hAnsi="Arial" w:cs="Arial"/>
          <w:b/>
          <w:sz w:val="24"/>
          <w:szCs w:val="24"/>
        </w:rPr>
      </w:pPr>
    </w:p>
    <w:p w:rsidR="00E03B54" w:rsidRDefault="00E03B54">
      <w:pPr>
        <w:spacing w:after="0" w:line="240" w:lineRule="auto"/>
        <w:rPr>
          <w:rFonts w:ascii="Arial" w:eastAsiaTheme="minorHAnsi" w:hAnsi="Arial" w:cs="Arial"/>
          <w:b/>
          <w:sz w:val="28"/>
          <w:szCs w:val="28"/>
        </w:rPr>
      </w:pPr>
      <w:r>
        <w:rPr>
          <w:rFonts w:ascii="Arial" w:eastAsiaTheme="minorHAnsi" w:hAnsi="Arial" w:cs="Arial"/>
          <w:b/>
          <w:sz w:val="28"/>
          <w:szCs w:val="28"/>
        </w:rPr>
        <w:br w:type="page"/>
      </w:r>
    </w:p>
    <w:p w:rsidR="00E03B54" w:rsidRDefault="00E03B54" w:rsidP="00E03B54">
      <w:pPr>
        <w:spacing w:line="360" w:lineRule="auto"/>
        <w:jc w:val="both"/>
        <w:rPr>
          <w:rFonts w:ascii="Arial" w:eastAsiaTheme="minorHAnsi" w:hAnsi="Arial" w:cs="Arial"/>
          <w:b/>
          <w:sz w:val="28"/>
          <w:szCs w:val="28"/>
        </w:rPr>
      </w:pPr>
      <w:r>
        <w:rPr>
          <w:rFonts w:ascii="Arial" w:eastAsiaTheme="minorHAnsi" w:hAnsi="Arial" w:cs="Arial"/>
          <w:b/>
          <w:sz w:val="28"/>
          <w:szCs w:val="28"/>
        </w:rPr>
        <w:lastRenderedPageBreak/>
        <w:t xml:space="preserve">7. </w:t>
      </w:r>
      <w:r>
        <w:rPr>
          <w:rFonts w:ascii="Arial" w:eastAsiaTheme="minorHAnsi" w:hAnsi="Arial" w:cs="Arial"/>
          <w:b/>
          <w:sz w:val="28"/>
          <w:szCs w:val="28"/>
        </w:rPr>
        <w:tab/>
        <w:t>Factors Influencing C</w:t>
      </w:r>
      <w:r w:rsidRPr="00E80F0C">
        <w:rPr>
          <w:rFonts w:ascii="Arial" w:eastAsiaTheme="minorHAnsi" w:hAnsi="Arial" w:cs="Arial"/>
          <w:b/>
          <w:sz w:val="28"/>
          <w:szCs w:val="28"/>
        </w:rPr>
        <w:t>ourse</w:t>
      </w:r>
      <w:r>
        <w:rPr>
          <w:rFonts w:ascii="Arial" w:eastAsiaTheme="minorHAnsi" w:hAnsi="Arial" w:cs="Arial"/>
          <w:b/>
          <w:sz w:val="28"/>
          <w:szCs w:val="28"/>
        </w:rPr>
        <w:t xml:space="preserve"> Content</w:t>
      </w:r>
    </w:p>
    <w:p w:rsidR="00E03B54" w:rsidRPr="00E80F0C" w:rsidRDefault="00E03B54" w:rsidP="00E03B54">
      <w:pPr>
        <w:spacing w:line="360" w:lineRule="auto"/>
        <w:jc w:val="both"/>
        <w:rPr>
          <w:rFonts w:ascii="Arial" w:eastAsiaTheme="minorHAnsi" w:hAnsi="Arial" w:cs="Arial"/>
          <w:b/>
          <w:sz w:val="28"/>
          <w:szCs w:val="28"/>
        </w:rPr>
      </w:pPr>
    </w:p>
    <w:p w:rsidR="00E03B54" w:rsidRDefault="00E03B54" w:rsidP="00E03B54">
      <w:pPr>
        <w:spacing w:line="360" w:lineRule="auto"/>
        <w:jc w:val="both"/>
        <w:rPr>
          <w:rFonts w:ascii="Arial" w:eastAsiaTheme="minorHAnsi" w:hAnsi="Arial" w:cs="Arial"/>
          <w:sz w:val="24"/>
          <w:szCs w:val="24"/>
        </w:rPr>
      </w:pPr>
      <w:r>
        <w:rPr>
          <w:rFonts w:ascii="Arial" w:eastAsiaTheme="minorHAnsi" w:hAnsi="Arial" w:cs="Arial"/>
          <w:sz w:val="24"/>
          <w:szCs w:val="24"/>
        </w:rPr>
        <w:t>7.1</w:t>
      </w:r>
      <w:r>
        <w:rPr>
          <w:rFonts w:ascii="Arial" w:eastAsiaTheme="minorHAnsi" w:hAnsi="Arial" w:cs="Arial"/>
          <w:sz w:val="24"/>
          <w:szCs w:val="24"/>
        </w:rPr>
        <w:tab/>
      </w:r>
      <w:r w:rsidRPr="00E80F0C">
        <w:rPr>
          <w:rFonts w:ascii="Arial" w:eastAsiaTheme="minorHAnsi" w:hAnsi="Arial" w:cs="Arial"/>
          <w:sz w:val="24"/>
          <w:szCs w:val="24"/>
        </w:rPr>
        <w:t>Institutions were asked to comment on and rank 17 factors which influence</w:t>
      </w:r>
      <w:r>
        <w:rPr>
          <w:rFonts w:ascii="Arial" w:eastAsiaTheme="minorHAnsi" w:hAnsi="Arial" w:cs="Arial"/>
          <w:sz w:val="24"/>
          <w:szCs w:val="24"/>
        </w:rPr>
        <w:t>d</w:t>
      </w:r>
      <w:r w:rsidRPr="00E80F0C">
        <w:rPr>
          <w:rFonts w:ascii="Arial" w:eastAsiaTheme="minorHAnsi" w:hAnsi="Arial" w:cs="Arial"/>
          <w:sz w:val="24"/>
          <w:szCs w:val="24"/>
        </w:rPr>
        <w:t xml:space="preserve"> their choice of course content.  Each factor </w:t>
      </w:r>
      <w:r>
        <w:rPr>
          <w:rFonts w:ascii="Arial" w:eastAsiaTheme="minorHAnsi" w:hAnsi="Arial" w:cs="Arial"/>
          <w:sz w:val="24"/>
          <w:szCs w:val="24"/>
        </w:rPr>
        <w:t>was examined</w:t>
      </w:r>
      <w:r w:rsidRPr="00E80F0C">
        <w:rPr>
          <w:rFonts w:ascii="Arial" w:eastAsiaTheme="minorHAnsi" w:hAnsi="Arial" w:cs="Arial"/>
          <w:sz w:val="24"/>
          <w:szCs w:val="24"/>
        </w:rPr>
        <w:t xml:space="preserve"> separately and </w:t>
      </w:r>
      <w:r>
        <w:rPr>
          <w:rFonts w:ascii="Arial" w:eastAsiaTheme="minorHAnsi" w:hAnsi="Arial" w:cs="Arial"/>
          <w:sz w:val="24"/>
          <w:szCs w:val="24"/>
        </w:rPr>
        <w:t>the T</w:t>
      </w:r>
      <w:r w:rsidRPr="00E80F0C">
        <w:rPr>
          <w:rFonts w:ascii="Arial" w:eastAsiaTheme="minorHAnsi" w:hAnsi="Arial" w:cs="Arial"/>
          <w:sz w:val="24"/>
          <w:szCs w:val="24"/>
        </w:rPr>
        <w:t xml:space="preserve">ables </w:t>
      </w:r>
      <w:r>
        <w:rPr>
          <w:rFonts w:ascii="Arial" w:eastAsiaTheme="minorHAnsi" w:hAnsi="Arial" w:cs="Arial"/>
          <w:sz w:val="24"/>
          <w:szCs w:val="24"/>
        </w:rPr>
        <w:t>7.1-7.16 display</w:t>
      </w:r>
      <w:r w:rsidRPr="00E80F0C">
        <w:rPr>
          <w:rFonts w:ascii="Arial" w:eastAsiaTheme="minorHAnsi" w:hAnsi="Arial" w:cs="Arial"/>
          <w:sz w:val="24"/>
          <w:szCs w:val="24"/>
        </w:rPr>
        <w:t xml:space="preserve"> the results</w:t>
      </w:r>
      <w:r>
        <w:rPr>
          <w:rFonts w:ascii="Arial" w:eastAsiaTheme="minorHAnsi" w:hAnsi="Arial" w:cs="Arial"/>
          <w:sz w:val="24"/>
          <w:szCs w:val="24"/>
        </w:rPr>
        <w:t>, comparing</w:t>
      </w:r>
      <w:r w:rsidRPr="00E80F0C">
        <w:rPr>
          <w:rFonts w:ascii="Arial" w:eastAsiaTheme="minorHAnsi" w:hAnsi="Arial" w:cs="Arial"/>
          <w:sz w:val="24"/>
          <w:szCs w:val="24"/>
        </w:rPr>
        <w:t xml:space="preserve"> the CPE and LLB/QLD providers </w:t>
      </w:r>
      <w:r>
        <w:rPr>
          <w:rFonts w:ascii="Arial" w:eastAsiaTheme="minorHAnsi" w:hAnsi="Arial" w:cs="Arial"/>
          <w:sz w:val="24"/>
          <w:szCs w:val="24"/>
        </w:rPr>
        <w:t>and including</w:t>
      </w:r>
      <w:r w:rsidRPr="00E80F0C">
        <w:rPr>
          <w:rFonts w:ascii="Arial" w:eastAsiaTheme="minorHAnsi" w:hAnsi="Arial" w:cs="Arial"/>
          <w:sz w:val="24"/>
          <w:szCs w:val="24"/>
        </w:rPr>
        <w:t xml:space="preserve"> a total column </w:t>
      </w:r>
      <w:r>
        <w:rPr>
          <w:rFonts w:ascii="Arial" w:eastAsiaTheme="minorHAnsi" w:hAnsi="Arial" w:cs="Arial"/>
          <w:sz w:val="24"/>
          <w:szCs w:val="24"/>
        </w:rPr>
        <w:t>providing an opportunity to view an</w:t>
      </w:r>
      <w:r w:rsidRPr="00E80F0C">
        <w:rPr>
          <w:rFonts w:ascii="Arial" w:eastAsiaTheme="minorHAnsi" w:hAnsi="Arial" w:cs="Arial"/>
          <w:sz w:val="24"/>
          <w:szCs w:val="24"/>
        </w:rPr>
        <w:t xml:space="preserve"> overall picture.</w:t>
      </w:r>
    </w:p>
    <w:p w:rsidR="00E03B54" w:rsidRPr="00E80F0C" w:rsidRDefault="00E03B54" w:rsidP="00E03B54">
      <w:pPr>
        <w:spacing w:line="360" w:lineRule="auto"/>
        <w:jc w:val="both"/>
        <w:rPr>
          <w:rFonts w:ascii="Arial" w:eastAsiaTheme="minorHAnsi" w:hAnsi="Arial" w:cs="Arial"/>
          <w:sz w:val="24"/>
          <w:szCs w:val="24"/>
        </w:rPr>
      </w:pPr>
    </w:p>
    <w:p w:rsidR="00E03B54" w:rsidRDefault="00E03B54" w:rsidP="00E03B54">
      <w:pPr>
        <w:spacing w:line="360" w:lineRule="auto"/>
        <w:jc w:val="both"/>
        <w:rPr>
          <w:rFonts w:ascii="Arial" w:eastAsiaTheme="minorHAnsi" w:hAnsi="Arial" w:cs="Arial"/>
          <w:sz w:val="24"/>
          <w:szCs w:val="24"/>
        </w:rPr>
      </w:pPr>
      <w:r>
        <w:rPr>
          <w:rFonts w:ascii="Arial" w:eastAsiaTheme="minorHAnsi" w:hAnsi="Arial" w:cs="Arial"/>
          <w:sz w:val="24"/>
          <w:szCs w:val="24"/>
        </w:rPr>
        <w:t>7.2</w:t>
      </w:r>
      <w:r>
        <w:rPr>
          <w:rFonts w:ascii="Arial" w:eastAsiaTheme="minorHAnsi" w:hAnsi="Arial" w:cs="Arial"/>
          <w:sz w:val="24"/>
          <w:szCs w:val="24"/>
        </w:rPr>
        <w:tab/>
        <w:t>Influential Factors</w:t>
      </w:r>
    </w:p>
    <w:p w:rsidR="00E03B54" w:rsidRDefault="00E03B54" w:rsidP="00E03B54">
      <w:pPr>
        <w:spacing w:line="360" w:lineRule="auto"/>
        <w:jc w:val="both"/>
        <w:rPr>
          <w:rFonts w:ascii="Arial" w:eastAsiaTheme="minorHAnsi" w:hAnsi="Arial" w:cs="Arial"/>
          <w:sz w:val="24"/>
          <w:szCs w:val="24"/>
        </w:rPr>
      </w:pPr>
    </w:p>
    <w:p w:rsidR="00E03B54" w:rsidRDefault="00E03B54" w:rsidP="00E03B54">
      <w:pPr>
        <w:spacing w:line="360" w:lineRule="auto"/>
        <w:jc w:val="both"/>
        <w:rPr>
          <w:rFonts w:ascii="Arial" w:eastAsiaTheme="minorHAnsi" w:hAnsi="Arial" w:cs="Arial"/>
          <w:sz w:val="24"/>
          <w:szCs w:val="24"/>
        </w:rPr>
      </w:pPr>
      <w:r>
        <w:rPr>
          <w:rFonts w:ascii="Arial" w:eastAsiaTheme="minorHAnsi" w:hAnsi="Arial" w:cs="Arial"/>
          <w:sz w:val="24"/>
          <w:szCs w:val="24"/>
        </w:rPr>
        <w:t>T</w:t>
      </w:r>
      <w:r w:rsidRPr="00E80F0C">
        <w:rPr>
          <w:rFonts w:ascii="Arial" w:eastAsiaTheme="minorHAnsi" w:hAnsi="Arial" w:cs="Arial"/>
          <w:sz w:val="24"/>
          <w:szCs w:val="24"/>
        </w:rPr>
        <w:t xml:space="preserve">he factor </w:t>
      </w:r>
      <w:r>
        <w:rPr>
          <w:rFonts w:ascii="Arial" w:eastAsiaTheme="minorHAnsi" w:hAnsi="Arial" w:cs="Arial"/>
          <w:sz w:val="24"/>
          <w:szCs w:val="24"/>
        </w:rPr>
        <w:t>that</w:t>
      </w:r>
      <w:r w:rsidRPr="00E80F0C">
        <w:rPr>
          <w:rFonts w:ascii="Arial" w:eastAsiaTheme="minorHAnsi" w:hAnsi="Arial" w:cs="Arial"/>
          <w:sz w:val="24"/>
          <w:szCs w:val="24"/>
        </w:rPr>
        <w:t xml:space="preserve"> appears to influence </w:t>
      </w:r>
      <w:r>
        <w:rPr>
          <w:rFonts w:ascii="Arial" w:eastAsiaTheme="minorHAnsi" w:hAnsi="Arial" w:cs="Arial"/>
          <w:sz w:val="24"/>
          <w:szCs w:val="24"/>
        </w:rPr>
        <w:t>the course content</w:t>
      </w:r>
      <w:r w:rsidRPr="00E80F0C">
        <w:rPr>
          <w:rFonts w:ascii="Arial" w:eastAsiaTheme="minorHAnsi" w:hAnsi="Arial" w:cs="Arial"/>
          <w:sz w:val="24"/>
          <w:szCs w:val="24"/>
        </w:rPr>
        <w:t xml:space="preserve"> the most </w:t>
      </w:r>
      <w:r>
        <w:rPr>
          <w:rFonts w:ascii="Arial" w:eastAsiaTheme="minorHAnsi" w:hAnsi="Arial" w:cs="Arial"/>
          <w:sz w:val="24"/>
          <w:szCs w:val="24"/>
        </w:rPr>
        <w:t>wa</w:t>
      </w:r>
      <w:r w:rsidRPr="00E80F0C">
        <w:rPr>
          <w:rFonts w:ascii="Arial" w:eastAsiaTheme="minorHAnsi" w:hAnsi="Arial" w:cs="Arial"/>
          <w:sz w:val="24"/>
          <w:szCs w:val="24"/>
        </w:rPr>
        <w:t>s the requirem</w:t>
      </w:r>
      <w:r>
        <w:rPr>
          <w:rFonts w:ascii="Arial" w:eastAsiaTheme="minorHAnsi" w:hAnsi="Arial" w:cs="Arial"/>
          <w:sz w:val="24"/>
          <w:szCs w:val="24"/>
        </w:rPr>
        <w:t>ents of the professional bodies, with</w:t>
      </w:r>
      <w:r w:rsidRPr="00E80F0C">
        <w:rPr>
          <w:rFonts w:ascii="Arial" w:eastAsiaTheme="minorHAnsi" w:hAnsi="Arial" w:cs="Arial"/>
          <w:sz w:val="24"/>
          <w:szCs w:val="24"/>
        </w:rPr>
        <w:t xml:space="preserve"> 26 </w:t>
      </w:r>
      <w:r>
        <w:rPr>
          <w:rFonts w:ascii="Arial" w:eastAsiaTheme="minorHAnsi" w:hAnsi="Arial" w:cs="Arial"/>
          <w:sz w:val="24"/>
          <w:szCs w:val="24"/>
        </w:rPr>
        <w:t>of the institutions rating</w:t>
      </w:r>
      <w:r w:rsidRPr="00E80F0C">
        <w:rPr>
          <w:rFonts w:ascii="Arial" w:eastAsiaTheme="minorHAnsi" w:hAnsi="Arial" w:cs="Arial"/>
          <w:sz w:val="24"/>
          <w:szCs w:val="24"/>
        </w:rPr>
        <w:t xml:space="preserve"> this as crucial or determi</w:t>
      </w:r>
      <w:r>
        <w:rPr>
          <w:rFonts w:ascii="Arial" w:eastAsiaTheme="minorHAnsi" w:hAnsi="Arial" w:cs="Arial"/>
          <w:sz w:val="24"/>
          <w:szCs w:val="24"/>
        </w:rPr>
        <w:t>native and a further 14 reporting</w:t>
      </w:r>
      <w:r w:rsidRPr="00E80F0C">
        <w:rPr>
          <w:rFonts w:ascii="Arial" w:eastAsiaTheme="minorHAnsi" w:hAnsi="Arial" w:cs="Arial"/>
          <w:sz w:val="24"/>
          <w:szCs w:val="24"/>
        </w:rPr>
        <w:t xml:space="preserve"> it as of considerable importance.  </w:t>
      </w:r>
      <w:r w:rsidR="00FD3A61">
        <w:rPr>
          <w:rFonts w:ascii="Arial" w:eastAsiaTheme="minorHAnsi" w:hAnsi="Arial" w:cs="Arial"/>
          <w:sz w:val="24"/>
          <w:szCs w:val="24"/>
        </w:rPr>
        <w:t xml:space="preserve">This is somewhat surprising as the </w:t>
      </w:r>
      <w:r w:rsidR="00544492">
        <w:rPr>
          <w:rFonts w:ascii="Arial" w:eastAsiaTheme="minorHAnsi" w:hAnsi="Arial" w:cs="Arial"/>
          <w:sz w:val="24"/>
          <w:szCs w:val="24"/>
        </w:rPr>
        <w:t>1999</w:t>
      </w:r>
      <w:r w:rsidR="00FD3A61">
        <w:rPr>
          <w:rFonts w:ascii="Arial" w:eastAsiaTheme="minorHAnsi" w:hAnsi="Arial" w:cs="Arial"/>
          <w:sz w:val="24"/>
          <w:szCs w:val="24"/>
        </w:rPr>
        <w:t xml:space="preserve"> Joint Statement of the Law Society and the Bar Council </w:t>
      </w:r>
      <w:r w:rsidR="00544492">
        <w:rPr>
          <w:rFonts w:ascii="Arial" w:eastAsiaTheme="minorHAnsi" w:hAnsi="Arial" w:cs="Arial"/>
          <w:sz w:val="24"/>
          <w:szCs w:val="24"/>
        </w:rPr>
        <w:t xml:space="preserve">merely </w:t>
      </w:r>
      <w:r w:rsidR="00DC2FA9">
        <w:rPr>
          <w:rFonts w:ascii="Arial" w:eastAsiaTheme="minorHAnsi" w:hAnsi="Arial" w:cs="Arial"/>
          <w:sz w:val="24"/>
          <w:szCs w:val="24"/>
        </w:rPr>
        <w:t>requires the content</w:t>
      </w:r>
      <w:r w:rsidR="00FD3A61">
        <w:rPr>
          <w:rFonts w:ascii="Arial" w:eastAsiaTheme="minorHAnsi" w:hAnsi="Arial" w:cs="Arial"/>
          <w:sz w:val="24"/>
          <w:szCs w:val="24"/>
        </w:rPr>
        <w:t xml:space="preserve"> of the core subjects (or the Foundations of Legal Knowledge)</w:t>
      </w:r>
      <w:r w:rsidR="00544492">
        <w:rPr>
          <w:rFonts w:ascii="Arial" w:eastAsiaTheme="minorHAnsi" w:hAnsi="Arial" w:cs="Arial"/>
          <w:sz w:val="24"/>
          <w:szCs w:val="24"/>
        </w:rPr>
        <w:t>, including EU Law,</w:t>
      </w:r>
      <w:r w:rsidR="00FD3A61">
        <w:rPr>
          <w:rFonts w:ascii="Arial" w:eastAsiaTheme="minorHAnsi" w:hAnsi="Arial" w:cs="Arial"/>
          <w:sz w:val="24"/>
          <w:szCs w:val="24"/>
        </w:rPr>
        <w:t xml:space="preserve"> to be “the key elements and general principles”</w:t>
      </w:r>
      <w:r w:rsidR="00544492">
        <w:rPr>
          <w:rStyle w:val="FootnoteReference"/>
          <w:rFonts w:ascii="Arial" w:eastAsiaTheme="minorHAnsi" w:hAnsi="Arial" w:cs="Arial"/>
          <w:sz w:val="24"/>
          <w:szCs w:val="24"/>
        </w:rPr>
        <w:footnoteReference w:id="83"/>
      </w:r>
      <w:r w:rsidR="00FD3A61">
        <w:rPr>
          <w:rFonts w:ascii="Arial" w:eastAsiaTheme="minorHAnsi" w:hAnsi="Arial" w:cs="Arial"/>
          <w:sz w:val="24"/>
          <w:szCs w:val="24"/>
        </w:rPr>
        <w:t xml:space="preserve">, without any other requirements or guidance. </w:t>
      </w:r>
      <w:r w:rsidRPr="00E80F0C">
        <w:rPr>
          <w:rFonts w:ascii="Arial" w:eastAsiaTheme="minorHAnsi" w:hAnsi="Arial" w:cs="Arial"/>
          <w:sz w:val="24"/>
          <w:szCs w:val="24"/>
        </w:rPr>
        <w:t xml:space="preserve">Length </w:t>
      </w:r>
      <w:r>
        <w:rPr>
          <w:rFonts w:ascii="Arial" w:eastAsiaTheme="minorHAnsi" w:hAnsi="Arial" w:cs="Arial"/>
          <w:sz w:val="24"/>
          <w:szCs w:val="24"/>
        </w:rPr>
        <w:t>and n</w:t>
      </w:r>
      <w:r w:rsidRPr="00E80F0C">
        <w:rPr>
          <w:rFonts w:ascii="Arial" w:eastAsiaTheme="minorHAnsi" w:hAnsi="Arial" w:cs="Arial"/>
          <w:sz w:val="24"/>
          <w:szCs w:val="24"/>
        </w:rPr>
        <w:t xml:space="preserve">ature of </w:t>
      </w:r>
      <w:r>
        <w:rPr>
          <w:rFonts w:ascii="Arial" w:eastAsiaTheme="minorHAnsi" w:hAnsi="Arial" w:cs="Arial"/>
          <w:sz w:val="24"/>
          <w:szCs w:val="24"/>
        </w:rPr>
        <w:t xml:space="preserve">the </w:t>
      </w:r>
      <w:r w:rsidRPr="00E80F0C">
        <w:rPr>
          <w:rFonts w:ascii="Arial" w:eastAsiaTheme="minorHAnsi" w:hAnsi="Arial" w:cs="Arial"/>
          <w:sz w:val="24"/>
          <w:szCs w:val="24"/>
        </w:rPr>
        <w:t xml:space="preserve">course </w:t>
      </w:r>
      <w:r>
        <w:rPr>
          <w:rFonts w:ascii="Arial" w:eastAsiaTheme="minorHAnsi" w:hAnsi="Arial" w:cs="Arial"/>
          <w:sz w:val="24"/>
          <w:szCs w:val="24"/>
        </w:rPr>
        <w:t xml:space="preserve">also </w:t>
      </w:r>
      <w:r w:rsidRPr="00E80F0C">
        <w:rPr>
          <w:rFonts w:ascii="Arial" w:eastAsiaTheme="minorHAnsi" w:hAnsi="Arial" w:cs="Arial"/>
          <w:sz w:val="24"/>
          <w:szCs w:val="24"/>
        </w:rPr>
        <w:t>seem</w:t>
      </w:r>
      <w:r>
        <w:rPr>
          <w:rFonts w:ascii="Arial" w:eastAsiaTheme="minorHAnsi" w:hAnsi="Arial" w:cs="Arial"/>
          <w:sz w:val="24"/>
          <w:szCs w:val="24"/>
        </w:rPr>
        <w:t>ed</w:t>
      </w:r>
      <w:r w:rsidRPr="00E80F0C">
        <w:rPr>
          <w:rFonts w:ascii="Arial" w:eastAsiaTheme="minorHAnsi" w:hAnsi="Arial" w:cs="Arial"/>
          <w:sz w:val="24"/>
          <w:szCs w:val="24"/>
        </w:rPr>
        <w:t xml:space="preserve"> to be </w:t>
      </w:r>
      <w:r>
        <w:rPr>
          <w:rFonts w:ascii="Arial" w:eastAsiaTheme="minorHAnsi" w:hAnsi="Arial" w:cs="Arial"/>
          <w:sz w:val="24"/>
          <w:szCs w:val="24"/>
        </w:rPr>
        <w:t>particularly influential, with</w:t>
      </w:r>
      <w:r w:rsidRPr="00E80F0C">
        <w:rPr>
          <w:rFonts w:ascii="Arial" w:eastAsiaTheme="minorHAnsi" w:hAnsi="Arial" w:cs="Arial"/>
          <w:sz w:val="24"/>
          <w:szCs w:val="24"/>
        </w:rPr>
        <w:t xml:space="preserve"> 36 institutions </w:t>
      </w:r>
      <w:r>
        <w:rPr>
          <w:rFonts w:ascii="Arial" w:eastAsiaTheme="minorHAnsi" w:hAnsi="Arial" w:cs="Arial"/>
          <w:sz w:val="24"/>
          <w:szCs w:val="24"/>
        </w:rPr>
        <w:t>considering</w:t>
      </w:r>
      <w:r w:rsidRPr="00E80F0C">
        <w:rPr>
          <w:rFonts w:ascii="Arial" w:eastAsiaTheme="minorHAnsi" w:hAnsi="Arial" w:cs="Arial"/>
          <w:sz w:val="24"/>
          <w:szCs w:val="24"/>
        </w:rPr>
        <w:t xml:space="preserve"> the length of </w:t>
      </w:r>
      <w:r>
        <w:rPr>
          <w:rFonts w:ascii="Arial" w:eastAsiaTheme="minorHAnsi" w:hAnsi="Arial" w:cs="Arial"/>
          <w:sz w:val="24"/>
          <w:szCs w:val="24"/>
        </w:rPr>
        <w:t xml:space="preserve">the </w:t>
      </w:r>
      <w:r w:rsidRPr="00E80F0C">
        <w:rPr>
          <w:rFonts w:ascii="Arial" w:eastAsiaTheme="minorHAnsi" w:hAnsi="Arial" w:cs="Arial"/>
          <w:sz w:val="24"/>
          <w:szCs w:val="24"/>
        </w:rPr>
        <w:t xml:space="preserve">course </w:t>
      </w:r>
      <w:r>
        <w:rPr>
          <w:rFonts w:ascii="Arial" w:eastAsiaTheme="minorHAnsi" w:hAnsi="Arial" w:cs="Arial"/>
          <w:sz w:val="24"/>
          <w:szCs w:val="24"/>
        </w:rPr>
        <w:t>as important,</w:t>
      </w:r>
      <w:r w:rsidRPr="00E80F0C">
        <w:rPr>
          <w:rFonts w:ascii="Arial" w:eastAsiaTheme="minorHAnsi" w:hAnsi="Arial" w:cs="Arial"/>
          <w:sz w:val="24"/>
          <w:szCs w:val="24"/>
        </w:rPr>
        <w:t xml:space="preserve"> crucial or determinative, </w:t>
      </w:r>
      <w:r>
        <w:rPr>
          <w:rFonts w:ascii="Arial" w:eastAsiaTheme="minorHAnsi" w:hAnsi="Arial" w:cs="Arial"/>
          <w:sz w:val="24"/>
          <w:szCs w:val="24"/>
        </w:rPr>
        <w:t>and similar importance bestowed on the nature of course by</w:t>
      </w:r>
      <w:r w:rsidRPr="00E80F0C">
        <w:rPr>
          <w:rFonts w:ascii="Arial" w:eastAsiaTheme="minorHAnsi" w:hAnsi="Arial" w:cs="Arial"/>
          <w:sz w:val="24"/>
          <w:szCs w:val="24"/>
        </w:rPr>
        <w:t xml:space="preserve"> 29</w:t>
      </w:r>
      <w:r>
        <w:rPr>
          <w:rFonts w:ascii="Arial" w:eastAsiaTheme="minorHAnsi" w:hAnsi="Arial" w:cs="Arial"/>
          <w:sz w:val="24"/>
          <w:szCs w:val="24"/>
        </w:rPr>
        <w:t xml:space="preserve"> establishments</w:t>
      </w:r>
      <w:r w:rsidRPr="00E80F0C">
        <w:rPr>
          <w:rFonts w:ascii="Arial" w:eastAsiaTheme="minorHAnsi" w:hAnsi="Arial" w:cs="Arial"/>
          <w:sz w:val="24"/>
          <w:szCs w:val="24"/>
        </w:rPr>
        <w:t>.</w:t>
      </w:r>
      <w:r>
        <w:rPr>
          <w:rFonts w:ascii="Arial" w:eastAsiaTheme="minorHAnsi" w:hAnsi="Arial" w:cs="Arial"/>
          <w:sz w:val="24"/>
          <w:szCs w:val="24"/>
        </w:rPr>
        <w:t xml:space="preserve"> The fourth most influential factor was t</w:t>
      </w:r>
      <w:r w:rsidRPr="00E80F0C">
        <w:rPr>
          <w:rFonts w:ascii="Arial" w:eastAsiaTheme="minorHAnsi" w:hAnsi="Arial" w:cs="Arial"/>
          <w:sz w:val="24"/>
          <w:szCs w:val="24"/>
        </w:rPr>
        <w:t>he integration of parts of the course into the whole</w:t>
      </w:r>
      <w:r>
        <w:rPr>
          <w:rFonts w:ascii="Arial" w:eastAsiaTheme="minorHAnsi" w:hAnsi="Arial" w:cs="Arial"/>
          <w:sz w:val="24"/>
          <w:szCs w:val="24"/>
        </w:rPr>
        <w:t>, such that</w:t>
      </w:r>
      <w:r w:rsidRPr="00E80F0C">
        <w:rPr>
          <w:rFonts w:ascii="Arial" w:eastAsiaTheme="minorHAnsi" w:hAnsi="Arial" w:cs="Arial"/>
          <w:sz w:val="24"/>
          <w:szCs w:val="24"/>
        </w:rPr>
        <w:t xml:space="preserve"> 11 providers regarded this factor as significant or material and</w:t>
      </w:r>
      <w:r>
        <w:rPr>
          <w:rFonts w:ascii="Arial" w:eastAsiaTheme="minorHAnsi" w:hAnsi="Arial" w:cs="Arial"/>
          <w:sz w:val="24"/>
          <w:szCs w:val="24"/>
        </w:rPr>
        <w:t xml:space="preserve"> 18 of considerable importance. The final factor deemed to have some influence by 29 organisations on course content was the r</w:t>
      </w:r>
      <w:r w:rsidRPr="00E80F0C">
        <w:rPr>
          <w:rFonts w:ascii="Arial" w:eastAsiaTheme="minorHAnsi" w:hAnsi="Arial" w:cs="Arial"/>
          <w:sz w:val="24"/>
          <w:szCs w:val="24"/>
        </w:rPr>
        <w:t>elevance to practice (19 rated it significant, 5 of considerable importance and 5 of crucial importance).</w:t>
      </w:r>
    </w:p>
    <w:p w:rsidR="00E03B54" w:rsidRPr="00E80F0C" w:rsidRDefault="00E03B54" w:rsidP="00E03B54">
      <w:pPr>
        <w:spacing w:line="360" w:lineRule="auto"/>
        <w:jc w:val="both"/>
        <w:rPr>
          <w:rFonts w:ascii="Arial" w:eastAsiaTheme="minorHAnsi" w:hAnsi="Arial" w:cs="Arial"/>
          <w:sz w:val="24"/>
          <w:szCs w:val="24"/>
        </w:rPr>
      </w:pPr>
    </w:p>
    <w:p w:rsidR="00E03B54" w:rsidRDefault="00E03B54" w:rsidP="00E03B54">
      <w:pPr>
        <w:spacing w:line="360" w:lineRule="auto"/>
        <w:jc w:val="both"/>
        <w:rPr>
          <w:rFonts w:ascii="Arial" w:eastAsiaTheme="minorHAnsi" w:hAnsi="Arial" w:cs="Arial"/>
          <w:sz w:val="24"/>
          <w:szCs w:val="24"/>
        </w:rPr>
      </w:pPr>
      <w:r>
        <w:rPr>
          <w:rFonts w:ascii="Arial" w:eastAsiaTheme="minorHAnsi" w:hAnsi="Arial" w:cs="Arial"/>
          <w:sz w:val="24"/>
          <w:szCs w:val="24"/>
        </w:rPr>
        <w:t>7.3</w:t>
      </w:r>
      <w:r>
        <w:rPr>
          <w:rFonts w:ascii="Arial" w:eastAsiaTheme="minorHAnsi" w:hAnsi="Arial" w:cs="Arial"/>
          <w:sz w:val="24"/>
          <w:szCs w:val="24"/>
        </w:rPr>
        <w:tab/>
        <w:t>Minor Factors</w:t>
      </w:r>
    </w:p>
    <w:p w:rsidR="00E03B54" w:rsidRDefault="00E03B54" w:rsidP="00E03B54">
      <w:pPr>
        <w:spacing w:line="360" w:lineRule="auto"/>
        <w:jc w:val="both"/>
        <w:rPr>
          <w:rFonts w:ascii="Arial" w:eastAsiaTheme="minorHAnsi" w:hAnsi="Arial" w:cs="Arial"/>
          <w:sz w:val="24"/>
          <w:szCs w:val="24"/>
        </w:rPr>
      </w:pPr>
    </w:p>
    <w:p w:rsidR="00E03B54" w:rsidRDefault="00E03B54" w:rsidP="00E03B54">
      <w:pPr>
        <w:spacing w:line="360" w:lineRule="auto"/>
        <w:jc w:val="both"/>
        <w:rPr>
          <w:rFonts w:ascii="Arial" w:eastAsiaTheme="minorHAnsi" w:hAnsi="Arial" w:cs="Arial"/>
          <w:sz w:val="24"/>
          <w:szCs w:val="24"/>
        </w:rPr>
      </w:pPr>
      <w:r w:rsidRPr="00E80F0C">
        <w:rPr>
          <w:rFonts w:ascii="Arial" w:eastAsiaTheme="minorHAnsi" w:hAnsi="Arial" w:cs="Arial"/>
          <w:sz w:val="24"/>
          <w:szCs w:val="24"/>
        </w:rPr>
        <w:lastRenderedPageBreak/>
        <w:t>In comparison, the factors which appear</w:t>
      </w:r>
      <w:r>
        <w:rPr>
          <w:rFonts w:ascii="Arial" w:eastAsiaTheme="minorHAnsi" w:hAnsi="Arial" w:cs="Arial"/>
          <w:sz w:val="24"/>
          <w:szCs w:val="24"/>
        </w:rPr>
        <w:t>ed to be less influential and we</w:t>
      </w:r>
      <w:r w:rsidRPr="00E80F0C">
        <w:rPr>
          <w:rFonts w:ascii="Arial" w:eastAsiaTheme="minorHAnsi" w:hAnsi="Arial" w:cs="Arial"/>
          <w:sz w:val="24"/>
          <w:szCs w:val="24"/>
        </w:rPr>
        <w:t>re rated as of marginal relevance or below by</w:t>
      </w:r>
      <w:r>
        <w:rPr>
          <w:rFonts w:ascii="Arial" w:eastAsiaTheme="minorHAnsi" w:hAnsi="Arial" w:cs="Arial"/>
          <w:sz w:val="24"/>
          <w:szCs w:val="24"/>
        </w:rPr>
        <w:t xml:space="preserve"> over half of the institutions we</w:t>
      </w:r>
      <w:r w:rsidRPr="00E80F0C">
        <w:rPr>
          <w:rFonts w:ascii="Arial" w:eastAsiaTheme="minorHAnsi" w:hAnsi="Arial" w:cs="Arial"/>
          <w:sz w:val="24"/>
          <w:szCs w:val="24"/>
        </w:rPr>
        <w:t>re:</w:t>
      </w:r>
    </w:p>
    <w:p w:rsidR="00E03B54" w:rsidRPr="00664A34" w:rsidRDefault="00DC2FA9" w:rsidP="00E03B54">
      <w:pPr>
        <w:pStyle w:val="ListParagraph"/>
        <w:numPr>
          <w:ilvl w:val="0"/>
          <w:numId w:val="20"/>
        </w:numPr>
        <w:spacing w:line="360" w:lineRule="auto"/>
        <w:jc w:val="both"/>
        <w:rPr>
          <w:rFonts w:ascii="Arial" w:hAnsi="Arial" w:cs="Arial"/>
          <w:sz w:val="24"/>
          <w:szCs w:val="24"/>
        </w:rPr>
      </w:pPr>
      <w:r>
        <w:rPr>
          <w:rFonts w:ascii="Arial" w:hAnsi="Arial" w:cs="Arial"/>
          <w:sz w:val="24"/>
          <w:szCs w:val="24"/>
        </w:rPr>
        <w:t>content</w:t>
      </w:r>
      <w:r w:rsidR="00E03B54" w:rsidRPr="00664A34">
        <w:rPr>
          <w:rFonts w:ascii="Arial" w:hAnsi="Arial" w:cs="Arial"/>
          <w:sz w:val="24"/>
          <w:szCs w:val="24"/>
        </w:rPr>
        <w:t xml:space="preserve"> of pre-existing courses (27 rated it irrelevant or of marginal relevance);</w:t>
      </w:r>
    </w:p>
    <w:p w:rsidR="00E03B54" w:rsidRPr="00664A34" w:rsidRDefault="00E03B54" w:rsidP="00E03B54">
      <w:pPr>
        <w:pStyle w:val="ListParagraph"/>
        <w:numPr>
          <w:ilvl w:val="0"/>
          <w:numId w:val="20"/>
        </w:numPr>
        <w:spacing w:line="360" w:lineRule="auto"/>
        <w:jc w:val="both"/>
        <w:rPr>
          <w:rFonts w:ascii="Arial" w:hAnsi="Arial" w:cs="Arial"/>
          <w:sz w:val="24"/>
          <w:szCs w:val="24"/>
        </w:rPr>
      </w:pPr>
      <w:r w:rsidRPr="00664A34">
        <w:rPr>
          <w:rFonts w:ascii="Arial" w:hAnsi="Arial" w:cs="Arial"/>
          <w:sz w:val="24"/>
          <w:szCs w:val="24"/>
        </w:rPr>
        <w:t xml:space="preserve">availability of teaching and learning resources </w:t>
      </w:r>
      <w:r w:rsidR="007A3165">
        <w:rPr>
          <w:rFonts w:ascii="Arial" w:hAnsi="Arial" w:cs="Arial"/>
          <w:sz w:val="24"/>
          <w:szCs w:val="24"/>
        </w:rPr>
        <w:t xml:space="preserve">and </w:t>
      </w:r>
      <w:r w:rsidRPr="00664A34">
        <w:rPr>
          <w:rFonts w:ascii="Arial" w:hAnsi="Arial" w:cs="Arial"/>
          <w:sz w:val="24"/>
          <w:szCs w:val="24"/>
        </w:rPr>
        <w:t>textbook availability (11 and 16 respectively);</w:t>
      </w:r>
    </w:p>
    <w:p w:rsidR="00E03B54" w:rsidRPr="00664A34" w:rsidRDefault="00E03B54" w:rsidP="00E03B54">
      <w:pPr>
        <w:pStyle w:val="ListParagraph"/>
        <w:numPr>
          <w:ilvl w:val="0"/>
          <w:numId w:val="20"/>
        </w:numPr>
        <w:spacing w:line="360" w:lineRule="auto"/>
        <w:jc w:val="both"/>
        <w:rPr>
          <w:rFonts w:ascii="Arial" w:hAnsi="Arial" w:cs="Arial"/>
          <w:sz w:val="24"/>
          <w:szCs w:val="24"/>
        </w:rPr>
      </w:pPr>
      <w:r w:rsidRPr="00664A34">
        <w:rPr>
          <w:rFonts w:ascii="Arial" w:hAnsi="Arial" w:cs="Arial"/>
          <w:sz w:val="24"/>
          <w:szCs w:val="24"/>
        </w:rPr>
        <w:t xml:space="preserve">student preferences (11 and 19 respectively); </w:t>
      </w:r>
    </w:p>
    <w:p w:rsidR="00E03B54" w:rsidRPr="00664A34" w:rsidRDefault="00E03B54" w:rsidP="00E03B54">
      <w:pPr>
        <w:pStyle w:val="ListParagraph"/>
        <w:numPr>
          <w:ilvl w:val="0"/>
          <w:numId w:val="20"/>
        </w:numPr>
        <w:spacing w:line="360" w:lineRule="auto"/>
        <w:jc w:val="both"/>
        <w:rPr>
          <w:rFonts w:ascii="Arial" w:hAnsi="Arial" w:cs="Arial"/>
          <w:sz w:val="24"/>
          <w:szCs w:val="24"/>
        </w:rPr>
      </w:pPr>
      <w:r w:rsidRPr="00664A34">
        <w:rPr>
          <w:rFonts w:ascii="Arial" w:hAnsi="Arial" w:cs="Arial"/>
          <w:sz w:val="24"/>
          <w:szCs w:val="24"/>
        </w:rPr>
        <w:t xml:space="preserve">type of student (14 and 14 respectively); </w:t>
      </w:r>
    </w:p>
    <w:p w:rsidR="00E03B54" w:rsidRPr="00664A34" w:rsidRDefault="00E03B54" w:rsidP="00E03B54">
      <w:pPr>
        <w:pStyle w:val="ListParagraph"/>
        <w:numPr>
          <w:ilvl w:val="0"/>
          <w:numId w:val="20"/>
        </w:numPr>
        <w:spacing w:line="360" w:lineRule="auto"/>
        <w:jc w:val="both"/>
        <w:rPr>
          <w:rFonts w:ascii="Arial" w:hAnsi="Arial" w:cs="Arial"/>
          <w:sz w:val="24"/>
          <w:szCs w:val="24"/>
        </w:rPr>
      </w:pPr>
      <w:r w:rsidRPr="00664A34">
        <w:rPr>
          <w:rFonts w:ascii="Arial" w:hAnsi="Arial" w:cs="Arial"/>
          <w:sz w:val="24"/>
          <w:szCs w:val="24"/>
        </w:rPr>
        <w:t>commitment to European Integration (19 and 9 respectively); and,</w:t>
      </w:r>
    </w:p>
    <w:p w:rsidR="00E03B54" w:rsidRPr="00664A34" w:rsidRDefault="00E03B54" w:rsidP="00E03B54">
      <w:pPr>
        <w:pStyle w:val="ListParagraph"/>
        <w:numPr>
          <w:ilvl w:val="0"/>
          <w:numId w:val="20"/>
        </w:numPr>
        <w:spacing w:line="360" w:lineRule="auto"/>
        <w:jc w:val="both"/>
        <w:rPr>
          <w:rFonts w:ascii="Arial" w:hAnsi="Arial" w:cs="Arial"/>
          <w:sz w:val="24"/>
          <w:szCs w:val="24"/>
        </w:rPr>
      </w:pPr>
      <w:r w:rsidRPr="00664A34">
        <w:rPr>
          <w:rFonts w:ascii="Arial" w:hAnsi="Arial" w:cs="Arial"/>
          <w:sz w:val="24"/>
          <w:szCs w:val="24"/>
        </w:rPr>
        <w:t>personal research agenda (</w:t>
      </w:r>
      <w:r>
        <w:rPr>
          <w:rFonts w:ascii="Arial" w:hAnsi="Arial" w:cs="Arial"/>
          <w:sz w:val="24"/>
          <w:szCs w:val="24"/>
        </w:rPr>
        <w:t>18 and 10 respectively).</w:t>
      </w:r>
    </w:p>
    <w:p w:rsidR="00E03B54" w:rsidRPr="00E80F0C" w:rsidRDefault="00E03B54" w:rsidP="00E03B54">
      <w:pPr>
        <w:spacing w:line="360" w:lineRule="auto"/>
        <w:jc w:val="both"/>
        <w:rPr>
          <w:rFonts w:ascii="Arial" w:eastAsiaTheme="minorHAnsi" w:hAnsi="Arial" w:cs="Arial"/>
          <w:sz w:val="24"/>
          <w:szCs w:val="24"/>
        </w:rPr>
      </w:pPr>
    </w:p>
    <w:p w:rsidR="00E03B54" w:rsidRPr="00E80F0C" w:rsidRDefault="00E03B54" w:rsidP="00E03B54">
      <w:pPr>
        <w:spacing w:line="360" w:lineRule="auto"/>
        <w:jc w:val="both"/>
        <w:rPr>
          <w:rFonts w:ascii="Arial" w:eastAsiaTheme="minorHAnsi" w:hAnsi="Arial" w:cs="Arial"/>
          <w:sz w:val="24"/>
          <w:szCs w:val="24"/>
        </w:rPr>
      </w:pPr>
      <w:r>
        <w:rPr>
          <w:rFonts w:ascii="Arial" w:eastAsiaTheme="minorHAnsi" w:hAnsi="Arial" w:cs="Arial"/>
          <w:sz w:val="24"/>
          <w:szCs w:val="24"/>
        </w:rPr>
        <w:t>7.4</w:t>
      </w:r>
      <w:r>
        <w:rPr>
          <w:rFonts w:ascii="Arial" w:eastAsiaTheme="minorHAnsi" w:hAnsi="Arial" w:cs="Arial"/>
          <w:sz w:val="24"/>
          <w:szCs w:val="24"/>
        </w:rPr>
        <w:tab/>
      </w:r>
      <w:r w:rsidRPr="00E80F0C">
        <w:rPr>
          <w:rFonts w:ascii="Arial" w:eastAsiaTheme="minorHAnsi" w:hAnsi="Arial" w:cs="Arial"/>
          <w:sz w:val="24"/>
          <w:szCs w:val="24"/>
        </w:rPr>
        <w:t>Five institutions commented on different factors which influenced their course content. One LLB/QLD provider stated that a crucial factor</w:t>
      </w:r>
      <w:r>
        <w:rPr>
          <w:rFonts w:ascii="Arial" w:eastAsiaTheme="minorHAnsi" w:hAnsi="Arial" w:cs="Arial"/>
          <w:sz w:val="24"/>
          <w:szCs w:val="24"/>
        </w:rPr>
        <w:t xml:space="preserve"> for their institution was the “</w:t>
      </w:r>
      <w:r w:rsidRPr="00E80F0C">
        <w:rPr>
          <w:rFonts w:ascii="Arial" w:eastAsiaTheme="minorHAnsi" w:hAnsi="Arial" w:cs="Arial"/>
          <w:sz w:val="24"/>
          <w:szCs w:val="24"/>
        </w:rPr>
        <w:t>view on what a trained</w:t>
      </w:r>
      <w:r>
        <w:rPr>
          <w:rFonts w:ascii="Arial" w:eastAsiaTheme="minorHAnsi" w:hAnsi="Arial" w:cs="Arial"/>
          <w:sz w:val="24"/>
          <w:szCs w:val="24"/>
        </w:rPr>
        <w:t xml:space="preserve"> lawyer needs to know about EU Law”.</w:t>
      </w:r>
    </w:p>
    <w:p w:rsidR="00E03B54" w:rsidRPr="00E80F0C" w:rsidRDefault="00E03B54" w:rsidP="00E03B54">
      <w:pPr>
        <w:spacing w:line="360" w:lineRule="auto"/>
        <w:jc w:val="both"/>
        <w:rPr>
          <w:rFonts w:ascii="Arial" w:eastAsiaTheme="minorHAnsi" w:hAnsi="Arial" w:cs="Arial"/>
          <w:sz w:val="24"/>
          <w:szCs w:val="24"/>
        </w:rPr>
      </w:pPr>
      <w:r w:rsidRPr="00E80F0C">
        <w:rPr>
          <w:rFonts w:ascii="Arial" w:eastAsiaTheme="minorHAnsi" w:hAnsi="Arial" w:cs="Arial"/>
          <w:sz w:val="24"/>
          <w:szCs w:val="24"/>
        </w:rPr>
        <w:t>The comments from four of the CPE providers are quoted below:</w:t>
      </w:r>
    </w:p>
    <w:p w:rsidR="00E03B54" w:rsidRPr="00E80F0C" w:rsidRDefault="00E03B54" w:rsidP="00E03B54">
      <w:pPr>
        <w:spacing w:line="360" w:lineRule="auto"/>
        <w:contextualSpacing/>
        <w:jc w:val="both"/>
        <w:rPr>
          <w:rFonts w:ascii="Arial" w:eastAsiaTheme="minorHAnsi" w:hAnsi="Arial" w:cs="Arial"/>
          <w:sz w:val="24"/>
          <w:szCs w:val="24"/>
        </w:rPr>
      </w:pPr>
      <w:r>
        <w:rPr>
          <w:rFonts w:ascii="Arial" w:eastAsiaTheme="minorHAnsi" w:hAnsi="Arial" w:cs="Arial"/>
          <w:sz w:val="24"/>
          <w:szCs w:val="24"/>
        </w:rPr>
        <w:t>“</w:t>
      </w:r>
      <w:r w:rsidRPr="00E80F0C">
        <w:rPr>
          <w:rFonts w:ascii="Arial" w:eastAsiaTheme="minorHAnsi" w:hAnsi="Arial" w:cs="Arial"/>
          <w:sz w:val="24"/>
          <w:szCs w:val="24"/>
        </w:rPr>
        <w:t xml:space="preserve">The most important factor is the current structure of the CPE (...) and the </w:t>
      </w:r>
      <w:r>
        <w:rPr>
          <w:rFonts w:ascii="Arial" w:eastAsiaTheme="minorHAnsi" w:hAnsi="Arial" w:cs="Arial"/>
          <w:sz w:val="24"/>
          <w:szCs w:val="24"/>
        </w:rPr>
        <w:t>limited contact time available.</w:t>
      </w:r>
      <w:r w:rsidRPr="00E80F0C">
        <w:rPr>
          <w:rFonts w:ascii="Arial" w:eastAsiaTheme="minorHAnsi" w:hAnsi="Arial" w:cs="Arial"/>
          <w:sz w:val="24"/>
          <w:szCs w:val="24"/>
        </w:rPr>
        <w:t xml:space="preserve"> It is crucial to cover the fundamental </w:t>
      </w:r>
      <w:r>
        <w:rPr>
          <w:rFonts w:ascii="Arial" w:eastAsiaTheme="minorHAnsi" w:hAnsi="Arial" w:cs="Arial"/>
          <w:sz w:val="24"/>
          <w:szCs w:val="24"/>
        </w:rPr>
        <w:t>EU legal system and structures.</w:t>
      </w:r>
      <w:r w:rsidRPr="00E80F0C">
        <w:rPr>
          <w:rFonts w:ascii="Arial" w:eastAsiaTheme="minorHAnsi" w:hAnsi="Arial" w:cs="Arial"/>
          <w:sz w:val="24"/>
          <w:szCs w:val="24"/>
        </w:rPr>
        <w:t xml:space="preserve"> There is very limited time availabl</w:t>
      </w:r>
      <w:r>
        <w:rPr>
          <w:rFonts w:ascii="Arial" w:eastAsiaTheme="minorHAnsi" w:hAnsi="Arial" w:cs="Arial"/>
          <w:sz w:val="24"/>
          <w:szCs w:val="24"/>
        </w:rPr>
        <w:t xml:space="preserve">e to consider substantive law. </w:t>
      </w:r>
      <w:r w:rsidRPr="00E80F0C">
        <w:rPr>
          <w:rFonts w:ascii="Arial" w:eastAsiaTheme="minorHAnsi" w:hAnsi="Arial" w:cs="Arial"/>
          <w:sz w:val="24"/>
          <w:szCs w:val="24"/>
        </w:rPr>
        <w:t>This drives consideration of</w:t>
      </w:r>
      <w:r>
        <w:rPr>
          <w:rFonts w:ascii="Arial" w:eastAsiaTheme="minorHAnsi" w:hAnsi="Arial" w:cs="Arial"/>
          <w:sz w:val="24"/>
          <w:szCs w:val="24"/>
        </w:rPr>
        <w:t xml:space="preserve"> three related economic topics.”</w:t>
      </w:r>
    </w:p>
    <w:p w:rsidR="00E03B54" w:rsidRPr="00E80F0C" w:rsidRDefault="00E03B54" w:rsidP="00E03B54">
      <w:pPr>
        <w:spacing w:line="360" w:lineRule="auto"/>
        <w:ind w:left="720"/>
        <w:contextualSpacing/>
        <w:jc w:val="both"/>
        <w:rPr>
          <w:rFonts w:ascii="Arial" w:eastAsiaTheme="minorHAnsi" w:hAnsi="Arial" w:cs="Arial"/>
          <w:sz w:val="24"/>
          <w:szCs w:val="24"/>
        </w:rPr>
      </w:pPr>
    </w:p>
    <w:p w:rsidR="00E03B54" w:rsidRPr="00E80F0C" w:rsidRDefault="00E03B54" w:rsidP="00E03B54">
      <w:pPr>
        <w:spacing w:line="360" w:lineRule="auto"/>
        <w:contextualSpacing/>
        <w:jc w:val="both"/>
        <w:rPr>
          <w:rFonts w:ascii="Arial" w:eastAsiaTheme="minorHAnsi" w:hAnsi="Arial" w:cs="Arial"/>
          <w:sz w:val="24"/>
          <w:szCs w:val="24"/>
        </w:rPr>
      </w:pPr>
      <w:r>
        <w:rPr>
          <w:rFonts w:ascii="Arial" w:eastAsiaTheme="minorHAnsi" w:hAnsi="Arial" w:cs="Arial"/>
          <w:sz w:val="24"/>
          <w:szCs w:val="24"/>
        </w:rPr>
        <w:t>“</w:t>
      </w:r>
      <w:r w:rsidRPr="00E80F0C">
        <w:rPr>
          <w:rFonts w:ascii="Arial" w:eastAsiaTheme="minorHAnsi" w:hAnsi="Arial" w:cs="Arial"/>
          <w:sz w:val="24"/>
          <w:szCs w:val="24"/>
        </w:rPr>
        <w:t>The fact that CPE students are taking a very intensive course (one year full-time, two years part-time) with 6 other demandin</w:t>
      </w:r>
      <w:r>
        <w:rPr>
          <w:rFonts w:ascii="Arial" w:eastAsiaTheme="minorHAnsi" w:hAnsi="Arial" w:cs="Arial"/>
          <w:sz w:val="24"/>
          <w:szCs w:val="24"/>
        </w:rPr>
        <w:t>g subject areas.”</w:t>
      </w:r>
    </w:p>
    <w:p w:rsidR="00E03B54" w:rsidRPr="00E80F0C" w:rsidRDefault="00E03B54" w:rsidP="00E03B54">
      <w:pPr>
        <w:spacing w:line="360" w:lineRule="auto"/>
        <w:ind w:left="720"/>
        <w:contextualSpacing/>
        <w:jc w:val="both"/>
        <w:rPr>
          <w:rFonts w:ascii="Arial" w:eastAsiaTheme="minorHAnsi" w:hAnsi="Arial" w:cs="Arial"/>
          <w:sz w:val="24"/>
          <w:szCs w:val="24"/>
        </w:rPr>
      </w:pPr>
    </w:p>
    <w:p w:rsidR="00E03B54" w:rsidRPr="00E80F0C" w:rsidRDefault="00E03B54" w:rsidP="00E03B54">
      <w:pPr>
        <w:spacing w:line="360" w:lineRule="auto"/>
        <w:contextualSpacing/>
        <w:jc w:val="both"/>
        <w:rPr>
          <w:rFonts w:ascii="Arial" w:eastAsiaTheme="minorHAnsi" w:hAnsi="Arial" w:cs="Arial"/>
          <w:sz w:val="24"/>
          <w:szCs w:val="24"/>
        </w:rPr>
      </w:pPr>
      <w:r>
        <w:rPr>
          <w:rFonts w:ascii="Arial" w:eastAsiaTheme="minorHAnsi" w:hAnsi="Arial" w:cs="Arial"/>
          <w:sz w:val="24"/>
          <w:szCs w:val="24"/>
        </w:rPr>
        <w:t>“</w:t>
      </w:r>
      <w:r w:rsidRPr="00E80F0C">
        <w:rPr>
          <w:rFonts w:ascii="Arial" w:eastAsiaTheme="minorHAnsi" w:hAnsi="Arial" w:cs="Arial"/>
          <w:sz w:val="24"/>
          <w:szCs w:val="24"/>
        </w:rPr>
        <w:t xml:space="preserve">We aim to encourage a critical and analytical approach, emphasising the Court’s contribution </w:t>
      </w:r>
      <w:r>
        <w:rPr>
          <w:rFonts w:ascii="Arial" w:eastAsiaTheme="minorHAnsi" w:hAnsi="Arial" w:cs="Arial"/>
          <w:sz w:val="24"/>
          <w:szCs w:val="24"/>
        </w:rPr>
        <w:t>and using topical developments.”</w:t>
      </w:r>
    </w:p>
    <w:p w:rsidR="00E03B54" w:rsidRPr="00E80F0C" w:rsidRDefault="00E03B54" w:rsidP="00E03B54">
      <w:pPr>
        <w:spacing w:line="360" w:lineRule="auto"/>
        <w:ind w:left="720"/>
        <w:contextualSpacing/>
        <w:jc w:val="both"/>
        <w:rPr>
          <w:rFonts w:ascii="Arial" w:eastAsiaTheme="minorHAnsi" w:hAnsi="Arial" w:cs="Arial"/>
          <w:sz w:val="24"/>
          <w:szCs w:val="24"/>
        </w:rPr>
      </w:pPr>
    </w:p>
    <w:p w:rsidR="00E03B54" w:rsidRPr="00E80F0C" w:rsidRDefault="00E03B54" w:rsidP="00E03B54">
      <w:pPr>
        <w:spacing w:line="360" w:lineRule="auto"/>
        <w:contextualSpacing/>
        <w:jc w:val="both"/>
        <w:rPr>
          <w:rFonts w:ascii="Arial" w:eastAsiaTheme="minorHAnsi" w:hAnsi="Arial" w:cs="Arial"/>
          <w:sz w:val="24"/>
          <w:szCs w:val="24"/>
        </w:rPr>
      </w:pPr>
      <w:r>
        <w:rPr>
          <w:rFonts w:ascii="Arial" w:eastAsiaTheme="minorHAnsi" w:hAnsi="Arial" w:cs="Arial"/>
          <w:sz w:val="24"/>
          <w:szCs w:val="24"/>
        </w:rPr>
        <w:t>“</w:t>
      </w:r>
      <w:r w:rsidRPr="00E80F0C">
        <w:rPr>
          <w:rFonts w:ascii="Arial" w:eastAsiaTheme="minorHAnsi" w:hAnsi="Arial" w:cs="Arial"/>
          <w:sz w:val="24"/>
          <w:szCs w:val="24"/>
        </w:rPr>
        <w:t xml:space="preserve">The (institution) is keen to ensure as seamless a transition between the GDL and LPC/BVC as possible.  Thus equipping GDL students for the LPC/BVC is a significant factor.  The (institution) is also keen to ensure that its students are as effective as possible when they enter practice.  We want to give them experience in the type of issues they are likely to come across in practice; hence we are </w:t>
      </w:r>
      <w:r w:rsidRPr="00E80F0C">
        <w:rPr>
          <w:rFonts w:ascii="Arial" w:eastAsiaTheme="minorHAnsi" w:hAnsi="Arial" w:cs="Arial"/>
          <w:sz w:val="24"/>
          <w:szCs w:val="24"/>
        </w:rPr>
        <w:lastRenderedPageBreak/>
        <w:t>increasingly conce</w:t>
      </w:r>
      <w:r>
        <w:rPr>
          <w:rFonts w:ascii="Arial" w:eastAsiaTheme="minorHAnsi" w:hAnsi="Arial" w:cs="Arial"/>
          <w:sz w:val="24"/>
          <w:szCs w:val="24"/>
        </w:rPr>
        <w:t>ntrating on the substantive EU L</w:t>
      </w:r>
      <w:r w:rsidRPr="00E80F0C">
        <w:rPr>
          <w:rFonts w:ascii="Arial" w:eastAsiaTheme="minorHAnsi" w:hAnsi="Arial" w:cs="Arial"/>
          <w:sz w:val="24"/>
          <w:szCs w:val="24"/>
        </w:rPr>
        <w:t>aw.  This trend will be accentuated fo</w:t>
      </w:r>
      <w:r>
        <w:rPr>
          <w:rFonts w:ascii="Arial" w:eastAsiaTheme="minorHAnsi" w:hAnsi="Arial" w:cs="Arial"/>
          <w:sz w:val="24"/>
          <w:szCs w:val="24"/>
        </w:rPr>
        <w:t>llowing revalidation in 2007/8.”</w:t>
      </w:r>
    </w:p>
    <w:p w:rsidR="00E03B54" w:rsidRDefault="00E03B54" w:rsidP="00E03B54">
      <w:pPr>
        <w:spacing w:line="360" w:lineRule="auto"/>
        <w:jc w:val="both"/>
        <w:rPr>
          <w:rFonts w:ascii="Arial" w:eastAsiaTheme="minorHAnsi" w:hAnsi="Arial" w:cs="Arial"/>
          <w:b/>
          <w:sz w:val="24"/>
          <w:szCs w:val="24"/>
          <w:u w:val="single"/>
        </w:rPr>
      </w:pPr>
    </w:p>
    <w:p w:rsidR="008B15B9" w:rsidRDefault="008B15B9" w:rsidP="00E03B54">
      <w:pPr>
        <w:spacing w:line="360" w:lineRule="auto"/>
        <w:jc w:val="both"/>
        <w:rPr>
          <w:rFonts w:ascii="Arial" w:eastAsiaTheme="minorHAnsi" w:hAnsi="Arial" w:cs="Arial"/>
          <w:b/>
          <w:sz w:val="24"/>
          <w:szCs w:val="24"/>
          <w:u w:val="single"/>
        </w:rPr>
      </w:pPr>
    </w:p>
    <w:p w:rsidR="00E03B54" w:rsidRPr="008F5381"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7.1 – Requirements of Professional Bodies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8F5381" w:rsidTr="00E03B54">
        <w:trPr>
          <w:jc w:val="center"/>
        </w:trPr>
        <w:tc>
          <w:tcPr>
            <w:tcW w:w="0" w:type="auto"/>
          </w:tcPr>
          <w:p w:rsidR="00E03B54" w:rsidRPr="008F5381" w:rsidRDefault="00E03B54" w:rsidP="00E03B54">
            <w:pPr>
              <w:spacing w:after="0" w:line="240" w:lineRule="auto"/>
              <w:jc w:val="center"/>
              <w:rPr>
                <w:b/>
                <w:sz w:val="24"/>
                <w:szCs w:val="24"/>
              </w:rPr>
            </w:pPr>
            <w:r w:rsidRPr="008F5381">
              <w:rPr>
                <w:b/>
                <w:sz w:val="24"/>
                <w:szCs w:val="24"/>
              </w:rPr>
              <w:t>Rating</w:t>
            </w:r>
          </w:p>
        </w:tc>
        <w:tc>
          <w:tcPr>
            <w:tcW w:w="0" w:type="auto"/>
          </w:tcPr>
          <w:p w:rsidR="00E03B54" w:rsidRPr="008F5381" w:rsidRDefault="00E03B54" w:rsidP="00E03B54">
            <w:pPr>
              <w:spacing w:after="0" w:line="240" w:lineRule="auto"/>
              <w:rPr>
                <w:b/>
                <w:sz w:val="24"/>
                <w:szCs w:val="24"/>
              </w:rPr>
            </w:pPr>
            <w:r w:rsidRPr="008F5381">
              <w:rPr>
                <w:b/>
                <w:sz w:val="24"/>
                <w:szCs w:val="24"/>
              </w:rPr>
              <w:t>CPE</w:t>
            </w:r>
          </w:p>
        </w:tc>
        <w:tc>
          <w:tcPr>
            <w:tcW w:w="0" w:type="auto"/>
          </w:tcPr>
          <w:p w:rsidR="00E03B54" w:rsidRPr="008F5381" w:rsidRDefault="00E03B54" w:rsidP="00E03B54">
            <w:pPr>
              <w:spacing w:after="0" w:line="240" w:lineRule="auto"/>
              <w:rPr>
                <w:b/>
                <w:sz w:val="24"/>
                <w:szCs w:val="24"/>
              </w:rPr>
            </w:pPr>
            <w:r w:rsidRPr="008F5381">
              <w:rPr>
                <w:b/>
                <w:sz w:val="24"/>
                <w:szCs w:val="24"/>
              </w:rPr>
              <w:t>LLB/QLD</w:t>
            </w:r>
          </w:p>
        </w:tc>
        <w:tc>
          <w:tcPr>
            <w:tcW w:w="0" w:type="auto"/>
          </w:tcPr>
          <w:p w:rsidR="00E03B54" w:rsidRPr="008F5381" w:rsidRDefault="00E03B54" w:rsidP="00E03B54">
            <w:pPr>
              <w:spacing w:after="0" w:line="240" w:lineRule="auto"/>
              <w:rPr>
                <w:b/>
                <w:sz w:val="24"/>
                <w:szCs w:val="24"/>
              </w:rPr>
            </w:pPr>
            <w:r w:rsidRPr="008F5381">
              <w:rPr>
                <w:b/>
                <w:sz w:val="24"/>
                <w:szCs w:val="24"/>
              </w:rPr>
              <w:t>Total</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Irrelevant</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Marginal relevance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Significant or material</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2</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4</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6</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Considerable importance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4</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14</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Crucial or determinative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6</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20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26</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Missing</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2</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2</w:t>
            </w:r>
          </w:p>
        </w:tc>
      </w:tr>
    </w:tbl>
    <w:p w:rsidR="00E03B54" w:rsidRDefault="00E03B54" w:rsidP="00E03B54">
      <w:pPr>
        <w:spacing w:line="360" w:lineRule="auto"/>
        <w:jc w:val="both"/>
        <w:rPr>
          <w:rFonts w:ascii="Arial" w:eastAsiaTheme="minorHAnsi" w:hAnsi="Arial" w:cs="Arial"/>
          <w:b/>
          <w:sz w:val="24"/>
          <w:szCs w:val="24"/>
          <w:u w:val="single"/>
        </w:rPr>
      </w:pPr>
    </w:p>
    <w:p w:rsidR="008B15B9" w:rsidRDefault="008B15B9" w:rsidP="00E03B54">
      <w:pPr>
        <w:spacing w:line="360" w:lineRule="auto"/>
        <w:jc w:val="both"/>
        <w:rPr>
          <w:rFonts w:ascii="Arial" w:eastAsiaTheme="minorHAnsi" w:hAnsi="Arial" w:cs="Arial"/>
          <w:b/>
          <w:sz w:val="24"/>
          <w:szCs w:val="24"/>
          <w:u w:val="single"/>
        </w:rPr>
      </w:pPr>
    </w:p>
    <w:p w:rsidR="008B15B9" w:rsidRDefault="008B15B9" w:rsidP="00E03B54">
      <w:pPr>
        <w:spacing w:line="360" w:lineRule="auto"/>
        <w:jc w:val="both"/>
        <w:rPr>
          <w:rFonts w:ascii="Arial" w:eastAsiaTheme="minorHAnsi" w:hAnsi="Arial" w:cs="Arial"/>
          <w:b/>
          <w:sz w:val="24"/>
          <w:szCs w:val="24"/>
          <w:u w:val="single"/>
        </w:rPr>
      </w:pPr>
    </w:p>
    <w:p w:rsidR="00770EE4" w:rsidRPr="00E80F0C" w:rsidRDefault="00770EE4" w:rsidP="00E03B54">
      <w:pPr>
        <w:spacing w:line="360" w:lineRule="auto"/>
        <w:jc w:val="both"/>
        <w:rPr>
          <w:rFonts w:ascii="Arial" w:eastAsiaTheme="minorHAnsi" w:hAnsi="Arial" w:cs="Arial"/>
          <w:b/>
          <w:sz w:val="24"/>
          <w:szCs w:val="24"/>
          <w:u w:val="single"/>
        </w:rPr>
      </w:pPr>
    </w:p>
    <w:p w:rsidR="00E03B54" w:rsidRPr="008F5381"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7.2 – Length of Course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8F5381" w:rsidTr="00E03B54">
        <w:trPr>
          <w:jc w:val="center"/>
        </w:trPr>
        <w:tc>
          <w:tcPr>
            <w:tcW w:w="0" w:type="auto"/>
          </w:tcPr>
          <w:p w:rsidR="00E03B54" w:rsidRPr="008F5381" w:rsidRDefault="00E03B54" w:rsidP="00E03B54">
            <w:pPr>
              <w:spacing w:after="0" w:line="240" w:lineRule="auto"/>
              <w:jc w:val="center"/>
              <w:rPr>
                <w:b/>
                <w:sz w:val="24"/>
                <w:szCs w:val="24"/>
              </w:rPr>
            </w:pPr>
            <w:r w:rsidRPr="008F5381">
              <w:rPr>
                <w:b/>
                <w:sz w:val="24"/>
                <w:szCs w:val="24"/>
              </w:rPr>
              <w:t>Rating</w:t>
            </w:r>
          </w:p>
        </w:tc>
        <w:tc>
          <w:tcPr>
            <w:tcW w:w="0" w:type="auto"/>
          </w:tcPr>
          <w:p w:rsidR="00E03B54" w:rsidRPr="008F5381" w:rsidRDefault="00E03B54" w:rsidP="00E03B54">
            <w:pPr>
              <w:spacing w:after="0" w:line="240" w:lineRule="auto"/>
              <w:rPr>
                <w:b/>
                <w:sz w:val="24"/>
                <w:szCs w:val="24"/>
              </w:rPr>
            </w:pPr>
            <w:r w:rsidRPr="008F5381">
              <w:rPr>
                <w:b/>
                <w:sz w:val="24"/>
                <w:szCs w:val="24"/>
              </w:rPr>
              <w:t>CPE</w:t>
            </w:r>
          </w:p>
        </w:tc>
        <w:tc>
          <w:tcPr>
            <w:tcW w:w="0" w:type="auto"/>
          </w:tcPr>
          <w:p w:rsidR="00E03B54" w:rsidRPr="008F5381" w:rsidRDefault="00E03B54" w:rsidP="00E03B54">
            <w:pPr>
              <w:spacing w:after="0" w:line="240" w:lineRule="auto"/>
              <w:rPr>
                <w:b/>
                <w:sz w:val="24"/>
                <w:szCs w:val="24"/>
              </w:rPr>
            </w:pPr>
            <w:r w:rsidRPr="008F5381">
              <w:rPr>
                <w:b/>
                <w:sz w:val="24"/>
                <w:szCs w:val="24"/>
              </w:rPr>
              <w:t>LLB/QLD</w:t>
            </w:r>
          </w:p>
        </w:tc>
        <w:tc>
          <w:tcPr>
            <w:tcW w:w="0" w:type="auto"/>
          </w:tcPr>
          <w:p w:rsidR="00E03B54" w:rsidRPr="008F5381" w:rsidRDefault="00E03B54" w:rsidP="00E03B54">
            <w:pPr>
              <w:spacing w:after="0" w:line="240" w:lineRule="auto"/>
              <w:rPr>
                <w:b/>
                <w:sz w:val="24"/>
                <w:szCs w:val="24"/>
              </w:rPr>
            </w:pPr>
            <w:r w:rsidRPr="008F5381">
              <w:rPr>
                <w:b/>
                <w:sz w:val="24"/>
                <w:szCs w:val="24"/>
              </w:rPr>
              <w:t>Total</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Irrelevant</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Marginal relevance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Significant or material</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3</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5</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8</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Considerable importance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5</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12</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17</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Crucial or determinative</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5</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14</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19</w:t>
            </w:r>
          </w:p>
        </w:tc>
      </w:tr>
      <w:tr w:rsidR="00E03B54" w:rsidRPr="008F5381" w:rsidTr="00E03B54">
        <w:trPr>
          <w:jc w:val="center"/>
        </w:trPr>
        <w:tc>
          <w:tcPr>
            <w:tcW w:w="0" w:type="auto"/>
          </w:tcPr>
          <w:p w:rsidR="00E03B54" w:rsidRPr="008F5381" w:rsidRDefault="00E03B54" w:rsidP="00E03B54">
            <w:pPr>
              <w:spacing w:after="0" w:line="240" w:lineRule="auto"/>
              <w:rPr>
                <w:sz w:val="24"/>
                <w:szCs w:val="24"/>
              </w:rPr>
            </w:pPr>
          </w:p>
          <w:p w:rsidR="00E03B54" w:rsidRPr="008F5381" w:rsidRDefault="00E03B54" w:rsidP="00E03B54">
            <w:pPr>
              <w:spacing w:after="0" w:line="240" w:lineRule="auto"/>
              <w:rPr>
                <w:sz w:val="24"/>
                <w:szCs w:val="24"/>
              </w:rPr>
            </w:pPr>
            <w:r w:rsidRPr="008F5381">
              <w:rPr>
                <w:sz w:val="24"/>
                <w:szCs w:val="24"/>
              </w:rPr>
              <w:t>Missing</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0</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4</w:t>
            </w:r>
          </w:p>
        </w:tc>
        <w:tc>
          <w:tcPr>
            <w:tcW w:w="0" w:type="auto"/>
          </w:tcPr>
          <w:p w:rsidR="00E03B54" w:rsidRPr="008F5381" w:rsidRDefault="00E03B54" w:rsidP="00E03B54">
            <w:pPr>
              <w:spacing w:after="0" w:line="240" w:lineRule="auto"/>
              <w:jc w:val="center"/>
              <w:rPr>
                <w:sz w:val="24"/>
                <w:szCs w:val="24"/>
              </w:rPr>
            </w:pPr>
          </w:p>
          <w:p w:rsidR="00E03B54" w:rsidRPr="008F5381" w:rsidRDefault="00E03B54" w:rsidP="00E03B54">
            <w:pPr>
              <w:spacing w:after="0" w:line="240" w:lineRule="auto"/>
              <w:jc w:val="center"/>
              <w:rPr>
                <w:sz w:val="24"/>
                <w:szCs w:val="24"/>
              </w:rPr>
            </w:pPr>
            <w:r w:rsidRPr="008F5381">
              <w:rPr>
                <w:sz w:val="24"/>
                <w:szCs w:val="24"/>
              </w:rPr>
              <w:t>4</w:t>
            </w:r>
          </w:p>
        </w:tc>
      </w:tr>
    </w:tbl>
    <w:p w:rsidR="00E03B54" w:rsidRDefault="00E03B54" w:rsidP="00E03B54">
      <w:pPr>
        <w:spacing w:line="360" w:lineRule="auto"/>
        <w:jc w:val="both"/>
        <w:rPr>
          <w:rFonts w:ascii="Arial" w:eastAsiaTheme="minorHAnsi" w:hAnsi="Arial" w:cs="Arial"/>
          <w:b/>
          <w:sz w:val="24"/>
          <w:szCs w:val="24"/>
          <w:u w:val="single"/>
        </w:rPr>
      </w:pPr>
    </w:p>
    <w:p w:rsidR="00E03B54" w:rsidRPr="002361D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7.3 – Nature of Course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2361DD" w:rsidTr="00E03B54">
        <w:trPr>
          <w:jc w:val="center"/>
        </w:trPr>
        <w:tc>
          <w:tcPr>
            <w:tcW w:w="0" w:type="auto"/>
          </w:tcPr>
          <w:p w:rsidR="00E03B54" w:rsidRPr="002361DD" w:rsidRDefault="00E03B54" w:rsidP="00E03B54">
            <w:pPr>
              <w:spacing w:after="0" w:line="240" w:lineRule="auto"/>
              <w:jc w:val="center"/>
              <w:rPr>
                <w:b/>
                <w:sz w:val="24"/>
                <w:szCs w:val="24"/>
              </w:rPr>
            </w:pPr>
            <w:r w:rsidRPr="002361DD">
              <w:rPr>
                <w:b/>
                <w:sz w:val="24"/>
                <w:szCs w:val="24"/>
              </w:rPr>
              <w:t>Rating</w:t>
            </w:r>
          </w:p>
        </w:tc>
        <w:tc>
          <w:tcPr>
            <w:tcW w:w="0" w:type="auto"/>
          </w:tcPr>
          <w:p w:rsidR="00E03B54" w:rsidRPr="002361DD" w:rsidRDefault="00E03B54" w:rsidP="00E03B54">
            <w:pPr>
              <w:spacing w:after="0" w:line="240" w:lineRule="auto"/>
              <w:rPr>
                <w:b/>
                <w:sz w:val="24"/>
                <w:szCs w:val="24"/>
              </w:rPr>
            </w:pPr>
            <w:r w:rsidRPr="002361DD">
              <w:rPr>
                <w:b/>
                <w:sz w:val="24"/>
                <w:szCs w:val="24"/>
              </w:rPr>
              <w:t>CPE</w:t>
            </w:r>
          </w:p>
        </w:tc>
        <w:tc>
          <w:tcPr>
            <w:tcW w:w="0" w:type="auto"/>
          </w:tcPr>
          <w:p w:rsidR="00E03B54" w:rsidRPr="002361DD" w:rsidRDefault="00E03B54" w:rsidP="00E03B54">
            <w:pPr>
              <w:spacing w:after="0" w:line="240" w:lineRule="auto"/>
              <w:rPr>
                <w:b/>
                <w:sz w:val="24"/>
                <w:szCs w:val="24"/>
              </w:rPr>
            </w:pPr>
            <w:r w:rsidRPr="002361DD">
              <w:rPr>
                <w:b/>
                <w:sz w:val="24"/>
                <w:szCs w:val="24"/>
              </w:rPr>
              <w:t>LLB/QLD</w:t>
            </w:r>
          </w:p>
        </w:tc>
        <w:tc>
          <w:tcPr>
            <w:tcW w:w="0" w:type="auto"/>
          </w:tcPr>
          <w:p w:rsidR="00E03B54" w:rsidRPr="002361DD" w:rsidRDefault="00E03B54" w:rsidP="00E03B54">
            <w:pPr>
              <w:spacing w:after="0" w:line="240" w:lineRule="auto"/>
              <w:rPr>
                <w:b/>
                <w:sz w:val="24"/>
                <w:szCs w:val="24"/>
              </w:rPr>
            </w:pPr>
            <w:r w:rsidRPr="002361DD">
              <w:rPr>
                <w:b/>
                <w:sz w:val="24"/>
                <w:szCs w:val="24"/>
              </w:rPr>
              <w:t>Total</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Irrelevant</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Marginal relevance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5</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Significant or material</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Considerable importance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3</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9</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12</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Crucial or determinative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15</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Missing</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7</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8</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2361D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7.4 – Contents of Pre-Existing Course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2361DD" w:rsidTr="00E03B54">
        <w:trPr>
          <w:jc w:val="center"/>
        </w:trPr>
        <w:tc>
          <w:tcPr>
            <w:tcW w:w="0" w:type="auto"/>
          </w:tcPr>
          <w:p w:rsidR="00E03B54" w:rsidRPr="002361DD" w:rsidRDefault="00E03B54" w:rsidP="00E03B54">
            <w:pPr>
              <w:spacing w:after="0" w:line="240" w:lineRule="auto"/>
              <w:jc w:val="center"/>
              <w:rPr>
                <w:b/>
                <w:sz w:val="24"/>
                <w:szCs w:val="24"/>
              </w:rPr>
            </w:pPr>
            <w:r w:rsidRPr="002361DD">
              <w:rPr>
                <w:b/>
                <w:sz w:val="24"/>
                <w:szCs w:val="24"/>
              </w:rPr>
              <w:t>Rating</w:t>
            </w:r>
          </w:p>
        </w:tc>
        <w:tc>
          <w:tcPr>
            <w:tcW w:w="0" w:type="auto"/>
          </w:tcPr>
          <w:p w:rsidR="00E03B54" w:rsidRPr="002361DD" w:rsidRDefault="00E03B54" w:rsidP="00E03B54">
            <w:pPr>
              <w:spacing w:after="0" w:line="240" w:lineRule="auto"/>
              <w:rPr>
                <w:b/>
                <w:sz w:val="24"/>
                <w:szCs w:val="24"/>
              </w:rPr>
            </w:pPr>
            <w:r w:rsidRPr="002361DD">
              <w:rPr>
                <w:b/>
                <w:sz w:val="24"/>
                <w:szCs w:val="24"/>
              </w:rPr>
              <w:t>CPE</w:t>
            </w:r>
          </w:p>
        </w:tc>
        <w:tc>
          <w:tcPr>
            <w:tcW w:w="0" w:type="auto"/>
          </w:tcPr>
          <w:p w:rsidR="00E03B54" w:rsidRPr="002361DD" w:rsidRDefault="00E03B54" w:rsidP="00E03B54">
            <w:pPr>
              <w:spacing w:after="0" w:line="240" w:lineRule="auto"/>
              <w:rPr>
                <w:b/>
                <w:sz w:val="24"/>
                <w:szCs w:val="24"/>
              </w:rPr>
            </w:pPr>
            <w:r w:rsidRPr="002361DD">
              <w:rPr>
                <w:b/>
                <w:sz w:val="24"/>
                <w:szCs w:val="24"/>
              </w:rPr>
              <w:t>LLB/QLD</w:t>
            </w:r>
          </w:p>
        </w:tc>
        <w:tc>
          <w:tcPr>
            <w:tcW w:w="0" w:type="auto"/>
          </w:tcPr>
          <w:p w:rsidR="00E03B54" w:rsidRPr="002361DD" w:rsidRDefault="00E03B54" w:rsidP="00E03B54">
            <w:pPr>
              <w:spacing w:after="0" w:line="240" w:lineRule="auto"/>
              <w:rPr>
                <w:b/>
                <w:sz w:val="24"/>
                <w:szCs w:val="24"/>
              </w:rPr>
            </w:pPr>
            <w:r w:rsidRPr="002361DD">
              <w:rPr>
                <w:b/>
                <w:sz w:val="24"/>
                <w:szCs w:val="24"/>
              </w:rPr>
              <w:t>Total</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Irrelevant</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5</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13</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18</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Marginal relevance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7</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9</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Significant or material</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12</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Considerable importance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Crucial or determinative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Missing</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2361D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7.5 – Feedback from Previous Courses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2361DD" w:rsidTr="00E03B54">
        <w:trPr>
          <w:jc w:val="center"/>
        </w:trPr>
        <w:tc>
          <w:tcPr>
            <w:tcW w:w="0" w:type="auto"/>
          </w:tcPr>
          <w:p w:rsidR="00E03B54" w:rsidRPr="002361DD" w:rsidRDefault="00E03B54" w:rsidP="00E03B54">
            <w:pPr>
              <w:spacing w:after="0" w:line="240" w:lineRule="auto"/>
              <w:jc w:val="center"/>
              <w:rPr>
                <w:b/>
                <w:sz w:val="24"/>
                <w:szCs w:val="24"/>
              </w:rPr>
            </w:pPr>
            <w:r w:rsidRPr="002361DD">
              <w:rPr>
                <w:b/>
                <w:sz w:val="24"/>
                <w:szCs w:val="24"/>
              </w:rPr>
              <w:t>Rating</w:t>
            </w:r>
          </w:p>
        </w:tc>
        <w:tc>
          <w:tcPr>
            <w:tcW w:w="0" w:type="auto"/>
          </w:tcPr>
          <w:p w:rsidR="00E03B54" w:rsidRPr="002361DD" w:rsidRDefault="00E03B54" w:rsidP="00E03B54">
            <w:pPr>
              <w:spacing w:after="0" w:line="240" w:lineRule="auto"/>
              <w:rPr>
                <w:b/>
                <w:sz w:val="24"/>
                <w:szCs w:val="24"/>
              </w:rPr>
            </w:pPr>
            <w:r w:rsidRPr="002361DD">
              <w:rPr>
                <w:b/>
                <w:sz w:val="24"/>
                <w:szCs w:val="24"/>
              </w:rPr>
              <w:t>CPE</w:t>
            </w:r>
          </w:p>
        </w:tc>
        <w:tc>
          <w:tcPr>
            <w:tcW w:w="0" w:type="auto"/>
          </w:tcPr>
          <w:p w:rsidR="00E03B54" w:rsidRPr="002361DD" w:rsidRDefault="00E03B54" w:rsidP="00E03B54">
            <w:pPr>
              <w:spacing w:after="0" w:line="240" w:lineRule="auto"/>
              <w:rPr>
                <w:b/>
                <w:sz w:val="24"/>
                <w:szCs w:val="24"/>
              </w:rPr>
            </w:pPr>
            <w:r w:rsidRPr="002361DD">
              <w:rPr>
                <w:b/>
                <w:sz w:val="24"/>
                <w:szCs w:val="24"/>
              </w:rPr>
              <w:t>LLB/QLD</w:t>
            </w:r>
          </w:p>
        </w:tc>
        <w:tc>
          <w:tcPr>
            <w:tcW w:w="0" w:type="auto"/>
          </w:tcPr>
          <w:p w:rsidR="00E03B54" w:rsidRPr="002361DD" w:rsidRDefault="00E03B54" w:rsidP="00E03B54">
            <w:pPr>
              <w:spacing w:after="0" w:line="240" w:lineRule="auto"/>
              <w:rPr>
                <w:b/>
                <w:sz w:val="24"/>
                <w:szCs w:val="24"/>
              </w:rPr>
            </w:pPr>
            <w:r w:rsidRPr="002361DD">
              <w:rPr>
                <w:b/>
                <w:sz w:val="24"/>
                <w:szCs w:val="24"/>
              </w:rPr>
              <w:t>Total</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Irrelevant</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3</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Marginal relevance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3</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8</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11</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Significant or material</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5</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9</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14</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Considerable importance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12</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Crucial or determinative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5</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Missing</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2361D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7.6 – Integration of Parts of the Course into the Whole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2361DD" w:rsidTr="00E03B54">
        <w:trPr>
          <w:jc w:val="center"/>
        </w:trPr>
        <w:tc>
          <w:tcPr>
            <w:tcW w:w="0" w:type="auto"/>
          </w:tcPr>
          <w:p w:rsidR="00E03B54" w:rsidRPr="002361DD" w:rsidRDefault="00E03B54" w:rsidP="00E03B54">
            <w:pPr>
              <w:spacing w:after="0" w:line="240" w:lineRule="auto"/>
              <w:jc w:val="center"/>
              <w:rPr>
                <w:b/>
                <w:sz w:val="24"/>
                <w:szCs w:val="24"/>
              </w:rPr>
            </w:pPr>
            <w:r w:rsidRPr="002361DD">
              <w:rPr>
                <w:b/>
                <w:sz w:val="24"/>
                <w:szCs w:val="24"/>
              </w:rPr>
              <w:t>Rating</w:t>
            </w:r>
          </w:p>
        </w:tc>
        <w:tc>
          <w:tcPr>
            <w:tcW w:w="0" w:type="auto"/>
          </w:tcPr>
          <w:p w:rsidR="00E03B54" w:rsidRPr="002361DD" w:rsidRDefault="00E03B54" w:rsidP="00E03B54">
            <w:pPr>
              <w:spacing w:after="0" w:line="240" w:lineRule="auto"/>
              <w:rPr>
                <w:b/>
                <w:sz w:val="24"/>
                <w:szCs w:val="24"/>
              </w:rPr>
            </w:pPr>
            <w:r w:rsidRPr="002361DD">
              <w:rPr>
                <w:b/>
                <w:sz w:val="24"/>
                <w:szCs w:val="24"/>
              </w:rPr>
              <w:t>CPE</w:t>
            </w:r>
          </w:p>
        </w:tc>
        <w:tc>
          <w:tcPr>
            <w:tcW w:w="0" w:type="auto"/>
          </w:tcPr>
          <w:p w:rsidR="00E03B54" w:rsidRPr="002361DD" w:rsidRDefault="00E03B54" w:rsidP="00E03B54">
            <w:pPr>
              <w:spacing w:after="0" w:line="240" w:lineRule="auto"/>
              <w:rPr>
                <w:b/>
                <w:sz w:val="24"/>
                <w:szCs w:val="24"/>
              </w:rPr>
            </w:pPr>
            <w:r w:rsidRPr="002361DD">
              <w:rPr>
                <w:b/>
                <w:sz w:val="24"/>
                <w:szCs w:val="24"/>
              </w:rPr>
              <w:t>LLB/QLD</w:t>
            </w:r>
          </w:p>
        </w:tc>
        <w:tc>
          <w:tcPr>
            <w:tcW w:w="0" w:type="auto"/>
          </w:tcPr>
          <w:p w:rsidR="00E03B54" w:rsidRPr="002361DD" w:rsidRDefault="00E03B54" w:rsidP="00E03B54">
            <w:pPr>
              <w:spacing w:after="0" w:line="240" w:lineRule="auto"/>
              <w:rPr>
                <w:b/>
                <w:sz w:val="24"/>
                <w:szCs w:val="24"/>
              </w:rPr>
            </w:pPr>
            <w:r w:rsidRPr="002361DD">
              <w:rPr>
                <w:b/>
                <w:sz w:val="24"/>
                <w:szCs w:val="24"/>
              </w:rPr>
              <w:t>Total</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Irrelevant</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3</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Marginal relevance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6</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Significant or material</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7</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11</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Considerable importance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18</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Crucial or determinative</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2</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5</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7</w:t>
            </w:r>
          </w:p>
        </w:tc>
      </w:tr>
      <w:tr w:rsidR="00E03B54" w:rsidRPr="002361DD" w:rsidTr="00E03B54">
        <w:trPr>
          <w:jc w:val="center"/>
        </w:trPr>
        <w:tc>
          <w:tcPr>
            <w:tcW w:w="0" w:type="auto"/>
          </w:tcPr>
          <w:p w:rsidR="00E03B54" w:rsidRPr="002361DD" w:rsidRDefault="00E03B54" w:rsidP="00E03B54">
            <w:pPr>
              <w:spacing w:after="0" w:line="240" w:lineRule="auto"/>
              <w:rPr>
                <w:sz w:val="24"/>
                <w:szCs w:val="24"/>
              </w:rPr>
            </w:pPr>
          </w:p>
          <w:p w:rsidR="00E03B54" w:rsidRPr="002361DD" w:rsidRDefault="00E03B54" w:rsidP="00E03B54">
            <w:pPr>
              <w:spacing w:after="0" w:line="240" w:lineRule="auto"/>
              <w:rPr>
                <w:sz w:val="24"/>
                <w:szCs w:val="24"/>
              </w:rPr>
            </w:pPr>
            <w:r w:rsidRPr="002361DD">
              <w:rPr>
                <w:sz w:val="24"/>
                <w:szCs w:val="24"/>
              </w:rPr>
              <w:t>Missing</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0</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c>
          <w:tcPr>
            <w:tcW w:w="0" w:type="auto"/>
          </w:tcPr>
          <w:p w:rsidR="00E03B54" w:rsidRPr="002361DD" w:rsidRDefault="00E03B54" w:rsidP="00E03B54">
            <w:pPr>
              <w:spacing w:after="0" w:line="240" w:lineRule="auto"/>
              <w:jc w:val="center"/>
              <w:rPr>
                <w:sz w:val="24"/>
                <w:szCs w:val="24"/>
              </w:rPr>
            </w:pPr>
          </w:p>
          <w:p w:rsidR="00E03B54" w:rsidRPr="002361DD" w:rsidRDefault="00E03B54" w:rsidP="00E03B54">
            <w:pPr>
              <w:spacing w:after="0" w:line="240" w:lineRule="auto"/>
              <w:jc w:val="center"/>
              <w:rPr>
                <w:sz w:val="24"/>
                <w:szCs w:val="24"/>
              </w:rPr>
            </w:pPr>
            <w:r w:rsidRPr="002361DD">
              <w:rPr>
                <w:sz w:val="24"/>
                <w:szCs w:val="24"/>
              </w:rPr>
              <w:t>4</w:t>
            </w:r>
          </w:p>
        </w:tc>
      </w:tr>
    </w:tbl>
    <w:p w:rsidR="00770EE4" w:rsidRDefault="00770EE4" w:rsidP="00770EE4">
      <w:pPr>
        <w:spacing w:line="360" w:lineRule="auto"/>
        <w:jc w:val="both"/>
        <w:rPr>
          <w:rFonts w:ascii="Arial" w:eastAsiaTheme="minorHAnsi" w:hAnsi="Arial" w:cs="Arial"/>
          <w:sz w:val="24"/>
          <w:szCs w:val="24"/>
        </w:rPr>
      </w:pPr>
    </w:p>
    <w:p w:rsidR="00770EE4" w:rsidRDefault="00770EE4" w:rsidP="00770EE4">
      <w:pPr>
        <w:spacing w:line="360" w:lineRule="auto"/>
        <w:jc w:val="both"/>
        <w:rPr>
          <w:rFonts w:ascii="Arial" w:eastAsiaTheme="minorHAnsi" w:hAnsi="Arial" w:cs="Arial"/>
          <w:sz w:val="24"/>
          <w:szCs w:val="24"/>
        </w:rPr>
      </w:pPr>
    </w:p>
    <w:p w:rsidR="00770EE4" w:rsidRDefault="00770EE4" w:rsidP="00770EE4">
      <w:pPr>
        <w:spacing w:line="360" w:lineRule="auto"/>
        <w:jc w:val="both"/>
        <w:rPr>
          <w:rFonts w:ascii="Arial" w:eastAsiaTheme="minorHAnsi" w:hAnsi="Arial" w:cs="Arial"/>
          <w:sz w:val="24"/>
          <w:szCs w:val="24"/>
        </w:rPr>
      </w:pPr>
    </w:p>
    <w:p w:rsidR="00770EE4" w:rsidRDefault="00770EE4" w:rsidP="00770EE4">
      <w:pPr>
        <w:spacing w:line="360" w:lineRule="auto"/>
        <w:jc w:val="both"/>
        <w:rPr>
          <w:rFonts w:ascii="Arial" w:eastAsiaTheme="minorHAnsi" w:hAnsi="Arial" w:cs="Arial"/>
          <w:sz w:val="24"/>
          <w:szCs w:val="24"/>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7.7 – Relevance to Practice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9</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13</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6</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19</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Pr="00E80F0C"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7.8 – Availability of Teaching and Learning Resources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9</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6</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16</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13</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Pr="00E80F0C"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7.9 – Textbook Availability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13</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14</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Pr="00E80F0C"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7.10 – Student Preferences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17</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19</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9</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14</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7.11 – Topicality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12</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19</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6</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9</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7.12 – Type of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14</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14</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9</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606AED"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7.13 – Personal Interests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606AED" w:rsidTr="00E03B54">
        <w:trPr>
          <w:jc w:val="center"/>
        </w:trPr>
        <w:tc>
          <w:tcPr>
            <w:tcW w:w="0" w:type="auto"/>
          </w:tcPr>
          <w:p w:rsidR="00E03B54" w:rsidRPr="00606AED" w:rsidRDefault="00E03B54" w:rsidP="00E03B54">
            <w:pPr>
              <w:spacing w:after="0" w:line="240" w:lineRule="auto"/>
              <w:jc w:val="center"/>
              <w:rPr>
                <w:b/>
                <w:sz w:val="24"/>
                <w:szCs w:val="24"/>
              </w:rPr>
            </w:pPr>
            <w:r w:rsidRPr="00606AED">
              <w:rPr>
                <w:b/>
                <w:sz w:val="24"/>
                <w:szCs w:val="24"/>
              </w:rPr>
              <w:t>Rating</w:t>
            </w:r>
          </w:p>
        </w:tc>
        <w:tc>
          <w:tcPr>
            <w:tcW w:w="0" w:type="auto"/>
          </w:tcPr>
          <w:p w:rsidR="00E03B54" w:rsidRPr="00606AED" w:rsidRDefault="00E03B54" w:rsidP="00E03B54">
            <w:pPr>
              <w:spacing w:after="0" w:line="240" w:lineRule="auto"/>
              <w:rPr>
                <w:b/>
                <w:sz w:val="24"/>
                <w:szCs w:val="24"/>
              </w:rPr>
            </w:pPr>
            <w:r w:rsidRPr="00606AED">
              <w:rPr>
                <w:b/>
                <w:sz w:val="24"/>
                <w:szCs w:val="24"/>
              </w:rPr>
              <w:t>CPE</w:t>
            </w:r>
          </w:p>
        </w:tc>
        <w:tc>
          <w:tcPr>
            <w:tcW w:w="0" w:type="auto"/>
          </w:tcPr>
          <w:p w:rsidR="00E03B54" w:rsidRPr="00606AED" w:rsidRDefault="00E03B54" w:rsidP="00E03B54">
            <w:pPr>
              <w:spacing w:after="0" w:line="240" w:lineRule="auto"/>
              <w:rPr>
                <w:b/>
                <w:sz w:val="24"/>
                <w:szCs w:val="24"/>
              </w:rPr>
            </w:pPr>
            <w:r w:rsidRPr="00606AED">
              <w:rPr>
                <w:b/>
                <w:sz w:val="24"/>
                <w:szCs w:val="24"/>
              </w:rPr>
              <w:t>LLB/QLD</w:t>
            </w:r>
          </w:p>
        </w:tc>
        <w:tc>
          <w:tcPr>
            <w:tcW w:w="0" w:type="auto"/>
          </w:tcPr>
          <w:p w:rsidR="00E03B54" w:rsidRPr="00606AED" w:rsidRDefault="00E03B54" w:rsidP="00E03B54">
            <w:pPr>
              <w:spacing w:after="0" w:line="240" w:lineRule="auto"/>
              <w:rPr>
                <w:b/>
                <w:sz w:val="24"/>
                <w:szCs w:val="24"/>
              </w:rPr>
            </w:pPr>
            <w:r w:rsidRPr="00606AED">
              <w:rPr>
                <w:b/>
                <w:sz w:val="24"/>
                <w:szCs w:val="24"/>
              </w:rPr>
              <w:t>Total</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Irrelevant</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5</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15</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Marginal relevance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4</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7</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Significant or material</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12</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Considerable importance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8</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11</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Crucial or determinative</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1</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2</w:t>
            </w:r>
          </w:p>
        </w:tc>
      </w:tr>
      <w:tr w:rsidR="00E03B54" w:rsidRPr="00606AED" w:rsidTr="00E03B54">
        <w:trPr>
          <w:jc w:val="center"/>
        </w:trPr>
        <w:tc>
          <w:tcPr>
            <w:tcW w:w="0" w:type="auto"/>
          </w:tcPr>
          <w:p w:rsidR="00E03B54" w:rsidRPr="00606AED" w:rsidRDefault="00E03B54" w:rsidP="00E03B54">
            <w:pPr>
              <w:spacing w:after="0" w:line="240" w:lineRule="auto"/>
              <w:rPr>
                <w:sz w:val="24"/>
                <w:szCs w:val="24"/>
              </w:rPr>
            </w:pPr>
          </w:p>
          <w:p w:rsidR="00E03B54" w:rsidRPr="00606AED" w:rsidRDefault="00E03B54" w:rsidP="00E03B54">
            <w:pPr>
              <w:spacing w:after="0" w:line="240" w:lineRule="auto"/>
              <w:rPr>
                <w:sz w:val="24"/>
                <w:szCs w:val="24"/>
              </w:rPr>
            </w:pPr>
            <w:r w:rsidRPr="00606AED">
              <w:rPr>
                <w:sz w:val="24"/>
                <w:szCs w:val="24"/>
              </w:rPr>
              <w:t>Missing</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0</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c>
          <w:tcPr>
            <w:tcW w:w="0" w:type="auto"/>
          </w:tcPr>
          <w:p w:rsidR="00E03B54" w:rsidRPr="00606AED" w:rsidRDefault="00E03B54" w:rsidP="00E03B54">
            <w:pPr>
              <w:spacing w:after="0" w:line="240" w:lineRule="auto"/>
              <w:jc w:val="center"/>
              <w:rPr>
                <w:sz w:val="24"/>
                <w:szCs w:val="24"/>
              </w:rPr>
            </w:pPr>
          </w:p>
          <w:p w:rsidR="00E03B54" w:rsidRPr="00606AED" w:rsidRDefault="00E03B54" w:rsidP="00E03B54">
            <w:pPr>
              <w:spacing w:after="0" w:line="240" w:lineRule="auto"/>
              <w:jc w:val="center"/>
              <w:rPr>
                <w:sz w:val="24"/>
                <w:szCs w:val="24"/>
              </w:rPr>
            </w:pPr>
            <w:r w:rsidRPr="00606AED">
              <w:rPr>
                <w:sz w:val="24"/>
                <w:szCs w:val="24"/>
              </w:rPr>
              <w:t>3</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D057B1"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7.14 – Commitments to European Integration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D057B1" w:rsidTr="00E03B54">
        <w:trPr>
          <w:jc w:val="center"/>
        </w:trPr>
        <w:tc>
          <w:tcPr>
            <w:tcW w:w="0" w:type="auto"/>
          </w:tcPr>
          <w:p w:rsidR="00E03B54" w:rsidRPr="00D057B1" w:rsidRDefault="00E03B54" w:rsidP="00E03B54">
            <w:pPr>
              <w:spacing w:after="0" w:line="240" w:lineRule="auto"/>
              <w:jc w:val="center"/>
              <w:rPr>
                <w:b/>
                <w:sz w:val="24"/>
                <w:szCs w:val="24"/>
              </w:rPr>
            </w:pPr>
            <w:r w:rsidRPr="00D057B1">
              <w:rPr>
                <w:b/>
                <w:sz w:val="24"/>
                <w:szCs w:val="24"/>
              </w:rPr>
              <w:t>Rating</w:t>
            </w:r>
          </w:p>
        </w:tc>
        <w:tc>
          <w:tcPr>
            <w:tcW w:w="0" w:type="auto"/>
          </w:tcPr>
          <w:p w:rsidR="00E03B54" w:rsidRPr="00D057B1" w:rsidRDefault="00E03B54" w:rsidP="00E03B54">
            <w:pPr>
              <w:spacing w:after="0" w:line="240" w:lineRule="auto"/>
              <w:rPr>
                <w:b/>
                <w:sz w:val="24"/>
                <w:szCs w:val="24"/>
              </w:rPr>
            </w:pPr>
            <w:r w:rsidRPr="00D057B1">
              <w:rPr>
                <w:b/>
                <w:sz w:val="24"/>
                <w:szCs w:val="24"/>
              </w:rPr>
              <w:t>CPE</w:t>
            </w:r>
          </w:p>
        </w:tc>
        <w:tc>
          <w:tcPr>
            <w:tcW w:w="0" w:type="auto"/>
          </w:tcPr>
          <w:p w:rsidR="00E03B54" w:rsidRPr="00D057B1" w:rsidRDefault="00E03B54" w:rsidP="00E03B54">
            <w:pPr>
              <w:spacing w:after="0" w:line="240" w:lineRule="auto"/>
              <w:rPr>
                <w:b/>
                <w:sz w:val="24"/>
                <w:szCs w:val="24"/>
              </w:rPr>
            </w:pPr>
            <w:r w:rsidRPr="00D057B1">
              <w:rPr>
                <w:b/>
                <w:sz w:val="24"/>
                <w:szCs w:val="24"/>
              </w:rPr>
              <w:t>LLB/QLD</w:t>
            </w:r>
          </w:p>
        </w:tc>
        <w:tc>
          <w:tcPr>
            <w:tcW w:w="0" w:type="auto"/>
          </w:tcPr>
          <w:p w:rsidR="00E03B54" w:rsidRPr="00D057B1" w:rsidRDefault="00E03B54" w:rsidP="00E03B54">
            <w:pPr>
              <w:spacing w:after="0" w:line="240" w:lineRule="auto"/>
              <w:rPr>
                <w:b/>
                <w:sz w:val="24"/>
                <w:szCs w:val="24"/>
              </w:rPr>
            </w:pPr>
            <w:r w:rsidRPr="00D057B1">
              <w:rPr>
                <w:b/>
                <w:sz w:val="24"/>
                <w:szCs w:val="24"/>
              </w:rPr>
              <w:t>Total</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Irrelevant</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14</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19</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Marginal relevance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9</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9</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Significant or material</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4</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9</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Considerable importance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4</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Crucial or determinative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Missing</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3</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8</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D057B1"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lastRenderedPageBreak/>
        <w:t>Table 7.15 – Critical Approach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D057B1" w:rsidTr="00E03B54">
        <w:trPr>
          <w:jc w:val="center"/>
        </w:trPr>
        <w:tc>
          <w:tcPr>
            <w:tcW w:w="0" w:type="auto"/>
          </w:tcPr>
          <w:p w:rsidR="00E03B54" w:rsidRPr="00D057B1" w:rsidRDefault="00E03B54" w:rsidP="00E03B54">
            <w:pPr>
              <w:spacing w:after="0" w:line="240" w:lineRule="auto"/>
              <w:jc w:val="center"/>
              <w:rPr>
                <w:b/>
                <w:sz w:val="24"/>
                <w:szCs w:val="24"/>
              </w:rPr>
            </w:pPr>
            <w:r w:rsidRPr="00D057B1">
              <w:rPr>
                <w:b/>
                <w:sz w:val="24"/>
                <w:szCs w:val="24"/>
              </w:rPr>
              <w:t>Rating</w:t>
            </w:r>
          </w:p>
        </w:tc>
        <w:tc>
          <w:tcPr>
            <w:tcW w:w="0" w:type="auto"/>
          </w:tcPr>
          <w:p w:rsidR="00E03B54" w:rsidRPr="00D057B1" w:rsidRDefault="00E03B54" w:rsidP="00E03B54">
            <w:pPr>
              <w:spacing w:after="0" w:line="240" w:lineRule="auto"/>
              <w:rPr>
                <w:b/>
                <w:sz w:val="24"/>
                <w:szCs w:val="24"/>
              </w:rPr>
            </w:pPr>
            <w:r w:rsidRPr="00D057B1">
              <w:rPr>
                <w:b/>
                <w:sz w:val="24"/>
                <w:szCs w:val="24"/>
              </w:rPr>
              <w:t>CPE</w:t>
            </w:r>
          </w:p>
        </w:tc>
        <w:tc>
          <w:tcPr>
            <w:tcW w:w="0" w:type="auto"/>
          </w:tcPr>
          <w:p w:rsidR="00E03B54" w:rsidRPr="00D057B1" w:rsidRDefault="00E03B54" w:rsidP="00E03B54">
            <w:pPr>
              <w:spacing w:after="0" w:line="240" w:lineRule="auto"/>
              <w:rPr>
                <w:b/>
                <w:sz w:val="24"/>
                <w:szCs w:val="24"/>
              </w:rPr>
            </w:pPr>
            <w:r w:rsidRPr="00D057B1">
              <w:rPr>
                <w:b/>
                <w:sz w:val="24"/>
                <w:szCs w:val="24"/>
              </w:rPr>
              <w:t>LLB/QLD</w:t>
            </w:r>
          </w:p>
        </w:tc>
        <w:tc>
          <w:tcPr>
            <w:tcW w:w="0" w:type="auto"/>
          </w:tcPr>
          <w:p w:rsidR="00E03B54" w:rsidRPr="00D057B1" w:rsidRDefault="00E03B54" w:rsidP="00E03B54">
            <w:pPr>
              <w:spacing w:after="0" w:line="240" w:lineRule="auto"/>
              <w:rPr>
                <w:b/>
                <w:sz w:val="24"/>
                <w:szCs w:val="24"/>
              </w:rPr>
            </w:pPr>
            <w:r w:rsidRPr="00D057B1">
              <w:rPr>
                <w:b/>
                <w:sz w:val="24"/>
                <w:szCs w:val="24"/>
              </w:rPr>
              <w:t>Total</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Irrelevant</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4</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7</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11</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Marginal relevance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10</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Significant or material</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7</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17</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Considerable importance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6</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Crucial or determinative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Missing</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r>
    </w:tbl>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E03B54" w:rsidRPr="00D057B1" w:rsidRDefault="00E03B54" w:rsidP="00E03B54">
      <w:pPr>
        <w:spacing w:line="360" w:lineRule="auto"/>
        <w:jc w:val="center"/>
        <w:rPr>
          <w:rFonts w:ascii="Arial" w:eastAsiaTheme="minorHAnsi" w:hAnsi="Arial" w:cs="Arial"/>
          <w:sz w:val="24"/>
          <w:szCs w:val="24"/>
        </w:rPr>
      </w:pPr>
      <w:r>
        <w:rPr>
          <w:rFonts w:ascii="Arial" w:eastAsiaTheme="minorHAnsi" w:hAnsi="Arial" w:cs="Arial"/>
          <w:sz w:val="24"/>
          <w:szCs w:val="24"/>
        </w:rPr>
        <w:t>Table 7.16 – Personal Research Agenda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588"/>
        <w:gridCol w:w="1075"/>
        <w:gridCol w:w="725"/>
      </w:tblGrid>
      <w:tr w:rsidR="00E03B54" w:rsidRPr="00D057B1" w:rsidTr="00E03B54">
        <w:trPr>
          <w:jc w:val="center"/>
        </w:trPr>
        <w:tc>
          <w:tcPr>
            <w:tcW w:w="0" w:type="auto"/>
          </w:tcPr>
          <w:p w:rsidR="00E03B54" w:rsidRPr="00D057B1" w:rsidRDefault="00E03B54" w:rsidP="00E03B54">
            <w:pPr>
              <w:spacing w:after="0" w:line="240" w:lineRule="auto"/>
              <w:jc w:val="center"/>
              <w:rPr>
                <w:b/>
                <w:sz w:val="24"/>
                <w:szCs w:val="24"/>
              </w:rPr>
            </w:pPr>
            <w:r w:rsidRPr="00D057B1">
              <w:rPr>
                <w:b/>
                <w:sz w:val="24"/>
                <w:szCs w:val="24"/>
              </w:rPr>
              <w:t>Rating</w:t>
            </w:r>
          </w:p>
        </w:tc>
        <w:tc>
          <w:tcPr>
            <w:tcW w:w="0" w:type="auto"/>
          </w:tcPr>
          <w:p w:rsidR="00E03B54" w:rsidRPr="00D057B1" w:rsidRDefault="00E03B54" w:rsidP="00E03B54">
            <w:pPr>
              <w:spacing w:after="0" w:line="240" w:lineRule="auto"/>
              <w:rPr>
                <w:b/>
                <w:sz w:val="24"/>
                <w:szCs w:val="24"/>
              </w:rPr>
            </w:pPr>
            <w:r w:rsidRPr="00D057B1">
              <w:rPr>
                <w:b/>
                <w:sz w:val="24"/>
                <w:szCs w:val="24"/>
              </w:rPr>
              <w:t>CPE</w:t>
            </w:r>
          </w:p>
        </w:tc>
        <w:tc>
          <w:tcPr>
            <w:tcW w:w="0" w:type="auto"/>
          </w:tcPr>
          <w:p w:rsidR="00E03B54" w:rsidRPr="00D057B1" w:rsidRDefault="00E03B54" w:rsidP="00E03B54">
            <w:pPr>
              <w:spacing w:after="0" w:line="240" w:lineRule="auto"/>
              <w:rPr>
                <w:b/>
                <w:sz w:val="24"/>
                <w:szCs w:val="24"/>
              </w:rPr>
            </w:pPr>
            <w:r w:rsidRPr="00D057B1">
              <w:rPr>
                <w:b/>
                <w:sz w:val="24"/>
                <w:szCs w:val="24"/>
              </w:rPr>
              <w:t>LLB/QLD</w:t>
            </w:r>
          </w:p>
        </w:tc>
        <w:tc>
          <w:tcPr>
            <w:tcW w:w="0" w:type="auto"/>
          </w:tcPr>
          <w:p w:rsidR="00E03B54" w:rsidRPr="00D057B1" w:rsidRDefault="00E03B54" w:rsidP="00E03B54">
            <w:pPr>
              <w:spacing w:after="0" w:line="240" w:lineRule="auto"/>
              <w:rPr>
                <w:b/>
                <w:sz w:val="24"/>
                <w:szCs w:val="24"/>
              </w:rPr>
            </w:pPr>
            <w:r w:rsidRPr="00D057B1">
              <w:rPr>
                <w:b/>
                <w:sz w:val="24"/>
                <w:szCs w:val="24"/>
              </w:rPr>
              <w:t>Total</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Irrelevant</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6</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12</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18</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Marginal relevance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2</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8</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10</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Significant or material</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4</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7</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11</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Considerable importance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1</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6</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Crucial or determinative</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r>
      <w:tr w:rsidR="00E03B54" w:rsidRPr="00D057B1" w:rsidTr="00E03B54">
        <w:trPr>
          <w:jc w:val="center"/>
        </w:trPr>
        <w:tc>
          <w:tcPr>
            <w:tcW w:w="0" w:type="auto"/>
          </w:tcPr>
          <w:p w:rsidR="00E03B54" w:rsidRPr="00D057B1" w:rsidRDefault="00E03B54" w:rsidP="00E03B54">
            <w:pPr>
              <w:spacing w:after="0" w:line="240" w:lineRule="auto"/>
              <w:rPr>
                <w:sz w:val="24"/>
                <w:szCs w:val="24"/>
              </w:rPr>
            </w:pPr>
          </w:p>
          <w:p w:rsidR="00E03B54" w:rsidRPr="00D057B1" w:rsidRDefault="00E03B54" w:rsidP="00E03B54">
            <w:pPr>
              <w:spacing w:after="0" w:line="240" w:lineRule="auto"/>
              <w:rPr>
                <w:sz w:val="24"/>
                <w:szCs w:val="24"/>
              </w:rPr>
            </w:pPr>
            <w:r w:rsidRPr="00D057B1">
              <w:rPr>
                <w:sz w:val="24"/>
                <w:szCs w:val="24"/>
              </w:rPr>
              <w:t>Missing</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0</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c>
          <w:tcPr>
            <w:tcW w:w="0" w:type="auto"/>
          </w:tcPr>
          <w:p w:rsidR="00E03B54" w:rsidRPr="00D057B1" w:rsidRDefault="00E03B54" w:rsidP="00E03B54">
            <w:pPr>
              <w:spacing w:after="0" w:line="240" w:lineRule="auto"/>
              <w:jc w:val="center"/>
              <w:rPr>
                <w:sz w:val="24"/>
                <w:szCs w:val="24"/>
              </w:rPr>
            </w:pPr>
          </w:p>
          <w:p w:rsidR="00E03B54" w:rsidRPr="00D057B1" w:rsidRDefault="00E03B54" w:rsidP="00E03B54">
            <w:pPr>
              <w:spacing w:after="0" w:line="240" w:lineRule="auto"/>
              <w:jc w:val="center"/>
              <w:rPr>
                <w:sz w:val="24"/>
                <w:szCs w:val="24"/>
              </w:rPr>
            </w:pPr>
            <w:r w:rsidRPr="00D057B1">
              <w:rPr>
                <w:sz w:val="24"/>
                <w:szCs w:val="24"/>
              </w:rPr>
              <w:t>5</w:t>
            </w:r>
          </w:p>
        </w:tc>
      </w:tr>
    </w:tbl>
    <w:p w:rsidR="00E03B54" w:rsidRDefault="00E03B54" w:rsidP="00E03B54">
      <w:pPr>
        <w:spacing w:line="360" w:lineRule="auto"/>
        <w:jc w:val="both"/>
        <w:rPr>
          <w:rFonts w:ascii="Arial" w:eastAsiaTheme="minorHAnsi" w:hAnsi="Arial" w:cs="Arial"/>
          <w:b/>
          <w:sz w:val="24"/>
          <w:szCs w:val="24"/>
          <w:u w:val="single"/>
        </w:rPr>
      </w:pPr>
    </w:p>
    <w:p w:rsidR="00770EE4" w:rsidRDefault="00770EE4" w:rsidP="00E03B54">
      <w:pPr>
        <w:spacing w:line="360" w:lineRule="auto"/>
        <w:jc w:val="both"/>
        <w:rPr>
          <w:rFonts w:ascii="Arial" w:eastAsiaTheme="minorHAnsi" w:hAnsi="Arial" w:cs="Arial"/>
          <w:b/>
          <w:sz w:val="24"/>
          <w:szCs w:val="24"/>
          <w:u w:val="single"/>
        </w:rPr>
      </w:pPr>
    </w:p>
    <w:p w:rsidR="00770EE4" w:rsidRPr="00E80F0C" w:rsidRDefault="00770EE4" w:rsidP="00E03B54">
      <w:pPr>
        <w:spacing w:line="360" w:lineRule="auto"/>
        <w:jc w:val="both"/>
        <w:rPr>
          <w:rFonts w:ascii="Arial" w:eastAsiaTheme="minorHAnsi" w:hAnsi="Arial" w:cs="Arial"/>
          <w:b/>
          <w:sz w:val="24"/>
          <w:szCs w:val="24"/>
          <w:u w:val="single"/>
        </w:rPr>
      </w:pPr>
    </w:p>
    <w:p w:rsidR="00E03B54" w:rsidRPr="00E80F0C" w:rsidRDefault="00E03B54" w:rsidP="00E03B54">
      <w:pPr>
        <w:spacing w:line="360" w:lineRule="auto"/>
        <w:jc w:val="both"/>
        <w:rPr>
          <w:rFonts w:ascii="Arial" w:eastAsiaTheme="minorHAnsi" w:hAnsi="Arial" w:cs="Arial"/>
          <w:b/>
          <w:sz w:val="24"/>
          <w:szCs w:val="24"/>
          <w:u w:val="single"/>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lastRenderedPageBreak/>
        <w:t>7</w:t>
      </w:r>
      <w:r>
        <w:rPr>
          <w:rFonts w:ascii="Arial" w:hAnsi="Arial" w:cs="Arial"/>
          <w:sz w:val="24"/>
          <w:szCs w:val="24"/>
        </w:rPr>
        <w:t>.5</w:t>
      </w:r>
      <w:r w:rsidRPr="00E80F0C">
        <w:rPr>
          <w:rFonts w:ascii="Arial" w:hAnsi="Arial" w:cs="Arial"/>
          <w:sz w:val="24"/>
          <w:szCs w:val="24"/>
        </w:rPr>
        <w:tab/>
        <w:t>Conclusions</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The following conclusion</w:t>
      </w:r>
      <w:r w:rsidR="002448F0">
        <w:rPr>
          <w:rFonts w:ascii="Arial" w:hAnsi="Arial" w:cs="Arial"/>
          <w:sz w:val="24"/>
          <w:szCs w:val="24"/>
        </w:rPr>
        <w:t>s</w:t>
      </w:r>
      <w:r w:rsidRPr="00E80F0C">
        <w:rPr>
          <w:rFonts w:ascii="Arial" w:hAnsi="Arial" w:cs="Arial"/>
          <w:sz w:val="24"/>
          <w:szCs w:val="24"/>
        </w:rPr>
        <w:t xml:space="preserve"> can clearly be drawn from this analysis:</w:t>
      </w:r>
    </w:p>
    <w:p w:rsidR="00E03B54" w:rsidRDefault="00E03B54" w:rsidP="00E03B54">
      <w:pPr>
        <w:numPr>
          <w:ilvl w:val="0"/>
          <w:numId w:val="9"/>
        </w:numPr>
        <w:spacing w:line="360" w:lineRule="auto"/>
        <w:jc w:val="both"/>
        <w:rPr>
          <w:rFonts w:ascii="Arial" w:hAnsi="Arial" w:cs="Arial"/>
          <w:sz w:val="24"/>
          <w:szCs w:val="24"/>
        </w:rPr>
      </w:pPr>
      <w:r>
        <w:rPr>
          <w:rFonts w:ascii="Arial" w:hAnsi="Arial" w:cs="Arial"/>
          <w:sz w:val="24"/>
          <w:szCs w:val="24"/>
        </w:rPr>
        <w:t>There wa</w:t>
      </w:r>
      <w:r w:rsidRPr="00E80F0C">
        <w:rPr>
          <w:rFonts w:ascii="Arial" w:hAnsi="Arial" w:cs="Arial"/>
          <w:sz w:val="24"/>
          <w:szCs w:val="24"/>
        </w:rPr>
        <w:t xml:space="preserve">s a clear cut divide between two categories of factors that influence course content. Professional bodies’ requirements, length of course and nature of the course </w:t>
      </w:r>
      <w:r>
        <w:rPr>
          <w:rFonts w:ascii="Arial" w:hAnsi="Arial" w:cs="Arial"/>
          <w:sz w:val="24"/>
          <w:szCs w:val="24"/>
        </w:rPr>
        <w:t xml:space="preserve">were considered as </w:t>
      </w:r>
      <w:r w:rsidRPr="00E80F0C">
        <w:rPr>
          <w:rFonts w:ascii="Arial" w:hAnsi="Arial" w:cs="Arial"/>
          <w:sz w:val="24"/>
          <w:szCs w:val="24"/>
        </w:rPr>
        <w:t>being the most influential. All other factors were regarded as considerably less relevant.</w:t>
      </w:r>
    </w:p>
    <w:p w:rsidR="002448F0" w:rsidRDefault="00B9354C" w:rsidP="00E03B54">
      <w:pPr>
        <w:numPr>
          <w:ilvl w:val="0"/>
          <w:numId w:val="9"/>
        </w:numPr>
        <w:spacing w:line="360" w:lineRule="auto"/>
        <w:jc w:val="both"/>
        <w:rPr>
          <w:rFonts w:ascii="Arial" w:hAnsi="Arial" w:cs="Arial"/>
          <w:sz w:val="24"/>
          <w:szCs w:val="24"/>
        </w:rPr>
      </w:pPr>
      <w:r>
        <w:rPr>
          <w:rFonts w:ascii="Arial" w:hAnsi="Arial" w:cs="Arial"/>
          <w:sz w:val="24"/>
          <w:szCs w:val="24"/>
        </w:rPr>
        <w:t>The professional bodies merely require “the key elements and general principles” of EU Law to be taught. As such lecturers in general place too great an emphasis on the requirements of the professional bodies. There is considerably gre</w:t>
      </w:r>
      <w:r w:rsidR="00C248FE">
        <w:rPr>
          <w:rFonts w:ascii="Arial" w:hAnsi="Arial" w:cs="Arial"/>
          <w:sz w:val="24"/>
          <w:szCs w:val="24"/>
        </w:rPr>
        <w:t>a</w:t>
      </w:r>
      <w:r>
        <w:rPr>
          <w:rFonts w:ascii="Arial" w:hAnsi="Arial" w:cs="Arial"/>
          <w:sz w:val="24"/>
          <w:szCs w:val="24"/>
        </w:rPr>
        <w:t>ter scope for innovative course content.</w:t>
      </w:r>
    </w:p>
    <w:p w:rsidR="00E03B54" w:rsidRPr="00E80F0C"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Pr="00E80F0C" w:rsidRDefault="00E03B54" w:rsidP="00E03B54">
      <w:pPr>
        <w:spacing w:line="360" w:lineRule="auto"/>
        <w:jc w:val="both"/>
        <w:rPr>
          <w:rFonts w:ascii="Arial" w:hAnsi="Arial" w:cs="Arial"/>
          <w:b/>
          <w:sz w:val="28"/>
          <w:szCs w:val="28"/>
        </w:rPr>
      </w:pPr>
      <w:r>
        <w:rPr>
          <w:rFonts w:ascii="Arial" w:hAnsi="Arial" w:cs="Arial"/>
          <w:b/>
          <w:sz w:val="28"/>
          <w:szCs w:val="28"/>
        </w:rPr>
        <w:lastRenderedPageBreak/>
        <w:t xml:space="preserve">8. </w:t>
      </w:r>
      <w:r>
        <w:rPr>
          <w:rFonts w:ascii="Arial" w:hAnsi="Arial" w:cs="Arial"/>
          <w:b/>
          <w:sz w:val="28"/>
          <w:szCs w:val="28"/>
        </w:rPr>
        <w:tab/>
        <w:t>Learning and Teaching M</w:t>
      </w:r>
      <w:r w:rsidRPr="00E80F0C">
        <w:rPr>
          <w:rFonts w:ascii="Arial" w:hAnsi="Arial" w:cs="Arial"/>
          <w:b/>
          <w:sz w:val="28"/>
          <w:szCs w:val="28"/>
        </w:rPr>
        <w:t xml:space="preserve">ethods </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sidRPr="00E80F0C">
        <w:rPr>
          <w:rFonts w:ascii="Arial" w:hAnsi="Arial" w:cs="Arial"/>
          <w:sz w:val="24"/>
          <w:szCs w:val="24"/>
        </w:rPr>
        <w:t>8.1</w:t>
      </w:r>
      <w:r w:rsidRPr="00E80F0C">
        <w:rPr>
          <w:rFonts w:ascii="Arial" w:hAnsi="Arial" w:cs="Arial"/>
          <w:sz w:val="24"/>
          <w:szCs w:val="24"/>
        </w:rPr>
        <w:tab/>
        <w:t>One of</w:t>
      </w:r>
      <w:r>
        <w:rPr>
          <w:rFonts w:ascii="Arial" w:hAnsi="Arial" w:cs="Arial"/>
          <w:sz w:val="24"/>
          <w:szCs w:val="24"/>
        </w:rPr>
        <w:t xml:space="preserve"> the main aims in the research wa</w:t>
      </w:r>
      <w:r w:rsidRPr="00E80F0C">
        <w:rPr>
          <w:rFonts w:ascii="Arial" w:hAnsi="Arial" w:cs="Arial"/>
          <w:sz w:val="24"/>
          <w:szCs w:val="24"/>
        </w:rPr>
        <w:t xml:space="preserve">s to identify learning and teaching methods in the subject area and to identify innovation and best practice where possible.  Respondents were asked to indicate which learning and teaching methods they used and to indicate roughly what percentage of teacher/student contact each method represents. </w:t>
      </w:r>
    </w:p>
    <w:p w:rsidR="00E03B54"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r>
        <w:rPr>
          <w:rFonts w:ascii="Arial" w:hAnsi="Arial" w:cs="Arial"/>
          <w:sz w:val="24"/>
          <w:szCs w:val="24"/>
        </w:rPr>
        <w:t>8.2</w:t>
      </w:r>
      <w:r>
        <w:rPr>
          <w:rFonts w:ascii="Arial" w:hAnsi="Arial" w:cs="Arial"/>
          <w:sz w:val="24"/>
          <w:szCs w:val="24"/>
        </w:rPr>
        <w:tab/>
      </w:r>
      <w:r w:rsidRPr="00E80F0C">
        <w:rPr>
          <w:rFonts w:ascii="Arial" w:hAnsi="Arial" w:cs="Arial"/>
          <w:sz w:val="24"/>
          <w:szCs w:val="24"/>
        </w:rPr>
        <w:t xml:space="preserve">Table 8.1 </w:t>
      </w:r>
      <w:r>
        <w:rPr>
          <w:rFonts w:ascii="Arial" w:hAnsi="Arial" w:cs="Arial"/>
          <w:sz w:val="24"/>
          <w:szCs w:val="24"/>
        </w:rPr>
        <w:t>shows that all institutions used</w:t>
      </w:r>
      <w:r w:rsidRPr="00E80F0C">
        <w:rPr>
          <w:rFonts w:ascii="Arial" w:hAnsi="Arial" w:cs="Arial"/>
          <w:sz w:val="24"/>
          <w:szCs w:val="24"/>
        </w:rPr>
        <w:t xml:space="preserve"> lectures as </w:t>
      </w:r>
      <w:r>
        <w:rPr>
          <w:rFonts w:ascii="Arial" w:hAnsi="Arial" w:cs="Arial"/>
          <w:sz w:val="24"/>
          <w:szCs w:val="24"/>
        </w:rPr>
        <w:t xml:space="preserve">a </w:t>
      </w:r>
      <w:r w:rsidRPr="00E80F0C">
        <w:rPr>
          <w:rFonts w:ascii="Arial" w:hAnsi="Arial" w:cs="Arial"/>
          <w:sz w:val="24"/>
          <w:szCs w:val="24"/>
        </w:rPr>
        <w:t>learning and teaching method and 62</w:t>
      </w:r>
      <w:r>
        <w:rPr>
          <w:rFonts w:ascii="Arial" w:hAnsi="Arial" w:cs="Arial"/>
          <w:sz w:val="24"/>
          <w:szCs w:val="24"/>
        </w:rPr>
        <w:t>%</w:t>
      </w:r>
      <w:r w:rsidRPr="00E80F0C">
        <w:rPr>
          <w:rFonts w:ascii="Arial" w:hAnsi="Arial" w:cs="Arial"/>
          <w:sz w:val="24"/>
          <w:szCs w:val="24"/>
        </w:rPr>
        <w:t xml:space="preserve"> of the institutions use</w:t>
      </w:r>
      <w:r>
        <w:rPr>
          <w:rFonts w:ascii="Arial" w:hAnsi="Arial" w:cs="Arial"/>
          <w:sz w:val="24"/>
          <w:szCs w:val="24"/>
        </w:rPr>
        <w:t>d</w:t>
      </w:r>
      <w:r w:rsidRPr="00E80F0C">
        <w:rPr>
          <w:rFonts w:ascii="Arial" w:hAnsi="Arial" w:cs="Arial"/>
          <w:sz w:val="24"/>
          <w:szCs w:val="24"/>
        </w:rPr>
        <w:t xml:space="preserve"> seminars as a way of learning an</w:t>
      </w:r>
      <w:r>
        <w:rPr>
          <w:rFonts w:ascii="Arial" w:hAnsi="Arial" w:cs="Arial"/>
          <w:sz w:val="24"/>
          <w:szCs w:val="24"/>
        </w:rPr>
        <w:t>d teaching.  All other methods we</w:t>
      </w:r>
      <w:r w:rsidRPr="00E80F0C">
        <w:rPr>
          <w:rFonts w:ascii="Arial" w:hAnsi="Arial" w:cs="Arial"/>
          <w:sz w:val="24"/>
          <w:szCs w:val="24"/>
        </w:rPr>
        <w:t>re used to varying degrees with the excep</w:t>
      </w:r>
      <w:r>
        <w:rPr>
          <w:rFonts w:ascii="Arial" w:hAnsi="Arial" w:cs="Arial"/>
          <w:sz w:val="24"/>
          <w:szCs w:val="24"/>
        </w:rPr>
        <w:t>tion of poster presentations – n</w:t>
      </w:r>
      <w:r w:rsidRPr="00E80F0C">
        <w:rPr>
          <w:rFonts w:ascii="Arial" w:hAnsi="Arial" w:cs="Arial"/>
          <w:sz w:val="24"/>
          <w:szCs w:val="24"/>
        </w:rPr>
        <w:t>o institutions reported using this method.</w:t>
      </w:r>
      <w:r w:rsidR="00015247">
        <w:rPr>
          <w:rFonts w:ascii="Arial" w:hAnsi="Arial" w:cs="Arial"/>
          <w:sz w:val="24"/>
          <w:szCs w:val="24"/>
        </w:rPr>
        <w:t xml:space="preserve"> Chart 8.1 allows a comparison to be made between the methods employed.</w:t>
      </w:r>
    </w:p>
    <w:p w:rsidR="00E03B54" w:rsidRDefault="00E03B54" w:rsidP="00E03B54">
      <w:pPr>
        <w:spacing w:line="360" w:lineRule="auto"/>
        <w:jc w:val="both"/>
        <w:rPr>
          <w:rFonts w:ascii="Arial" w:hAnsi="Arial" w:cs="Arial"/>
          <w:sz w:val="24"/>
          <w:szCs w:val="24"/>
        </w:rPr>
      </w:pPr>
    </w:p>
    <w:p w:rsidR="00E03B54" w:rsidRPr="00E80F0C" w:rsidRDefault="00517CD6" w:rsidP="00E03B54">
      <w:pPr>
        <w:spacing w:line="360" w:lineRule="auto"/>
        <w:jc w:val="both"/>
        <w:rPr>
          <w:rFonts w:ascii="Arial" w:hAnsi="Arial" w:cs="Arial"/>
          <w:sz w:val="24"/>
          <w:szCs w:val="24"/>
        </w:rPr>
      </w:pPr>
      <w:r>
        <w:rPr>
          <w:rFonts w:ascii="Arial" w:hAnsi="Arial" w:cs="Arial"/>
          <w:sz w:val="24"/>
          <w:szCs w:val="24"/>
        </w:rPr>
        <w:t>Four</w:t>
      </w:r>
      <w:r w:rsidR="00E03B54" w:rsidRPr="00E80F0C">
        <w:rPr>
          <w:rFonts w:ascii="Arial" w:hAnsi="Arial" w:cs="Arial"/>
          <w:sz w:val="24"/>
          <w:szCs w:val="24"/>
        </w:rPr>
        <w:t xml:space="preserve"> CPE providers gave other learning and teaching methods used:</w:t>
      </w:r>
    </w:p>
    <w:p w:rsidR="00E03B54" w:rsidRPr="009061D9" w:rsidRDefault="00E03B54" w:rsidP="00E03B54">
      <w:pPr>
        <w:pStyle w:val="ListParagraph"/>
        <w:numPr>
          <w:ilvl w:val="0"/>
          <w:numId w:val="17"/>
        </w:numPr>
        <w:spacing w:line="360" w:lineRule="auto"/>
        <w:jc w:val="both"/>
        <w:rPr>
          <w:rFonts w:ascii="Arial" w:hAnsi="Arial" w:cs="Arial"/>
          <w:sz w:val="24"/>
          <w:szCs w:val="24"/>
        </w:rPr>
      </w:pPr>
      <w:r w:rsidRPr="009061D9">
        <w:rPr>
          <w:rFonts w:ascii="Arial" w:hAnsi="Arial" w:cs="Arial"/>
          <w:sz w:val="24"/>
          <w:szCs w:val="24"/>
        </w:rPr>
        <w:t>Quizzes and podcasts</w:t>
      </w:r>
      <w:r w:rsidR="00517CD6">
        <w:rPr>
          <w:rStyle w:val="FootnoteReference"/>
          <w:rFonts w:ascii="Arial" w:hAnsi="Arial" w:cs="Arial"/>
          <w:sz w:val="24"/>
          <w:szCs w:val="24"/>
        </w:rPr>
        <w:footnoteReference w:id="84"/>
      </w:r>
    </w:p>
    <w:p w:rsidR="00E03B54" w:rsidRPr="00D057B1" w:rsidRDefault="00E03B54" w:rsidP="00E03B54">
      <w:pPr>
        <w:pStyle w:val="ListParagraph"/>
        <w:numPr>
          <w:ilvl w:val="0"/>
          <w:numId w:val="17"/>
        </w:numPr>
        <w:spacing w:line="360" w:lineRule="auto"/>
        <w:jc w:val="both"/>
        <w:rPr>
          <w:rFonts w:ascii="Arial" w:hAnsi="Arial" w:cs="Arial"/>
          <w:sz w:val="24"/>
          <w:szCs w:val="24"/>
        </w:rPr>
      </w:pPr>
      <w:r w:rsidRPr="00D057B1">
        <w:rPr>
          <w:rFonts w:ascii="Arial" w:hAnsi="Arial" w:cs="Arial"/>
          <w:sz w:val="24"/>
          <w:szCs w:val="24"/>
        </w:rPr>
        <w:t>Problem-based learning</w:t>
      </w:r>
      <w:r w:rsidR="00517CD6">
        <w:rPr>
          <w:rStyle w:val="FootnoteReference"/>
          <w:rFonts w:ascii="Arial" w:hAnsi="Arial" w:cs="Arial"/>
          <w:sz w:val="24"/>
          <w:szCs w:val="24"/>
        </w:rPr>
        <w:footnoteReference w:id="85"/>
      </w:r>
    </w:p>
    <w:p w:rsidR="00E03B54" w:rsidRDefault="00E03B54" w:rsidP="00E03B54">
      <w:pPr>
        <w:pStyle w:val="ListParagraph"/>
        <w:numPr>
          <w:ilvl w:val="0"/>
          <w:numId w:val="17"/>
        </w:numPr>
        <w:spacing w:line="360" w:lineRule="auto"/>
        <w:jc w:val="both"/>
        <w:rPr>
          <w:rFonts w:ascii="Arial" w:hAnsi="Arial" w:cs="Arial"/>
          <w:sz w:val="24"/>
          <w:szCs w:val="24"/>
        </w:rPr>
      </w:pPr>
      <w:r w:rsidRPr="00D057B1">
        <w:rPr>
          <w:rFonts w:ascii="Arial" w:hAnsi="Arial" w:cs="Arial"/>
          <w:sz w:val="24"/>
          <w:szCs w:val="24"/>
        </w:rPr>
        <w:t>Feedback on assignment</w:t>
      </w:r>
      <w:r w:rsidR="00517CD6">
        <w:rPr>
          <w:rStyle w:val="FootnoteReference"/>
          <w:rFonts w:ascii="Arial" w:hAnsi="Arial" w:cs="Arial"/>
          <w:sz w:val="24"/>
          <w:szCs w:val="24"/>
        </w:rPr>
        <w:footnoteReference w:id="86"/>
      </w:r>
    </w:p>
    <w:p w:rsidR="00517CD6" w:rsidRPr="00D057B1" w:rsidRDefault="00517CD6" w:rsidP="00E03B54">
      <w:pPr>
        <w:pStyle w:val="ListParagraph"/>
        <w:numPr>
          <w:ilvl w:val="0"/>
          <w:numId w:val="17"/>
        </w:numPr>
        <w:spacing w:line="360" w:lineRule="auto"/>
        <w:jc w:val="both"/>
        <w:rPr>
          <w:rFonts w:ascii="Arial" w:hAnsi="Arial" w:cs="Arial"/>
          <w:sz w:val="24"/>
          <w:szCs w:val="24"/>
        </w:rPr>
      </w:pPr>
      <w:r>
        <w:rPr>
          <w:rFonts w:ascii="Arial" w:hAnsi="Arial" w:cs="Arial"/>
          <w:sz w:val="24"/>
          <w:szCs w:val="24"/>
        </w:rPr>
        <w:t>In the 3 seminars on substantive EU Law, knowledge and understanding are developed through consideration of practical/problem based questions</w:t>
      </w:r>
      <w:r>
        <w:rPr>
          <w:rStyle w:val="FootnoteReference"/>
          <w:rFonts w:ascii="Arial" w:hAnsi="Arial" w:cs="Arial"/>
          <w:sz w:val="24"/>
          <w:szCs w:val="24"/>
        </w:rPr>
        <w:footnoteReference w:id="87"/>
      </w:r>
    </w:p>
    <w:p w:rsidR="00E03B54" w:rsidRPr="00E80F0C" w:rsidRDefault="00E03B54" w:rsidP="00E03B54">
      <w:pPr>
        <w:pStyle w:val="ListParagraph"/>
        <w:spacing w:line="360" w:lineRule="auto"/>
        <w:jc w:val="both"/>
        <w:rPr>
          <w:rFonts w:ascii="Arial" w:hAnsi="Arial" w:cs="Arial"/>
          <w:sz w:val="24"/>
          <w:szCs w:val="24"/>
        </w:rPr>
      </w:pPr>
    </w:p>
    <w:p w:rsidR="00E03B54" w:rsidRPr="00E80F0C" w:rsidRDefault="00E03B54" w:rsidP="00E03B54">
      <w:pPr>
        <w:pStyle w:val="ListParagraph"/>
        <w:spacing w:line="360" w:lineRule="auto"/>
        <w:ind w:left="0"/>
        <w:jc w:val="both"/>
        <w:rPr>
          <w:rFonts w:ascii="Arial" w:hAnsi="Arial" w:cs="Arial"/>
          <w:sz w:val="24"/>
          <w:szCs w:val="24"/>
        </w:rPr>
      </w:pPr>
      <w:r w:rsidRPr="00E80F0C">
        <w:rPr>
          <w:rFonts w:ascii="Arial" w:hAnsi="Arial" w:cs="Arial"/>
          <w:sz w:val="24"/>
          <w:szCs w:val="24"/>
        </w:rPr>
        <w:t>Nine LLB/QLD providers gave alternative methods used:</w:t>
      </w:r>
    </w:p>
    <w:p w:rsidR="00E03B54" w:rsidRPr="00E80F0C" w:rsidRDefault="00E03B54" w:rsidP="00E03B54">
      <w:pPr>
        <w:pStyle w:val="ListParagraph"/>
        <w:spacing w:line="360" w:lineRule="auto"/>
        <w:ind w:left="0"/>
        <w:jc w:val="both"/>
        <w:rPr>
          <w:rFonts w:ascii="Arial" w:hAnsi="Arial" w:cs="Arial"/>
          <w:b/>
          <w:sz w:val="24"/>
          <w:szCs w:val="24"/>
        </w:rPr>
      </w:pPr>
    </w:p>
    <w:p w:rsidR="00E03B54" w:rsidRPr="009061D9" w:rsidRDefault="00E03B54" w:rsidP="00E03B54">
      <w:pPr>
        <w:pStyle w:val="ListParagraph"/>
        <w:numPr>
          <w:ilvl w:val="0"/>
          <w:numId w:val="18"/>
        </w:numPr>
        <w:spacing w:line="360" w:lineRule="auto"/>
        <w:jc w:val="both"/>
        <w:rPr>
          <w:rFonts w:ascii="Arial" w:hAnsi="Arial" w:cs="Arial"/>
          <w:sz w:val="24"/>
          <w:szCs w:val="24"/>
        </w:rPr>
      </w:pPr>
      <w:r w:rsidRPr="009061D9">
        <w:rPr>
          <w:rFonts w:ascii="Arial" w:hAnsi="Arial" w:cs="Arial"/>
          <w:sz w:val="24"/>
          <w:szCs w:val="24"/>
        </w:rPr>
        <w:t>Independent study or learning (with online materials and quizzes)</w:t>
      </w:r>
      <w:r w:rsidR="00517CD6">
        <w:rPr>
          <w:rStyle w:val="FootnoteReference"/>
          <w:rFonts w:ascii="Arial" w:hAnsi="Arial" w:cs="Arial"/>
          <w:sz w:val="24"/>
          <w:szCs w:val="24"/>
        </w:rPr>
        <w:footnoteReference w:id="88"/>
      </w:r>
    </w:p>
    <w:p w:rsidR="00E03B54" w:rsidRPr="00D057B1" w:rsidRDefault="00E03B54" w:rsidP="00E03B54">
      <w:pPr>
        <w:pStyle w:val="ListParagraph"/>
        <w:numPr>
          <w:ilvl w:val="0"/>
          <w:numId w:val="18"/>
        </w:numPr>
        <w:spacing w:line="360" w:lineRule="auto"/>
        <w:jc w:val="both"/>
        <w:rPr>
          <w:rFonts w:ascii="Arial" w:hAnsi="Arial" w:cs="Arial"/>
          <w:sz w:val="24"/>
          <w:szCs w:val="24"/>
        </w:rPr>
      </w:pPr>
      <w:r w:rsidRPr="00D057B1">
        <w:rPr>
          <w:rFonts w:ascii="Arial" w:hAnsi="Arial" w:cs="Arial"/>
          <w:sz w:val="24"/>
          <w:szCs w:val="24"/>
        </w:rPr>
        <w:t>Assessed seminar presentation</w:t>
      </w:r>
      <w:r w:rsidR="00517CD6">
        <w:rPr>
          <w:rStyle w:val="FootnoteReference"/>
          <w:rFonts w:ascii="Arial" w:hAnsi="Arial" w:cs="Arial"/>
          <w:sz w:val="24"/>
          <w:szCs w:val="24"/>
        </w:rPr>
        <w:footnoteReference w:id="89"/>
      </w:r>
    </w:p>
    <w:p w:rsidR="00E03B54" w:rsidRPr="00D057B1" w:rsidRDefault="00E03B54" w:rsidP="00E03B54">
      <w:pPr>
        <w:pStyle w:val="ListParagraph"/>
        <w:numPr>
          <w:ilvl w:val="0"/>
          <w:numId w:val="18"/>
        </w:numPr>
        <w:spacing w:line="360" w:lineRule="auto"/>
        <w:jc w:val="both"/>
        <w:rPr>
          <w:rFonts w:ascii="Arial" w:hAnsi="Arial" w:cs="Arial"/>
          <w:sz w:val="24"/>
          <w:szCs w:val="24"/>
        </w:rPr>
      </w:pPr>
      <w:r w:rsidRPr="00D057B1">
        <w:rPr>
          <w:rFonts w:ascii="Arial" w:hAnsi="Arial" w:cs="Arial"/>
          <w:sz w:val="24"/>
          <w:szCs w:val="24"/>
        </w:rPr>
        <w:lastRenderedPageBreak/>
        <w:t>Formative assessment</w:t>
      </w:r>
      <w:r w:rsidR="00517CD6">
        <w:rPr>
          <w:rStyle w:val="FootnoteReference"/>
          <w:rFonts w:ascii="Arial" w:hAnsi="Arial" w:cs="Arial"/>
          <w:sz w:val="24"/>
          <w:szCs w:val="24"/>
        </w:rPr>
        <w:footnoteReference w:id="90"/>
      </w:r>
    </w:p>
    <w:p w:rsidR="00E03B54" w:rsidRPr="00D057B1" w:rsidRDefault="00E03B54" w:rsidP="00E03B54">
      <w:pPr>
        <w:pStyle w:val="ListParagraph"/>
        <w:numPr>
          <w:ilvl w:val="0"/>
          <w:numId w:val="18"/>
        </w:numPr>
        <w:spacing w:line="360" w:lineRule="auto"/>
        <w:jc w:val="both"/>
        <w:rPr>
          <w:rFonts w:ascii="Arial" w:hAnsi="Arial" w:cs="Arial"/>
          <w:sz w:val="24"/>
          <w:szCs w:val="24"/>
        </w:rPr>
      </w:pPr>
      <w:r w:rsidRPr="00D057B1">
        <w:rPr>
          <w:rFonts w:ascii="Arial" w:hAnsi="Arial" w:cs="Arial"/>
          <w:sz w:val="24"/>
          <w:szCs w:val="24"/>
        </w:rPr>
        <w:t>Non-assessed coursework</w:t>
      </w:r>
      <w:r w:rsidR="00517CD6">
        <w:rPr>
          <w:rStyle w:val="FootnoteReference"/>
          <w:rFonts w:ascii="Arial" w:hAnsi="Arial" w:cs="Arial"/>
          <w:sz w:val="24"/>
          <w:szCs w:val="24"/>
        </w:rPr>
        <w:footnoteReference w:id="91"/>
      </w:r>
    </w:p>
    <w:p w:rsidR="00E03B54" w:rsidRPr="00D057B1" w:rsidRDefault="00E03B54" w:rsidP="00E03B54">
      <w:pPr>
        <w:pStyle w:val="ListParagraph"/>
        <w:numPr>
          <w:ilvl w:val="0"/>
          <w:numId w:val="18"/>
        </w:numPr>
        <w:spacing w:line="360" w:lineRule="auto"/>
        <w:jc w:val="both"/>
        <w:rPr>
          <w:rFonts w:ascii="Arial" w:hAnsi="Arial" w:cs="Arial"/>
          <w:sz w:val="24"/>
          <w:szCs w:val="24"/>
        </w:rPr>
      </w:pPr>
      <w:r>
        <w:rPr>
          <w:rFonts w:ascii="Arial" w:hAnsi="Arial" w:cs="Arial"/>
          <w:sz w:val="24"/>
          <w:szCs w:val="24"/>
        </w:rPr>
        <w:t>“</w:t>
      </w:r>
      <w:r w:rsidRPr="00D057B1">
        <w:rPr>
          <w:rFonts w:ascii="Arial" w:hAnsi="Arial" w:cs="Arial"/>
          <w:sz w:val="24"/>
          <w:szCs w:val="24"/>
        </w:rPr>
        <w:t>Students are asked to keep an EU issues file of newspaper cuttings through the course</w:t>
      </w:r>
      <w:r>
        <w:rPr>
          <w:rFonts w:ascii="Arial" w:hAnsi="Arial" w:cs="Arial"/>
          <w:sz w:val="24"/>
          <w:szCs w:val="24"/>
        </w:rPr>
        <w:t>”</w:t>
      </w:r>
      <w:r w:rsidR="00517CD6">
        <w:rPr>
          <w:rStyle w:val="FootnoteReference"/>
          <w:rFonts w:ascii="Arial" w:hAnsi="Arial" w:cs="Arial"/>
          <w:sz w:val="24"/>
          <w:szCs w:val="24"/>
        </w:rPr>
        <w:footnoteReference w:id="92"/>
      </w:r>
    </w:p>
    <w:p w:rsidR="00E03B54" w:rsidRPr="00D057B1" w:rsidRDefault="00E03B54" w:rsidP="00E03B54">
      <w:pPr>
        <w:pStyle w:val="ListParagraph"/>
        <w:numPr>
          <w:ilvl w:val="0"/>
          <w:numId w:val="18"/>
        </w:numPr>
        <w:spacing w:line="360" w:lineRule="auto"/>
        <w:jc w:val="both"/>
        <w:rPr>
          <w:rFonts w:ascii="Arial" w:hAnsi="Arial" w:cs="Arial"/>
          <w:sz w:val="24"/>
          <w:szCs w:val="24"/>
        </w:rPr>
      </w:pPr>
      <w:r>
        <w:rPr>
          <w:rFonts w:ascii="Arial" w:hAnsi="Arial" w:cs="Arial"/>
          <w:sz w:val="24"/>
          <w:szCs w:val="24"/>
        </w:rPr>
        <w:t>“</w:t>
      </w:r>
      <w:r w:rsidRPr="00D057B1">
        <w:rPr>
          <w:rFonts w:ascii="Arial" w:hAnsi="Arial" w:cs="Arial"/>
          <w:sz w:val="24"/>
          <w:szCs w:val="24"/>
        </w:rPr>
        <w:t>For several years third and fourth year students (under the tutor’s supervision) have run a Peer Assisted Learning scheme dedicated specifically to enhance and support learning on the EU course (which is</w:t>
      </w:r>
      <w:r>
        <w:rPr>
          <w:rFonts w:ascii="Arial" w:hAnsi="Arial" w:cs="Arial"/>
          <w:sz w:val="24"/>
          <w:szCs w:val="24"/>
        </w:rPr>
        <w:t xml:space="preserve"> usually taken by second years)”</w:t>
      </w:r>
      <w:r w:rsidR="00517CD6">
        <w:rPr>
          <w:rStyle w:val="FootnoteReference"/>
          <w:rFonts w:ascii="Arial" w:hAnsi="Arial" w:cs="Arial"/>
          <w:sz w:val="24"/>
          <w:szCs w:val="24"/>
        </w:rPr>
        <w:footnoteReference w:id="93"/>
      </w:r>
    </w:p>
    <w:p w:rsidR="00E03B54" w:rsidRDefault="00E03B54" w:rsidP="00E03B54">
      <w:pPr>
        <w:pStyle w:val="ListParagraph"/>
        <w:numPr>
          <w:ilvl w:val="0"/>
          <w:numId w:val="18"/>
        </w:numPr>
        <w:spacing w:line="360" w:lineRule="auto"/>
        <w:jc w:val="both"/>
        <w:rPr>
          <w:rFonts w:ascii="Arial" w:hAnsi="Arial" w:cs="Arial"/>
          <w:sz w:val="24"/>
          <w:szCs w:val="24"/>
        </w:rPr>
      </w:pPr>
      <w:r w:rsidRPr="00D057B1">
        <w:rPr>
          <w:rFonts w:ascii="Arial" w:hAnsi="Arial" w:cs="Arial"/>
          <w:sz w:val="24"/>
          <w:szCs w:val="24"/>
        </w:rPr>
        <w:t>Annual visit to the EU</w:t>
      </w:r>
      <w:r>
        <w:rPr>
          <w:rFonts w:ascii="Arial" w:hAnsi="Arial" w:cs="Arial"/>
          <w:sz w:val="24"/>
          <w:szCs w:val="24"/>
        </w:rPr>
        <w:t>’s</w:t>
      </w:r>
      <w:r w:rsidR="00517CD6">
        <w:rPr>
          <w:rFonts w:ascii="Arial" w:hAnsi="Arial" w:cs="Arial"/>
          <w:sz w:val="24"/>
          <w:szCs w:val="24"/>
        </w:rPr>
        <w:t xml:space="preserve"> headquarters</w:t>
      </w:r>
      <w:r w:rsidR="00517CD6">
        <w:rPr>
          <w:rStyle w:val="FootnoteReference"/>
          <w:rFonts w:ascii="Arial" w:hAnsi="Arial" w:cs="Arial"/>
          <w:sz w:val="24"/>
          <w:szCs w:val="24"/>
        </w:rPr>
        <w:footnoteReference w:id="94"/>
      </w: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Default="00340CD9" w:rsidP="00340CD9">
      <w:pPr>
        <w:spacing w:line="360" w:lineRule="auto"/>
        <w:jc w:val="both"/>
        <w:rPr>
          <w:rFonts w:ascii="Arial" w:hAnsi="Arial" w:cs="Arial"/>
          <w:sz w:val="24"/>
          <w:szCs w:val="24"/>
        </w:rPr>
      </w:pPr>
    </w:p>
    <w:p w:rsidR="00340CD9" w:rsidRPr="00340CD9" w:rsidRDefault="00340CD9" w:rsidP="00340CD9">
      <w:pPr>
        <w:spacing w:line="360" w:lineRule="auto"/>
        <w:jc w:val="both"/>
        <w:rPr>
          <w:rFonts w:ascii="Arial" w:hAnsi="Arial" w:cs="Arial"/>
          <w:sz w:val="24"/>
          <w:szCs w:val="24"/>
        </w:rPr>
      </w:pPr>
    </w:p>
    <w:p w:rsidR="00E03B54" w:rsidRPr="00E80F0C" w:rsidRDefault="00E03B54" w:rsidP="00E03B54">
      <w:pPr>
        <w:jc w:val="center"/>
        <w:rPr>
          <w:rFonts w:ascii="Arial" w:hAnsi="Arial" w:cs="Arial"/>
          <w:sz w:val="24"/>
          <w:szCs w:val="24"/>
        </w:rPr>
      </w:pPr>
      <w:r w:rsidRPr="00E80F0C">
        <w:rPr>
          <w:rFonts w:ascii="Arial" w:hAnsi="Arial" w:cs="Arial"/>
          <w:sz w:val="24"/>
          <w:szCs w:val="24"/>
        </w:rPr>
        <w:lastRenderedPageBreak/>
        <w:t>Table 8.1 – Learning and Teaching Methods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275"/>
        <w:gridCol w:w="1560"/>
        <w:gridCol w:w="1559"/>
      </w:tblGrid>
      <w:tr w:rsidR="00E03B54" w:rsidRPr="00E80F0C" w:rsidTr="00E03B54">
        <w:tc>
          <w:tcPr>
            <w:tcW w:w="4503" w:type="dxa"/>
          </w:tcPr>
          <w:p w:rsidR="00E03B54" w:rsidRPr="00417272" w:rsidRDefault="00E03B54" w:rsidP="00E03B54">
            <w:pPr>
              <w:spacing w:after="0" w:line="240" w:lineRule="auto"/>
              <w:jc w:val="center"/>
              <w:rPr>
                <w:rFonts w:asciiTheme="minorHAnsi" w:hAnsiTheme="minorHAnsi"/>
                <w:b/>
                <w:sz w:val="24"/>
                <w:szCs w:val="24"/>
              </w:rPr>
            </w:pPr>
            <w:r w:rsidRPr="00417272">
              <w:rPr>
                <w:rFonts w:asciiTheme="minorHAnsi" w:hAnsiTheme="minorHAnsi"/>
                <w:b/>
                <w:sz w:val="24"/>
                <w:szCs w:val="24"/>
              </w:rPr>
              <w:t>Learning and Teaching Methods</w:t>
            </w:r>
          </w:p>
          <w:p w:rsidR="00E03B54" w:rsidRPr="00417272" w:rsidRDefault="00E03B54" w:rsidP="00E03B54">
            <w:pPr>
              <w:spacing w:after="0" w:line="240" w:lineRule="auto"/>
              <w:jc w:val="center"/>
              <w:rPr>
                <w:rFonts w:asciiTheme="minorHAnsi" w:hAnsiTheme="minorHAnsi"/>
                <w:b/>
                <w:sz w:val="24"/>
                <w:szCs w:val="24"/>
              </w:rPr>
            </w:pPr>
          </w:p>
        </w:tc>
        <w:tc>
          <w:tcPr>
            <w:tcW w:w="1275" w:type="dxa"/>
          </w:tcPr>
          <w:p w:rsidR="00E03B54" w:rsidRPr="00417272" w:rsidRDefault="00E03B54" w:rsidP="00E03B54">
            <w:pPr>
              <w:spacing w:after="0" w:line="240" w:lineRule="auto"/>
              <w:jc w:val="center"/>
              <w:rPr>
                <w:rFonts w:asciiTheme="minorHAnsi" w:hAnsiTheme="minorHAnsi"/>
                <w:b/>
                <w:sz w:val="24"/>
                <w:szCs w:val="24"/>
              </w:rPr>
            </w:pPr>
            <w:r w:rsidRPr="00417272">
              <w:rPr>
                <w:rFonts w:asciiTheme="minorHAnsi" w:hAnsiTheme="minorHAnsi"/>
                <w:b/>
                <w:sz w:val="24"/>
                <w:szCs w:val="24"/>
              </w:rPr>
              <w:t>CPE</w:t>
            </w:r>
          </w:p>
        </w:tc>
        <w:tc>
          <w:tcPr>
            <w:tcW w:w="1560" w:type="dxa"/>
          </w:tcPr>
          <w:p w:rsidR="00E03B54" w:rsidRPr="00417272" w:rsidRDefault="00E03B54" w:rsidP="00E03B54">
            <w:pPr>
              <w:spacing w:after="0" w:line="240" w:lineRule="auto"/>
              <w:jc w:val="center"/>
              <w:rPr>
                <w:rFonts w:asciiTheme="minorHAnsi" w:hAnsiTheme="minorHAnsi"/>
                <w:b/>
                <w:sz w:val="24"/>
                <w:szCs w:val="24"/>
              </w:rPr>
            </w:pPr>
            <w:r w:rsidRPr="00417272">
              <w:rPr>
                <w:rFonts w:asciiTheme="minorHAnsi" w:hAnsiTheme="minorHAnsi"/>
                <w:b/>
                <w:sz w:val="24"/>
                <w:szCs w:val="24"/>
              </w:rPr>
              <w:t>LLB</w:t>
            </w:r>
            <w:r>
              <w:rPr>
                <w:rFonts w:asciiTheme="minorHAnsi" w:hAnsiTheme="minorHAnsi"/>
                <w:b/>
                <w:sz w:val="24"/>
                <w:szCs w:val="24"/>
              </w:rPr>
              <w:t>/QLD</w:t>
            </w:r>
          </w:p>
        </w:tc>
        <w:tc>
          <w:tcPr>
            <w:tcW w:w="1559" w:type="dxa"/>
          </w:tcPr>
          <w:p w:rsidR="00E03B54" w:rsidRPr="00417272" w:rsidRDefault="00E03B54" w:rsidP="00E03B54">
            <w:pPr>
              <w:spacing w:after="0" w:line="240" w:lineRule="auto"/>
              <w:jc w:val="center"/>
              <w:rPr>
                <w:rFonts w:asciiTheme="minorHAnsi" w:hAnsiTheme="minorHAnsi"/>
                <w:b/>
                <w:sz w:val="24"/>
                <w:szCs w:val="24"/>
              </w:rPr>
            </w:pPr>
            <w:r w:rsidRPr="00417272">
              <w:rPr>
                <w:rFonts w:asciiTheme="minorHAnsi" w:hAnsiTheme="minorHAnsi"/>
                <w:b/>
                <w:sz w:val="24"/>
                <w:szCs w:val="24"/>
              </w:rPr>
              <w:t>Total</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Lectures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37</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50</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Workshops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7</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11</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Seminars (groups of 12 or more)</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11</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20</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31</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Tutorials (groups of less than 12)</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17</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20</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Group Work</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9</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13</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Watching DVD/video/TV</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6</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Mooting</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6</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Skills-based activities (e.g. negotiation)</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7</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Role Play</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5</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8</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Oral Presentations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11</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15</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Research based projects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8</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9</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17</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Reflective Logs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3</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Portfolio/progress files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0</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Poster presentations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0</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0</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0</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Short notes/seminar reports</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w:t>
            </w:r>
          </w:p>
        </w:tc>
        <w:tc>
          <w:tcPr>
            <w:tcW w:w="1560"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2</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4</w:t>
            </w:r>
          </w:p>
        </w:tc>
      </w:tr>
      <w:tr w:rsidR="00E03B54" w:rsidRPr="00E80F0C" w:rsidTr="00E03B54">
        <w:tc>
          <w:tcPr>
            <w:tcW w:w="4503" w:type="dxa"/>
          </w:tcPr>
          <w:p w:rsidR="00E03B54" w:rsidRPr="00417272" w:rsidRDefault="00E03B54" w:rsidP="00E03B54">
            <w:pPr>
              <w:spacing w:after="0" w:line="240" w:lineRule="auto"/>
              <w:rPr>
                <w:rFonts w:asciiTheme="minorHAnsi" w:hAnsiTheme="minorHAnsi"/>
                <w:sz w:val="24"/>
                <w:szCs w:val="24"/>
              </w:rPr>
            </w:pPr>
            <w:r w:rsidRPr="00417272">
              <w:rPr>
                <w:rFonts w:asciiTheme="minorHAnsi" w:hAnsiTheme="minorHAnsi"/>
                <w:sz w:val="24"/>
                <w:szCs w:val="24"/>
              </w:rPr>
              <w:t>Other</w:t>
            </w:r>
          </w:p>
          <w:p w:rsidR="00E03B54" w:rsidRPr="00417272" w:rsidRDefault="00E03B54" w:rsidP="00E03B54">
            <w:pPr>
              <w:spacing w:after="0" w:line="240" w:lineRule="auto"/>
              <w:rPr>
                <w:rFonts w:asciiTheme="minorHAnsi" w:hAnsiTheme="minorHAnsi"/>
                <w:sz w:val="24"/>
                <w:szCs w:val="24"/>
              </w:rPr>
            </w:pPr>
          </w:p>
        </w:tc>
        <w:tc>
          <w:tcPr>
            <w:tcW w:w="1275" w:type="dxa"/>
          </w:tcPr>
          <w:p w:rsidR="00E03B54" w:rsidRPr="00417272" w:rsidRDefault="00340CD9" w:rsidP="00E03B54">
            <w:pPr>
              <w:spacing w:after="0" w:line="240" w:lineRule="auto"/>
              <w:jc w:val="center"/>
              <w:rPr>
                <w:rFonts w:asciiTheme="minorHAnsi" w:hAnsiTheme="minorHAnsi"/>
                <w:sz w:val="24"/>
                <w:szCs w:val="24"/>
              </w:rPr>
            </w:pPr>
            <w:r>
              <w:rPr>
                <w:rFonts w:asciiTheme="minorHAnsi" w:hAnsiTheme="minorHAnsi"/>
                <w:sz w:val="24"/>
                <w:szCs w:val="24"/>
              </w:rPr>
              <w:t>4</w:t>
            </w:r>
          </w:p>
        </w:tc>
        <w:tc>
          <w:tcPr>
            <w:tcW w:w="1560" w:type="dxa"/>
          </w:tcPr>
          <w:p w:rsidR="00E03B54" w:rsidRPr="00417272" w:rsidRDefault="00340CD9" w:rsidP="00E03B54">
            <w:pPr>
              <w:spacing w:after="0" w:line="240" w:lineRule="auto"/>
              <w:jc w:val="center"/>
              <w:rPr>
                <w:rFonts w:asciiTheme="minorHAnsi" w:hAnsiTheme="minorHAnsi"/>
                <w:sz w:val="24"/>
                <w:szCs w:val="24"/>
              </w:rPr>
            </w:pPr>
            <w:r>
              <w:rPr>
                <w:rFonts w:asciiTheme="minorHAnsi" w:hAnsiTheme="minorHAnsi"/>
                <w:sz w:val="24"/>
                <w:szCs w:val="24"/>
              </w:rPr>
              <w:t>9</w:t>
            </w:r>
          </w:p>
        </w:tc>
        <w:tc>
          <w:tcPr>
            <w:tcW w:w="1559" w:type="dxa"/>
          </w:tcPr>
          <w:p w:rsidR="00E03B54" w:rsidRPr="00417272" w:rsidRDefault="00E03B54" w:rsidP="00E03B54">
            <w:pPr>
              <w:spacing w:after="0" w:line="240" w:lineRule="auto"/>
              <w:jc w:val="center"/>
              <w:rPr>
                <w:rFonts w:asciiTheme="minorHAnsi" w:hAnsiTheme="minorHAnsi"/>
                <w:sz w:val="24"/>
                <w:szCs w:val="24"/>
              </w:rPr>
            </w:pPr>
            <w:r w:rsidRPr="00417272">
              <w:rPr>
                <w:rFonts w:asciiTheme="minorHAnsi" w:hAnsiTheme="minorHAnsi"/>
                <w:sz w:val="24"/>
                <w:szCs w:val="24"/>
              </w:rPr>
              <w:t>13</w:t>
            </w:r>
          </w:p>
        </w:tc>
      </w:tr>
    </w:tbl>
    <w:p w:rsidR="00E03B54" w:rsidRPr="00E80F0C" w:rsidRDefault="00E03B54" w:rsidP="00E03B54">
      <w:pPr>
        <w:rPr>
          <w:rFonts w:ascii="Arial" w:hAnsi="Arial" w:cs="Arial"/>
          <w:sz w:val="24"/>
          <w:szCs w:val="24"/>
        </w:rPr>
      </w:pPr>
    </w:p>
    <w:p w:rsidR="00E03B54" w:rsidRPr="00E80F0C" w:rsidRDefault="00E03B54" w:rsidP="00E03B54">
      <w:pPr>
        <w:jc w:val="center"/>
        <w:rPr>
          <w:rFonts w:ascii="Arial" w:hAnsi="Arial" w:cs="Arial"/>
          <w:b/>
          <w:sz w:val="24"/>
          <w:szCs w:val="24"/>
        </w:rPr>
      </w:pPr>
    </w:p>
    <w:p w:rsidR="00015247" w:rsidRDefault="00015247" w:rsidP="00E03B54">
      <w:pPr>
        <w:spacing w:line="360" w:lineRule="auto"/>
        <w:jc w:val="both"/>
        <w:rPr>
          <w:rFonts w:ascii="Arial" w:hAnsi="Arial" w:cs="Arial"/>
          <w:sz w:val="24"/>
          <w:szCs w:val="24"/>
        </w:rPr>
        <w:sectPr w:rsidR="00015247" w:rsidSect="008B15B9">
          <w:pgSz w:w="11906" w:h="16838" w:code="9"/>
          <w:pgMar w:top="1440" w:right="1440" w:bottom="1440" w:left="1440" w:header="709" w:footer="709" w:gutter="0"/>
          <w:cols w:space="708"/>
          <w:docGrid w:linePitch="360"/>
        </w:sectPr>
      </w:pPr>
    </w:p>
    <w:p w:rsidR="00015247" w:rsidRDefault="00015247" w:rsidP="00E03B54">
      <w:pPr>
        <w:spacing w:line="360" w:lineRule="auto"/>
        <w:jc w:val="both"/>
        <w:rPr>
          <w:rFonts w:ascii="Arial" w:hAnsi="Arial" w:cs="Arial"/>
          <w:sz w:val="24"/>
          <w:szCs w:val="24"/>
        </w:rPr>
      </w:pPr>
      <w:r w:rsidRPr="00015247">
        <w:rPr>
          <w:rFonts w:ascii="Arial" w:hAnsi="Arial" w:cs="Arial"/>
          <w:noProof/>
          <w:sz w:val="24"/>
          <w:szCs w:val="24"/>
          <w:lang w:eastAsia="en-GB"/>
        </w:rPr>
        <w:lastRenderedPageBreak/>
        <w:drawing>
          <wp:inline distT="0" distB="0" distL="0" distR="0">
            <wp:extent cx="8848725" cy="5905500"/>
            <wp:effectExtent l="0" t="0" r="0"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5247" w:rsidRDefault="00015247" w:rsidP="00E03B54">
      <w:pPr>
        <w:spacing w:line="360" w:lineRule="auto"/>
        <w:jc w:val="both"/>
        <w:rPr>
          <w:rFonts w:ascii="Arial" w:hAnsi="Arial" w:cs="Arial"/>
          <w:sz w:val="24"/>
          <w:szCs w:val="24"/>
        </w:rPr>
        <w:sectPr w:rsidR="00015247" w:rsidSect="00015247">
          <w:pgSz w:w="16838" w:h="11906" w:orient="landscape" w:code="9"/>
          <w:pgMar w:top="1440" w:right="1440" w:bottom="1440" w:left="1440" w:header="709" w:footer="709" w:gutter="0"/>
          <w:cols w:space="708"/>
          <w:docGrid w:linePitch="360"/>
        </w:sectPr>
      </w:pP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lastRenderedPageBreak/>
        <w:t>8.2</w:t>
      </w:r>
      <w:r w:rsidRPr="00E80F0C">
        <w:rPr>
          <w:rFonts w:ascii="Arial" w:hAnsi="Arial" w:cs="Arial"/>
          <w:sz w:val="24"/>
          <w:szCs w:val="24"/>
        </w:rPr>
        <w:tab/>
        <w:t>Conclusions</w:t>
      </w:r>
    </w:p>
    <w:p w:rsidR="00E03B54" w:rsidRPr="00E80F0C" w:rsidRDefault="00E03B54" w:rsidP="00E03B54">
      <w:pPr>
        <w:spacing w:line="360" w:lineRule="auto"/>
        <w:jc w:val="both"/>
        <w:rPr>
          <w:rFonts w:ascii="Arial" w:hAnsi="Arial" w:cs="Arial"/>
          <w:sz w:val="24"/>
          <w:szCs w:val="24"/>
        </w:rPr>
      </w:pPr>
      <w:r w:rsidRPr="00E80F0C">
        <w:rPr>
          <w:rFonts w:ascii="Arial" w:hAnsi="Arial" w:cs="Arial"/>
          <w:sz w:val="24"/>
          <w:szCs w:val="24"/>
        </w:rPr>
        <w:t>The following conclusion can be drawn from this analysis:</w:t>
      </w:r>
    </w:p>
    <w:p w:rsidR="00E03B54" w:rsidRDefault="00E03B54" w:rsidP="00E03B54">
      <w:pPr>
        <w:numPr>
          <w:ilvl w:val="0"/>
          <w:numId w:val="9"/>
        </w:numPr>
        <w:spacing w:line="360" w:lineRule="auto"/>
        <w:jc w:val="both"/>
        <w:rPr>
          <w:rFonts w:ascii="Arial" w:hAnsi="Arial" w:cs="Arial"/>
          <w:sz w:val="24"/>
          <w:szCs w:val="24"/>
        </w:rPr>
      </w:pPr>
      <w:r w:rsidRPr="00E80F0C">
        <w:rPr>
          <w:rFonts w:ascii="Arial" w:hAnsi="Arial" w:cs="Arial"/>
          <w:sz w:val="24"/>
          <w:szCs w:val="24"/>
        </w:rPr>
        <w:t>While some institutions venture</w:t>
      </w:r>
      <w:r>
        <w:rPr>
          <w:rFonts w:ascii="Arial" w:hAnsi="Arial" w:cs="Arial"/>
          <w:sz w:val="24"/>
          <w:szCs w:val="24"/>
        </w:rPr>
        <w:t>d</w:t>
      </w:r>
      <w:r w:rsidRPr="00E80F0C">
        <w:rPr>
          <w:rFonts w:ascii="Arial" w:hAnsi="Arial" w:cs="Arial"/>
          <w:sz w:val="24"/>
          <w:szCs w:val="24"/>
        </w:rPr>
        <w:t xml:space="preserve"> into new learni</w:t>
      </w:r>
      <w:r>
        <w:rPr>
          <w:rFonts w:ascii="Arial" w:hAnsi="Arial" w:cs="Arial"/>
          <w:sz w:val="24"/>
          <w:szCs w:val="24"/>
        </w:rPr>
        <w:t>ng and teaching methods, these we</w:t>
      </w:r>
      <w:r w:rsidRPr="00E80F0C">
        <w:rPr>
          <w:rFonts w:ascii="Arial" w:hAnsi="Arial" w:cs="Arial"/>
          <w:sz w:val="24"/>
          <w:szCs w:val="24"/>
        </w:rPr>
        <w:t>re not an alternative to the main traditional methods of teaching thr</w:t>
      </w:r>
      <w:r>
        <w:rPr>
          <w:rFonts w:ascii="Arial" w:hAnsi="Arial" w:cs="Arial"/>
          <w:sz w:val="24"/>
          <w:szCs w:val="24"/>
        </w:rPr>
        <w:t>ough lectures and seminars but we</w:t>
      </w:r>
      <w:r w:rsidRPr="00E80F0C">
        <w:rPr>
          <w:rFonts w:ascii="Arial" w:hAnsi="Arial" w:cs="Arial"/>
          <w:sz w:val="24"/>
          <w:szCs w:val="24"/>
        </w:rPr>
        <w:t>re primarily complementary to them.</w:t>
      </w:r>
    </w:p>
    <w:p w:rsidR="00E03B54" w:rsidRPr="00E80F0C" w:rsidRDefault="00E03B54" w:rsidP="00E03B54">
      <w:pPr>
        <w:numPr>
          <w:ilvl w:val="0"/>
          <w:numId w:val="9"/>
        </w:numPr>
        <w:spacing w:line="360" w:lineRule="auto"/>
        <w:jc w:val="both"/>
        <w:rPr>
          <w:rFonts w:ascii="Arial" w:hAnsi="Arial" w:cs="Arial"/>
          <w:sz w:val="24"/>
          <w:szCs w:val="24"/>
        </w:rPr>
      </w:pPr>
      <w:r>
        <w:rPr>
          <w:rFonts w:ascii="Arial" w:hAnsi="Arial" w:cs="Arial"/>
          <w:sz w:val="24"/>
          <w:szCs w:val="24"/>
        </w:rPr>
        <w:t xml:space="preserve">When combined with the findings in Chapter 9, the delivery of teaching </w:t>
      </w:r>
      <w:r w:rsidR="00DC2FA9">
        <w:rPr>
          <w:rFonts w:ascii="Arial" w:hAnsi="Arial" w:cs="Arial"/>
          <w:sz w:val="24"/>
          <w:szCs w:val="24"/>
        </w:rPr>
        <w:t xml:space="preserve">of </w:t>
      </w:r>
      <w:r>
        <w:rPr>
          <w:rFonts w:ascii="Arial" w:hAnsi="Arial" w:cs="Arial"/>
          <w:sz w:val="24"/>
          <w:szCs w:val="24"/>
        </w:rPr>
        <w:t>EU Law is highly traditional and surprisingly lacking in innovation.</w:t>
      </w:r>
    </w:p>
    <w:p w:rsidR="00E03B54" w:rsidRPr="00E80F0C" w:rsidRDefault="00E03B54" w:rsidP="00E03B54">
      <w:pPr>
        <w:spacing w:line="360" w:lineRule="auto"/>
        <w:jc w:val="both"/>
        <w:rPr>
          <w:rFonts w:ascii="Arial" w:hAnsi="Arial" w:cs="Arial"/>
          <w:sz w:val="24"/>
          <w:szCs w:val="24"/>
        </w:rPr>
      </w:pPr>
    </w:p>
    <w:p w:rsidR="00E03B54" w:rsidRPr="00E80F0C" w:rsidRDefault="00E03B54" w:rsidP="00E03B54">
      <w:pPr>
        <w:spacing w:line="360" w:lineRule="auto"/>
        <w:jc w:val="both"/>
        <w:rPr>
          <w:rFonts w:ascii="Arial" w:hAnsi="Arial" w:cs="Arial"/>
          <w:sz w:val="24"/>
          <w:szCs w:val="24"/>
        </w:rPr>
      </w:pPr>
    </w:p>
    <w:p w:rsidR="00E03B54" w:rsidRPr="003160BA"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color w:val="000000"/>
          <w:sz w:val="24"/>
          <w:szCs w:val="24"/>
        </w:rPr>
      </w:pPr>
      <w:r>
        <w:rPr>
          <w:rFonts w:ascii="Arial" w:hAnsi="Arial" w:cs="Arial"/>
          <w:color w:val="000000"/>
          <w:sz w:val="24"/>
          <w:szCs w:val="24"/>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9.</w:t>
      </w:r>
      <w:r>
        <w:rPr>
          <w:rFonts w:ascii="Arial" w:hAnsi="Arial" w:cs="Arial"/>
          <w:b/>
          <w:sz w:val="28"/>
          <w:szCs w:val="28"/>
        </w:rPr>
        <w:tab/>
        <w:t>Electronic Resources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9.1</w:t>
      </w:r>
      <w:r>
        <w:rPr>
          <w:rFonts w:ascii="Arial" w:hAnsi="Arial" w:cs="Arial"/>
          <w:sz w:val="24"/>
          <w:szCs w:val="24"/>
        </w:rPr>
        <w:tab/>
        <w:t>A key resource now for lecturers teaching any aspect of law is that provided by electronic means. E-learning has excited considerable academic commentary</w:t>
      </w:r>
      <w:r w:rsidR="00F20D4E">
        <w:rPr>
          <w:rStyle w:val="FootnoteReference"/>
          <w:rFonts w:ascii="Arial" w:hAnsi="Arial" w:cs="Arial"/>
          <w:sz w:val="24"/>
          <w:szCs w:val="24"/>
        </w:rPr>
        <w:footnoteReference w:id="95"/>
      </w:r>
      <w:r>
        <w:rPr>
          <w:rFonts w:ascii="Arial" w:hAnsi="Arial" w:cs="Arial"/>
          <w:sz w:val="24"/>
          <w:szCs w:val="24"/>
        </w:rPr>
        <w:t xml:space="preserve"> over the possibilities for replacing traditional learning and teaching methods with those involving electronic delivery and use of the internet. The aim of this particular question was to determine the princip</w:t>
      </w:r>
      <w:r w:rsidR="00DC2FA9">
        <w:rPr>
          <w:rFonts w:ascii="Arial" w:hAnsi="Arial" w:cs="Arial"/>
          <w:sz w:val="24"/>
          <w:szCs w:val="24"/>
        </w:rPr>
        <w:t>a</w:t>
      </w:r>
      <w:r>
        <w:rPr>
          <w:rFonts w:ascii="Arial" w:hAnsi="Arial" w:cs="Arial"/>
          <w:sz w:val="24"/>
          <w:szCs w:val="24"/>
        </w:rPr>
        <w:t>l forms of electronic learning and teaching resources utilised by EU Law lecturers and to identify, for further investigation, particular courses employing innovative e-learning for EU Law.</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9.2</w:t>
      </w:r>
      <w:r>
        <w:rPr>
          <w:rFonts w:ascii="Arial" w:hAnsi="Arial" w:cs="Arial"/>
          <w:sz w:val="24"/>
          <w:szCs w:val="24"/>
        </w:rPr>
        <w:tab/>
        <w:t>Results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The answers to the question have been reproduced in both tabular and chart form.</w:t>
      </w: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6F1985" w:rsidRDefault="006F1985" w:rsidP="00E03B54">
      <w:pPr>
        <w:spacing w:line="360" w:lineRule="auto"/>
        <w:jc w:val="both"/>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9.1 – Electronic Resources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E03B54" w:rsidRPr="006D434C" w:rsidTr="00E03B54">
        <w:tc>
          <w:tcPr>
            <w:tcW w:w="2310" w:type="dxa"/>
          </w:tcPr>
          <w:p w:rsidR="00E03B54" w:rsidRPr="006D434C" w:rsidRDefault="00293881" w:rsidP="00E03B54">
            <w:pPr>
              <w:spacing w:after="0" w:line="240" w:lineRule="auto"/>
              <w:jc w:val="center"/>
              <w:rPr>
                <w:b/>
                <w:sz w:val="24"/>
                <w:szCs w:val="24"/>
              </w:rPr>
            </w:pPr>
            <w:r>
              <w:rPr>
                <w:b/>
                <w:sz w:val="24"/>
                <w:szCs w:val="24"/>
              </w:rPr>
              <w:t>Resource U</w:t>
            </w:r>
            <w:r w:rsidR="00E03B54" w:rsidRPr="006D434C">
              <w:rPr>
                <w:b/>
                <w:sz w:val="24"/>
                <w:szCs w:val="24"/>
              </w:rPr>
              <w:t>sed</w:t>
            </w:r>
          </w:p>
        </w:tc>
        <w:tc>
          <w:tcPr>
            <w:tcW w:w="2310" w:type="dxa"/>
          </w:tcPr>
          <w:p w:rsidR="00E03B54" w:rsidRPr="006D434C" w:rsidRDefault="00E03B54" w:rsidP="00E03B54">
            <w:pPr>
              <w:spacing w:after="0" w:line="240" w:lineRule="auto"/>
              <w:jc w:val="center"/>
              <w:rPr>
                <w:b/>
                <w:sz w:val="24"/>
                <w:szCs w:val="24"/>
              </w:rPr>
            </w:pPr>
            <w:r w:rsidRPr="006D434C">
              <w:rPr>
                <w:b/>
                <w:sz w:val="24"/>
                <w:szCs w:val="24"/>
              </w:rPr>
              <w:t>CPE</w:t>
            </w:r>
          </w:p>
        </w:tc>
        <w:tc>
          <w:tcPr>
            <w:tcW w:w="2311" w:type="dxa"/>
          </w:tcPr>
          <w:p w:rsidR="00E03B54" w:rsidRPr="006D434C" w:rsidRDefault="00E03B54" w:rsidP="00E03B54">
            <w:pPr>
              <w:spacing w:after="0" w:line="240" w:lineRule="auto"/>
              <w:jc w:val="center"/>
              <w:rPr>
                <w:b/>
                <w:sz w:val="24"/>
                <w:szCs w:val="24"/>
              </w:rPr>
            </w:pPr>
            <w:r w:rsidRPr="006D434C">
              <w:rPr>
                <w:b/>
                <w:sz w:val="24"/>
                <w:szCs w:val="24"/>
              </w:rPr>
              <w:t>LLB/QLD</w:t>
            </w:r>
          </w:p>
        </w:tc>
        <w:tc>
          <w:tcPr>
            <w:tcW w:w="2311" w:type="dxa"/>
          </w:tcPr>
          <w:p w:rsidR="00E03B54" w:rsidRPr="006D434C" w:rsidRDefault="00E03B54" w:rsidP="00E03B54">
            <w:pPr>
              <w:spacing w:after="0" w:line="240" w:lineRule="auto"/>
              <w:jc w:val="center"/>
              <w:rPr>
                <w:b/>
                <w:sz w:val="24"/>
                <w:szCs w:val="24"/>
              </w:rPr>
            </w:pPr>
            <w:r w:rsidRPr="006D434C">
              <w:rPr>
                <w:b/>
                <w:sz w:val="24"/>
                <w:szCs w:val="24"/>
              </w:rPr>
              <w:t>Total</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Courseware</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8</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10</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18</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Databases</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12</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35</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47</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Electronic/Video Conferencing</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2</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Videos/TV programmes</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6</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Virtual Learning Environment</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11</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27</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38</w:t>
            </w:r>
          </w:p>
        </w:tc>
      </w:tr>
      <w:tr w:rsidR="00E03B54" w:rsidRPr="006D434C" w:rsidTr="00E03B54">
        <w:tc>
          <w:tcPr>
            <w:tcW w:w="2310" w:type="dxa"/>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Web based course materials</w:t>
            </w:r>
          </w:p>
        </w:tc>
        <w:tc>
          <w:tcPr>
            <w:tcW w:w="2310"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9</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18</w:t>
            </w:r>
          </w:p>
        </w:tc>
        <w:tc>
          <w:tcPr>
            <w:tcW w:w="2311" w:type="dxa"/>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27</w:t>
            </w:r>
          </w:p>
        </w:tc>
      </w:tr>
      <w:tr w:rsidR="00E03B54" w:rsidRPr="006D434C" w:rsidTr="00E03B54">
        <w:tc>
          <w:tcPr>
            <w:tcW w:w="2310" w:type="dxa"/>
            <w:tcBorders>
              <w:bottom w:val="single" w:sz="4" w:space="0" w:color="auto"/>
            </w:tcBorders>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Website</w:t>
            </w:r>
          </w:p>
        </w:tc>
        <w:tc>
          <w:tcPr>
            <w:tcW w:w="2310" w:type="dxa"/>
            <w:tcBorders>
              <w:bottom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13</w:t>
            </w:r>
          </w:p>
        </w:tc>
        <w:tc>
          <w:tcPr>
            <w:tcW w:w="2311" w:type="dxa"/>
            <w:tcBorders>
              <w:bottom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30</w:t>
            </w:r>
          </w:p>
        </w:tc>
        <w:tc>
          <w:tcPr>
            <w:tcW w:w="2311" w:type="dxa"/>
            <w:tcBorders>
              <w:bottom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43</w:t>
            </w:r>
          </w:p>
        </w:tc>
      </w:tr>
      <w:tr w:rsidR="00E03B54" w:rsidRPr="006D434C" w:rsidTr="00E03B54">
        <w:tc>
          <w:tcPr>
            <w:tcW w:w="2310" w:type="dxa"/>
            <w:tcBorders>
              <w:top w:val="single" w:sz="4" w:space="0" w:color="auto"/>
              <w:left w:val="single" w:sz="4" w:space="0" w:color="auto"/>
              <w:bottom w:val="single" w:sz="4" w:space="0" w:color="auto"/>
              <w:right w:val="single" w:sz="4" w:space="0" w:color="auto"/>
            </w:tcBorders>
          </w:tcPr>
          <w:p w:rsidR="00E03B54" w:rsidRPr="006D434C" w:rsidRDefault="00E03B54" w:rsidP="00E03B54">
            <w:pPr>
              <w:spacing w:after="0" w:line="240" w:lineRule="auto"/>
              <w:rPr>
                <w:sz w:val="24"/>
                <w:szCs w:val="24"/>
              </w:rPr>
            </w:pPr>
          </w:p>
          <w:p w:rsidR="00E03B54" w:rsidRPr="006D434C" w:rsidRDefault="00E03B54" w:rsidP="00E03B54">
            <w:pPr>
              <w:spacing w:after="0" w:line="240" w:lineRule="auto"/>
              <w:rPr>
                <w:sz w:val="24"/>
                <w:szCs w:val="24"/>
              </w:rPr>
            </w:pPr>
            <w:r w:rsidRPr="006D434C">
              <w:rPr>
                <w:sz w:val="24"/>
                <w:szCs w:val="24"/>
              </w:rPr>
              <w:t>Other</w:t>
            </w:r>
          </w:p>
        </w:tc>
        <w:tc>
          <w:tcPr>
            <w:tcW w:w="2310" w:type="dxa"/>
            <w:tcBorders>
              <w:top w:val="single" w:sz="4" w:space="0" w:color="auto"/>
              <w:left w:val="single" w:sz="4" w:space="0" w:color="auto"/>
              <w:bottom w:val="single" w:sz="4" w:space="0" w:color="auto"/>
              <w:right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3</w:t>
            </w:r>
          </w:p>
        </w:tc>
        <w:tc>
          <w:tcPr>
            <w:tcW w:w="2311" w:type="dxa"/>
            <w:tcBorders>
              <w:top w:val="single" w:sz="4" w:space="0" w:color="auto"/>
              <w:left w:val="single" w:sz="4" w:space="0" w:color="auto"/>
              <w:bottom w:val="single" w:sz="4" w:space="0" w:color="auto"/>
              <w:right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2</w:t>
            </w:r>
          </w:p>
        </w:tc>
        <w:tc>
          <w:tcPr>
            <w:tcW w:w="2311" w:type="dxa"/>
            <w:tcBorders>
              <w:top w:val="single" w:sz="4" w:space="0" w:color="auto"/>
              <w:left w:val="single" w:sz="4" w:space="0" w:color="auto"/>
              <w:bottom w:val="single" w:sz="4" w:space="0" w:color="auto"/>
              <w:right w:val="single" w:sz="4" w:space="0" w:color="auto"/>
            </w:tcBorders>
          </w:tcPr>
          <w:p w:rsidR="00E03B54" w:rsidRPr="006D434C" w:rsidRDefault="00E03B54" w:rsidP="00E03B54">
            <w:pPr>
              <w:spacing w:after="0" w:line="240" w:lineRule="auto"/>
              <w:jc w:val="center"/>
              <w:rPr>
                <w:sz w:val="24"/>
                <w:szCs w:val="24"/>
              </w:rPr>
            </w:pPr>
          </w:p>
          <w:p w:rsidR="00E03B54" w:rsidRPr="006D434C" w:rsidRDefault="00E03B54" w:rsidP="00E03B54">
            <w:pPr>
              <w:spacing w:after="0" w:line="240" w:lineRule="auto"/>
              <w:jc w:val="center"/>
              <w:rPr>
                <w:sz w:val="24"/>
                <w:szCs w:val="24"/>
              </w:rPr>
            </w:pPr>
            <w:r w:rsidRPr="006D434C">
              <w:rPr>
                <w:sz w:val="24"/>
                <w:szCs w:val="24"/>
              </w:rPr>
              <w:t>5</w:t>
            </w:r>
          </w:p>
        </w:tc>
      </w:tr>
    </w:tbl>
    <w:p w:rsidR="00015247" w:rsidRDefault="00015247" w:rsidP="00E03B54">
      <w:pPr>
        <w:spacing w:line="360" w:lineRule="auto"/>
        <w:jc w:val="both"/>
        <w:rPr>
          <w:rFonts w:ascii="Arial" w:hAnsi="Arial" w:cs="Arial"/>
          <w:sz w:val="24"/>
          <w:szCs w:val="24"/>
        </w:rPr>
        <w:sectPr w:rsidR="00015247" w:rsidSect="00015247">
          <w:pgSz w:w="11906" w:h="16838" w:code="9"/>
          <w:pgMar w:top="1440" w:right="1440" w:bottom="1440" w:left="1440" w:header="709" w:footer="709" w:gutter="0"/>
          <w:cols w:space="708"/>
          <w:docGrid w:linePitch="360"/>
        </w:sectPr>
      </w:pPr>
    </w:p>
    <w:p w:rsidR="00E03B54" w:rsidRDefault="00015247" w:rsidP="00E03B54">
      <w:pPr>
        <w:spacing w:line="360" w:lineRule="auto"/>
        <w:jc w:val="both"/>
        <w:rPr>
          <w:rFonts w:ascii="Arial" w:hAnsi="Arial" w:cs="Arial"/>
          <w:sz w:val="24"/>
          <w:szCs w:val="24"/>
        </w:rPr>
      </w:pPr>
      <w:r w:rsidRPr="00015247">
        <w:rPr>
          <w:rFonts w:ascii="Arial" w:hAnsi="Arial" w:cs="Arial"/>
          <w:noProof/>
          <w:sz w:val="24"/>
          <w:szCs w:val="24"/>
          <w:lang w:eastAsia="en-GB"/>
        </w:rPr>
        <w:lastRenderedPageBreak/>
        <w:drawing>
          <wp:inline distT="0" distB="0" distL="0" distR="0">
            <wp:extent cx="8991600" cy="5895975"/>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5247" w:rsidRDefault="00015247" w:rsidP="00E03B54">
      <w:pPr>
        <w:spacing w:line="360" w:lineRule="auto"/>
        <w:jc w:val="both"/>
        <w:rPr>
          <w:rFonts w:ascii="Arial" w:hAnsi="Arial" w:cs="Arial"/>
          <w:sz w:val="24"/>
          <w:szCs w:val="24"/>
        </w:rPr>
        <w:sectPr w:rsidR="00015247" w:rsidSect="00015247">
          <w:pgSz w:w="16838" w:h="11906" w:orient="landscape" w:code="9"/>
          <w:pgMar w:top="1440" w:right="1440" w:bottom="1440" w:left="1440" w:header="709" w:footer="709" w:gutter="0"/>
          <w:cols w:space="708"/>
          <w:docGrid w:linePitch="360"/>
        </w:sectPr>
      </w:pPr>
    </w:p>
    <w:p w:rsidR="00F65E2F" w:rsidRDefault="00E03B54" w:rsidP="00E03B54">
      <w:pPr>
        <w:spacing w:line="360" w:lineRule="auto"/>
        <w:jc w:val="both"/>
        <w:rPr>
          <w:rFonts w:ascii="Arial" w:hAnsi="Arial" w:cs="Arial"/>
          <w:sz w:val="24"/>
          <w:szCs w:val="24"/>
        </w:rPr>
      </w:pPr>
      <w:r>
        <w:rPr>
          <w:rFonts w:ascii="Arial" w:hAnsi="Arial" w:cs="Arial"/>
          <w:sz w:val="24"/>
          <w:szCs w:val="24"/>
        </w:rPr>
        <w:lastRenderedPageBreak/>
        <w:t>9.3</w:t>
      </w:r>
      <w:r>
        <w:rPr>
          <w:rFonts w:ascii="Arial" w:hAnsi="Arial" w:cs="Arial"/>
          <w:sz w:val="24"/>
          <w:szCs w:val="24"/>
        </w:rPr>
        <w:tab/>
        <w:t>From the responses it can be clearly seen that lecturers have recognised some of the possibilities for learning and teaching using electronic resources. All institutions use more than one form of electronic resource with the most common being databases, a virtual learning environment and websites. No specific question was directed to the</w:t>
      </w:r>
      <w:r w:rsidR="00DC2FA9">
        <w:rPr>
          <w:rFonts w:ascii="Arial" w:hAnsi="Arial" w:cs="Arial"/>
          <w:sz w:val="24"/>
          <w:szCs w:val="24"/>
        </w:rPr>
        <w:t xml:space="preserve"> content of</w:t>
      </w:r>
      <w:r>
        <w:rPr>
          <w:rFonts w:ascii="Arial" w:hAnsi="Arial" w:cs="Arial"/>
          <w:sz w:val="24"/>
          <w:szCs w:val="24"/>
        </w:rPr>
        <w:t xml:space="preserve"> websites concerned </w:t>
      </w:r>
      <w:r w:rsidR="00104CF0">
        <w:rPr>
          <w:rFonts w:ascii="Arial" w:hAnsi="Arial" w:cs="Arial"/>
          <w:sz w:val="24"/>
          <w:szCs w:val="24"/>
        </w:rPr>
        <w:t>(institutions were merely asked to specify</w:t>
      </w:r>
      <w:r w:rsidR="00DC2FA9">
        <w:rPr>
          <w:rFonts w:ascii="Arial" w:hAnsi="Arial" w:cs="Arial"/>
          <w:sz w:val="24"/>
          <w:szCs w:val="24"/>
        </w:rPr>
        <w:t xml:space="preserve"> which websites they used</w:t>
      </w:r>
      <w:r w:rsidR="00104CF0">
        <w:rPr>
          <w:rFonts w:ascii="Arial" w:hAnsi="Arial" w:cs="Arial"/>
          <w:sz w:val="24"/>
          <w:szCs w:val="24"/>
        </w:rPr>
        <w:t xml:space="preserve">) </w:t>
      </w:r>
      <w:r>
        <w:rPr>
          <w:rFonts w:ascii="Arial" w:hAnsi="Arial" w:cs="Arial"/>
          <w:sz w:val="24"/>
          <w:szCs w:val="24"/>
        </w:rPr>
        <w:t>but fro</w:t>
      </w:r>
      <w:r w:rsidR="00DC2FA9">
        <w:rPr>
          <w:rFonts w:ascii="Arial" w:hAnsi="Arial" w:cs="Arial"/>
          <w:sz w:val="24"/>
          <w:szCs w:val="24"/>
        </w:rPr>
        <w:t>m comments on the questionnaire and answers in discussions</w:t>
      </w:r>
      <w:r>
        <w:rPr>
          <w:rFonts w:ascii="Arial" w:hAnsi="Arial" w:cs="Arial"/>
          <w:sz w:val="24"/>
          <w:szCs w:val="24"/>
        </w:rPr>
        <w:t xml:space="preserve"> the most common websites include</w:t>
      </w:r>
      <w:r w:rsidR="00F65E2F">
        <w:rPr>
          <w:rFonts w:ascii="Arial" w:hAnsi="Arial" w:cs="Arial"/>
          <w:sz w:val="24"/>
          <w:szCs w:val="24"/>
        </w:rPr>
        <w:t>:</w:t>
      </w:r>
    </w:p>
    <w:p w:rsidR="00F65E2F" w:rsidRDefault="002C7395" w:rsidP="00F65E2F">
      <w:pPr>
        <w:pStyle w:val="ListParagraph"/>
        <w:numPr>
          <w:ilvl w:val="0"/>
          <w:numId w:val="32"/>
        </w:numPr>
        <w:spacing w:line="360" w:lineRule="auto"/>
        <w:jc w:val="both"/>
        <w:rPr>
          <w:rFonts w:ascii="Arial" w:hAnsi="Arial" w:cs="Arial"/>
          <w:sz w:val="24"/>
          <w:szCs w:val="24"/>
        </w:rPr>
      </w:pPr>
      <w:hyperlink r:id="rId16" w:history="1">
        <w:r w:rsidR="003D44AF" w:rsidRPr="00911C55">
          <w:rPr>
            <w:rStyle w:val="Hyperlink"/>
            <w:rFonts w:ascii="Arial" w:hAnsi="Arial" w:cs="Arial"/>
            <w:sz w:val="24"/>
            <w:szCs w:val="24"/>
          </w:rPr>
          <w:t>http://europa.eu/index_en.htm</w:t>
        </w:r>
      </w:hyperlink>
      <w:r w:rsidR="003D44AF">
        <w:rPr>
          <w:rStyle w:val="FootnoteReference"/>
          <w:rFonts w:ascii="Arial" w:hAnsi="Arial" w:cs="Arial"/>
          <w:sz w:val="24"/>
          <w:szCs w:val="24"/>
        </w:rPr>
        <w:footnoteReference w:id="96"/>
      </w:r>
      <w:r w:rsidR="003D44AF">
        <w:rPr>
          <w:rFonts w:ascii="Arial" w:hAnsi="Arial" w:cs="Arial"/>
          <w:sz w:val="24"/>
          <w:szCs w:val="24"/>
        </w:rPr>
        <w:t xml:space="preserve"> </w:t>
      </w:r>
      <w:r w:rsidR="00F65E2F">
        <w:rPr>
          <w:rFonts w:ascii="Arial" w:hAnsi="Arial" w:cs="Arial"/>
          <w:sz w:val="24"/>
          <w:szCs w:val="24"/>
        </w:rPr>
        <w:t>;</w:t>
      </w:r>
    </w:p>
    <w:p w:rsidR="00F65E2F" w:rsidRDefault="002C7395" w:rsidP="00F65E2F">
      <w:pPr>
        <w:pStyle w:val="ListParagraph"/>
        <w:numPr>
          <w:ilvl w:val="0"/>
          <w:numId w:val="32"/>
        </w:numPr>
        <w:spacing w:line="360" w:lineRule="auto"/>
        <w:jc w:val="both"/>
        <w:rPr>
          <w:rFonts w:ascii="Arial" w:hAnsi="Arial" w:cs="Arial"/>
          <w:sz w:val="24"/>
          <w:szCs w:val="24"/>
        </w:rPr>
      </w:pPr>
      <w:hyperlink r:id="rId17" w:history="1">
        <w:r w:rsidR="00327E15" w:rsidRPr="00911C55">
          <w:rPr>
            <w:rStyle w:val="Hyperlink"/>
            <w:rFonts w:ascii="Arial" w:hAnsi="Arial" w:cs="Arial"/>
            <w:sz w:val="24"/>
            <w:szCs w:val="24"/>
          </w:rPr>
          <w:t>http://www.bailii.org</w:t>
        </w:r>
      </w:hyperlink>
      <w:r w:rsidR="00327E15">
        <w:rPr>
          <w:rStyle w:val="FootnoteReference"/>
          <w:rFonts w:ascii="Arial" w:hAnsi="Arial" w:cs="Arial"/>
          <w:sz w:val="24"/>
          <w:szCs w:val="24"/>
        </w:rPr>
        <w:footnoteReference w:id="97"/>
      </w:r>
      <w:r w:rsidR="00327E15">
        <w:rPr>
          <w:rFonts w:ascii="Arial" w:hAnsi="Arial" w:cs="Arial"/>
          <w:sz w:val="24"/>
          <w:szCs w:val="24"/>
        </w:rPr>
        <w:t xml:space="preserve"> </w:t>
      </w:r>
      <w:r w:rsidR="00F65E2F">
        <w:rPr>
          <w:rFonts w:ascii="Arial" w:hAnsi="Arial" w:cs="Arial"/>
          <w:sz w:val="24"/>
          <w:szCs w:val="24"/>
        </w:rPr>
        <w:t>; and,</w:t>
      </w:r>
    </w:p>
    <w:p w:rsidR="00E03B54" w:rsidRPr="00F65E2F" w:rsidRDefault="002C7395" w:rsidP="00F65E2F">
      <w:pPr>
        <w:pStyle w:val="ListParagraph"/>
        <w:numPr>
          <w:ilvl w:val="0"/>
          <w:numId w:val="32"/>
        </w:numPr>
        <w:spacing w:line="360" w:lineRule="auto"/>
        <w:jc w:val="both"/>
        <w:rPr>
          <w:rFonts w:ascii="Arial" w:hAnsi="Arial" w:cs="Arial"/>
          <w:sz w:val="24"/>
          <w:szCs w:val="24"/>
        </w:rPr>
      </w:pPr>
      <w:hyperlink r:id="rId18" w:history="1">
        <w:r w:rsidR="00E03B54" w:rsidRPr="00F65E2F">
          <w:rPr>
            <w:rStyle w:val="Hyperlink"/>
            <w:rFonts w:ascii="Arial" w:hAnsi="Arial" w:cs="Arial"/>
            <w:sz w:val="24"/>
            <w:szCs w:val="24"/>
          </w:rPr>
          <w:t>http://curia.europa.eu/jcms/jcms/j_6/home</w:t>
        </w:r>
      </w:hyperlink>
      <w:r w:rsidR="00E03B54">
        <w:rPr>
          <w:rStyle w:val="FootnoteReference"/>
        </w:rPr>
        <w:footnoteReference w:id="98"/>
      </w:r>
      <w:r w:rsidR="00E03B54" w:rsidRPr="00F65E2F">
        <w:rPr>
          <w:rFonts w:ascii="Arial" w:hAnsi="Arial" w:cs="Arial"/>
          <w:sz w:val="24"/>
          <w:szCs w:val="24"/>
        </w:rPr>
        <w:t xml:space="preserve">. </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9.4</w:t>
      </w:r>
      <w:r>
        <w:rPr>
          <w:rFonts w:ascii="Arial" w:hAnsi="Arial" w:cs="Arial"/>
          <w:sz w:val="24"/>
          <w:szCs w:val="24"/>
        </w:rPr>
        <w:tab/>
        <w:t xml:space="preserve">It is noticeable that few lecturers appear to have grasped the opportunities for imaginative and innovative employment of electronic resources. This lack of “thinking outside the box” is evidenced by the responses to the use of electronic/video conferencing or, through cross-referencing to Learning and Teaching Methods in Chapter 8, by </w:t>
      </w:r>
      <w:r w:rsidR="00C300AF">
        <w:rPr>
          <w:rFonts w:ascii="Arial" w:hAnsi="Arial" w:cs="Arial"/>
          <w:sz w:val="24"/>
          <w:szCs w:val="24"/>
        </w:rPr>
        <w:t>their failure to embrace</w:t>
      </w:r>
      <w:r>
        <w:rPr>
          <w:rFonts w:ascii="Arial" w:hAnsi="Arial" w:cs="Arial"/>
          <w:sz w:val="24"/>
          <w:szCs w:val="24"/>
        </w:rPr>
        <w:t xml:space="preserve"> the obvious advantages of podcasting (bar one CPE provider that employed podcasts). This, it is submitted, is disappointing as the opportunities available for the delivery of course content, forms of formative assessment and interaction between students and staff within the VLE are significant.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9.5</w:t>
      </w:r>
      <w:r>
        <w:rPr>
          <w:rFonts w:ascii="Arial" w:hAnsi="Arial" w:cs="Arial"/>
          <w:sz w:val="24"/>
          <w:szCs w:val="24"/>
        </w:rPr>
        <w:tab/>
        <w:t xml:space="preserve">One of the difficulties with </w:t>
      </w:r>
      <w:r w:rsidR="00C300AF">
        <w:rPr>
          <w:rFonts w:ascii="Arial" w:hAnsi="Arial" w:cs="Arial"/>
          <w:sz w:val="24"/>
          <w:szCs w:val="24"/>
        </w:rPr>
        <w:t xml:space="preserve">studying </w:t>
      </w:r>
      <w:r>
        <w:rPr>
          <w:rFonts w:ascii="Arial" w:hAnsi="Arial" w:cs="Arial"/>
          <w:sz w:val="24"/>
          <w:szCs w:val="24"/>
        </w:rPr>
        <w:t xml:space="preserve">the European Union was highlighted </w:t>
      </w:r>
      <w:r w:rsidR="00C300AF">
        <w:rPr>
          <w:rFonts w:ascii="Arial" w:hAnsi="Arial" w:cs="Arial"/>
          <w:sz w:val="24"/>
          <w:szCs w:val="24"/>
        </w:rPr>
        <w:t xml:space="preserve">in answers received to </w:t>
      </w:r>
      <w:r>
        <w:rPr>
          <w:rFonts w:ascii="Arial" w:hAnsi="Arial" w:cs="Arial"/>
          <w:sz w:val="24"/>
          <w:szCs w:val="24"/>
        </w:rPr>
        <w:t xml:space="preserve">one aspect of this question, and that was the </w:t>
      </w:r>
      <w:r w:rsidR="00C300AF">
        <w:rPr>
          <w:rFonts w:ascii="Arial" w:hAnsi="Arial" w:cs="Arial"/>
          <w:sz w:val="24"/>
          <w:szCs w:val="24"/>
        </w:rPr>
        <w:t>nature of the coverage the European Union receives on TV and in film.</w:t>
      </w:r>
      <w:r>
        <w:rPr>
          <w:rFonts w:ascii="Arial" w:hAnsi="Arial" w:cs="Arial"/>
          <w:sz w:val="24"/>
          <w:szCs w:val="24"/>
        </w:rPr>
        <w:t xml:space="preserve"> There is no doubt that playing a video or TV programme can enhance the learning experience. However, </w:t>
      </w:r>
      <w:r w:rsidR="00C300AF">
        <w:rPr>
          <w:rFonts w:ascii="Arial" w:hAnsi="Arial" w:cs="Arial"/>
          <w:sz w:val="24"/>
          <w:szCs w:val="24"/>
        </w:rPr>
        <w:t>there exists a paucity of televisual resources that cover topics relating to EU law.</w:t>
      </w:r>
      <w:r>
        <w:rPr>
          <w:rFonts w:ascii="Arial" w:hAnsi="Arial" w:cs="Arial"/>
          <w:sz w:val="24"/>
          <w:szCs w:val="24"/>
        </w:rPr>
        <w:t xml:space="preserve"> Thus finding video or TV sources that </w:t>
      </w:r>
      <w:r w:rsidR="00C300AF">
        <w:rPr>
          <w:rFonts w:ascii="Arial" w:hAnsi="Arial" w:cs="Arial"/>
          <w:sz w:val="24"/>
          <w:szCs w:val="24"/>
        </w:rPr>
        <w:t>can both</w:t>
      </w:r>
      <w:r>
        <w:rPr>
          <w:rFonts w:ascii="Arial" w:hAnsi="Arial" w:cs="Arial"/>
          <w:sz w:val="24"/>
          <w:szCs w:val="24"/>
        </w:rPr>
        <w:t xml:space="preserve"> augment lectures, seminars or workshops, </w:t>
      </w:r>
      <w:r w:rsidR="00C300AF">
        <w:rPr>
          <w:rFonts w:ascii="Arial" w:hAnsi="Arial" w:cs="Arial"/>
          <w:sz w:val="24"/>
          <w:szCs w:val="24"/>
        </w:rPr>
        <w:t>whilst painting</w:t>
      </w:r>
      <w:r>
        <w:rPr>
          <w:rFonts w:ascii="Arial" w:hAnsi="Arial" w:cs="Arial"/>
          <w:sz w:val="24"/>
          <w:szCs w:val="24"/>
        </w:rPr>
        <w:t xml:space="preserve"> EU Law in a positive light, is difficult and can increase the workload of lecturers.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9.6</w:t>
      </w:r>
      <w:r>
        <w:rPr>
          <w:rFonts w:ascii="Arial" w:hAnsi="Arial" w:cs="Arial"/>
          <w:sz w:val="24"/>
          <w:szCs w:val="24"/>
        </w:rPr>
        <w:tab/>
        <w:t xml:space="preserve">One of the surprising responses to the survey questions, mentioned in 9.4, was the limited </w:t>
      </w:r>
      <w:r w:rsidR="00C300AF">
        <w:rPr>
          <w:rFonts w:ascii="Arial" w:hAnsi="Arial" w:cs="Arial"/>
          <w:sz w:val="24"/>
          <w:szCs w:val="24"/>
        </w:rPr>
        <w:t>use</w:t>
      </w:r>
      <w:r>
        <w:rPr>
          <w:rFonts w:ascii="Arial" w:hAnsi="Arial" w:cs="Arial"/>
          <w:sz w:val="24"/>
          <w:szCs w:val="24"/>
        </w:rPr>
        <w:t xml:space="preserve"> of discussion or chat spaces, or bulletin boards</w:t>
      </w:r>
      <w:r w:rsidR="00C300AF">
        <w:rPr>
          <w:rFonts w:ascii="Arial" w:hAnsi="Arial" w:cs="Arial"/>
          <w:sz w:val="24"/>
          <w:szCs w:val="24"/>
        </w:rPr>
        <w:t>.</w:t>
      </w:r>
      <w:r>
        <w:rPr>
          <w:rFonts w:ascii="Arial" w:hAnsi="Arial" w:cs="Arial"/>
          <w:sz w:val="24"/>
          <w:szCs w:val="24"/>
        </w:rPr>
        <w:t xml:space="preserve"> VLE</w:t>
      </w:r>
      <w:r w:rsidR="00C300AF">
        <w:rPr>
          <w:rFonts w:ascii="Arial" w:hAnsi="Arial" w:cs="Arial"/>
          <w:sz w:val="24"/>
          <w:szCs w:val="24"/>
        </w:rPr>
        <w:t>s</w:t>
      </w:r>
      <w:r>
        <w:rPr>
          <w:rFonts w:ascii="Arial" w:hAnsi="Arial" w:cs="Arial"/>
          <w:sz w:val="24"/>
          <w:szCs w:val="24"/>
        </w:rPr>
        <w:t xml:space="preserve"> w</w:t>
      </w:r>
      <w:r w:rsidR="00C300AF">
        <w:rPr>
          <w:rFonts w:ascii="Arial" w:hAnsi="Arial" w:cs="Arial"/>
          <w:sz w:val="24"/>
          <w:szCs w:val="24"/>
        </w:rPr>
        <w:t>ere</w:t>
      </w:r>
      <w:r>
        <w:rPr>
          <w:rFonts w:ascii="Arial" w:hAnsi="Arial" w:cs="Arial"/>
          <w:sz w:val="24"/>
          <w:szCs w:val="24"/>
        </w:rPr>
        <w:t xml:space="preserve"> predominantly used as a tool for dissemination of information. </w:t>
      </w:r>
      <w:r w:rsidR="00C300AF">
        <w:rPr>
          <w:rFonts w:ascii="Arial" w:hAnsi="Arial" w:cs="Arial"/>
          <w:sz w:val="24"/>
          <w:szCs w:val="24"/>
        </w:rPr>
        <w:t>Two</w:t>
      </w:r>
      <w:r>
        <w:rPr>
          <w:rFonts w:ascii="Arial" w:hAnsi="Arial" w:cs="Arial"/>
          <w:sz w:val="24"/>
          <w:szCs w:val="24"/>
        </w:rPr>
        <w:t xml:space="preserve"> CPE providers</w:t>
      </w:r>
      <w:r w:rsidR="007F7FC6">
        <w:rPr>
          <w:rStyle w:val="FootnoteReference"/>
          <w:rFonts w:ascii="Arial" w:hAnsi="Arial" w:cs="Arial"/>
          <w:sz w:val="24"/>
          <w:szCs w:val="24"/>
        </w:rPr>
        <w:footnoteReference w:id="99"/>
      </w:r>
      <w:r>
        <w:rPr>
          <w:rFonts w:ascii="Arial" w:hAnsi="Arial" w:cs="Arial"/>
          <w:sz w:val="24"/>
          <w:szCs w:val="24"/>
        </w:rPr>
        <w:t xml:space="preserve"> did employ </w:t>
      </w:r>
      <w:r w:rsidR="007F7FC6">
        <w:rPr>
          <w:rFonts w:ascii="Arial" w:hAnsi="Arial" w:cs="Arial"/>
          <w:sz w:val="24"/>
          <w:szCs w:val="24"/>
        </w:rPr>
        <w:t xml:space="preserve">forms of </w:t>
      </w:r>
      <w:r>
        <w:rPr>
          <w:rFonts w:ascii="Arial" w:hAnsi="Arial" w:cs="Arial"/>
          <w:sz w:val="24"/>
          <w:szCs w:val="24"/>
        </w:rPr>
        <w:t>i-</w:t>
      </w:r>
      <w:r w:rsidR="00C300AF">
        <w:rPr>
          <w:rFonts w:ascii="Arial" w:hAnsi="Arial" w:cs="Arial"/>
          <w:sz w:val="24"/>
          <w:szCs w:val="24"/>
        </w:rPr>
        <w:t>t</w:t>
      </w:r>
      <w:r>
        <w:rPr>
          <w:rFonts w:ascii="Arial" w:hAnsi="Arial" w:cs="Arial"/>
          <w:sz w:val="24"/>
          <w:szCs w:val="24"/>
        </w:rPr>
        <w:t xml:space="preserve">utorials, interactive computer-based presentations that included video clips, slides and quizzes, and also incorporated asynchronous VLE based discussion groups, which students needed to use to cooperate in problem-based learning. </w:t>
      </w:r>
      <w:r w:rsidR="007F7FC6">
        <w:rPr>
          <w:rFonts w:ascii="Arial" w:hAnsi="Arial" w:cs="Arial"/>
          <w:sz w:val="24"/>
          <w:szCs w:val="24"/>
        </w:rPr>
        <w:t>One LLB/QLD provider used webCT for quizzes, email contact, online discussions and groupwork</w:t>
      </w:r>
      <w:r w:rsidR="007F7FC6">
        <w:rPr>
          <w:rStyle w:val="FootnoteReference"/>
          <w:rFonts w:ascii="Arial" w:hAnsi="Arial" w:cs="Arial"/>
          <w:sz w:val="24"/>
          <w:szCs w:val="24"/>
        </w:rPr>
        <w:footnoteReference w:id="100"/>
      </w:r>
      <w:r w:rsidR="007F7FC6">
        <w:rPr>
          <w:rFonts w:ascii="Arial" w:hAnsi="Arial" w:cs="Arial"/>
          <w:sz w:val="24"/>
          <w:szCs w:val="24"/>
        </w:rPr>
        <w:t xml:space="preserve">. </w:t>
      </w:r>
      <w:r>
        <w:rPr>
          <w:rFonts w:ascii="Arial" w:hAnsi="Arial" w:cs="Arial"/>
          <w:sz w:val="24"/>
          <w:szCs w:val="24"/>
        </w:rPr>
        <w:t xml:space="preserve">However, there was no indication by other providers that the VLE was utilised in anything other than a purely </w:t>
      </w:r>
      <w:r w:rsidR="00C300AF">
        <w:rPr>
          <w:rFonts w:ascii="Arial" w:hAnsi="Arial" w:cs="Arial"/>
          <w:sz w:val="24"/>
          <w:szCs w:val="24"/>
        </w:rPr>
        <w:t>informal</w:t>
      </w:r>
      <w:r>
        <w:rPr>
          <w:rFonts w:ascii="Arial" w:hAnsi="Arial" w:cs="Arial"/>
          <w:sz w:val="24"/>
          <w:szCs w:val="24"/>
        </w:rPr>
        <w:t xml:space="preserve"> way.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9.7</w:t>
      </w:r>
      <w:r>
        <w:rPr>
          <w:rFonts w:ascii="Arial" w:hAnsi="Arial" w:cs="Arial"/>
          <w:sz w:val="24"/>
          <w:szCs w:val="24"/>
        </w:rPr>
        <w:tab/>
        <w:t xml:space="preserve">Another </w:t>
      </w:r>
      <w:r w:rsidR="00C300AF">
        <w:rPr>
          <w:rFonts w:ascii="Arial" w:hAnsi="Arial" w:cs="Arial"/>
          <w:sz w:val="24"/>
          <w:szCs w:val="24"/>
        </w:rPr>
        <w:t>technology</w:t>
      </w:r>
      <w:r>
        <w:rPr>
          <w:rFonts w:ascii="Arial" w:hAnsi="Arial" w:cs="Arial"/>
          <w:sz w:val="24"/>
          <w:szCs w:val="24"/>
        </w:rPr>
        <w:t xml:space="preserve"> identified as being under-utilised was electronic assessment. Only one LLB/QLD provider employed an electronic form of assessment and even then this </w:t>
      </w:r>
      <w:r w:rsidR="00C300AF">
        <w:rPr>
          <w:rFonts w:ascii="Arial" w:hAnsi="Arial" w:cs="Arial"/>
          <w:sz w:val="24"/>
          <w:szCs w:val="24"/>
        </w:rPr>
        <w:t xml:space="preserve">assessment </w:t>
      </w:r>
      <w:r>
        <w:rPr>
          <w:rFonts w:ascii="Arial" w:hAnsi="Arial" w:cs="Arial"/>
          <w:sz w:val="24"/>
          <w:szCs w:val="24"/>
        </w:rPr>
        <w:t>only counted to</w:t>
      </w:r>
      <w:r w:rsidR="00C300AF">
        <w:rPr>
          <w:rFonts w:ascii="Arial" w:hAnsi="Arial" w:cs="Arial"/>
          <w:sz w:val="24"/>
          <w:szCs w:val="24"/>
        </w:rPr>
        <w:t>wards</w:t>
      </w:r>
      <w:r>
        <w:rPr>
          <w:rFonts w:ascii="Arial" w:hAnsi="Arial" w:cs="Arial"/>
          <w:sz w:val="24"/>
          <w:szCs w:val="24"/>
        </w:rPr>
        <w:t xml:space="preserve"> 10% of the </w:t>
      </w:r>
      <w:r w:rsidR="00C300AF">
        <w:rPr>
          <w:rFonts w:ascii="Arial" w:hAnsi="Arial" w:cs="Arial"/>
          <w:sz w:val="24"/>
          <w:szCs w:val="24"/>
        </w:rPr>
        <w:t xml:space="preserve">student’s </w:t>
      </w:r>
      <w:r>
        <w:rPr>
          <w:rFonts w:ascii="Arial" w:hAnsi="Arial" w:cs="Arial"/>
          <w:sz w:val="24"/>
          <w:szCs w:val="24"/>
        </w:rPr>
        <w:t>total mark.</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9.7</w:t>
      </w:r>
      <w:r>
        <w:rPr>
          <w:rFonts w:ascii="Arial" w:hAnsi="Arial" w:cs="Arial"/>
          <w:sz w:val="24"/>
          <w:szCs w:val="24"/>
        </w:rPr>
        <w:tab/>
        <w:t xml:space="preserve">The survey questionnaire proved to be something of a blunt tool in analysing this rapidly developing area of teaching and learning, with little attention paid to innovative methods of delivery of course content such as podcasts, </w:t>
      </w:r>
      <w:r w:rsidR="00C300AF">
        <w:rPr>
          <w:rFonts w:ascii="Arial" w:hAnsi="Arial" w:cs="Arial"/>
          <w:sz w:val="24"/>
          <w:szCs w:val="24"/>
        </w:rPr>
        <w:t xml:space="preserve">which our research revealed were </w:t>
      </w:r>
      <w:r>
        <w:rPr>
          <w:rFonts w:ascii="Arial" w:hAnsi="Arial" w:cs="Arial"/>
          <w:sz w:val="24"/>
          <w:szCs w:val="24"/>
        </w:rPr>
        <w:t>employed by only one CPE provider. Discussions with both LLB/QLD and CPE providers indicated that there was a general awareness of podcasts and an intention to employ them in the future. However, we were unable to identify any courses currently employing innovative e-learning for EU Law. This may change in the future and as such it is suggested that this is a fertile area for further research.</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9.7</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r>
        <w:rPr>
          <w:rFonts w:ascii="Arial" w:hAnsi="Arial" w:cs="Arial"/>
          <w:sz w:val="24"/>
          <w:szCs w:val="24"/>
        </w:rPr>
        <w:t>The following conclusions can be drawn from this research.</w:t>
      </w:r>
    </w:p>
    <w:p w:rsidR="00E03B54" w:rsidRDefault="00E03B54" w:rsidP="00E03B54">
      <w:pPr>
        <w:pStyle w:val="ListParagraph"/>
        <w:numPr>
          <w:ilvl w:val="0"/>
          <w:numId w:val="21"/>
        </w:numPr>
        <w:spacing w:line="360" w:lineRule="auto"/>
        <w:jc w:val="both"/>
        <w:rPr>
          <w:rFonts w:ascii="Arial" w:hAnsi="Arial" w:cs="Arial"/>
          <w:sz w:val="24"/>
          <w:szCs w:val="24"/>
        </w:rPr>
      </w:pPr>
      <w:r>
        <w:rPr>
          <w:rFonts w:ascii="Arial" w:hAnsi="Arial" w:cs="Arial"/>
          <w:sz w:val="24"/>
          <w:szCs w:val="24"/>
        </w:rPr>
        <w:lastRenderedPageBreak/>
        <w:t>Some aspects of e-learning have been grasped with enthusiasm by EU Law lecturers. These include databases, a VLE and the utilisation of websites</w:t>
      </w:r>
      <w:r w:rsidR="00C300AF">
        <w:rPr>
          <w:rFonts w:ascii="Arial" w:hAnsi="Arial" w:cs="Arial"/>
          <w:sz w:val="24"/>
          <w:szCs w:val="24"/>
        </w:rPr>
        <w:t xml:space="preserve"> as learning resources</w:t>
      </w:r>
      <w:r>
        <w:rPr>
          <w:rFonts w:ascii="Arial" w:hAnsi="Arial" w:cs="Arial"/>
          <w:sz w:val="24"/>
          <w:szCs w:val="24"/>
        </w:rPr>
        <w:t>.</w:t>
      </w:r>
    </w:p>
    <w:p w:rsidR="00E03B54" w:rsidRDefault="00E03B54" w:rsidP="00E03B54">
      <w:pPr>
        <w:pStyle w:val="ListParagraph"/>
        <w:numPr>
          <w:ilvl w:val="0"/>
          <w:numId w:val="21"/>
        </w:numPr>
        <w:spacing w:line="360" w:lineRule="auto"/>
        <w:jc w:val="both"/>
        <w:rPr>
          <w:rFonts w:ascii="Arial" w:hAnsi="Arial" w:cs="Arial"/>
          <w:sz w:val="24"/>
          <w:szCs w:val="24"/>
        </w:rPr>
      </w:pPr>
      <w:r>
        <w:rPr>
          <w:rFonts w:ascii="Arial" w:hAnsi="Arial" w:cs="Arial"/>
          <w:sz w:val="24"/>
          <w:szCs w:val="24"/>
        </w:rPr>
        <w:t>More innovative e-learning (e.g. podcasts) has yet to enter the teaching lexicon of most EU Law lecturers.</w:t>
      </w:r>
    </w:p>
    <w:p w:rsidR="00E03B54" w:rsidRPr="0036378D" w:rsidRDefault="00E03B54" w:rsidP="00E03B54">
      <w:pPr>
        <w:pStyle w:val="ListParagraph"/>
        <w:numPr>
          <w:ilvl w:val="0"/>
          <w:numId w:val="21"/>
        </w:numPr>
        <w:spacing w:line="360" w:lineRule="auto"/>
        <w:jc w:val="both"/>
        <w:rPr>
          <w:rFonts w:ascii="Arial" w:hAnsi="Arial" w:cs="Arial"/>
          <w:sz w:val="24"/>
          <w:szCs w:val="24"/>
        </w:rPr>
      </w:pPr>
      <w:r>
        <w:rPr>
          <w:rFonts w:ascii="Arial" w:hAnsi="Arial" w:cs="Arial"/>
          <w:sz w:val="24"/>
          <w:szCs w:val="24"/>
        </w:rPr>
        <w:t>The enhanced features of a VLE (e.g. delivery of course content, forms of formative assessment and interaction between students and staff within the VLE) have, in general, yet to be fully employed.</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10.</w:t>
      </w:r>
      <w:r>
        <w:rPr>
          <w:rFonts w:ascii="Arial" w:hAnsi="Arial" w:cs="Arial"/>
          <w:b/>
          <w:sz w:val="28"/>
          <w:szCs w:val="28"/>
        </w:rPr>
        <w:tab/>
        <w:t>Textbooks</w:t>
      </w:r>
      <w:r>
        <w:rPr>
          <w:rStyle w:val="FootnoteReference"/>
          <w:rFonts w:ascii="Arial" w:hAnsi="Arial" w:cs="Arial"/>
          <w:b/>
          <w:sz w:val="28"/>
          <w:szCs w:val="28"/>
        </w:rPr>
        <w:footnoteReference w:id="101"/>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10.1</w:t>
      </w:r>
      <w:r>
        <w:rPr>
          <w:rFonts w:ascii="Arial" w:hAnsi="Arial" w:cs="Arial"/>
          <w:sz w:val="24"/>
          <w:szCs w:val="24"/>
        </w:rPr>
        <w:tab/>
        <w:t xml:space="preserve">A significant part of the student’s learning activity </w:t>
      </w:r>
      <w:r w:rsidR="00C300AF">
        <w:rPr>
          <w:rFonts w:ascii="Arial" w:hAnsi="Arial" w:cs="Arial"/>
          <w:sz w:val="24"/>
          <w:szCs w:val="24"/>
        </w:rPr>
        <w:t xml:space="preserve">is </w:t>
      </w:r>
      <w:r>
        <w:rPr>
          <w:rFonts w:ascii="Arial" w:hAnsi="Arial" w:cs="Arial"/>
          <w:sz w:val="24"/>
          <w:szCs w:val="24"/>
        </w:rPr>
        <w:t>centre</w:t>
      </w:r>
      <w:r w:rsidR="00C300AF">
        <w:rPr>
          <w:rFonts w:ascii="Arial" w:hAnsi="Arial" w:cs="Arial"/>
          <w:sz w:val="24"/>
          <w:szCs w:val="24"/>
        </w:rPr>
        <w:t>d</w:t>
      </w:r>
      <w:r>
        <w:rPr>
          <w:rFonts w:ascii="Arial" w:hAnsi="Arial" w:cs="Arial"/>
          <w:sz w:val="24"/>
          <w:szCs w:val="24"/>
        </w:rPr>
        <w:t xml:space="preserve"> </w:t>
      </w:r>
      <w:r w:rsidR="00C300AF">
        <w:rPr>
          <w:rFonts w:ascii="Arial" w:hAnsi="Arial" w:cs="Arial"/>
          <w:sz w:val="24"/>
          <w:szCs w:val="24"/>
        </w:rPr>
        <w:t>a</w:t>
      </w:r>
      <w:r>
        <w:rPr>
          <w:rFonts w:ascii="Arial" w:hAnsi="Arial" w:cs="Arial"/>
          <w:sz w:val="24"/>
          <w:szCs w:val="24"/>
        </w:rPr>
        <w:t xml:space="preserve">round reading, in particular </w:t>
      </w:r>
      <w:r w:rsidR="00C300AF">
        <w:rPr>
          <w:rFonts w:ascii="Arial" w:hAnsi="Arial" w:cs="Arial"/>
          <w:sz w:val="24"/>
          <w:szCs w:val="24"/>
        </w:rPr>
        <w:t xml:space="preserve">the </w:t>
      </w:r>
      <w:r w:rsidR="001F48FD">
        <w:rPr>
          <w:rFonts w:ascii="Arial" w:hAnsi="Arial" w:cs="Arial"/>
          <w:sz w:val="24"/>
          <w:szCs w:val="24"/>
        </w:rPr>
        <w:t xml:space="preserve">reading of </w:t>
      </w:r>
      <w:r>
        <w:rPr>
          <w:rFonts w:ascii="Arial" w:hAnsi="Arial" w:cs="Arial"/>
          <w:sz w:val="24"/>
          <w:szCs w:val="24"/>
        </w:rPr>
        <w:t xml:space="preserve">textbooks or casebooks (indeed </w:t>
      </w:r>
      <w:r w:rsidR="00C300AF">
        <w:rPr>
          <w:rFonts w:ascii="Arial" w:hAnsi="Arial" w:cs="Arial"/>
          <w:sz w:val="24"/>
          <w:szCs w:val="24"/>
        </w:rPr>
        <w:t xml:space="preserve">law </w:t>
      </w:r>
      <w:r>
        <w:rPr>
          <w:rFonts w:ascii="Arial" w:hAnsi="Arial" w:cs="Arial"/>
          <w:sz w:val="24"/>
          <w:szCs w:val="24"/>
        </w:rPr>
        <w:t xml:space="preserve">students are described not as studying or working for a </w:t>
      </w:r>
      <w:r w:rsidR="00C300AF">
        <w:rPr>
          <w:rFonts w:ascii="Arial" w:hAnsi="Arial" w:cs="Arial"/>
          <w:sz w:val="24"/>
          <w:szCs w:val="24"/>
        </w:rPr>
        <w:t xml:space="preserve">law </w:t>
      </w:r>
      <w:r>
        <w:rPr>
          <w:rFonts w:ascii="Arial" w:hAnsi="Arial" w:cs="Arial"/>
          <w:sz w:val="24"/>
          <w:szCs w:val="24"/>
        </w:rPr>
        <w:t>de</w:t>
      </w:r>
      <w:r w:rsidR="00015247">
        <w:rPr>
          <w:rFonts w:ascii="Arial" w:hAnsi="Arial" w:cs="Arial"/>
          <w:sz w:val="24"/>
          <w:szCs w:val="24"/>
        </w:rPr>
        <w:t>gree, but as</w:t>
      </w:r>
      <w:r>
        <w:rPr>
          <w:rFonts w:ascii="Arial" w:hAnsi="Arial" w:cs="Arial"/>
          <w:sz w:val="24"/>
          <w:szCs w:val="24"/>
        </w:rPr>
        <w:t xml:space="preserve"> “reading law”). There </w:t>
      </w:r>
      <w:r w:rsidR="00C300AF">
        <w:rPr>
          <w:rFonts w:ascii="Arial" w:hAnsi="Arial" w:cs="Arial"/>
          <w:sz w:val="24"/>
          <w:szCs w:val="24"/>
        </w:rPr>
        <w:t>are</w:t>
      </w:r>
      <w:r>
        <w:rPr>
          <w:rFonts w:ascii="Arial" w:hAnsi="Arial" w:cs="Arial"/>
          <w:sz w:val="24"/>
          <w:szCs w:val="24"/>
        </w:rPr>
        <w:t xml:space="preserve"> a vast range of EU Law books, all designed to cater for both the students’ needs and the requirements of lecturers. Indeed much of the choice of books </w:t>
      </w:r>
      <w:r w:rsidR="00C300AF">
        <w:rPr>
          <w:rFonts w:ascii="Arial" w:hAnsi="Arial" w:cs="Arial"/>
          <w:sz w:val="24"/>
          <w:szCs w:val="24"/>
        </w:rPr>
        <w:t xml:space="preserve">is </w:t>
      </w:r>
      <w:r>
        <w:rPr>
          <w:rFonts w:ascii="Arial" w:hAnsi="Arial" w:cs="Arial"/>
          <w:sz w:val="24"/>
          <w:szCs w:val="24"/>
        </w:rPr>
        <w:t>made by students, and hence their teaching and learning experience, is determined by the recommendation of text and casebooks by their course lecturers. Thus it was considered to be valuable to ask lecturers which textbooks and casebooks they recommended students purchase.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10.2</w:t>
      </w:r>
      <w:r>
        <w:rPr>
          <w:rFonts w:ascii="Arial" w:hAnsi="Arial" w:cs="Arial"/>
          <w:sz w:val="24"/>
          <w:szCs w:val="24"/>
        </w:rPr>
        <w:tab/>
        <w:t>Results</w:t>
      </w: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23CE0" w:rsidRDefault="00E23CE0"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10.1 – Recommended Textbooks</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244"/>
        <w:gridCol w:w="2311"/>
        <w:gridCol w:w="2311"/>
      </w:tblGrid>
      <w:tr w:rsidR="00E03B54" w:rsidRPr="000936BE" w:rsidTr="00E03B54">
        <w:tc>
          <w:tcPr>
            <w:tcW w:w="2552" w:type="dxa"/>
          </w:tcPr>
          <w:p w:rsidR="00E03B54" w:rsidRPr="001A4413" w:rsidRDefault="00293881" w:rsidP="00E03B54">
            <w:pPr>
              <w:spacing w:after="0" w:line="240" w:lineRule="auto"/>
              <w:jc w:val="center"/>
              <w:rPr>
                <w:b/>
                <w:sz w:val="24"/>
                <w:szCs w:val="24"/>
              </w:rPr>
            </w:pPr>
            <w:r>
              <w:rPr>
                <w:b/>
                <w:sz w:val="24"/>
                <w:szCs w:val="24"/>
              </w:rPr>
              <w:t>Textbook A</w:t>
            </w:r>
            <w:r w:rsidR="00E03B54" w:rsidRPr="001A4413">
              <w:rPr>
                <w:b/>
                <w:sz w:val="24"/>
                <w:szCs w:val="24"/>
              </w:rPr>
              <w:t>uthor(s)</w:t>
            </w:r>
          </w:p>
        </w:tc>
        <w:tc>
          <w:tcPr>
            <w:tcW w:w="2244" w:type="dxa"/>
          </w:tcPr>
          <w:p w:rsidR="00E03B54" w:rsidRPr="001A4413" w:rsidRDefault="00E03B54" w:rsidP="00E03B54">
            <w:pPr>
              <w:spacing w:after="0" w:line="240" w:lineRule="auto"/>
              <w:jc w:val="center"/>
              <w:rPr>
                <w:b/>
                <w:sz w:val="24"/>
                <w:szCs w:val="24"/>
              </w:rPr>
            </w:pPr>
            <w:r w:rsidRPr="001A4413">
              <w:rPr>
                <w:b/>
                <w:sz w:val="24"/>
                <w:szCs w:val="24"/>
              </w:rPr>
              <w:t>CPE</w:t>
            </w:r>
          </w:p>
        </w:tc>
        <w:tc>
          <w:tcPr>
            <w:tcW w:w="2311" w:type="dxa"/>
          </w:tcPr>
          <w:p w:rsidR="00E03B54" w:rsidRPr="001A4413" w:rsidRDefault="00E03B54" w:rsidP="00E03B54">
            <w:pPr>
              <w:spacing w:after="0" w:line="240" w:lineRule="auto"/>
              <w:jc w:val="center"/>
              <w:rPr>
                <w:b/>
                <w:sz w:val="24"/>
                <w:szCs w:val="24"/>
              </w:rPr>
            </w:pPr>
            <w:r w:rsidRPr="001A4413">
              <w:rPr>
                <w:b/>
                <w:sz w:val="24"/>
                <w:szCs w:val="24"/>
              </w:rPr>
              <w:t>LLB/QLD</w:t>
            </w:r>
          </w:p>
        </w:tc>
        <w:tc>
          <w:tcPr>
            <w:tcW w:w="2311" w:type="dxa"/>
          </w:tcPr>
          <w:p w:rsidR="00E03B54" w:rsidRPr="001A4413" w:rsidRDefault="00E03B54" w:rsidP="00E03B54">
            <w:pPr>
              <w:spacing w:after="0" w:line="240" w:lineRule="auto"/>
              <w:jc w:val="center"/>
              <w:rPr>
                <w:b/>
                <w:sz w:val="24"/>
                <w:szCs w:val="24"/>
              </w:rPr>
            </w:pPr>
            <w:r w:rsidRPr="001A4413">
              <w:rPr>
                <w:b/>
                <w:sz w:val="24"/>
                <w:szCs w:val="24"/>
              </w:rPr>
              <w:t>Total</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Steiner &amp; Woods</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6</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30</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Hartley</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6</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Wyatt &amp; Dashwood</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7</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9</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Berry &amp; Hargreaves</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Foster</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3</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13</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Horspool &amp; Humphreys</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3</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Barnard</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6</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7</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Fairhurst</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18</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Mathijsen</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r>
      <w:tr w:rsidR="00E03B54" w:rsidRPr="000936BE" w:rsidTr="00E03B54">
        <w:tc>
          <w:tcPr>
            <w:tcW w:w="2552"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Other</w:t>
            </w:r>
          </w:p>
        </w:tc>
        <w:tc>
          <w:tcPr>
            <w:tcW w:w="2244"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3</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r>
    </w:tbl>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10.2 – Recommended Casebooks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E03B54" w:rsidRPr="000936BE" w:rsidTr="00E03B54">
        <w:tc>
          <w:tcPr>
            <w:tcW w:w="2310" w:type="dxa"/>
          </w:tcPr>
          <w:p w:rsidR="00E03B54" w:rsidRPr="001A4413" w:rsidRDefault="00E03B54" w:rsidP="00E03B54">
            <w:pPr>
              <w:spacing w:after="0" w:line="240" w:lineRule="auto"/>
              <w:jc w:val="center"/>
              <w:rPr>
                <w:b/>
                <w:sz w:val="24"/>
                <w:szCs w:val="24"/>
              </w:rPr>
            </w:pPr>
            <w:r w:rsidRPr="001A4413">
              <w:rPr>
                <w:b/>
                <w:sz w:val="24"/>
                <w:szCs w:val="24"/>
              </w:rPr>
              <w:t>Casebook</w:t>
            </w:r>
            <w:r w:rsidR="00293881">
              <w:rPr>
                <w:b/>
                <w:sz w:val="24"/>
                <w:szCs w:val="24"/>
              </w:rPr>
              <w:t xml:space="preserve"> Author(s)</w:t>
            </w:r>
          </w:p>
        </w:tc>
        <w:tc>
          <w:tcPr>
            <w:tcW w:w="2310" w:type="dxa"/>
          </w:tcPr>
          <w:p w:rsidR="00E03B54" w:rsidRPr="001A4413" w:rsidRDefault="00E03B54" w:rsidP="00E03B54">
            <w:pPr>
              <w:spacing w:after="0" w:line="240" w:lineRule="auto"/>
              <w:jc w:val="center"/>
              <w:rPr>
                <w:b/>
                <w:sz w:val="24"/>
                <w:szCs w:val="24"/>
              </w:rPr>
            </w:pPr>
            <w:r w:rsidRPr="001A4413">
              <w:rPr>
                <w:b/>
                <w:sz w:val="24"/>
                <w:szCs w:val="24"/>
              </w:rPr>
              <w:t>CPE</w:t>
            </w:r>
          </w:p>
        </w:tc>
        <w:tc>
          <w:tcPr>
            <w:tcW w:w="2311" w:type="dxa"/>
          </w:tcPr>
          <w:p w:rsidR="00E03B54" w:rsidRPr="001A4413" w:rsidRDefault="00E03B54" w:rsidP="00E03B54">
            <w:pPr>
              <w:spacing w:after="0" w:line="240" w:lineRule="auto"/>
              <w:jc w:val="center"/>
              <w:rPr>
                <w:b/>
                <w:sz w:val="24"/>
                <w:szCs w:val="24"/>
              </w:rPr>
            </w:pPr>
            <w:r w:rsidRPr="001A4413">
              <w:rPr>
                <w:b/>
                <w:sz w:val="24"/>
                <w:szCs w:val="24"/>
              </w:rPr>
              <w:t>LLB/QLD</w:t>
            </w:r>
          </w:p>
        </w:tc>
        <w:tc>
          <w:tcPr>
            <w:tcW w:w="2311" w:type="dxa"/>
          </w:tcPr>
          <w:p w:rsidR="00E03B54" w:rsidRPr="001A4413" w:rsidRDefault="00E03B54" w:rsidP="00E03B54">
            <w:pPr>
              <w:spacing w:after="0" w:line="240" w:lineRule="auto"/>
              <w:jc w:val="center"/>
              <w:rPr>
                <w:b/>
                <w:sz w:val="24"/>
                <w:szCs w:val="24"/>
              </w:rPr>
            </w:pPr>
            <w:r w:rsidRPr="001A4413">
              <w:rPr>
                <w:b/>
                <w:sz w:val="24"/>
                <w:szCs w:val="24"/>
              </w:rPr>
              <w:t>Total</w:t>
            </w:r>
          </w:p>
        </w:tc>
      </w:tr>
      <w:tr w:rsidR="00E03B54" w:rsidRPr="000936BE" w:rsidTr="00E03B54">
        <w:tc>
          <w:tcPr>
            <w:tcW w:w="2310"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Craig &amp; de Búrca</w:t>
            </w:r>
          </w:p>
        </w:tc>
        <w:tc>
          <w:tcPr>
            <w:tcW w:w="2310"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26</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36</w:t>
            </w:r>
          </w:p>
        </w:tc>
      </w:tr>
      <w:tr w:rsidR="00E03B54" w:rsidRPr="000936BE" w:rsidTr="00E03B54">
        <w:tc>
          <w:tcPr>
            <w:tcW w:w="2310"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Weatherill</w:t>
            </w:r>
          </w:p>
        </w:tc>
        <w:tc>
          <w:tcPr>
            <w:tcW w:w="2310"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17</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21</w:t>
            </w:r>
          </w:p>
        </w:tc>
      </w:tr>
      <w:tr w:rsidR="00E03B54" w:rsidRPr="000936BE" w:rsidTr="00E03B54">
        <w:tc>
          <w:tcPr>
            <w:tcW w:w="2310"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Chalmers et al</w:t>
            </w:r>
          </w:p>
        </w:tc>
        <w:tc>
          <w:tcPr>
            <w:tcW w:w="2310"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7</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21</w:t>
            </w:r>
          </w:p>
        </w:tc>
      </w:tr>
      <w:tr w:rsidR="00E03B54" w:rsidRPr="000936BE" w:rsidTr="00E03B54">
        <w:tc>
          <w:tcPr>
            <w:tcW w:w="2310"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Tillotson &amp; Foster</w:t>
            </w:r>
          </w:p>
        </w:tc>
        <w:tc>
          <w:tcPr>
            <w:tcW w:w="2310"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4</w:t>
            </w:r>
          </w:p>
        </w:tc>
      </w:tr>
      <w:tr w:rsidR="00E03B54" w:rsidRPr="000936BE" w:rsidTr="00E03B54">
        <w:tc>
          <w:tcPr>
            <w:tcW w:w="2310" w:type="dxa"/>
          </w:tcPr>
          <w:p w:rsidR="00E03B54" w:rsidRPr="001A4413" w:rsidRDefault="00E03B54" w:rsidP="00E03B54">
            <w:pPr>
              <w:spacing w:after="0" w:line="240" w:lineRule="auto"/>
              <w:rPr>
                <w:sz w:val="24"/>
                <w:szCs w:val="24"/>
              </w:rPr>
            </w:pPr>
          </w:p>
          <w:p w:rsidR="00E03B54" w:rsidRPr="001A4413" w:rsidRDefault="00E03B54" w:rsidP="00E03B54">
            <w:pPr>
              <w:spacing w:after="0" w:line="240" w:lineRule="auto"/>
              <w:rPr>
                <w:sz w:val="24"/>
                <w:szCs w:val="24"/>
              </w:rPr>
            </w:pPr>
            <w:r w:rsidRPr="001A4413">
              <w:rPr>
                <w:sz w:val="24"/>
                <w:szCs w:val="24"/>
              </w:rPr>
              <w:t>Other</w:t>
            </w:r>
          </w:p>
        </w:tc>
        <w:tc>
          <w:tcPr>
            <w:tcW w:w="2310"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0</w:t>
            </w:r>
          </w:p>
        </w:tc>
        <w:tc>
          <w:tcPr>
            <w:tcW w:w="2311" w:type="dxa"/>
          </w:tcPr>
          <w:p w:rsidR="00E03B54" w:rsidRPr="001A4413" w:rsidRDefault="00E03B54" w:rsidP="00E03B54">
            <w:pPr>
              <w:spacing w:after="0" w:line="240" w:lineRule="auto"/>
              <w:jc w:val="center"/>
              <w:rPr>
                <w:sz w:val="24"/>
                <w:szCs w:val="24"/>
              </w:rPr>
            </w:pPr>
          </w:p>
          <w:p w:rsidR="00E03B54" w:rsidRPr="001A4413" w:rsidRDefault="00E03B54" w:rsidP="00E03B54">
            <w:pPr>
              <w:spacing w:after="0" w:line="240" w:lineRule="auto"/>
              <w:jc w:val="center"/>
              <w:rPr>
                <w:sz w:val="24"/>
                <w:szCs w:val="24"/>
              </w:rPr>
            </w:pPr>
            <w:r w:rsidRPr="001A4413">
              <w:rPr>
                <w:sz w:val="24"/>
                <w:szCs w:val="24"/>
              </w:rPr>
              <w:t>1</w:t>
            </w:r>
          </w:p>
        </w:tc>
      </w:tr>
    </w:tbl>
    <w:p w:rsidR="00E03B54" w:rsidRDefault="00E03B54" w:rsidP="00E03B54">
      <w:pPr>
        <w:spacing w:line="360" w:lineRule="auto"/>
        <w:jc w:val="both"/>
        <w:rPr>
          <w:rFonts w:ascii="Arial" w:hAnsi="Arial" w:cs="Arial"/>
          <w:sz w:val="24"/>
          <w:szCs w:val="24"/>
        </w:rPr>
      </w:pPr>
    </w:p>
    <w:p w:rsidR="001F48FD" w:rsidRDefault="001F48FD" w:rsidP="00E03B54">
      <w:pPr>
        <w:spacing w:line="360" w:lineRule="auto"/>
        <w:jc w:val="both"/>
        <w:rPr>
          <w:rFonts w:ascii="Arial" w:hAnsi="Arial" w:cs="Arial"/>
          <w:sz w:val="24"/>
          <w:szCs w:val="24"/>
        </w:rPr>
        <w:sectPr w:rsidR="001F48FD" w:rsidSect="00015247">
          <w:pgSz w:w="11906" w:h="16838" w:code="9"/>
          <w:pgMar w:top="1440" w:right="1440" w:bottom="1440" w:left="1440" w:header="709" w:footer="709" w:gutter="0"/>
          <w:cols w:space="708"/>
          <w:docGrid w:linePitch="360"/>
        </w:sectPr>
      </w:pPr>
    </w:p>
    <w:p w:rsidR="001F48FD" w:rsidRDefault="001F48FD" w:rsidP="00E03B54">
      <w:pPr>
        <w:spacing w:line="360" w:lineRule="auto"/>
        <w:jc w:val="both"/>
        <w:rPr>
          <w:rFonts w:ascii="Arial" w:hAnsi="Arial" w:cs="Arial"/>
          <w:sz w:val="24"/>
          <w:szCs w:val="24"/>
        </w:rPr>
      </w:pPr>
      <w:r w:rsidRPr="001F48FD">
        <w:rPr>
          <w:rFonts w:ascii="Arial" w:hAnsi="Arial" w:cs="Arial"/>
          <w:noProof/>
          <w:sz w:val="24"/>
          <w:szCs w:val="24"/>
          <w:lang w:eastAsia="en-GB"/>
        </w:rPr>
        <w:lastRenderedPageBreak/>
        <w:drawing>
          <wp:inline distT="0" distB="0" distL="0" distR="0">
            <wp:extent cx="9086850" cy="5886450"/>
            <wp:effectExtent l="0" t="0" r="0"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48FD" w:rsidRDefault="001F48FD" w:rsidP="00E03B54">
      <w:pPr>
        <w:spacing w:line="360" w:lineRule="auto"/>
        <w:jc w:val="both"/>
        <w:rPr>
          <w:rFonts w:ascii="Arial" w:hAnsi="Arial" w:cs="Arial"/>
          <w:sz w:val="24"/>
          <w:szCs w:val="24"/>
        </w:rPr>
      </w:pPr>
      <w:r w:rsidRPr="001F48FD">
        <w:rPr>
          <w:rFonts w:ascii="Arial" w:hAnsi="Arial" w:cs="Arial"/>
          <w:noProof/>
          <w:sz w:val="24"/>
          <w:szCs w:val="24"/>
          <w:lang w:eastAsia="en-GB"/>
        </w:rPr>
        <w:lastRenderedPageBreak/>
        <w:drawing>
          <wp:inline distT="0" distB="0" distL="0" distR="0">
            <wp:extent cx="8905875" cy="5915025"/>
            <wp:effectExtent l="0" t="0" r="0" b="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48FD" w:rsidRDefault="001F48FD" w:rsidP="00E03B54">
      <w:pPr>
        <w:spacing w:line="360" w:lineRule="auto"/>
        <w:jc w:val="both"/>
        <w:rPr>
          <w:rFonts w:ascii="Arial" w:hAnsi="Arial" w:cs="Arial"/>
          <w:sz w:val="24"/>
          <w:szCs w:val="24"/>
        </w:rPr>
        <w:sectPr w:rsidR="001F48FD" w:rsidSect="001F48FD">
          <w:pgSz w:w="16838" w:h="11906" w:orient="landscape" w:code="9"/>
          <w:pgMar w:top="1440" w:right="1440" w:bottom="1440" w:left="1440" w:header="709" w:footer="709" w:gutter="0"/>
          <w:cols w:space="708"/>
          <w:docGrid w:linePitch="360"/>
        </w:sect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10.3</w:t>
      </w:r>
      <w:r>
        <w:rPr>
          <w:rFonts w:ascii="Arial" w:hAnsi="Arial" w:cs="Arial"/>
          <w:sz w:val="24"/>
          <w:szCs w:val="24"/>
        </w:rPr>
        <w:tab/>
        <w:t>The results</w:t>
      </w:r>
      <w:r w:rsidR="001F48FD">
        <w:rPr>
          <w:rFonts w:ascii="Arial" w:hAnsi="Arial" w:cs="Arial"/>
          <w:sz w:val="24"/>
          <w:szCs w:val="24"/>
        </w:rPr>
        <w:t xml:space="preserve"> presented in Tables 10.1 and 10.2, and represented by Charts 10.1 and 10.2, are</w:t>
      </w:r>
      <w:r>
        <w:rPr>
          <w:rFonts w:ascii="Arial" w:hAnsi="Arial" w:cs="Arial"/>
          <w:sz w:val="24"/>
          <w:szCs w:val="24"/>
        </w:rPr>
        <w:t xml:space="preserve"> at first blush surprisingly unsurprising with the most popular textbook proving to be J Steiner, L Woods, </w:t>
      </w:r>
      <w:r>
        <w:rPr>
          <w:rFonts w:ascii="Arial" w:hAnsi="Arial" w:cs="Arial"/>
          <w:i/>
          <w:sz w:val="24"/>
          <w:szCs w:val="24"/>
        </w:rPr>
        <w:t>EU Law</w:t>
      </w:r>
      <w:r>
        <w:rPr>
          <w:rFonts w:ascii="Arial" w:hAnsi="Arial" w:cs="Arial"/>
          <w:sz w:val="24"/>
          <w:szCs w:val="24"/>
        </w:rPr>
        <w:t xml:space="preserve"> (10</w:t>
      </w:r>
      <w:r w:rsidRPr="00DD3AC3">
        <w:rPr>
          <w:rFonts w:ascii="Arial" w:hAnsi="Arial" w:cs="Arial"/>
          <w:sz w:val="24"/>
          <w:szCs w:val="24"/>
          <w:vertAlign w:val="superscript"/>
        </w:rPr>
        <w:t>th</w:t>
      </w:r>
      <w:r>
        <w:rPr>
          <w:rFonts w:ascii="Arial" w:hAnsi="Arial" w:cs="Arial"/>
          <w:sz w:val="24"/>
          <w:szCs w:val="24"/>
        </w:rPr>
        <w:t xml:space="preserve"> edn OUP, London 2009) and the most popular casebook being P Craig, G de Búrca, </w:t>
      </w:r>
      <w:r>
        <w:rPr>
          <w:rFonts w:ascii="Arial" w:hAnsi="Arial" w:cs="Arial"/>
          <w:i/>
          <w:sz w:val="24"/>
          <w:szCs w:val="24"/>
        </w:rPr>
        <w:t>EU Law: Text, Cases and Materials</w:t>
      </w:r>
      <w:r>
        <w:rPr>
          <w:rFonts w:ascii="Arial" w:hAnsi="Arial" w:cs="Arial"/>
          <w:sz w:val="24"/>
          <w:szCs w:val="24"/>
        </w:rPr>
        <w:t xml:space="preserve"> (4</w:t>
      </w:r>
      <w:r w:rsidRPr="00DD3AC3">
        <w:rPr>
          <w:rFonts w:ascii="Arial" w:hAnsi="Arial" w:cs="Arial"/>
          <w:sz w:val="24"/>
          <w:szCs w:val="24"/>
          <w:vertAlign w:val="superscript"/>
        </w:rPr>
        <w:t>th</w:t>
      </w:r>
      <w:r>
        <w:rPr>
          <w:rFonts w:ascii="Arial" w:hAnsi="Arial" w:cs="Arial"/>
          <w:sz w:val="24"/>
          <w:szCs w:val="24"/>
        </w:rPr>
        <w:t xml:space="preserve"> edn OUP, London 2008). However, there are some minor differences between the preferences of LLB/QLD and CPE providers. Whilst at LLB/QLD delivery level J Fairhurst, </w:t>
      </w:r>
      <w:r>
        <w:rPr>
          <w:rFonts w:ascii="Arial" w:hAnsi="Arial" w:cs="Arial"/>
          <w:i/>
          <w:sz w:val="24"/>
          <w:szCs w:val="24"/>
        </w:rPr>
        <w:t>Law of the European Union</w:t>
      </w:r>
      <w:r>
        <w:rPr>
          <w:rFonts w:ascii="Arial" w:hAnsi="Arial" w:cs="Arial"/>
          <w:sz w:val="24"/>
          <w:szCs w:val="24"/>
        </w:rPr>
        <w:t xml:space="preserve"> (7</w:t>
      </w:r>
      <w:r w:rsidRPr="00747247">
        <w:rPr>
          <w:rFonts w:ascii="Arial" w:hAnsi="Arial" w:cs="Arial"/>
          <w:sz w:val="24"/>
          <w:szCs w:val="24"/>
          <w:vertAlign w:val="superscript"/>
        </w:rPr>
        <w:t>th</w:t>
      </w:r>
      <w:r>
        <w:rPr>
          <w:rFonts w:ascii="Arial" w:hAnsi="Arial" w:cs="Arial"/>
          <w:sz w:val="24"/>
          <w:szCs w:val="24"/>
        </w:rPr>
        <w:t xml:space="preserve"> edn Longman, Harlow 2010) was the second most popular textbook with N Foster, </w:t>
      </w:r>
      <w:r>
        <w:rPr>
          <w:rFonts w:ascii="Arial" w:hAnsi="Arial" w:cs="Arial"/>
          <w:i/>
          <w:sz w:val="24"/>
          <w:szCs w:val="24"/>
        </w:rPr>
        <w:t>Foster on EU Law</w:t>
      </w:r>
      <w:r>
        <w:rPr>
          <w:rFonts w:ascii="Arial" w:hAnsi="Arial" w:cs="Arial"/>
          <w:sz w:val="24"/>
          <w:szCs w:val="24"/>
        </w:rPr>
        <w:t xml:space="preserve"> (2</w:t>
      </w:r>
      <w:r w:rsidRPr="00747247">
        <w:rPr>
          <w:rFonts w:ascii="Arial" w:hAnsi="Arial" w:cs="Arial"/>
          <w:sz w:val="24"/>
          <w:szCs w:val="24"/>
          <w:vertAlign w:val="superscript"/>
        </w:rPr>
        <w:t>nd</w:t>
      </w:r>
      <w:r>
        <w:rPr>
          <w:rFonts w:ascii="Arial" w:hAnsi="Arial" w:cs="Arial"/>
          <w:sz w:val="24"/>
          <w:szCs w:val="24"/>
        </w:rPr>
        <w:t xml:space="preserve"> edn OUP, London 2009) third, at CPE level these positions remained the same though Foster was almost on a par of popularity as Fairhurst. For casebooks, S Weatherill, </w:t>
      </w:r>
      <w:r>
        <w:rPr>
          <w:rFonts w:ascii="Arial" w:hAnsi="Arial" w:cs="Arial"/>
          <w:i/>
          <w:sz w:val="24"/>
          <w:szCs w:val="24"/>
        </w:rPr>
        <w:t>Cases and Materials on EU Law</w:t>
      </w:r>
      <w:r>
        <w:rPr>
          <w:rFonts w:ascii="Arial" w:hAnsi="Arial" w:cs="Arial"/>
          <w:sz w:val="24"/>
          <w:szCs w:val="24"/>
        </w:rPr>
        <w:t xml:space="preserve"> (8</w:t>
      </w:r>
      <w:r w:rsidRPr="00747247">
        <w:rPr>
          <w:rFonts w:ascii="Arial" w:hAnsi="Arial" w:cs="Arial"/>
          <w:sz w:val="24"/>
          <w:szCs w:val="24"/>
          <w:vertAlign w:val="superscript"/>
        </w:rPr>
        <w:t>th</w:t>
      </w:r>
      <w:r>
        <w:rPr>
          <w:rFonts w:ascii="Arial" w:hAnsi="Arial" w:cs="Arial"/>
          <w:sz w:val="24"/>
          <w:szCs w:val="24"/>
        </w:rPr>
        <w:t xml:space="preserve"> edn OUP, London 2007) was the second favourite for LLB/QLD providers with D Chalmers, C Hadjiemmanuil, G Monti, A Tomkins, </w:t>
      </w:r>
      <w:r>
        <w:rPr>
          <w:rFonts w:ascii="Arial" w:hAnsi="Arial" w:cs="Arial"/>
          <w:i/>
          <w:sz w:val="24"/>
          <w:szCs w:val="24"/>
        </w:rPr>
        <w:t>European Union Law</w:t>
      </w:r>
      <w:r>
        <w:rPr>
          <w:rFonts w:ascii="Arial" w:hAnsi="Arial" w:cs="Arial"/>
          <w:sz w:val="24"/>
          <w:szCs w:val="24"/>
        </w:rPr>
        <w:t xml:space="preserve"> (CUP, Cambridge 2006) a reasonably close second, but for CPE providers these positions were reversed.</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It should be noted that the textbooks mentioned as “other” were statute books, an area that we were not investigating.</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10.4</w:t>
      </w:r>
      <w:r>
        <w:rPr>
          <w:rFonts w:ascii="Arial" w:hAnsi="Arial" w:cs="Arial"/>
          <w:sz w:val="24"/>
          <w:szCs w:val="24"/>
        </w:rPr>
        <w:tab/>
        <w:t>Specialist Textbooks</w:t>
      </w:r>
    </w:p>
    <w:p w:rsidR="00E03B54" w:rsidRDefault="00E03B54" w:rsidP="00E03B54">
      <w:pPr>
        <w:spacing w:line="360" w:lineRule="auto"/>
        <w:jc w:val="both"/>
        <w:rPr>
          <w:rFonts w:ascii="Arial" w:hAnsi="Arial" w:cs="Arial"/>
          <w:sz w:val="24"/>
          <w:szCs w:val="24"/>
        </w:rPr>
      </w:pPr>
    </w:p>
    <w:p w:rsidR="00E03B54" w:rsidRPr="005F290E" w:rsidRDefault="00E03B54" w:rsidP="00E03B54">
      <w:pPr>
        <w:spacing w:line="360" w:lineRule="auto"/>
        <w:jc w:val="both"/>
        <w:rPr>
          <w:rFonts w:ascii="Arial" w:hAnsi="Arial" w:cs="Arial"/>
          <w:sz w:val="24"/>
          <w:szCs w:val="24"/>
        </w:rPr>
      </w:pPr>
      <w:r>
        <w:rPr>
          <w:rFonts w:ascii="Arial" w:hAnsi="Arial" w:cs="Arial"/>
          <w:sz w:val="24"/>
          <w:szCs w:val="24"/>
        </w:rPr>
        <w:t xml:space="preserve">A number of books were mentioned by both CPE and LLB/QLD providers that were predominantly aimed at EU competition law. These included M </w:t>
      </w:r>
      <w:proofErr w:type="spellStart"/>
      <w:r>
        <w:rPr>
          <w:rFonts w:ascii="Arial" w:hAnsi="Arial" w:cs="Arial"/>
          <w:sz w:val="24"/>
          <w:szCs w:val="24"/>
        </w:rPr>
        <w:t>Furse</w:t>
      </w:r>
      <w:proofErr w:type="spellEnd"/>
      <w:r>
        <w:rPr>
          <w:rFonts w:ascii="Arial" w:hAnsi="Arial" w:cs="Arial"/>
          <w:sz w:val="24"/>
          <w:szCs w:val="24"/>
        </w:rPr>
        <w:t xml:space="preserve">, </w:t>
      </w:r>
      <w:r>
        <w:rPr>
          <w:rFonts w:ascii="Arial" w:hAnsi="Arial" w:cs="Arial"/>
          <w:i/>
          <w:sz w:val="24"/>
          <w:szCs w:val="24"/>
        </w:rPr>
        <w:t xml:space="preserve">Competition Law of the EC and </w:t>
      </w:r>
      <w:r w:rsidRPr="005F290E">
        <w:rPr>
          <w:rFonts w:ascii="Arial" w:hAnsi="Arial" w:cs="Arial"/>
          <w:i/>
          <w:sz w:val="24"/>
          <w:szCs w:val="24"/>
        </w:rPr>
        <w:t>UK</w:t>
      </w:r>
      <w:r>
        <w:rPr>
          <w:rFonts w:ascii="Arial" w:hAnsi="Arial" w:cs="Arial"/>
          <w:sz w:val="24"/>
          <w:szCs w:val="24"/>
        </w:rPr>
        <w:t xml:space="preserve"> (6</w:t>
      </w:r>
      <w:r w:rsidRPr="005F290E">
        <w:rPr>
          <w:rFonts w:ascii="Arial" w:hAnsi="Arial" w:cs="Arial"/>
          <w:sz w:val="24"/>
          <w:szCs w:val="24"/>
          <w:vertAlign w:val="superscript"/>
        </w:rPr>
        <w:t>th</w:t>
      </w:r>
      <w:r>
        <w:rPr>
          <w:rFonts w:ascii="Arial" w:hAnsi="Arial" w:cs="Arial"/>
          <w:sz w:val="24"/>
          <w:szCs w:val="24"/>
        </w:rPr>
        <w:t xml:space="preserve"> edn OUP, London 2008), </w:t>
      </w:r>
      <w:r w:rsidRPr="005F290E">
        <w:rPr>
          <w:rFonts w:ascii="Arial" w:hAnsi="Arial" w:cs="Arial"/>
          <w:sz w:val="24"/>
          <w:szCs w:val="24"/>
        </w:rPr>
        <w:t>J</w:t>
      </w:r>
      <w:r>
        <w:rPr>
          <w:rFonts w:ascii="Arial" w:hAnsi="Arial" w:cs="Arial"/>
          <w:sz w:val="24"/>
          <w:szCs w:val="24"/>
        </w:rPr>
        <w:t xml:space="preserve"> </w:t>
      </w:r>
      <w:proofErr w:type="spellStart"/>
      <w:r>
        <w:rPr>
          <w:rFonts w:ascii="Arial" w:hAnsi="Arial" w:cs="Arial"/>
          <w:sz w:val="24"/>
          <w:szCs w:val="24"/>
        </w:rPr>
        <w:t>Goyder</w:t>
      </w:r>
      <w:proofErr w:type="spellEnd"/>
      <w:r>
        <w:rPr>
          <w:rFonts w:ascii="Arial" w:hAnsi="Arial" w:cs="Arial"/>
          <w:sz w:val="24"/>
          <w:szCs w:val="24"/>
        </w:rPr>
        <w:t xml:space="preserve">, A Albors-Llorens, </w:t>
      </w:r>
      <w:proofErr w:type="spellStart"/>
      <w:r>
        <w:rPr>
          <w:rFonts w:ascii="Arial" w:hAnsi="Arial" w:cs="Arial"/>
          <w:i/>
          <w:sz w:val="24"/>
          <w:szCs w:val="24"/>
        </w:rPr>
        <w:t>Goyder’s</w:t>
      </w:r>
      <w:proofErr w:type="spellEnd"/>
      <w:r>
        <w:rPr>
          <w:rFonts w:ascii="Arial" w:hAnsi="Arial" w:cs="Arial"/>
          <w:i/>
          <w:sz w:val="24"/>
          <w:szCs w:val="24"/>
        </w:rPr>
        <w:t xml:space="preserve"> EC Competition Law</w:t>
      </w:r>
      <w:r>
        <w:rPr>
          <w:rFonts w:ascii="Arial" w:hAnsi="Arial" w:cs="Arial"/>
          <w:sz w:val="24"/>
          <w:szCs w:val="24"/>
        </w:rPr>
        <w:t xml:space="preserve"> (5</w:t>
      </w:r>
      <w:r w:rsidRPr="005F290E">
        <w:rPr>
          <w:rFonts w:ascii="Arial" w:hAnsi="Arial" w:cs="Arial"/>
          <w:sz w:val="24"/>
          <w:szCs w:val="24"/>
          <w:vertAlign w:val="superscript"/>
        </w:rPr>
        <w:t>th</w:t>
      </w:r>
      <w:r>
        <w:rPr>
          <w:rFonts w:ascii="Arial" w:hAnsi="Arial" w:cs="Arial"/>
          <w:sz w:val="24"/>
          <w:szCs w:val="24"/>
        </w:rPr>
        <w:t xml:space="preserve"> edn OUP, London 2009), A Jones, B </w:t>
      </w:r>
      <w:proofErr w:type="spellStart"/>
      <w:r>
        <w:rPr>
          <w:rFonts w:ascii="Arial" w:hAnsi="Arial" w:cs="Arial"/>
          <w:sz w:val="24"/>
          <w:szCs w:val="24"/>
        </w:rPr>
        <w:t>Sufrin</w:t>
      </w:r>
      <w:proofErr w:type="spellEnd"/>
      <w:r>
        <w:rPr>
          <w:rFonts w:ascii="Arial" w:hAnsi="Arial" w:cs="Arial"/>
          <w:sz w:val="24"/>
          <w:szCs w:val="24"/>
        </w:rPr>
        <w:t xml:space="preserve">, </w:t>
      </w:r>
      <w:r>
        <w:rPr>
          <w:rFonts w:ascii="Arial" w:hAnsi="Arial" w:cs="Arial"/>
          <w:i/>
          <w:sz w:val="24"/>
          <w:szCs w:val="24"/>
        </w:rPr>
        <w:t>EC Competition Law: Text, Cases and Materials</w:t>
      </w:r>
      <w:r>
        <w:rPr>
          <w:rFonts w:ascii="Arial" w:hAnsi="Arial" w:cs="Arial"/>
          <w:sz w:val="24"/>
          <w:szCs w:val="24"/>
        </w:rPr>
        <w:t xml:space="preserve"> (3</w:t>
      </w:r>
      <w:r w:rsidRPr="005F290E">
        <w:rPr>
          <w:rFonts w:ascii="Arial" w:hAnsi="Arial" w:cs="Arial"/>
          <w:sz w:val="24"/>
          <w:szCs w:val="24"/>
          <w:vertAlign w:val="superscript"/>
        </w:rPr>
        <w:t>rd</w:t>
      </w:r>
      <w:r>
        <w:rPr>
          <w:rFonts w:ascii="Arial" w:hAnsi="Arial" w:cs="Arial"/>
          <w:sz w:val="24"/>
          <w:szCs w:val="24"/>
        </w:rPr>
        <w:t xml:space="preserve"> edn OUP, London 2008), V </w:t>
      </w:r>
      <w:proofErr w:type="spellStart"/>
      <w:r>
        <w:rPr>
          <w:rFonts w:ascii="Arial" w:hAnsi="Arial" w:cs="Arial"/>
          <w:sz w:val="24"/>
          <w:szCs w:val="24"/>
        </w:rPr>
        <w:t>Korah</w:t>
      </w:r>
      <w:proofErr w:type="spellEnd"/>
      <w:r>
        <w:rPr>
          <w:rFonts w:ascii="Arial" w:hAnsi="Arial" w:cs="Arial"/>
          <w:sz w:val="24"/>
          <w:szCs w:val="24"/>
        </w:rPr>
        <w:t xml:space="preserve">, </w:t>
      </w:r>
      <w:r>
        <w:rPr>
          <w:rFonts w:ascii="Arial" w:hAnsi="Arial" w:cs="Arial"/>
          <w:i/>
          <w:sz w:val="24"/>
          <w:szCs w:val="24"/>
        </w:rPr>
        <w:t>An Introductory Guide to EC Competition Law and Practice</w:t>
      </w:r>
      <w:r>
        <w:rPr>
          <w:rFonts w:ascii="Arial" w:hAnsi="Arial" w:cs="Arial"/>
          <w:sz w:val="24"/>
          <w:szCs w:val="24"/>
        </w:rPr>
        <w:t xml:space="preserve"> (9</w:t>
      </w:r>
      <w:r w:rsidRPr="005F290E">
        <w:rPr>
          <w:rFonts w:ascii="Arial" w:hAnsi="Arial" w:cs="Arial"/>
          <w:sz w:val="24"/>
          <w:szCs w:val="24"/>
          <w:vertAlign w:val="superscript"/>
        </w:rPr>
        <w:t>th</w:t>
      </w:r>
      <w:r>
        <w:rPr>
          <w:rFonts w:ascii="Arial" w:hAnsi="Arial" w:cs="Arial"/>
          <w:sz w:val="24"/>
          <w:szCs w:val="24"/>
        </w:rPr>
        <w:t xml:space="preserve"> edn Hart Publishing, London 2007). One </w:t>
      </w:r>
      <w:r w:rsidR="00137765">
        <w:rPr>
          <w:rFonts w:ascii="Arial" w:hAnsi="Arial" w:cs="Arial"/>
          <w:sz w:val="24"/>
          <w:szCs w:val="24"/>
        </w:rPr>
        <w:t>CPE</w:t>
      </w:r>
      <w:r>
        <w:rPr>
          <w:rFonts w:ascii="Arial" w:hAnsi="Arial" w:cs="Arial"/>
          <w:sz w:val="24"/>
          <w:szCs w:val="24"/>
        </w:rPr>
        <w:t xml:space="preserve"> provider</w:t>
      </w:r>
      <w:r w:rsidR="00104CF0">
        <w:rPr>
          <w:rStyle w:val="FootnoteReference"/>
          <w:rFonts w:ascii="Arial" w:hAnsi="Arial" w:cs="Arial"/>
          <w:sz w:val="24"/>
          <w:szCs w:val="24"/>
        </w:rPr>
        <w:footnoteReference w:id="102"/>
      </w:r>
      <w:r>
        <w:rPr>
          <w:rFonts w:ascii="Arial" w:hAnsi="Arial" w:cs="Arial"/>
          <w:sz w:val="24"/>
          <w:szCs w:val="24"/>
        </w:rPr>
        <w:t xml:space="preserve"> specified G Davies, </w:t>
      </w:r>
      <w:r>
        <w:rPr>
          <w:rFonts w:ascii="Arial" w:hAnsi="Arial" w:cs="Arial"/>
          <w:i/>
          <w:sz w:val="24"/>
          <w:szCs w:val="24"/>
        </w:rPr>
        <w:t>European Union Internal Market Law</w:t>
      </w:r>
      <w:r>
        <w:rPr>
          <w:rFonts w:ascii="Arial" w:hAnsi="Arial" w:cs="Arial"/>
          <w:sz w:val="24"/>
          <w:szCs w:val="24"/>
        </w:rPr>
        <w:t xml:space="preserve"> (2</w:t>
      </w:r>
      <w:r w:rsidRPr="00E6385D">
        <w:rPr>
          <w:rFonts w:ascii="Arial" w:hAnsi="Arial" w:cs="Arial"/>
          <w:sz w:val="24"/>
          <w:szCs w:val="24"/>
          <w:vertAlign w:val="superscript"/>
        </w:rPr>
        <w:t>nd</w:t>
      </w:r>
      <w:r>
        <w:rPr>
          <w:rFonts w:ascii="Arial" w:hAnsi="Arial" w:cs="Arial"/>
          <w:sz w:val="24"/>
          <w:szCs w:val="24"/>
        </w:rPr>
        <w:t xml:space="preserve"> edn Routledge-Cavendish, London 2006). A final, and honourable </w:t>
      </w:r>
      <w:r>
        <w:rPr>
          <w:rFonts w:ascii="Arial" w:hAnsi="Arial" w:cs="Arial"/>
          <w:sz w:val="24"/>
          <w:szCs w:val="24"/>
        </w:rPr>
        <w:lastRenderedPageBreak/>
        <w:t>mention, must go to S Douglas-Scott,</w:t>
      </w:r>
      <w:r w:rsidR="00E23CE0">
        <w:rPr>
          <w:rFonts w:ascii="Arial" w:hAnsi="Arial" w:cs="Arial"/>
          <w:sz w:val="24"/>
          <w:szCs w:val="24"/>
        </w:rPr>
        <w:t xml:space="preserve"> whose textbook</w:t>
      </w:r>
      <w:r>
        <w:rPr>
          <w:rFonts w:ascii="Arial" w:hAnsi="Arial" w:cs="Arial"/>
          <w:sz w:val="24"/>
          <w:szCs w:val="24"/>
        </w:rPr>
        <w:t xml:space="preserve"> </w:t>
      </w:r>
      <w:r>
        <w:rPr>
          <w:rFonts w:ascii="Arial" w:hAnsi="Arial" w:cs="Arial"/>
          <w:i/>
          <w:sz w:val="24"/>
          <w:szCs w:val="24"/>
        </w:rPr>
        <w:t>Constitutional Law of the European Union</w:t>
      </w:r>
      <w:r>
        <w:rPr>
          <w:rFonts w:ascii="Arial" w:hAnsi="Arial" w:cs="Arial"/>
          <w:sz w:val="24"/>
          <w:szCs w:val="24"/>
        </w:rPr>
        <w:t xml:space="preserve"> (Longman, Harlow 2002) was cited by 3 institutions</w:t>
      </w:r>
      <w:r w:rsidR="00104CF0">
        <w:rPr>
          <w:rStyle w:val="FootnoteReference"/>
          <w:rFonts w:ascii="Arial" w:hAnsi="Arial" w:cs="Arial"/>
          <w:sz w:val="24"/>
          <w:szCs w:val="24"/>
        </w:rPr>
        <w:footnoteReference w:id="103"/>
      </w:r>
      <w:r>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10.3</w:t>
      </w:r>
      <w:r>
        <w:rPr>
          <w:rFonts w:ascii="Arial" w:hAnsi="Arial" w:cs="Arial"/>
          <w:sz w:val="24"/>
          <w:szCs w:val="24"/>
        </w:rPr>
        <w:tab/>
        <w:t>Reasons for Choice of Books</w:t>
      </w:r>
    </w:p>
    <w:p w:rsidR="00E03B54" w:rsidRDefault="00E03B54" w:rsidP="00E03B54">
      <w:pPr>
        <w:spacing w:line="360" w:lineRule="auto"/>
        <w:jc w:val="both"/>
        <w:rPr>
          <w:rFonts w:ascii="Arial" w:hAnsi="Arial" w:cs="Arial"/>
          <w:sz w:val="24"/>
          <w:szCs w:val="24"/>
        </w:rPr>
      </w:pPr>
    </w:p>
    <w:p w:rsidR="00E03B54" w:rsidRPr="00137765" w:rsidRDefault="00E03B54" w:rsidP="00E03B54">
      <w:pPr>
        <w:spacing w:line="360" w:lineRule="auto"/>
        <w:jc w:val="both"/>
        <w:rPr>
          <w:rFonts w:ascii="Arial" w:hAnsi="Arial" w:cs="Arial"/>
          <w:sz w:val="24"/>
          <w:szCs w:val="24"/>
        </w:rPr>
      </w:pPr>
      <w:r>
        <w:rPr>
          <w:rFonts w:ascii="Arial" w:hAnsi="Arial" w:cs="Arial"/>
          <w:sz w:val="24"/>
          <w:szCs w:val="24"/>
        </w:rPr>
        <w:t>It became clear through discussions that there were two main reasons for the choice o</w:t>
      </w:r>
      <w:r w:rsidR="00E23CE0">
        <w:rPr>
          <w:rFonts w:ascii="Arial" w:hAnsi="Arial" w:cs="Arial"/>
          <w:sz w:val="24"/>
          <w:szCs w:val="24"/>
        </w:rPr>
        <w:t>f books. The first was coverage/</w:t>
      </w:r>
      <w:r>
        <w:rPr>
          <w:rFonts w:ascii="Arial" w:hAnsi="Arial" w:cs="Arial"/>
          <w:sz w:val="24"/>
          <w:szCs w:val="24"/>
        </w:rPr>
        <w:t xml:space="preserve">detail </w:t>
      </w:r>
      <w:r w:rsidR="00E23CE0">
        <w:rPr>
          <w:rFonts w:ascii="Arial" w:hAnsi="Arial" w:cs="Arial"/>
          <w:sz w:val="24"/>
          <w:szCs w:val="24"/>
        </w:rPr>
        <w:t>and</w:t>
      </w:r>
      <w:r>
        <w:rPr>
          <w:rFonts w:ascii="Arial" w:hAnsi="Arial" w:cs="Arial"/>
          <w:sz w:val="24"/>
          <w:szCs w:val="24"/>
        </w:rPr>
        <w:t xml:space="preserve"> the second being </w:t>
      </w:r>
      <w:r w:rsidR="00E23CE0">
        <w:rPr>
          <w:rFonts w:ascii="Arial" w:hAnsi="Arial" w:cs="Arial"/>
          <w:sz w:val="24"/>
          <w:szCs w:val="24"/>
        </w:rPr>
        <w:t>date of publication</w:t>
      </w:r>
      <w:r>
        <w:rPr>
          <w:rFonts w:ascii="Arial" w:hAnsi="Arial" w:cs="Arial"/>
          <w:sz w:val="24"/>
          <w:szCs w:val="24"/>
        </w:rPr>
        <w:t>. Indeed it was considered that the two went hand in hand – there was no point in recommending a book that was up to date if its coverage was poor, and conversely there was no point in recommending a book that had detailed coverage but was too old.</w:t>
      </w:r>
      <w:r w:rsidR="00137765">
        <w:rPr>
          <w:rFonts w:ascii="Arial" w:hAnsi="Arial" w:cs="Arial"/>
          <w:sz w:val="24"/>
          <w:szCs w:val="24"/>
        </w:rPr>
        <w:t xml:space="preserve"> One LLB/QLD provider</w:t>
      </w:r>
      <w:r w:rsidR="00441F33">
        <w:rPr>
          <w:rStyle w:val="FootnoteReference"/>
          <w:rFonts w:ascii="Arial" w:hAnsi="Arial" w:cs="Arial"/>
          <w:sz w:val="24"/>
          <w:szCs w:val="24"/>
        </w:rPr>
        <w:footnoteReference w:id="104"/>
      </w:r>
      <w:r w:rsidR="00137765">
        <w:rPr>
          <w:rFonts w:ascii="Arial" w:hAnsi="Arial" w:cs="Arial"/>
          <w:sz w:val="24"/>
          <w:szCs w:val="24"/>
        </w:rPr>
        <w:t xml:space="preserve"> suggested that if students were struggling with the recommended textbook then an “easier” text might be suggested (the two suggested were E Berry, S Hargreaves, </w:t>
      </w:r>
      <w:r w:rsidR="00137765">
        <w:rPr>
          <w:rFonts w:ascii="Arial" w:hAnsi="Arial" w:cs="Arial"/>
          <w:i/>
          <w:sz w:val="24"/>
          <w:szCs w:val="24"/>
        </w:rPr>
        <w:t>European Union Law</w:t>
      </w:r>
      <w:r w:rsidR="00137765">
        <w:rPr>
          <w:rFonts w:ascii="Arial" w:hAnsi="Arial" w:cs="Arial"/>
          <w:sz w:val="24"/>
          <w:szCs w:val="24"/>
        </w:rPr>
        <w:t xml:space="preserve"> (2</w:t>
      </w:r>
      <w:r w:rsidR="00137765" w:rsidRPr="00883C03">
        <w:rPr>
          <w:rFonts w:ascii="Arial" w:hAnsi="Arial" w:cs="Arial"/>
          <w:sz w:val="24"/>
          <w:szCs w:val="24"/>
          <w:vertAlign w:val="superscript"/>
        </w:rPr>
        <w:t>nd</w:t>
      </w:r>
      <w:r w:rsidR="00137765">
        <w:rPr>
          <w:rFonts w:ascii="Arial" w:hAnsi="Arial" w:cs="Arial"/>
          <w:sz w:val="24"/>
          <w:szCs w:val="24"/>
        </w:rPr>
        <w:t xml:space="preserve"> edn OUP, London 2007) and C </w:t>
      </w:r>
      <w:r w:rsidR="00441F33">
        <w:rPr>
          <w:rFonts w:ascii="Arial" w:hAnsi="Arial" w:cs="Arial"/>
          <w:sz w:val="24"/>
          <w:szCs w:val="24"/>
        </w:rPr>
        <w:t>Turner</w:t>
      </w:r>
      <w:r w:rsidR="00137765">
        <w:rPr>
          <w:rFonts w:ascii="Arial" w:hAnsi="Arial" w:cs="Arial"/>
          <w:sz w:val="24"/>
          <w:szCs w:val="24"/>
        </w:rPr>
        <w:t xml:space="preserve">, T Storey, </w:t>
      </w:r>
      <w:r w:rsidR="00137765">
        <w:rPr>
          <w:rFonts w:ascii="Arial" w:hAnsi="Arial" w:cs="Arial"/>
          <w:i/>
          <w:sz w:val="24"/>
          <w:szCs w:val="24"/>
        </w:rPr>
        <w:t>Unlocking EU Law</w:t>
      </w:r>
      <w:r w:rsidR="00137765">
        <w:rPr>
          <w:rFonts w:ascii="Arial" w:hAnsi="Arial" w:cs="Arial"/>
          <w:sz w:val="24"/>
          <w:szCs w:val="24"/>
        </w:rPr>
        <w:t xml:space="preserve"> (</w:t>
      </w:r>
      <w:r w:rsidR="00441F33">
        <w:rPr>
          <w:rFonts w:ascii="Arial" w:hAnsi="Arial" w:cs="Arial"/>
          <w:sz w:val="24"/>
          <w:szCs w:val="24"/>
        </w:rPr>
        <w:t>2</w:t>
      </w:r>
      <w:r w:rsidR="00441F33" w:rsidRPr="00441F33">
        <w:rPr>
          <w:rFonts w:ascii="Arial" w:hAnsi="Arial" w:cs="Arial"/>
          <w:sz w:val="24"/>
          <w:szCs w:val="24"/>
          <w:vertAlign w:val="superscript"/>
        </w:rPr>
        <w:t>nd</w:t>
      </w:r>
      <w:r w:rsidR="00441F33">
        <w:rPr>
          <w:rFonts w:ascii="Arial" w:hAnsi="Arial" w:cs="Arial"/>
          <w:sz w:val="24"/>
          <w:szCs w:val="24"/>
        </w:rPr>
        <w:t xml:space="preserve"> edn </w:t>
      </w:r>
      <w:proofErr w:type="spellStart"/>
      <w:r w:rsidR="00137765">
        <w:rPr>
          <w:rFonts w:ascii="Arial" w:hAnsi="Arial" w:cs="Arial"/>
          <w:sz w:val="24"/>
          <w:szCs w:val="24"/>
        </w:rPr>
        <w:t>Hodder</w:t>
      </w:r>
      <w:proofErr w:type="spellEnd"/>
      <w:r w:rsidR="00137765">
        <w:rPr>
          <w:rFonts w:ascii="Arial" w:hAnsi="Arial" w:cs="Arial"/>
          <w:sz w:val="24"/>
          <w:szCs w:val="24"/>
        </w:rPr>
        <w:t>, London 200</w:t>
      </w:r>
      <w:r w:rsidR="00441F33">
        <w:rPr>
          <w:rFonts w:ascii="Arial" w:hAnsi="Arial" w:cs="Arial"/>
          <w:sz w:val="24"/>
          <w:szCs w:val="24"/>
        </w:rPr>
        <w:t>8</w:t>
      </w:r>
      <w:r w:rsidR="00137765">
        <w:rPr>
          <w:rFonts w:ascii="Arial" w:hAnsi="Arial" w:cs="Arial"/>
          <w:sz w:val="24"/>
          <w:szCs w:val="24"/>
        </w:rPr>
        <w:t xml:space="preserve">)). </w:t>
      </w:r>
      <w:r w:rsidR="00441F33">
        <w:rPr>
          <w:rFonts w:ascii="Arial" w:hAnsi="Arial" w:cs="Arial"/>
          <w:sz w:val="24"/>
          <w:szCs w:val="24"/>
        </w:rPr>
        <w:t>Turner and Storey was also mentioned by one LLB/QLD provider</w:t>
      </w:r>
      <w:r w:rsidR="00441F33">
        <w:rPr>
          <w:rStyle w:val="FootnoteReference"/>
          <w:rFonts w:ascii="Arial" w:hAnsi="Arial" w:cs="Arial"/>
          <w:sz w:val="24"/>
          <w:szCs w:val="24"/>
        </w:rPr>
        <w:footnoteReference w:id="105"/>
      </w:r>
      <w:r w:rsidR="00441F33">
        <w:rPr>
          <w:rFonts w:ascii="Arial" w:hAnsi="Arial" w:cs="Arial"/>
          <w:sz w:val="24"/>
          <w:szCs w:val="24"/>
        </w:rPr>
        <w:t xml:space="preserve"> as a level 1 book and not suitable for a level 2 course. Finally it should be noted, as pointed out by one LLB/QLD provider</w:t>
      </w:r>
      <w:r w:rsidR="00441F33">
        <w:rPr>
          <w:rStyle w:val="FootnoteReference"/>
          <w:rFonts w:ascii="Arial" w:hAnsi="Arial" w:cs="Arial"/>
          <w:sz w:val="24"/>
          <w:szCs w:val="24"/>
        </w:rPr>
        <w:footnoteReference w:id="106"/>
      </w:r>
      <w:r w:rsidR="00441F33">
        <w:rPr>
          <w:rFonts w:ascii="Arial" w:hAnsi="Arial" w:cs="Arial"/>
          <w:sz w:val="24"/>
          <w:szCs w:val="24"/>
        </w:rPr>
        <w:t>, that students should be encouraged to read a range of texts and not rely on merely one.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10.4</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r>
        <w:rPr>
          <w:rFonts w:ascii="Arial" w:hAnsi="Arial" w:cs="Arial"/>
          <w:sz w:val="24"/>
          <w:szCs w:val="24"/>
        </w:rPr>
        <w:t>A number of conclusions can be drawn from this analysis.</w:t>
      </w:r>
    </w:p>
    <w:p w:rsidR="00E03B54" w:rsidRDefault="00E03B54" w:rsidP="00E03B54">
      <w:pPr>
        <w:pStyle w:val="ListParagraph"/>
        <w:numPr>
          <w:ilvl w:val="0"/>
          <w:numId w:val="22"/>
        </w:numPr>
        <w:spacing w:line="360" w:lineRule="auto"/>
        <w:jc w:val="both"/>
        <w:rPr>
          <w:rFonts w:ascii="Arial" w:hAnsi="Arial" w:cs="Arial"/>
          <w:sz w:val="24"/>
          <w:szCs w:val="24"/>
        </w:rPr>
      </w:pPr>
      <w:r>
        <w:rPr>
          <w:rFonts w:ascii="Arial" w:hAnsi="Arial" w:cs="Arial"/>
          <w:sz w:val="24"/>
          <w:szCs w:val="24"/>
        </w:rPr>
        <w:t>Textbooks and casebooks are principally chosen on the basis of being both up to date and providing sufficient detailed coverage.</w:t>
      </w:r>
    </w:p>
    <w:p w:rsidR="00E03B54" w:rsidRDefault="00E03B54" w:rsidP="00E03B54">
      <w:pPr>
        <w:pStyle w:val="ListParagraph"/>
        <w:numPr>
          <w:ilvl w:val="0"/>
          <w:numId w:val="22"/>
        </w:numPr>
        <w:spacing w:line="360" w:lineRule="auto"/>
        <w:jc w:val="both"/>
        <w:rPr>
          <w:rFonts w:ascii="Arial" w:hAnsi="Arial" w:cs="Arial"/>
          <w:sz w:val="24"/>
          <w:szCs w:val="24"/>
        </w:rPr>
      </w:pPr>
      <w:r>
        <w:rPr>
          <w:rFonts w:ascii="Arial" w:hAnsi="Arial" w:cs="Arial"/>
          <w:sz w:val="24"/>
          <w:szCs w:val="24"/>
        </w:rPr>
        <w:t>The three most popular textbooks for both LLB/QLD and CPE providers are Steiner and Woods, Fairhurst and Foster.</w:t>
      </w:r>
    </w:p>
    <w:p w:rsidR="00E03B54" w:rsidRDefault="00E03B54" w:rsidP="00E03B54">
      <w:pPr>
        <w:pStyle w:val="ListParagraph"/>
        <w:numPr>
          <w:ilvl w:val="0"/>
          <w:numId w:val="22"/>
        </w:numPr>
        <w:spacing w:line="360" w:lineRule="auto"/>
        <w:jc w:val="both"/>
        <w:rPr>
          <w:rFonts w:ascii="Arial" w:hAnsi="Arial" w:cs="Arial"/>
          <w:sz w:val="24"/>
          <w:szCs w:val="24"/>
        </w:rPr>
      </w:pPr>
      <w:r w:rsidRPr="008F43C2">
        <w:rPr>
          <w:rFonts w:ascii="Arial" w:hAnsi="Arial" w:cs="Arial"/>
          <w:sz w:val="24"/>
          <w:szCs w:val="24"/>
        </w:rPr>
        <w:t xml:space="preserve">The three most popular casebooks for both LLB/QLD and CPE providers are Craig and de Búrca, Weatherill and Chalmers </w:t>
      </w:r>
      <w:r w:rsidRPr="008F43C2">
        <w:rPr>
          <w:rFonts w:ascii="Arial" w:hAnsi="Arial" w:cs="Arial"/>
          <w:i/>
          <w:sz w:val="24"/>
          <w:szCs w:val="24"/>
        </w:rPr>
        <w:t>et al</w:t>
      </w:r>
      <w:r w:rsidRPr="008F43C2">
        <w:rPr>
          <w:rFonts w:ascii="Arial" w:hAnsi="Arial" w:cs="Arial"/>
          <w:sz w:val="24"/>
          <w:szCs w:val="24"/>
        </w:rPr>
        <w:t>.</w:t>
      </w:r>
    </w:p>
    <w:p w:rsidR="00441F33" w:rsidRPr="008F43C2" w:rsidRDefault="00441F33" w:rsidP="00E03B54">
      <w:pPr>
        <w:pStyle w:val="ListParagraph"/>
        <w:numPr>
          <w:ilvl w:val="0"/>
          <w:numId w:val="22"/>
        </w:numPr>
        <w:spacing w:line="360" w:lineRule="auto"/>
        <w:jc w:val="both"/>
        <w:rPr>
          <w:rFonts w:ascii="Arial" w:hAnsi="Arial" w:cs="Arial"/>
          <w:sz w:val="24"/>
          <w:szCs w:val="24"/>
        </w:rPr>
      </w:pPr>
      <w:r>
        <w:rPr>
          <w:rFonts w:ascii="Arial" w:hAnsi="Arial" w:cs="Arial"/>
          <w:sz w:val="24"/>
          <w:szCs w:val="24"/>
        </w:rPr>
        <w:lastRenderedPageBreak/>
        <w:t>It should be obvious, but needs saying, that students should be encouraged to read a range of texts and not rely on merely one.</w:t>
      </w:r>
    </w:p>
    <w:p w:rsidR="00E03B54"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11.</w:t>
      </w:r>
      <w:r>
        <w:rPr>
          <w:rFonts w:ascii="Arial" w:hAnsi="Arial" w:cs="Arial"/>
          <w:b/>
          <w:sz w:val="28"/>
          <w:szCs w:val="28"/>
        </w:rPr>
        <w:tab/>
        <w:t>The Challenges of Teaching EU Law</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11.1</w:t>
      </w:r>
      <w:r>
        <w:rPr>
          <w:rFonts w:ascii="Arial" w:hAnsi="Arial" w:cs="Arial"/>
          <w:sz w:val="24"/>
          <w:szCs w:val="24"/>
        </w:rPr>
        <w:tab/>
        <w:t>The majority of questions so far had been either purely objective or the parameters were determined by the subject itself. The team felt that a more subjective examination of learning and teaching EU Law was required to enable a more nuanced picture to emerge. Unfortunately</w:t>
      </w:r>
      <w:r w:rsidR="00E23CE0">
        <w:rPr>
          <w:rFonts w:ascii="Arial" w:hAnsi="Arial" w:cs="Arial"/>
          <w:sz w:val="24"/>
          <w:szCs w:val="24"/>
        </w:rPr>
        <w:t>, due to the limitations imposed by the nature of the research, it was not possible to gather information from students on their experience of studying EU law. As such</w:t>
      </w:r>
      <w:r>
        <w:rPr>
          <w:rFonts w:ascii="Arial" w:hAnsi="Arial" w:cs="Arial"/>
          <w:sz w:val="24"/>
          <w:szCs w:val="24"/>
        </w:rPr>
        <w:t xml:space="preserve"> the subjective picture that emerges is purely centred on the lecturer’s own experiences</w:t>
      </w:r>
      <w:r w:rsidR="00E23CE0">
        <w:rPr>
          <w:rFonts w:ascii="Arial" w:hAnsi="Arial" w:cs="Arial"/>
          <w:sz w:val="24"/>
          <w:szCs w:val="24"/>
        </w:rPr>
        <w:t xml:space="preserve"> </w:t>
      </w:r>
      <w:r>
        <w:rPr>
          <w:rFonts w:ascii="Arial" w:hAnsi="Arial" w:cs="Arial"/>
          <w:sz w:val="24"/>
          <w:szCs w:val="24"/>
        </w:rPr>
        <w:t>rather than on the learning and teaching perspectives of the students.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11.2</w:t>
      </w:r>
      <w:r>
        <w:rPr>
          <w:rFonts w:ascii="Arial" w:hAnsi="Arial" w:cs="Arial"/>
          <w:sz w:val="24"/>
          <w:szCs w:val="24"/>
        </w:rPr>
        <w:tab/>
        <w:t>Institutions were asked to comment and rank twelve factors which were considered by the team to possibly pose a challenge to the teaching of EU Law. These factors were, of course, determined initially by the survey team but institutions were given the option to add further factors if they wished to do so.</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11.3</w:t>
      </w:r>
      <w:r>
        <w:rPr>
          <w:rFonts w:ascii="Arial" w:hAnsi="Arial" w:cs="Arial"/>
          <w:sz w:val="24"/>
          <w:szCs w:val="24"/>
        </w:rPr>
        <w:tab/>
        <w:t>Results</w:t>
      </w: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11.1 – Students find it difficult to understand civil law reasoning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21</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bl>
    <w:p w:rsidR="00E03B54" w:rsidRDefault="00E03B54" w:rsidP="001F48FD">
      <w:pPr>
        <w:spacing w:line="360" w:lineRule="auto"/>
        <w:rPr>
          <w:rFonts w:ascii="Arial" w:hAnsi="Arial" w:cs="Arial"/>
          <w:sz w:val="24"/>
          <w:szCs w:val="24"/>
        </w:rPr>
      </w:pPr>
    </w:p>
    <w:p w:rsidR="001F48FD" w:rsidRDefault="001F48FD" w:rsidP="001F48FD">
      <w:pPr>
        <w:spacing w:line="360" w:lineRule="auto"/>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11.2 – Students resent having to study EU Law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18</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25</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bl>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11.3 – The UK media are critical of the EU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14</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bl>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11.4 – Students consider EU Law to be distant from their own experience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bl>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11.5 – There is excessive technical detail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11.6 – To understand EU Law fully it is necessary to understand the historical and political contexts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15</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tabs>
                <w:tab w:val="center" w:pos="233"/>
              </w:tabs>
              <w:spacing w:after="0" w:line="240" w:lineRule="auto"/>
              <w:rPr>
                <w:sz w:val="24"/>
                <w:szCs w:val="24"/>
              </w:rPr>
            </w:pPr>
            <w:r w:rsidRPr="00E427C8">
              <w:rPr>
                <w:sz w:val="24"/>
                <w:szCs w:val="24"/>
              </w:rPr>
              <w:tab/>
              <w:t>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11.7 – To understand EU Law fully it is helpful to have an understanding of economics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11.8 – It is very difficult for teachers to keep up to date, given the bulk of the material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11.9 – Because of the breadth of the subject, it is difficult to select 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12</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lastRenderedPageBreak/>
        <w:t>Table 11.10 – Students cannot remember names of the cases because they are foreign to them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13</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16</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1F48FD" w:rsidRDefault="001F48FD"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11.11 – Students perceive EU Law as a subject separate from all other core subjects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588"/>
        <w:gridCol w:w="1075"/>
        <w:gridCol w:w="725"/>
      </w:tblGrid>
      <w:tr w:rsidR="00E03B54" w:rsidRPr="000936BE" w:rsidTr="00E03B54">
        <w:trPr>
          <w:jc w:val="center"/>
        </w:trPr>
        <w:tc>
          <w:tcPr>
            <w:tcW w:w="0" w:type="auto"/>
          </w:tcPr>
          <w:p w:rsidR="00E03B54" w:rsidRPr="00E427C8" w:rsidRDefault="00E03B54" w:rsidP="00E03B54">
            <w:pPr>
              <w:spacing w:after="0" w:line="240" w:lineRule="auto"/>
              <w:jc w:val="center"/>
              <w:rPr>
                <w:b/>
                <w:sz w:val="24"/>
                <w:szCs w:val="24"/>
              </w:rPr>
            </w:pPr>
            <w:r w:rsidRPr="00E427C8">
              <w:rPr>
                <w:b/>
                <w:sz w:val="24"/>
                <w:szCs w:val="24"/>
              </w:rPr>
              <w:t>Rating</w:t>
            </w:r>
          </w:p>
        </w:tc>
        <w:tc>
          <w:tcPr>
            <w:tcW w:w="557"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003"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0" w:type="auto"/>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No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Challenge marginal significance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12</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Significant or material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18</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Very difficult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9</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Insurmountable challenge</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r>
      <w:tr w:rsidR="00E03B54" w:rsidRPr="000936BE" w:rsidTr="00E03B54">
        <w:trPr>
          <w:jc w:val="center"/>
        </w:trPr>
        <w:tc>
          <w:tcPr>
            <w:tcW w:w="0" w:type="auto"/>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Missing answer</w:t>
            </w:r>
          </w:p>
        </w:tc>
        <w:tc>
          <w:tcPr>
            <w:tcW w:w="557"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003"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0" w:type="auto"/>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11.4</w:t>
      </w:r>
      <w:r>
        <w:rPr>
          <w:rFonts w:ascii="Arial" w:hAnsi="Arial" w:cs="Arial"/>
          <w:sz w:val="24"/>
          <w:szCs w:val="24"/>
        </w:rPr>
        <w:tab/>
        <w:t xml:space="preserve">The most striking conclusion from Tables 11.1-11.11 is the </w:t>
      </w:r>
      <w:r w:rsidR="00E23CE0">
        <w:rPr>
          <w:rFonts w:ascii="Arial" w:hAnsi="Arial" w:cs="Arial"/>
          <w:sz w:val="24"/>
          <w:szCs w:val="24"/>
        </w:rPr>
        <w:t>level</w:t>
      </w:r>
      <w:r>
        <w:rPr>
          <w:rFonts w:ascii="Arial" w:hAnsi="Arial" w:cs="Arial"/>
          <w:sz w:val="24"/>
          <w:szCs w:val="24"/>
        </w:rPr>
        <w:t xml:space="preserve"> of optimism </w:t>
      </w:r>
      <w:r w:rsidR="00E23CE0">
        <w:rPr>
          <w:rFonts w:ascii="Arial" w:hAnsi="Arial" w:cs="Arial"/>
          <w:sz w:val="24"/>
          <w:szCs w:val="24"/>
        </w:rPr>
        <w:t xml:space="preserve">displayed by lecturers in the face of the many </w:t>
      </w:r>
      <w:r>
        <w:rPr>
          <w:rFonts w:ascii="Arial" w:hAnsi="Arial" w:cs="Arial"/>
          <w:sz w:val="24"/>
          <w:szCs w:val="24"/>
        </w:rPr>
        <w:t xml:space="preserve">challenges teaching EU Law </w:t>
      </w:r>
      <w:r w:rsidR="00E23CE0">
        <w:rPr>
          <w:rFonts w:ascii="Arial" w:hAnsi="Arial" w:cs="Arial"/>
          <w:sz w:val="24"/>
          <w:szCs w:val="24"/>
        </w:rPr>
        <w:t>presents</w:t>
      </w:r>
      <w:r>
        <w:rPr>
          <w:rFonts w:ascii="Arial" w:hAnsi="Arial" w:cs="Arial"/>
          <w:sz w:val="24"/>
          <w:szCs w:val="24"/>
        </w:rPr>
        <w:t>. It is notable that the numbers of insurmountable challenges were negligible whilst even though very difficult challenges figured significantly in 7 of the 11 categories, th</w:t>
      </w:r>
      <w:r w:rsidR="009915CE">
        <w:rPr>
          <w:rFonts w:ascii="Arial" w:hAnsi="Arial" w:cs="Arial"/>
          <w:sz w:val="24"/>
          <w:szCs w:val="24"/>
        </w:rPr>
        <w:t>ose categories were</w:t>
      </w:r>
      <w:r>
        <w:rPr>
          <w:rFonts w:ascii="Arial" w:hAnsi="Arial" w:cs="Arial"/>
          <w:sz w:val="24"/>
          <w:szCs w:val="24"/>
        </w:rPr>
        <w:t xml:space="preserve"> never led by it. Furthermore 35 institutions considered that ‘students resenting the need to do study EU Law’ was either of no challenge or of only marginal significance, a finding that we found </w:t>
      </w:r>
      <w:r w:rsidR="00E23CE0">
        <w:rPr>
          <w:rFonts w:ascii="Arial" w:hAnsi="Arial" w:cs="Arial"/>
          <w:sz w:val="24"/>
          <w:szCs w:val="24"/>
        </w:rPr>
        <w:t>counterintuitive</w:t>
      </w:r>
      <w:r>
        <w:rPr>
          <w:rFonts w:ascii="Arial" w:hAnsi="Arial" w:cs="Arial"/>
          <w:sz w:val="24"/>
          <w:szCs w:val="24"/>
        </w:rPr>
        <w:t xml:space="preserve">. Even more surprising, considering the </w:t>
      </w:r>
      <w:r w:rsidR="00E23CE0" w:rsidRPr="00CA61A8">
        <w:rPr>
          <w:rFonts w:ascii="Arial" w:hAnsi="Arial" w:cs="Arial"/>
          <w:sz w:val="24"/>
          <w:szCs w:val="24"/>
        </w:rPr>
        <w:t>high substantive</w:t>
      </w:r>
      <w:r w:rsidR="00E23CE0">
        <w:rPr>
          <w:rFonts w:ascii="Arial" w:hAnsi="Arial" w:cs="Arial"/>
          <w:sz w:val="24"/>
          <w:szCs w:val="24"/>
        </w:rPr>
        <w:t xml:space="preserve"> </w:t>
      </w:r>
      <w:r>
        <w:rPr>
          <w:rFonts w:ascii="Arial" w:hAnsi="Arial" w:cs="Arial"/>
          <w:sz w:val="24"/>
          <w:szCs w:val="24"/>
        </w:rPr>
        <w:t xml:space="preserve">economic </w:t>
      </w:r>
      <w:r w:rsidR="00E23CE0" w:rsidRPr="00CA61A8">
        <w:rPr>
          <w:rFonts w:ascii="Arial" w:hAnsi="Arial" w:cs="Arial"/>
          <w:sz w:val="24"/>
          <w:szCs w:val="24"/>
        </w:rPr>
        <w:t>content of information relating to the</w:t>
      </w:r>
      <w:r w:rsidR="00E23CE0">
        <w:rPr>
          <w:rFonts w:ascii="Arial" w:hAnsi="Arial" w:cs="Arial"/>
          <w:sz w:val="24"/>
          <w:szCs w:val="24"/>
        </w:rPr>
        <w:t xml:space="preserve"> </w:t>
      </w:r>
      <w:r>
        <w:rPr>
          <w:rFonts w:ascii="Arial" w:hAnsi="Arial" w:cs="Arial"/>
          <w:sz w:val="24"/>
          <w:szCs w:val="24"/>
        </w:rPr>
        <w:t xml:space="preserve">background and underpinning of EU Law, 44 institutions considered that </w:t>
      </w:r>
      <w:r w:rsidR="00E23CE0" w:rsidRPr="00CA61A8">
        <w:rPr>
          <w:rFonts w:ascii="Arial" w:hAnsi="Arial" w:cs="Arial"/>
          <w:sz w:val="24"/>
          <w:szCs w:val="24"/>
        </w:rPr>
        <w:t>students not possessing a full understanding of economics</w:t>
      </w:r>
      <w:r w:rsidR="00E23CE0">
        <w:rPr>
          <w:rFonts w:ascii="Arial" w:hAnsi="Arial" w:cs="Arial"/>
          <w:sz w:val="24"/>
          <w:szCs w:val="24"/>
        </w:rPr>
        <w:t xml:space="preserve"> </w:t>
      </w:r>
      <w:r>
        <w:rPr>
          <w:rFonts w:ascii="Arial" w:hAnsi="Arial" w:cs="Arial"/>
          <w:sz w:val="24"/>
          <w:szCs w:val="24"/>
        </w:rPr>
        <w:t xml:space="preserve">was either not a challenge or of only marginal significance </w:t>
      </w:r>
      <w:r w:rsidR="00FC080E" w:rsidRPr="00CA61A8">
        <w:rPr>
          <w:rFonts w:ascii="Arial" w:hAnsi="Arial" w:cs="Arial"/>
          <w:sz w:val="24"/>
          <w:szCs w:val="24"/>
        </w:rPr>
        <w:t>in affecting students ability to</w:t>
      </w:r>
      <w:r>
        <w:rPr>
          <w:rFonts w:ascii="Arial" w:hAnsi="Arial" w:cs="Arial"/>
          <w:sz w:val="24"/>
          <w:szCs w:val="24"/>
        </w:rPr>
        <w:t xml:space="preserve"> fully understand EU Law. </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11.5</w:t>
      </w:r>
      <w:r>
        <w:rPr>
          <w:rFonts w:ascii="Arial" w:hAnsi="Arial" w:cs="Arial"/>
          <w:sz w:val="24"/>
          <w:szCs w:val="24"/>
        </w:rPr>
        <w:tab/>
        <w:t xml:space="preserve">The most significant, material or very difficult challenges facing lecturers </w:t>
      </w:r>
      <w:r w:rsidR="00FC080E">
        <w:rPr>
          <w:rFonts w:ascii="Arial" w:hAnsi="Arial" w:cs="Arial"/>
          <w:sz w:val="24"/>
          <w:szCs w:val="24"/>
        </w:rPr>
        <w:t>highlighted by the survey include</w:t>
      </w:r>
      <w:r>
        <w:rPr>
          <w:rFonts w:ascii="Arial" w:hAnsi="Arial" w:cs="Arial"/>
          <w:sz w:val="24"/>
          <w:szCs w:val="24"/>
        </w:rPr>
        <w:t xml:space="preserve"> that students consider EU Law to be distant from their own experience and students perceive EU Law as a subject separate from all other core subjects. Other significant or very hard challenges include </w:t>
      </w:r>
      <w:r w:rsidR="00FC080E">
        <w:rPr>
          <w:rFonts w:ascii="Arial" w:hAnsi="Arial" w:cs="Arial"/>
          <w:sz w:val="24"/>
          <w:szCs w:val="24"/>
        </w:rPr>
        <w:t xml:space="preserve">students lacking </w:t>
      </w:r>
      <w:r>
        <w:rPr>
          <w:rFonts w:ascii="Arial" w:hAnsi="Arial" w:cs="Arial"/>
          <w:sz w:val="24"/>
          <w:szCs w:val="24"/>
        </w:rPr>
        <w:t xml:space="preserve">a necessary understanding of the historical and political contexts, the fact that the UK media are critical of the EU, the foreign nature of cases so that students forget them and the excessive technical detail. </w:t>
      </w:r>
    </w:p>
    <w:p w:rsidR="00E03B54" w:rsidRDefault="00E03B54" w:rsidP="00E03B54">
      <w:pPr>
        <w:spacing w:line="360" w:lineRule="auto"/>
        <w:jc w:val="both"/>
        <w:rPr>
          <w:rFonts w:ascii="Arial" w:hAnsi="Arial" w:cs="Arial"/>
          <w:sz w:val="24"/>
          <w:szCs w:val="24"/>
        </w:rPr>
      </w:pPr>
    </w:p>
    <w:p w:rsidR="00E93A74" w:rsidRDefault="00E03B54" w:rsidP="00E03B54">
      <w:pPr>
        <w:spacing w:line="360" w:lineRule="auto"/>
        <w:jc w:val="both"/>
        <w:rPr>
          <w:rFonts w:ascii="Arial" w:hAnsi="Arial" w:cs="Arial"/>
          <w:sz w:val="24"/>
          <w:szCs w:val="24"/>
        </w:rPr>
      </w:pPr>
      <w:r>
        <w:rPr>
          <w:rFonts w:ascii="Arial" w:hAnsi="Arial" w:cs="Arial"/>
          <w:sz w:val="24"/>
          <w:szCs w:val="24"/>
        </w:rPr>
        <w:t>11.6</w:t>
      </w:r>
      <w:r>
        <w:rPr>
          <w:rFonts w:ascii="Arial" w:hAnsi="Arial" w:cs="Arial"/>
          <w:sz w:val="24"/>
          <w:szCs w:val="24"/>
        </w:rPr>
        <w:tab/>
        <w:t>Several institutions provided alternative challenging factors to those listed in the survey that differed for providers of the LLB/QLD and CPE providers. For the former</w:t>
      </w:r>
      <w:r w:rsidR="00FC080E">
        <w:rPr>
          <w:rFonts w:ascii="Arial" w:hAnsi="Arial" w:cs="Arial"/>
          <w:sz w:val="24"/>
          <w:szCs w:val="24"/>
        </w:rPr>
        <w:t>,</w:t>
      </w:r>
      <w:r>
        <w:rPr>
          <w:rFonts w:ascii="Arial" w:hAnsi="Arial" w:cs="Arial"/>
          <w:sz w:val="24"/>
          <w:szCs w:val="24"/>
        </w:rPr>
        <w:t xml:space="preserve"> one institution suggested that “</w:t>
      </w:r>
      <w:r w:rsidRPr="00FD1730">
        <w:rPr>
          <w:rFonts w:ascii="Arial" w:hAnsi="Arial" w:cs="Arial"/>
          <w:sz w:val="24"/>
          <w:szCs w:val="24"/>
        </w:rPr>
        <w:t>You have to start by studying the institutions which is boring. Everything is novel – institutions, legal instruments, direct effect etc., but once they break into it, they enjoy it.</w:t>
      </w:r>
      <w:r>
        <w:rPr>
          <w:rFonts w:ascii="Arial" w:hAnsi="Arial" w:cs="Arial"/>
          <w:sz w:val="24"/>
          <w:szCs w:val="24"/>
        </w:rPr>
        <w:t>”</w:t>
      </w:r>
      <w:r w:rsidR="006356C5">
        <w:rPr>
          <w:rStyle w:val="FootnoteReference"/>
          <w:rFonts w:ascii="Arial" w:hAnsi="Arial" w:cs="Arial"/>
          <w:sz w:val="24"/>
          <w:szCs w:val="24"/>
        </w:rPr>
        <w:footnoteReference w:id="107"/>
      </w:r>
      <w:r>
        <w:rPr>
          <w:rFonts w:ascii="Arial" w:hAnsi="Arial" w:cs="Arial"/>
          <w:sz w:val="24"/>
          <w:szCs w:val="24"/>
        </w:rPr>
        <w:t xml:space="preserve"> Another institution noted that there was “a </w:t>
      </w:r>
      <w:r w:rsidRPr="00EB63A8">
        <w:rPr>
          <w:rFonts w:ascii="Arial" w:hAnsi="Arial" w:cs="Arial"/>
          <w:sz w:val="24"/>
          <w:szCs w:val="24"/>
        </w:rPr>
        <w:t>lack of student interest i</w:t>
      </w:r>
      <w:r>
        <w:rPr>
          <w:rFonts w:ascii="Arial" w:hAnsi="Arial" w:cs="Arial"/>
          <w:sz w:val="24"/>
          <w:szCs w:val="24"/>
        </w:rPr>
        <w:t>n current affairs/politics (EU L</w:t>
      </w:r>
      <w:r w:rsidRPr="00EB63A8">
        <w:rPr>
          <w:rFonts w:ascii="Arial" w:hAnsi="Arial" w:cs="Arial"/>
          <w:sz w:val="24"/>
          <w:szCs w:val="24"/>
        </w:rPr>
        <w:t>aw perceived as ‘political’)</w:t>
      </w:r>
      <w:r>
        <w:rPr>
          <w:rFonts w:ascii="Arial" w:hAnsi="Arial" w:cs="Arial"/>
          <w:sz w:val="24"/>
          <w:szCs w:val="24"/>
        </w:rPr>
        <w:t>”</w:t>
      </w:r>
      <w:r w:rsidR="006356C5">
        <w:rPr>
          <w:rStyle w:val="FootnoteReference"/>
          <w:rFonts w:ascii="Arial" w:hAnsi="Arial" w:cs="Arial"/>
          <w:sz w:val="24"/>
          <w:szCs w:val="24"/>
        </w:rPr>
        <w:footnoteReference w:id="108"/>
      </w:r>
      <w:r>
        <w:rPr>
          <w:rFonts w:ascii="Arial" w:hAnsi="Arial" w:cs="Arial"/>
          <w:sz w:val="24"/>
          <w:szCs w:val="24"/>
        </w:rPr>
        <w:t xml:space="preserve"> whilst another considered that the “</w:t>
      </w:r>
      <w:r w:rsidRPr="00EB63A8">
        <w:rPr>
          <w:rFonts w:ascii="Arial" w:hAnsi="Arial" w:cs="Arial"/>
          <w:sz w:val="24"/>
          <w:szCs w:val="24"/>
        </w:rPr>
        <w:t>fundamental problem is that the professional requirements lead to too much being crammed into a single course</w:t>
      </w:r>
      <w:r>
        <w:rPr>
          <w:rFonts w:ascii="Arial" w:hAnsi="Arial" w:cs="Arial"/>
          <w:sz w:val="24"/>
          <w:szCs w:val="24"/>
        </w:rPr>
        <w:t>”</w:t>
      </w:r>
      <w:r w:rsidR="006356C5">
        <w:rPr>
          <w:rStyle w:val="FootnoteReference"/>
          <w:rFonts w:ascii="Arial" w:hAnsi="Arial" w:cs="Arial"/>
          <w:sz w:val="24"/>
          <w:szCs w:val="24"/>
        </w:rPr>
        <w:footnoteReference w:id="109"/>
      </w:r>
      <w:r>
        <w:rPr>
          <w:rFonts w:ascii="Arial" w:hAnsi="Arial" w:cs="Arial"/>
          <w:sz w:val="24"/>
          <w:szCs w:val="24"/>
        </w:rPr>
        <w:t xml:space="preserve">. </w:t>
      </w:r>
      <w:r w:rsidR="00E93A74">
        <w:rPr>
          <w:rFonts w:ascii="Arial" w:hAnsi="Arial" w:cs="Arial"/>
          <w:sz w:val="24"/>
          <w:szCs w:val="24"/>
        </w:rPr>
        <w:lastRenderedPageBreak/>
        <w:t>This latter point was also supported by the comment over “the amount o</w:t>
      </w:r>
      <w:r w:rsidR="001E36CC">
        <w:rPr>
          <w:rFonts w:ascii="Arial" w:hAnsi="Arial" w:cs="Arial"/>
          <w:sz w:val="24"/>
          <w:szCs w:val="24"/>
        </w:rPr>
        <w:t>f</w:t>
      </w:r>
      <w:r w:rsidR="00E93A74">
        <w:rPr>
          <w:rFonts w:ascii="Arial" w:hAnsi="Arial" w:cs="Arial"/>
          <w:sz w:val="24"/>
          <w:szCs w:val="24"/>
        </w:rPr>
        <w:t xml:space="preserve"> reading required for this course”</w:t>
      </w:r>
      <w:r w:rsidR="00E93A74">
        <w:rPr>
          <w:rStyle w:val="FootnoteReference"/>
          <w:rFonts w:ascii="Arial" w:hAnsi="Arial" w:cs="Arial"/>
          <w:sz w:val="24"/>
          <w:szCs w:val="24"/>
        </w:rPr>
        <w:footnoteReference w:id="110"/>
      </w:r>
      <w:r w:rsidR="00E93A74">
        <w:rPr>
          <w:rFonts w:ascii="Arial" w:hAnsi="Arial" w:cs="Arial"/>
          <w:sz w:val="24"/>
          <w:szCs w:val="24"/>
        </w:rPr>
        <w:t xml:space="preserve">. </w:t>
      </w:r>
      <w:r w:rsidR="001E36CC">
        <w:rPr>
          <w:rFonts w:ascii="Arial" w:hAnsi="Arial" w:cs="Arial"/>
          <w:sz w:val="24"/>
          <w:szCs w:val="24"/>
        </w:rPr>
        <w:t xml:space="preserve">Finally the level at which the course was taught was considered important, with level 1 students only beginning to grasp common law concepts and </w:t>
      </w:r>
      <w:proofErr w:type="spellStart"/>
      <w:r w:rsidR="001E36CC">
        <w:rPr>
          <w:rFonts w:ascii="Arial" w:hAnsi="Arial" w:cs="Arial"/>
          <w:sz w:val="24"/>
          <w:szCs w:val="24"/>
        </w:rPr>
        <w:t>lawmaking</w:t>
      </w:r>
      <w:proofErr w:type="spellEnd"/>
      <w:r w:rsidR="001E36CC">
        <w:rPr>
          <w:rFonts w:ascii="Arial" w:hAnsi="Arial" w:cs="Arial"/>
          <w:sz w:val="24"/>
          <w:szCs w:val="24"/>
        </w:rPr>
        <w:t xml:space="preserve"> within the UK along with learning to read cases and legislation. When they were asked to learn an area of law with new concepts, principles and case law, this required different skills</w:t>
      </w:r>
      <w:r w:rsidR="001E36CC">
        <w:rPr>
          <w:rStyle w:val="FootnoteReference"/>
          <w:rFonts w:ascii="Arial" w:hAnsi="Arial" w:cs="Arial"/>
          <w:sz w:val="24"/>
          <w:szCs w:val="24"/>
        </w:rPr>
        <w:footnoteReference w:id="111"/>
      </w:r>
      <w:r w:rsidR="001E36CC">
        <w:rPr>
          <w:rFonts w:ascii="Arial" w:hAnsi="Arial" w:cs="Arial"/>
          <w:sz w:val="24"/>
          <w:szCs w:val="24"/>
        </w:rPr>
        <w:t>.</w:t>
      </w:r>
    </w:p>
    <w:p w:rsidR="00E93A74" w:rsidRDefault="00E93A7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For CPE providers there appeared to be a common thread with comments </w:t>
      </w:r>
      <w:r w:rsidR="00FC080E">
        <w:rPr>
          <w:rFonts w:ascii="Arial" w:hAnsi="Arial" w:cs="Arial"/>
          <w:sz w:val="24"/>
          <w:szCs w:val="24"/>
        </w:rPr>
        <w:t xml:space="preserve">including that </w:t>
      </w:r>
      <w:r>
        <w:rPr>
          <w:rFonts w:ascii="Arial" w:hAnsi="Arial" w:cs="Arial"/>
          <w:sz w:val="24"/>
          <w:szCs w:val="24"/>
        </w:rPr>
        <w:t>the “</w:t>
      </w:r>
      <w:r w:rsidRPr="00EB63A8">
        <w:rPr>
          <w:rFonts w:ascii="Arial" w:hAnsi="Arial" w:cs="Arial"/>
          <w:sz w:val="24"/>
          <w:szCs w:val="24"/>
        </w:rPr>
        <w:t>prin</w:t>
      </w:r>
      <w:r>
        <w:rPr>
          <w:rFonts w:ascii="Arial" w:hAnsi="Arial" w:cs="Arial"/>
          <w:sz w:val="24"/>
          <w:szCs w:val="24"/>
        </w:rPr>
        <w:t>cipal challenge of teaching EU L</w:t>
      </w:r>
      <w:r w:rsidRPr="00EB63A8">
        <w:rPr>
          <w:rFonts w:ascii="Arial" w:hAnsi="Arial" w:cs="Arial"/>
          <w:sz w:val="24"/>
          <w:szCs w:val="24"/>
        </w:rPr>
        <w:t xml:space="preserve">aw on the CPE at </w:t>
      </w:r>
      <w:r>
        <w:rPr>
          <w:rFonts w:ascii="Arial" w:hAnsi="Arial" w:cs="Arial"/>
          <w:sz w:val="24"/>
          <w:szCs w:val="24"/>
        </w:rPr>
        <w:t>X</w:t>
      </w:r>
      <w:r w:rsidRPr="00EB63A8">
        <w:rPr>
          <w:rFonts w:ascii="Arial" w:hAnsi="Arial" w:cs="Arial"/>
          <w:sz w:val="24"/>
          <w:szCs w:val="24"/>
        </w:rPr>
        <w:t xml:space="preserve"> is a lack of contact time with students</w:t>
      </w:r>
      <w:r>
        <w:rPr>
          <w:rFonts w:ascii="Arial" w:hAnsi="Arial" w:cs="Arial"/>
          <w:sz w:val="24"/>
          <w:szCs w:val="24"/>
        </w:rPr>
        <w:t>”</w:t>
      </w:r>
      <w:r w:rsidR="006356C5">
        <w:rPr>
          <w:rStyle w:val="FootnoteReference"/>
          <w:rFonts w:ascii="Arial" w:hAnsi="Arial" w:cs="Arial"/>
          <w:sz w:val="24"/>
          <w:szCs w:val="24"/>
        </w:rPr>
        <w:footnoteReference w:id="112"/>
      </w:r>
      <w:r>
        <w:rPr>
          <w:rFonts w:ascii="Arial" w:hAnsi="Arial" w:cs="Arial"/>
          <w:sz w:val="24"/>
          <w:szCs w:val="24"/>
        </w:rPr>
        <w:t>, the “</w:t>
      </w:r>
      <w:r w:rsidRPr="00EB63A8">
        <w:rPr>
          <w:rFonts w:ascii="Arial" w:hAnsi="Arial" w:cs="Arial"/>
          <w:sz w:val="24"/>
          <w:szCs w:val="24"/>
        </w:rPr>
        <w:t>amount of material in the subject if it is to be covered adequately</w:t>
      </w:r>
      <w:r>
        <w:rPr>
          <w:rFonts w:ascii="Arial" w:hAnsi="Arial" w:cs="Arial"/>
          <w:sz w:val="24"/>
          <w:szCs w:val="24"/>
        </w:rPr>
        <w:t>”</w:t>
      </w:r>
      <w:r w:rsidR="006356C5">
        <w:rPr>
          <w:rStyle w:val="FootnoteReference"/>
          <w:rFonts w:ascii="Arial" w:hAnsi="Arial" w:cs="Arial"/>
          <w:sz w:val="24"/>
          <w:szCs w:val="24"/>
        </w:rPr>
        <w:footnoteReference w:id="113"/>
      </w:r>
      <w:r>
        <w:rPr>
          <w:rFonts w:ascii="Arial" w:hAnsi="Arial" w:cs="Arial"/>
          <w:sz w:val="24"/>
          <w:szCs w:val="24"/>
        </w:rPr>
        <w:t xml:space="preserve"> and the “</w:t>
      </w:r>
      <w:r w:rsidRPr="00EB63A8">
        <w:rPr>
          <w:rFonts w:ascii="Arial" w:hAnsi="Arial" w:cs="Arial"/>
          <w:sz w:val="24"/>
          <w:szCs w:val="24"/>
        </w:rPr>
        <w:t>amount of reading required for this course</w:t>
      </w:r>
      <w:r>
        <w:rPr>
          <w:rFonts w:ascii="Arial" w:hAnsi="Arial" w:cs="Arial"/>
          <w:sz w:val="24"/>
          <w:szCs w:val="24"/>
        </w:rPr>
        <w:t>”</w:t>
      </w:r>
      <w:r w:rsidR="006356C5">
        <w:rPr>
          <w:rStyle w:val="FootnoteReference"/>
          <w:rFonts w:ascii="Arial" w:hAnsi="Arial" w:cs="Arial"/>
          <w:sz w:val="24"/>
          <w:szCs w:val="24"/>
        </w:rPr>
        <w:footnoteReference w:id="114"/>
      </w:r>
      <w:r>
        <w:rPr>
          <w:rFonts w:ascii="Arial" w:hAnsi="Arial" w:cs="Arial"/>
          <w:sz w:val="24"/>
          <w:szCs w:val="24"/>
        </w:rPr>
        <w:t xml:space="preserve">. One final comment </w:t>
      </w:r>
      <w:r w:rsidR="00FC080E">
        <w:rPr>
          <w:rFonts w:ascii="Arial" w:hAnsi="Arial" w:cs="Arial"/>
          <w:sz w:val="24"/>
          <w:szCs w:val="24"/>
        </w:rPr>
        <w:t xml:space="preserve">focussed on the manner in which judgments handed down by the ECJ were expressed, </w:t>
      </w:r>
      <w:r>
        <w:rPr>
          <w:rFonts w:ascii="Arial" w:hAnsi="Arial" w:cs="Arial"/>
          <w:sz w:val="24"/>
          <w:szCs w:val="24"/>
        </w:rPr>
        <w:t>with the “</w:t>
      </w:r>
      <w:r w:rsidRPr="00EB63A8">
        <w:rPr>
          <w:rFonts w:ascii="Arial" w:hAnsi="Arial" w:cs="Arial"/>
          <w:sz w:val="24"/>
          <w:szCs w:val="24"/>
        </w:rPr>
        <w:t>superficial style of European Court of Justice judgments (the Court’s preference for a declaratory style of adjudication, rather than a discursive one)</w:t>
      </w:r>
      <w:r>
        <w:rPr>
          <w:rFonts w:ascii="Arial" w:hAnsi="Arial" w:cs="Arial"/>
          <w:sz w:val="24"/>
          <w:szCs w:val="24"/>
        </w:rPr>
        <w:t>”</w:t>
      </w:r>
      <w:r w:rsidR="006356C5">
        <w:rPr>
          <w:rStyle w:val="FootnoteReference"/>
          <w:rFonts w:ascii="Arial" w:hAnsi="Arial" w:cs="Arial"/>
          <w:sz w:val="24"/>
          <w:szCs w:val="24"/>
        </w:rPr>
        <w:footnoteReference w:id="115"/>
      </w:r>
      <w:r>
        <w:rPr>
          <w:rFonts w:ascii="Arial" w:hAnsi="Arial" w:cs="Arial"/>
          <w:sz w:val="24"/>
          <w:szCs w:val="24"/>
        </w:rPr>
        <w:t xml:space="preserve"> considered to be a major challenging factor.</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11.7</w:t>
      </w:r>
      <w:r>
        <w:rPr>
          <w:rFonts w:ascii="Arial" w:hAnsi="Arial" w:cs="Arial"/>
          <w:sz w:val="24"/>
          <w:szCs w:val="24"/>
        </w:rPr>
        <w:tab/>
        <w:t xml:space="preserve">In addition to rating the factors above the institutions were asked to state whether they thought the challenges they identified were unique to EU law as a subject or not. </w:t>
      </w:r>
      <w:r w:rsidR="00E93A74">
        <w:rPr>
          <w:rFonts w:ascii="Arial" w:hAnsi="Arial" w:cs="Arial"/>
          <w:sz w:val="24"/>
          <w:szCs w:val="24"/>
        </w:rPr>
        <w:t>Approximately</w:t>
      </w:r>
      <w:r>
        <w:rPr>
          <w:rFonts w:ascii="Arial" w:hAnsi="Arial" w:cs="Arial"/>
          <w:sz w:val="24"/>
          <w:szCs w:val="24"/>
        </w:rPr>
        <w:t xml:space="preserve"> half of the institutions commented on this, with 1</w:t>
      </w:r>
      <w:r w:rsidR="00E93A74">
        <w:rPr>
          <w:rFonts w:ascii="Arial" w:hAnsi="Arial" w:cs="Arial"/>
          <w:sz w:val="24"/>
          <w:szCs w:val="24"/>
        </w:rPr>
        <w:t>7</w:t>
      </w:r>
      <w:r w:rsidR="006356C5">
        <w:rPr>
          <w:rStyle w:val="FootnoteReference"/>
          <w:rFonts w:ascii="Arial" w:hAnsi="Arial" w:cs="Arial"/>
          <w:sz w:val="24"/>
          <w:szCs w:val="24"/>
        </w:rPr>
        <w:footnoteReference w:id="116"/>
      </w:r>
      <w:r>
        <w:rPr>
          <w:rFonts w:ascii="Arial" w:hAnsi="Arial" w:cs="Arial"/>
          <w:sz w:val="24"/>
          <w:szCs w:val="24"/>
        </w:rPr>
        <w:t xml:space="preserve"> of the 37 QLD/CPE providers and 7</w:t>
      </w:r>
      <w:r w:rsidR="006356C5">
        <w:rPr>
          <w:rStyle w:val="FootnoteReference"/>
          <w:rFonts w:ascii="Arial" w:hAnsi="Arial" w:cs="Arial"/>
          <w:sz w:val="24"/>
          <w:szCs w:val="24"/>
        </w:rPr>
        <w:footnoteReference w:id="117"/>
      </w:r>
      <w:r>
        <w:rPr>
          <w:rFonts w:ascii="Arial" w:hAnsi="Arial" w:cs="Arial"/>
          <w:sz w:val="24"/>
          <w:szCs w:val="24"/>
        </w:rPr>
        <w:t xml:space="preserve"> of the 13 CPE providers</w:t>
      </w:r>
      <w:r w:rsidR="00FC080E">
        <w:rPr>
          <w:rFonts w:ascii="Arial" w:hAnsi="Arial" w:cs="Arial"/>
          <w:sz w:val="24"/>
          <w:szCs w:val="24"/>
        </w:rPr>
        <w:t xml:space="preserve"> responding</w:t>
      </w:r>
      <w:r>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p>
    <w:p w:rsidR="001E36CC" w:rsidRDefault="001E36CC" w:rsidP="00E03B54">
      <w:pPr>
        <w:spacing w:line="360" w:lineRule="auto"/>
        <w:jc w:val="center"/>
        <w:rPr>
          <w:rFonts w:ascii="Arial" w:hAnsi="Arial" w:cs="Arial"/>
          <w:sz w:val="24"/>
          <w:szCs w:val="24"/>
        </w:rPr>
      </w:pPr>
    </w:p>
    <w:p w:rsidR="001E36CC" w:rsidRDefault="001E36CC" w:rsidP="00E03B54">
      <w:pPr>
        <w:spacing w:line="360" w:lineRule="auto"/>
        <w:jc w:val="center"/>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11.12 – Factors unique to EU Law as a subject</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708"/>
        <w:gridCol w:w="1134"/>
        <w:gridCol w:w="851"/>
      </w:tblGrid>
      <w:tr w:rsidR="00E03B54" w:rsidRPr="000936BE" w:rsidTr="00E03B54">
        <w:tc>
          <w:tcPr>
            <w:tcW w:w="8081" w:type="dxa"/>
          </w:tcPr>
          <w:p w:rsidR="00E03B54" w:rsidRPr="00E427C8" w:rsidRDefault="00E03B54" w:rsidP="00E03B54">
            <w:pPr>
              <w:spacing w:after="0" w:line="240" w:lineRule="auto"/>
              <w:jc w:val="center"/>
              <w:rPr>
                <w:b/>
                <w:sz w:val="24"/>
                <w:szCs w:val="24"/>
              </w:rPr>
            </w:pPr>
            <w:r w:rsidRPr="00E427C8">
              <w:rPr>
                <w:b/>
                <w:sz w:val="24"/>
                <w:szCs w:val="24"/>
              </w:rPr>
              <w:t>Challenge</w:t>
            </w:r>
          </w:p>
        </w:tc>
        <w:tc>
          <w:tcPr>
            <w:tcW w:w="708" w:type="dxa"/>
          </w:tcPr>
          <w:p w:rsidR="00E03B54" w:rsidRPr="00E427C8" w:rsidRDefault="00E03B54" w:rsidP="00E03B54">
            <w:pPr>
              <w:spacing w:after="0" w:line="240" w:lineRule="auto"/>
              <w:jc w:val="center"/>
              <w:rPr>
                <w:b/>
                <w:sz w:val="24"/>
                <w:szCs w:val="24"/>
              </w:rPr>
            </w:pPr>
            <w:r w:rsidRPr="00E427C8">
              <w:rPr>
                <w:b/>
                <w:sz w:val="24"/>
                <w:szCs w:val="24"/>
              </w:rPr>
              <w:t>CPE</w:t>
            </w:r>
          </w:p>
        </w:tc>
        <w:tc>
          <w:tcPr>
            <w:tcW w:w="1134" w:type="dxa"/>
          </w:tcPr>
          <w:p w:rsidR="00E03B54" w:rsidRPr="00E427C8" w:rsidRDefault="00E03B54" w:rsidP="00E03B54">
            <w:pPr>
              <w:spacing w:after="0" w:line="240" w:lineRule="auto"/>
              <w:jc w:val="center"/>
              <w:rPr>
                <w:b/>
                <w:sz w:val="24"/>
                <w:szCs w:val="24"/>
              </w:rPr>
            </w:pPr>
            <w:r w:rsidRPr="00E427C8">
              <w:rPr>
                <w:b/>
                <w:sz w:val="24"/>
                <w:szCs w:val="24"/>
              </w:rPr>
              <w:t>LLB/QLD</w:t>
            </w:r>
          </w:p>
        </w:tc>
        <w:tc>
          <w:tcPr>
            <w:tcW w:w="851" w:type="dxa"/>
          </w:tcPr>
          <w:p w:rsidR="00E03B54" w:rsidRPr="00E427C8" w:rsidRDefault="00E03B54" w:rsidP="00E03B54">
            <w:pPr>
              <w:spacing w:after="0" w:line="240" w:lineRule="auto"/>
              <w:jc w:val="center"/>
              <w:rPr>
                <w:b/>
                <w:sz w:val="24"/>
                <w:szCs w:val="24"/>
              </w:rPr>
            </w:pPr>
            <w:r w:rsidRPr="00E427C8">
              <w:rPr>
                <w:b/>
                <w:sz w:val="24"/>
                <w:szCs w:val="24"/>
              </w:rPr>
              <w:t>Total</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Students find it difficult to understand civil law reasoning</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8</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Students resent having to study EU law</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3</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7</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The UK media are critical of the EU</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11</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16</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Students consider EU law to be distant from their own experience</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9</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11</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There is excessive technical detail</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 xml:space="preserve">To understand EU law fully </w:t>
            </w:r>
            <w:r>
              <w:rPr>
                <w:sz w:val="24"/>
                <w:szCs w:val="24"/>
              </w:rPr>
              <w:t xml:space="preserve">it </w:t>
            </w:r>
            <w:r w:rsidRPr="00E427C8">
              <w:rPr>
                <w:sz w:val="24"/>
                <w:szCs w:val="24"/>
              </w:rPr>
              <w:t>is necessary to understand historical &amp; political contexts</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To understand EU fully it is helpful to have an understanding of economics</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It is very difficult for teachers to keep up to date, given the bulk of the material</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Because of the breadth of the subject, it is difficult to select course material</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0</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Students cannot remember names of cases because they are foreign to them</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2</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4</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6</w:t>
            </w:r>
          </w:p>
        </w:tc>
      </w:tr>
      <w:tr w:rsidR="00E03B54" w:rsidRPr="000936BE" w:rsidTr="00E03B54">
        <w:tc>
          <w:tcPr>
            <w:tcW w:w="8081" w:type="dxa"/>
          </w:tcPr>
          <w:p w:rsidR="00E03B54" w:rsidRPr="00E427C8" w:rsidRDefault="00E03B54" w:rsidP="00E03B54">
            <w:pPr>
              <w:spacing w:after="0" w:line="240" w:lineRule="auto"/>
              <w:rPr>
                <w:sz w:val="24"/>
                <w:szCs w:val="24"/>
              </w:rPr>
            </w:pPr>
          </w:p>
          <w:p w:rsidR="00E03B54" w:rsidRPr="00E427C8" w:rsidRDefault="00E03B54" w:rsidP="00E03B54">
            <w:pPr>
              <w:spacing w:after="0" w:line="240" w:lineRule="auto"/>
              <w:rPr>
                <w:sz w:val="24"/>
                <w:szCs w:val="24"/>
              </w:rPr>
            </w:pPr>
            <w:r w:rsidRPr="00E427C8">
              <w:rPr>
                <w:sz w:val="24"/>
                <w:szCs w:val="24"/>
              </w:rPr>
              <w:t>Students perceive EU law as a subject separate from all other core subject</w:t>
            </w:r>
          </w:p>
        </w:tc>
        <w:tc>
          <w:tcPr>
            <w:tcW w:w="708"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1134"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5</w:t>
            </w:r>
          </w:p>
        </w:tc>
        <w:tc>
          <w:tcPr>
            <w:tcW w:w="851" w:type="dxa"/>
          </w:tcPr>
          <w:p w:rsidR="00E03B54" w:rsidRPr="00E427C8" w:rsidRDefault="00E03B54" w:rsidP="00E03B54">
            <w:pPr>
              <w:spacing w:after="0" w:line="240" w:lineRule="auto"/>
              <w:jc w:val="center"/>
              <w:rPr>
                <w:sz w:val="24"/>
                <w:szCs w:val="24"/>
              </w:rPr>
            </w:pPr>
          </w:p>
          <w:p w:rsidR="00E03B54" w:rsidRPr="00E427C8" w:rsidRDefault="00E03B54" w:rsidP="00E03B54">
            <w:pPr>
              <w:spacing w:after="0" w:line="240" w:lineRule="auto"/>
              <w:jc w:val="center"/>
              <w:rPr>
                <w:sz w:val="24"/>
                <w:szCs w:val="24"/>
              </w:rPr>
            </w:pPr>
            <w:r w:rsidRPr="00E427C8">
              <w:rPr>
                <w:sz w:val="24"/>
                <w:szCs w:val="24"/>
              </w:rPr>
              <w:t>10</w:t>
            </w:r>
          </w:p>
        </w:tc>
      </w:tr>
    </w:tbl>
    <w:p w:rsidR="00E03B54" w:rsidRDefault="00E03B54" w:rsidP="00E03B54">
      <w:pPr>
        <w:spacing w:line="360" w:lineRule="auto"/>
        <w:jc w:val="center"/>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11.8</w:t>
      </w:r>
      <w:r>
        <w:rPr>
          <w:rFonts w:ascii="Arial" w:hAnsi="Arial" w:cs="Arial"/>
          <w:sz w:val="24"/>
          <w:szCs w:val="24"/>
        </w:rPr>
        <w:tab/>
        <w:t>The three factors that were barely considered to be unique were all connected (</w:t>
      </w:r>
      <w:r w:rsidRPr="00E33965">
        <w:rPr>
          <w:rFonts w:ascii="Arial" w:hAnsi="Arial" w:cs="Arial"/>
          <w:sz w:val="24"/>
          <w:szCs w:val="24"/>
        </w:rPr>
        <w:t>excessive technical detail</w:t>
      </w:r>
      <w:r>
        <w:rPr>
          <w:rFonts w:ascii="Arial" w:hAnsi="Arial" w:cs="Arial"/>
          <w:sz w:val="24"/>
          <w:szCs w:val="24"/>
        </w:rPr>
        <w:t>, the bulk of the material makes it difficult for lecturers to keep up to date and the breadth of the subject makes it difficult to select course material). It can also be perceived that the two highest scoring challenges were also connected with the critical coverage of EU Law by the UK media possibly leading to students considering EU Law to be distant from their own experience.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11.9</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Some interesting conclusions can be drawn from the answers provided to this survey question.</w:t>
      </w:r>
    </w:p>
    <w:p w:rsidR="00E03B54" w:rsidRDefault="00E03B54" w:rsidP="00E03B54">
      <w:pPr>
        <w:pStyle w:val="ListParagraph"/>
        <w:numPr>
          <w:ilvl w:val="0"/>
          <w:numId w:val="23"/>
        </w:numPr>
        <w:spacing w:line="360" w:lineRule="auto"/>
        <w:jc w:val="both"/>
        <w:rPr>
          <w:rFonts w:ascii="Arial" w:hAnsi="Arial" w:cs="Arial"/>
          <w:sz w:val="24"/>
          <w:szCs w:val="24"/>
        </w:rPr>
      </w:pPr>
      <w:r>
        <w:rPr>
          <w:rFonts w:ascii="Arial" w:hAnsi="Arial" w:cs="Arial"/>
          <w:sz w:val="24"/>
          <w:szCs w:val="24"/>
        </w:rPr>
        <w:t>Lecturers are optimistic over the challenges facing teaching EU Law.</w:t>
      </w:r>
    </w:p>
    <w:p w:rsidR="00E03B54" w:rsidRDefault="00E03B54" w:rsidP="00E03B54">
      <w:pPr>
        <w:pStyle w:val="ListParagraph"/>
        <w:numPr>
          <w:ilvl w:val="0"/>
          <w:numId w:val="23"/>
        </w:numPr>
        <w:spacing w:line="360" w:lineRule="auto"/>
        <w:jc w:val="both"/>
        <w:rPr>
          <w:rFonts w:ascii="Arial" w:hAnsi="Arial" w:cs="Arial"/>
          <w:sz w:val="24"/>
          <w:szCs w:val="24"/>
        </w:rPr>
      </w:pPr>
      <w:r>
        <w:rPr>
          <w:rFonts w:ascii="Arial" w:hAnsi="Arial" w:cs="Arial"/>
          <w:sz w:val="24"/>
          <w:szCs w:val="24"/>
        </w:rPr>
        <w:t>The most difficult challenges facing lecturers teaching EU Law are students considering EU Law as being distant from their own experiences and perceiving EU Law as a subject separate from all other core subjects.</w:t>
      </w:r>
    </w:p>
    <w:p w:rsidR="00E03B54" w:rsidRPr="00A40645" w:rsidRDefault="00E03B54" w:rsidP="00E03B54">
      <w:pPr>
        <w:pStyle w:val="ListParagraph"/>
        <w:numPr>
          <w:ilvl w:val="0"/>
          <w:numId w:val="23"/>
        </w:numPr>
        <w:spacing w:line="360" w:lineRule="auto"/>
        <w:jc w:val="both"/>
        <w:rPr>
          <w:rFonts w:ascii="Arial" w:hAnsi="Arial" w:cs="Arial"/>
          <w:sz w:val="24"/>
          <w:szCs w:val="24"/>
        </w:rPr>
      </w:pPr>
      <w:r>
        <w:rPr>
          <w:rFonts w:ascii="Arial" w:hAnsi="Arial" w:cs="Arial"/>
          <w:sz w:val="24"/>
          <w:szCs w:val="24"/>
        </w:rPr>
        <w:t>The most unique difficulties associated with teaching EU Law are the critical coverage of EU Law by the UK media and students considering EU Law to be distant from their own experience.</w:t>
      </w:r>
    </w:p>
    <w:p w:rsidR="00E03B54" w:rsidRDefault="00E03B54" w:rsidP="00E03B54">
      <w:pPr>
        <w:spacing w:line="360" w:lineRule="auto"/>
        <w:jc w:val="both"/>
        <w:rPr>
          <w:rFonts w:ascii="Arial" w:hAnsi="Arial" w:cs="Arial"/>
          <w:b/>
          <w:sz w:val="28"/>
          <w:szCs w:val="28"/>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12.</w:t>
      </w:r>
      <w:r>
        <w:rPr>
          <w:rFonts w:ascii="Arial" w:hAnsi="Arial" w:cs="Arial"/>
          <w:b/>
          <w:sz w:val="28"/>
          <w:szCs w:val="28"/>
        </w:rPr>
        <w:tab/>
        <w:t>Assessment Methods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12.1</w:t>
      </w:r>
      <w:r>
        <w:rPr>
          <w:rFonts w:ascii="Arial" w:hAnsi="Arial" w:cs="Arial"/>
          <w:sz w:val="24"/>
          <w:szCs w:val="24"/>
        </w:rPr>
        <w:tab/>
        <w:t xml:space="preserve">The team, although more interested in the methods utilised by institutions for learning and teaching, were particularly aware of the importance of assessment, be that substantive or formative. As such two avenues of inquiry were considered: </w:t>
      </w:r>
      <w:r w:rsidR="00FC080E">
        <w:rPr>
          <w:rFonts w:ascii="Arial" w:hAnsi="Arial" w:cs="Arial"/>
          <w:sz w:val="24"/>
          <w:szCs w:val="24"/>
        </w:rPr>
        <w:t xml:space="preserve">the first, </w:t>
      </w:r>
      <w:r>
        <w:rPr>
          <w:rFonts w:ascii="Arial" w:hAnsi="Arial" w:cs="Arial"/>
          <w:sz w:val="24"/>
          <w:szCs w:val="24"/>
        </w:rPr>
        <w:t xml:space="preserve">to analyse the forms of summative assessment used; and, </w:t>
      </w:r>
      <w:r w:rsidR="00FC080E">
        <w:rPr>
          <w:rFonts w:ascii="Arial" w:hAnsi="Arial" w:cs="Arial"/>
          <w:sz w:val="24"/>
          <w:szCs w:val="24"/>
        </w:rPr>
        <w:t xml:space="preserve">the second, </w:t>
      </w:r>
      <w:r>
        <w:rPr>
          <w:rFonts w:ascii="Arial" w:hAnsi="Arial" w:cs="Arial"/>
          <w:sz w:val="24"/>
          <w:szCs w:val="24"/>
        </w:rPr>
        <w:t xml:space="preserve">to </w:t>
      </w:r>
      <w:r w:rsidR="00FC080E">
        <w:rPr>
          <w:rFonts w:ascii="Arial" w:hAnsi="Arial" w:cs="Arial"/>
          <w:sz w:val="24"/>
          <w:szCs w:val="24"/>
        </w:rPr>
        <w:t>investigate whether formative assessment was employed and if it was, to evaluate the form that it took.</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12.2</w:t>
      </w:r>
      <w:r>
        <w:rPr>
          <w:rFonts w:ascii="Arial" w:hAnsi="Arial" w:cs="Arial"/>
          <w:sz w:val="24"/>
          <w:szCs w:val="24"/>
        </w:rPr>
        <w:tab/>
        <w:t>Summative Assessment</w:t>
      </w:r>
    </w:p>
    <w:p w:rsidR="00ED10B3" w:rsidRDefault="00ED10B3" w:rsidP="00E03B54">
      <w:pPr>
        <w:spacing w:line="360" w:lineRule="auto"/>
        <w:jc w:val="both"/>
        <w:rPr>
          <w:rFonts w:ascii="Arial" w:hAnsi="Arial" w:cs="Arial"/>
          <w:sz w:val="24"/>
          <w:szCs w:val="24"/>
        </w:rPr>
      </w:pPr>
    </w:p>
    <w:p w:rsidR="00E03B54" w:rsidRDefault="00E03B54" w:rsidP="00E03B54">
      <w:pPr>
        <w:spacing w:line="360" w:lineRule="auto"/>
        <w:jc w:val="center"/>
        <w:rPr>
          <w:rFonts w:ascii="Arial" w:hAnsi="Arial" w:cs="Arial"/>
          <w:sz w:val="24"/>
          <w:szCs w:val="24"/>
        </w:rPr>
      </w:pPr>
      <w:r>
        <w:rPr>
          <w:rFonts w:ascii="Arial" w:hAnsi="Arial" w:cs="Arial"/>
          <w:sz w:val="24"/>
          <w:szCs w:val="24"/>
        </w:rPr>
        <w:t>Table 12.1 – Methods Employed for Summative Assessment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3"/>
        <w:gridCol w:w="588"/>
        <w:gridCol w:w="1075"/>
        <w:gridCol w:w="725"/>
      </w:tblGrid>
      <w:tr w:rsidR="00E03B54" w:rsidRPr="000936BE" w:rsidTr="00E03B54">
        <w:trPr>
          <w:jc w:val="center"/>
        </w:trPr>
        <w:tc>
          <w:tcPr>
            <w:tcW w:w="0" w:type="auto"/>
          </w:tcPr>
          <w:p w:rsidR="00E03B54" w:rsidRPr="006127A1" w:rsidRDefault="00E03B54" w:rsidP="00E03B54">
            <w:pPr>
              <w:spacing w:after="0" w:line="240" w:lineRule="auto"/>
              <w:jc w:val="center"/>
              <w:rPr>
                <w:b/>
                <w:sz w:val="24"/>
                <w:szCs w:val="24"/>
              </w:rPr>
            </w:pPr>
            <w:r w:rsidRPr="006127A1">
              <w:rPr>
                <w:b/>
                <w:sz w:val="24"/>
                <w:szCs w:val="24"/>
              </w:rPr>
              <w:t>Assessment Method</w:t>
            </w:r>
          </w:p>
        </w:tc>
        <w:tc>
          <w:tcPr>
            <w:tcW w:w="0" w:type="auto"/>
          </w:tcPr>
          <w:p w:rsidR="00E03B54" w:rsidRPr="006127A1" w:rsidRDefault="00E03B54" w:rsidP="00E03B54">
            <w:pPr>
              <w:spacing w:after="0" w:line="240" w:lineRule="auto"/>
              <w:jc w:val="center"/>
              <w:rPr>
                <w:b/>
                <w:sz w:val="24"/>
                <w:szCs w:val="24"/>
              </w:rPr>
            </w:pPr>
            <w:r w:rsidRPr="006127A1">
              <w:rPr>
                <w:b/>
                <w:sz w:val="24"/>
                <w:szCs w:val="24"/>
              </w:rPr>
              <w:t>CPE</w:t>
            </w:r>
          </w:p>
        </w:tc>
        <w:tc>
          <w:tcPr>
            <w:tcW w:w="0" w:type="auto"/>
          </w:tcPr>
          <w:p w:rsidR="00E03B54" w:rsidRPr="006127A1" w:rsidRDefault="00E03B54" w:rsidP="00E03B54">
            <w:pPr>
              <w:spacing w:after="0" w:line="240" w:lineRule="auto"/>
              <w:jc w:val="center"/>
              <w:rPr>
                <w:b/>
                <w:sz w:val="24"/>
                <w:szCs w:val="24"/>
              </w:rPr>
            </w:pPr>
            <w:r w:rsidRPr="006127A1">
              <w:rPr>
                <w:b/>
                <w:sz w:val="24"/>
                <w:szCs w:val="24"/>
              </w:rPr>
              <w:t>LLB/QLD</w:t>
            </w:r>
          </w:p>
        </w:tc>
        <w:tc>
          <w:tcPr>
            <w:tcW w:w="236" w:type="dxa"/>
          </w:tcPr>
          <w:p w:rsidR="00E03B54" w:rsidRPr="006127A1" w:rsidRDefault="00E03B54" w:rsidP="00E03B54">
            <w:pPr>
              <w:spacing w:after="0" w:line="240" w:lineRule="auto"/>
              <w:jc w:val="center"/>
              <w:rPr>
                <w:b/>
                <w:sz w:val="24"/>
                <w:szCs w:val="24"/>
              </w:rPr>
            </w:pPr>
            <w:r w:rsidRPr="006127A1">
              <w:rPr>
                <w:b/>
                <w:sz w:val="24"/>
                <w:szCs w:val="24"/>
              </w:rPr>
              <w:t>Total</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Formal examinations – essay questions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11</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35</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46</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Formal examinations – problem questions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13</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43</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Coursework essays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9</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24</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33</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Coursework problem questions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7</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18</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25</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Dissertation</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Oral Presentation</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Reflective Logs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Portfolio/Progress File</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Groupwork</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5</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Computer-Based assessment</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Multiple Choice questions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5</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Peer assessment</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Library based projects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2</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Reports from clinical/practice based activities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Poster presentations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proofErr w:type="spellStart"/>
            <w:r w:rsidRPr="006127A1">
              <w:rPr>
                <w:sz w:val="24"/>
                <w:szCs w:val="24"/>
              </w:rPr>
              <w:t>Self assessment</w:t>
            </w:r>
            <w:proofErr w:type="spellEnd"/>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Seminar preparation/notes/reports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3</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6</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Skills-based activities (e.g. negotiation)</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r>
      <w:tr w:rsidR="00E03B54" w:rsidRPr="000936BE" w:rsidTr="00E03B54">
        <w:trPr>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Mooting</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r>
      <w:tr w:rsidR="00E03B54" w:rsidRPr="000936BE" w:rsidTr="00E03B54">
        <w:trPr>
          <w:trHeight w:val="514"/>
          <w:jc w:val="center"/>
        </w:trPr>
        <w:tc>
          <w:tcPr>
            <w:tcW w:w="0" w:type="auto"/>
          </w:tcPr>
          <w:p w:rsidR="00E03B54" w:rsidRPr="006127A1" w:rsidRDefault="00E03B54" w:rsidP="00E03B54">
            <w:pPr>
              <w:spacing w:after="0" w:line="240" w:lineRule="auto"/>
              <w:rPr>
                <w:sz w:val="24"/>
                <w:szCs w:val="24"/>
              </w:rPr>
            </w:pPr>
          </w:p>
          <w:p w:rsidR="00E03B54" w:rsidRPr="006127A1" w:rsidRDefault="00E03B54" w:rsidP="00E03B54">
            <w:pPr>
              <w:spacing w:after="0" w:line="240" w:lineRule="auto"/>
              <w:rPr>
                <w:sz w:val="24"/>
                <w:szCs w:val="24"/>
              </w:rPr>
            </w:pPr>
            <w:r w:rsidRPr="006127A1">
              <w:rPr>
                <w:sz w:val="24"/>
                <w:szCs w:val="24"/>
              </w:rPr>
              <w:t>Other (contribution to seminars)</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0</w:t>
            </w:r>
          </w:p>
        </w:tc>
        <w:tc>
          <w:tcPr>
            <w:tcW w:w="0" w:type="auto"/>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c>
          <w:tcPr>
            <w:tcW w:w="236" w:type="dxa"/>
          </w:tcPr>
          <w:p w:rsidR="00E03B54" w:rsidRPr="006127A1" w:rsidRDefault="00E03B54" w:rsidP="00E03B54">
            <w:pPr>
              <w:spacing w:after="0" w:line="240" w:lineRule="auto"/>
              <w:jc w:val="center"/>
              <w:rPr>
                <w:sz w:val="24"/>
                <w:szCs w:val="24"/>
              </w:rPr>
            </w:pPr>
          </w:p>
          <w:p w:rsidR="00E03B54" w:rsidRPr="006127A1" w:rsidRDefault="00E03B54" w:rsidP="00E03B54">
            <w:pPr>
              <w:spacing w:after="0" w:line="240" w:lineRule="auto"/>
              <w:jc w:val="center"/>
              <w:rPr>
                <w:sz w:val="24"/>
                <w:szCs w:val="24"/>
              </w:rPr>
            </w:pPr>
            <w:r w:rsidRPr="006127A1">
              <w:rPr>
                <w:sz w:val="24"/>
                <w:szCs w:val="24"/>
              </w:rPr>
              <w:t>1</w:t>
            </w:r>
          </w:p>
        </w:tc>
      </w:tr>
    </w:tbl>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The resounding answer to the question on the form of summative assessment </w:t>
      </w:r>
      <w:r w:rsidR="00ED10B3">
        <w:rPr>
          <w:rFonts w:ascii="Arial" w:hAnsi="Arial" w:cs="Arial"/>
          <w:sz w:val="24"/>
          <w:szCs w:val="24"/>
        </w:rPr>
        <w:t xml:space="preserve">as demonstrated in Table 12.1 </w:t>
      </w:r>
      <w:r>
        <w:rPr>
          <w:rFonts w:ascii="Arial" w:hAnsi="Arial" w:cs="Arial"/>
          <w:sz w:val="24"/>
          <w:szCs w:val="24"/>
        </w:rPr>
        <w:t>is that EU Law lecturers appear to be highly conservative in their utilisation of more inno</w:t>
      </w:r>
      <w:r w:rsidR="00FC080E">
        <w:rPr>
          <w:rFonts w:ascii="Arial" w:hAnsi="Arial" w:cs="Arial"/>
          <w:sz w:val="24"/>
          <w:szCs w:val="24"/>
        </w:rPr>
        <w:t>vative forms of assessment. This assertion</w:t>
      </w:r>
      <w:r>
        <w:rPr>
          <w:rFonts w:ascii="Arial" w:hAnsi="Arial" w:cs="Arial"/>
          <w:sz w:val="24"/>
          <w:szCs w:val="24"/>
        </w:rPr>
        <w:t xml:space="preserve"> holds true for both QLD/CPE and CPE providers</w:t>
      </w:r>
      <w:r w:rsidR="00ED10B3">
        <w:rPr>
          <w:rFonts w:ascii="Arial" w:hAnsi="Arial" w:cs="Arial"/>
          <w:sz w:val="24"/>
          <w:szCs w:val="24"/>
        </w:rPr>
        <w:t>, as shown by Chart 12.1</w:t>
      </w:r>
      <w:r>
        <w:rPr>
          <w:rFonts w:ascii="Arial" w:hAnsi="Arial" w:cs="Arial"/>
          <w:sz w:val="24"/>
          <w:szCs w:val="24"/>
        </w:rPr>
        <w:t>. The predominant forms of assessment are formal examination essay and problem questions and coursework also involving essay and problem questions.</w:t>
      </w:r>
    </w:p>
    <w:p w:rsidR="00E03B54" w:rsidRDefault="00E03B54" w:rsidP="00E03B54">
      <w:pPr>
        <w:spacing w:line="360" w:lineRule="auto"/>
        <w:jc w:val="both"/>
        <w:rPr>
          <w:rFonts w:ascii="Arial" w:hAnsi="Arial" w:cs="Arial"/>
          <w:sz w:val="24"/>
          <w:szCs w:val="24"/>
        </w:rPr>
      </w:pPr>
    </w:p>
    <w:p w:rsidR="00ED10B3" w:rsidRDefault="00ED10B3" w:rsidP="00E03B54">
      <w:pPr>
        <w:spacing w:line="360" w:lineRule="auto"/>
        <w:jc w:val="both"/>
        <w:rPr>
          <w:rFonts w:ascii="Arial" w:hAnsi="Arial" w:cs="Arial"/>
          <w:sz w:val="24"/>
          <w:szCs w:val="24"/>
        </w:rPr>
        <w:sectPr w:rsidR="00ED10B3" w:rsidSect="001F48FD">
          <w:pgSz w:w="11906" w:h="16838" w:code="9"/>
          <w:pgMar w:top="1440" w:right="1440" w:bottom="1440" w:left="1440" w:header="709" w:footer="709" w:gutter="0"/>
          <w:cols w:space="708"/>
          <w:docGrid w:linePitch="360"/>
        </w:sectPr>
      </w:pPr>
    </w:p>
    <w:p w:rsidR="00E03B54" w:rsidRDefault="00ED10B3" w:rsidP="00E03B54">
      <w:pPr>
        <w:spacing w:line="360" w:lineRule="auto"/>
        <w:jc w:val="both"/>
        <w:rPr>
          <w:rFonts w:ascii="Arial" w:hAnsi="Arial" w:cs="Arial"/>
          <w:sz w:val="24"/>
          <w:szCs w:val="24"/>
        </w:rPr>
      </w:pPr>
      <w:r w:rsidRPr="00ED10B3">
        <w:rPr>
          <w:rFonts w:ascii="Arial" w:hAnsi="Arial" w:cs="Arial"/>
          <w:noProof/>
          <w:sz w:val="24"/>
          <w:szCs w:val="24"/>
          <w:lang w:eastAsia="en-GB"/>
        </w:rPr>
        <w:lastRenderedPageBreak/>
        <w:drawing>
          <wp:inline distT="0" distB="0" distL="0" distR="0">
            <wp:extent cx="9096375" cy="5934075"/>
            <wp:effectExtent l="0" t="0" r="0" b="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10B3" w:rsidRDefault="00ED10B3" w:rsidP="00E03B54">
      <w:pPr>
        <w:spacing w:line="360" w:lineRule="auto"/>
        <w:jc w:val="both"/>
        <w:rPr>
          <w:rFonts w:ascii="Arial" w:hAnsi="Arial" w:cs="Arial"/>
          <w:sz w:val="24"/>
          <w:szCs w:val="24"/>
        </w:rPr>
        <w:sectPr w:rsidR="00ED10B3" w:rsidSect="00ED10B3">
          <w:pgSz w:w="16838" w:h="11906" w:orient="landscape" w:code="9"/>
          <w:pgMar w:top="1440" w:right="1440" w:bottom="1440" w:left="1440" w:header="709" w:footer="709" w:gutter="0"/>
          <w:cols w:space="708"/>
          <w:docGrid w:linePitch="360"/>
        </w:sect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12.3</w:t>
      </w:r>
      <w:r>
        <w:rPr>
          <w:rFonts w:ascii="Arial" w:hAnsi="Arial" w:cs="Arial"/>
          <w:sz w:val="24"/>
          <w:szCs w:val="24"/>
        </w:rPr>
        <w:tab/>
        <w:t>Formative Assessment</w:t>
      </w:r>
    </w:p>
    <w:p w:rsidR="00E03B54" w:rsidRDefault="00E03B54" w:rsidP="00E03B54">
      <w:pPr>
        <w:spacing w:line="360" w:lineRule="auto"/>
        <w:jc w:val="both"/>
        <w:rPr>
          <w:rFonts w:ascii="Arial" w:hAnsi="Arial" w:cs="Arial"/>
          <w:sz w:val="24"/>
          <w:szCs w:val="24"/>
        </w:rPr>
      </w:pPr>
    </w:p>
    <w:p w:rsidR="00EC5FED" w:rsidRDefault="00E03B54" w:rsidP="00E03B54">
      <w:pPr>
        <w:spacing w:line="360" w:lineRule="auto"/>
        <w:jc w:val="both"/>
        <w:rPr>
          <w:rFonts w:ascii="Arial" w:hAnsi="Arial" w:cs="Arial"/>
          <w:sz w:val="24"/>
          <w:szCs w:val="24"/>
        </w:rPr>
      </w:pPr>
      <w:r>
        <w:rPr>
          <w:rFonts w:ascii="Arial" w:hAnsi="Arial" w:cs="Arial"/>
          <w:sz w:val="24"/>
          <w:szCs w:val="24"/>
        </w:rPr>
        <w:t>Institutions used a variety of methods of formative or informal assessment to provide evaluative feedback and assessment of student performance. However, the results were patchy and difficult to tabulate with universities tending to us</w:t>
      </w:r>
      <w:r w:rsidR="00EC5FED">
        <w:rPr>
          <w:rFonts w:ascii="Arial" w:hAnsi="Arial" w:cs="Arial"/>
          <w:sz w:val="24"/>
          <w:szCs w:val="24"/>
        </w:rPr>
        <w:t>e multiple methods. Of the 24</w:t>
      </w:r>
      <w:r>
        <w:rPr>
          <w:rFonts w:ascii="Arial" w:hAnsi="Arial" w:cs="Arial"/>
          <w:sz w:val="24"/>
          <w:szCs w:val="24"/>
        </w:rPr>
        <w:t xml:space="preserve"> LLB/QLD institutions</w:t>
      </w:r>
      <w:r w:rsidR="00573BBF">
        <w:rPr>
          <w:rStyle w:val="FootnoteReference"/>
          <w:rFonts w:ascii="Arial" w:hAnsi="Arial" w:cs="Arial"/>
          <w:sz w:val="24"/>
          <w:szCs w:val="24"/>
        </w:rPr>
        <w:footnoteReference w:id="118"/>
      </w:r>
      <w:r>
        <w:rPr>
          <w:rFonts w:ascii="Arial" w:hAnsi="Arial" w:cs="Arial"/>
          <w:sz w:val="24"/>
          <w:szCs w:val="24"/>
        </w:rPr>
        <w:t xml:space="preserve"> that</w:t>
      </w:r>
      <w:r w:rsidR="00EC5FED">
        <w:rPr>
          <w:rFonts w:ascii="Arial" w:hAnsi="Arial" w:cs="Arial"/>
          <w:sz w:val="24"/>
          <w:szCs w:val="24"/>
        </w:rPr>
        <w:t xml:space="preserve"> provided a return in this area:</w:t>
      </w:r>
      <w:r>
        <w:rPr>
          <w:rFonts w:ascii="Arial" w:hAnsi="Arial" w:cs="Arial"/>
          <w:sz w:val="24"/>
          <w:szCs w:val="24"/>
        </w:rPr>
        <w:t xml:space="preserve"> </w:t>
      </w:r>
      <w:r w:rsidR="00EC5FED">
        <w:rPr>
          <w:rFonts w:ascii="Arial" w:hAnsi="Arial" w:cs="Arial"/>
          <w:sz w:val="24"/>
          <w:szCs w:val="24"/>
        </w:rPr>
        <w:t>11</w:t>
      </w:r>
      <w:r>
        <w:rPr>
          <w:rFonts w:ascii="Arial" w:hAnsi="Arial" w:cs="Arial"/>
          <w:sz w:val="24"/>
          <w:szCs w:val="24"/>
        </w:rPr>
        <w:t xml:space="preserve"> institutions set coursework essay questions</w:t>
      </w:r>
      <w:r w:rsidR="00EC5FED">
        <w:rPr>
          <w:rFonts w:ascii="Arial" w:hAnsi="Arial" w:cs="Arial"/>
          <w:sz w:val="24"/>
          <w:szCs w:val="24"/>
        </w:rPr>
        <w:t>; 10 set coursework problem questions; 5</w:t>
      </w:r>
      <w:r>
        <w:rPr>
          <w:rFonts w:ascii="Arial" w:hAnsi="Arial" w:cs="Arial"/>
          <w:sz w:val="24"/>
          <w:szCs w:val="24"/>
        </w:rPr>
        <w:t xml:space="preserve"> provided a bank of multiple choice questions</w:t>
      </w:r>
      <w:r w:rsidR="00EC5FED">
        <w:rPr>
          <w:rFonts w:ascii="Arial" w:hAnsi="Arial" w:cs="Arial"/>
          <w:sz w:val="24"/>
          <w:szCs w:val="24"/>
        </w:rPr>
        <w:t>; 4 required the submission of seminar preparation;</w:t>
      </w:r>
      <w:r>
        <w:rPr>
          <w:rFonts w:ascii="Arial" w:hAnsi="Arial" w:cs="Arial"/>
          <w:sz w:val="24"/>
          <w:szCs w:val="24"/>
        </w:rPr>
        <w:t xml:space="preserve"> </w:t>
      </w:r>
      <w:r w:rsidR="00EC5FED">
        <w:rPr>
          <w:rFonts w:ascii="Arial" w:hAnsi="Arial" w:cs="Arial"/>
          <w:sz w:val="24"/>
          <w:szCs w:val="24"/>
        </w:rPr>
        <w:t>3</w:t>
      </w:r>
      <w:r>
        <w:rPr>
          <w:rFonts w:ascii="Arial" w:hAnsi="Arial" w:cs="Arial"/>
          <w:sz w:val="24"/>
          <w:szCs w:val="24"/>
        </w:rPr>
        <w:t xml:space="preserve"> universities used </w:t>
      </w:r>
      <w:r w:rsidR="002C0462">
        <w:rPr>
          <w:rFonts w:ascii="Arial" w:hAnsi="Arial" w:cs="Arial"/>
          <w:sz w:val="24"/>
          <w:szCs w:val="24"/>
        </w:rPr>
        <w:t>oral presentations, group</w:t>
      </w:r>
      <w:r>
        <w:rPr>
          <w:rFonts w:ascii="Arial" w:hAnsi="Arial" w:cs="Arial"/>
          <w:sz w:val="24"/>
          <w:szCs w:val="24"/>
        </w:rPr>
        <w:t>work</w:t>
      </w:r>
      <w:r w:rsidR="002C0462">
        <w:rPr>
          <w:rFonts w:ascii="Arial" w:hAnsi="Arial" w:cs="Arial"/>
          <w:sz w:val="24"/>
          <w:szCs w:val="24"/>
        </w:rPr>
        <w:t xml:space="preserve"> and self-assessment; and, 2 employed skills based activities and peer assessment in seminars</w:t>
      </w:r>
      <w:r>
        <w:rPr>
          <w:rFonts w:ascii="Arial" w:hAnsi="Arial" w:cs="Arial"/>
          <w:sz w:val="24"/>
          <w:szCs w:val="24"/>
        </w:rPr>
        <w:t xml:space="preserve">. </w:t>
      </w:r>
      <w:r w:rsidR="002C0462">
        <w:rPr>
          <w:rFonts w:ascii="Arial" w:hAnsi="Arial" w:cs="Arial"/>
          <w:sz w:val="24"/>
          <w:szCs w:val="24"/>
        </w:rPr>
        <w:t>One institution set</w:t>
      </w:r>
      <w:r>
        <w:rPr>
          <w:rFonts w:ascii="Arial" w:hAnsi="Arial" w:cs="Arial"/>
          <w:sz w:val="24"/>
          <w:szCs w:val="24"/>
        </w:rPr>
        <w:t xml:space="preserve"> a mock written examination </w:t>
      </w:r>
      <w:r w:rsidR="002C0462">
        <w:rPr>
          <w:rFonts w:ascii="Arial" w:hAnsi="Arial" w:cs="Arial"/>
          <w:sz w:val="24"/>
          <w:szCs w:val="24"/>
        </w:rPr>
        <w:t>and another employed moots. Finally</w:t>
      </w:r>
      <w:r w:rsidR="00763251">
        <w:rPr>
          <w:rFonts w:ascii="Arial" w:hAnsi="Arial" w:cs="Arial"/>
          <w:sz w:val="24"/>
          <w:szCs w:val="24"/>
        </w:rPr>
        <w:t xml:space="preserve"> one institution utilised all the methods in Table 12.1 for formative assessment</w:t>
      </w:r>
      <w:r w:rsidR="00763251">
        <w:rPr>
          <w:rStyle w:val="FootnoteReference"/>
          <w:rFonts w:ascii="Arial" w:hAnsi="Arial" w:cs="Arial"/>
          <w:sz w:val="24"/>
          <w:szCs w:val="24"/>
        </w:rPr>
        <w:footnoteReference w:id="119"/>
      </w:r>
      <w:r w:rsidR="00763251">
        <w:rPr>
          <w:rFonts w:ascii="Arial" w:hAnsi="Arial" w:cs="Arial"/>
          <w:sz w:val="24"/>
          <w:szCs w:val="24"/>
        </w:rPr>
        <w:t>.</w:t>
      </w:r>
    </w:p>
    <w:p w:rsidR="00EC5FED" w:rsidRDefault="00EC5FED"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As would be expected most institutions indicated that this form of assessment was voluntary. “Voluntary non-assessed coursework with feedback from the student’s seminar taker”</w:t>
      </w:r>
      <w:r w:rsidR="002132CE">
        <w:rPr>
          <w:rStyle w:val="FootnoteReference"/>
          <w:rFonts w:ascii="Arial" w:hAnsi="Arial" w:cs="Arial"/>
          <w:sz w:val="24"/>
          <w:szCs w:val="24"/>
        </w:rPr>
        <w:footnoteReference w:id="120"/>
      </w:r>
      <w:r>
        <w:rPr>
          <w:rFonts w:ascii="Arial" w:hAnsi="Arial" w:cs="Arial"/>
          <w:sz w:val="24"/>
          <w:szCs w:val="24"/>
        </w:rPr>
        <w:t xml:space="preserve"> and “voluntary formative essay/problem question”</w:t>
      </w:r>
      <w:r w:rsidR="002132CE">
        <w:rPr>
          <w:rStyle w:val="FootnoteReference"/>
          <w:rFonts w:ascii="Arial" w:hAnsi="Arial" w:cs="Arial"/>
          <w:sz w:val="24"/>
          <w:szCs w:val="24"/>
        </w:rPr>
        <w:footnoteReference w:id="121"/>
      </w:r>
      <w:r>
        <w:rPr>
          <w:rFonts w:ascii="Arial" w:hAnsi="Arial" w:cs="Arial"/>
          <w:sz w:val="24"/>
          <w:szCs w:val="24"/>
        </w:rPr>
        <w:t xml:space="preserve"> are two examples of </w:t>
      </w:r>
      <w:r w:rsidR="00FC080E">
        <w:rPr>
          <w:rFonts w:ascii="Arial" w:hAnsi="Arial" w:cs="Arial"/>
          <w:sz w:val="24"/>
          <w:szCs w:val="24"/>
        </w:rPr>
        <w:t xml:space="preserve">assessment conducted at the students’ discretion. </w:t>
      </w:r>
      <w:r>
        <w:rPr>
          <w:rFonts w:ascii="Arial" w:hAnsi="Arial" w:cs="Arial"/>
          <w:sz w:val="24"/>
          <w:szCs w:val="24"/>
        </w:rPr>
        <w:t>Indeed feedback featured heavily in the aims of this type of assessment – “students submit an attempt at a problem question in the first workshop. These are looked over in the class and general feedback is given. Individual feedback will be given upon request”</w:t>
      </w:r>
      <w:r w:rsidR="002132CE">
        <w:rPr>
          <w:rStyle w:val="FootnoteReference"/>
          <w:rFonts w:ascii="Arial" w:hAnsi="Arial" w:cs="Arial"/>
          <w:sz w:val="24"/>
          <w:szCs w:val="24"/>
        </w:rPr>
        <w:footnoteReference w:id="122"/>
      </w:r>
      <w:r>
        <w:rPr>
          <w:rFonts w:ascii="Arial" w:hAnsi="Arial" w:cs="Arial"/>
          <w:sz w:val="24"/>
          <w:szCs w:val="24"/>
        </w:rPr>
        <w:t xml:space="preserve">. </w:t>
      </w:r>
      <w:r w:rsidR="002C0462">
        <w:rPr>
          <w:rFonts w:ascii="Arial" w:hAnsi="Arial" w:cs="Arial"/>
          <w:sz w:val="24"/>
          <w:szCs w:val="24"/>
        </w:rPr>
        <w:t xml:space="preserve">As can be observed, feedback features heavily in this form of assessment – “students receive individual feedback on coursework and </w:t>
      </w:r>
      <w:proofErr w:type="spellStart"/>
      <w:r w:rsidR="002C0462">
        <w:rPr>
          <w:rFonts w:ascii="Arial" w:hAnsi="Arial" w:cs="Arial"/>
          <w:sz w:val="24"/>
          <w:szCs w:val="24"/>
        </w:rPr>
        <w:t>self assessment</w:t>
      </w:r>
      <w:proofErr w:type="spellEnd"/>
      <w:r w:rsidR="002C0462">
        <w:rPr>
          <w:rFonts w:ascii="Arial" w:hAnsi="Arial" w:cs="Arial"/>
          <w:sz w:val="24"/>
          <w:szCs w:val="24"/>
        </w:rPr>
        <w:t xml:space="preserve"> quizzes are provided on webCT which are marked immediately. Feedback is given within seminars and lectures on case studies, presentations, groupwork and debates. Students upon request will also receive individual feedback on exam papers”</w:t>
      </w:r>
      <w:r w:rsidR="002C0462">
        <w:rPr>
          <w:rStyle w:val="FootnoteReference"/>
          <w:rFonts w:ascii="Arial" w:hAnsi="Arial" w:cs="Arial"/>
          <w:sz w:val="24"/>
          <w:szCs w:val="24"/>
        </w:rPr>
        <w:footnoteReference w:id="123"/>
      </w:r>
      <w:r w:rsidR="002C0462">
        <w:rPr>
          <w:rFonts w:ascii="Arial" w:hAnsi="Arial" w:cs="Arial"/>
          <w:sz w:val="24"/>
          <w:szCs w:val="24"/>
        </w:rPr>
        <w:t>. Finally o</w:t>
      </w:r>
      <w:r>
        <w:rPr>
          <w:rFonts w:ascii="Arial" w:hAnsi="Arial" w:cs="Arial"/>
          <w:sz w:val="24"/>
          <w:szCs w:val="24"/>
        </w:rPr>
        <w:t xml:space="preserve">ne institution provided their students with a choice of assessment method – “students are required to complete two formative assessments during the year. The </w:t>
      </w:r>
      <w:r>
        <w:rPr>
          <w:rFonts w:ascii="Arial" w:hAnsi="Arial" w:cs="Arial"/>
          <w:sz w:val="24"/>
          <w:szCs w:val="24"/>
        </w:rPr>
        <w:lastRenderedPageBreak/>
        <w:t xml:space="preserve">first is normally an essay covering the constitutional aspects of the EU. The second assessment is normally a choice between an essay </w:t>
      </w:r>
      <w:r w:rsidR="00FC080E">
        <w:rPr>
          <w:rFonts w:ascii="Arial" w:hAnsi="Arial" w:cs="Arial"/>
          <w:sz w:val="24"/>
          <w:szCs w:val="24"/>
        </w:rPr>
        <w:t>and</w:t>
      </w:r>
      <w:r>
        <w:rPr>
          <w:rFonts w:ascii="Arial" w:hAnsi="Arial" w:cs="Arial"/>
          <w:sz w:val="24"/>
          <w:szCs w:val="24"/>
        </w:rPr>
        <w:t xml:space="preserve"> a problem question. Students also have the option of completing the second formative assessment as a timed piece in preparation for the exams”</w:t>
      </w:r>
      <w:r w:rsidR="00573BBF">
        <w:rPr>
          <w:rStyle w:val="FootnoteReference"/>
          <w:rFonts w:ascii="Arial" w:hAnsi="Arial" w:cs="Arial"/>
          <w:sz w:val="24"/>
          <w:szCs w:val="24"/>
        </w:rPr>
        <w:footnoteReference w:id="124"/>
      </w:r>
      <w:r>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For CPE providers there was a considerably smaller sample and the results were somewhat mixed. </w:t>
      </w:r>
      <w:r w:rsidR="00C37F00">
        <w:rPr>
          <w:rFonts w:ascii="Arial" w:hAnsi="Arial" w:cs="Arial"/>
          <w:sz w:val="24"/>
          <w:szCs w:val="24"/>
        </w:rPr>
        <w:t>11</w:t>
      </w:r>
      <w:r>
        <w:rPr>
          <w:rFonts w:ascii="Arial" w:hAnsi="Arial" w:cs="Arial"/>
          <w:sz w:val="24"/>
          <w:szCs w:val="24"/>
        </w:rPr>
        <w:t xml:space="preserve"> CPE providers</w:t>
      </w:r>
      <w:r w:rsidR="00763251">
        <w:rPr>
          <w:rStyle w:val="FootnoteReference"/>
          <w:rFonts w:ascii="Arial" w:hAnsi="Arial" w:cs="Arial"/>
          <w:sz w:val="24"/>
          <w:szCs w:val="24"/>
        </w:rPr>
        <w:footnoteReference w:id="125"/>
      </w:r>
      <w:r>
        <w:rPr>
          <w:rFonts w:ascii="Arial" w:hAnsi="Arial" w:cs="Arial"/>
          <w:sz w:val="24"/>
          <w:szCs w:val="24"/>
        </w:rPr>
        <w:t xml:space="preserve"> identified methods of formative assessment utilised, of which coursework was the most popular with </w:t>
      </w:r>
      <w:r w:rsidR="00C37F00">
        <w:rPr>
          <w:rFonts w:ascii="Arial" w:hAnsi="Arial" w:cs="Arial"/>
          <w:sz w:val="24"/>
          <w:szCs w:val="24"/>
        </w:rPr>
        <w:t>6</w:t>
      </w:r>
      <w:r>
        <w:rPr>
          <w:rFonts w:ascii="Arial" w:hAnsi="Arial" w:cs="Arial"/>
          <w:sz w:val="24"/>
          <w:szCs w:val="24"/>
        </w:rPr>
        <w:t xml:space="preserve"> institutions employing this form. However, one provider</w:t>
      </w:r>
      <w:r w:rsidR="00763251">
        <w:rPr>
          <w:rStyle w:val="FootnoteReference"/>
          <w:rFonts w:ascii="Arial" w:hAnsi="Arial" w:cs="Arial"/>
          <w:sz w:val="24"/>
          <w:szCs w:val="24"/>
        </w:rPr>
        <w:footnoteReference w:id="126"/>
      </w:r>
      <w:r>
        <w:rPr>
          <w:rFonts w:ascii="Arial" w:hAnsi="Arial" w:cs="Arial"/>
          <w:sz w:val="24"/>
          <w:szCs w:val="24"/>
        </w:rPr>
        <w:t xml:space="preserve"> indicated </w:t>
      </w:r>
      <w:r w:rsidR="00C37F00">
        <w:rPr>
          <w:rFonts w:ascii="Arial" w:hAnsi="Arial" w:cs="Arial"/>
          <w:sz w:val="24"/>
          <w:szCs w:val="24"/>
        </w:rPr>
        <w:t>6</w:t>
      </w:r>
      <w:r>
        <w:rPr>
          <w:rFonts w:ascii="Arial" w:hAnsi="Arial" w:cs="Arial"/>
          <w:sz w:val="24"/>
          <w:szCs w:val="24"/>
        </w:rPr>
        <w:t xml:space="preserve"> method</w:t>
      </w:r>
      <w:r w:rsidR="0039192F">
        <w:rPr>
          <w:rFonts w:ascii="Arial" w:hAnsi="Arial" w:cs="Arial"/>
          <w:sz w:val="24"/>
          <w:szCs w:val="24"/>
        </w:rPr>
        <w:t>s of formative assessment used: oral presentations; group work; reflective logs; multiple choice questions;</w:t>
      </w:r>
      <w:r>
        <w:rPr>
          <w:rFonts w:ascii="Arial" w:hAnsi="Arial" w:cs="Arial"/>
          <w:sz w:val="24"/>
          <w:szCs w:val="24"/>
        </w:rPr>
        <w:t xml:space="preserve"> qu</w:t>
      </w:r>
      <w:r w:rsidR="0039192F">
        <w:rPr>
          <w:rFonts w:ascii="Arial" w:hAnsi="Arial" w:cs="Arial"/>
          <w:sz w:val="24"/>
          <w:szCs w:val="24"/>
        </w:rPr>
        <w:t>izzes; and, seminar presentations,</w:t>
      </w:r>
      <w:r>
        <w:rPr>
          <w:rFonts w:ascii="Arial" w:hAnsi="Arial" w:cs="Arial"/>
          <w:sz w:val="24"/>
          <w:szCs w:val="24"/>
        </w:rPr>
        <w:t xml:space="preserve"> whilst another</w:t>
      </w:r>
      <w:r w:rsidR="00763251">
        <w:rPr>
          <w:rStyle w:val="FootnoteReference"/>
          <w:rFonts w:ascii="Arial" w:hAnsi="Arial" w:cs="Arial"/>
          <w:sz w:val="24"/>
          <w:szCs w:val="24"/>
        </w:rPr>
        <w:footnoteReference w:id="127"/>
      </w:r>
      <w:r>
        <w:rPr>
          <w:rFonts w:ascii="Arial" w:hAnsi="Arial" w:cs="Arial"/>
          <w:sz w:val="24"/>
          <w:szCs w:val="24"/>
        </w:rPr>
        <w:t xml:space="preserve"> listed </w:t>
      </w:r>
      <w:r w:rsidR="00C37F00">
        <w:rPr>
          <w:rFonts w:ascii="Arial" w:hAnsi="Arial" w:cs="Arial"/>
          <w:sz w:val="24"/>
          <w:szCs w:val="24"/>
        </w:rPr>
        <w:t>9 methods employ</w:t>
      </w:r>
      <w:r>
        <w:rPr>
          <w:rFonts w:ascii="Arial" w:hAnsi="Arial" w:cs="Arial"/>
          <w:sz w:val="24"/>
          <w:szCs w:val="24"/>
        </w:rPr>
        <w:t>ed</w:t>
      </w:r>
      <w:r w:rsidR="0039192F">
        <w:rPr>
          <w:rFonts w:ascii="Arial" w:hAnsi="Arial" w:cs="Arial"/>
          <w:sz w:val="24"/>
          <w:szCs w:val="24"/>
        </w:rPr>
        <w:t>:</w:t>
      </w:r>
      <w:r>
        <w:rPr>
          <w:rFonts w:ascii="Arial" w:hAnsi="Arial" w:cs="Arial"/>
          <w:sz w:val="24"/>
          <w:szCs w:val="24"/>
        </w:rPr>
        <w:t xml:space="preserve"> </w:t>
      </w:r>
      <w:r w:rsidR="0039192F">
        <w:rPr>
          <w:rFonts w:ascii="Arial" w:hAnsi="Arial" w:cs="Arial"/>
          <w:sz w:val="24"/>
          <w:szCs w:val="24"/>
        </w:rPr>
        <w:t>oral presentations;</w:t>
      </w:r>
      <w:r>
        <w:rPr>
          <w:rFonts w:ascii="Arial" w:hAnsi="Arial" w:cs="Arial"/>
          <w:sz w:val="24"/>
          <w:szCs w:val="24"/>
        </w:rPr>
        <w:t xml:space="preserve"> portfolio/progress f</w:t>
      </w:r>
      <w:r w:rsidR="0039192F">
        <w:rPr>
          <w:rFonts w:ascii="Arial" w:hAnsi="Arial" w:cs="Arial"/>
          <w:sz w:val="24"/>
          <w:szCs w:val="24"/>
        </w:rPr>
        <w:t>ile; group work; computer based assessment;</w:t>
      </w:r>
      <w:r>
        <w:rPr>
          <w:rFonts w:ascii="Arial" w:hAnsi="Arial" w:cs="Arial"/>
          <w:sz w:val="24"/>
          <w:szCs w:val="24"/>
        </w:rPr>
        <w:t xml:space="preserve"> peer assessmen</w:t>
      </w:r>
      <w:r w:rsidR="0039192F">
        <w:rPr>
          <w:rFonts w:ascii="Arial" w:hAnsi="Arial" w:cs="Arial"/>
          <w:sz w:val="24"/>
          <w:szCs w:val="24"/>
        </w:rPr>
        <w:t>t; library based projects; self-assessment;</w:t>
      </w:r>
      <w:r>
        <w:rPr>
          <w:rFonts w:ascii="Arial" w:hAnsi="Arial" w:cs="Arial"/>
          <w:sz w:val="24"/>
          <w:szCs w:val="24"/>
        </w:rPr>
        <w:t xml:space="preserve"> seminar preparation/notes/rep</w:t>
      </w:r>
      <w:r w:rsidR="0039192F">
        <w:rPr>
          <w:rFonts w:ascii="Arial" w:hAnsi="Arial" w:cs="Arial"/>
          <w:sz w:val="24"/>
          <w:szCs w:val="24"/>
        </w:rPr>
        <w:t>orts; and, skill based activities</w:t>
      </w:r>
      <w:r>
        <w:rPr>
          <w:rFonts w:ascii="Arial" w:hAnsi="Arial" w:cs="Arial"/>
          <w:sz w:val="24"/>
          <w:szCs w:val="24"/>
        </w:rPr>
        <w:t xml:space="preserve"> </w:t>
      </w:r>
      <w:r w:rsidR="0039192F">
        <w:rPr>
          <w:rFonts w:ascii="Arial" w:hAnsi="Arial" w:cs="Arial"/>
          <w:sz w:val="24"/>
          <w:szCs w:val="24"/>
        </w:rPr>
        <w:t>(</w:t>
      </w:r>
      <w:r>
        <w:rPr>
          <w:rFonts w:ascii="Arial" w:hAnsi="Arial" w:cs="Arial"/>
          <w:sz w:val="24"/>
          <w:szCs w:val="24"/>
        </w:rPr>
        <w:t>if preparation/notes/reports are counted as one method!</w:t>
      </w:r>
      <w:r w:rsidR="0039192F">
        <w:rPr>
          <w:rFonts w:ascii="Arial" w:hAnsi="Arial" w:cs="Arial"/>
          <w:sz w:val="24"/>
          <w:szCs w:val="24"/>
        </w:rPr>
        <w: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12.4</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The analysis of assessment for EU Law was somewhat surprising. </w:t>
      </w:r>
    </w:p>
    <w:p w:rsidR="00E03B54" w:rsidRDefault="00E03B54" w:rsidP="00E03B54">
      <w:pPr>
        <w:pStyle w:val="ListParagraph"/>
        <w:numPr>
          <w:ilvl w:val="0"/>
          <w:numId w:val="24"/>
        </w:numPr>
        <w:spacing w:line="360" w:lineRule="auto"/>
        <w:jc w:val="both"/>
        <w:rPr>
          <w:rFonts w:ascii="Arial" w:hAnsi="Arial" w:cs="Arial"/>
          <w:sz w:val="24"/>
          <w:szCs w:val="24"/>
        </w:rPr>
      </w:pPr>
      <w:r w:rsidRPr="0072566F">
        <w:rPr>
          <w:rFonts w:ascii="Arial" w:hAnsi="Arial" w:cs="Arial"/>
          <w:sz w:val="24"/>
          <w:szCs w:val="24"/>
        </w:rPr>
        <w:t xml:space="preserve">For summative assessment those who teach EU Law overwhelmingly choose to utilise highly traditional methods. These consist of problem and essay questions for both exams and coursework, which holds true for both LLB/QLD and CPE providers. </w:t>
      </w:r>
    </w:p>
    <w:p w:rsidR="00E03B54" w:rsidRPr="00C37F00" w:rsidRDefault="00E03B54" w:rsidP="00E03B54">
      <w:pPr>
        <w:pStyle w:val="ListParagraph"/>
        <w:numPr>
          <w:ilvl w:val="0"/>
          <w:numId w:val="24"/>
        </w:numPr>
        <w:spacing w:line="360" w:lineRule="auto"/>
        <w:jc w:val="both"/>
        <w:rPr>
          <w:rFonts w:ascii="Arial" w:hAnsi="Arial" w:cs="Arial"/>
          <w:sz w:val="24"/>
          <w:szCs w:val="24"/>
        </w:rPr>
      </w:pPr>
      <w:r w:rsidRPr="00C37F00">
        <w:rPr>
          <w:rFonts w:ascii="Arial" w:hAnsi="Arial" w:cs="Arial"/>
          <w:sz w:val="24"/>
          <w:szCs w:val="24"/>
        </w:rPr>
        <w:t xml:space="preserve">For formative assessment the voluntary nature of the process appears to free the imagination. Probably the most important factor that influences the type of assessment employed </w:t>
      </w:r>
      <w:r w:rsidR="0039192F">
        <w:rPr>
          <w:rFonts w:ascii="Arial" w:hAnsi="Arial" w:cs="Arial"/>
          <w:sz w:val="24"/>
          <w:szCs w:val="24"/>
        </w:rPr>
        <w:t>in this context is the desire to provide students with useful feedback</w:t>
      </w:r>
      <w:r w:rsidRPr="00C37F00">
        <w:rPr>
          <w:rFonts w:ascii="Arial" w:hAnsi="Arial" w:cs="Arial"/>
          <w:sz w:val="24"/>
          <w:szCs w:val="24"/>
        </w:rPr>
        <w:t>.</w:t>
      </w: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Default="00E03B54" w:rsidP="00E03B54">
      <w:pPr>
        <w:spacing w:line="360" w:lineRule="auto"/>
        <w:jc w:val="both"/>
        <w:rPr>
          <w:rFonts w:ascii="Arial" w:hAnsi="Arial" w:cs="Arial"/>
          <w:b/>
          <w:sz w:val="28"/>
          <w:szCs w:val="28"/>
        </w:rPr>
      </w:pPr>
      <w:r>
        <w:rPr>
          <w:rFonts w:ascii="Arial" w:hAnsi="Arial" w:cs="Arial"/>
          <w:b/>
          <w:sz w:val="28"/>
          <w:szCs w:val="28"/>
        </w:rPr>
        <w:lastRenderedPageBreak/>
        <w:t>13.</w:t>
      </w:r>
      <w:r>
        <w:rPr>
          <w:rFonts w:ascii="Arial" w:hAnsi="Arial" w:cs="Arial"/>
          <w:b/>
          <w:sz w:val="28"/>
          <w:szCs w:val="28"/>
        </w:rPr>
        <w:tab/>
        <w:t>Course Evaluation</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13.1</w:t>
      </w:r>
      <w:r>
        <w:rPr>
          <w:rFonts w:ascii="Arial" w:hAnsi="Arial" w:cs="Arial"/>
          <w:sz w:val="24"/>
          <w:szCs w:val="24"/>
        </w:rPr>
        <w:tab/>
        <w:t>The questions in this section were designed to determine how course providers obtained feedback on their programmes and their views on the best type of feedback.</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13.2</w:t>
      </w:r>
      <w:r>
        <w:rPr>
          <w:rFonts w:ascii="Arial" w:hAnsi="Arial" w:cs="Arial"/>
          <w:sz w:val="24"/>
          <w:szCs w:val="24"/>
        </w:rPr>
        <w:tab/>
        <w:t>Results</w:t>
      </w:r>
    </w:p>
    <w:p w:rsidR="00E03B54" w:rsidRDefault="00E03B54" w:rsidP="00E03B54">
      <w:pPr>
        <w:spacing w:line="360" w:lineRule="auto"/>
        <w:jc w:val="both"/>
        <w:rPr>
          <w:rFonts w:ascii="Arial" w:hAnsi="Arial" w:cs="Arial"/>
          <w:sz w:val="24"/>
          <w:szCs w:val="24"/>
        </w:rPr>
      </w:pPr>
    </w:p>
    <w:p w:rsidR="00E03B54" w:rsidRPr="00203337" w:rsidRDefault="00E03B54" w:rsidP="00E03B54">
      <w:pPr>
        <w:jc w:val="center"/>
        <w:rPr>
          <w:rFonts w:ascii="Arial" w:hAnsi="Arial" w:cs="Arial"/>
          <w:sz w:val="24"/>
          <w:szCs w:val="24"/>
        </w:rPr>
      </w:pPr>
      <w:r>
        <w:rPr>
          <w:rFonts w:ascii="Arial" w:hAnsi="Arial" w:cs="Arial"/>
          <w:sz w:val="24"/>
          <w:szCs w:val="24"/>
        </w:rPr>
        <w:t>Table 13.1</w:t>
      </w:r>
      <w:r>
        <w:rPr>
          <w:rFonts w:ascii="Arial" w:hAnsi="Arial" w:cs="Arial"/>
          <w:sz w:val="24"/>
          <w:szCs w:val="24"/>
        </w:rPr>
        <w:tab/>
      </w:r>
      <w:r w:rsidRPr="00203337">
        <w:rPr>
          <w:rFonts w:ascii="Arial" w:hAnsi="Arial" w:cs="Arial"/>
          <w:sz w:val="24"/>
          <w:szCs w:val="24"/>
        </w:rPr>
        <w:t>CPE Providers</w:t>
      </w:r>
    </w:p>
    <w:tbl>
      <w:tblPr>
        <w:tblW w:w="10001" w:type="dxa"/>
        <w:jc w:val="center"/>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1655"/>
        <w:gridCol w:w="1278"/>
        <w:gridCol w:w="980"/>
        <w:gridCol w:w="970"/>
        <w:gridCol w:w="973"/>
        <w:gridCol w:w="1282"/>
        <w:gridCol w:w="797"/>
      </w:tblGrid>
      <w:tr w:rsidR="00E03B54" w:rsidRPr="000936BE" w:rsidTr="00E03B54">
        <w:trPr>
          <w:jc w:val="center"/>
        </w:trPr>
        <w:tc>
          <w:tcPr>
            <w:tcW w:w="2066" w:type="dxa"/>
          </w:tcPr>
          <w:p w:rsidR="00E03B54" w:rsidRPr="00017C4D" w:rsidRDefault="00E03B54" w:rsidP="00E03B54">
            <w:pPr>
              <w:spacing w:after="0" w:line="240" w:lineRule="auto"/>
              <w:jc w:val="center"/>
              <w:rPr>
                <w:b/>
                <w:sz w:val="24"/>
                <w:szCs w:val="24"/>
              </w:rPr>
            </w:pPr>
            <w:r w:rsidRPr="00017C4D">
              <w:rPr>
                <w:b/>
                <w:sz w:val="24"/>
                <w:szCs w:val="24"/>
              </w:rPr>
              <w:t>Rating</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Questionnaire</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External Examiners Report</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Peer Review by EU tutors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in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out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Interviews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Other</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Poor</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Some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Reasonable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Very Valuable</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Essential</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66" w:type="dxa"/>
          </w:tcPr>
          <w:p w:rsidR="00E03B54" w:rsidRPr="00017C4D" w:rsidRDefault="00E03B54" w:rsidP="00E03B54">
            <w:pPr>
              <w:spacing w:after="0" w:line="240" w:lineRule="auto"/>
              <w:rPr>
                <w:sz w:val="24"/>
                <w:szCs w:val="24"/>
              </w:rPr>
            </w:pPr>
            <w:r w:rsidRPr="00017C4D">
              <w:rPr>
                <w:sz w:val="24"/>
                <w:szCs w:val="24"/>
              </w:rPr>
              <w:t>Missing</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11</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12</w:t>
            </w:r>
          </w:p>
        </w:tc>
      </w:tr>
    </w:tbl>
    <w:p w:rsidR="00E03B54" w:rsidRDefault="00E03B54" w:rsidP="00E03B54">
      <w:pPr>
        <w:spacing w:line="360" w:lineRule="auto"/>
        <w:jc w:val="both"/>
        <w:rPr>
          <w:rFonts w:ascii="Arial" w:hAnsi="Arial" w:cs="Arial"/>
          <w:sz w:val="24"/>
          <w:szCs w:val="24"/>
        </w:rPr>
      </w:pPr>
    </w:p>
    <w:p w:rsidR="00E03B54" w:rsidRPr="00203337" w:rsidRDefault="00E03B54" w:rsidP="00E03B54">
      <w:pPr>
        <w:jc w:val="center"/>
        <w:rPr>
          <w:rFonts w:ascii="Arial" w:hAnsi="Arial" w:cs="Arial"/>
          <w:sz w:val="24"/>
          <w:szCs w:val="24"/>
        </w:rPr>
      </w:pPr>
      <w:r>
        <w:rPr>
          <w:rFonts w:ascii="Arial" w:hAnsi="Arial" w:cs="Arial"/>
          <w:sz w:val="24"/>
          <w:szCs w:val="24"/>
        </w:rPr>
        <w:t>Table 13.2</w:t>
      </w:r>
      <w:r>
        <w:rPr>
          <w:rFonts w:ascii="Arial" w:hAnsi="Arial" w:cs="Arial"/>
          <w:sz w:val="24"/>
          <w:szCs w:val="24"/>
        </w:rPr>
        <w:tab/>
      </w:r>
      <w:r w:rsidRPr="00203337">
        <w:rPr>
          <w:rFonts w:ascii="Arial" w:hAnsi="Arial" w:cs="Arial"/>
          <w:sz w:val="24"/>
          <w:szCs w:val="24"/>
        </w:rPr>
        <w:t>LLB/QLD Providers</w:t>
      </w:r>
    </w:p>
    <w:tbl>
      <w:tblPr>
        <w:tblW w:w="0" w:type="auto"/>
        <w:jc w:val="center"/>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1652"/>
        <w:gridCol w:w="1272"/>
        <w:gridCol w:w="973"/>
        <w:gridCol w:w="965"/>
        <w:gridCol w:w="967"/>
        <w:gridCol w:w="1279"/>
        <w:gridCol w:w="797"/>
      </w:tblGrid>
      <w:tr w:rsidR="00E03B54" w:rsidRPr="000936BE" w:rsidTr="00E03B54">
        <w:trPr>
          <w:jc w:val="center"/>
        </w:trPr>
        <w:tc>
          <w:tcPr>
            <w:tcW w:w="2074" w:type="dxa"/>
          </w:tcPr>
          <w:p w:rsidR="00E03B54" w:rsidRPr="00017C4D" w:rsidRDefault="00E03B54" w:rsidP="00E03B54">
            <w:pPr>
              <w:spacing w:after="0" w:line="240" w:lineRule="auto"/>
              <w:jc w:val="center"/>
              <w:rPr>
                <w:b/>
                <w:sz w:val="24"/>
                <w:szCs w:val="24"/>
              </w:rPr>
            </w:pPr>
            <w:r w:rsidRPr="00017C4D">
              <w:rPr>
                <w:b/>
                <w:sz w:val="24"/>
                <w:szCs w:val="24"/>
              </w:rPr>
              <w:t>Rating</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Questionnaire</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External Examiners Report</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Peer Review by EU tutors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in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out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Interviews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Other</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Poor</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Some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Reasonable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11</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10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Very Valuable</w:t>
            </w:r>
          </w:p>
        </w:tc>
        <w:tc>
          <w:tcPr>
            <w:tcW w:w="0" w:type="auto"/>
          </w:tcPr>
          <w:p w:rsidR="00E03B54" w:rsidRPr="00017C4D" w:rsidRDefault="00E03B54" w:rsidP="00E03B54">
            <w:pPr>
              <w:spacing w:after="0" w:line="240" w:lineRule="auto"/>
              <w:jc w:val="center"/>
              <w:rPr>
                <w:sz w:val="24"/>
                <w:szCs w:val="24"/>
              </w:rPr>
            </w:pPr>
            <w:r w:rsidRPr="00017C4D">
              <w:rPr>
                <w:sz w:val="24"/>
                <w:szCs w:val="24"/>
              </w:rPr>
              <w:t>15</w:t>
            </w:r>
          </w:p>
        </w:tc>
        <w:tc>
          <w:tcPr>
            <w:tcW w:w="0" w:type="auto"/>
          </w:tcPr>
          <w:p w:rsidR="00E03B54" w:rsidRPr="00017C4D" w:rsidRDefault="00E03B54" w:rsidP="00E03B54">
            <w:pPr>
              <w:spacing w:after="0" w:line="240" w:lineRule="auto"/>
              <w:jc w:val="center"/>
              <w:rPr>
                <w:sz w:val="24"/>
                <w:szCs w:val="24"/>
              </w:rPr>
            </w:pPr>
            <w:r w:rsidRPr="00017C4D">
              <w:rPr>
                <w:sz w:val="24"/>
                <w:szCs w:val="24"/>
              </w:rPr>
              <w:t>10</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Essential</w:t>
            </w:r>
          </w:p>
        </w:tc>
        <w:tc>
          <w:tcPr>
            <w:tcW w:w="0" w:type="auto"/>
          </w:tcPr>
          <w:p w:rsidR="00E03B54" w:rsidRPr="00017C4D" w:rsidRDefault="00E03B54" w:rsidP="00E03B54">
            <w:pPr>
              <w:spacing w:after="0" w:line="240" w:lineRule="auto"/>
              <w:jc w:val="center"/>
              <w:rPr>
                <w:sz w:val="24"/>
                <w:szCs w:val="24"/>
              </w:rPr>
            </w:pPr>
            <w:r w:rsidRPr="00017C4D">
              <w:rPr>
                <w:sz w:val="24"/>
                <w:szCs w:val="24"/>
              </w:rPr>
              <w:t>5</w:t>
            </w:r>
          </w:p>
        </w:tc>
        <w:tc>
          <w:tcPr>
            <w:tcW w:w="0" w:type="auto"/>
          </w:tcPr>
          <w:p w:rsidR="00E03B54" w:rsidRPr="00017C4D" w:rsidRDefault="00E03B54" w:rsidP="00E03B54">
            <w:pPr>
              <w:spacing w:after="0" w:line="240" w:lineRule="auto"/>
              <w:jc w:val="center"/>
              <w:rPr>
                <w:sz w:val="24"/>
                <w:szCs w:val="24"/>
              </w:rPr>
            </w:pPr>
            <w:r w:rsidRPr="00017C4D">
              <w:rPr>
                <w:sz w:val="24"/>
                <w:szCs w:val="24"/>
              </w:rPr>
              <w:t>10</w:t>
            </w:r>
          </w:p>
        </w:tc>
        <w:tc>
          <w:tcPr>
            <w:tcW w:w="0" w:type="auto"/>
          </w:tcPr>
          <w:p w:rsidR="00E03B54" w:rsidRPr="00017C4D" w:rsidRDefault="00E03B54" w:rsidP="00E03B54">
            <w:pPr>
              <w:spacing w:after="0" w:line="240" w:lineRule="auto"/>
              <w:jc w:val="center"/>
              <w:rPr>
                <w:sz w:val="24"/>
                <w:szCs w:val="24"/>
              </w:rPr>
            </w:pPr>
            <w:r w:rsidRPr="00017C4D">
              <w:rPr>
                <w:sz w:val="24"/>
                <w:szCs w:val="24"/>
              </w:rPr>
              <w:t>5</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Missing</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22</w:t>
            </w:r>
          </w:p>
        </w:tc>
        <w:tc>
          <w:tcPr>
            <w:tcW w:w="0" w:type="auto"/>
          </w:tcPr>
          <w:p w:rsidR="00E03B54" w:rsidRPr="00017C4D" w:rsidRDefault="00E03B54" w:rsidP="00E03B54">
            <w:pPr>
              <w:spacing w:after="0" w:line="240" w:lineRule="auto"/>
              <w:jc w:val="center"/>
              <w:rPr>
                <w:sz w:val="24"/>
                <w:szCs w:val="24"/>
              </w:rPr>
            </w:pPr>
            <w:r w:rsidRPr="00017C4D">
              <w:rPr>
                <w:sz w:val="24"/>
                <w:szCs w:val="24"/>
              </w:rPr>
              <w:t>16</w:t>
            </w:r>
          </w:p>
        </w:tc>
        <w:tc>
          <w:tcPr>
            <w:tcW w:w="0" w:type="auto"/>
          </w:tcPr>
          <w:p w:rsidR="00E03B54" w:rsidRPr="00017C4D" w:rsidRDefault="00E03B54" w:rsidP="00E03B54">
            <w:pPr>
              <w:spacing w:after="0" w:line="240" w:lineRule="auto"/>
              <w:jc w:val="center"/>
              <w:rPr>
                <w:sz w:val="24"/>
                <w:szCs w:val="24"/>
              </w:rPr>
            </w:pPr>
            <w:r w:rsidRPr="00017C4D">
              <w:rPr>
                <w:sz w:val="24"/>
                <w:szCs w:val="24"/>
              </w:rPr>
              <w:t>33</w:t>
            </w:r>
          </w:p>
        </w:tc>
        <w:tc>
          <w:tcPr>
            <w:tcW w:w="0" w:type="auto"/>
          </w:tcPr>
          <w:p w:rsidR="00E03B54" w:rsidRPr="00017C4D" w:rsidRDefault="00E03B54" w:rsidP="00E03B54">
            <w:pPr>
              <w:spacing w:after="0" w:line="240" w:lineRule="auto"/>
              <w:jc w:val="center"/>
              <w:rPr>
                <w:sz w:val="24"/>
                <w:szCs w:val="24"/>
              </w:rPr>
            </w:pPr>
            <w:r w:rsidRPr="00017C4D">
              <w:rPr>
                <w:sz w:val="24"/>
                <w:szCs w:val="24"/>
              </w:rPr>
              <w:t>28</w:t>
            </w:r>
          </w:p>
        </w:tc>
        <w:tc>
          <w:tcPr>
            <w:tcW w:w="0" w:type="auto"/>
          </w:tcPr>
          <w:p w:rsidR="00E03B54" w:rsidRPr="00017C4D" w:rsidRDefault="00E03B54" w:rsidP="00E03B54">
            <w:pPr>
              <w:spacing w:after="0" w:line="240" w:lineRule="auto"/>
              <w:jc w:val="center"/>
              <w:rPr>
                <w:sz w:val="24"/>
                <w:szCs w:val="24"/>
              </w:rPr>
            </w:pPr>
            <w:r w:rsidRPr="00017C4D">
              <w:rPr>
                <w:sz w:val="24"/>
                <w:szCs w:val="24"/>
              </w:rPr>
              <w:t>34</w:t>
            </w:r>
          </w:p>
        </w:tc>
      </w:tr>
    </w:tbl>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Pr="00B90698" w:rsidRDefault="00E03B54" w:rsidP="00E03B54">
      <w:pPr>
        <w:jc w:val="center"/>
        <w:rPr>
          <w:rFonts w:ascii="Arial" w:hAnsi="Arial" w:cs="Arial"/>
          <w:sz w:val="24"/>
          <w:szCs w:val="24"/>
        </w:rPr>
      </w:pPr>
      <w:r>
        <w:rPr>
          <w:rFonts w:ascii="Arial" w:hAnsi="Arial" w:cs="Arial"/>
          <w:sz w:val="24"/>
          <w:szCs w:val="24"/>
        </w:rPr>
        <w:lastRenderedPageBreak/>
        <w:t>Table 13.3</w:t>
      </w:r>
      <w:r>
        <w:rPr>
          <w:rFonts w:ascii="Arial" w:hAnsi="Arial" w:cs="Arial"/>
          <w:sz w:val="24"/>
          <w:szCs w:val="24"/>
        </w:rPr>
        <w:tab/>
      </w:r>
      <w:r w:rsidRPr="00B90698">
        <w:rPr>
          <w:rFonts w:ascii="Arial" w:hAnsi="Arial" w:cs="Arial"/>
          <w:sz w:val="24"/>
          <w:szCs w:val="24"/>
        </w:rPr>
        <w:t>Course Evaluation – Overall Picture</w:t>
      </w:r>
    </w:p>
    <w:tbl>
      <w:tblPr>
        <w:tblW w:w="0" w:type="auto"/>
        <w:jc w:val="center"/>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4"/>
        <w:gridCol w:w="1652"/>
        <w:gridCol w:w="1272"/>
        <w:gridCol w:w="973"/>
        <w:gridCol w:w="965"/>
        <w:gridCol w:w="967"/>
        <w:gridCol w:w="1279"/>
        <w:gridCol w:w="797"/>
      </w:tblGrid>
      <w:tr w:rsidR="00E03B54" w:rsidRPr="000936BE" w:rsidTr="00E03B54">
        <w:trPr>
          <w:jc w:val="center"/>
        </w:trPr>
        <w:tc>
          <w:tcPr>
            <w:tcW w:w="2074" w:type="dxa"/>
          </w:tcPr>
          <w:p w:rsidR="00E03B54" w:rsidRPr="00017C4D" w:rsidRDefault="00E03B54" w:rsidP="00E03B54">
            <w:pPr>
              <w:spacing w:after="0" w:line="240" w:lineRule="auto"/>
              <w:jc w:val="center"/>
              <w:rPr>
                <w:b/>
                <w:sz w:val="24"/>
                <w:szCs w:val="24"/>
              </w:rPr>
            </w:pPr>
            <w:r w:rsidRPr="00017C4D">
              <w:rPr>
                <w:b/>
                <w:sz w:val="24"/>
                <w:szCs w:val="24"/>
              </w:rPr>
              <w:t>Rating</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Questionnaire</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External Examiners Report</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Peer Review by EU tutors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in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 xml:space="preserve">Peer Review out </w:t>
            </w:r>
            <w:proofErr w:type="spellStart"/>
            <w:r w:rsidRPr="00017C4D">
              <w:rPr>
                <w:b/>
                <w:sz w:val="24"/>
                <w:szCs w:val="24"/>
              </w:rPr>
              <w:t>Dept</w:t>
            </w:r>
            <w:proofErr w:type="spellEnd"/>
          </w:p>
        </w:tc>
        <w:tc>
          <w:tcPr>
            <w:tcW w:w="0" w:type="auto"/>
          </w:tcPr>
          <w:p w:rsidR="00E03B54" w:rsidRPr="00017C4D" w:rsidRDefault="00E03B54" w:rsidP="00E03B54">
            <w:pPr>
              <w:spacing w:after="0" w:line="240" w:lineRule="auto"/>
              <w:jc w:val="center"/>
              <w:rPr>
                <w:b/>
                <w:sz w:val="24"/>
                <w:szCs w:val="24"/>
              </w:rPr>
            </w:pPr>
            <w:r w:rsidRPr="00017C4D">
              <w:rPr>
                <w:b/>
                <w:sz w:val="24"/>
                <w:szCs w:val="24"/>
              </w:rPr>
              <w:t>Student Interviews</w:t>
            </w:r>
          </w:p>
        </w:tc>
        <w:tc>
          <w:tcPr>
            <w:tcW w:w="0" w:type="auto"/>
          </w:tcPr>
          <w:p w:rsidR="00E03B54" w:rsidRPr="00017C4D" w:rsidRDefault="00E03B54" w:rsidP="00E03B54">
            <w:pPr>
              <w:spacing w:after="0" w:line="240" w:lineRule="auto"/>
              <w:jc w:val="center"/>
              <w:rPr>
                <w:b/>
                <w:sz w:val="24"/>
                <w:szCs w:val="24"/>
              </w:rPr>
            </w:pPr>
            <w:r w:rsidRPr="00017C4D">
              <w:rPr>
                <w:b/>
                <w:sz w:val="24"/>
                <w:szCs w:val="24"/>
              </w:rPr>
              <w:t>Other</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Poor</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Some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5</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Reasonable Value</w:t>
            </w:r>
          </w:p>
        </w:tc>
        <w:tc>
          <w:tcPr>
            <w:tcW w:w="0" w:type="auto"/>
          </w:tcPr>
          <w:p w:rsidR="00E03B54" w:rsidRPr="00017C4D" w:rsidRDefault="00E03B54" w:rsidP="00E03B54">
            <w:pPr>
              <w:spacing w:after="0" w:line="240" w:lineRule="auto"/>
              <w:jc w:val="center"/>
              <w:rPr>
                <w:sz w:val="24"/>
                <w:szCs w:val="24"/>
              </w:rPr>
            </w:pPr>
            <w:r w:rsidRPr="00017C4D">
              <w:rPr>
                <w:sz w:val="24"/>
                <w:szCs w:val="24"/>
              </w:rPr>
              <w:t>10</w:t>
            </w:r>
          </w:p>
        </w:tc>
        <w:tc>
          <w:tcPr>
            <w:tcW w:w="0" w:type="auto"/>
          </w:tcPr>
          <w:p w:rsidR="00E03B54" w:rsidRPr="00017C4D" w:rsidRDefault="00E03B54" w:rsidP="00E03B54">
            <w:pPr>
              <w:spacing w:after="0" w:line="240" w:lineRule="auto"/>
              <w:jc w:val="center"/>
              <w:rPr>
                <w:sz w:val="24"/>
                <w:szCs w:val="24"/>
              </w:rPr>
            </w:pPr>
            <w:r w:rsidRPr="00017C4D">
              <w:rPr>
                <w:sz w:val="24"/>
                <w:szCs w:val="24"/>
              </w:rPr>
              <w:t>15</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16</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Very Valuable</w:t>
            </w:r>
          </w:p>
        </w:tc>
        <w:tc>
          <w:tcPr>
            <w:tcW w:w="0" w:type="auto"/>
          </w:tcPr>
          <w:p w:rsidR="00E03B54" w:rsidRPr="00017C4D" w:rsidRDefault="00E03B54" w:rsidP="00E03B54">
            <w:pPr>
              <w:spacing w:after="0" w:line="240" w:lineRule="auto"/>
              <w:jc w:val="center"/>
              <w:rPr>
                <w:sz w:val="24"/>
                <w:szCs w:val="24"/>
              </w:rPr>
            </w:pPr>
            <w:r w:rsidRPr="00017C4D">
              <w:rPr>
                <w:sz w:val="24"/>
                <w:szCs w:val="24"/>
              </w:rPr>
              <w:t>22</w:t>
            </w:r>
          </w:p>
        </w:tc>
        <w:tc>
          <w:tcPr>
            <w:tcW w:w="0" w:type="auto"/>
          </w:tcPr>
          <w:p w:rsidR="00E03B54" w:rsidRPr="00017C4D" w:rsidRDefault="00E03B54" w:rsidP="00E03B54">
            <w:pPr>
              <w:spacing w:after="0" w:line="240" w:lineRule="auto"/>
              <w:jc w:val="center"/>
              <w:rPr>
                <w:sz w:val="24"/>
                <w:szCs w:val="24"/>
              </w:rPr>
            </w:pPr>
            <w:r w:rsidRPr="00017C4D">
              <w:rPr>
                <w:sz w:val="24"/>
                <w:szCs w:val="24"/>
              </w:rPr>
              <w:t>14</w:t>
            </w:r>
          </w:p>
        </w:tc>
        <w:tc>
          <w:tcPr>
            <w:tcW w:w="0" w:type="auto"/>
          </w:tcPr>
          <w:p w:rsidR="00E03B54" w:rsidRPr="00017C4D" w:rsidRDefault="00E03B54" w:rsidP="00E03B54">
            <w:pPr>
              <w:spacing w:after="0" w:line="240" w:lineRule="auto"/>
              <w:jc w:val="center"/>
              <w:rPr>
                <w:sz w:val="24"/>
                <w:szCs w:val="24"/>
              </w:rPr>
            </w:pPr>
            <w:r w:rsidRPr="00017C4D">
              <w:rPr>
                <w:sz w:val="24"/>
                <w:szCs w:val="24"/>
              </w:rPr>
              <w:t>13</w:t>
            </w:r>
          </w:p>
        </w:tc>
        <w:tc>
          <w:tcPr>
            <w:tcW w:w="0" w:type="auto"/>
          </w:tcPr>
          <w:p w:rsidR="00E03B54" w:rsidRPr="00017C4D" w:rsidRDefault="00E03B54" w:rsidP="00E03B54">
            <w:pPr>
              <w:spacing w:after="0" w:line="240" w:lineRule="auto"/>
              <w:jc w:val="center"/>
              <w:rPr>
                <w:sz w:val="24"/>
                <w:szCs w:val="24"/>
              </w:rPr>
            </w:pPr>
            <w:r w:rsidRPr="00017C4D">
              <w:rPr>
                <w:sz w:val="24"/>
                <w:szCs w:val="24"/>
              </w:rPr>
              <w:t>9</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3</w:t>
            </w:r>
          </w:p>
        </w:tc>
      </w:tr>
      <w:tr w:rsidR="00E03B54" w:rsidRPr="000936BE" w:rsidTr="00E03B54">
        <w:trPr>
          <w:jc w:val="center"/>
        </w:trPr>
        <w:tc>
          <w:tcPr>
            <w:tcW w:w="2074" w:type="dxa"/>
          </w:tcPr>
          <w:p w:rsidR="00E03B54" w:rsidRPr="00017C4D" w:rsidRDefault="00E03B54" w:rsidP="00E03B54">
            <w:pPr>
              <w:spacing w:after="0" w:line="240" w:lineRule="auto"/>
              <w:rPr>
                <w:sz w:val="24"/>
                <w:szCs w:val="24"/>
              </w:rPr>
            </w:pPr>
            <w:r w:rsidRPr="00017C4D">
              <w:rPr>
                <w:sz w:val="24"/>
                <w:szCs w:val="24"/>
              </w:rPr>
              <w:t>Essential</w:t>
            </w:r>
          </w:p>
        </w:tc>
        <w:tc>
          <w:tcPr>
            <w:tcW w:w="0" w:type="auto"/>
          </w:tcPr>
          <w:p w:rsidR="00E03B54" w:rsidRPr="00017C4D" w:rsidRDefault="00E03B54" w:rsidP="00E03B54">
            <w:pPr>
              <w:spacing w:after="0" w:line="240" w:lineRule="auto"/>
              <w:jc w:val="center"/>
              <w:rPr>
                <w:sz w:val="24"/>
                <w:szCs w:val="24"/>
              </w:rPr>
            </w:pPr>
            <w:r w:rsidRPr="00017C4D">
              <w:rPr>
                <w:sz w:val="24"/>
                <w:szCs w:val="24"/>
              </w:rPr>
              <w:t>7</w:t>
            </w:r>
          </w:p>
        </w:tc>
        <w:tc>
          <w:tcPr>
            <w:tcW w:w="0" w:type="auto"/>
          </w:tcPr>
          <w:p w:rsidR="00E03B54" w:rsidRPr="00017C4D" w:rsidRDefault="00E03B54" w:rsidP="00E03B54">
            <w:pPr>
              <w:spacing w:after="0" w:line="240" w:lineRule="auto"/>
              <w:jc w:val="center"/>
              <w:rPr>
                <w:sz w:val="24"/>
                <w:szCs w:val="24"/>
              </w:rPr>
            </w:pPr>
            <w:r w:rsidRPr="00017C4D">
              <w:rPr>
                <w:sz w:val="24"/>
                <w:szCs w:val="24"/>
              </w:rPr>
              <w:t>13</w:t>
            </w:r>
          </w:p>
        </w:tc>
        <w:tc>
          <w:tcPr>
            <w:tcW w:w="0" w:type="auto"/>
          </w:tcPr>
          <w:p w:rsidR="00E03B54" w:rsidRPr="00017C4D" w:rsidRDefault="00E03B54" w:rsidP="00E03B54">
            <w:pPr>
              <w:spacing w:after="0" w:line="240" w:lineRule="auto"/>
              <w:jc w:val="center"/>
              <w:rPr>
                <w:sz w:val="24"/>
                <w:szCs w:val="24"/>
              </w:rPr>
            </w:pPr>
            <w:r w:rsidRPr="00017C4D">
              <w:rPr>
                <w:sz w:val="24"/>
                <w:szCs w:val="24"/>
              </w:rPr>
              <w:t>6</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0</w:t>
            </w:r>
          </w:p>
        </w:tc>
        <w:tc>
          <w:tcPr>
            <w:tcW w:w="0" w:type="auto"/>
          </w:tcPr>
          <w:p w:rsidR="00E03B54" w:rsidRPr="00017C4D" w:rsidRDefault="00E03B54" w:rsidP="00E03B54">
            <w:pPr>
              <w:spacing w:after="0" w:line="240" w:lineRule="auto"/>
              <w:jc w:val="center"/>
              <w:rPr>
                <w:sz w:val="24"/>
                <w:szCs w:val="24"/>
              </w:rPr>
            </w:pPr>
            <w:r w:rsidRPr="00017C4D">
              <w:rPr>
                <w:sz w:val="24"/>
                <w:szCs w:val="24"/>
              </w:rPr>
              <w:t>1</w:t>
            </w:r>
          </w:p>
        </w:tc>
      </w:tr>
      <w:tr w:rsidR="00E03B54" w:rsidRPr="000936BE" w:rsidTr="00E03B54">
        <w:trPr>
          <w:jc w:val="center"/>
        </w:trPr>
        <w:tc>
          <w:tcPr>
            <w:tcW w:w="2074" w:type="dxa"/>
          </w:tcPr>
          <w:p w:rsidR="00E03B54" w:rsidRPr="00017C4D" w:rsidRDefault="00F54409" w:rsidP="00E03B54">
            <w:pPr>
              <w:spacing w:after="0" w:line="240" w:lineRule="auto"/>
              <w:rPr>
                <w:sz w:val="24"/>
                <w:szCs w:val="24"/>
              </w:rPr>
            </w:pPr>
            <w:r>
              <w:rPr>
                <w:sz w:val="24"/>
                <w:szCs w:val="24"/>
              </w:rPr>
              <w:t>Missing</w:t>
            </w:r>
          </w:p>
        </w:tc>
        <w:tc>
          <w:tcPr>
            <w:tcW w:w="0" w:type="auto"/>
          </w:tcPr>
          <w:p w:rsidR="00E03B54" w:rsidRPr="00017C4D" w:rsidRDefault="00E03B54" w:rsidP="00E03B54">
            <w:pPr>
              <w:spacing w:after="0" w:line="240" w:lineRule="auto"/>
              <w:jc w:val="center"/>
              <w:rPr>
                <w:sz w:val="24"/>
                <w:szCs w:val="24"/>
              </w:rPr>
            </w:pPr>
            <w:r w:rsidRPr="00017C4D">
              <w:rPr>
                <w:sz w:val="24"/>
                <w:szCs w:val="24"/>
              </w:rPr>
              <w:t>4</w:t>
            </w:r>
          </w:p>
        </w:tc>
        <w:tc>
          <w:tcPr>
            <w:tcW w:w="0" w:type="auto"/>
          </w:tcPr>
          <w:p w:rsidR="00E03B54" w:rsidRPr="00017C4D" w:rsidRDefault="00E03B54" w:rsidP="00E03B54">
            <w:pPr>
              <w:spacing w:after="0" w:line="240" w:lineRule="auto"/>
              <w:jc w:val="center"/>
              <w:rPr>
                <w:sz w:val="24"/>
                <w:szCs w:val="24"/>
              </w:rPr>
            </w:pPr>
            <w:r w:rsidRPr="00017C4D">
              <w:rPr>
                <w:sz w:val="24"/>
                <w:szCs w:val="24"/>
              </w:rPr>
              <w:t>2</w:t>
            </w:r>
          </w:p>
        </w:tc>
        <w:tc>
          <w:tcPr>
            <w:tcW w:w="0" w:type="auto"/>
          </w:tcPr>
          <w:p w:rsidR="00E03B54" w:rsidRPr="00017C4D" w:rsidRDefault="00E03B54" w:rsidP="00E03B54">
            <w:pPr>
              <w:spacing w:after="0" w:line="240" w:lineRule="auto"/>
              <w:jc w:val="center"/>
              <w:rPr>
                <w:sz w:val="24"/>
                <w:szCs w:val="24"/>
              </w:rPr>
            </w:pPr>
            <w:r w:rsidRPr="00017C4D">
              <w:rPr>
                <w:sz w:val="24"/>
                <w:szCs w:val="24"/>
              </w:rPr>
              <w:t>25</w:t>
            </w:r>
          </w:p>
        </w:tc>
        <w:tc>
          <w:tcPr>
            <w:tcW w:w="0" w:type="auto"/>
          </w:tcPr>
          <w:p w:rsidR="00E03B54" w:rsidRPr="00017C4D" w:rsidRDefault="00E03B54" w:rsidP="00E03B54">
            <w:pPr>
              <w:spacing w:after="0" w:line="240" w:lineRule="auto"/>
              <w:jc w:val="center"/>
              <w:rPr>
                <w:sz w:val="24"/>
                <w:szCs w:val="24"/>
              </w:rPr>
            </w:pPr>
            <w:r w:rsidRPr="00017C4D">
              <w:rPr>
                <w:sz w:val="24"/>
                <w:szCs w:val="24"/>
              </w:rPr>
              <w:t>19</w:t>
            </w:r>
          </w:p>
        </w:tc>
        <w:tc>
          <w:tcPr>
            <w:tcW w:w="0" w:type="auto"/>
          </w:tcPr>
          <w:p w:rsidR="00E03B54" w:rsidRPr="00017C4D" w:rsidRDefault="00E03B54" w:rsidP="00E03B54">
            <w:pPr>
              <w:spacing w:after="0" w:line="240" w:lineRule="auto"/>
              <w:jc w:val="center"/>
              <w:rPr>
                <w:sz w:val="24"/>
                <w:szCs w:val="24"/>
              </w:rPr>
            </w:pPr>
            <w:r w:rsidRPr="00017C4D">
              <w:rPr>
                <w:sz w:val="24"/>
                <w:szCs w:val="24"/>
              </w:rPr>
              <w:t>44</w:t>
            </w:r>
          </w:p>
        </w:tc>
        <w:tc>
          <w:tcPr>
            <w:tcW w:w="0" w:type="auto"/>
          </w:tcPr>
          <w:p w:rsidR="00E03B54" w:rsidRPr="00017C4D" w:rsidRDefault="00E03B54" w:rsidP="00E03B54">
            <w:pPr>
              <w:spacing w:after="0" w:line="240" w:lineRule="auto"/>
              <w:jc w:val="center"/>
              <w:rPr>
                <w:sz w:val="24"/>
                <w:szCs w:val="24"/>
              </w:rPr>
            </w:pPr>
            <w:r w:rsidRPr="00017C4D">
              <w:rPr>
                <w:sz w:val="24"/>
                <w:szCs w:val="24"/>
              </w:rPr>
              <w:t>34</w:t>
            </w:r>
          </w:p>
        </w:tc>
        <w:tc>
          <w:tcPr>
            <w:tcW w:w="0" w:type="auto"/>
          </w:tcPr>
          <w:p w:rsidR="00E03B54" w:rsidRPr="00017C4D" w:rsidRDefault="00E03B54" w:rsidP="00E03B54">
            <w:pPr>
              <w:spacing w:after="0" w:line="240" w:lineRule="auto"/>
              <w:jc w:val="center"/>
              <w:rPr>
                <w:sz w:val="24"/>
                <w:szCs w:val="24"/>
              </w:rPr>
            </w:pPr>
            <w:r w:rsidRPr="00017C4D">
              <w:rPr>
                <w:sz w:val="24"/>
                <w:szCs w:val="24"/>
              </w:rPr>
              <w:t>46</w:t>
            </w:r>
          </w:p>
        </w:tc>
      </w:tr>
    </w:tbl>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13.3</w:t>
      </w:r>
      <w:r>
        <w:rPr>
          <w:rFonts w:ascii="Arial" w:hAnsi="Arial" w:cs="Arial"/>
          <w:sz w:val="24"/>
          <w:szCs w:val="24"/>
        </w:rPr>
        <w:tab/>
        <w:t>Method of Course Evaluation</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It is </w:t>
      </w:r>
      <w:r w:rsidR="0039192F">
        <w:rPr>
          <w:rFonts w:ascii="Arial" w:hAnsi="Arial" w:cs="Arial"/>
          <w:sz w:val="24"/>
          <w:szCs w:val="24"/>
        </w:rPr>
        <w:t>clear</w:t>
      </w:r>
      <w:r>
        <w:rPr>
          <w:rFonts w:ascii="Arial" w:hAnsi="Arial" w:cs="Arial"/>
          <w:sz w:val="24"/>
          <w:szCs w:val="24"/>
        </w:rPr>
        <w:t xml:space="preserve"> from Tables 13.1-13.3 that there are, predominantly, six ways in which </w:t>
      </w:r>
      <w:r w:rsidR="0039192F">
        <w:rPr>
          <w:rFonts w:ascii="Arial" w:hAnsi="Arial" w:cs="Arial"/>
          <w:sz w:val="24"/>
          <w:szCs w:val="24"/>
        </w:rPr>
        <w:t>EU courses are evaluated</w:t>
      </w:r>
      <w:r>
        <w:rPr>
          <w:rFonts w:ascii="Arial" w:hAnsi="Arial" w:cs="Arial"/>
          <w:sz w:val="24"/>
          <w:szCs w:val="24"/>
        </w:rPr>
        <w:t>. Alternative methods mentioned included staff and student committee meetings (one CPE and one LLB/QLD provider) and open discussion in seminars to identify main difficulties, what was useful and views on textbooks (one LLB/QLD provider). Further alternative methods, possibly involving the use of virtual resources, were not employed. Again it can be considered that those lecturing EU Law are rather conservative in their approach to the delivery of the subject, possibly due to its status as a core subject for a QLD but also possibly due to the larger number of students. It is a recurring theme throughout our research that the teaching of EU Law follows a highly traditional route with novel and imaginative resources having little impact on the teaching environment.</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13.4</w:t>
      </w:r>
      <w:r>
        <w:rPr>
          <w:rFonts w:ascii="Arial" w:hAnsi="Arial" w:cs="Arial"/>
          <w:sz w:val="24"/>
          <w:szCs w:val="24"/>
        </w:rPr>
        <w:tab/>
      </w:r>
      <w:r w:rsidR="0039192F">
        <w:rPr>
          <w:rFonts w:ascii="Arial" w:hAnsi="Arial" w:cs="Arial"/>
          <w:sz w:val="24"/>
          <w:szCs w:val="24"/>
        </w:rPr>
        <w:t>Perceived Value of Course Evaluation Methods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From the </w:t>
      </w:r>
      <w:r w:rsidR="0039192F">
        <w:rPr>
          <w:rFonts w:ascii="Arial" w:hAnsi="Arial" w:cs="Arial"/>
          <w:sz w:val="24"/>
          <w:szCs w:val="24"/>
        </w:rPr>
        <w:t>perspective of</w:t>
      </w:r>
      <w:r>
        <w:rPr>
          <w:rFonts w:ascii="Arial" w:hAnsi="Arial" w:cs="Arial"/>
          <w:sz w:val="24"/>
          <w:szCs w:val="24"/>
        </w:rPr>
        <w:t xml:space="preserve"> both LLB/QLD and CPE providers the two most valuable forms of course evaluation are the student questionnaire and the external examiners’ report</w:t>
      </w:r>
      <w:r w:rsidR="00370756">
        <w:rPr>
          <w:rFonts w:ascii="Arial" w:hAnsi="Arial" w:cs="Arial"/>
          <w:sz w:val="24"/>
          <w:szCs w:val="24"/>
        </w:rPr>
        <w:t>, as represented in Charts 13.1 and 13.2</w:t>
      </w:r>
      <w:r>
        <w:rPr>
          <w:rFonts w:ascii="Arial" w:hAnsi="Arial" w:cs="Arial"/>
          <w:sz w:val="24"/>
          <w:szCs w:val="24"/>
        </w:rPr>
        <w:t xml:space="preserve">. Peer review by fellow EU Law tutors </w:t>
      </w:r>
      <w:r>
        <w:rPr>
          <w:rFonts w:ascii="Arial" w:hAnsi="Arial" w:cs="Arial"/>
          <w:sz w:val="24"/>
          <w:szCs w:val="24"/>
        </w:rPr>
        <w:lastRenderedPageBreak/>
        <w:t>and by other non-EU Law lecturers from within the department were also considered valuable, with the former proving to be of greater importance to CPE providers than their LLB/QLD compatriots</w:t>
      </w:r>
      <w:r w:rsidR="00370756">
        <w:rPr>
          <w:rFonts w:ascii="Arial" w:hAnsi="Arial" w:cs="Arial"/>
          <w:sz w:val="24"/>
          <w:szCs w:val="24"/>
        </w:rPr>
        <w:t>, as shown in Charts 13.3 and 13.4</w:t>
      </w:r>
      <w:r>
        <w:rPr>
          <w:rFonts w:ascii="Arial" w:hAnsi="Arial" w:cs="Arial"/>
          <w:sz w:val="24"/>
          <w:szCs w:val="24"/>
        </w:rPr>
        <w:t>. However, peer review from outside the department and student interviews were considered to be of negligible importance.</w:t>
      </w:r>
    </w:p>
    <w:p w:rsidR="00370756" w:rsidRDefault="00370756" w:rsidP="00E03B54">
      <w:pPr>
        <w:spacing w:line="360" w:lineRule="auto"/>
        <w:jc w:val="both"/>
        <w:rPr>
          <w:rFonts w:ascii="Arial" w:hAnsi="Arial" w:cs="Arial"/>
          <w:sz w:val="24"/>
          <w:szCs w:val="24"/>
        </w:rPr>
        <w:sectPr w:rsidR="00370756" w:rsidSect="00ED10B3">
          <w:pgSz w:w="11906" w:h="16838" w:code="9"/>
          <w:pgMar w:top="1440" w:right="1440" w:bottom="1440" w:left="1440" w:header="709" w:footer="709" w:gutter="0"/>
          <w:cols w:space="708"/>
          <w:docGrid w:linePitch="360"/>
        </w:sectPr>
      </w:pPr>
    </w:p>
    <w:p w:rsidR="00E03B54" w:rsidRDefault="00370756" w:rsidP="00E03B54">
      <w:pPr>
        <w:spacing w:line="360" w:lineRule="auto"/>
        <w:jc w:val="both"/>
        <w:rPr>
          <w:rFonts w:ascii="Arial" w:hAnsi="Arial" w:cs="Arial"/>
          <w:sz w:val="24"/>
          <w:szCs w:val="24"/>
        </w:rPr>
      </w:pPr>
      <w:r w:rsidRPr="00370756">
        <w:rPr>
          <w:rFonts w:ascii="Arial" w:hAnsi="Arial" w:cs="Arial"/>
          <w:noProof/>
          <w:sz w:val="24"/>
          <w:szCs w:val="24"/>
          <w:lang w:eastAsia="en-GB"/>
        </w:rPr>
        <w:lastRenderedPageBreak/>
        <w:drawing>
          <wp:inline distT="0" distB="0" distL="0" distR="0">
            <wp:extent cx="8877300" cy="6019800"/>
            <wp:effectExtent l="0" t="0" r="0" b="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0756" w:rsidRDefault="00370756" w:rsidP="00E03B54">
      <w:pPr>
        <w:spacing w:line="360" w:lineRule="auto"/>
        <w:jc w:val="both"/>
        <w:rPr>
          <w:rFonts w:ascii="Arial" w:hAnsi="Arial" w:cs="Arial"/>
          <w:sz w:val="24"/>
          <w:szCs w:val="24"/>
        </w:rPr>
      </w:pPr>
      <w:r w:rsidRPr="00370756">
        <w:rPr>
          <w:rFonts w:ascii="Arial" w:hAnsi="Arial" w:cs="Arial"/>
          <w:noProof/>
          <w:sz w:val="24"/>
          <w:szCs w:val="24"/>
          <w:lang w:eastAsia="en-GB"/>
        </w:rPr>
        <w:lastRenderedPageBreak/>
        <w:drawing>
          <wp:inline distT="0" distB="0" distL="0" distR="0">
            <wp:extent cx="9029700" cy="5886450"/>
            <wp:effectExtent l="0" t="0" r="0" b="0"/>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0756" w:rsidRDefault="00370756" w:rsidP="00E03B54">
      <w:pPr>
        <w:spacing w:line="360" w:lineRule="auto"/>
        <w:jc w:val="both"/>
        <w:rPr>
          <w:rFonts w:ascii="Arial" w:hAnsi="Arial" w:cs="Arial"/>
          <w:sz w:val="24"/>
          <w:szCs w:val="24"/>
        </w:rPr>
      </w:pPr>
      <w:r w:rsidRPr="00370756">
        <w:rPr>
          <w:rFonts w:ascii="Arial" w:hAnsi="Arial" w:cs="Arial"/>
          <w:noProof/>
          <w:sz w:val="24"/>
          <w:szCs w:val="24"/>
          <w:lang w:eastAsia="en-GB"/>
        </w:rPr>
        <w:lastRenderedPageBreak/>
        <w:drawing>
          <wp:inline distT="0" distB="0" distL="0" distR="0">
            <wp:extent cx="9029700" cy="6067425"/>
            <wp:effectExtent l="0" t="0" r="0" b="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0756" w:rsidRDefault="00370756" w:rsidP="00E03B54">
      <w:pPr>
        <w:spacing w:line="360" w:lineRule="auto"/>
        <w:jc w:val="both"/>
        <w:rPr>
          <w:rFonts w:ascii="Arial" w:hAnsi="Arial" w:cs="Arial"/>
          <w:sz w:val="24"/>
          <w:szCs w:val="24"/>
        </w:rPr>
      </w:pPr>
      <w:r w:rsidRPr="00370756">
        <w:rPr>
          <w:rFonts w:ascii="Arial" w:hAnsi="Arial" w:cs="Arial"/>
          <w:noProof/>
          <w:sz w:val="24"/>
          <w:szCs w:val="24"/>
          <w:lang w:eastAsia="en-GB"/>
        </w:rPr>
        <w:lastRenderedPageBreak/>
        <w:drawing>
          <wp:inline distT="0" distB="0" distL="0" distR="0">
            <wp:extent cx="8934450" cy="5962650"/>
            <wp:effectExtent l="0" t="0" r="0" b="0"/>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70756" w:rsidRDefault="00370756" w:rsidP="00E03B54">
      <w:pPr>
        <w:spacing w:line="360" w:lineRule="auto"/>
        <w:jc w:val="both"/>
        <w:rPr>
          <w:rFonts w:ascii="Arial" w:hAnsi="Arial" w:cs="Arial"/>
          <w:sz w:val="24"/>
          <w:szCs w:val="24"/>
        </w:rPr>
        <w:sectPr w:rsidR="00370756" w:rsidSect="00370756">
          <w:pgSz w:w="16838" w:h="11906" w:orient="landscape" w:code="9"/>
          <w:pgMar w:top="1440" w:right="1440" w:bottom="1440" w:left="1440" w:header="709" w:footer="709" w:gutter="0"/>
          <w:cols w:space="708"/>
          <w:docGrid w:linePitch="360"/>
        </w:sectPr>
      </w:pP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13.5</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p>
    <w:p w:rsidR="00E03B54" w:rsidRDefault="00E03B54" w:rsidP="00E03B54">
      <w:pPr>
        <w:pStyle w:val="ListParagraph"/>
        <w:numPr>
          <w:ilvl w:val="0"/>
          <w:numId w:val="25"/>
        </w:numPr>
        <w:spacing w:line="360" w:lineRule="auto"/>
        <w:jc w:val="both"/>
        <w:rPr>
          <w:rFonts w:ascii="Arial" w:hAnsi="Arial" w:cs="Arial"/>
          <w:sz w:val="24"/>
          <w:szCs w:val="24"/>
        </w:rPr>
      </w:pPr>
      <w:r>
        <w:rPr>
          <w:rFonts w:ascii="Arial" w:hAnsi="Arial" w:cs="Arial"/>
          <w:sz w:val="24"/>
          <w:szCs w:val="24"/>
        </w:rPr>
        <w:t>Course evaluation is conducted predominantly in six ways: student questionnaire; external examiners’ report; peer review by EU tutors; peer review in the department; peer review out of the department; and, student interviews.</w:t>
      </w:r>
    </w:p>
    <w:p w:rsidR="00E03B54" w:rsidRDefault="00E03B54" w:rsidP="00E03B54">
      <w:pPr>
        <w:pStyle w:val="ListParagraph"/>
        <w:numPr>
          <w:ilvl w:val="0"/>
          <w:numId w:val="25"/>
        </w:numPr>
        <w:spacing w:line="360" w:lineRule="auto"/>
        <w:jc w:val="both"/>
        <w:rPr>
          <w:rFonts w:ascii="Arial" w:hAnsi="Arial" w:cs="Arial"/>
          <w:sz w:val="24"/>
          <w:szCs w:val="24"/>
        </w:rPr>
      </w:pPr>
      <w:r>
        <w:rPr>
          <w:rFonts w:ascii="Arial" w:hAnsi="Arial" w:cs="Arial"/>
          <w:sz w:val="24"/>
          <w:szCs w:val="24"/>
        </w:rPr>
        <w:t>Limited</w:t>
      </w:r>
      <w:r w:rsidRPr="00F8165A">
        <w:rPr>
          <w:rFonts w:ascii="Arial" w:hAnsi="Arial" w:cs="Arial"/>
          <w:sz w:val="24"/>
          <w:szCs w:val="24"/>
        </w:rPr>
        <w:t xml:space="preserve"> alternative methods, particularly opportunities offered by virtual or electronic resources, were employed.</w:t>
      </w:r>
      <w:r>
        <w:rPr>
          <w:rFonts w:ascii="Arial" w:hAnsi="Arial" w:cs="Arial"/>
          <w:sz w:val="24"/>
          <w:szCs w:val="24"/>
        </w:rPr>
        <w:t xml:space="preserve"> </w:t>
      </w:r>
    </w:p>
    <w:p w:rsidR="00E03B54" w:rsidRDefault="00E03B54" w:rsidP="00E03B54">
      <w:pPr>
        <w:pStyle w:val="ListParagraph"/>
        <w:numPr>
          <w:ilvl w:val="0"/>
          <w:numId w:val="25"/>
        </w:numPr>
        <w:spacing w:line="360" w:lineRule="auto"/>
        <w:jc w:val="both"/>
        <w:rPr>
          <w:rFonts w:ascii="Arial" w:hAnsi="Arial" w:cs="Arial"/>
          <w:sz w:val="24"/>
          <w:szCs w:val="24"/>
        </w:rPr>
      </w:pPr>
      <w:r>
        <w:rPr>
          <w:rFonts w:ascii="Arial" w:hAnsi="Arial" w:cs="Arial"/>
          <w:sz w:val="24"/>
          <w:szCs w:val="24"/>
        </w:rPr>
        <w:t>Student questionnaires and external examiners’ reports were considered to be the most important forms of course evaluation.</w:t>
      </w:r>
    </w:p>
    <w:p w:rsidR="00E03B54" w:rsidRDefault="00E03B54" w:rsidP="00E03B54">
      <w:pPr>
        <w:spacing w:line="360" w:lineRule="auto"/>
        <w:jc w:val="both"/>
        <w:rPr>
          <w:rFonts w:ascii="Arial" w:hAnsi="Arial" w:cs="Arial"/>
          <w:sz w:val="24"/>
          <w:szCs w:val="24"/>
        </w:rPr>
      </w:pPr>
    </w:p>
    <w:p w:rsidR="00E03B54" w:rsidRDefault="00E03B54">
      <w:pPr>
        <w:spacing w:after="0" w:line="240" w:lineRule="auto"/>
        <w:rPr>
          <w:rFonts w:ascii="Arial" w:hAnsi="Arial" w:cs="Arial"/>
          <w:b/>
          <w:sz w:val="28"/>
          <w:szCs w:val="28"/>
        </w:rPr>
      </w:pPr>
      <w:r>
        <w:rPr>
          <w:rFonts w:ascii="Arial" w:hAnsi="Arial" w:cs="Arial"/>
          <w:b/>
          <w:sz w:val="28"/>
          <w:szCs w:val="28"/>
        </w:rPr>
        <w:br w:type="page"/>
      </w:r>
    </w:p>
    <w:p w:rsidR="00E03B54" w:rsidRDefault="00E03B54" w:rsidP="00E03B54">
      <w:pPr>
        <w:spacing w:line="360" w:lineRule="auto"/>
        <w:jc w:val="both"/>
        <w:rPr>
          <w:rFonts w:ascii="Arial" w:hAnsi="Arial" w:cs="Arial"/>
          <w:sz w:val="28"/>
          <w:szCs w:val="28"/>
        </w:rPr>
      </w:pPr>
      <w:r>
        <w:rPr>
          <w:rFonts w:ascii="Arial" w:hAnsi="Arial" w:cs="Arial"/>
          <w:b/>
          <w:sz w:val="28"/>
          <w:szCs w:val="28"/>
        </w:rPr>
        <w:lastRenderedPageBreak/>
        <w:t>14.</w:t>
      </w:r>
      <w:r>
        <w:rPr>
          <w:rFonts w:ascii="Arial" w:hAnsi="Arial" w:cs="Arial"/>
          <w:b/>
          <w:sz w:val="28"/>
          <w:szCs w:val="28"/>
        </w:rPr>
        <w:tab/>
      </w:r>
      <w:r w:rsidR="0039192F">
        <w:rPr>
          <w:rFonts w:ascii="Arial" w:hAnsi="Arial" w:cs="Arial"/>
          <w:b/>
          <w:sz w:val="28"/>
          <w:szCs w:val="28"/>
        </w:rPr>
        <w:t>Effective</w:t>
      </w:r>
      <w:r>
        <w:rPr>
          <w:rFonts w:ascii="Arial" w:hAnsi="Arial" w:cs="Arial"/>
          <w:b/>
          <w:sz w:val="28"/>
          <w:szCs w:val="28"/>
        </w:rPr>
        <w:t xml:space="preserve"> Practice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14.1</w:t>
      </w:r>
      <w:r>
        <w:rPr>
          <w:rFonts w:ascii="Arial" w:hAnsi="Arial" w:cs="Arial"/>
          <w:sz w:val="24"/>
          <w:szCs w:val="24"/>
        </w:rPr>
        <w:tab/>
        <w:t>The final area of learning and teaching th</w:t>
      </w:r>
      <w:r w:rsidR="0039192F">
        <w:rPr>
          <w:rFonts w:ascii="Arial" w:hAnsi="Arial" w:cs="Arial"/>
          <w:sz w:val="24"/>
          <w:szCs w:val="24"/>
        </w:rPr>
        <w:t>at we wished to investigate was</w:t>
      </w:r>
      <w:r>
        <w:rPr>
          <w:rFonts w:ascii="Arial" w:hAnsi="Arial" w:cs="Arial"/>
          <w:sz w:val="24"/>
          <w:szCs w:val="24"/>
        </w:rPr>
        <w:t xml:space="preserve"> examples of </w:t>
      </w:r>
      <w:r w:rsidR="0039192F">
        <w:rPr>
          <w:rFonts w:ascii="Arial" w:hAnsi="Arial" w:cs="Arial"/>
          <w:sz w:val="24"/>
          <w:szCs w:val="24"/>
        </w:rPr>
        <w:t>effective</w:t>
      </w:r>
      <w:r>
        <w:rPr>
          <w:rFonts w:ascii="Arial" w:hAnsi="Arial" w:cs="Arial"/>
          <w:sz w:val="24"/>
          <w:szCs w:val="24"/>
        </w:rPr>
        <w:t xml:space="preserve"> practice </w:t>
      </w:r>
      <w:r w:rsidR="0039192F">
        <w:rPr>
          <w:rFonts w:ascii="Arial" w:hAnsi="Arial" w:cs="Arial"/>
          <w:sz w:val="24"/>
          <w:szCs w:val="24"/>
        </w:rPr>
        <w:t xml:space="preserve">perpetuated </w:t>
      </w:r>
      <w:r>
        <w:rPr>
          <w:rFonts w:ascii="Arial" w:hAnsi="Arial" w:cs="Arial"/>
          <w:sz w:val="24"/>
          <w:szCs w:val="24"/>
        </w:rPr>
        <w:t>by the institutions</w:t>
      </w:r>
      <w:r w:rsidR="0039192F">
        <w:rPr>
          <w:rFonts w:ascii="Arial" w:hAnsi="Arial" w:cs="Arial"/>
          <w:sz w:val="24"/>
          <w:szCs w:val="24"/>
        </w:rPr>
        <w:t xml:space="preserve"> studied</w:t>
      </w:r>
      <w:r>
        <w:rPr>
          <w:rFonts w:ascii="Arial" w:hAnsi="Arial" w:cs="Arial"/>
          <w:sz w:val="24"/>
          <w:szCs w:val="24"/>
        </w:rPr>
        <w:t>. These examples, it was thought, could provide food for thought, inspiration or models for other institutions to consider using in their own teaching practices.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14.2</w:t>
      </w:r>
      <w:r>
        <w:rPr>
          <w:rFonts w:ascii="Arial" w:hAnsi="Arial" w:cs="Arial"/>
          <w:sz w:val="24"/>
          <w:szCs w:val="24"/>
        </w:rPr>
        <w:tab/>
        <w:t>Results</w:t>
      </w:r>
    </w:p>
    <w:p w:rsidR="00E03B54" w:rsidRDefault="0026431F" w:rsidP="00E03B54">
      <w:pPr>
        <w:spacing w:line="360" w:lineRule="auto"/>
        <w:jc w:val="both"/>
        <w:rPr>
          <w:rFonts w:ascii="Arial" w:hAnsi="Arial" w:cs="Arial"/>
          <w:sz w:val="24"/>
          <w:szCs w:val="24"/>
        </w:rPr>
      </w:pPr>
      <w:r>
        <w:rPr>
          <w:rFonts w:ascii="Arial" w:hAnsi="Arial" w:cs="Arial"/>
          <w:sz w:val="24"/>
          <w:szCs w:val="24"/>
        </w:rPr>
        <w:t>13</w:t>
      </w:r>
      <w:r w:rsidR="00E03B54">
        <w:rPr>
          <w:rFonts w:ascii="Arial" w:hAnsi="Arial" w:cs="Arial"/>
          <w:sz w:val="24"/>
          <w:szCs w:val="24"/>
        </w:rPr>
        <w:t xml:space="preserve"> LLB/QLD</w:t>
      </w:r>
      <w:r w:rsidR="00024F16">
        <w:rPr>
          <w:rStyle w:val="FootnoteReference"/>
          <w:rFonts w:ascii="Arial" w:hAnsi="Arial" w:cs="Arial"/>
          <w:sz w:val="24"/>
          <w:szCs w:val="24"/>
        </w:rPr>
        <w:footnoteReference w:id="128"/>
      </w:r>
      <w:r w:rsidR="00E03B54">
        <w:rPr>
          <w:rFonts w:ascii="Arial" w:hAnsi="Arial" w:cs="Arial"/>
          <w:sz w:val="24"/>
          <w:szCs w:val="24"/>
        </w:rPr>
        <w:t xml:space="preserve"> and </w:t>
      </w:r>
      <w:r w:rsidR="00024F16">
        <w:rPr>
          <w:rFonts w:ascii="Arial" w:hAnsi="Arial" w:cs="Arial"/>
          <w:sz w:val="24"/>
          <w:szCs w:val="24"/>
        </w:rPr>
        <w:t>11</w:t>
      </w:r>
      <w:r w:rsidR="00E03B54">
        <w:rPr>
          <w:rFonts w:ascii="Arial" w:hAnsi="Arial" w:cs="Arial"/>
          <w:sz w:val="24"/>
          <w:szCs w:val="24"/>
        </w:rPr>
        <w:t xml:space="preserve"> CPE providers</w:t>
      </w:r>
      <w:r w:rsidR="00024F16">
        <w:rPr>
          <w:rStyle w:val="FootnoteReference"/>
          <w:rFonts w:ascii="Arial" w:hAnsi="Arial" w:cs="Arial"/>
          <w:sz w:val="24"/>
          <w:szCs w:val="24"/>
        </w:rPr>
        <w:footnoteReference w:id="129"/>
      </w:r>
      <w:r w:rsidR="00E03B54">
        <w:rPr>
          <w:rFonts w:ascii="Arial" w:hAnsi="Arial" w:cs="Arial"/>
          <w:sz w:val="24"/>
          <w:szCs w:val="24"/>
        </w:rPr>
        <w:t xml:space="preserve"> offered examples of </w:t>
      </w:r>
      <w:r w:rsidR="0039192F">
        <w:rPr>
          <w:rFonts w:ascii="Arial" w:hAnsi="Arial" w:cs="Arial"/>
          <w:sz w:val="24"/>
          <w:szCs w:val="24"/>
        </w:rPr>
        <w:t>effective</w:t>
      </w:r>
      <w:r w:rsidR="00E03B54">
        <w:rPr>
          <w:rFonts w:ascii="Arial" w:hAnsi="Arial" w:cs="Arial"/>
          <w:sz w:val="24"/>
          <w:szCs w:val="24"/>
        </w:rPr>
        <w:t xml:space="preserve"> practice adopted by their institutions.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14.3</w:t>
      </w:r>
      <w:r>
        <w:rPr>
          <w:rFonts w:ascii="Arial" w:hAnsi="Arial" w:cs="Arial"/>
          <w:sz w:val="24"/>
          <w:szCs w:val="24"/>
        </w:rPr>
        <w:tab/>
        <w:t>LLB/QLD Providers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14.3.1</w:t>
      </w:r>
      <w:r>
        <w:rPr>
          <w:rFonts w:ascii="Arial" w:hAnsi="Arial" w:cs="Arial"/>
          <w:sz w:val="24"/>
          <w:szCs w:val="24"/>
        </w:rPr>
        <w:tab/>
        <w:t>Seminars</w:t>
      </w:r>
    </w:p>
    <w:p w:rsidR="00E03B54" w:rsidRDefault="00024F16" w:rsidP="00E03B54">
      <w:pPr>
        <w:spacing w:line="360" w:lineRule="auto"/>
        <w:jc w:val="both"/>
        <w:rPr>
          <w:rFonts w:ascii="Arial" w:hAnsi="Arial" w:cs="Arial"/>
          <w:sz w:val="24"/>
          <w:szCs w:val="24"/>
        </w:rPr>
      </w:pPr>
      <w:r>
        <w:rPr>
          <w:rFonts w:ascii="Arial" w:hAnsi="Arial" w:cs="Arial"/>
          <w:sz w:val="24"/>
          <w:szCs w:val="24"/>
        </w:rPr>
        <w:t>The first model encapsulates a</w:t>
      </w:r>
      <w:r w:rsidR="00E03B54">
        <w:rPr>
          <w:rFonts w:ascii="Arial" w:hAnsi="Arial" w:cs="Arial"/>
          <w:sz w:val="24"/>
          <w:szCs w:val="24"/>
        </w:rPr>
        <w:t xml:space="preserve"> holistic approach to seminar work:</w:t>
      </w:r>
    </w:p>
    <w:p w:rsidR="00E03B54" w:rsidRPr="006C20C8" w:rsidRDefault="00E03B54" w:rsidP="00E03B54">
      <w:pPr>
        <w:spacing w:line="360" w:lineRule="auto"/>
        <w:jc w:val="both"/>
        <w:rPr>
          <w:rFonts w:ascii="Arial" w:hAnsi="Arial" w:cs="Arial"/>
          <w:sz w:val="24"/>
          <w:szCs w:val="24"/>
        </w:rPr>
      </w:pPr>
      <w:r>
        <w:rPr>
          <w:rFonts w:ascii="Arial" w:hAnsi="Arial" w:cs="Arial"/>
          <w:sz w:val="24"/>
          <w:szCs w:val="24"/>
        </w:rPr>
        <w:t>“</w:t>
      </w:r>
      <w:r w:rsidRPr="006C20C8">
        <w:rPr>
          <w:rFonts w:ascii="Arial" w:hAnsi="Arial" w:cs="Arial"/>
          <w:sz w:val="24"/>
          <w:szCs w:val="24"/>
        </w:rPr>
        <w:t>Assessed group presentations are used as a means of building core skills (team work, legal research, written and verbal communication).  Each ‘team’ (2/3 students) is given a unique problem</w:t>
      </w:r>
      <w:r w:rsidR="0039192F">
        <w:rPr>
          <w:rFonts w:ascii="Arial" w:hAnsi="Arial" w:cs="Arial"/>
          <w:sz w:val="24"/>
          <w:szCs w:val="24"/>
        </w:rPr>
        <w:t xml:space="preserve"> question which they must work o</w:t>
      </w:r>
      <w:r w:rsidRPr="006C20C8">
        <w:rPr>
          <w:rFonts w:ascii="Arial" w:hAnsi="Arial" w:cs="Arial"/>
          <w:sz w:val="24"/>
          <w:szCs w:val="24"/>
        </w:rPr>
        <w:t>n together to produce a group presentation and written account</w:t>
      </w:r>
      <w:r w:rsidR="0039192F">
        <w:rPr>
          <w:rFonts w:ascii="Arial" w:hAnsi="Arial" w:cs="Arial"/>
          <w:sz w:val="24"/>
          <w:szCs w:val="24"/>
        </w:rPr>
        <w:t>.</w:t>
      </w:r>
      <w:r w:rsidRPr="006C20C8">
        <w:rPr>
          <w:rFonts w:ascii="Arial" w:hAnsi="Arial" w:cs="Arial"/>
          <w:sz w:val="24"/>
          <w:szCs w:val="24"/>
        </w:rPr>
        <w:t xml:space="preserve"> </w:t>
      </w:r>
      <w:r w:rsidR="0039192F">
        <w:rPr>
          <w:rFonts w:ascii="Arial" w:hAnsi="Arial" w:cs="Arial"/>
          <w:sz w:val="24"/>
          <w:szCs w:val="24"/>
        </w:rPr>
        <w:t>This presentation</w:t>
      </w:r>
      <w:r w:rsidRPr="006C20C8">
        <w:rPr>
          <w:rFonts w:ascii="Arial" w:hAnsi="Arial" w:cs="Arial"/>
          <w:sz w:val="24"/>
          <w:szCs w:val="24"/>
        </w:rPr>
        <w:t xml:space="preserve"> is then </w:t>
      </w:r>
      <w:r w:rsidR="0039192F">
        <w:rPr>
          <w:rFonts w:ascii="Arial" w:hAnsi="Arial" w:cs="Arial"/>
          <w:sz w:val="24"/>
          <w:szCs w:val="24"/>
        </w:rPr>
        <w:t>delivered</w:t>
      </w:r>
      <w:r w:rsidRPr="006C20C8">
        <w:rPr>
          <w:rFonts w:ascii="Arial" w:hAnsi="Arial" w:cs="Arial"/>
          <w:sz w:val="24"/>
          <w:szCs w:val="24"/>
        </w:rPr>
        <w:t xml:space="preserve"> to the rest of the class who can ask questions.  The written account is circulated as a class handout.  Team members peer review each other’s contribution.</w:t>
      </w:r>
    </w:p>
    <w:p w:rsidR="00E03B54" w:rsidRDefault="00E03B54" w:rsidP="00E03B54">
      <w:pPr>
        <w:spacing w:line="360" w:lineRule="auto"/>
        <w:jc w:val="both"/>
        <w:rPr>
          <w:rFonts w:ascii="Arial" w:hAnsi="Arial" w:cs="Arial"/>
          <w:sz w:val="24"/>
          <w:szCs w:val="24"/>
        </w:rPr>
      </w:pPr>
      <w:r w:rsidRPr="006C20C8">
        <w:rPr>
          <w:rFonts w:ascii="Arial" w:hAnsi="Arial" w:cs="Arial"/>
          <w:sz w:val="24"/>
          <w:szCs w:val="24"/>
        </w:rPr>
        <w:t xml:space="preserve">In addition to the group activity outlined above, individual students are asked to undertake prescribed reading each week which is then ‘tested’ by way of a reading </w:t>
      </w:r>
      <w:r w:rsidRPr="006C20C8">
        <w:rPr>
          <w:rFonts w:ascii="Arial" w:hAnsi="Arial" w:cs="Arial"/>
          <w:sz w:val="24"/>
          <w:szCs w:val="24"/>
        </w:rPr>
        <w:lastRenderedPageBreak/>
        <w:t>check during weekly tutorials.  Students are assessed in relation to their ‘class contribution’ at the end of the semester.</w:t>
      </w:r>
      <w:r>
        <w:rPr>
          <w:rFonts w:ascii="Arial" w:hAnsi="Arial" w:cs="Arial"/>
          <w:sz w:val="24"/>
          <w:szCs w:val="24"/>
        </w:rPr>
        <w:t>”</w:t>
      </w:r>
      <w:r w:rsidR="005A085F">
        <w:rPr>
          <w:rStyle w:val="FootnoteReference"/>
          <w:rFonts w:ascii="Arial" w:hAnsi="Arial" w:cs="Arial"/>
          <w:sz w:val="24"/>
          <w:szCs w:val="24"/>
        </w:rPr>
        <w:footnoteReference w:id="130"/>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The focus on small group teaching is also evident in this response:</w:t>
      </w: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6C20C8">
        <w:rPr>
          <w:rFonts w:ascii="Arial" w:hAnsi="Arial" w:cs="Arial"/>
          <w:sz w:val="24"/>
          <w:szCs w:val="24"/>
        </w:rPr>
        <w:t>Small seminar groups – 12 maximum works well.</w:t>
      </w:r>
      <w:r>
        <w:rPr>
          <w:rFonts w:ascii="Arial" w:hAnsi="Arial" w:cs="Arial"/>
          <w:sz w:val="24"/>
          <w:szCs w:val="24"/>
        </w:rPr>
        <w:t>”</w:t>
      </w:r>
      <w:r w:rsidR="005A085F">
        <w:rPr>
          <w:rStyle w:val="FootnoteReference"/>
          <w:rFonts w:ascii="Arial" w:hAnsi="Arial" w:cs="Arial"/>
          <w:sz w:val="24"/>
          <w:szCs w:val="24"/>
        </w:rPr>
        <w:footnoteReference w:id="131"/>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14.3.2</w:t>
      </w:r>
      <w:r>
        <w:rPr>
          <w:rFonts w:ascii="Arial" w:hAnsi="Arial" w:cs="Arial"/>
          <w:sz w:val="24"/>
          <w:szCs w:val="24"/>
        </w:rPr>
        <w:tab/>
        <w:t>Feedback</w:t>
      </w:r>
    </w:p>
    <w:p w:rsidR="00E03B54" w:rsidRDefault="00E03B54" w:rsidP="00E03B54">
      <w:pPr>
        <w:spacing w:line="360" w:lineRule="auto"/>
        <w:jc w:val="both"/>
        <w:rPr>
          <w:rFonts w:ascii="Arial" w:hAnsi="Arial" w:cs="Arial"/>
          <w:sz w:val="24"/>
          <w:szCs w:val="24"/>
        </w:rPr>
      </w:pPr>
      <w:r>
        <w:rPr>
          <w:rFonts w:ascii="Arial" w:hAnsi="Arial" w:cs="Arial"/>
          <w:sz w:val="24"/>
          <w:szCs w:val="24"/>
        </w:rPr>
        <w:t>A second theme is that of feedback, considered to be particularly important and which the following example emphasises:</w:t>
      </w:r>
    </w:p>
    <w:p w:rsidR="00E03B54" w:rsidRPr="00114584" w:rsidRDefault="00E03B54" w:rsidP="00E03B54">
      <w:pPr>
        <w:spacing w:line="360" w:lineRule="auto"/>
        <w:jc w:val="both"/>
        <w:rPr>
          <w:rFonts w:ascii="Arial" w:hAnsi="Arial" w:cs="Arial"/>
          <w:sz w:val="24"/>
          <w:szCs w:val="24"/>
        </w:rPr>
      </w:pPr>
      <w:r>
        <w:rPr>
          <w:rFonts w:ascii="Arial" w:hAnsi="Arial" w:cs="Arial"/>
          <w:sz w:val="24"/>
          <w:szCs w:val="24"/>
        </w:rPr>
        <w:t>“</w:t>
      </w:r>
      <w:r w:rsidRPr="00114584">
        <w:rPr>
          <w:rFonts w:ascii="Arial" w:hAnsi="Arial" w:cs="Arial"/>
          <w:sz w:val="24"/>
          <w:szCs w:val="24"/>
        </w:rPr>
        <w:t>I think the real benefits of using formative feedback, such as crosswords and informal multiple choice questions, are that it gives confidence to the students, and also provides an incentive to continue with their studies.</w:t>
      </w:r>
    </w:p>
    <w:p w:rsidR="00E03B54" w:rsidRDefault="00E03B54" w:rsidP="00E03B54">
      <w:pPr>
        <w:spacing w:line="360" w:lineRule="auto"/>
        <w:jc w:val="both"/>
        <w:rPr>
          <w:rFonts w:ascii="Arial" w:hAnsi="Arial" w:cs="Arial"/>
          <w:sz w:val="24"/>
          <w:szCs w:val="24"/>
        </w:rPr>
      </w:pPr>
      <w:r w:rsidRPr="00114584">
        <w:rPr>
          <w:rFonts w:ascii="Arial" w:hAnsi="Arial" w:cs="Arial"/>
          <w:sz w:val="24"/>
          <w:szCs w:val="24"/>
        </w:rPr>
        <w:t>I try to give as much feedback as possible for the written essay part of the summative assessment.  This is because students feel that they are not always sure of the reasons for the marks that they are being given even when model answer is provided.</w:t>
      </w:r>
      <w:r>
        <w:rPr>
          <w:rFonts w:ascii="Arial" w:hAnsi="Arial" w:cs="Arial"/>
          <w:sz w:val="24"/>
          <w:szCs w:val="24"/>
        </w:rPr>
        <w:t>”</w:t>
      </w:r>
      <w:r w:rsidR="005A085F">
        <w:rPr>
          <w:rStyle w:val="FootnoteReference"/>
          <w:rFonts w:ascii="Arial" w:hAnsi="Arial" w:cs="Arial"/>
          <w:sz w:val="24"/>
          <w:szCs w:val="24"/>
        </w:rPr>
        <w:footnoteReference w:id="132"/>
      </w:r>
    </w:p>
    <w:p w:rsidR="00E03B54" w:rsidRDefault="00E03B54" w:rsidP="00E03B54">
      <w:pPr>
        <w:spacing w:line="360" w:lineRule="auto"/>
        <w:jc w:val="both"/>
        <w:rPr>
          <w:rFonts w:ascii="Arial" w:hAnsi="Arial" w:cs="Arial"/>
          <w:sz w:val="24"/>
          <w:szCs w:val="24"/>
        </w:rPr>
      </w:pPr>
    </w:p>
    <w:p w:rsidR="00E03B54" w:rsidRDefault="005A085F" w:rsidP="00E03B54">
      <w:pPr>
        <w:spacing w:line="360" w:lineRule="auto"/>
        <w:jc w:val="both"/>
        <w:rPr>
          <w:rFonts w:ascii="Arial" w:hAnsi="Arial" w:cs="Arial"/>
          <w:sz w:val="24"/>
          <w:szCs w:val="24"/>
        </w:rPr>
      </w:pPr>
      <w:r>
        <w:rPr>
          <w:rFonts w:ascii="Arial" w:hAnsi="Arial" w:cs="Arial"/>
          <w:sz w:val="24"/>
          <w:szCs w:val="24"/>
        </w:rPr>
        <w:t>The</w:t>
      </w:r>
      <w:r w:rsidR="00E03B54">
        <w:rPr>
          <w:rFonts w:ascii="Arial" w:hAnsi="Arial" w:cs="Arial"/>
          <w:sz w:val="24"/>
          <w:szCs w:val="24"/>
        </w:rPr>
        <w:t xml:space="preserve"> next </w:t>
      </w:r>
      <w:r w:rsidR="0039192F">
        <w:rPr>
          <w:rFonts w:ascii="Arial" w:hAnsi="Arial" w:cs="Arial"/>
          <w:sz w:val="24"/>
          <w:szCs w:val="24"/>
        </w:rPr>
        <w:t>two</w:t>
      </w:r>
      <w:r w:rsidR="00E03B54">
        <w:rPr>
          <w:rFonts w:ascii="Arial" w:hAnsi="Arial" w:cs="Arial"/>
          <w:sz w:val="24"/>
          <w:szCs w:val="24"/>
        </w:rPr>
        <w:t xml:space="preserve"> responses </w:t>
      </w:r>
      <w:r w:rsidR="0039192F">
        <w:rPr>
          <w:rFonts w:ascii="Arial" w:hAnsi="Arial" w:cs="Arial"/>
          <w:sz w:val="24"/>
          <w:szCs w:val="24"/>
        </w:rPr>
        <w:t>continue to</w:t>
      </w:r>
      <w:r w:rsidR="00E03B54">
        <w:rPr>
          <w:rFonts w:ascii="Arial" w:hAnsi="Arial" w:cs="Arial"/>
          <w:sz w:val="24"/>
          <w:szCs w:val="24"/>
        </w:rPr>
        <w:t xml:space="preserve"> stress the importance of feedback but also lead into the third theme of good practice, that of the employment of alternative teaching materials:</w:t>
      </w:r>
    </w:p>
    <w:p w:rsidR="00E03B54" w:rsidRPr="00114584" w:rsidRDefault="00E03B54" w:rsidP="00E03B54">
      <w:pPr>
        <w:spacing w:line="360" w:lineRule="auto"/>
        <w:jc w:val="both"/>
        <w:rPr>
          <w:rFonts w:ascii="Arial" w:hAnsi="Arial" w:cs="Arial"/>
          <w:sz w:val="24"/>
          <w:szCs w:val="24"/>
        </w:rPr>
      </w:pPr>
      <w:r>
        <w:rPr>
          <w:rFonts w:ascii="Arial" w:hAnsi="Arial" w:cs="Arial"/>
          <w:sz w:val="24"/>
          <w:szCs w:val="24"/>
        </w:rPr>
        <w:t>“</w:t>
      </w:r>
      <w:r w:rsidRPr="005A085F">
        <w:rPr>
          <w:rFonts w:ascii="Arial" w:hAnsi="Arial" w:cs="Arial"/>
          <w:sz w:val="24"/>
          <w:szCs w:val="24"/>
        </w:rPr>
        <w:t>Requiring students to write a case note for their summative coursework on Law of the Single European Market</w:t>
      </w:r>
      <w:r w:rsidRPr="00114584">
        <w:rPr>
          <w:rFonts w:ascii="Arial" w:hAnsi="Arial" w:cs="Arial"/>
          <w:sz w:val="24"/>
          <w:szCs w:val="24"/>
        </w:rPr>
        <w:t>.  It is a useful tool in making students read judgements and opinions of the Advocate General and familiarise themselves with Court of Justice’s workings.</w:t>
      </w:r>
    </w:p>
    <w:p w:rsidR="00E03B54" w:rsidRDefault="00E03B54" w:rsidP="00E03B54">
      <w:pPr>
        <w:spacing w:line="360" w:lineRule="auto"/>
        <w:jc w:val="both"/>
        <w:rPr>
          <w:rFonts w:ascii="Arial" w:hAnsi="Arial" w:cs="Arial"/>
          <w:sz w:val="24"/>
          <w:szCs w:val="24"/>
        </w:rPr>
      </w:pPr>
      <w:r w:rsidRPr="005A085F">
        <w:rPr>
          <w:rFonts w:ascii="Arial" w:hAnsi="Arial" w:cs="Arial"/>
          <w:sz w:val="24"/>
          <w:szCs w:val="24"/>
        </w:rPr>
        <w:lastRenderedPageBreak/>
        <w:t xml:space="preserve">Extensive use of </w:t>
      </w:r>
      <w:proofErr w:type="spellStart"/>
      <w:r w:rsidRPr="005A085F">
        <w:rPr>
          <w:rFonts w:ascii="Arial" w:hAnsi="Arial" w:cs="Arial"/>
          <w:sz w:val="24"/>
          <w:szCs w:val="24"/>
        </w:rPr>
        <w:t>audiovisuals</w:t>
      </w:r>
      <w:proofErr w:type="spellEnd"/>
      <w:r w:rsidRPr="005A085F">
        <w:rPr>
          <w:rFonts w:ascii="Arial" w:hAnsi="Arial" w:cs="Arial"/>
          <w:sz w:val="24"/>
          <w:szCs w:val="24"/>
        </w:rPr>
        <w:t xml:space="preserve"> in the core module</w:t>
      </w:r>
      <w:r w:rsidRPr="00114584">
        <w:rPr>
          <w:rFonts w:ascii="Arial" w:hAnsi="Arial" w:cs="Arial"/>
          <w:sz w:val="24"/>
          <w:szCs w:val="24"/>
        </w:rPr>
        <w:t>.  It has been received very well by the students as it makes it easier to clarify and simplify what appears a ‘foreign’ area of law.</w:t>
      </w:r>
      <w:r>
        <w:rPr>
          <w:rFonts w:ascii="Arial" w:hAnsi="Arial" w:cs="Arial"/>
          <w:sz w:val="24"/>
          <w:szCs w:val="24"/>
        </w:rPr>
        <w:t>”</w:t>
      </w:r>
      <w:r w:rsidR="005A085F">
        <w:rPr>
          <w:rStyle w:val="FootnoteReference"/>
          <w:rFonts w:ascii="Arial" w:hAnsi="Arial" w:cs="Arial"/>
          <w:sz w:val="24"/>
          <w:szCs w:val="24"/>
        </w:rPr>
        <w:footnoteReference w:id="133"/>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“Integrating formative assessment throughout the delivery so that students see incremental progress and receive constant student centred feedback.</w:t>
      </w:r>
    </w:p>
    <w:p w:rsidR="00E03B54" w:rsidRDefault="00E03B54" w:rsidP="00E03B54">
      <w:pPr>
        <w:spacing w:line="360" w:lineRule="auto"/>
        <w:jc w:val="both"/>
        <w:rPr>
          <w:rFonts w:ascii="Arial" w:hAnsi="Arial" w:cs="Arial"/>
          <w:sz w:val="24"/>
          <w:szCs w:val="24"/>
        </w:rPr>
      </w:pPr>
      <w:r>
        <w:rPr>
          <w:rFonts w:ascii="Arial" w:hAnsi="Arial" w:cs="Arial"/>
          <w:sz w:val="24"/>
          <w:szCs w:val="24"/>
        </w:rPr>
        <w:t>Explanation of marking criteria and learning outcomes so that students can self-assess practice work – thereby making them more familiar with both outcomes and the relevant marking criteria ensuring they have a clear understanding of what is expected in the  assessment.</w:t>
      </w:r>
    </w:p>
    <w:p w:rsidR="00E03B54" w:rsidRDefault="00E03B54" w:rsidP="00E03B54">
      <w:pPr>
        <w:spacing w:line="360" w:lineRule="auto"/>
        <w:jc w:val="both"/>
        <w:rPr>
          <w:rFonts w:ascii="Arial" w:hAnsi="Arial" w:cs="Arial"/>
          <w:sz w:val="24"/>
          <w:szCs w:val="24"/>
        </w:rPr>
      </w:pPr>
      <w:r>
        <w:rPr>
          <w:rFonts w:ascii="Arial" w:hAnsi="Arial" w:cs="Arial"/>
          <w:sz w:val="24"/>
          <w:szCs w:val="24"/>
        </w:rPr>
        <w:t>Using flow diagrams as a helpful tool to aid understanding, see how aspects interconnect, and to make revision more active and less passive.”</w:t>
      </w:r>
      <w:r w:rsidR="005A085F">
        <w:rPr>
          <w:rStyle w:val="FootnoteReference"/>
          <w:rFonts w:ascii="Arial" w:hAnsi="Arial" w:cs="Arial"/>
          <w:sz w:val="24"/>
          <w:szCs w:val="24"/>
        </w:rPr>
        <w:footnoteReference w:id="134"/>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14.3.3</w:t>
      </w:r>
      <w:r>
        <w:rPr>
          <w:rFonts w:ascii="Arial" w:hAnsi="Arial" w:cs="Arial"/>
          <w:sz w:val="24"/>
          <w:szCs w:val="24"/>
        </w:rPr>
        <w:tab/>
        <w:t xml:space="preserve">Alternative </w:t>
      </w:r>
      <w:r w:rsidR="005A085F">
        <w:rPr>
          <w:rFonts w:ascii="Arial" w:hAnsi="Arial" w:cs="Arial"/>
          <w:sz w:val="24"/>
          <w:szCs w:val="24"/>
        </w:rPr>
        <w:t xml:space="preserve">Learning and </w:t>
      </w:r>
      <w:r>
        <w:rPr>
          <w:rFonts w:ascii="Arial" w:hAnsi="Arial" w:cs="Arial"/>
          <w:sz w:val="24"/>
          <w:szCs w:val="24"/>
        </w:rPr>
        <w:t>Teaching Materials</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This use of alternative </w:t>
      </w:r>
      <w:r w:rsidR="005A085F">
        <w:rPr>
          <w:rFonts w:ascii="Arial" w:hAnsi="Arial" w:cs="Arial"/>
          <w:sz w:val="24"/>
          <w:szCs w:val="24"/>
        </w:rPr>
        <w:t xml:space="preserve">learning and </w:t>
      </w:r>
      <w:r>
        <w:rPr>
          <w:rFonts w:ascii="Arial" w:hAnsi="Arial" w:cs="Arial"/>
          <w:sz w:val="24"/>
          <w:szCs w:val="24"/>
        </w:rPr>
        <w:t xml:space="preserve">teaching materials, be they audio-visual, diagrams/flow charts, guest speakers or imaginative use of visits to Europe are evident in the following </w:t>
      </w:r>
      <w:r w:rsidR="0026431F">
        <w:rPr>
          <w:rFonts w:ascii="Arial" w:hAnsi="Arial" w:cs="Arial"/>
          <w:sz w:val="24"/>
          <w:szCs w:val="24"/>
        </w:rPr>
        <w:t>5</w:t>
      </w:r>
      <w:r>
        <w:rPr>
          <w:rFonts w:ascii="Arial" w:hAnsi="Arial" w:cs="Arial"/>
          <w:sz w:val="24"/>
          <w:szCs w:val="24"/>
        </w:rPr>
        <w:t xml:space="preserve"> examples:</w:t>
      </w:r>
    </w:p>
    <w:p w:rsidR="00E03B54" w:rsidRPr="00915E71" w:rsidRDefault="00E03B54" w:rsidP="00E03B54">
      <w:pPr>
        <w:spacing w:line="360" w:lineRule="auto"/>
        <w:jc w:val="both"/>
        <w:rPr>
          <w:rFonts w:ascii="Arial" w:hAnsi="Arial" w:cs="Arial"/>
          <w:sz w:val="24"/>
          <w:szCs w:val="24"/>
        </w:rPr>
      </w:pPr>
      <w:r>
        <w:rPr>
          <w:rFonts w:ascii="Arial" w:hAnsi="Arial" w:cs="Arial"/>
          <w:sz w:val="24"/>
          <w:szCs w:val="24"/>
        </w:rPr>
        <w:t>“</w:t>
      </w:r>
      <w:r w:rsidRPr="00915E71">
        <w:rPr>
          <w:rFonts w:ascii="Arial" w:hAnsi="Arial" w:cs="Arial"/>
          <w:sz w:val="24"/>
          <w:szCs w:val="24"/>
        </w:rPr>
        <w:t>Use of videos has helped to raise students</w:t>
      </w:r>
      <w:r>
        <w:rPr>
          <w:rFonts w:ascii="Arial" w:hAnsi="Arial" w:cs="Arial"/>
          <w:sz w:val="24"/>
          <w:szCs w:val="24"/>
        </w:rPr>
        <w:t>’</w:t>
      </w:r>
      <w:r w:rsidRPr="00915E71">
        <w:rPr>
          <w:rFonts w:ascii="Arial" w:hAnsi="Arial" w:cs="Arial"/>
          <w:sz w:val="24"/>
          <w:szCs w:val="24"/>
        </w:rPr>
        <w:t xml:space="preserve"> awareness of the positive and negative aspects to issues as free movement of workers</w:t>
      </w:r>
    </w:p>
    <w:p w:rsidR="00E03B54" w:rsidRPr="00915E71" w:rsidRDefault="00E03B54" w:rsidP="00E03B54">
      <w:pPr>
        <w:spacing w:line="360" w:lineRule="auto"/>
        <w:jc w:val="both"/>
        <w:rPr>
          <w:rFonts w:ascii="Arial" w:hAnsi="Arial" w:cs="Arial"/>
          <w:sz w:val="24"/>
          <w:szCs w:val="24"/>
        </w:rPr>
      </w:pPr>
      <w:r w:rsidRPr="00915E71">
        <w:rPr>
          <w:rFonts w:ascii="Arial" w:hAnsi="Arial" w:cs="Arial"/>
          <w:sz w:val="24"/>
          <w:szCs w:val="24"/>
        </w:rPr>
        <w:t>Use of guest speakers with specific expertise; in particular, in the first year of the course, a representative from the Polish Embassy came to talk to the students from the perspective of a new member state.</w:t>
      </w:r>
    </w:p>
    <w:p w:rsidR="00E03B54" w:rsidRDefault="00E03B54" w:rsidP="00E03B54">
      <w:pPr>
        <w:spacing w:line="360" w:lineRule="auto"/>
        <w:jc w:val="both"/>
        <w:rPr>
          <w:rFonts w:ascii="Arial" w:hAnsi="Arial" w:cs="Arial"/>
          <w:sz w:val="24"/>
          <w:szCs w:val="24"/>
        </w:rPr>
      </w:pPr>
      <w:r w:rsidRPr="00915E71">
        <w:rPr>
          <w:rFonts w:ascii="Arial" w:hAnsi="Arial" w:cs="Arial"/>
          <w:sz w:val="24"/>
          <w:szCs w:val="24"/>
        </w:rPr>
        <w:t>This has not yet taken place, but we are in the early stages of planning an educational visit to European institutions.</w:t>
      </w:r>
      <w:r>
        <w:rPr>
          <w:rFonts w:ascii="Arial" w:hAnsi="Arial" w:cs="Arial"/>
          <w:sz w:val="24"/>
          <w:szCs w:val="24"/>
        </w:rPr>
        <w:t>”</w:t>
      </w:r>
      <w:r w:rsidR="005A085F">
        <w:rPr>
          <w:rStyle w:val="FootnoteReference"/>
          <w:rFonts w:ascii="Arial" w:hAnsi="Arial" w:cs="Arial"/>
          <w:sz w:val="24"/>
          <w:szCs w:val="24"/>
        </w:rPr>
        <w:footnoteReference w:id="135"/>
      </w:r>
    </w:p>
    <w:p w:rsidR="00E03B54" w:rsidRDefault="00E03B54" w:rsidP="00E03B54">
      <w:pPr>
        <w:spacing w:line="360" w:lineRule="auto"/>
        <w:jc w:val="both"/>
        <w:rPr>
          <w:rFonts w:ascii="Arial" w:hAnsi="Arial" w:cs="Arial"/>
          <w:sz w:val="24"/>
          <w:szCs w:val="24"/>
        </w:rPr>
      </w:pPr>
    </w:p>
    <w:p w:rsidR="00E03B54" w:rsidRPr="00915E71" w:rsidRDefault="00E03B54" w:rsidP="00E03B54">
      <w:pPr>
        <w:spacing w:line="360" w:lineRule="auto"/>
        <w:jc w:val="both"/>
        <w:rPr>
          <w:rFonts w:ascii="Arial" w:hAnsi="Arial" w:cs="Arial"/>
          <w:sz w:val="24"/>
          <w:szCs w:val="24"/>
        </w:rPr>
      </w:pPr>
      <w:r>
        <w:rPr>
          <w:rFonts w:ascii="Arial" w:hAnsi="Arial" w:cs="Arial"/>
          <w:sz w:val="24"/>
          <w:szCs w:val="24"/>
        </w:rPr>
        <w:lastRenderedPageBreak/>
        <w:t>“</w:t>
      </w:r>
      <w:r w:rsidRPr="00915E71">
        <w:rPr>
          <w:rFonts w:ascii="Arial" w:hAnsi="Arial" w:cs="Arial"/>
          <w:sz w:val="24"/>
          <w:szCs w:val="24"/>
        </w:rPr>
        <w:t>Use of diagrams when teaching: most students find these very helpful.  Involves different ‘senses’ i.e. visual, aural and note taking.</w:t>
      </w:r>
    </w:p>
    <w:p w:rsidR="00E03B54" w:rsidRPr="00915E71" w:rsidRDefault="00E03B54" w:rsidP="00E03B54">
      <w:pPr>
        <w:spacing w:line="360" w:lineRule="auto"/>
        <w:jc w:val="both"/>
        <w:rPr>
          <w:rFonts w:ascii="Arial" w:hAnsi="Arial" w:cs="Arial"/>
          <w:sz w:val="24"/>
          <w:szCs w:val="24"/>
        </w:rPr>
      </w:pPr>
      <w:r>
        <w:rPr>
          <w:rFonts w:ascii="Arial" w:hAnsi="Arial" w:cs="Arial"/>
          <w:sz w:val="24"/>
          <w:szCs w:val="24"/>
        </w:rPr>
        <w:t>Avoid PowerP</w:t>
      </w:r>
      <w:r w:rsidRPr="00915E71">
        <w:rPr>
          <w:rFonts w:ascii="Arial" w:hAnsi="Arial" w:cs="Arial"/>
          <w:sz w:val="24"/>
          <w:szCs w:val="24"/>
        </w:rPr>
        <w:t>oint: too much visual information at one – off putting / tedious.</w:t>
      </w:r>
    </w:p>
    <w:p w:rsidR="00E03B54" w:rsidRDefault="00E03B54" w:rsidP="00E03B54">
      <w:pPr>
        <w:spacing w:line="360" w:lineRule="auto"/>
        <w:jc w:val="both"/>
        <w:rPr>
          <w:rFonts w:ascii="Arial" w:hAnsi="Arial" w:cs="Arial"/>
          <w:sz w:val="24"/>
          <w:szCs w:val="24"/>
        </w:rPr>
      </w:pPr>
      <w:r w:rsidRPr="00915E71">
        <w:rPr>
          <w:rFonts w:ascii="Arial" w:hAnsi="Arial" w:cs="Arial"/>
          <w:sz w:val="24"/>
          <w:szCs w:val="24"/>
        </w:rPr>
        <w:t>Oral presentations by students: obviously encourages learning.</w:t>
      </w:r>
      <w:r>
        <w:rPr>
          <w:rFonts w:ascii="Arial" w:hAnsi="Arial" w:cs="Arial"/>
          <w:sz w:val="24"/>
          <w:szCs w:val="24"/>
        </w:rPr>
        <w:t>”</w:t>
      </w:r>
      <w:r w:rsidR="005A085F">
        <w:rPr>
          <w:rStyle w:val="FootnoteReference"/>
          <w:rFonts w:ascii="Arial" w:hAnsi="Arial" w:cs="Arial"/>
          <w:sz w:val="24"/>
          <w:szCs w:val="24"/>
        </w:rPr>
        <w:footnoteReference w:id="136"/>
      </w:r>
    </w:p>
    <w:p w:rsidR="00E03B54" w:rsidRDefault="00E03B54" w:rsidP="00E03B54">
      <w:pPr>
        <w:spacing w:line="360" w:lineRule="auto"/>
        <w:jc w:val="both"/>
        <w:rPr>
          <w:rFonts w:ascii="Arial" w:hAnsi="Arial" w:cs="Arial"/>
          <w:sz w:val="24"/>
          <w:szCs w:val="24"/>
        </w:rPr>
      </w:pPr>
    </w:p>
    <w:p w:rsidR="0026431F" w:rsidRDefault="0026431F" w:rsidP="00E03B54">
      <w:pPr>
        <w:spacing w:line="360" w:lineRule="auto"/>
        <w:jc w:val="both"/>
        <w:rPr>
          <w:rFonts w:ascii="Arial" w:hAnsi="Arial" w:cs="Arial"/>
          <w:sz w:val="24"/>
          <w:szCs w:val="24"/>
        </w:rPr>
      </w:pPr>
      <w:r>
        <w:rPr>
          <w:rFonts w:ascii="Arial" w:hAnsi="Arial" w:cs="Arial"/>
          <w:sz w:val="24"/>
          <w:szCs w:val="24"/>
        </w:rPr>
        <w:t>“The students like to have diagrammatical summaries of the materials covered in each lecture/seminar to break down the bulk of the information.”</w:t>
      </w:r>
      <w:r>
        <w:rPr>
          <w:rStyle w:val="FootnoteReference"/>
          <w:rFonts w:ascii="Arial" w:hAnsi="Arial" w:cs="Arial"/>
          <w:sz w:val="24"/>
          <w:szCs w:val="24"/>
        </w:rPr>
        <w:footnoteReference w:id="137"/>
      </w:r>
    </w:p>
    <w:p w:rsidR="0026431F" w:rsidRDefault="0026431F" w:rsidP="00E03B54">
      <w:pPr>
        <w:spacing w:line="360" w:lineRule="auto"/>
        <w:jc w:val="both"/>
        <w:rPr>
          <w:rFonts w:ascii="Arial" w:hAnsi="Arial" w:cs="Arial"/>
          <w:sz w:val="24"/>
          <w:szCs w:val="24"/>
        </w:rPr>
      </w:pPr>
    </w:p>
    <w:p w:rsidR="00E03B54" w:rsidRPr="00915E71" w:rsidRDefault="00E03B54" w:rsidP="00E03B54">
      <w:pPr>
        <w:spacing w:line="360" w:lineRule="auto"/>
        <w:jc w:val="both"/>
        <w:rPr>
          <w:rFonts w:ascii="Arial" w:hAnsi="Arial" w:cs="Arial"/>
          <w:sz w:val="24"/>
          <w:szCs w:val="24"/>
        </w:rPr>
      </w:pPr>
      <w:r>
        <w:rPr>
          <w:rFonts w:ascii="Arial" w:hAnsi="Arial" w:cs="Arial"/>
          <w:sz w:val="24"/>
          <w:szCs w:val="24"/>
        </w:rPr>
        <w:t>“</w:t>
      </w:r>
      <w:r w:rsidRPr="00915E71">
        <w:rPr>
          <w:rFonts w:ascii="Arial" w:hAnsi="Arial" w:cs="Arial"/>
          <w:sz w:val="24"/>
          <w:szCs w:val="24"/>
        </w:rPr>
        <w:t>EU law can be very technical; I do a lot of diagrams, plans and tests in order to make students see the structure of each topic.</w:t>
      </w:r>
    </w:p>
    <w:p w:rsidR="00E03B54" w:rsidRPr="00915E71" w:rsidRDefault="00E03B54" w:rsidP="00E03B54">
      <w:pPr>
        <w:spacing w:line="360" w:lineRule="auto"/>
        <w:jc w:val="both"/>
        <w:rPr>
          <w:rFonts w:ascii="Arial" w:hAnsi="Arial" w:cs="Arial"/>
          <w:sz w:val="24"/>
          <w:szCs w:val="24"/>
        </w:rPr>
      </w:pPr>
      <w:r w:rsidRPr="00915E71">
        <w:rPr>
          <w:rFonts w:ascii="Arial" w:hAnsi="Arial" w:cs="Arial"/>
          <w:sz w:val="24"/>
          <w:szCs w:val="24"/>
        </w:rPr>
        <w:t>At the same time, some topics are more theoretical; I try to relate them to topical discussions (f</w:t>
      </w:r>
      <w:r>
        <w:rPr>
          <w:rFonts w:ascii="Arial" w:hAnsi="Arial" w:cs="Arial"/>
          <w:sz w:val="24"/>
          <w:szCs w:val="24"/>
        </w:rPr>
        <w:t>or e.g.</w:t>
      </w:r>
      <w:r w:rsidRPr="00915E71">
        <w:rPr>
          <w:rFonts w:ascii="Arial" w:hAnsi="Arial" w:cs="Arial"/>
          <w:sz w:val="24"/>
          <w:szCs w:val="24"/>
        </w:rPr>
        <w:t xml:space="preserve"> immigration) so that students can relate the theoretical points with topical issues.</w:t>
      </w:r>
    </w:p>
    <w:p w:rsidR="00E03B54" w:rsidRDefault="00E03B54" w:rsidP="00E03B54">
      <w:pPr>
        <w:spacing w:line="360" w:lineRule="auto"/>
        <w:jc w:val="both"/>
        <w:rPr>
          <w:rFonts w:ascii="Arial" w:hAnsi="Arial" w:cs="Arial"/>
          <w:sz w:val="24"/>
          <w:szCs w:val="24"/>
        </w:rPr>
      </w:pPr>
      <w:r w:rsidRPr="00915E71">
        <w:rPr>
          <w:rFonts w:ascii="Arial" w:hAnsi="Arial" w:cs="Arial"/>
          <w:sz w:val="24"/>
          <w:szCs w:val="24"/>
        </w:rPr>
        <w:t>As EU law is a second year subject, I planned a session to show all students how to find materials on databases.  We also had a session on how to write essays.  This meant that more time was left in lectures for the substantial law rather than practical issues.</w:t>
      </w:r>
      <w:r>
        <w:rPr>
          <w:rFonts w:ascii="Arial" w:hAnsi="Arial" w:cs="Arial"/>
          <w:sz w:val="24"/>
          <w:szCs w:val="24"/>
        </w:rPr>
        <w:t>”</w:t>
      </w:r>
      <w:r w:rsidR="005A085F">
        <w:rPr>
          <w:rStyle w:val="FootnoteReference"/>
          <w:rFonts w:ascii="Arial" w:hAnsi="Arial" w:cs="Arial"/>
          <w:sz w:val="24"/>
          <w:szCs w:val="24"/>
        </w:rPr>
        <w:footnoteReference w:id="138"/>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“In order to teach the institutional framework of the European Union, a PowerPoint presentation with the pictures of the different headquarters in Brussels, Strasbourg and Luxembourg is highly advisable.</w:t>
      </w:r>
    </w:p>
    <w:p w:rsidR="00E03B54" w:rsidRDefault="00E03B54" w:rsidP="00E03B54">
      <w:pPr>
        <w:spacing w:line="360" w:lineRule="auto"/>
        <w:jc w:val="both"/>
        <w:rPr>
          <w:rFonts w:ascii="Arial" w:hAnsi="Arial" w:cs="Arial"/>
          <w:sz w:val="24"/>
          <w:szCs w:val="24"/>
        </w:rPr>
      </w:pPr>
      <w:r>
        <w:rPr>
          <w:rFonts w:ascii="Arial" w:hAnsi="Arial" w:cs="Arial"/>
          <w:sz w:val="24"/>
          <w:szCs w:val="24"/>
        </w:rPr>
        <w:t>In the tutorials discussions about the pros and cons of the EU are excellent tools.</w:t>
      </w:r>
    </w:p>
    <w:p w:rsidR="00E03B54" w:rsidRDefault="00E03B54" w:rsidP="00E03B54">
      <w:pPr>
        <w:spacing w:line="360" w:lineRule="auto"/>
        <w:jc w:val="both"/>
        <w:rPr>
          <w:rFonts w:ascii="Arial" w:hAnsi="Arial" w:cs="Arial"/>
          <w:sz w:val="24"/>
          <w:szCs w:val="24"/>
        </w:rPr>
      </w:pPr>
      <w:r>
        <w:rPr>
          <w:rFonts w:ascii="Arial" w:hAnsi="Arial" w:cs="Arial"/>
          <w:sz w:val="24"/>
          <w:szCs w:val="24"/>
        </w:rPr>
        <w:t>The annual visit to the EU has become a successful practice in our department and students find it extremely beneficial to their learning.”</w:t>
      </w:r>
      <w:r w:rsidR="005A085F">
        <w:rPr>
          <w:rStyle w:val="FootnoteReference"/>
          <w:rFonts w:ascii="Arial" w:hAnsi="Arial" w:cs="Arial"/>
          <w:sz w:val="24"/>
          <w:szCs w:val="24"/>
        </w:rPr>
        <w:footnoteReference w:id="139"/>
      </w:r>
    </w:p>
    <w:p w:rsidR="00656077" w:rsidRDefault="00656077" w:rsidP="00E03B54">
      <w:pPr>
        <w:spacing w:line="360" w:lineRule="auto"/>
        <w:jc w:val="both"/>
        <w:rPr>
          <w:rFonts w:ascii="Arial" w:hAnsi="Arial" w:cs="Arial"/>
          <w:sz w:val="24"/>
          <w:szCs w:val="24"/>
        </w:rPr>
      </w:pPr>
    </w:p>
    <w:p w:rsidR="00656077" w:rsidRDefault="00656077" w:rsidP="00E03B54">
      <w:pPr>
        <w:spacing w:line="360" w:lineRule="auto"/>
        <w:jc w:val="both"/>
        <w:rPr>
          <w:rFonts w:ascii="Arial" w:hAnsi="Arial" w:cs="Arial"/>
          <w:sz w:val="24"/>
          <w:szCs w:val="24"/>
        </w:rPr>
      </w:pPr>
      <w:r>
        <w:rPr>
          <w:rFonts w:ascii="Arial" w:hAnsi="Arial" w:cs="Arial"/>
          <w:sz w:val="24"/>
          <w:szCs w:val="24"/>
        </w:rPr>
        <w:t>One LLB/QLD provider has introduced an innovative method for improving the learning experience of students, especially directed at EU Law students:</w:t>
      </w:r>
    </w:p>
    <w:p w:rsidR="00656077" w:rsidRDefault="00656077" w:rsidP="00E03B54">
      <w:pPr>
        <w:spacing w:line="360" w:lineRule="auto"/>
        <w:jc w:val="both"/>
        <w:rPr>
          <w:rFonts w:ascii="Arial" w:hAnsi="Arial" w:cs="Arial"/>
          <w:sz w:val="24"/>
          <w:szCs w:val="24"/>
        </w:rPr>
      </w:pPr>
      <w:r>
        <w:rPr>
          <w:rFonts w:ascii="Arial" w:hAnsi="Arial" w:cs="Arial"/>
          <w:sz w:val="24"/>
          <w:szCs w:val="24"/>
        </w:rPr>
        <w:t>“For several years third and fourth year students (under my supervision) have run a Peer Assisted Learning (PAL) scheme dedicated specifically to enhance and support learning on the EU Law course (which is usually taken by second years).”</w:t>
      </w:r>
      <w:r>
        <w:rPr>
          <w:rStyle w:val="FootnoteReference"/>
          <w:rFonts w:ascii="Arial" w:hAnsi="Arial" w:cs="Arial"/>
          <w:sz w:val="24"/>
          <w:szCs w:val="24"/>
        </w:rPr>
        <w:footnoteReference w:id="140"/>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14.3.4</w:t>
      </w:r>
      <w:r>
        <w:rPr>
          <w:rFonts w:ascii="Arial" w:hAnsi="Arial" w:cs="Arial"/>
          <w:sz w:val="24"/>
          <w:szCs w:val="24"/>
        </w:rPr>
        <w:tab/>
        <w:t>Anti-Plagiarism</w:t>
      </w:r>
    </w:p>
    <w:p w:rsidR="00E03B54" w:rsidRDefault="00656077" w:rsidP="00E03B54">
      <w:pPr>
        <w:spacing w:line="360" w:lineRule="auto"/>
        <w:jc w:val="both"/>
        <w:rPr>
          <w:rFonts w:ascii="Arial" w:hAnsi="Arial" w:cs="Arial"/>
          <w:sz w:val="24"/>
          <w:szCs w:val="24"/>
        </w:rPr>
      </w:pPr>
      <w:r>
        <w:rPr>
          <w:rFonts w:ascii="Arial" w:hAnsi="Arial" w:cs="Arial"/>
          <w:sz w:val="24"/>
          <w:szCs w:val="24"/>
        </w:rPr>
        <w:t>Another</w:t>
      </w:r>
      <w:r w:rsidR="00E03B54">
        <w:rPr>
          <w:rFonts w:ascii="Arial" w:hAnsi="Arial" w:cs="Arial"/>
          <w:sz w:val="24"/>
          <w:szCs w:val="24"/>
        </w:rPr>
        <w:t xml:space="preserve"> model put forward as an example of </w:t>
      </w:r>
      <w:r w:rsidR="0039192F">
        <w:rPr>
          <w:rFonts w:ascii="Arial" w:hAnsi="Arial" w:cs="Arial"/>
          <w:sz w:val="24"/>
          <w:szCs w:val="24"/>
        </w:rPr>
        <w:t>effective</w:t>
      </w:r>
      <w:r w:rsidR="00E03B54">
        <w:rPr>
          <w:rFonts w:ascii="Arial" w:hAnsi="Arial" w:cs="Arial"/>
          <w:sz w:val="24"/>
          <w:szCs w:val="24"/>
        </w:rPr>
        <w:t xml:space="preserve"> practice is aimed at the growing threat of plagiarism in universities:</w:t>
      </w:r>
    </w:p>
    <w:p w:rsidR="00E03B54" w:rsidRDefault="00E03B54" w:rsidP="00E03B54">
      <w:pPr>
        <w:spacing w:line="360" w:lineRule="auto"/>
        <w:jc w:val="both"/>
        <w:rPr>
          <w:rFonts w:ascii="Arial" w:hAnsi="Arial" w:cs="Arial"/>
          <w:sz w:val="24"/>
          <w:szCs w:val="24"/>
        </w:rPr>
      </w:pPr>
      <w:r>
        <w:rPr>
          <w:rFonts w:ascii="Arial" w:hAnsi="Arial" w:cs="Arial"/>
          <w:sz w:val="24"/>
          <w:szCs w:val="24"/>
        </w:rPr>
        <w:t>“We ask students to write a case note as their assessed piece of work. This avoids (in the main) problems with plagiarism.”</w:t>
      </w:r>
      <w:r w:rsidR="00C37F00">
        <w:rPr>
          <w:rStyle w:val="FootnoteReference"/>
          <w:rFonts w:ascii="Arial" w:hAnsi="Arial" w:cs="Arial"/>
          <w:sz w:val="24"/>
          <w:szCs w:val="24"/>
        </w:rPr>
        <w:footnoteReference w:id="141"/>
      </w:r>
    </w:p>
    <w:p w:rsidR="009824FC" w:rsidRDefault="009824FC" w:rsidP="00E03B54">
      <w:pPr>
        <w:spacing w:line="360" w:lineRule="auto"/>
        <w:jc w:val="both"/>
        <w:rPr>
          <w:rFonts w:ascii="Arial" w:hAnsi="Arial" w:cs="Arial"/>
          <w:sz w:val="24"/>
          <w:szCs w:val="24"/>
        </w:rPr>
      </w:pPr>
    </w:p>
    <w:p w:rsidR="009824FC" w:rsidRDefault="009824FC" w:rsidP="00E03B54">
      <w:pPr>
        <w:spacing w:line="360" w:lineRule="auto"/>
        <w:jc w:val="both"/>
        <w:rPr>
          <w:rFonts w:ascii="Arial" w:hAnsi="Arial" w:cs="Arial"/>
          <w:sz w:val="24"/>
          <w:szCs w:val="24"/>
        </w:rPr>
      </w:pPr>
      <w:r>
        <w:rPr>
          <w:rFonts w:ascii="Arial" w:hAnsi="Arial" w:cs="Arial"/>
          <w:sz w:val="24"/>
          <w:szCs w:val="24"/>
        </w:rPr>
        <w:t>This anti-plagiarism model operates on a number of levels. First, students must demonstrate their ability to summarise the case and critically analyse it in their own words. Second, by using recent case law there is unlikely to be much academic commentary available to plagiarise.</w:t>
      </w:r>
    </w:p>
    <w:p w:rsidR="0026431F" w:rsidRDefault="0026431F" w:rsidP="00E03B54">
      <w:pPr>
        <w:spacing w:line="360" w:lineRule="auto"/>
        <w:jc w:val="both"/>
        <w:rPr>
          <w:rFonts w:ascii="Arial" w:hAnsi="Arial" w:cs="Arial"/>
          <w:sz w:val="24"/>
          <w:szCs w:val="24"/>
        </w:rPr>
      </w:pPr>
    </w:p>
    <w:p w:rsidR="0026431F" w:rsidRDefault="0026431F" w:rsidP="00E03B54">
      <w:pPr>
        <w:spacing w:line="360" w:lineRule="auto"/>
        <w:jc w:val="both"/>
        <w:rPr>
          <w:rFonts w:ascii="Arial" w:hAnsi="Arial" w:cs="Arial"/>
          <w:sz w:val="24"/>
          <w:szCs w:val="24"/>
        </w:rPr>
      </w:pPr>
      <w:r>
        <w:rPr>
          <w:rFonts w:ascii="Arial" w:hAnsi="Arial" w:cs="Arial"/>
          <w:sz w:val="24"/>
          <w:szCs w:val="24"/>
        </w:rPr>
        <w:tab/>
        <w:t>14.3.5</w:t>
      </w:r>
      <w:r>
        <w:rPr>
          <w:rFonts w:ascii="Arial" w:hAnsi="Arial" w:cs="Arial"/>
          <w:sz w:val="24"/>
          <w:szCs w:val="24"/>
        </w:rPr>
        <w:tab/>
        <w:t>Research</w:t>
      </w:r>
    </w:p>
    <w:p w:rsidR="00656077" w:rsidRDefault="00656077" w:rsidP="00E03B54">
      <w:pPr>
        <w:spacing w:line="360" w:lineRule="auto"/>
        <w:jc w:val="both"/>
        <w:rPr>
          <w:rFonts w:ascii="Arial" w:hAnsi="Arial" w:cs="Arial"/>
          <w:sz w:val="24"/>
          <w:szCs w:val="24"/>
        </w:rPr>
      </w:pPr>
      <w:r>
        <w:rPr>
          <w:rFonts w:ascii="Arial" w:hAnsi="Arial" w:cs="Arial"/>
          <w:sz w:val="24"/>
          <w:szCs w:val="24"/>
        </w:rPr>
        <w:t xml:space="preserve">The final example of </w:t>
      </w:r>
      <w:r w:rsidR="00E05CE6">
        <w:rPr>
          <w:rFonts w:ascii="Arial" w:hAnsi="Arial" w:cs="Arial"/>
          <w:sz w:val="24"/>
          <w:szCs w:val="24"/>
        </w:rPr>
        <w:t>effective</w:t>
      </w:r>
      <w:r>
        <w:rPr>
          <w:rFonts w:ascii="Arial" w:hAnsi="Arial" w:cs="Arial"/>
          <w:sz w:val="24"/>
          <w:szCs w:val="24"/>
        </w:rPr>
        <w:t xml:space="preserve"> practice provides a model for introducing research into </w:t>
      </w:r>
      <w:r w:rsidR="009824FC">
        <w:rPr>
          <w:rFonts w:ascii="Arial" w:hAnsi="Arial" w:cs="Arial"/>
          <w:sz w:val="24"/>
          <w:szCs w:val="24"/>
        </w:rPr>
        <w:t xml:space="preserve">exam </w:t>
      </w:r>
      <w:r>
        <w:rPr>
          <w:rFonts w:ascii="Arial" w:hAnsi="Arial" w:cs="Arial"/>
          <w:sz w:val="24"/>
          <w:szCs w:val="24"/>
        </w:rPr>
        <w:t>assessment:</w:t>
      </w:r>
    </w:p>
    <w:p w:rsidR="0026431F" w:rsidRDefault="0026431F" w:rsidP="00E03B54">
      <w:pPr>
        <w:spacing w:line="360" w:lineRule="auto"/>
        <w:jc w:val="both"/>
        <w:rPr>
          <w:rFonts w:ascii="Arial" w:hAnsi="Arial" w:cs="Arial"/>
          <w:sz w:val="24"/>
          <w:szCs w:val="24"/>
        </w:rPr>
      </w:pPr>
      <w:r>
        <w:rPr>
          <w:rFonts w:ascii="Arial" w:hAnsi="Arial" w:cs="Arial"/>
          <w:sz w:val="24"/>
          <w:szCs w:val="24"/>
        </w:rPr>
        <w:t>“</w:t>
      </w:r>
      <w:r w:rsidR="005A085F">
        <w:rPr>
          <w:rFonts w:ascii="Arial" w:hAnsi="Arial" w:cs="Arial"/>
          <w:sz w:val="24"/>
          <w:szCs w:val="24"/>
        </w:rPr>
        <w:t>The assessment for Law of the EU is based on a mixed exam: a seen essay question and an unseen problem question. Students value the research element of the seen question.”</w:t>
      </w:r>
      <w:r w:rsidR="005A085F">
        <w:rPr>
          <w:rStyle w:val="FootnoteReference"/>
          <w:rFonts w:ascii="Arial" w:hAnsi="Arial" w:cs="Arial"/>
          <w:sz w:val="24"/>
          <w:szCs w:val="24"/>
        </w:rPr>
        <w:footnoteReference w:id="142"/>
      </w:r>
    </w:p>
    <w:p w:rsidR="009915CE" w:rsidRDefault="009915CE" w:rsidP="00E03B54">
      <w:pPr>
        <w:spacing w:line="360" w:lineRule="auto"/>
        <w:jc w:val="both"/>
        <w:rPr>
          <w:rFonts w:ascii="Arial" w:hAnsi="Arial" w:cs="Arial"/>
          <w:sz w:val="24"/>
          <w:szCs w:val="24"/>
        </w:rPr>
      </w:pPr>
    </w:p>
    <w:p w:rsidR="009915CE" w:rsidRDefault="009915CE" w:rsidP="00E03B54">
      <w:pPr>
        <w:spacing w:line="360" w:lineRule="auto"/>
        <w:jc w:val="both"/>
        <w:rPr>
          <w:rFonts w:ascii="Arial" w:hAnsi="Arial" w:cs="Arial"/>
          <w:sz w:val="24"/>
          <w:szCs w:val="24"/>
        </w:rPr>
      </w:pPr>
      <w:r>
        <w:rPr>
          <w:rFonts w:ascii="Arial" w:hAnsi="Arial" w:cs="Arial"/>
          <w:sz w:val="24"/>
          <w:szCs w:val="24"/>
        </w:rPr>
        <w:lastRenderedPageBreak/>
        <w:t>Students can therefore prepare for the seen essay to the level that they choose, encouraging student centred learning. Diligent students can research the question and area fully to prepare a full answer that can then presented in the exam, whilst students at the opposite end of the ability or enthusiasm spectrum can choose to research the question superficially.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14.4</w:t>
      </w:r>
      <w:r>
        <w:rPr>
          <w:rFonts w:ascii="Arial" w:hAnsi="Arial" w:cs="Arial"/>
          <w:sz w:val="24"/>
          <w:szCs w:val="24"/>
        </w:rPr>
        <w:tab/>
        <w:t>CPE Providers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The good practices identified by the CPE providers can be categorised under three sub-headings or a mixture of them: feedback; assessment; and, the provision of a practical perspective.</w:t>
      </w:r>
      <w:r w:rsidR="0001521C">
        <w:rPr>
          <w:rFonts w:ascii="Arial" w:hAnsi="Arial" w:cs="Arial"/>
          <w:sz w:val="24"/>
          <w:szCs w:val="24"/>
        </w:rPr>
        <w:t xml:space="preserve"> One CPE provider</w:t>
      </w:r>
      <w:r w:rsidR="0001521C">
        <w:rPr>
          <w:rStyle w:val="FootnoteReference"/>
          <w:rFonts w:ascii="Arial" w:hAnsi="Arial" w:cs="Arial"/>
          <w:sz w:val="24"/>
          <w:szCs w:val="24"/>
        </w:rPr>
        <w:footnoteReference w:id="143"/>
      </w:r>
      <w:r w:rsidR="0001521C">
        <w:rPr>
          <w:rFonts w:ascii="Arial" w:hAnsi="Arial" w:cs="Arial"/>
          <w:sz w:val="24"/>
          <w:szCs w:val="24"/>
        </w:rPr>
        <w:t xml:space="preserve"> gave the same example of good practice as that on the LLB/QLD.</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14.4.1</w:t>
      </w:r>
      <w:r>
        <w:rPr>
          <w:rFonts w:ascii="Arial" w:hAnsi="Arial" w:cs="Arial"/>
          <w:sz w:val="24"/>
          <w:szCs w:val="24"/>
        </w:rPr>
        <w:tab/>
        <w:t>Feedback</w:t>
      </w:r>
    </w:p>
    <w:p w:rsidR="00E03B54" w:rsidRDefault="00E03B54" w:rsidP="00E03B54">
      <w:pPr>
        <w:spacing w:line="360" w:lineRule="auto"/>
        <w:jc w:val="both"/>
        <w:rPr>
          <w:rFonts w:ascii="Arial" w:hAnsi="Arial" w:cs="Arial"/>
          <w:sz w:val="24"/>
          <w:szCs w:val="24"/>
        </w:rPr>
      </w:pPr>
      <w:r>
        <w:rPr>
          <w:rFonts w:ascii="Arial" w:hAnsi="Arial" w:cs="Arial"/>
          <w:sz w:val="24"/>
          <w:szCs w:val="24"/>
        </w:rPr>
        <w:t>The following three comments can generally be included in feedback, although containing some added details:</w:t>
      </w:r>
    </w:p>
    <w:p w:rsidR="00E03B54" w:rsidRDefault="00E03B54" w:rsidP="00E03B54">
      <w:pPr>
        <w:spacing w:line="360" w:lineRule="auto"/>
        <w:jc w:val="both"/>
        <w:rPr>
          <w:rFonts w:ascii="Arial" w:hAnsi="Arial" w:cs="Arial"/>
          <w:sz w:val="24"/>
          <w:szCs w:val="24"/>
        </w:rPr>
      </w:pPr>
      <w:r>
        <w:rPr>
          <w:rFonts w:ascii="Arial" w:hAnsi="Arial" w:cs="Arial"/>
          <w:sz w:val="24"/>
          <w:szCs w:val="24"/>
        </w:rPr>
        <w:t>“Use o</w:t>
      </w:r>
      <w:r w:rsidRPr="00330371">
        <w:rPr>
          <w:rFonts w:ascii="Arial" w:hAnsi="Arial" w:cs="Arial"/>
          <w:sz w:val="24"/>
          <w:szCs w:val="24"/>
        </w:rPr>
        <w:t>f extended seminars at the end of the course (1.5hrs instead of 1 hour) to allow for a reflective view linking parts of the course together – e.g. an overview of the single market having done separate seminars previously on goods, persons, services; overview of fundamental rights contexts and applications).  Students have been overwhelmingly positive in their feedback.</w:t>
      </w:r>
      <w:r>
        <w:rPr>
          <w:rFonts w:ascii="Arial" w:hAnsi="Arial" w:cs="Arial"/>
          <w:sz w:val="24"/>
          <w:szCs w:val="24"/>
        </w:rPr>
        <w:t>”</w:t>
      </w:r>
      <w:r w:rsidR="0001521C">
        <w:rPr>
          <w:rStyle w:val="FootnoteReference"/>
          <w:rFonts w:ascii="Arial" w:hAnsi="Arial" w:cs="Arial"/>
          <w:sz w:val="24"/>
          <w:szCs w:val="24"/>
        </w:rPr>
        <w:footnoteReference w:id="144"/>
      </w:r>
    </w:p>
    <w:p w:rsidR="00E03B54" w:rsidRDefault="00E03B54" w:rsidP="00E03B54">
      <w:pPr>
        <w:spacing w:line="360" w:lineRule="auto"/>
        <w:jc w:val="both"/>
        <w:rPr>
          <w:rFonts w:ascii="Arial" w:hAnsi="Arial" w:cs="Arial"/>
          <w:sz w:val="24"/>
          <w:szCs w:val="24"/>
        </w:rPr>
      </w:pPr>
    </w:p>
    <w:p w:rsidR="00E03B54" w:rsidRPr="00330371" w:rsidRDefault="00E03B54" w:rsidP="00E03B54">
      <w:pPr>
        <w:spacing w:line="360" w:lineRule="auto"/>
        <w:jc w:val="both"/>
        <w:rPr>
          <w:rFonts w:ascii="Arial" w:hAnsi="Arial" w:cs="Arial"/>
          <w:sz w:val="24"/>
          <w:szCs w:val="24"/>
        </w:rPr>
      </w:pPr>
      <w:r>
        <w:rPr>
          <w:rFonts w:ascii="Arial" w:hAnsi="Arial" w:cs="Arial"/>
          <w:sz w:val="24"/>
          <w:szCs w:val="24"/>
        </w:rPr>
        <w:t>“</w:t>
      </w:r>
      <w:r w:rsidRPr="00330371">
        <w:rPr>
          <w:rFonts w:ascii="Arial" w:hAnsi="Arial" w:cs="Arial"/>
          <w:sz w:val="24"/>
          <w:szCs w:val="24"/>
        </w:rPr>
        <w:t xml:space="preserve">The </w:t>
      </w:r>
      <w:smartTag w:uri="urn:schemas-microsoft-com:office:smarttags" w:element="place">
        <w:smartTag w:uri="urn:schemas-microsoft-com:office:smarttags" w:element="PlaceName">
          <w:r w:rsidRPr="00330371">
            <w:rPr>
              <w:rFonts w:ascii="Arial" w:hAnsi="Arial" w:cs="Arial"/>
              <w:sz w:val="24"/>
              <w:szCs w:val="24"/>
            </w:rPr>
            <w:t>Law</w:t>
          </w:r>
        </w:smartTag>
        <w:r w:rsidRPr="00330371">
          <w:rPr>
            <w:rFonts w:ascii="Arial" w:hAnsi="Arial" w:cs="Arial"/>
            <w:sz w:val="24"/>
            <w:szCs w:val="24"/>
          </w:rPr>
          <w:t xml:space="preserve"> </w:t>
        </w:r>
        <w:smartTag w:uri="urn:schemas-microsoft-com:office:smarttags" w:element="PlaceType">
          <w:r w:rsidRPr="00330371">
            <w:rPr>
              <w:rFonts w:ascii="Arial" w:hAnsi="Arial" w:cs="Arial"/>
              <w:sz w:val="24"/>
              <w:szCs w:val="24"/>
            </w:rPr>
            <w:t>School</w:t>
          </w:r>
        </w:smartTag>
      </w:smartTag>
      <w:r w:rsidRPr="00330371">
        <w:rPr>
          <w:rFonts w:ascii="Arial" w:hAnsi="Arial" w:cs="Arial"/>
          <w:sz w:val="24"/>
          <w:szCs w:val="24"/>
        </w:rPr>
        <w:t xml:space="preserve"> provides exceptionally good feedback on assessments to ALL students.</w:t>
      </w:r>
    </w:p>
    <w:p w:rsidR="00E03B54" w:rsidRPr="00330371" w:rsidRDefault="00E03B54" w:rsidP="00E03B54">
      <w:pPr>
        <w:spacing w:line="360" w:lineRule="auto"/>
        <w:jc w:val="both"/>
        <w:rPr>
          <w:rFonts w:ascii="Arial" w:hAnsi="Arial" w:cs="Arial"/>
          <w:sz w:val="24"/>
          <w:szCs w:val="24"/>
        </w:rPr>
      </w:pPr>
      <w:r w:rsidRPr="00330371">
        <w:rPr>
          <w:rFonts w:ascii="Arial" w:hAnsi="Arial" w:cs="Arial"/>
          <w:sz w:val="24"/>
          <w:szCs w:val="24"/>
        </w:rPr>
        <w:lastRenderedPageBreak/>
        <w:t>All lecture notes begin with three objectives, written with active verbs, that the students should be able to achieve by the end of their reading and research time on the particular lecture; and an overall aim of what the lecture is intended to provide.</w:t>
      </w:r>
    </w:p>
    <w:p w:rsidR="00E03B54" w:rsidRDefault="00E03B54" w:rsidP="00E03B54">
      <w:pPr>
        <w:spacing w:line="360" w:lineRule="auto"/>
        <w:jc w:val="both"/>
        <w:rPr>
          <w:rFonts w:ascii="Arial" w:hAnsi="Arial" w:cs="Arial"/>
          <w:sz w:val="24"/>
          <w:szCs w:val="24"/>
        </w:rPr>
      </w:pPr>
      <w:r w:rsidRPr="00330371">
        <w:rPr>
          <w:rFonts w:ascii="Arial" w:hAnsi="Arial" w:cs="Arial"/>
          <w:sz w:val="24"/>
          <w:szCs w:val="24"/>
        </w:rPr>
        <w:t xml:space="preserve">Very good audit trail in respect </w:t>
      </w:r>
      <w:r>
        <w:rPr>
          <w:rFonts w:ascii="Arial" w:hAnsi="Arial" w:cs="Arial"/>
          <w:sz w:val="24"/>
          <w:szCs w:val="24"/>
        </w:rPr>
        <w:t>o</w:t>
      </w:r>
      <w:r w:rsidRPr="00330371">
        <w:rPr>
          <w:rFonts w:ascii="Arial" w:hAnsi="Arial" w:cs="Arial"/>
          <w:sz w:val="24"/>
          <w:szCs w:val="24"/>
        </w:rPr>
        <w:t>f work sent to external examiners.</w:t>
      </w:r>
      <w:r>
        <w:rPr>
          <w:rFonts w:ascii="Arial" w:hAnsi="Arial" w:cs="Arial"/>
          <w:sz w:val="24"/>
          <w:szCs w:val="24"/>
        </w:rPr>
        <w:t>”</w:t>
      </w:r>
      <w:r w:rsidR="0001521C">
        <w:rPr>
          <w:rStyle w:val="FootnoteReference"/>
          <w:rFonts w:ascii="Arial" w:hAnsi="Arial" w:cs="Arial"/>
          <w:sz w:val="24"/>
          <w:szCs w:val="24"/>
        </w:rPr>
        <w:footnoteReference w:id="145"/>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330371">
        <w:rPr>
          <w:rFonts w:ascii="Arial" w:hAnsi="Arial" w:cs="Arial"/>
          <w:sz w:val="24"/>
          <w:szCs w:val="24"/>
        </w:rPr>
        <w:t>Providing revision summaries on Web CT.</w:t>
      </w:r>
      <w:r>
        <w:rPr>
          <w:rFonts w:ascii="Arial" w:hAnsi="Arial" w:cs="Arial"/>
          <w:sz w:val="24"/>
          <w:szCs w:val="24"/>
        </w:rPr>
        <w:t xml:space="preserve"> </w:t>
      </w:r>
      <w:r w:rsidRPr="00330371">
        <w:rPr>
          <w:rFonts w:ascii="Arial" w:hAnsi="Arial" w:cs="Arial"/>
          <w:sz w:val="24"/>
          <w:szCs w:val="24"/>
        </w:rPr>
        <w:t>Offering to give feedback on student work during term.</w:t>
      </w:r>
      <w:r>
        <w:rPr>
          <w:rFonts w:ascii="Arial" w:hAnsi="Arial" w:cs="Arial"/>
          <w:sz w:val="24"/>
          <w:szCs w:val="24"/>
        </w:rPr>
        <w:t xml:space="preserve"> </w:t>
      </w:r>
      <w:r w:rsidRPr="00330371">
        <w:rPr>
          <w:rFonts w:ascii="Arial" w:hAnsi="Arial" w:cs="Arial"/>
          <w:sz w:val="24"/>
          <w:szCs w:val="24"/>
        </w:rPr>
        <w:t>Detailed generic feedback on exam.</w:t>
      </w:r>
      <w:r>
        <w:rPr>
          <w:rFonts w:ascii="Arial" w:hAnsi="Arial" w:cs="Arial"/>
          <w:sz w:val="24"/>
          <w:szCs w:val="24"/>
        </w:rPr>
        <w:t>”</w:t>
      </w:r>
      <w:r w:rsidR="0001521C">
        <w:rPr>
          <w:rStyle w:val="FootnoteReference"/>
          <w:rFonts w:ascii="Arial" w:hAnsi="Arial" w:cs="Arial"/>
          <w:sz w:val="24"/>
          <w:szCs w:val="24"/>
        </w:rPr>
        <w:footnoteReference w:id="146"/>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14.4.2</w:t>
      </w:r>
      <w:r>
        <w:rPr>
          <w:rFonts w:ascii="Arial" w:hAnsi="Arial" w:cs="Arial"/>
          <w:sz w:val="24"/>
          <w:szCs w:val="24"/>
        </w:rPr>
        <w:tab/>
        <w:t>Assessment</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Assessment as </w:t>
      </w:r>
      <w:r w:rsidR="00E05CE6">
        <w:rPr>
          <w:rFonts w:ascii="Arial" w:hAnsi="Arial" w:cs="Arial"/>
          <w:sz w:val="24"/>
          <w:szCs w:val="24"/>
        </w:rPr>
        <w:t>effective</w:t>
      </w:r>
      <w:r>
        <w:rPr>
          <w:rFonts w:ascii="Arial" w:hAnsi="Arial" w:cs="Arial"/>
          <w:sz w:val="24"/>
          <w:szCs w:val="24"/>
        </w:rPr>
        <w:t xml:space="preserve"> practice is surprisingly not tied to learning outcomes but can be considered to be student centred as evidenced in these two responses:</w:t>
      </w: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2F1805">
        <w:rPr>
          <w:rFonts w:ascii="Arial" w:hAnsi="Arial" w:cs="Arial"/>
          <w:sz w:val="24"/>
          <w:szCs w:val="24"/>
        </w:rPr>
        <w:t xml:space="preserve">The assessment of Law of the EU is based on a mixed exam: a seen essay question and an unseen problem question.  Students value the research element </w:t>
      </w:r>
      <w:r>
        <w:rPr>
          <w:rFonts w:ascii="Arial" w:hAnsi="Arial" w:cs="Arial"/>
          <w:sz w:val="24"/>
          <w:szCs w:val="24"/>
        </w:rPr>
        <w:t>o</w:t>
      </w:r>
      <w:r w:rsidRPr="002F1805">
        <w:rPr>
          <w:rFonts w:ascii="Arial" w:hAnsi="Arial" w:cs="Arial"/>
          <w:sz w:val="24"/>
          <w:szCs w:val="24"/>
        </w:rPr>
        <w:t>f the seen question.</w:t>
      </w:r>
      <w:r>
        <w:rPr>
          <w:rFonts w:ascii="Arial" w:hAnsi="Arial" w:cs="Arial"/>
          <w:sz w:val="24"/>
          <w:szCs w:val="24"/>
        </w:rPr>
        <w:t>”</w:t>
      </w:r>
      <w:r w:rsidR="0001521C">
        <w:rPr>
          <w:rStyle w:val="FootnoteReference"/>
          <w:rFonts w:ascii="Arial" w:hAnsi="Arial" w:cs="Arial"/>
          <w:sz w:val="24"/>
          <w:szCs w:val="24"/>
        </w:rPr>
        <w:footnoteReference w:id="147"/>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2F1805">
        <w:rPr>
          <w:rFonts w:ascii="Arial" w:hAnsi="Arial" w:cs="Arial"/>
          <w:sz w:val="24"/>
          <w:szCs w:val="24"/>
        </w:rPr>
        <w:t>Assessment: to help prevent over-assessment while maintaining the integrity of assessment and ensuring a high quality learning experience, the coursework essay (assignment)</w:t>
      </w:r>
      <w:r>
        <w:rPr>
          <w:rFonts w:ascii="Arial" w:hAnsi="Arial" w:cs="Arial"/>
          <w:sz w:val="24"/>
          <w:szCs w:val="24"/>
        </w:rPr>
        <w:t>,</w:t>
      </w:r>
      <w:r w:rsidRPr="002F1805">
        <w:rPr>
          <w:rFonts w:ascii="Arial" w:hAnsi="Arial" w:cs="Arial"/>
          <w:sz w:val="24"/>
          <w:szCs w:val="24"/>
        </w:rPr>
        <w:t xml:space="preserve"> which constitutes 30% of the final mark</w:t>
      </w:r>
      <w:r>
        <w:rPr>
          <w:rFonts w:ascii="Arial" w:hAnsi="Arial" w:cs="Arial"/>
          <w:sz w:val="24"/>
          <w:szCs w:val="24"/>
        </w:rPr>
        <w:t>,</w:t>
      </w:r>
      <w:r w:rsidRPr="002F1805">
        <w:rPr>
          <w:rFonts w:ascii="Arial" w:hAnsi="Arial" w:cs="Arial"/>
          <w:sz w:val="24"/>
          <w:szCs w:val="24"/>
        </w:rPr>
        <w:t xml:space="preserve"> combines EU law with Constitutional and Administrative Law.  For example, this year the essay was on the European Communities Act and Parliamentary supremacy.  Next year we may set an assignment inviting comparison between the European Communities Act and the Human Rights Act.</w:t>
      </w:r>
      <w:r>
        <w:rPr>
          <w:rFonts w:ascii="Arial" w:hAnsi="Arial" w:cs="Arial"/>
          <w:sz w:val="24"/>
          <w:szCs w:val="24"/>
        </w:rPr>
        <w:t>”</w:t>
      </w:r>
      <w:r w:rsidR="00C37F00">
        <w:rPr>
          <w:rStyle w:val="FootnoteReference"/>
          <w:rFonts w:ascii="Arial" w:hAnsi="Arial" w:cs="Arial"/>
          <w:sz w:val="24"/>
          <w:szCs w:val="24"/>
        </w:rPr>
        <w:footnoteReference w:id="148"/>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ab/>
        <w:t>14.4.3</w:t>
      </w:r>
      <w:r>
        <w:rPr>
          <w:rFonts w:ascii="Arial" w:hAnsi="Arial" w:cs="Arial"/>
          <w:sz w:val="24"/>
          <w:szCs w:val="24"/>
        </w:rPr>
        <w:tab/>
        <w:t>Practical Perspective</w:t>
      </w:r>
    </w:p>
    <w:p w:rsidR="00E03B54" w:rsidRDefault="00E03B54" w:rsidP="00E03B54">
      <w:pPr>
        <w:spacing w:line="360" w:lineRule="auto"/>
        <w:jc w:val="both"/>
        <w:rPr>
          <w:rFonts w:ascii="Arial" w:hAnsi="Arial" w:cs="Arial"/>
          <w:sz w:val="24"/>
          <w:szCs w:val="24"/>
        </w:rPr>
      </w:pPr>
      <w:r>
        <w:rPr>
          <w:rFonts w:ascii="Arial" w:hAnsi="Arial" w:cs="Arial"/>
          <w:sz w:val="24"/>
          <w:szCs w:val="24"/>
        </w:rPr>
        <w:lastRenderedPageBreak/>
        <w:t>As the teaching on the CPE tend</w:t>
      </w:r>
      <w:r w:rsidR="00E05CE6">
        <w:rPr>
          <w:rFonts w:ascii="Arial" w:hAnsi="Arial" w:cs="Arial"/>
          <w:sz w:val="24"/>
          <w:szCs w:val="24"/>
        </w:rPr>
        <w:t>s</w:t>
      </w:r>
      <w:r>
        <w:rPr>
          <w:rFonts w:ascii="Arial" w:hAnsi="Arial" w:cs="Arial"/>
          <w:sz w:val="24"/>
          <w:szCs w:val="24"/>
        </w:rPr>
        <w:t xml:space="preserve"> to be delivered by lecturers on the legal practice side of law lecturers (those predominantly lecturing on the Legal Practice Course or Bar Vocational Course) it is unsurprising that a more practical, rather than </w:t>
      </w:r>
      <w:r w:rsidR="00E05CE6">
        <w:rPr>
          <w:rFonts w:ascii="Arial" w:hAnsi="Arial" w:cs="Arial"/>
          <w:sz w:val="24"/>
          <w:szCs w:val="24"/>
        </w:rPr>
        <w:t>doctrinal</w:t>
      </w:r>
      <w:r>
        <w:rPr>
          <w:rFonts w:ascii="Arial" w:hAnsi="Arial" w:cs="Arial"/>
          <w:sz w:val="24"/>
          <w:szCs w:val="24"/>
        </w:rPr>
        <w:t>, approach has been adopted by many institutions. However, the imagination of different approaches is interesting, as are the motivations behind those approaches and the joined up thinking linking practical provision with alternative pedagogical methods. The following five observations provide interesting insights:</w:t>
      </w:r>
    </w:p>
    <w:p w:rsidR="00E03B54" w:rsidRPr="00015651" w:rsidRDefault="00E03B54" w:rsidP="00E03B54">
      <w:pPr>
        <w:spacing w:line="360" w:lineRule="auto"/>
        <w:jc w:val="both"/>
        <w:rPr>
          <w:rFonts w:ascii="Arial" w:hAnsi="Arial" w:cs="Arial"/>
          <w:sz w:val="24"/>
          <w:szCs w:val="24"/>
        </w:rPr>
      </w:pPr>
      <w:r>
        <w:rPr>
          <w:rFonts w:ascii="Arial" w:hAnsi="Arial" w:cs="Arial"/>
          <w:sz w:val="24"/>
          <w:szCs w:val="24"/>
        </w:rPr>
        <w:t>“</w:t>
      </w:r>
      <w:r w:rsidRPr="00015651">
        <w:rPr>
          <w:rFonts w:ascii="Arial" w:hAnsi="Arial" w:cs="Arial"/>
          <w:sz w:val="24"/>
          <w:szCs w:val="24"/>
        </w:rPr>
        <w:t>Problem based learning: Description from Course Handbook:</w:t>
      </w:r>
    </w:p>
    <w:p w:rsidR="00E03B54" w:rsidRPr="00015651" w:rsidRDefault="00E03B54" w:rsidP="00E03B54">
      <w:pPr>
        <w:spacing w:line="360" w:lineRule="auto"/>
        <w:ind w:left="720"/>
        <w:jc w:val="both"/>
        <w:rPr>
          <w:rFonts w:ascii="Arial" w:hAnsi="Arial" w:cs="Arial"/>
          <w:sz w:val="24"/>
          <w:szCs w:val="24"/>
        </w:rPr>
      </w:pPr>
      <w:r w:rsidRPr="00015651">
        <w:rPr>
          <w:rFonts w:ascii="Arial" w:hAnsi="Arial" w:cs="Arial"/>
          <w:sz w:val="24"/>
          <w:szCs w:val="24"/>
        </w:rPr>
        <w:t>“... the principal idea behind Problem-based Learning (PBL) is that the starting point for learning should be a problem which the learner wishes to solve.</w:t>
      </w:r>
    </w:p>
    <w:p w:rsidR="00E03B54" w:rsidRPr="00015651" w:rsidRDefault="00E03B54" w:rsidP="00E03B54">
      <w:pPr>
        <w:spacing w:line="360" w:lineRule="auto"/>
        <w:ind w:left="720"/>
        <w:jc w:val="both"/>
        <w:rPr>
          <w:rFonts w:ascii="Arial" w:hAnsi="Arial" w:cs="Arial"/>
          <w:sz w:val="24"/>
          <w:szCs w:val="24"/>
        </w:rPr>
      </w:pPr>
      <w:r w:rsidRPr="00015651">
        <w:rPr>
          <w:rFonts w:ascii="Arial" w:hAnsi="Arial" w:cs="Arial"/>
          <w:sz w:val="24"/>
          <w:szCs w:val="24"/>
        </w:rPr>
        <w:t>A PBL package is developed by using real life situations that stimulate students to think like a lawyer.  Students work in groups to solve problems.  They decide what information they need and what they need to learn.  They identify what skills they need to acquire to solve the problem effectively.”</w:t>
      </w:r>
    </w:p>
    <w:p w:rsidR="00E03B54" w:rsidRDefault="00E03B54" w:rsidP="00E03B54">
      <w:pPr>
        <w:spacing w:line="360" w:lineRule="auto"/>
        <w:ind w:firstLine="720"/>
        <w:jc w:val="both"/>
        <w:rPr>
          <w:rFonts w:ascii="Arial" w:hAnsi="Arial" w:cs="Arial"/>
          <w:sz w:val="24"/>
          <w:szCs w:val="24"/>
        </w:rPr>
      </w:pPr>
      <w:r w:rsidRPr="00015651">
        <w:rPr>
          <w:rFonts w:ascii="Arial" w:hAnsi="Arial" w:cs="Arial"/>
          <w:sz w:val="24"/>
          <w:szCs w:val="24"/>
        </w:rPr>
        <w:t>I-tutorials – described above</w:t>
      </w:r>
      <w:r>
        <w:rPr>
          <w:rFonts w:ascii="Arial" w:hAnsi="Arial" w:cs="Arial"/>
          <w:sz w:val="24"/>
          <w:szCs w:val="24"/>
        </w:rPr>
        <w:t>.”</w:t>
      </w:r>
      <w:r w:rsidR="0001521C">
        <w:rPr>
          <w:rStyle w:val="FootnoteReference"/>
          <w:rFonts w:ascii="Arial" w:hAnsi="Arial" w:cs="Arial"/>
          <w:sz w:val="24"/>
          <w:szCs w:val="24"/>
        </w:rPr>
        <w:footnoteReference w:id="149"/>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“Q</w:t>
      </w:r>
      <w:r w:rsidRPr="00015651">
        <w:rPr>
          <w:rFonts w:ascii="Arial" w:hAnsi="Arial" w:cs="Arial"/>
          <w:sz w:val="24"/>
          <w:szCs w:val="24"/>
        </w:rPr>
        <w:t xml:space="preserve">uizzes, </w:t>
      </w:r>
      <w:proofErr w:type="spellStart"/>
      <w:r w:rsidRPr="00015651">
        <w:rPr>
          <w:rFonts w:ascii="Arial" w:hAnsi="Arial" w:cs="Arial"/>
          <w:sz w:val="24"/>
          <w:szCs w:val="24"/>
        </w:rPr>
        <w:t>self reflective</w:t>
      </w:r>
      <w:proofErr w:type="spellEnd"/>
      <w:r w:rsidRPr="00015651">
        <w:rPr>
          <w:rFonts w:ascii="Arial" w:hAnsi="Arial" w:cs="Arial"/>
          <w:sz w:val="24"/>
          <w:szCs w:val="24"/>
        </w:rPr>
        <w:t xml:space="preserve"> logs, role play, podcasts, blogs</w:t>
      </w:r>
      <w:r>
        <w:rPr>
          <w:rFonts w:ascii="Arial" w:hAnsi="Arial" w:cs="Arial"/>
          <w:sz w:val="24"/>
          <w:szCs w:val="24"/>
        </w:rPr>
        <w:t>.”</w:t>
      </w:r>
      <w:r w:rsidR="0001521C">
        <w:rPr>
          <w:rStyle w:val="FootnoteReference"/>
          <w:rFonts w:ascii="Arial" w:hAnsi="Arial" w:cs="Arial"/>
          <w:sz w:val="24"/>
          <w:szCs w:val="24"/>
        </w:rPr>
        <w:footnoteReference w:id="150"/>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8C477A">
        <w:rPr>
          <w:rFonts w:ascii="Arial" w:hAnsi="Arial" w:cs="Arial"/>
          <w:sz w:val="24"/>
          <w:szCs w:val="24"/>
        </w:rPr>
        <w:t>EU Law needs practical contextualisation</w:t>
      </w:r>
      <w:r>
        <w:rPr>
          <w:rFonts w:ascii="Arial" w:hAnsi="Arial" w:cs="Arial"/>
          <w:sz w:val="24"/>
          <w:szCs w:val="24"/>
        </w:rPr>
        <w:t xml:space="preserve">. </w:t>
      </w:r>
      <w:r w:rsidRPr="008C477A">
        <w:rPr>
          <w:rFonts w:ascii="Arial" w:hAnsi="Arial" w:cs="Arial"/>
          <w:sz w:val="24"/>
          <w:szCs w:val="24"/>
        </w:rPr>
        <w:t>Blended learning is motivational.</w:t>
      </w:r>
      <w:r>
        <w:rPr>
          <w:rFonts w:ascii="Arial" w:hAnsi="Arial" w:cs="Arial"/>
          <w:sz w:val="24"/>
          <w:szCs w:val="24"/>
        </w:rPr>
        <w:t xml:space="preserve"> </w:t>
      </w:r>
      <w:r w:rsidRPr="008C477A">
        <w:rPr>
          <w:rFonts w:ascii="Arial" w:hAnsi="Arial" w:cs="Arial"/>
          <w:sz w:val="24"/>
          <w:szCs w:val="24"/>
        </w:rPr>
        <w:t>Discussion Workshops allow students to openly discuss their views.</w:t>
      </w:r>
      <w:r>
        <w:rPr>
          <w:rFonts w:ascii="Arial" w:hAnsi="Arial" w:cs="Arial"/>
          <w:sz w:val="24"/>
          <w:szCs w:val="24"/>
        </w:rPr>
        <w:t>”</w:t>
      </w:r>
      <w:r w:rsidR="0001521C">
        <w:rPr>
          <w:rStyle w:val="FootnoteReference"/>
          <w:rFonts w:ascii="Arial" w:hAnsi="Arial" w:cs="Arial"/>
          <w:sz w:val="24"/>
          <w:szCs w:val="24"/>
        </w:rPr>
        <w:footnoteReference w:id="151"/>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w:t>
      </w:r>
      <w:r w:rsidRPr="008C477A">
        <w:rPr>
          <w:rFonts w:ascii="Arial" w:hAnsi="Arial" w:cs="Arial"/>
          <w:sz w:val="24"/>
          <w:szCs w:val="24"/>
        </w:rPr>
        <w:t xml:space="preserve">Personally I find the free movement topics far more interesting and consequently a significant proportion of the module syllabus is devoted to this.  I think the students find this more interesting too.  It also helps to consolidate the material studied in the early part of the module by returning to certain key cases when studying the free movement of goods or persons.  Examples include direct effect (using cases like </w:t>
      </w:r>
      <w:r w:rsidRPr="008C477A">
        <w:rPr>
          <w:rFonts w:ascii="Arial" w:hAnsi="Arial" w:cs="Arial"/>
          <w:sz w:val="24"/>
          <w:szCs w:val="24"/>
          <w:u w:val="single"/>
        </w:rPr>
        <w:lastRenderedPageBreak/>
        <w:t>Van Gend</w:t>
      </w:r>
      <w:r w:rsidRPr="008C477A">
        <w:rPr>
          <w:rFonts w:ascii="Arial" w:hAnsi="Arial" w:cs="Arial"/>
          <w:sz w:val="24"/>
          <w:szCs w:val="24"/>
        </w:rPr>
        <w:t xml:space="preserve">, </w:t>
      </w:r>
      <w:r w:rsidRPr="008C477A">
        <w:rPr>
          <w:rFonts w:ascii="Arial" w:hAnsi="Arial" w:cs="Arial"/>
          <w:sz w:val="24"/>
          <w:szCs w:val="24"/>
          <w:u w:val="single"/>
        </w:rPr>
        <w:t>Van Duyn</w:t>
      </w:r>
      <w:r w:rsidRPr="008C477A">
        <w:rPr>
          <w:rFonts w:ascii="Arial" w:hAnsi="Arial" w:cs="Arial"/>
          <w:sz w:val="24"/>
          <w:szCs w:val="24"/>
        </w:rPr>
        <w:t xml:space="preserve">, </w:t>
      </w:r>
      <w:r w:rsidRPr="008C477A">
        <w:rPr>
          <w:rFonts w:ascii="Arial" w:hAnsi="Arial" w:cs="Arial"/>
          <w:sz w:val="24"/>
          <w:szCs w:val="24"/>
          <w:u w:val="single"/>
        </w:rPr>
        <w:t>Angonese</w:t>
      </w:r>
      <w:r w:rsidRPr="008C477A">
        <w:rPr>
          <w:rFonts w:ascii="Arial" w:hAnsi="Arial" w:cs="Arial"/>
          <w:sz w:val="24"/>
          <w:szCs w:val="24"/>
        </w:rPr>
        <w:t>); state liability (</w:t>
      </w:r>
      <w:r w:rsidRPr="008C477A">
        <w:rPr>
          <w:rFonts w:ascii="Arial" w:hAnsi="Arial" w:cs="Arial"/>
          <w:sz w:val="24"/>
          <w:szCs w:val="24"/>
          <w:u w:val="single"/>
        </w:rPr>
        <w:t>Factortame II and III</w:t>
      </w:r>
      <w:r w:rsidRPr="008C477A">
        <w:rPr>
          <w:rFonts w:ascii="Arial" w:hAnsi="Arial" w:cs="Arial"/>
          <w:sz w:val="24"/>
          <w:szCs w:val="24"/>
        </w:rPr>
        <w:t xml:space="preserve">, </w:t>
      </w:r>
      <w:r w:rsidRPr="008C477A">
        <w:rPr>
          <w:rFonts w:ascii="Arial" w:hAnsi="Arial" w:cs="Arial"/>
          <w:sz w:val="24"/>
          <w:szCs w:val="24"/>
          <w:u w:val="single"/>
        </w:rPr>
        <w:t>Beer Purity / Brasserie du Pêcheur</w:t>
      </w:r>
      <w:r>
        <w:rPr>
          <w:rFonts w:ascii="Arial" w:hAnsi="Arial" w:cs="Arial"/>
          <w:sz w:val="24"/>
          <w:szCs w:val="24"/>
        </w:rPr>
        <w:t>,</w:t>
      </w:r>
      <w:r w:rsidRPr="008C477A">
        <w:rPr>
          <w:rFonts w:ascii="Arial" w:hAnsi="Arial" w:cs="Arial"/>
          <w:sz w:val="24"/>
          <w:szCs w:val="24"/>
        </w:rPr>
        <w:t xml:space="preserve"> </w:t>
      </w:r>
      <w:r w:rsidRPr="008C477A">
        <w:rPr>
          <w:rFonts w:ascii="Arial" w:hAnsi="Arial" w:cs="Arial"/>
          <w:sz w:val="24"/>
          <w:szCs w:val="24"/>
          <w:u w:val="single"/>
        </w:rPr>
        <w:t>Schmidberger</w:t>
      </w:r>
      <w:r w:rsidRPr="008C477A">
        <w:rPr>
          <w:rFonts w:ascii="Arial" w:hAnsi="Arial" w:cs="Arial"/>
          <w:sz w:val="24"/>
          <w:szCs w:val="24"/>
        </w:rPr>
        <w:t xml:space="preserve">, </w:t>
      </w:r>
      <w:r w:rsidRPr="008C477A">
        <w:rPr>
          <w:rFonts w:ascii="Arial" w:hAnsi="Arial" w:cs="Arial"/>
          <w:sz w:val="24"/>
          <w:szCs w:val="24"/>
          <w:u w:val="single"/>
        </w:rPr>
        <w:t>Köbler</w:t>
      </w:r>
      <w:r w:rsidRPr="008C477A">
        <w:rPr>
          <w:rFonts w:ascii="Arial" w:hAnsi="Arial" w:cs="Arial"/>
          <w:sz w:val="24"/>
          <w:szCs w:val="24"/>
        </w:rPr>
        <w:t>); the preliminary rulings procedure (</w:t>
      </w:r>
      <w:r w:rsidRPr="008C477A">
        <w:rPr>
          <w:rFonts w:ascii="Arial" w:hAnsi="Arial" w:cs="Arial"/>
          <w:sz w:val="24"/>
          <w:szCs w:val="24"/>
          <w:u w:val="single"/>
        </w:rPr>
        <w:t>Bosman</w:t>
      </w:r>
      <w:r w:rsidRPr="008C477A">
        <w:rPr>
          <w:rFonts w:ascii="Arial" w:hAnsi="Arial" w:cs="Arial"/>
          <w:sz w:val="24"/>
          <w:szCs w:val="24"/>
        </w:rPr>
        <w:t>).</w:t>
      </w:r>
      <w:r>
        <w:rPr>
          <w:rFonts w:ascii="Arial" w:hAnsi="Arial" w:cs="Arial"/>
          <w:sz w:val="24"/>
          <w:szCs w:val="24"/>
        </w:rPr>
        <w:t>”</w:t>
      </w:r>
      <w:r w:rsidR="0001521C">
        <w:rPr>
          <w:rStyle w:val="FootnoteReference"/>
          <w:rFonts w:ascii="Arial" w:hAnsi="Arial" w:cs="Arial"/>
          <w:sz w:val="24"/>
          <w:szCs w:val="24"/>
        </w:rPr>
        <w:footnoteReference w:id="152"/>
      </w:r>
    </w:p>
    <w:p w:rsidR="00E03B54" w:rsidRDefault="00E03B54" w:rsidP="00E03B54">
      <w:pPr>
        <w:spacing w:line="360" w:lineRule="auto"/>
        <w:jc w:val="both"/>
        <w:rPr>
          <w:rFonts w:ascii="Arial" w:hAnsi="Arial" w:cs="Arial"/>
          <w:sz w:val="24"/>
          <w:szCs w:val="24"/>
        </w:rPr>
      </w:pPr>
    </w:p>
    <w:p w:rsidR="00E03B54" w:rsidRPr="008C477A" w:rsidRDefault="00E03B54" w:rsidP="00E03B54">
      <w:pPr>
        <w:spacing w:line="360" w:lineRule="auto"/>
        <w:jc w:val="both"/>
        <w:rPr>
          <w:rFonts w:ascii="Arial" w:hAnsi="Arial" w:cs="Arial"/>
          <w:sz w:val="24"/>
          <w:szCs w:val="24"/>
        </w:rPr>
      </w:pPr>
      <w:r>
        <w:rPr>
          <w:rFonts w:ascii="Arial" w:hAnsi="Arial" w:cs="Arial"/>
          <w:sz w:val="24"/>
          <w:szCs w:val="24"/>
        </w:rPr>
        <w:t>“</w:t>
      </w:r>
      <w:r w:rsidRPr="008C477A">
        <w:rPr>
          <w:rFonts w:ascii="Arial" w:hAnsi="Arial" w:cs="Arial"/>
          <w:sz w:val="24"/>
          <w:szCs w:val="24"/>
        </w:rPr>
        <w:t>In one of the seminars, the students engage in a role play exercise.  Different groups represent different member states in negotiations over a proposed new EU law.</w:t>
      </w:r>
    </w:p>
    <w:p w:rsidR="00E03B54" w:rsidRPr="008C477A" w:rsidRDefault="00E03B54" w:rsidP="00E03B54">
      <w:pPr>
        <w:spacing w:line="360" w:lineRule="auto"/>
        <w:jc w:val="both"/>
        <w:rPr>
          <w:rFonts w:ascii="Arial" w:hAnsi="Arial" w:cs="Arial"/>
          <w:sz w:val="24"/>
          <w:szCs w:val="24"/>
        </w:rPr>
      </w:pPr>
      <w:r w:rsidRPr="008C477A">
        <w:rPr>
          <w:rFonts w:ascii="Arial" w:hAnsi="Arial" w:cs="Arial"/>
          <w:sz w:val="24"/>
          <w:szCs w:val="24"/>
        </w:rPr>
        <w:t xml:space="preserve">In advance of several of the seminars, students are given a number (15-25) short </w:t>
      </w:r>
      <w:proofErr w:type="spellStart"/>
      <w:r w:rsidRPr="008C477A">
        <w:rPr>
          <w:rFonts w:ascii="Arial" w:hAnsi="Arial" w:cs="Arial"/>
          <w:sz w:val="24"/>
          <w:szCs w:val="24"/>
        </w:rPr>
        <w:t>Self Test</w:t>
      </w:r>
      <w:proofErr w:type="spellEnd"/>
      <w:r w:rsidRPr="008C477A">
        <w:rPr>
          <w:rFonts w:ascii="Arial" w:hAnsi="Arial" w:cs="Arial"/>
          <w:sz w:val="24"/>
          <w:szCs w:val="24"/>
        </w:rPr>
        <w:t xml:space="preserve"> Questions at the time of being given instructions and preparation (including recommended reading) for the seminars.  The STQs are designed to help guide students through their preparation by giving a structure to the topic and emphasising the important issues, etc.</w:t>
      </w:r>
    </w:p>
    <w:p w:rsidR="00E03B54" w:rsidRDefault="00E03B54" w:rsidP="00E03B54">
      <w:pPr>
        <w:spacing w:line="360" w:lineRule="auto"/>
        <w:jc w:val="both"/>
        <w:rPr>
          <w:rFonts w:ascii="Arial" w:hAnsi="Arial" w:cs="Arial"/>
          <w:sz w:val="24"/>
          <w:szCs w:val="24"/>
        </w:rPr>
      </w:pPr>
      <w:r w:rsidRPr="008C477A">
        <w:rPr>
          <w:rFonts w:ascii="Arial" w:hAnsi="Arial" w:cs="Arial"/>
          <w:sz w:val="24"/>
          <w:szCs w:val="24"/>
        </w:rPr>
        <w:t>Substantive law issues (FMG, FMP and competition) are dealt with in seminars primarily by way of problem (fact based) scenarios in which the students are required to advise a fictitious client (so as to highlight the practical importance of EU law in legal practice).</w:t>
      </w:r>
      <w:r>
        <w:rPr>
          <w:rFonts w:ascii="Arial" w:hAnsi="Arial" w:cs="Arial"/>
          <w:sz w:val="24"/>
          <w:szCs w:val="24"/>
        </w:rPr>
        <w:t>”</w:t>
      </w:r>
      <w:r w:rsidR="0001521C">
        <w:rPr>
          <w:rStyle w:val="FootnoteReference"/>
          <w:rFonts w:ascii="Arial" w:hAnsi="Arial" w:cs="Arial"/>
          <w:sz w:val="24"/>
          <w:szCs w:val="24"/>
        </w:rPr>
        <w:footnoteReference w:id="153"/>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14.5</w:t>
      </w:r>
      <w:r>
        <w:rPr>
          <w:rFonts w:ascii="Arial" w:hAnsi="Arial" w:cs="Arial"/>
          <w:sz w:val="24"/>
          <w:szCs w:val="24"/>
        </w:rPr>
        <w:tab/>
        <w:t>Conclusions</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The examples of </w:t>
      </w:r>
      <w:r w:rsidR="00E05CE6">
        <w:rPr>
          <w:rFonts w:ascii="Arial" w:hAnsi="Arial" w:cs="Arial"/>
          <w:sz w:val="24"/>
          <w:szCs w:val="24"/>
        </w:rPr>
        <w:t>effective</w:t>
      </w:r>
      <w:r>
        <w:rPr>
          <w:rFonts w:ascii="Arial" w:hAnsi="Arial" w:cs="Arial"/>
          <w:sz w:val="24"/>
          <w:szCs w:val="24"/>
        </w:rPr>
        <w:t xml:space="preserve"> practice suggest that teaching for EU Law is delivered with imagination th</w:t>
      </w:r>
      <w:r w:rsidR="007A3165">
        <w:rPr>
          <w:rFonts w:ascii="Arial" w:hAnsi="Arial" w:cs="Arial"/>
          <w:sz w:val="24"/>
          <w:szCs w:val="24"/>
        </w:rPr>
        <w:t>r</w:t>
      </w:r>
      <w:r>
        <w:rPr>
          <w:rFonts w:ascii="Arial" w:hAnsi="Arial" w:cs="Arial"/>
          <w:sz w:val="24"/>
          <w:szCs w:val="24"/>
        </w:rPr>
        <w:t xml:space="preserve">ough a student-centred approach incorporating </w:t>
      </w:r>
      <w:r w:rsidR="007A3165">
        <w:rPr>
          <w:rFonts w:ascii="Arial" w:hAnsi="Arial" w:cs="Arial"/>
          <w:sz w:val="24"/>
          <w:szCs w:val="24"/>
        </w:rPr>
        <w:t xml:space="preserve">some </w:t>
      </w:r>
      <w:r>
        <w:rPr>
          <w:rFonts w:ascii="Arial" w:hAnsi="Arial" w:cs="Arial"/>
          <w:sz w:val="24"/>
          <w:szCs w:val="24"/>
        </w:rPr>
        <w:t xml:space="preserve">alternative teaching methods and tailored to the role of the course itself. At first blush there would appear to be a clear delineation between providers of the LLB/QLD and the CPE, with the former relying on a far more formal, </w:t>
      </w:r>
      <w:r w:rsidR="00E05CE6">
        <w:rPr>
          <w:rFonts w:ascii="Arial" w:hAnsi="Arial" w:cs="Arial"/>
          <w:sz w:val="24"/>
          <w:szCs w:val="24"/>
        </w:rPr>
        <w:t>doctrinal</w:t>
      </w:r>
      <w:r>
        <w:rPr>
          <w:rFonts w:ascii="Arial" w:hAnsi="Arial" w:cs="Arial"/>
          <w:sz w:val="24"/>
          <w:szCs w:val="24"/>
        </w:rPr>
        <w:t xml:space="preserve"> approach, and the latter focusing on practical concerns. However, it is suggested that this delineation is too strong and the relationship is far more nuanced with examples of </w:t>
      </w:r>
      <w:r w:rsidR="00E05CE6">
        <w:rPr>
          <w:rFonts w:ascii="Arial" w:hAnsi="Arial" w:cs="Arial"/>
          <w:sz w:val="24"/>
          <w:szCs w:val="24"/>
        </w:rPr>
        <w:t>effective</w:t>
      </w:r>
      <w:r>
        <w:rPr>
          <w:rFonts w:ascii="Arial" w:hAnsi="Arial" w:cs="Arial"/>
          <w:sz w:val="24"/>
          <w:szCs w:val="24"/>
        </w:rPr>
        <w:t xml:space="preserve"> practice able to be transferred between the two. As such the following points can be made:</w:t>
      </w:r>
    </w:p>
    <w:p w:rsidR="00E03B54" w:rsidRDefault="00E03B54" w:rsidP="00E03B54">
      <w:pPr>
        <w:pStyle w:val="ListParagraph"/>
        <w:numPr>
          <w:ilvl w:val="0"/>
          <w:numId w:val="26"/>
        </w:numPr>
        <w:spacing w:line="360" w:lineRule="auto"/>
        <w:jc w:val="both"/>
        <w:rPr>
          <w:rFonts w:ascii="Arial" w:hAnsi="Arial" w:cs="Arial"/>
          <w:sz w:val="24"/>
          <w:szCs w:val="24"/>
        </w:rPr>
      </w:pPr>
      <w:r>
        <w:rPr>
          <w:rFonts w:ascii="Arial" w:hAnsi="Arial" w:cs="Arial"/>
          <w:sz w:val="24"/>
          <w:szCs w:val="24"/>
        </w:rPr>
        <w:lastRenderedPageBreak/>
        <w:t>A holistic approach should be adopted for the teaching of EU Law, employing a range of teaching methods. This should involve the utilisation, where possible, of alternative teaching methods rather than the standard lectern fixed lecture to ensure the capture and retention of student interest.</w:t>
      </w:r>
    </w:p>
    <w:p w:rsidR="00E03B54" w:rsidRDefault="00E03B54" w:rsidP="00E03B54">
      <w:pPr>
        <w:pStyle w:val="ListParagraph"/>
        <w:numPr>
          <w:ilvl w:val="0"/>
          <w:numId w:val="26"/>
        </w:numPr>
        <w:spacing w:line="360" w:lineRule="auto"/>
        <w:jc w:val="both"/>
        <w:rPr>
          <w:rFonts w:ascii="Arial" w:hAnsi="Arial" w:cs="Arial"/>
          <w:sz w:val="24"/>
          <w:szCs w:val="24"/>
        </w:rPr>
      </w:pPr>
      <w:r>
        <w:rPr>
          <w:rFonts w:ascii="Arial" w:hAnsi="Arial" w:cs="Arial"/>
          <w:sz w:val="24"/>
          <w:szCs w:val="24"/>
        </w:rPr>
        <w:t>Feedback should be employed on a range of levels to ensure that students are able to reflect on their learning experience, to encourage self-confidence and improve self- learning.</w:t>
      </w:r>
    </w:p>
    <w:p w:rsidR="00E03B54" w:rsidRDefault="00E03B54" w:rsidP="00E03B54">
      <w:pPr>
        <w:pStyle w:val="ListParagraph"/>
        <w:numPr>
          <w:ilvl w:val="0"/>
          <w:numId w:val="26"/>
        </w:numPr>
        <w:spacing w:line="360" w:lineRule="auto"/>
        <w:jc w:val="both"/>
        <w:rPr>
          <w:rFonts w:ascii="Arial" w:hAnsi="Arial" w:cs="Arial"/>
          <w:sz w:val="24"/>
          <w:szCs w:val="24"/>
        </w:rPr>
      </w:pPr>
      <w:r>
        <w:rPr>
          <w:rFonts w:ascii="Arial" w:hAnsi="Arial" w:cs="Arial"/>
          <w:sz w:val="24"/>
          <w:szCs w:val="24"/>
        </w:rPr>
        <w:t>Assessment should be student-centred and aimed at achieving the course’s learning outcomes.</w:t>
      </w:r>
    </w:p>
    <w:p w:rsidR="00E03B54" w:rsidRDefault="00E03B54" w:rsidP="00E03B54">
      <w:pPr>
        <w:pStyle w:val="ListParagraph"/>
        <w:numPr>
          <w:ilvl w:val="0"/>
          <w:numId w:val="26"/>
        </w:numPr>
        <w:spacing w:line="360" w:lineRule="auto"/>
        <w:jc w:val="both"/>
        <w:rPr>
          <w:rFonts w:ascii="Arial" w:hAnsi="Arial" w:cs="Arial"/>
          <w:sz w:val="24"/>
          <w:szCs w:val="24"/>
        </w:rPr>
      </w:pPr>
      <w:r>
        <w:rPr>
          <w:rFonts w:ascii="Arial" w:hAnsi="Arial" w:cs="Arial"/>
          <w:sz w:val="24"/>
          <w:szCs w:val="24"/>
        </w:rPr>
        <w:t>Lecturers engaged in teaching EU Law should attempt to adopt practical ‘hands-on’ approaches to encourage students to interact with legal tools and materials available.</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There was one final example of </w:t>
      </w:r>
      <w:r w:rsidR="00E05CE6">
        <w:rPr>
          <w:rFonts w:ascii="Arial" w:hAnsi="Arial" w:cs="Arial"/>
          <w:sz w:val="24"/>
          <w:szCs w:val="24"/>
        </w:rPr>
        <w:t>effective</w:t>
      </w:r>
      <w:r>
        <w:rPr>
          <w:rFonts w:ascii="Arial" w:hAnsi="Arial" w:cs="Arial"/>
          <w:sz w:val="24"/>
          <w:szCs w:val="24"/>
        </w:rPr>
        <w:t xml:space="preserve"> practice which we hope encapsulates the approach of all EU Law lecturers delivering EU Law modules </w:t>
      </w:r>
      <w:r w:rsidR="006D7C13">
        <w:rPr>
          <w:rFonts w:ascii="Arial" w:hAnsi="Arial" w:cs="Arial"/>
          <w:sz w:val="24"/>
          <w:szCs w:val="24"/>
        </w:rPr>
        <w:t xml:space="preserve">to </w:t>
      </w:r>
      <w:r>
        <w:rPr>
          <w:rFonts w:ascii="Arial" w:hAnsi="Arial" w:cs="Arial"/>
          <w:sz w:val="24"/>
          <w:szCs w:val="24"/>
        </w:rPr>
        <w:t>their students:</w:t>
      </w:r>
    </w:p>
    <w:p w:rsidR="00E03B54" w:rsidRPr="001E0683" w:rsidRDefault="00E03B54" w:rsidP="00E03B54">
      <w:pPr>
        <w:spacing w:line="360" w:lineRule="auto"/>
        <w:jc w:val="both"/>
        <w:rPr>
          <w:rFonts w:ascii="Arial" w:hAnsi="Arial" w:cs="Arial"/>
          <w:sz w:val="24"/>
          <w:szCs w:val="24"/>
        </w:rPr>
      </w:pPr>
      <w:r>
        <w:rPr>
          <w:rFonts w:ascii="Arial" w:hAnsi="Arial" w:cs="Arial"/>
          <w:sz w:val="24"/>
          <w:szCs w:val="24"/>
        </w:rPr>
        <w:t>“Just damn good teaching.”</w:t>
      </w:r>
      <w:r>
        <w:rPr>
          <w:rStyle w:val="FootnoteReference"/>
          <w:rFonts w:ascii="Arial" w:hAnsi="Arial" w:cs="Arial"/>
          <w:sz w:val="24"/>
          <w:szCs w:val="24"/>
        </w:rPr>
        <w:footnoteReference w:id="154"/>
      </w:r>
    </w:p>
    <w:p w:rsidR="00E03B54" w:rsidRDefault="00E03B54">
      <w:pPr>
        <w:spacing w:after="0" w:line="240" w:lineRule="auto"/>
        <w:rPr>
          <w:rFonts w:ascii="Arial" w:hAnsi="Arial" w:cs="Arial"/>
          <w:sz w:val="24"/>
          <w:szCs w:val="24"/>
        </w:rPr>
      </w:pPr>
      <w:r>
        <w:rPr>
          <w:rFonts w:ascii="Arial" w:hAnsi="Arial" w:cs="Arial"/>
          <w:sz w:val="24"/>
          <w:szCs w:val="24"/>
        </w:rPr>
        <w:br w:type="page"/>
      </w:r>
    </w:p>
    <w:p w:rsidR="00E03B54" w:rsidRDefault="00E03B54" w:rsidP="00E03B54">
      <w:pPr>
        <w:spacing w:line="360" w:lineRule="auto"/>
        <w:jc w:val="both"/>
        <w:rPr>
          <w:rFonts w:ascii="Arial" w:hAnsi="Arial" w:cs="Arial"/>
          <w:sz w:val="28"/>
          <w:szCs w:val="28"/>
        </w:rPr>
      </w:pPr>
      <w:r>
        <w:rPr>
          <w:rFonts w:ascii="Arial" w:hAnsi="Arial" w:cs="Arial"/>
          <w:b/>
          <w:sz w:val="28"/>
          <w:szCs w:val="28"/>
        </w:rPr>
        <w:lastRenderedPageBreak/>
        <w:t>15.</w:t>
      </w:r>
      <w:r>
        <w:rPr>
          <w:rFonts w:ascii="Arial" w:hAnsi="Arial" w:cs="Arial"/>
          <w:b/>
          <w:sz w:val="28"/>
          <w:szCs w:val="28"/>
        </w:rPr>
        <w:tab/>
        <w:t>The Future</w:t>
      </w:r>
    </w:p>
    <w:p w:rsidR="00E03B54" w:rsidRDefault="00E03B54" w:rsidP="00E03B54">
      <w:pPr>
        <w:spacing w:line="360" w:lineRule="auto"/>
        <w:jc w:val="both"/>
        <w:rPr>
          <w:rFonts w:ascii="Arial" w:hAnsi="Arial" w:cs="Arial"/>
          <w:sz w:val="24"/>
          <w:szCs w:val="24"/>
        </w:rPr>
      </w:pPr>
    </w:p>
    <w:p w:rsidR="00E03B54" w:rsidRDefault="004F3529" w:rsidP="00E03B54">
      <w:pPr>
        <w:spacing w:line="360" w:lineRule="auto"/>
        <w:jc w:val="both"/>
        <w:rPr>
          <w:rFonts w:ascii="Arial" w:hAnsi="Arial" w:cs="Arial"/>
          <w:sz w:val="24"/>
          <w:szCs w:val="24"/>
        </w:rPr>
      </w:pPr>
      <w:r>
        <w:rPr>
          <w:rFonts w:ascii="Arial" w:hAnsi="Arial" w:cs="Arial"/>
          <w:sz w:val="24"/>
          <w:szCs w:val="24"/>
        </w:rPr>
        <w:t>15.1</w:t>
      </w:r>
      <w:r>
        <w:rPr>
          <w:rFonts w:ascii="Arial" w:hAnsi="Arial" w:cs="Arial"/>
          <w:sz w:val="24"/>
          <w:szCs w:val="24"/>
        </w:rPr>
        <w:tab/>
        <w:t>This Subject Survey raised a significant number of issues</w:t>
      </w:r>
      <w:r w:rsidR="00893C3D">
        <w:rPr>
          <w:rFonts w:ascii="Arial" w:hAnsi="Arial" w:cs="Arial"/>
          <w:sz w:val="24"/>
          <w:szCs w:val="24"/>
        </w:rPr>
        <w:t xml:space="preserve"> about EU Law and its teaching, and indeed teaching in general. As such the authors suggest that two </w:t>
      </w:r>
      <w:r w:rsidR="002642D3">
        <w:rPr>
          <w:rFonts w:ascii="Arial" w:hAnsi="Arial" w:cs="Arial"/>
          <w:sz w:val="24"/>
          <w:szCs w:val="24"/>
        </w:rPr>
        <w:t xml:space="preserve">dominant </w:t>
      </w:r>
      <w:r w:rsidR="00893C3D">
        <w:rPr>
          <w:rFonts w:ascii="Arial" w:hAnsi="Arial" w:cs="Arial"/>
          <w:sz w:val="24"/>
          <w:szCs w:val="24"/>
        </w:rPr>
        <w:t>themes can be identified that require further discussion.</w:t>
      </w:r>
      <w:r w:rsidR="002642D3">
        <w:rPr>
          <w:rFonts w:ascii="Arial" w:hAnsi="Arial" w:cs="Arial"/>
          <w:sz w:val="24"/>
          <w:szCs w:val="24"/>
        </w:rPr>
        <w:t xml:space="preserve"> In turn these two themes contain four elements.</w:t>
      </w:r>
      <w:r w:rsidR="00704E8A">
        <w:rPr>
          <w:rFonts w:ascii="Arial" w:hAnsi="Arial" w:cs="Arial"/>
          <w:sz w:val="24"/>
          <w:szCs w:val="24"/>
        </w:rPr>
        <w:t xml:space="preserve"> It is also suggested that the points to be discussed below are relevant for both LLB/QLD and CPE lecturers of EU Law.</w:t>
      </w:r>
    </w:p>
    <w:p w:rsidR="00893C3D" w:rsidRDefault="00893C3D" w:rsidP="00E03B54">
      <w:pPr>
        <w:spacing w:line="360" w:lineRule="auto"/>
        <w:jc w:val="both"/>
        <w:rPr>
          <w:rFonts w:ascii="Arial" w:hAnsi="Arial" w:cs="Arial"/>
          <w:sz w:val="24"/>
          <w:szCs w:val="24"/>
        </w:rPr>
      </w:pPr>
    </w:p>
    <w:p w:rsidR="00893C3D" w:rsidRDefault="00893C3D" w:rsidP="00E03B54">
      <w:pPr>
        <w:spacing w:line="360" w:lineRule="auto"/>
        <w:jc w:val="both"/>
        <w:rPr>
          <w:rFonts w:ascii="Arial" w:hAnsi="Arial" w:cs="Arial"/>
          <w:sz w:val="24"/>
          <w:szCs w:val="24"/>
        </w:rPr>
      </w:pPr>
      <w:r>
        <w:rPr>
          <w:rFonts w:ascii="Arial" w:hAnsi="Arial" w:cs="Arial"/>
          <w:sz w:val="24"/>
          <w:szCs w:val="24"/>
        </w:rPr>
        <w:t>15.2</w:t>
      </w:r>
      <w:r>
        <w:rPr>
          <w:rFonts w:ascii="Arial" w:hAnsi="Arial" w:cs="Arial"/>
          <w:sz w:val="24"/>
          <w:szCs w:val="24"/>
        </w:rPr>
        <w:tab/>
        <w:t>Future Directions for Teaching EU Law</w:t>
      </w:r>
    </w:p>
    <w:p w:rsidR="00893C3D" w:rsidRDefault="00893C3D" w:rsidP="00E03B54">
      <w:pPr>
        <w:spacing w:line="360" w:lineRule="auto"/>
        <w:jc w:val="both"/>
        <w:rPr>
          <w:rFonts w:ascii="Arial" w:hAnsi="Arial" w:cs="Arial"/>
          <w:sz w:val="24"/>
          <w:szCs w:val="24"/>
        </w:rPr>
      </w:pPr>
    </w:p>
    <w:p w:rsidR="00893C3D" w:rsidRDefault="002642D3" w:rsidP="00E03B54">
      <w:pPr>
        <w:spacing w:line="360" w:lineRule="auto"/>
        <w:jc w:val="both"/>
        <w:rPr>
          <w:rFonts w:ascii="Arial" w:hAnsi="Arial" w:cs="Arial"/>
          <w:sz w:val="24"/>
          <w:szCs w:val="24"/>
        </w:rPr>
      </w:pPr>
      <w:r>
        <w:rPr>
          <w:rFonts w:ascii="Arial" w:hAnsi="Arial" w:cs="Arial"/>
          <w:sz w:val="24"/>
          <w:szCs w:val="24"/>
        </w:rPr>
        <w:tab/>
        <w:t>15.2.1</w:t>
      </w:r>
      <w:r>
        <w:rPr>
          <w:rFonts w:ascii="Arial" w:hAnsi="Arial" w:cs="Arial"/>
          <w:sz w:val="24"/>
          <w:szCs w:val="24"/>
        </w:rPr>
        <w:tab/>
        <w:t>Course Contents</w:t>
      </w:r>
    </w:p>
    <w:p w:rsidR="002642D3" w:rsidRDefault="00704E8A" w:rsidP="00E03B54">
      <w:pPr>
        <w:spacing w:line="360" w:lineRule="auto"/>
        <w:jc w:val="both"/>
        <w:rPr>
          <w:rFonts w:ascii="Arial" w:hAnsi="Arial" w:cs="Arial"/>
          <w:sz w:val="24"/>
          <w:szCs w:val="24"/>
        </w:rPr>
      </w:pPr>
      <w:r>
        <w:rPr>
          <w:rFonts w:ascii="Arial" w:hAnsi="Arial" w:cs="Arial"/>
          <w:sz w:val="24"/>
          <w:szCs w:val="24"/>
        </w:rPr>
        <w:t xml:space="preserve">The contents of the EU Law module are reasonably fixed, either by the practicalities of teaching a novel and </w:t>
      </w:r>
      <w:r>
        <w:rPr>
          <w:rFonts w:ascii="Arial" w:hAnsi="Arial" w:cs="Arial"/>
          <w:i/>
          <w:sz w:val="24"/>
          <w:szCs w:val="24"/>
        </w:rPr>
        <w:t>sui generis</w:t>
      </w:r>
      <w:r>
        <w:rPr>
          <w:rFonts w:ascii="Arial" w:hAnsi="Arial" w:cs="Arial"/>
          <w:sz w:val="24"/>
          <w:szCs w:val="24"/>
        </w:rPr>
        <w:t xml:space="preserve"> legal system in a finite time period or through the </w:t>
      </w:r>
      <w:r w:rsidR="00713C53">
        <w:rPr>
          <w:rFonts w:ascii="Arial" w:hAnsi="Arial" w:cs="Arial"/>
          <w:sz w:val="24"/>
          <w:szCs w:val="24"/>
        </w:rPr>
        <w:t xml:space="preserve">incorrectly perceived </w:t>
      </w:r>
      <w:r>
        <w:rPr>
          <w:rFonts w:ascii="Arial" w:hAnsi="Arial" w:cs="Arial"/>
          <w:sz w:val="24"/>
          <w:szCs w:val="24"/>
        </w:rPr>
        <w:t>formal requirements of the professional bodies. However, EU Law has undergone considerable evolution and almost unbelievable expansion since 1957. As the fields of EU Law have expanded so has its complexity. The result, seen in the answers to the questionnaire and in d</w:t>
      </w:r>
      <w:r w:rsidR="006D7C13">
        <w:rPr>
          <w:rFonts w:ascii="Arial" w:hAnsi="Arial" w:cs="Arial"/>
          <w:sz w:val="24"/>
          <w:szCs w:val="24"/>
        </w:rPr>
        <w:t>iscussions with colleagues, is a</w:t>
      </w:r>
      <w:r>
        <w:rPr>
          <w:rFonts w:ascii="Arial" w:hAnsi="Arial" w:cs="Arial"/>
          <w:sz w:val="24"/>
          <w:szCs w:val="24"/>
        </w:rPr>
        <w:t>n increasing tendency to ‘scratch at the surface’ or merely teach the basics in the compulsory EU Law module</w:t>
      </w:r>
      <w:r w:rsidR="00286CB2">
        <w:rPr>
          <w:rFonts w:ascii="Arial" w:hAnsi="Arial" w:cs="Arial"/>
          <w:sz w:val="24"/>
          <w:szCs w:val="24"/>
        </w:rPr>
        <w:t>. Specialist areas of law, still either fully regulated or at least significantly influenced by EU Law, are removed from the basic module to become options studied by a significantly smaller number of students.</w:t>
      </w:r>
    </w:p>
    <w:p w:rsidR="00286CB2" w:rsidRDefault="00286CB2" w:rsidP="00E03B54">
      <w:pPr>
        <w:spacing w:line="360" w:lineRule="auto"/>
        <w:jc w:val="both"/>
        <w:rPr>
          <w:rFonts w:ascii="Arial" w:hAnsi="Arial" w:cs="Arial"/>
          <w:sz w:val="24"/>
          <w:szCs w:val="24"/>
        </w:rPr>
      </w:pPr>
    </w:p>
    <w:p w:rsidR="00286CB2" w:rsidRDefault="00286CB2" w:rsidP="00E03B54">
      <w:pPr>
        <w:spacing w:line="360" w:lineRule="auto"/>
        <w:jc w:val="both"/>
        <w:rPr>
          <w:rFonts w:ascii="Arial" w:hAnsi="Arial" w:cs="Arial"/>
          <w:sz w:val="24"/>
          <w:szCs w:val="24"/>
        </w:rPr>
      </w:pPr>
      <w:r>
        <w:rPr>
          <w:rFonts w:ascii="Arial" w:hAnsi="Arial" w:cs="Arial"/>
          <w:sz w:val="24"/>
          <w:szCs w:val="24"/>
        </w:rPr>
        <w:t>It is submitted that this tendency will continue</w:t>
      </w:r>
      <w:r w:rsidR="00F65E2F">
        <w:rPr>
          <w:rStyle w:val="FootnoteReference"/>
          <w:rFonts w:ascii="Arial" w:hAnsi="Arial" w:cs="Arial"/>
          <w:sz w:val="24"/>
          <w:szCs w:val="24"/>
        </w:rPr>
        <w:footnoteReference w:id="155"/>
      </w:r>
      <w:r>
        <w:rPr>
          <w:rFonts w:ascii="Arial" w:hAnsi="Arial" w:cs="Arial"/>
          <w:sz w:val="24"/>
          <w:szCs w:val="24"/>
        </w:rPr>
        <w:t xml:space="preserve">. EU Law, in comparison to UK law, has grown significantly faster in the last 63 years and there is no indication that it is slowing down. Therefore, there may come a time when the content of the current EU Law module </w:t>
      </w:r>
      <w:r w:rsidR="00EE6878">
        <w:rPr>
          <w:rFonts w:ascii="Arial" w:hAnsi="Arial" w:cs="Arial"/>
          <w:sz w:val="24"/>
          <w:szCs w:val="24"/>
        </w:rPr>
        <w:t xml:space="preserve">has to be taught in a number of compulsory courses (possibly on the </w:t>
      </w:r>
      <w:r w:rsidR="00EE6878">
        <w:rPr>
          <w:rFonts w:ascii="Arial" w:hAnsi="Arial" w:cs="Arial"/>
          <w:sz w:val="24"/>
          <w:szCs w:val="24"/>
        </w:rPr>
        <w:lastRenderedPageBreak/>
        <w:t>lines of the split that we identified in Chapter 6: history and institutional law; foundational principles and remedies; and, substantive law) supported by a discrete range of specialist, predominantly EU Law, modules (e.g. intellectual property, competition law, discrimination law etc.).</w:t>
      </w:r>
      <w:r w:rsidR="00713C53">
        <w:rPr>
          <w:rFonts w:ascii="Arial" w:hAnsi="Arial" w:cs="Arial"/>
          <w:sz w:val="24"/>
          <w:szCs w:val="24"/>
        </w:rPr>
        <w:t xml:space="preserve"> This would not represent a departure from the formal requirements of the professional bodies.</w:t>
      </w:r>
    </w:p>
    <w:p w:rsidR="00EE6878" w:rsidRDefault="00EE6878" w:rsidP="00E03B54">
      <w:pPr>
        <w:spacing w:line="360" w:lineRule="auto"/>
        <w:jc w:val="both"/>
        <w:rPr>
          <w:rFonts w:ascii="Arial" w:hAnsi="Arial" w:cs="Arial"/>
          <w:sz w:val="24"/>
          <w:szCs w:val="24"/>
        </w:rPr>
      </w:pPr>
    </w:p>
    <w:p w:rsidR="00EE6878" w:rsidRDefault="00EE6878" w:rsidP="00E03B54">
      <w:pPr>
        <w:spacing w:line="360" w:lineRule="auto"/>
        <w:jc w:val="both"/>
        <w:rPr>
          <w:rFonts w:ascii="Arial" w:hAnsi="Arial" w:cs="Arial"/>
          <w:sz w:val="24"/>
          <w:szCs w:val="24"/>
        </w:rPr>
      </w:pPr>
      <w:r>
        <w:rPr>
          <w:rFonts w:ascii="Arial" w:hAnsi="Arial" w:cs="Arial"/>
          <w:sz w:val="24"/>
          <w:szCs w:val="24"/>
        </w:rPr>
        <w:t>It must be emphasised that we are not at this stage yet but it is a possibility for the future, especially if the extent and reach of EU Law continues to expand at today’s pace.</w:t>
      </w:r>
    </w:p>
    <w:p w:rsidR="00EE6878" w:rsidRDefault="00EE6878" w:rsidP="00E03B54">
      <w:pPr>
        <w:spacing w:line="360" w:lineRule="auto"/>
        <w:jc w:val="both"/>
        <w:rPr>
          <w:rFonts w:ascii="Arial" w:hAnsi="Arial" w:cs="Arial"/>
          <w:sz w:val="24"/>
          <w:szCs w:val="24"/>
        </w:rPr>
      </w:pPr>
    </w:p>
    <w:p w:rsidR="00EE6878" w:rsidRDefault="00EE6878" w:rsidP="00E03B54">
      <w:pPr>
        <w:spacing w:line="360" w:lineRule="auto"/>
        <w:jc w:val="both"/>
        <w:rPr>
          <w:rFonts w:ascii="Arial" w:hAnsi="Arial" w:cs="Arial"/>
          <w:sz w:val="24"/>
          <w:szCs w:val="24"/>
        </w:rPr>
      </w:pPr>
      <w:r>
        <w:rPr>
          <w:rFonts w:ascii="Arial" w:hAnsi="Arial" w:cs="Arial"/>
          <w:sz w:val="24"/>
          <w:szCs w:val="24"/>
        </w:rPr>
        <w:tab/>
        <w:t>15.2.2</w:t>
      </w:r>
      <w:r>
        <w:rPr>
          <w:rFonts w:ascii="Arial" w:hAnsi="Arial" w:cs="Arial"/>
          <w:sz w:val="24"/>
          <w:szCs w:val="24"/>
        </w:rPr>
        <w:tab/>
        <w:t>Teaching and Learning Methods</w:t>
      </w:r>
    </w:p>
    <w:p w:rsidR="00EE6878" w:rsidRDefault="00EE6878" w:rsidP="00E03B54">
      <w:pPr>
        <w:spacing w:line="360" w:lineRule="auto"/>
        <w:jc w:val="both"/>
        <w:rPr>
          <w:rFonts w:ascii="Arial" w:hAnsi="Arial" w:cs="Arial"/>
          <w:sz w:val="24"/>
          <w:szCs w:val="24"/>
        </w:rPr>
      </w:pPr>
      <w:r>
        <w:rPr>
          <w:rFonts w:ascii="Arial" w:hAnsi="Arial" w:cs="Arial"/>
          <w:sz w:val="24"/>
          <w:szCs w:val="24"/>
        </w:rPr>
        <w:t>One of the major findings of this research has been the employment by EU Law lecturers of highly tradit</w:t>
      </w:r>
      <w:r w:rsidR="006B02FD">
        <w:rPr>
          <w:rFonts w:ascii="Arial" w:hAnsi="Arial" w:cs="Arial"/>
          <w:sz w:val="24"/>
          <w:szCs w:val="24"/>
        </w:rPr>
        <w:t xml:space="preserve">ional teaching methods for the </w:t>
      </w:r>
      <w:r>
        <w:rPr>
          <w:rFonts w:ascii="Arial" w:hAnsi="Arial" w:cs="Arial"/>
          <w:sz w:val="24"/>
          <w:szCs w:val="24"/>
        </w:rPr>
        <w:t>delivery of the</w:t>
      </w:r>
      <w:r w:rsidR="006D7C13">
        <w:rPr>
          <w:rFonts w:ascii="Arial" w:hAnsi="Arial" w:cs="Arial"/>
          <w:sz w:val="24"/>
          <w:szCs w:val="24"/>
        </w:rPr>
        <w:t>ir</w:t>
      </w:r>
      <w:r>
        <w:rPr>
          <w:rFonts w:ascii="Arial" w:hAnsi="Arial" w:cs="Arial"/>
          <w:sz w:val="24"/>
          <w:szCs w:val="24"/>
        </w:rPr>
        <w:t xml:space="preserve"> course. </w:t>
      </w:r>
      <w:r w:rsidR="006B02FD">
        <w:rPr>
          <w:rFonts w:ascii="Arial" w:hAnsi="Arial" w:cs="Arial"/>
          <w:sz w:val="24"/>
          <w:szCs w:val="24"/>
        </w:rPr>
        <w:t>Although there were examples of innovative teaching, the vast majority of teachers either did not use these or simply used them to support the traditional lecture/seminar model of teaching.</w:t>
      </w:r>
    </w:p>
    <w:p w:rsidR="006B02FD" w:rsidRDefault="006B02FD" w:rsidP="00E03B54">
      <w:pPr>
        <w:spacing w:line="360" w:lineRule="auto"/>
        <w:jc w:val="both"/>
        <w:rPr>
          <w:rFonts w:ascii="Arial" w:hAnsi="Arial" w:cs="Arial"/>
          <w:sz w:val="24"/>
          <w:szCs w:val="24"/>
        </w:rPr>
      </w:pPr>
    </w:p>
    <w:p w:rsidR="006B02FD" w:rsidRDefault="006B02FD" w:rsidP="00E03B54">
      <w:pPr>
        <w:spacing w:line="360" w:lineRule="auto"/>
        <w:jc w:val="both"/>
        <w:rPr>
          <w:rFonts w:ascii="Arial" w:hAnsi="Arial" w:cs="Arial"/>
          <w:sz w:val="24"/>
          <w:szCs w:val="24"/>
        </w:rPr>
      </w:pPr>
      <w:r>
        <w:rPr>
          <w:rFonts w:ascii="Arial" w:hAnsi="Arial" w:cs="Arial"/>
          <w:sz w:val="24"/>
          <w:szCs w:val="24"/>
        </w:rPr>
        <w:t>It is suggested that the opportunities offered by innovative and alternative teaching methods should be embraced by EU Law lecturers. Students at university are increasingly computer/internet literate and are fully aware of the possibilities for employing modern technology from their experiences at school. It is likely that student-centred demands will inc</w:t>
      </w:r>
      <w:r w:rsidR="006D7C13">
        <w:rPr>
          <w:rFonts w:ascii="Arial" w:hAnsi="Arial" w:cs="Arial"/>
          <w:sz w:val="24"/>
          <w:szCs w:val="24"/>
        </w:rPr>
        <w:t>rease in the short to medium t</w:t>
      </w:r>
      <w:r>
        <w:rPr>
          <w:rFonts w:ascii="Arial" w:hAnsi="Arial" w:cs="Arial"/>
          <w:sz w:val="24"/>
          <w:szCs w:val="24"/>
        </w:rPr>
        <w:t>e</w:t>
      </w:r>
      <w:r w:rsidR="006D7C13">
        <w:rPr>
          <w:rFonts w:ascii="Arial" w:hAnsi="Arial" w:cs="Arial"/>
          <w:sz w:val="24"/>
          <w:szCs w:val="24"/>
        </w:rPr>
        <w:t>rm</w:t>
      </w:r>
      <w:r>
        <w:rPr>
          <w:rFonts w:ascii="Arial" w:hAnsi="Arial" w:cs="Arial"/>
          <w:sz w:val="24"/>
          <w:szCs w:val="24"/>
        </w:rPr>
        <w:t xml:space="preserve"> for EU Law to be delivered using E-Learning tools.</w:t>
      </w:r>
    </w:p>
    <w:p w:rsidR="006B02FD" w:rsidRDefault="006B02FD" w:rsidP="00E03B54">
      <w:pPr>
        <w:spacing w:line="360" w:lineRule="auto"/>
        <w:jc w:val="both"/>
        <w:rPr>
          <w:rFonts w:ascii="Arial" w:hAnsi="Arial" w:cs="Arial"/>
          <w:sz w:val="24"/>
          <w:szCs w:val="24"/>
        </w:rPr>
      </w:pPr>
    </w:p>
    <w:p w:rsidR="006B02FD" w:rsidRDefault="006B02FD" w:rsidP="00E03B54">
      <w:pPr>
        <w:spacing w:line="360" w:lineRule="auto"/>
        <w:jc w:val="both"/>
        <w:rPr>
          <w:rFonts w:ascii="Arial" w:hAnsi="Arial" w:cs="Arial"/>
          <w:sz w:val="24"/>
          <w:szCs w:val="24"/>
        </w:rPr>
      </w:pPr>
      <w:r>
        <w:rPr>
          <w:rFonts w:ascii="Arial" w:hAnsi="Arial" w:cs="Arial"/>
          <w:sz w:val="24"/>
          <w:szCs w:val="24"/>
        </w:rPr>
        <w:tab/>
        <w:t>15.2.3</w:t>
      </w:r>
      <w:r>
        <w:rPr>
          <w:rFonts w:ascii="Arial" w:hAnsi="Arial" w:cs="Arial"/>
          <w:sz w:val="24"/>
          <w:szCs w:val="24"/>
        </w:rPr>
        <w:tab/>
        <w:t>E-Learning</w:t>
      </w:r>
    </w:p>
    <w:p w:rsidR="006B02FD" w:rsidRDefault="006B02FD" w:rsidP="00E03B54">
      <w:pPr>
        <w:spacing w:line="360" w:lineRule="auto"/>
        <w:jc w:val="both"/>
        <w:rPr>
          <w:rFonts w:ascii="Arial" w:hAnsi="Arial" w:cs="Arial"/>
          <w:sz w:val="24"/>
          <w:szCs w:val="24"/>
        </w:rPr>
      </w:pPr>
      <w:r>
        <w:rPr>
          <w:rFonts w:ascii="Arial" w:hAnsi="Arial" w:cs="Arial"/>
          <w:sz w:val="24"/>
          <w:szCs w:val="24"/>
        </w:rPr>
        <w:t xml:space="preserve">This leads onto the third point, that of the </w:t>
      </w:r>
      <w:r w:rsidR="00E05CE6">
        <w:rPr>
          <w:rFonts w:ascii="Arial" w:hAnsi="Arial" w:cs="Arial"/>
          <w:sz w:val="24"/>
          <w:szCs w:val="24"/>
        </w:rPr>
        <w:t>importance of employing</w:t>
      </w:r>
      <w:r>
        <w:rPr>
          <w:rFonts w:ascii="Arial" w:hAnsi="Arial" w:cs="Arial"/>
          <w:sz w:val="24"/>
          <w:szCs w:val="24"/>
        </w:rPr>
        <w:t xml:space="preserve"> E-Learning tools in teaching EU Law. From the evidence in Chapter 9, most EU Law lecturers have grasped the importance of E-Learning but have yet to fully employ all the tools in the E-Learning environment. In particular the use of the </w:t>
      </w:r>
      <w:r w:rsidR="00E05CE6">
        <w:rPr>
          <w:rFonts w:ascii="Arial" w:hAnsi="Arial" w:cs="Arial"/>
          <w:sz w:val="24"/>
          <w:szCs w:val="24"/>
        </w:rPr>
        <w:t xml:space="preserve">Virtual Learning Environment </w:t>
      </w:r>
      <w:r w:rsidR="00E05CE6">
        <w:rPr>
          <w:rFonts w:ascii="Arial" w:hAnsi="Arial" w:cs="Arial"/>
          <w:sz w:val="24"/>
          <w:szCs w:val="24"/>
        </w:rPr>
        <w:lastRenderedPageBreak/>
        <w:t>could be expanded to facilitate</w:t>
      </w:r>
      <w:r>
        <w:rPr>
          <w:rFonts w:ascii="Arial" w:hAnsi="Arial" w:cs="Arial"/>
          <w:sz w:val="24"/>
          <w:szCs w:val="24"/>
        </w:rPr>
        <w:t xml:space="preserve"> </w:t>
      </w:r>
      <w:r w:rsidR="00C22844">
        <w:rPr>
          <w:rFonts w:ascii="Arial" w:hAnsi="Arial" w:cs="Arial"/>
          <w:sz w:val="24"/>
          <w:szCs w:val="24"/>
        </w:rPr>
        <w:t>enhanced computer learning, possibly through discussion groups, on-line seminars, chat rooms</w:t>
      </w:r>
      <w:r w:rsidR="00E05CE6">
        <w:rPr>
          <w:rFonts w:ascii="Arial" w:hAnsi="Arial" w:cs="Arial"/>
          <w:sz w:val="24"/>
          <w:szCs w:val="24"/>
        </w:rPr>
        <w:t>. Furthermore, the Virtual Learning Environment could enable the development of different forms of</w:t>
      </w:r>
      <w:r w:rsidR="00C22844">
        <w:rPr>
          <w:rFonts w:ascii="Arial" w:hAnsi="Arial" w:cs="Arial"/>
          <w:sz w:val="24"/>
          <w:szCs w:val="24"/>
        </w:rPr>
        <w:t xml:space="preserve"> information delivery </w:t>
      </w:r>
      <w:r w:rsidR="00E05CE6">
        <w:rPr>
          <w:rFonts w:ascii="Arial" w:hAnsi="Arial" w:cs="Arial"/>
          <w:sz w:val="24"/>
          <w:szCs w:val="24"/>
        </w:rPr>
        <w:t xml:space="preserve">through lecturers </w:t>
      </w:r>
      <w:r w:rsidR="00C22844">
        <w:rPr>
          <w:rFonts w:ascii="Arial" w:hAnsi="Arial" w:cs="Arial"/>
          <w:sz w:val="24"/>
          <w:szCs w:val="24"/>
        </w:rPr>
        <w:t xml:space="preserve">exploiting the opportunities presented by podcasts and interactive self-assessment, </w:t>
      </w:r>
      <w:r w:rsidR="00E05CE6">
        <w:rPr>
          <w:rFonts w:ascii="Arial" w:hAnsi="Arial" w:cs="Arial"/>
          <w:sz w:val="24"/>
          <w:szCs w:val="24"/>
        </w:rPr>
        <w:t xml:space="preserve">methods of information delivery which are </w:t>
      </w:r>
      <w:r w:rsidR="00C22844">
        <w:rPr>
          <w:rFonts w:ascii="Arial" w:hAnsi="Arial" w:cs="Arial"/>
          <w:sz w:val="24"/>
          <w:szCs w:val="24"/>
        </w:rPr>
        <w:t>under-utilised</w:t>
      </w:r>
      <w:r w:rsidR="00E05CE6">
        <w:rPr>
          <w:rFonts w:ascii="Arial" w:hAnsi="Arial" w:cs="Arial"/>
          <w:sz w:val="24"/>
          <w:szCs w:val="24"/>
        </w:rPr>
        <w:t xml:space="preserve"> at present</w:t>
      </w:r>
      <w:r w:rsidR="00C22844">
        <w:rPr>
          <w:rFonts w:ascii="Arial" w:hAnsi="Arial" w:cs="Arial"/>
          <w:sz w:val="24"/>
          <w:szCs w:val="24"/>
        </w:rPr>
        <w:t>. Furthermore E-Learning could be exercised for formal summative assessment, an area where the traditional method of teaching was also much in evidence.</w:t>
      </w:r>
    </w:p>
    <w:p w:rsidR="00C22844" w:rsidRDefault="00C22844" w:rsidP="00E03B54">
      <w:pPr>
        <w:spacing w:line="360" w:lineRule="auto"/>
        <w:jc w:val="both"/>
        <w:rPr>
          <w:rFonts w:ascii="Arial" w:hAnsi="Arial" w:cs="Arial"/>
          <w:sz w:val="24"/>
          <w:szCs w:val="24"/>
        </w:rPr>
      </w:pPr>
    </w:p>
    <w:p w:rsidR="00C22844" w:rsidRDefault="00C22844" w:rsidP="00E03B54">
      <w:pPr>
        <w:spacing w:line="360" w:lineRule="auto"/>
        <w:jc w:val="both"/>
        <w:rPr>
          <w:rFonts w:ascii="Arial" w:hAnsi="Arial" w:cs="Arial"/>
          <w:sz w:val="24"/>
          <w:szCs w:val="24"/>
        </w:rPr>
      </w:pPr>
      <w:r>
        <w:rPr>
          <w:rFonts w:ascii="Arial" w:hAnsi="Arial" w:cs="Arial"/>
          <w:sz w:val="24"/>
          <w:szCs w:val="24"/>
        </w:rPr>
        <w:t>It is suggested that the possibilities presented by E-Learning tools should be grasped and fully explored by EU Law teachers. This would assist with the delivery of the module and enhance the student learning experience.</w:t>
      </w:r>
    </w:p>
    <w:p w:rsidR="00C22844" w:rsidRDefault="00C22844" w:rsidP="00E03B54">
      <w:pPr>
        <w:spacing w:line="360" w:lineRule="auto"/>
        <w:jc w:val="both"/>
        <w:rPr>
          <w:rFonts w:ascii="Arial" w:hAnsi="Arial" w:cs="Arial"/>
          <w:sz w:val="24"/>
          <w:szCs w:val="24"/>
        </w:rPr>
      </w:pPr>
    </w:p>
    <w:p w:rsidR="00C22844" w:rsidRDefault="00C22844" w:rsidP="00E03B54">
      <w:pPr>
        <w:spacing w:line="360" w:lineRule="auto"/>
        <w:jc w:val="both"/>
        <w:rPr>
          <w:rFonts w:ascii="Arial" w:hAnsi="Arial" w:cs="Arial"/>
          <w:sz w:val="24"/>
          <w:szCs w:val="24"/>
        </w:rPr>
      </w:pPr>
      <w:r>
        <w:rPr>
          <w:rFonts w:ascii="Arial" w:hAnsi="Arial" w:cs="Arial"/>
          <w:sz w:val="24"/>
          <w:szCs w:val="24"/>
        </w:rPr>
        <w:tab/>
        <w:t>15.2.4</w:t>
      </w:r>
      <w:r>
        <w:rPr>
          <w:rFonts w:ascii="Arial" w:hAnsi="Arial" w:cs="Arial"/>
          <w:sz w:val="24"/>
          <w:szCs w:val="24"/>
        </w:rPr>
        <w:tab/>
        <w:t>The Challenge of Teaching EU Law</w:t>
      </w:r>
    </w:p>
    <w:p w:rsidR="00C22844" w:rsidRDefault="00C22844" w:rsidP="00E03B54">
      <w:pPr>
        <w:spacing w:line="360" w:lineRule="auto"/>
        <w:jc w:val="both"/>
        <w:rPr>
          <w:rFonts w:ascii="Arial" w:hAnsi="Arial" w:cs="Arial"/>
          <w:sz w:val="24"/>
          <w:szCs w:val="24"/>
        </w:rPr>
      </w:pPr>
      <w:r>
        <w:rPr>
          <w:rFonts w:ascii="Arial" w:hAnsi="Arial" w:cs="Arial"/>
          <w:sz w:val="24"/>
          <w:szCs w:val="24"/>
        </w:rPr>
        <w:t xml:space="preserve">The evidence from Chapter 11 was that EU Law lecturers were, in general, very optimistic over the challenges </w:t>
      </w:r>
      <w:r w:rsidR="00F76F7A">
        <w:rPr>
          <w:rFonts w:ascii="Arial" w:hAnsi="Arial" w:cs="Arial"/>
          <w:sz w:val="24"/>
          <w:szCs w:val="24"/>
        </w:rPr>
        <w:t>presented by teaching EU Law, with no problem overwhelming or dominating the subject.</w:t>
      </w:r>
    </w:p>
    <w:p w:rsidR="00F76F7A" w:rsidRDefault="00F76F7A" w:rsidP="00E03B54">
      <w:pPr>
        <w:spacing w:line="360" w:lineRule="auto"/>
        <w:jc w:val="both"/>
        <w:rPr>
          <w:rFonts w:ascii="Arial" w:hAnsi="Arial" w:cs="Arial"/>
          <w:sz w:val="24"/>
          <w:szCs w:val="24"/>
        </w:rPr>
      </w:pPr>
    </w:p>
    <w:p w:rsidR="00F76F7A" w:rsidRDefault="00E05CE6" w:rsidP="00E03B54">
      <w:pPr>
        <w:spacing w:line="360" w:lineRule="auto"/>
        <w:jc w:val="both"/>
        <w:rPr>
          <w:rFonts w:ascii="Arial" w:hAnsi="Arial" w:cs="Arial"/>
          <w:sz w:val="24"/>
          <w:szCs w:val="24"/>
        </w:rPr>
      </w:pPr>
      <w:r>
        <w:rPr>
          <w:rFonts w:ascii="Arial" w:hAnsi="Arial" w:cs="Arial"/>
          <w:sz w:val="24"/>
          <w:szCs w:val="24"/>
        </w:rPr>
        <w:t>Our perception</w:t>
      </w:r>
      <w:r w:rsidR="00F76F7A">
        <w:rPr>
          <w:rFonts w:ascii="Arial" w:hAnsi="Arial" w:cs="Arial"/>
          <w:sz w:val="24"/>
          <w:szCs w:val="24"/>
        </w:rPr>
        <w:t xml:space="preserve"> is that this optimism is somewhat inflated and does not necessarily reflect the true position, particularly if viewed from the p</w:t>
      </w:r>
      <w:r w:rsidR="00884DD3">
        <w:rPr>
          <w:rFonts w:ascii="Arial" w:hAnsi="Arial" w:cs="Arial"/>
          <w:sz w:val="24"/>
          <w:szCs w:val="24"/>
        </w:rPr>
        <w:t>osition of the student. As such it is submitted that teaching EU Law must reflect the student learning experience, not just taking into account student questionnaires (see Chapter 13) but also conduct independent, non-assessed (or judgemental) student interviews.</w:t>
      </w:r>
    </w:p>
    <w:p w:rsidR="00F76F7A" w:rsidRDefault="00F76F7A" w:rsidP="00E03B54">
      <w:pPr>
        <w:spacing w:line="360" w:lineRule="auto"/>
        <w:jc w:val="both"/>
        <w:rPr>
          <w:rFonts w:ascii="Arial" w:hAnsi="Arial" w:cs="Arial"/>
          <w:sz w:val="24"/>
          <w:szCs w:val="24"/>
        </w:rPr>
      </w:pPr>
    </w:p>
    <w:p w:rsidR="00F76F7A" w:rsidRDefault="00F76F7A" w:rsidP="00E03B54">
      <w:pPr>
        <w:spacing w:line="360" w:lineRule="auto"/>
        <w:jc w:val="both"/>
        <w:rPr>
          <w:rFonts w:ascii="Arial" w:hAnsi="Arial" w:cs="Arial"/>
          <w:sz w:val="24"/>
          <w:szCs w:val="24"/>
        </w:rPr>
      </w:pPr>
      <w:r>
        <w:rPr>
          <w:rFonts w:ascii="Arial" w:hAnsi="Arial" w:cs="Arial"/>
          <w:sz w:val="24"/>
          <w:szCs w:val="24"/>
        </w:rPr>
        <w:t>15.3</w:t>
      </w:r>
      <w:r>
        <w:rPr>
          <w:rFonts w:ascii="Arial" w:hAnsi="Arial" w:cs="Arial"/>
          <w:sz w:val="24"/>
          <w:szCs w:val="24"/>
        </w:rPr>
        <w:tab/>
        <w:t>Future Research Opportunities</w:t>
      </w:r>
    </w:p>
    <w:p w:rsidR="00F76F7A" w:rsidRDefault="00F76F7A" w:rsidP="00E03B54">
      <w:pPr>
        <w:spacing w:line="360" w:lineRule="auto"/>
        <w:jc w:val="both"/>
        <w:rPr>
          <w:rFonts w:ascii="Arial" w:hAnsi="Arial" w:cs="Arial"/>
          <w:sz w:val="24"/>
          <w:szCs w:val="24"/>
        </w:rPr>
      </w:pPr>
    </w:p>
    <w:p w:rsidR="00F76F7A" w:rsidRDefault="00F76F7A" w:rsidP="00E03B54">
      <w:pPr>
        <w:spacing w:line="360" w:lineRule="auto"/>
        <w:jc w:val="both"/>
        <w:rPr>
          <w:rFonts w:ascii="Arial" w:hAnsi="Arial" w:cs="Arial"/>
          <w:sz w:val="24"/>
          <w:szCs w:val="24"/>
        </w:rPr>
      </w:pPr>
      <w:r>
        <w:rPr>
          <w:rFonts w:ascii="Arial" w:hAnsi="Arial" w:cs="Arial"/>
          <w:sz w:val="24"/>
          <w:szCs w:val="24"/>
        </w:rPr>
        <w:tab/>
        <w:t>15.3.1</w:t>
      </w:r>
      <w:r>
        <w:rPr>
          <w:rFonts w:ascii="Arial" w:hAnsi="Arial" w:cs="Arial"/>
          <w:sz w:val="24"/>
          <w:szCs w:val="24"/>
        </w:rPr>
        <w:tab/>
        <w:t>The Gender Dimension</w:t>
      </w:r>
    </w:p>
    <w:p w:rsidR="00F76F7A" w:rsidRDefault="00F76F7A" w:rsidP="00E03B54">
      <w:pPr>
        <w:spacing w:line="360" w:lineRule="auto"/>
        <w:jc w:val="both"/>
        <w:rPr>
          <w:rFonts w:ascii="Arial" w:hAnsi="Arial" w:cs="Arial"/>
          <w:sz w:val="24"/>
          <w:szCs w:val="24"/>
        </w:rPr>
      </w:pPr>
      <w:r>
        <w:rPr>
          <w:rFonts w:ascii="Arial" w:hAnsi="Arial" w:cs="Arial"/>
          <w:sz w:val="24"/>
          <w:szCs w:val="24"/>
        </w:rPr>
        <w:t xml:space="preserve">Chapter 3 identified a women positive split for EU Law lecturers that compared favourably with the gender split of academics in law schools generally. However, the </w:t>
      </w:r>
      <w:r>
        <w:rPr>
          <w:rFonts w:ascii="Arial" w:hAnsi="Arial" w:cs="Arial"/>
          <w:sz w:val="24"/>
          <w:szCs w:val="24"/>
        </w:rPr>
        <w:lastRenderedPageBreak/>
        <w:t xml:space="preserve">general data originated from 1996-97, too old to be </w:t>
      </w:r>
      <w:r w:rsidR="0086540A">
        <w:rPr>
          <w:rFonts w:ascii="Arial" w:hAnsi="Arial" w:cs="Arial"/>
          <w:sz w:val="24"/>
          <w:szCs w:val="24"/>
        </w:rPr>
        <w:t>considered reliable. Furthermore the sample of EU Law teachers did not identify all individuals lecturing EU Law in law schools. Therefore, it is submitted that there is a requirement for a new examination of the gender split in law schools, that could also include a full survey of the gender of EU Law lecturers.</w:t>
      </w:r>
    </w:p>
    <w:p w:rsidR="0086540A" w:rsidRDefault="0086540A" w:rsidP="00E03B54">
      <w:pPr>
        <w:spacing w:line="360" w:lineRule="auto"/>
        <w:jc w:val="both"/>
        <w:rPr>
          <w:rFonts w:ascii="Arial" w:hAnsi="Arial" w:cs="Arial"/>
          <w:sz w:val="24"/>
          <w:szCs w:val="24"/>
        </w:rPr>
      </w:pPr>
    </w:p>
    <w:p w:rsidR="0086540A" w:rsidRDefault="0086540A" w:rsidP="00E03B54">
      <w:pPr>
        <w:spacing w:line="360" w:lineRule="auto"/>
        <w:jc w:val="both"/>
        <w:rPr>
          <w:rFonts w:ascii="Arial" w:hAnsi="Arial" w:cs="Arial"/>
          <w:sz w:val="24"/>
          <w:szCs w:val="24"/>
        </w:rPr>
      </w:pPr>
      <w:r>
        <w:rPr>
          <w:rFonts w:ascii="Arial" w:hAnsi="Arial" w:cs="Arial"/>
          <w:sz w:val="24"/>
          <w:szCs w:val="24"/>
        </w:rPr>
        <w:tab/>
        <w:t>15.3.2</w:t>
      </w:r>
      <w:r>
        <w:rPr>
          <w:rFonts w:ascii="Arial" w:hAnsi="Arial" w:cs="Arial"/>
          <w:sz w:val="24"/>
          <w:szCs w:val="24"/>
        </w:rPr>
        <w:tab/>
        <w:t>Teaching and Learning EU Law from the Student Perspective</w:t>
      </w:r>
    </w:p>
    <w:p w:rsidR="0086540A" w:rsidRDefault="0086540A" w:rsidP="00E03B54">
      <w:pPr>
        <w:spacing w:line="360" w:lineRule="auto"/>
        <w:jc w:val="both"/>
        <w:rPr>
          <w:rFonts w:ascii="Arial" w:hAnsi="Arial" w:cs="Arial"/>
          <w:sz w:val="24"/>
          <w:szCs w:val="24"/>
        </w:rPr>
      </w:pPr>
      <w:r>
        <w:rPr>
          <w:rFonts w:ascii="Arial" w:hAnsi="Arial" w:cs="Arial"/>
          <w:sz w:val="24"/>
          <w:szCs w:val="24"/>
        </w:rPr>
        <w:t>From 15.2.4 above and as identified in Chapter 11, the research conducted by this Survey team was wholly based on the perspectives of EU Law lecturers. These perspectives are coloured by academic knowledge, teaching experience and the individual’s own personal experiences. To present a true picture of the EU Law teaching and learning experience it is suggested that further research should be conducted, but this time from the perspective of students studying EU Law.</w:t>
      </w:r>
    </w:p>
    <w:p w:rsidR="0086540A" w:rsidRDefault="0086540A" w:rsidP="00E03B54">
      <w:pPr>
        <w:spacing w:line="360" w:lineRule="auto"/>
        <w:jc w:val="both"/>
        <w:rPr>
          <w:rFonts w:ascii="Arial" w:hAnsi="Arial" w:cs="Arial"/>
          <w:sz w:val="24"/>
          <w:szCs w:val="24"/>
        </w:rPr>
      </w:pPr>
    </w:p>
    <w:p w:rsidR="0086540A" w:rsidRDefault="0086540A" w:rsidP="00E03B54">
      <w:pPr>
        <w:spacing w:line="360" w:lineRule="auto"/>
        <w:jc w:val="both"/>
        <w:rPr>
          <w:rFonts w:ascii="Arial" w:hAnsi="Arial" w:cs="Arial"/>
          <w:sz w:val="24"/>
          <w:szCs w:val="24"/>
        </w:rPr>
      </w:pPr>
      <w:r>
        <w:rPr>
          <w:rFonts w:ascii="Arial" w:hAnsi="Arial" w:cs="Arial"/>
          <w:sz w:val="24"/>
          <w:szCs w:val="24"/>
        </w:rPr>
        <w:tab/>
        <w:t>15.3.3</w:t>
      </w:r>
      <w:r>
        <w:rPr>
          <w:rFonts w:ascii="Arial" w:hAnsi="Arial" w:cs="Arial"/>
          <w:sz w:val="24"/>
          <w:szCs w:val="24"/>
        </w:rPr>
        <w:tab/>
        <w:t>E-Learning</w:t>
      </w:r>
    </w:p>
    <w:p w:rsidR="0086540A" w:rsidRDefault="0086540A" w:rsidP="00E03B54">
      <w:pPr>
        <w:spacing w:line="360" w:lineRule="auto"/>
        <w:jc w:val="both"/>
        <w:rPr>
          <w:rFonts w:ascii="Arial" w:hAnsi="Arial" w:cs="Arial"/>
          <w:sz w:val="24"/>
          <w:szCs w:val="24"/>
        </w:rPr>
      </w:pPr>
      <w:r>
        <w:rPr>
          <w:rFonts w:ascii="Arial" w:hAnsi="Arial" w:cs="Arial"/>
          <w:sz w:val="24"/>
          <w:szCs w:val="24"/>
        </w:rPr>
        <w:t>The discussions on E-Learning in Chapter 9 and above suggest the opportunities that may be available to teachers of EU Law</w:t>
      </w:r>
      <w:r w:rsidR="00720387">
        <w:rPr>
          <w:rFonts w:ascii="Arial" w:hAnsi="Arial" w:cs="Arial"/>
          <w:sz w:val="24"/>
          <w:szCs w:val="24"/>
        </w:rPr>
        <w:t>. It is suggested that E-Learning presents an opportunity for further research by examining the general employment of E-Learning in universities and schools, but also the use of computers, software and the internet by other public organisations and industry, to construct a model that could be applied to EU Law.</w:t>
      </w:r>
    </w:p>
    <w:p w:rsidR="00720387" w:rsidRDefault="00720387" w:rsidP="00E03B54">
      <w:pPr>
        <w:spacing w:line="360" w:lineRule="auto"/>
        <w:jc w:val="both"/>
        <w:rPr>
          <w:rFonts w:ascii="Arial" w:hAnsi="Arial" w:cs="Arial"/>
          <w:sz w:val="24"/>
          <w:szCs w:val="24"/>
        </w:rPr>
      </w:pPr>
    </w:p>
    <w:p w:rsidR="00720387" w:rsidRDefault="00720387" w:rsidP="00E03B54">
      <w:pPr>
        <w:spacing w:line="360" w:lineRule="auto"/>
        <w:jc w:val="both"/>
        <w:rPr>
          <w:rFonts w:ascii="Arial" w:hAnsi="Arial" w:cs="Arial"/>
          <w:sz w:val="24"/>
          <w:szCs w:val="24"/>
        </w:rPr>
      </w:pPr>
      <w:r>
        <w:rPr>
          <w:rFonts w:ascii="Arial" w:hAnsi="Arial" w:cs="Arial"/>
          <w:sz w:val="24"/>
          <w:szCs w:val="24"/>
        </w:rPr>
        <w:tab/>
        <w:t>15.3.4</w:t>
      </w:r>
      <w:r>
        <w:rPr>
          <w:rFonts w:ascii="Arial" w:hAnsi="Arial" w:cs="Arial"/>
          <w:sz w:val="24"/>
          <w:szCs w:val="24"/>
        </w:rPr>
        <w:tab/>
        <w:t>Future EU Law Teaching and Learning</w:t>
      </w:r>
    </w:p>
    <w:p w:rsidR="00720387" w:rsidRPr="00704E8A" w:rsidRDefault="00720387" w:rsidP="00E03B54">
      <w:pPr>
        <w:spacing w:line="360" w:lineRule="auto"/>
        <w:jc w:val="both"/>
        <w:rPr>
          <w:rFonts w:ascii="Arial" w:hAnsi="Arial" w:cs="Arial"/>
          <w:sz w:val="24"/>
          <w:szCs w:val="24"/>
        </w:rPr>
      </w:pPr>
      <w:r>
        <w:rPr>
          <w:rFonts w:ascii="Arial" w:hAnsi="Arial" w:cs="Arial"/>
          <w:sz w:val="24"/>
          <w:szCs w:val="24"/>
        </w:rPr>
        <w:t>The final recommendation for furthe</w:t>
      </w:r>
      <w:r w:rsidR="00E05CE6">
        <w:rPr>
          <w:rFonts w:ascii="Arial" w:hAnsi="Arial" w:cs="Arial"/>
          <w:sz w:val="24"/>
          <w:szCs w:val="24"/>
        </w:rPr>
        <w:t>r research is based on our own s</w:t>
      </w:r>
      <w:r>
        <w:rPr>
          <w:rFonts w:ascii="Arial" w:hAnsi="Arial" w:cs="Arial"/>
          <w:sz w:val="24"/>
          <w:szCs w:val="24"/>
        </w:rPr>
        <w:t xml:space="preserve">urvey. This Subject Survey was the first comprehensive analysis of EU Law learning and teaching </w:t>
      </w:r>
      <w:r w:rsidR="00E05CE6">
        <w:rPr>
          <w:rFonts w:ascii="Arial" w:hAnsi="Arial" w:cs="Arial"/>
          <w:sz w:val="24"/>
          <w:szCs w:val="24"/>
        </w:rPr>
        <w:t xml:space="preserve">and it produced </w:t>
      </w:r>
      <w:r>
        <w:rPr>
          <w:rFonts w:ascii="Arial" w:hAnsi="Arial" w:cs="Arial"/>
          <w:sz w:val="24"/>
          <w:szCs w:val="24"/>
        </w:rPr>
        <w:t xml:space="preserve">some highly surprising results. As has been discussed above, this area of law is rapidly growing and changing and it is submitted </w:t>
      </w:r>
      <w:r w:rsidR="00E05CE6">
        <w:rPr>
          <w:rFonts w:ascii="Arial" w:hAnsi="Arial" w:cs="Arial"/>
          <w:sz w:val="24"/>
          <w:szCs w:val="24"/>
        </w:rPr>
        <w:t xml:space="preserve">that </w:t>
      </w:r>
      <w:r>
        <w:rPr>
          <w:rFonts w:ascii="Arial" w:hAnsi="Arial" w:cs="Arial"/>
          <w:sz w:val="24"/>
          <w:szCs w:val="24"/>
        </w:rPr>
        <w:t xml:space="preserve">the teaching </w:t>
      </w:r>
      <w:r w:rsidR="00E05CE6">
        <w:rPr>
          <w:rFonts w:ascii="Arial" w:hAnsi="Arial" w:cs="Arial"/>
          <w:sz w:val="24"/>
          <w:szCs w:val="24"/>
        </w:rPr>
        <w:t xml:space="preserve">of this subject </w:t>
      </w:r>
      <w:r>
        <w:rPr>
          <w:rFonts w:ascii="Arial" w:hAnsi="Arial" w:cs="Arial"/>
          <w:sz w:val="24"/>
          <w:szCs w:val="24"/>
        </w:rPr>
        <w:t xml:space="preserve">will have to match such growth and change. Therefore it is recommended that a follow-up Survey is undertaken five years after this initial </w:t>
      </w:r>
      <w:r>
        <w:rPr>
          <w:rFonts w:ascii="Arial" w:hAnsi="Arial" w:cs="Arial"/>
          <w:sz w:val="24"/>
          <w:szCs w:val="24"/>
        </w:rPr>
        <w:lastRenderedPageBreak/>
        <w:t xml:space="preserve">research, and at regular five yearly intervals thereafter. The result would be a clearer picture of attitudes and experiences of lecturers and the methods used by them for teaching EU Law. It would also chart the changing landscape and provide models of </w:t>
      </w:r>
      <w:r w:rsidR="00E05CE6">
        <w:rPr>
          <w:rFonts w:ascii="Arial" w:hAnsi="Arial" w:cs="Arial"/>
          <w:sz w:val="24"/>
          <w:szCs w:val="24"/>
        </w:rPr>
        <w:t>effective</w:t>
      </w:r>
      <w:r>
        <w:rPr>
          <w:rFonts w:ascii="Arial" w:hAnsi="Arial" w:cs="Arial"/>
          <w:sz w:val="24"/>
          <w:szCs w:val="24"/>
        </w:rPr>
        <w:t xml:space="preserve"> practice for further dissemination.</w:t>
      </w:r>
    </w:p>
    <w:p w:rsidR="00E03B54" w:rsidRDefault="00E03B54">
      <w:pPr>
        <w:spacing w:after="0" w:line="240" w:lineRule="auto"/>
        <w:rPr>
          <w:rFonts w:ascii="Arial" w:hAnsi="Arial" w:cs="Arial"/>
          <w:sz w:val="24"/>
          <w:szCs w:val="24"/>
        </w:rPr>
      </w:pPr>
      <w:r>
        <w:rPr>
          <w:rFonts w:ascii="Arial" w:hAnsi="Arial" w:cs="Arial"/>
          <w:sz w:val="24"/>
          <w:szCs w:val="24"/>
        </w:rPr>
        <w:br w:type="page"/>
      </w:r>
    </w:p>
    <w:p w:rsidR="00E03B54" w:rsidRDefault="00E03B54" w:rsidP="00E03B54">
      <w:pPr>
        <w:spacing w:line="360" w:lineRule="auto"/>
        <w:jc w:val="both"/>
        <w:rPr>
          <w:rFonts w:ascii="Arial" w:hAnsi="Arial" w:cs="Arial"/>
          <w:sz w:val="28"/>
          <w:szCs w:val="28"/>
        </w:rPr>
      </w:pPr>
      <w:r>
        <w:rPr>
          <w:rFonts w:ascii="Arial" w:hAnsi="Arial" w:cs="Arial"/>
          <w:b/>
          <w:sz w:val="28"/>
          <w:szCs w:val="28"/>
        </w:rPr>
        <w:lastRenderedPageBreak/>
        <w:t>Bibliography</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b/>
          <w:sz w:val="24"/>
          <w:szCs w:val="24"/>
        </w:rPr>
      </w:pPr>
      <w:r>
        <w:rPr>
          <w:rFonts w:ascii="Arial" w:hAnsi="Arial" w:cs="Arial"/>
          <w:b/>
          <w:sz w:val="24"/>
          <w:szCs w:val="24"/>
        </w:rPr>
        <w:t>Legislation</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Treaty Establishing the European Economic Community 25 March 1957 unpublished</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Treaty on European Union OJ 1992 C191</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 xml:space="preserve">Treaty of Lisbon </w:t>
      </w:r>
      <w:r w:rsidRPr="00DE40B5">
        <w:rPr>
          <w:rFonts w:ascii="Arial" w:hAnsi="Arial" w:cs="Arial"/>
          <w:bCs/>
          <w:sz w:val="24"/>
          <w:szCs w:val="24"/>
        </w:rPr>
        <w:t>amending the Treaty on European Union and the Treaty establishing the European Community</w:t>
      </w:r>
      <w:r w:rsidRPr="00DE40B5">
        <w:rPr>
          <w:rFonts w:ascii="Arial" w:hAnsi="Arial" w:cs="Arial"/>
          <w:sz w:val="24"/>
          <w:szCs w:val="24"/>
        </w:rPr>
        <w:t xml:space="preserve"> OJ 2007 C306 but see now the Consolidated Version of the Treaty on the European Union and the Treaty on the Functioning of the European Union OJ 2008 C115</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Declarations and Communiqués</w:t>
      </w:r>
    </w:p>
    <w:p w:rsidR="00E03B54" w:rsidRDefault="00E03B54" w:rsidP="00E03B54">
      <w:pPr>
        <w:spacing w:line="360" w:lineRule="auto"/>
        <w:jc w:val="both"/>
        <w:rPr>
          <w:rFonts w:ascii="Arial" w:hAnsi="Arial" w:cs="Arial"/>
          <w:sz w:val="24"/>
          <w:szCs w:val="24"/>
        </w:rPr>
      </w:pPr>
      <w:r w:rsidRPr="00EA60C7">
        <w:rPr>
          <w:rFonts w:ascii="Arial" w:hAnsi="Arial" w:cs="Arial"/>
          <w:bCs/>
          <w:sz w:val="24"/>
          <w:szCs w:val="24"/>
        </w:rPr>
        <w:t>Joint Declaration on Harmonisation of the Architecture of the European Higher Education System, 25 May 1998,</w:t>
      </w:r>
      <w:r w:rsidRPr="00EA60C7">
        <w:rPr>
          <w:rFonts w:ascii="Arial" w:hAnsi="Arial" w:cs="Arial"/>
          <w:sz w:val="24"/>
          <w:szCs w:val="24"/>
        </w:rPr>
        <w:t xml:space="preserve"> accessed at</w:t>
      </w:r>
    </w:p>
    <w:p w:rsidR="00E03B54" w:rsidRPr="00EA60C7" w:rsidRDefault="00E03B54" w:rsidP="00E03B54">
      <w:pPr>
        <w:spacing w:line="360" w:lineRule="auto"/>
        <w:jc w:val="both"/>
        <w:rPr>
          <w:rFonts w:ascii="Arial" w:hAnsi="Arial" w:cs="Arial"/>
          <w:sz w:val="24"/>
          <w:szCs w:val="24"/>
        </w:rPr>
      </w:pPr>
      <w:r w:rsidRPr="00EA60C7">
        <w:rPr>
          <w:rFonts w:ascii="Arial" w:hAnsi="Arial" w:cs="Arial"/>
          <w:sz w:val="24"/>
          <w:szCs w:val="24"/>
        </w:rPr>
        <w:t xml:space="preserve"> </w:t>
      </w:r>
      <w:hyperlink r:id="rId26" w:history="1">
        <w:r w:rsidRPr="00EA60C7">
          <w:rPr>
            <w:rStyle w:val="Hyperlink"/>
            <w:rFonts w:ascii="Arial" w:hAnsi="Arial" w:cs="Arial"/>
            <w:sz w:val="24"/>
            <w:szCs w:val="24"/>
          </w:rPr>
          <w:t>http://www.bologna-berlin2003.de/pdf/Sorbonne_declaration.pdf</w:t>
        </w:r>
      </w:hyperlink>
      <w:r w:rsidRPr="00EA60C7">
        <w:rPr>
          <w:rFonts w:ascii="Arial" w:hAnsi="Arial" w:cs="Arial"/>
          <w:sz w:val="24"/>
          <w:szCs w:val="24"/>
        </w:rPr>
        <w:t xml:space="preserve"> </w:t>
      </w:r>
    </w:p>
    <w:p w:rsidR="00E03B54" w:rsidRDefault="00E03B54" w:rsidP="00E03B54">
      <w:pPr>
        <w:spacing w:line="360" w:lineRule="auto"/>
        <w:jc w:val="both"/>
        <w:rPr>
          <w:rFonts w:ascii="Arial" w:hAnsi="Arial" w:cs="Arial"/>
          <w:sz w:val="24"/>
          <w:szCs w:val="24"/>
        </w:rPr>
      </w:pPr>
      <w:r w:rsidRPr="00EA60C7">
        <w:rPr>
          <w:rFonts w:ascii="Arial" w:hAnsi="Arial" w:cs="Arial"/>
          <w:sz w:val="24"/>
          <w:szCs w:val="24"/>
        </w:rPr>
        <w:t xml:space="preserve">Joint Declaration of the European Ministers of Education, 19 June 1999, accessed at </w:t>
      </w:r>
      <w:hyperlink r:id="rId27" w:history="1">
        <w:r w:rsidRPr="00EA60C7">
          <w:rPr>
            <w:rStyle w:val="Hyperlink"/>
            <w:rFonts w:ascii="Arial" w:hAnsi="Arial" w:cs="Arial"/>
            <w:sz w:val="24"/>
            <w:szCs w:val="24"/>
          </w:rPr>
          <w:t>http://www.ond.vlaanderen.be/hogeronderwijs/bologna/documents/MDC/BOLOGNA_DECLARATION1.pdf</w:t>
        </w:r>
      </w:hyperlink>
    </w:p>
    <w:p w:rsidR="00E03B54" w:rsidRDefault="00E03B54" w:rsidP="00E03B54">
      <w:pPr>
        <w:spacing w:line="360" w:lineRule="auto"/>
        <w:jc w:val="both"/>
        <w:rPr>
          <w:rFonts w:ascii="Arial" w:hAnsi="Arial" w:cs="Arial"/>
          <w:sz w:val="24"/>
          <w:szCs w:val="24"/>
        </w:rPr>
      </w:pPr>
      <w:r w:rsidRPr="00EA60C7">
        <w:rPr>
          <w:rFonts w:ascii="Arial" w:hAnsi="Arial" w:cs="Arial"/>
          <w:sz w:val="24"/>
          <w:szCs w:val="24"/>
        </w:rPr>
        <w:t xml:space="preserve">Communiqué of the Conference of Ministers Responsible for Higher Education in Prague, 19 May 2001, accessed at </w:t>
      </w:r>
      <w:hyperlink r:id="rId28" w:history="1">
        <w:r w:rsidRPr="00EA60C7">
          <w:rPr>
            <w:rStyle w:val="Hyperlink"/>
            <w:rFonts w:ascii="Arial" w:hAnsi="Arial" w:cs="Arial"/>
            <w:sz w:val="24"/>
            <w:szCs w:val="24"/>
          </w:rPr>
          <w:t>http://www.bologna-bergen2005.no/Docs/00-Main_doc/010519PRAGUE_COMMUNIQUE.PDF</w:t>
        </w:r>
      </w:hyperlink>
    </w:p>
    <w:p w:rsidR="00E03B54" w:rsidRDefault="00E03B54" w:rsidP="00E03B54">
      <w:pPr>
        <w:spacing w:line="360" w:lineRule="auto"/>
        <w:jc w:val="both"/>
        <w:rPr>
          <w:rFonts w:ascii="Arial" w:hAnsi="Arial" w:cs="Arial"/>
          <w:sz w:val="24"/>
          <w:szCs w:val="24"/>
        </w:rPr>
      </w:pPr>
      <w:r w:rsidRPr="00EA60C7">
        <w:rPr>
          <w:rFonts w:ascii="Arial" w:hAnsi="Arial" w:cs="Arial"/>
          <w:sz w:val="24"/>
          <w:szCs w:val="24"/>
        </w:rPr>
        <w:t xml:space="preserve">Communiqué of the Conference of Ministers Responsible for Higher Education in Berlin, 19 September 2003, accessed at </w:t>
      </w:r>
      <w:hyperlink r:id="rId29" w:history="1">
        <w:r w:rsidRPr="00EA60C7">
          <w:rPr>
            <w:rStyle w:val="Hyperlink"/>
            <w:rFonts w:ascii="Arial" w:hAnsi="Arial" w:cs="Arial"/>
            <w:sz w:val="24"/>
            <w:szCs w:val="24"/>
          </w:rPr>
          <w:t>http://www.bologna-bergen2005.no/Docs/00-Main_doc/03091Berlin_Communiqu.pdf</w:t>
        </w:r>
      </w:hyperlink>
    </w:p>
    <w:p w:rsidR="00E03B54" w:rsidRDefault="00E03B54" w:rsidP="00E03B54">
      <w:pPr>
        <w:spacing w:line="360" w:lineRule="auto"/>
        <w:jc w:val="both"/>
        <w:rPr>
          <w:rFonts w:ascii="Arial" w:hAnsi="Arial" w:cs="Arial"/>
          <w:sz w:val="24"/>
          <w:szCs w:val="24"/>
        </w:rPr>
      </w:pPr>
      <w:r w:rsidRPr="00EA60C7">
        <w:rPr>
          <w:rFonts w:ascii="Arial" w:hAnsi="Arial" w:cs="Arial"/>
          <w:sz w:val="24"/>
          <w:szCs w:val="24"/>
        </w:rPr>
        <w:t xml:space="preserve">Communiqué of the Conference of European Ministers Responsible for Higher Education in Bergen, 19-20 May 2005, accessed at </w:t>
      </w:r>
      <w:hyperlink r:id="rId30" w:history="1">
        <w:r w:rsidRPr="00EA60C7">
          <w:rPr>
            <w:rStyle w:val="Hyperlink"/>
            <w:rFonts w:ascii="Arial" w:hAnsi="Arial" w:cs="Arial"/>
            <w:sz w:val="24"/>
            <w:szCs w:val="24"/>
          </w:rPr>
          <w:t>http://www.bologna-bergen2005.no/Docs/00-Main_doc/050520_Bergen_Communique.pdf</w:t>
        </w:r>
      </w:hyperlink>
    </w:p>
    <w:p w:rsidR="00E03B54" w:rsidRDefault="00E03B54" w:rsidP="00E03B54">
      <w:pPr>
        <w:spacing w:line="360" w:lineRule="auto"/>
        <w:jc w:val="both"/>
        <w:rPr>
          <w:rFonts w:ascii="Arial" w:hAnsi="Arial" w:cs="Arial"/>
          <w:sz w:val="24"/>
          <w:szCs w:val="24"/>
        </w:rPr>
      </w:pPr>
      <w:r w:rsidRPr="00EA60C7">
        <w:rPr>
          <w:rFonts w:ascii="Arial" w:hAnsi="Arial" w:cs="Arial"/>
          <w:bCs/>
          <w:sz w:val="24"/>
          <w:szCs w:val="24"/>
        </w:rPr>
        <w:lastRenderedPageBreak/>
        <w:t xml:space="preserve">Communiqué of the Conference of European Ministers Responsible for Higher Education, London, 17-18 May 2007, accessed at </w:t>
      </w:r>
      <w:hyperlink r:id="rId31" w:history="1">
        <w:r w:rsidRPr="00EA60C7">
          <w:rPr>
            <w:rStyle w:val="Hyperlink"/>
            <w:rFonts w:ascii="Arial" w:hAnsi="Arial" w:cs="Arial"/>
            <w:bCs/>
            <w:sz w:val="24"/>
            <w:szCs w:val="24"/>
          </w:rPr>
          <w:t>http://www.dcsf.gov.uk/londonbologna/uploads/documents/LondonCommuniquefinalwithLondonlogo.pdf</w:t>
        </w:r>
      </w:hyperlink>
    </w:p>
    <w:p w:rsidR="00E03B54" w:rsidRDefault="00E03B54" w:rsidP="00E03B54">
      <w:pPr>
        <w:spacing w:line="360" w:lineRule="auto"/>
        <w:jc w:val="both"/>
        <w:rPr>
          <w:rFonts w:ascii="Arial" w:hAnsi="Arial" w:cs="Arial"/>
          <w:sz w:val="24"/>
          <w:szCs w:val="24"/>
        </w:rPr>
      </w:pPr>
      <w:r w:rsidRPr="00EA60C7">
        <w:rPr>
          <w:rFonts w:ascii="Arial" w:hAnsi="Arial" w:cs="Arial"/>
          <w:bCs/>
          <w:sz w:val="24"/>
          <w:szCs w:val="24"/>
        </w:rPr>
        <w:t>Communiqué of the Conference of European Ministers Responsible for Higher Education, Leuven and Louvain-la-</w:t>
      </w:r>
      <w:proofErr w:type="spellStart"/>
      <w:r w:rsidRPr="00EA60C7">
        <w:rPr>
          <w:rFonts w:ascii="Arial" w:hAnsi="Arial" w:cs="Arial"/>
          <w:bCs/>
          <w:sz w:val="24"/>
          <w:szCs w:val="24"/>
        </w:rPr>
        <w:t>Neuve</w:t>
      </w:r>
      <w:proofErr w:type="spellEnd"/>
      <w:r w:rsidRPr="00EA60C7">
        <w:rPr>
          <w:rFonts w:ascii="Arial" w:hAnsi="Arial" w:cs="Arial"/>
          <w:bCs/>
          <w:sz w:val="24"/>
          <w:szCs w:val="24"/>
        </w:rPr>
        <w:t xml:space="preserve">, 28-29 April 2009, accessed at </w:t>
      </w:r>
      <w:hyperlink r:id="rId32" w:history="1">
        <w:r w:rsidRPr="00EA60C7">
          <w:rPr>
            <w:rStyle w:val="Hyperlink"/>
            <w:rFonts w:ascii="Arial" w:hAnsi="Arial" w:cs="Arial"/>
            <w:bCs/>
            <w:sz w:val="24"/>
            <w:szCs w:val="24"/>
          </w:rPr>
          <w:t>http://www.ond.vlaanderen.be/hogeronderwijs/bologna/conference/documents/Leuven_Louvain-la-Neuve_Communiqué_April_2009.pdf</w:t>
        </w:r>
      </w:hyperlink>
    </w:p>
    <w:p w:rsidR="00E03B54" w:rsidRPr="00EA60C7" w:rsidRDefault="00E03B54" w:rsidP="00E03B54">
      <w:pPr>
        <w:spacing w:line="360" w:lineRule="auto"/>
        <w:jc w:val="both"/>
        <w:rPr>
          <w:rFonts w:ascii="Arial" w:hAnsi="Arial" w:cs="Arial"/>
          <w:sz w:val="24"/>
          <w:szCs w:val="24"/>
        </w:rPr>
      </w:pPr>
      <w:r w:rsidRPr="00EA60C7">
        <w:rPr>
          <w:rFonts w:ascii="Arial" w:hAnsi="Arial" w:cs="Arial"/>
          <w:bCs/>
          <w:sz w:val="24"/>
          <w:szCs w:val="24"/>
        </w:rPr>
        <w:t xml:space="preserve">Budapest-Vienna Declaration on the European Higher Education Area, accessed at </w:t>
      </w:r>
      <w:hyperlink r:id="rId33" w:history="1">
        <w:r w:rsidRPr="00EA60C7">
          <w:rPr>
            <w:rStyle w:val="Hyperlink"/>
            <w:rFonts w:ascii="Arial" w:hAnsi="Arial" w:cs="Arial"/>
            <w:bCs/>
            <w:sz w:val="24"/>
            <w:szCs w:val="24"/>
          </w:rPr>
          <w:t>http://www.ond.vlaanderen.be/hogeronderwijs/Bologna/2010_conference/documents/Budapest-Vienna_Declaration.pdf</w:t>
        </w:r>
      </w:hyperlink>
    </w:p>
    <w:p w:rsidR="00E03B54" w:rsidRPr="00DE40B5"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Books</w:t>
      </w:r>
    </w:p>
    <w:p w:rsidR="00E03B54" w:rsidRPr="00883C03" w:rsidRDefault="00E03B54" w:rsidP="00E03B54">
      <w:pPr>
        <w:spacing w:line="360" w:lineRule="auto"/>
        <w:jc w:val="both"/>
        <w:rPr>
          <w:rFonts w:ascii="Arial" w:hAnsi="Arial" w:cs="Arial"/>
          <w:sz w:val="24"/>
          <w:szCs w:val="24"/>
        </w:rPr>
      </w:pPr>
      <w:r>
        <w:rPr>
          <w:rFonts w:ascii="Arial" w:hAnsi="Arial" w:cs="Arial"/>
          <w:sz w:val="24"/>
          <w:szCs w:val="24"/>
        </w:rPr>
        <w:t xml:space="preserve">A Arnull, A Dashwood, M Dougan, M Ross, E Spaventa, D Wyatt, </w:t>
      </w:r>
      <w:r>
        <w:rPr>
          <w:rFonts w:ascii="Arial" w:hAnsi="Arial" w:cs="Arial"/>
          <w:i/>
          <w:sz w:val="24"/>
          <w:szCs w:val="24"/>
        </w:rPr>
        <w:t>Wyatt &amp; Dashwood’s European Union Law</w:t>
      </w:r>
      <w:r>
        <w:rPr>
          <w:rFonts w:ascii="Arial" w:hAnsi="Arial" w:cs="Arial"/>
          <w:sz w:val="24"/>
          <w:szCs w:val="24"/>
        </w:rPr>
        <w:t xml:space="preserve"> (5</w:t>
      </w:r>
      <w:r w:rsidRPr="00883C03">
        <w:rPr>
          <w:rFonts w:ascii="Arial" w:hAnsi="Arial" w:cs="Arial"/>
          <w:sz w:val="24"/>
          <w:szCs w:val="24"/>
          <w:vertAlign w:val="superscript"/>
        </w:rPr>
        <w:t>th</w:t>
      </w:r>
      <w:r>
        <w:rPr>
          <w:rFonts w:ascii="Arial" w:hAnsi="Arial" w:cs="Arial"/>
          <w:sz w:val="24"/>
          <w:szCs w:val="24"/>
        </w:rPr>
        <w:t xml:space="preserve"> edn Sweet &amp; Maxwell, London 2006)</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C Barnard, </w:t>
      </w:r>
      <w:r>
        <w:rPr>
          <w:rFonts w:ascii="Arial" w:hAnsi="Arial" w:cs="Arial"/>
          <w:i/>
          <w:sz w:val="24"/>
          <w:szCs w:val="24"/>
        </w:rPr>
        <w:t>The Substantive Law of the EU: The Four Freedoms</w:t>
      </w:r>
      <w:r>
        <w:rPr>
          <w:rFonts w:ascii="Arial" w:hAnsi="Arial" w:cs="Arial"/>
          <w:sz w:val="24"/>
          <w:szCs w:val="24"/>
        </w:rPr>
        <w:t xml:space="preserve"> (2</w:t>
      </w:r>
      <w:r w:rsidRPr="00BE7F07">
        <w:rPr>
          <w:rFonts w:ascii="Arial" w:hAnsi="Arial" w:cs="Arial"/>
          <w:sz w:val="24"/>
          <w:szCs w:val="24"/>
          <w:vertAlign w:val="superscript"/>
        </w:rPr>
        <w:t>nd</w:t>
      </w:r>
      <w:r>
        <w:rPr>
          <w:rFonts w:ascii="Arial" w:hAnsi="Arial" w:cs="Arial"/>
          <w:sz w:val="24"/>
          <w:szCs w:val="24"/>
        </w:rPr>
        <w:t xml:space="preserve"> edn OUP, London 2007)</w:t>
      </w:r>
    </w:p>
    <w:p w:rsidR="00E03B54" w:rsidRPr="00883C03" w:rsidRDefault="00E03B54" w:rsidP="00E03B54">
      <w:pPr>
        <w:spacing w:line="360" w:lineRule="auto"/>
        <w:jc w:val="both"/>
        <w:rPr>
          <w:rFonts w:ascii="Arial" w:hAnsi="Arial" w:cs="Arial"/>
          <w:sz w:val="24"/>
          <w:szCs w:val="24"/>
        </w:rPr>
      </w:pPr>
      <w:r>
        <w:rPr>
          <w:rFonts w:ascii="Arial" w:hAnsi="Arial" w:cs="Arial"/>
          <w:sz w:val="24"/>
          <w:szCs w:val="24"/>
        </w:rPr>
        <w:t xml:space="preserve">E Berry, S Hargreaves, </w:t>
      </w:r>
      <w:r>
        <w:rPr>
          <w:rFonts w:ascii="Arial" w:hAnsi="Arial" w:cs="Arial"/>
          <w:i/>
          <w:sz w:val="24"/>
          <w:szCs w:val="24"/>
        </w:rPr>
        <w:t>European Union Law</w:t>
      </w:r>
      <w:r>
        <w:rPr>
          <w:rFonts w:ascii="Arial" w:hAnsi="Arial" w:cs="Arial"/>
          <w:sz w:val="24"/>
          <w:szCs w:val="24"/>
        </w:rPr>
        <w:t xml:space="preserve"> (2</w:t>
      </w:r>
      <w:r w:rsidRPr="00883C03">
        <w:rPr>
          <w:rFonts w:ascii="Arial" w:hAnsi="Arial" w:cs="Arial"/>
          <w:sz w:val="24"/>
          <w:szCs w:val="24"/>
          <w:vertAlign w:val="superscript"/>
        </w:rPr>
        <w:t>nd</w:t>
      </w:r>
      <w:r>
        <w:rPr>
          <w:rFonts w:ascii="Arial" w:hAnsi="Arial" w:cs="Arial"/>
          <w:sz w:val="24"/>
          <w:szCs w:val="24"/>
        </w:rPr>
        <w:t xml:space="preserve"> edn OUP, London 2007)</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D Chalmers, C Hadjiemmanuil, G Monti, A Tomkins, </w:t>
      </w:r>
      <w:r>
        <w:rPr>
          <w:rFonts w:ascii="Arial" w:hAnsi="Arial" w:cs="Arial"/>
          <w:i/>
          <w:sz w:val="24"/>
          <w:szCs w:val="24"/>
        </w:rPr>
        <w:t>European Union Law</w:t>
      </w:r>
      <w:r>
        <w:rPr>
          <w:rFonts w:ascii="Arial" w:hAnsi="Arial" w:cs="Arial"/>
          <w:sz w:val="24"/>
          <w:szCs w:val="24"/>
        </w:rPr>
        <w:t xml:space="preserve"> (CUP, Cambridge 2006)</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P Craig, G de Búrca, </w:t>
      </w:r>
      <w:r>
        <w:rPr>
          <w:rFonts w:ascii="Arial" w:hAnsi="Arial" w:cs="Arial"/>
          <w:i/>
          <w:sz w:val="24"/>
          <w:szCs w:val="24"/>
        </w:rPr>
        <w:t>EU Law: Text, Cases and Materials</w:t>
      </w:r>
      <w:r>
        <w:rPr>
          <w:rFonts w:ascii="Arial" w:hAnsi="Arial" w:cs="Arial"/>
          <w:sz w:val="24"/>
          <w:szCs w:val="24"/>
        </w:rPr>
        <w:t xml:space="preserve"> (4</w:t>
      </w:r>
      <w:r w:rsidRPr="00DD3AC3">
        <w:rPr>
          <w:rFonts w:ascii="Arial" w:hAnsi="Arial" w:cs="Arial"/>
          <w:sz w:val="24"/>
          <w:szCs w:val="24"/>
          <w:vertAlign w:val="superscript"/>
        </w:rPr>
        <w:t>th</w:t>
      </w:r>
      <w:r>
        <w:rPr>
          <w:rFonts w:ascii="Arial" w:hAnsi="Arial" w:cs="Arial"/>
          <w:sz w:val="24"/>
          <w:szCs w:val="24"/>
        </w:rPr>
        <w:t xml:space="preserve"> edn OUP, London 2008)</w:t>
      </w:r>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 xml:space="preserve">B de Witte, C </w:t>
      </w:r>
      <w:proofErr w:type="spellStart"/>
      <w:r w:rsidRPr="004F6201">
        <w:rPr>
          <w:rFonts w:ascii="Arial" w:hAnsi="Arial" w:cs="Arial"/>
          <w:sz w:val="24"/>
          <w:szCs w:val="24"/>
        </w:rPr>
        <w:t>Forder</w:t>
      </w:r>
      <w:proofErr w:type="spellEnd"/>
      <w:r w:rsidRPr="004F6201">
        <w:rPr>
          <w:rFonts w:ascii="Arial" w:hAnsi="Arial" w:cs="Arial"/>
          <w:sz w:val="24"/>
          <w:szCs w:val="24"/>
        </w:rPr>
        <w:t xml:space="preserve">, (Eds.), </w:t>
      </w:r>
      <w:r w:rsidRPr="004F6201">
        <w:rPr>
          <w:rFonts w:ascii="Arial" w:hAnsi="Arial" w:cs="Arial"/>
          <w:i/>
          <w:sz w:val="24"/>
          <w:szCs w:val="24"/>
        </w:rPr>
        <w:t>The Common Law of Europe and the Future of Legal Education</w:t>
      </w:r>
      <w:r w:rsidRPr="004F6201">
        <w:rPr>
          <w:rFonts w:ascii="Arial" w:hAnsi="Arial" w:cs="Arial"/>
          <w:sz w:val="24"/>
          <w:szCs w:val="24"/>
        </w:rPr>
        <w:t xml:space="preserve"> (Kluwer</w:t>
      </w:r>
      <w:r>
        <w:rPr>
          <w:rFonts w:ascii="Arial" w:hAnsi="Arial" w:cs="Arial"/>
          <w:sz w:val="24"/>
          <w:szCs w:val="24"/>
        </w:rPr>
        <w:t>, Deventer</w:t>
      </w:r>
      <w:r w:rsidRPr="004F6201">
        <w:rPr>
          <w:rFonts w:ascii="Arial" w:hAnsi="Arial" w:cs="Arial"/>
          <w:sz w:val="24"/>
          <w:szCs w:val="24"/>
        </w:rPr>
        <w:t xml:space="preserve"> 1992)</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J Fairhurst, </w:t>
      </w:r>
      <w:r>
        <w:rPr>
          <w:rFonts w:ascii="Arial" w:hAnsi="Arial" w:cs="Arial"/>
          <w:i/>
          <w:sz w:val="24"/>
          <w:szCs w:val="24"/>
        </w:rPr>
        <w:t>Law of the European Union</w:t>
      </w:r>
      <w:r>
        <w:rPr>
          <w:rFonts w:ascii="Arial" w:hAnsi="Arial" w:cs="Arial"/>
          <w:sz w:val="24"/>
          <w:szCs w:val="24"/>
        </w:rPr>
        <w:t xml:space="preserve"> (7</w:t>
      </w:r>
      <w:r w:rsidRPr="00747247">
        <w:rPr>
          <w:rFonts w:ascii="Arial" w:hAnsi="Arial" w:cs="Arial"/>
          <w:sz w:val="24"/>
          <w:szCs w:val="24"/>
          <w:vertAlign w:val="superscript"/>
        </w:rPr>
        <w:t>th</w:t>
      </w:r>
      <w:r>
        <w:rPr>
          <w:rFonts w:ascii="Arial" w:hAnsi="Arial" w:cs="Arial"/>
          <w:sz w:val="24"/>
          <w:szCs w:val="24"/>
        </w:rPr>
        <w:t xml:space="preserve"> edn Longman, Harlow 2010)</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N Foster, </w:t>
      </w:r>
      <w:r>
        <w:rPr>
          <w:rFonts w:ascii="Arial" w:hAnsi="Arial" w:cs="Arial"/>
          <w:i/>
          <w:sz w:val="24"/>
          <w:szCs w:val="24"/>
        </w:rPr>
        <w:t>Foster on EU Law</w:t>
      </w:r>
      <w:r>
        <w:rPr>
          <w:rFonts w:ascii="Arial" w:hAnsi="Arial" w:cs="Arial"/>
          <w:sz w:val="24"/>
          <w:szCs w:val="24"/>
        </w:rPr>
        <w:t xml:space="preserve"> (2</w:t>
      </w:r>
      <w:r w:rsidRPr="00747247">
        <w:rPr>
          <w:rFonts w:ascii="Arial" w:hAnsi="Arial" w:cs="Arial"/>
          <w:sz w:val="24"/>
          <w:szCs w:val="24"/>
          <w:vertAlign w:val="superscript"/>
        </w:rPr>
        <w:t>nd</w:t>
      </w:r>
      <w:r>
        <w:rPr>
          <w:rFonts w:ascii="Arial" w:hAnsi="Arial" w:cs="Arial"/>
          <w:sz w:val="24"/>
          <w:szCs w:val="24"/>
        </w:rPr>
        <w:t xml:space="preserve"> edn OUP, London 2009)</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lastRenderedPageBreak/>
        <w:t xml:space="preserve">P Harris, S </w:t>
      </w:r>
      <w:proofErr w:type="spellStart"/>
      <w:r w:rsidRPr="004A3D36">
        <w:rPr>
          <w:rFonts w:ascii="Arial" w:hAnsi="Arial" w:cs="Arial"/>
          <w:sz w:val="24"/>
          <w:szCs w:val="24"/>
        </w:rPr>
        <w:t>Bellerby</w:t>
      </w:r>
      <w:proofErr w:type="spellEnd"/>
      <w:r w:rsidRPr="004A3D36">
        <w:rPr>
          <w:rFonts w:ascii="Arial" w:hAnsi="Arial" w:cs="Arial"/>
          <w:sz w:val="24"/>
          <w:szCs w:val="24"/>
        </w:rPr>
        <w:t xml:space="preserve">, </w:t>
      </w:r>
      <w:r w:rsidRPr="004A3D36">
        <w:rPr>
          <w:rFonts w:ascii="Arial" w:hAnsi="Arial" w:cs="Arial"/>
          <w:i/>
          <w:sz w:val="24"/>
          <w:szCs w:val="24"/>
        </w:rPr>
        <w:t>A Survey of Law Teaching 1993</w:t>
      </w:r>
      <w:r w:rsidRPr="004A3D36">
        <w:rPr>
          <w:rFonts w:ascii="Arial" w:hAnsi="Arial" w:cs="Arial"/>
          <w:sz w:val="24"/>
          <w:szCs w:val="24"/>
        </w:rPr>
        <w:t xml:space="preserve"> (Sweet and Maxwell/Association of Law Teachers, London 1993)</w:t>
      </w:r>
    </w:p>
    <w:p w:rsidR="00E03B54" w:rsidRPr="00883C03" w:rsidRDefault="00E03B54" w:rsidP="00E03B54">
      <w:pPr>
        <w:spacing w:line="360" w:lineRule="auto"/>
        <w:jc w:val="both"/>
        <w:rPr>
          <w:rFonts w:ascii="Arial" w:hAnsi="Arial" w:cs="Arial"/>
          <w:sz w:val="24"/>
          <w:szCs w:val="24"/>
        </w:rPr>
      </w:pPr>
      <w:r>
        <w:rPr>
          <w:rFonts w:ascii="Arial" w:hAnsi="Arial" w:cs="Arial"/>
          <w:sz w:val="24"/>
          <w:szCs w:val="24"/>
        </w:rPr>
        <w:t xml:space="preserve">T Hartley, </w:t>
      </w:r>
      <w:r>
        <w:rPr>
          <w:rFonts w:ascii="Arial" w:hAnsi="Arial" w:cs="Arial"/>
          <w:i/>
          <w:sz w:val="24"/>
          <w:szCs w:val="24"/>
        </w:rPr>
        <w:t>The Foundations of European Community Law</w:t>
      </w:r>
      <w:r>
        <w:rPr>
          <w:rFonts w:ascii="Arial" w:hAnsi="Arial" w:cs="Arial"/>
          <w:sz w:val="24"/>
          <w:szCs w:val="24"/>
        </w:rPr>
        <w:t xml:space="preserve"> (6</w:t>
      </w:r>
      <w:r w:rsidRPr="00883C03">
        <w:rPr>
          <w:rFonts w:ascii="Arial" w:hAnsi="Arial" w:cs="Arial"/>
          <w:sz w:val="24"/>
          <w:szCs w:val="24"/>
          <w:vertAlign w:val="superscript"/>
        </w:rPr>
        <w:t>th</w:t>
      </w:r>
      <w:r>
        <w:rPr>
          <w:rFonts w:ascii="Arial" w:hAnsi="Arial" w:cs="Arial"/>
          <w:sz w:val="24"/>
          <w:szCs w:val="24"/>
        </w:rPr>
        <w:t xml:space="preserve"> edn OUP, London 2007)</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M Horspool, M Humphreys, </w:t>
      </w:r>
      <w:r>
        <w:rPr>
          <w:rFonts w:ascii="Arial" w:hAnsi="Arial" w:cs="Arial"/>
          <w:i/>
          <w:sz w:val="24"/>
          <w:szCs w:val="24"/>
        </w:rPr>
        <w:t>European Union Law</w:t>
      </w:r>
      <w:r>
        <w:rPr>
          <w:rFonts w:ascii="Arial" w:hAnsi="Arial" w:cs="Arial"/>
          <w:sz w:val="24"/>
          <w:szCs w:val="24"/>
        </w:rPr>
        <w:t xml:space="preserve"> (5</w:t>
      </w:r>
      <w:r w:rsidRPr="00883C03">
        <w:rPr>
          <w:rFonts w:ascii="Arial" w:hAnsi="Arial" w:cs="Arial"/>
          <w:sz w:val="24"/>
          <w:szCs w:val="24"/>
          <w:vertAlign w:val="superscript"/>
        </w:rPr>
        <w:t>th</w:t>
      </w:r>
      <w:r>
        <w:rPr>
          <w:rFonts w:ascii="Arial" w:hAnsi="Arial" w:cs="Arial"/>
          <w:sz w:val="24"/>
          <w:szCs w:val="24"/>
        </w:rPr>
        <w:t xml:space="preserve"> edn OUP, London 2008)</w:t>
      </w:r>
    </w:p>
    <w:p w:rsidR="006537BB" w:rsidRPr="00883C03" w:rsidRDefault="006537BB" w:rsidP="00E03B54">
      <w:pPr>
        <w:spacing w:line="360" w:lineRule="auto"/>
        <w:jc w:val="both"/>
        <w:rPr>
          <w:rFonts w:ascii="Arial" w:hAnsi="Arial" w:cs="Arial"/>
          <w:sz w:val="24"/>
          <w:szCs w:val="24"/>
        </w:rPr>
      </w:pPr>
      <w:r w:rsidRPr="006537BB">
        <w:rPr>
          <w:rFonts w:ascii="Arial" w:hAnsi="Arial" w:cs="Arial"/>
          <w:sz w:val="24"/>
          <w:szCs w:val="24"/>
        </w:rPr>
        <w:t xml:space="preserve">Law Society and General Council of the Bar, </w:t>
      </w:r>
      <w:r w:rsidRPr="006537BB">
        <w:rPr>
          <w:rFonts w:ascii="Arial" w:hAnsi="Arial" w:cs="Arial"/>
          <w:i/>
          <w:sz w:val="24"/>
          <w:szCs w:val="24"/>
        </w:rPr>
        <w:t>A Joint Statement Issued by the Law Society and the General Council of the Bar on the Completion of the Initial or Academic Stage of Training by Obtaining an Undergraduate Degree</w:t>
      </w:r>
      <w:r w:rsidRPr="006537BB">
        <w:rPr>
          <w:rFonts w:ascii="Arial" w:hAnsi="Arial" w:cs="Arial"/>
          <w:sz w:val="24"/>
          <w:szCs w:val="24"/>
        </w:rPr>
        <w:t xml:space="preserve"> (Law Society, London 1999)</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PSRF Mathijsen, </w:t>
      </w:r>
      <w:r>
        <w:rPr>
          <w:rFonts w:ascii="Arial" w:hAnsi="Arial" w:cs="Arial"/>
          <w:i/>
          <w:sz w:val="24"/>
          <w:szCs w:val="24"/>
        </w:rPr>
        <w:t>A Guide to European Union Law</w:t>
      </w:r>
      <w:r>
        <w:rPr>
          <w:rFonts w:ascii="Arial" w:hAnsi="Arial" w:cs="Arial"/>
          <w:sz w:val="24"/>
          <w:szCs w:val="24"/>
        </w:rPr>
        <w:t xml:space="preserve"> (9</w:t>
      </w:r>
      <w:r w:rsidRPr="00883C03">
        <w:rPr>
          <w:rFonts w:ascii="Arial" w:hAnsi="Arial" w:cs="Arial"/>
          <w:sz w:val="24"/>
          <w:szCs w:val="24"/>
          <w:vertAlign w:val="superscript"/>
        </w:rPr>
        <w:t>th</w:t>
      </w:r>
      <w:r>
        <w:rPr>
          <w:rFonts w:ascii="Arial" w:hAnsi="Arial" w:cs="Arial"/>
          <w:sz w:val="24"/>
          <w:szCs w:val="24"/>
        </w:rPr>
        <w:t xml:space="preserve"> edn Sweet &amp; Maxwell, London 2007)</w:t>
      </w:r>
    </w:p>
    <w:p w:rsidR="00132904" w:rsidRPr="00883C03" w:rsidRDefault="00132904" w:rsidP="00E03B54">
      <w:pPr>
        <w:spacing w:line="360" w:lineRule="auto"/>
        <w:jc w:val="both"/>
        <w:rPr>
          <w:rFonts w:ascii="Arial" w:hAnsi="Arial" w:cs="Arial"/>
          <w:sz w:val="24"/>
          <w:szCs w:val="24"/>
        </w:rPr>
      </w:pPr>
      <w:r w:rsidRPr="00132904">
        <w:rPr>
          <w:rFonts w:ascii="Arial" w:hAnsi="Arial" w:cs="Arial"/>
          <w:sz w:val="24"/>
          <w:szCs w:val="24"/>
        </w:rPr>
        <w:t xml:space="preserve">T Mayes, D Morrison, H Mellar, P Mullen, M Oliver, (Eds.), </w:t>
      </w:r>
      <w:r w:rsidRPr="00132904">
        <w:rPr>
          <w:rFonts w:ascii="Arial" w:hAnsi="Arial" w:cs="Arial"/>
          <w:i/>
          <w:sz w:val="24"/>
          <w:szCs w:val="24"/>
        </w:rPr>
        <w:t>Transforming Higher Education Through Technology-Enhanced Learning</w:t>
      </w:r>
      <w:r w:rsidRPr="00132904">
        <w:rPr>
          <w:rFonts w:ascii="Arial" w:hAnsi="Arial" w:cs="Arial"/>
          <w:sz w:val="24"/>
          <w:szCs w:val="24"/>
        </w:rPr>
        <w:t xml:space="preserve"> (The Higher Education Academy, York 2009)</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J Steiner, L Woods, </w:t>
      </w:r>
      <w:r>
        <w:rPr>
          <w:rFonts w:ascii="Arial" w:hAnsi="Arial" w:cs="Arial"/>
          <w:i/>
          <w:sz w:val="24"/>
          <w:szCs w:val="24"/>
        </w:rPr>
        <w:t>EU Law</w:t>
      </w:r>
      <w:r>
        <w:rPr>
          <w:rFonts w:ascii="Arial" w:hAnsi="Arial" w:cs="Arial"/>
          <w:sz w:val="24"/>
          <w:szCs w:val="24"/>
        </w:rPr>
        <w:t xml:space="preserve"> (10</w:t>
      </w:r>
      <w:r w:rsidRPr="00DD3AC3">
        <w:rPr>
          <w:rFonts w:ascii="Arial" w:hAnsi="Arial" w:cs="Arial"/>
          <w:sz w:val="24"/>
          <w:szCs w:val="24"/>
          <w:vertAlign w:val="superscript"/>
        </w:rPr>
        <w:t>th</w:t>
      </w:r>
      <w:r>
        <w:rPr>
          <w:rFonts w:ascii="Arial" w:hAnsi="Arial" w:cs="Arial"/>
          <w:sz w:val="24"/>
          <w:szCs w:val="24"/>
        </w:rPr>
        <w:t xml:space="preserve"> edn OUP, London 2009)</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J Tillotson, N Foster, </w:t>
      </w:r>
      <w:r>
        <w:rPr>
          <w:rFonts w:ascii="Arial" w:hAnsi="Arial" w:cs="Arial"/>
          <w:i/>
          <w:sz w:val="24"/>
          <w:szCs w:val="24"/>
        </w:rPr>
        <w:t>Text, Cases and Materials on European Union Law</w:t>
      </w:r>
      <w:r>
        <w:rPr>
          <w:rFonts w:ascii="Arial" w:hAnsi="Arial" w:cs="Arial"/>
          <w:sz w:val="24"/>
          <w:szCs w:val="24"/>
        </w:rPr>
        <w:t xml:space="preserve"> (4</w:t>
      </w:r>
      <w:r w:rsidRPr="00883C03">
        <w:rPr>
          <w:rFonts w:ascii="Arial" w:hAnsi="Arial" w:cs="Arial"/>
          <w:sz w:val="24"/>
          <w:szCs w:val="24"/>
          <w:vertAlign w:val="superscript"/>
        </w:rPr>
        <w:t>th</w:t>
      </w:r>
      <w:r>
        <w:rPr>
          <w:rFonts w:ascii="Arial" w:hAnsi="Arial" w:cs="Arial"/>
          <w:sz w:val="24"/>
          <w:szCs w:val="24"/>
        </w:rPr>
        <w:t xml:space="preserve"> edn Cavendish-Routledge, London 2003)</w:t>
      </w:r>
    </w:p>
    <w:p w:rsidR="00441F33" w:rsidRPr="00883C03" w:rsidRDefault="00441F33" w:rsidP="00E03B54">
      <w:pPr>
        <w:spacing w:line="360" w:lineRule="auto"/>
        <w:jc w:val="both"/>
        <w:rPr>
          <w:rFonts w:ascii="Arial" w:hAnsi="Arial" w:cs="Arial"/>
          <w:sz w:val="24"/>
          <w:szCs w:val="24"/>
        </w:rPr>
      </w:pPr>
      <w:r>
        <w:rPr>
          <w:rFonts w:ascii="Arial" w:hAnsi="Arial" w:cs="Arial"/>
          <w:sz w:val="24"/>
          <w:szCs w:val="24"/>
        </w:rPr>
        <w:t xml:space="preserve">C Turner, T Storey, </w:t>
      </w:r>
      <w:r>
        <w:rPr>
          <w:rFonts w:ascii="Arial" w:hAnsi="Arial" w:cs="Arial"/>
          <w:i/>
          <w:sz w:val="24"/>
          <w:szCs w:val="24"/>
        </w:rPr>
        <w:t>Unlocking EU Law</w:t>
      </w:r>
      <w:r>
        <w:rPr>
          <w:rFonts w:ascii="Arial" w:hAnsi="Arial" w:cs="Arial"/>
          <w:sz w:val="24"/>
          <w:szCs w:val="24"/>
        </w:rPr>
        <w:t xml:space="preserve"> (2</w:t>
      </w:r>
      <w:r w:rsidRPr="00441F33">
        <w:rPr>
          <w:rFonts w:ascii="Arial" w:hAnsi="Arial" w:cs="Arial"/>
          <w:sz w:val="24"/>
          <w:szCs w:val="24"/>
          <w:vertAlign w:val="superscript"/>
        </w:rPr>
        <w:t>nd</w:t>
      </w:r>
      <w:r>
        <w:rPr>
          <w:rFonts w:ascii="Arial" w:hAnsi="Arial" w:cs="Arial"/>
          <w:sz w:val="24"/>
          <w:szCs w:val="24"/>
        </w:rPr>
        <w:t xml:space="preserve"> edn </w:t>
      </w:r>
      <w:proofErr w:type="spellStart"/>
      <w:r>
        <w:rPr>
          <w:rFonts w:ascii="Arial" w:hAnsi="Arial" w:cs="Arial"/>
          <w:sz w:val="24"/>
          <w:szCs w:val="24"/>
        </w:rPr>
        <w:t>Hodder</w:t>
      </w:r>
      <w:proofErr w:type="spellEnd"/>
      <w:r>
        <w:rPr>
          <w:rFonts w:ascii="Arial" w:hAnsi="Arial" w:cs="Arial"/>
          <w:sz w:val="24"/>
          <w:szCs w:val="24"/>
        </w:rPr>
        <w:t>, London 2008)</w:t>
      </w:r>
    </w:p>
    <w:p w:rsidR="00E03B54" w:rsidRDefault="00E03B54" w:rsidP="00E03B54">
      <w:pPr>
        <w:spacing w:line="360" w:lineRule="auto"/>
        <w:jc w:val="both"/>
        <w:rPr>
          <w:rFonts w:ascii="Arial" w:hAnsi="Arial" w:cs="Arial"/>
          <w:sz w:val="24"/>
          <w:szCs w:val="24"/>
        </w:rPr>
      </w:pPr>
      <w:r>
        <w:rPr>
          <w:rFonts w:ascii="Arial" w:hAnsi="Arial" w:cs="Arial"/>
          <w:sz w:val="24"/>
          <w:szCs w:val="24"/>
        </w:rPr>
        <w:t xml:space="preserve">S Weatherill, </w:t>
      </w:r>
      <w:r>
        <w:rPr>
          <w:rFonts w:ascii="Arial" w:hAnsi="Arial" w:cs="Arial"/>
          <w:i/>
          <w:sz w:val="24"/>
          <w:szCs w:val="24"/>
        </w:rPr>
        <w:t>Cases and Materials on EU Law</w:t>
      </w:r>
      <w:r>
        <w:rPr>
          <w:rFonts w:ascii="Arial" w:hAnsi="Arial" w:cs="Arial"/>
          <w:sz w:val="24"/>
          <w:szCs w:val="24"/>
        </w:rPr>
        <w:t xml:space="preserve"> (8</w:t>
      </w:r>
      <w:r w:rsidRPr="00747247">
        <w:rPr>
          <w:rFonts w:ascii="Arial" w:hAnsi="Arial" w:cs="Arial"/>
          <w:sz w:val="24"/>
          <w:szCs w:val="24"/>
          <w:vertAlign w:val="superscript"/>
        </w:rPr>
        <w:t>th</w:t>
      </w:r>
      <w:r>
        <w:rPr>
          <w:rFonts w:ascii="Arial" w:hAnsi="Arial" w:cs="Arial"/>
          <w:sz w:val="24"/>
          <w:szCs w:val="24"/>
        </w:rPr>
        <w:t xml:space="preserve"> edn OUP, London 2007)</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Journal Articles</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M </w:t>
      </w:r>
      <w:proofErr w:type="spellStart"/>
      <w:r w:rsidRPr="004A3D36">
        <w:rPr>
          <w:rFonts w:ascii="Arial" w:hAnsi="Arial" w:cs="Arial"/>
          <w:sz w:val="24"/>
          <w:szCs w:val="24"/>
        </w:rPr>
        <w:t>Aitkenhead</w:t>
      </w:r>
      <w:proofErr w:type="spellEnd"/>
      <w:r w:rsidRPr="004A3D36">
        <w:rPr>
          <w:rFonts w:ascii="Arial" w:hAnsi="Arial" w:cs="Arial"/>
          <w:sz w:val="24"/>
          <w:szCs w:val="24"/>
        </w:rPr>
        <w:t xml:space="preserve">, N Burrows, R </w:t>
      </w:r>
      <w:proofErr w:type="spellStart"/>
      <w:r w:rsidRPr="004A3D36">
        <w:rPr>
          <w:rFonts w:ascii="Arial" w:hAnsi="Arial" w:cs="Arial"/>
          <w:sz w:val="24"/>
          <w:szCs w:val="24"/>
        </w:rPr>
        <w:t>Jagtenberg</w:t>
      </w:r>
      <w:proofErr w:type="spellEnd"/>
      <w:r w:rsidRPr="004A3D36">
        <w:rPr>
          <w:rFonts w:ascii="Arial" w:hAnsi="Arial" w:cs="Arial"/>
          <w:sz w:val="24"/>
          <w:szCs w:val="24"/>
        </w:rPr>
        <w:t xml:space="preserve">, E </w:t>
      </w:r>
      <w:proofErr w:type="spellStart"/>
      <w:r w:rsidRPr="004A3D36">
        <w:rPr>
          <w:rFonts w:ascii="Arial" w:hAnsi="Arial" w:cs="Arial"/>
          <w:sz w:val="24"/>
          <w:szCs w:val="24"/>
        </w:rPr>
        <w:t>Orucu</w:t>
      </w:r>
      <w:proofErr w:type="spellEnd"/>
      <w:r w:rsidRPr="004A3D36">
        <w:rPr>
          <w:rFonts w:ascii="Arial" w:hAnsi="Arial" w:cs="Arial"/>
          <w:sz w:val="24"/>
          <w:szCs w:val="24"/>
        </w:rPr>
        <w:t>, ‘Education in European Community Law in Scotland and the Netherlands’ (1986) 20 LT 79</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I Bache, ‘</w:t>
      </w:r>
      <w:proofErr w:type="spellStart"/>
      <w:r w:rsidRPr="004A3D36">
        <w:rPr>
          <w:rFonts w:ascii="Arial" w:hAnsi="Arial" w:cs="Arial"/>
          <w:sz w:val="24"/>
          <w:szCs w:val="24"/>
        </w:rPr>
        <w:t>Europeanisation</w:t>
      </w:r>
      <w:proofErr w:type="spellEnd"/>
      <w:r w:rsidRPr="004A3D36">
        <w:rPr>
          <w:rFonts w:ascii="Arial" w:hAnsi="Arial" w:cs="Arial"/>
          <w:sz w:val="24"/>
          <w:szCs w:val="24"/>
        </w:rPr>
        <w:t xml:space="preserve"> and Higher Education: Towards a Core Curriculum in European Studies’ Conference Paper for the ESRC/UACES Study Group and Seminar Series on the </w:t>
      </w:r>
      <w:proofErr w:type="spellStart"/>
      <w:r w:rsidRPr="004A3D36">
        <w:rPr>
          <w:rFonts w:ascii="Arial" w:hAnsi="Arial" w:cs="Arial"/>
          <w:sz w:val="24"/>
          <w:szCs w:val="24"/>
        </w:rPr>
        <w:t>Europeanisation</w:t>
      </w:r>
      <w:proofErr w:type="spellEnd"/>
      <w:r w:rsidRPr="004A3D36">
        <w:rPr>
          <w:rFonts w:ascii="Arial" w:hAnsi="Arial" w:cs="Arial"/>
          <w:sz w:val="24"/>
          <w:szCs w:val="24"/>
        </w:rPr>
        <w:t xml:space="preserve"> of British Politics and Policy-Making, 23 April 2004, accessed at </w:t>
      </w:r>
      <w:hyperlink r:id="rId34" w:history="1">
        <w:r w:rsidRPr="004A3D36">
          <w:rPr>
            <w:rStyle w:val="Hyperlink"/>
            <w:rFonts w:ascii="Arial" w:hAnsi="Arial" w:cs="Arial"/>
            <w:sz w:val="24"/>
            <w:szCs w:val="24"/>
          </w:rPr>
          <w:t>http://aei.pitt.edu/1728/01/BacheHE.pdf</w:t>
        </w:r>
      </w:hyperlink>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lastRenderedPageBreak/>
        <w:t xml:space="preserve">A </w:t>
      </w:r>
      <w:proofErr w:type="spellStart"/>
      <w:r w:rsidRPr="00441CA7">
        <w:rPr>
          <w:rFonts w:ascii="Arial" w:hAnsi="Arial" w:cs="Arial"/>
          <w:sz w:val="24"/>
          <w:szCs w:val="24"/>
        </w:rPr>
        <w:t>Barblan</w:t>
      </w:r>
      <w:proofErr w:type="spellEnd"/>
      <w:r w:rsidRPr="00441CA7">
        <w:rPr>
          <w:rFonts w:ascii="Arial" w:hAnsi="Arial" w:cs="Arial"/>
          <w:sz w:val="24"/>
          <w:szCs w:val="24"/>
        </w:rPr>
        <w:t xml:space="preserve">, ‘The Sorbonne Declaration – Follow-up and Implication: A Personal View’ Conference Paper for the XII Santander Group General Assembly, 17 April 1999, accessed at </w:t>
      </w:r>
    </w:p>
    <w:p w:rsidR="00E03B54" w:rsidRDefault="002C7395" w:rsidP="00E03B54">
      <w:pPr>
        <w:spacing w:line="360" w:lineRule="auto"/>
        <w:jc w:val="both"/>
        <w:rPr>
          <w:rFonts w:ascii="Arial" w:hAnsi="Arial" w:cs="Arial"/>
          <w:sz w:val="24"/>
          <w:szCs w:val="24"/>
        </w:rPr>
      </w:pPr>
      <w:hyperlink r:id="rId35" w:history="1">
        <w:r w:rsidR="00E03B54" w:rsidRPr="00441CA7">
          <w:rPr>
            <w:rStyle w:val="Hyperlink"/>
            <w:rFonts w:ascii="Arial" w:hAnsi="Arial" w:cs="Arial"/>
            <w:sz w:val="24"/>
            <w:szCs w:val="24"/>
          </w:rPr>
          <w:t>http://www.upf.edu/bolonya/obolonya/eees/document/instituc/1999/santander.rtf</w:t>
        </w:r>
      </w:hyperlink>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K </w:t>
      </w:r>
      <w:proofErr w:type="spellStart"/>
      <w:r w:rsidRPr="00BF2E49">
        <w:rPr>
          <w:rFonts w:ascii="Arial" w:hAnsi="Arial" w:cs="Arial"/>
          <w:sz w:val="24"/>
          <w:szCs w:val="24"/>
        </w:rPr>
        <w:t>Barkholt</w:t>
      </w:r>
      <w:proofErr w:type="spellEnd"/>
      <w:r w:rsidRPr="00BF2E49">
        <w:rPr>
          <w:rFonts w:ascii="Arial" w:hAnsi="Arial" w:cs="Arial"/>
          <w:sz w:val="24"/>
          <w:szCs w:val="24"/>
        </w:rPr>
        <w:t>, ‘The Bologna Process and Integration Theory: Convergence and Autonomy’ (2005) 30 Higher Education in Europe 23</w:t>
      </w:r>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P Birks, ‘Compulsory Subjects: Will the Seven Foundations ever Crumble?’ [1995] 1 Web JCLI</w:t>
      </w:r>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P </w:t>
      </w:r>
      <w:proofErr w:type="spellStart"/>
      <w:r w:rsidRPr="00BF2E49">
        <w:rPr>
          <w:rFonts w:ascii="Arial" w:hAnsi="Arial" w:cs="Arial"/>
          <w:sz w:val="24"/>
          <w:szCs w:val="24"/>
        </w:rPr>
        <w:t>Blasi</w:t>
      </w:r>
      <w:proofErr w:type="spellEnd"/>
      <w:r w:rsidRPr="00BF2E49">
        <w:rPr>
          <w:rFonts w:ascii="Arial" w:hAnsi="Arial" w:cs="Arial"/>
          <w:sz w:val="24"/>
          <w:szCs w:val="24"/>
        </w:rPr>
        <w:t>, ‘The European University – Towards a Wisdom-Based Society’ (2006) 31 Higher Education in Europe 403</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K </w:t>
      </w:r>
      <w:proofErr w:type="spellStart"/>
      <w:r w:rsidRPr="004A3D36">
        <w:rPr>
          <w:rFonts w:ascii="Arial" w:hAnsi="Arial" w:cs="Arial"/>
          <w:sz w:val="24"/>
          <w:szCs w:val="24"/>
        </w:rPr>
        <w:t>Bookmiller</w:t>
      </w:r>
      <w:proofErr w:type="spellEnd"/>
      <w:r w:rsidRPr="004A3D36">
        <w:rPr>
          <w:rFonts w:ascii="Arial" w:hAnsi="Arial" w:cs="Arial"/>
          <w:sz w:val="24"/>
          <w:szCs w:val="24"/>
        </w:rPr>
        <w:t xml:space="preserve">, E </w:t>
      </w:r>
      <w:proofErr w:type="spellStart"/>
      <w:r w:rsidRPr="004A3D36">
        <w:rPr>
          <w:rFonts w:ascii="Arial" w:hAnsi="Arial" w:cs="Arial"/>
          <w:sz w:val="24"/>
          <w:szCs w:val="24"/>
        </w:rPr>
        <w:t>DeClair</w:t>
      </w:r>
      <w:proofErr w:type="spellEnd"/>
      <w:r w:rsidRPr="004A3D36">
        <w:rPr>
          <w:rFonts w:ascii="Arial" w:hAnsi="Arial" w:cs="Arial"/>
          <w:sz w:val="24"/>
          <w:szCs w:val="24"/>
        </w:rPr>
        <w:t xml:space="preserve">, P </w:t>
      </w:r>
      <w:proofErr w:type="spellStart"/>
      <w:r w:rsidRPr="004A3D36">
        <w:rPr>
          <w:rFonts w:ascii="Arial" w:hAnsi="Arial" w:cs="Arial"/>
          <w:sz w:val="24"/>
          <w:szCs w:val="24"/>
        </w:rPr>
        <w:t>Loedel</w:t>
      </w:r>
      <w:proofErr w:type="spellEnd"/>
      <w:r w:rsidRPr="004A3D36">
        <w:rPr>
          <w:rFonts w:ascii="Arial" w:hAnsi="Arial" w:cs="Arial"/>
          <w:sz w:val="24"/>
          <w:szCs w:val="24"/>
        </w:rPr>
        <w:t>, ‘Teaching an EU Simulation’ (1998) 11 ECSA Review 10</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MH Chisholm, ‘Di-Le-</w:t>
      </w:r>
      <w:proofErr w:type="spellStart"/>
      <w:r w:rsidRPr="004A3D36">
        <w:rPr>
          <w:rFonts w:ascii="Arial" w:hAnsi="Arial" w:cs="Arial"/>
          <w:sz w:val="24"/>
          <w:szCs w:val="24"/>
        </w:rPr>
        <w:t>Ca</w:t>
      </w:r>
      <w:proofErr w:type="spellEnd"/>
      <w:r w:rsidRPr="004A3D36">
        <w:rPr>
          <w:rFonts w:ascii="Arial" w:hAnsi="Arial" w:cs="Arial"/>
          <w:sz w:val="24"/>
          <w:szCs w:val="24"/>
        </w:rPr>
        <w:t xml:space="preserve"> Approach to Teaching European Law’ (1990) 24 LT 63</w:t>
      </w:r>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R </w:t>
      </w:r>
      <w:proofErr w:type="spellStart"/>
      <w:r w:rsidRPr="00BF2E49">
        <w:rPr>
          <w:rFonts w:ascii="Arial" w:hAnsi="Arial" w:cs="Arial"/>
          <w:sz w:val="24"/>
          <w:szCs w:val="24"/>
        </w:rPr>
        <w:t>Cippitani</w:t>
      </w:r>
      <w:proofErr w:type="spellEnd"/>
      <w:r w:rsidRPr="00BF2E49">
        <w:rPr>
          <w:rFonts w:ascii="Arial" w:hAnsi="Arial" w:cs="Arial"/>
          <w:sz w:val="24"/>
          <w:szCs w:val="24"/>
        </w:rPr>
        <w:t xml:space="preserve">, S </w:t>
      </w:r>
      <w:proofErr w:type="spellStart"/>
      <w:r w:rsidRPr="00BF2E49">
        <w:rPr>
          <w:rFonts w:ascii="Arial" w:hAnsi="Arial" w:cs="Arial"/>
          <w:sz w:val="24"/>
          <w:szCs w:val="24"/>
        </w:rPr>
        <w:t>Gatt</w:t>
      </w:r>
      <w:proofErr w:type="spellEnd"/>
      <w:r w:rsidRPr="00BF2E49">
        <w:rPr>
          <w:rFonts w:ascii="Arial" w:hAnsi="Arial" w:cs="Arial"/>
          <w:sz w:val="24"/>
          <w:szCs w:val="24"/>
        </w:rPr>
        <w:t>, ‘Legal Developments and Problems of the Bologna Process within the European Higher Education Area and European Integration’ (2009) 34 Higher Education in Europe 385</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A Corbett, ‘Ideas, Institutions and Policy Entrepreneurs: Towards a New History of Higher Education in the European Community’ (2003) 38 European Journal of Education 316</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D Edward, ‘The ‘European’ Content of British Law Degrees’ (1995) 29 LT 142</w:t>
      </w:r>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E </w:t>
      </w:r>
      <w:proofErr w:type="spellStart"/>
      <w:r w:rsidRPr="00BF2E49">
        <w:rPr>
          <w:rFonts w:ascii="Arial" w:hAnsi="Arial" w:cs="Arial"/>
          <w:sz w:val="24"/>
          <w:szCs w:val="24"/>
        </w:rPr>
        <w:t>Froment</w:t>
      </w:r>
      <w:proofErr w:type="spellEnd"/>
      <w:r w:rsidRPr="00BF2E49">
        <w:rPr>
          <w:rFonts w:ascii="Arial" w:hAnsi="Arial" w:cs="Arial"/>
          <w:sz w:val="24"/>
          <w:szCs w:val="24"/>
        </w:rPr>
        <w:t>, ‘The European Higher Education Area: A New Framework for the Development of Higher Education’ (2003) 28 Higher Education in Europe 23</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S Garben, ‘The Bologna Process: From a European Law Perspective’ (2010) 16 ELJ 186</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RJ Goebel, ‘Teaching the EU: Pedagogical Goals and Approaches in Teaching European Union Law’ accessed at</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 </w:t>
      </w:r>
      <w:hyperlink r:id="rId36" w:history="1">
        <w:r w:rsidRPr="004A3D36">
          <w:rPr>
            <w:rStyle w:val="Hyperlink"/>
            <w:rFonts w:ascii="Arial" w:hAnsi="Arial" w:cs="Arial"/>
            <w:sz w:val="24"/>
            <w:szCs w:val="24"/>
          </w:rPr>
          <w:t>http://www.eurunion.org/infores/teaching/goebel.htm</w:t>
        </w:r>
      </w:hyperlink>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lastRenderedPageBreak/>
        <w:t>R Goode, ‘The European Law School’ (1993) 13 LS 1</w:t>
      </w:r>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VL </w:t>
      </w:r>
      <w:proofErr w:type="spellStart"/>
      <w:r w:rsidRPr="00BF2E49">
        <w:rPr>
          <w:rFonts w:ascii="Arial" w:hAnsi="Arial" w:cs="Arial"/>
          <w:sz w:val="24"/>
          <w:szCs w:val="24"/>
        </w:rPr>
        <w:t>Haanes</w:t>
      </w:r>
      <w:proofErr w:type="spellEnd"/>
      <w:r w:rsidRPr="00BF2E49">
        <w:rPr>
          <w:rFonts w:ascii="Arial" w:hAnsi="Arial" w:cs="Arial"/>
          <w:sz w:val="24"/>
          <w:szCs w:val="24"/>
        </w:rPr>
        <w:t>, ‘Unity in Diversity and Diversity in Unity: The Role and Legitimacy of European Universities’ (2006) 31 Higher Education in Europe 443</w:t>
      </w:r>
    </w:p>
    <w:p w:rsidR="00E03B54" w:rsidRDefault="00E03B54" w:rsidP="00E03B54">
      <w:pPr>
        <w:spacing w:line="360" w:lineRule="auto"/>
        <w:jc w:val="both"/>
        <w:rPr>
          <w:rFonts w:ascii="Arial" w:hAnsi="Arial" w:cs="Arial"/>
          <w:sz w:val="24"/>
          <w:szCs w:val="24"/>
        </w:rPr>
      </w:pPr>
      <w:r w:rsidRPr="0035458F">
        <w:rPr>
          <w:rFonts w:ascii="Arial" w:hAnsi="Arial" w:cs="Arial"/>
          <w:sz w:val="24"/>
          <w:szCs w:val="24"/>
        </w:rPr>
        <w:t xml:space="preserve">E </w:t>
      </w:r>
      <w:proofErr w:type="spellStart"/>
      <w:r w:rsidRPr="0035458F">
        <w:rPr>
          <w:rFonts w:ascii="Arial" w:hAnsi="Arial" w:cs="Arial"/>
          <w:sz w:val="24"/>
          <w:szCs w:val="24"/>
        </w:rPr>
        <w:t>Hackl</w:t>
      </w:r>
      <w:proofErr w:type="spellEnd"/>
      <w:r w:rsidRPr="0035458F">
        <w:rPr>
          <w:rFonts w:ascii="Arial" w:hAnsi="Arial" w:cs="Arial"/>
          <w:sz w:val="24"/>
          <w:szCs w:val="24"/>
        </w:rPr>
        <w:t>, ‘Towards a European Area of Higher Education: Change and Convergence in European Higher Education’ (2001) EUI Working Paper RSC 2001/09</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P Harris, S </w:t>
      </w:r>
      <w:proofErr w:type="spellStart"/>
      <w:r w:rsidRPr="004A3D36">
        <w:rPr>
          <w:rFonts w:ascii="Arial" w:hAnsi="Arial" w:cs="Arial"/>
          <w:sz w:val="24"/>
          <w:szCs w:val="24"/>
        </w:rPr>
        <w:t>Beinart</w:t>
      </w:r>
      <w:proofErr w:type="spellEnd"/>
      <w:r w:rsidRPr="004A3D36">
        <w:rPr>
          <w:rFonts w:ascii="Arial" w:hAnsi="Arial" w:cs="Arial"/>
          <w:sz w:val="24"/>
          <w:szCs w:val="24"/>
        </w:rPr>
        <w:t>, ‘A Survey of Law Schools in the United Kingdom, 2004’ (2005) 39 LT 299</w:t>
      </w:r>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t xml:space="preserve">G </w:t>
      </w:r>
      <w:proofErr w:type="spellStart"/>
      <w:r w:rsidRPr="00441CA7">
        <w:rPr>
          <w:rFonts w:ascii="Arial" w:hAnsi="Arial" w:cs="Arial"/>
          <w:sz w:val="24"/>
          <w:szCs w:val="24"/>
        </w:rPr>
        <w:t>Haug</w:t>
      </w:r>
      <w:proofErr w:type="spellEnd"/>
      <w:r w:rsidRPr="00441CA7">
        <w:rPr>
          <w:rFonts w:ascii="Arial" w:hAnsi="Arial" w:cs="Arial"/>
          <w:sz w:val="24"/>
          <w:szCs w:val="24"/>
        </w:rPr>
        <w:t xml:space="preserve">, C </w:t>
      </w:r>
      <w:proofErr w:type="spellStart"/>
      <w:r w:rsidRPr="00441CA7">
        <w:rPr>
          <w:rFonts w:ascii="Arial" w:hAnsi="Arial" w:cs="Arial"/>
          <w:sz w:val="24"/>
          <w:szCs w:val="24"/>
        </w:rPr>
        <w:t>Tauch</w:t>
      </w:r>
      <w:proofErr w:type="spellEnd"/>
      <w:r w:rsidRPr="00441CA7">
        <w:rPr>
          <w:rFonts w:ascii="Arial" w:hAnsi="Arial" w:cs="Arial"/>
          <w:sz w:val="24"/>
          <w:szCs w:val="24"/>
        </w:rPr>
        <w:t xml:space="preserve">, ‘Towards a Coherent European Higher Education Space: From Bologna to Prague’ accessed at </w:t>
      </w:r>
    </w:p>
    <w:p w:rsidR="00E03B54" w:rsidRDefault="002C7395" w:rsidP="00E03B54">
      <w:pPr>
        <w:spacing w:line="360" w:lineRule="auto"/>
        <w:jc w:val="both"/>
        <w:rPr>
          <w:rFonts w:ascii="Arial" w:hAnsi="Arial" w:cs="Arial"/>
          <w:sz w:val="24"/>
          <w:szCs w:val="24"/>
        </w:rPr>
      </w:pPr>
      <w:hyperlink r:id="rId37" w:history="1">
        <w:r w:rsidR="00E03B54" w:rsidRPr="00441CA7">
          <w:rPr>
            <w:rStyle w:val="Hyperlink"/>
            <w:rFonts w:ascii="Arial" w:hAnsi="Arial" w:cs="Arial"/>
            <w:sz w:val="24"/>
            <w:szCs w:val="24"/>
          </w:rPr>
          <w:t>http://www.lebenslangeslernen.at/downloads/EU_CoherentHigherEducation_0301.pdf</w:t>
        </w:r>
      </w:hyperlink>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J Hodgson, ‘The Comparative Dimension (or What do They Know of England, that only England Know?)’ [1995] 5 Web JCLI</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J </w:t>
      </w:r>
      <w:proofErr w:type="spellStart"/>
      <w:r w:rsidRPr="002A6FF7">
        <w:rPr>
          <w:rFonts w:ascii="Arial" w:hAnsi="Arial" w:cs="Arial"/>
          <w:sz w:val="24"/>
          <w:szCs w:val="24"/>
        </w:rPr>
        <w:t>Huisman</w:t>
      </w:r>
      <w:proofErr w:type="spellEnd"/>
      <w:r w:rsidRPr="002A6FF7">
        <w:rPr>
          <w:rFonts w:ascii="Arial" w:hAnsi="Arial" w:cs="Arial"/>
          <w:sz w:val="24"/>
          <w:szCs w:val="24"/>
        </w:rPr>
        <w:t xml:space="preserve">, M van de </w:t>
      </w:r>
      <w:proofErr w:type="spellStart"/>
      <w:r w:rsidRPr="002A6FF7">
        <w:rPr>
          <w:rFonts w:ascii="Arial" w:hAnsi="Arial" w:cs="Arial"/>
          <w:sz w:val="24"/>
          <w:szCs w:val="24"/>
        </w:rPr>
        <w:t>Wende</w:t>
      </w:r>
      <w:proofErr w:type="spellEnd"/>
      <w:r w:rsidRPr="002A6FF7">
        <w:rPr>
          <w:rFonts w:ascii="Arial" w:hAnsi="Arial" w:cs="Arial"/>
          <w:sz w:val="24"/>
          <w:szCs w:val="24"/>
        </w:rPr>
        <w:t>, ‘The EU and Bologna: Are Supra- and International Initiatives Threatening Domestic Agendas?’ (2004) 39 European Journal of Education 349</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R Keeling, ‘The Bologna Process and the Lisbon Research Agenda: The European Commission’s Expanding Role in Higher Education Discourse’ (2006) 41 European Journal of Education 203</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T Kirkwood-Tucker, ‘Toward a European Model of Higher Education Processes, Problems and Promises’ (2004) 36 European Education 51</w:t>
      </w:r>
    </w:p>
    <w:p w:rsidR="00E03B54"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D </w:t>
      </w:r>
      <w:proofErr w:type="spellStart"/>
      <w:r w:rsidRPr="00BF2E49">
        <w:rPr>
          <w:rFonts w:ascii="Arial" w:hAnsi="Arial" w:cs="Arial"/>
          <w:sz w:val="24"/>
          <w:szCs w:val="24"/>
        </w:rPr>
        <w:t>Kladis</w:t>
      </w:r>
      <w:proofErr w:type="spellEnd"/>
      <w:r w:rsidRPr="00BF2E49">
        <w:rPr>
          <w:rFonts w:ascii="Arial" w:hAnsi="Arial" w:cs="Arial"/>
          <w:sz w:val="24"/>
          <w:szCs w:val="24"/>
        </w:rPr>
        <w:t>, ‘The Social Dimension of the Bologna Process’ (2003) 28 Higher Education in Europe 353</w:t>
      </w:r>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R Jones, J Scully, ‘Hypertext within Legal Education’ [1996] 2 JILT</w:t>
      </w:r>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R Jones, J Scully, ‘Effective Teaching and Learning on the Web’ [1998] 2 Web JCLI</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PH </w:t>
      </w:r>
      <w:proofErr w:type="spellStart"/>
      <w:r w:rsidRPr="004A3D36">
        <w:rPr>
          <w:rFonts w:ascii="Arial" w:hAnsi="Arial" w:cs="Arial"/>
          <w:sz w:val="24"/>
          <w:szCs w:val="24"/>
        </w:rPr>
        <w:t>Loedel</w:t>
      </w:r>
      <w:proofErr w:type="spellEnd"/>
      <w:r w:rsidRPr="004A3D36">
        <w:rPr>
          <w:rFonts w:ascii="Arial" w:hAnsi="Arial" w:cs="Arial"/>
          <w:sz w:val="24"/>
          <w:szCs w:val="24"/>
        </w:rPr>
        <w:t xml:space="preserve">, J </w:t>
      </w:r>
      <w:proofErr w:type="spellStart"/>
      <w:r w:rsidRPr="004A3D36">
        <w:rPr>
          <w:rFonts w:ascii="Arial" w:hAnsi="Arial" w:cs="Arial"/>
          <w:sz w:val="24"/>
          <w:szCs w:val="24"/>
        </w:rPr>
        <w:t>Occhiphinti</w:t>
      </w:r>
      <w:proofErr w:type="spellEnd"/>
      <w:r w:rsidRPr="004A3D36">
        <w:rPr>
          <w:rFonts w:ascii="Arial" w:hAnsi="Arial" w:cs="Arial"/>
          <w:sz w:val="24"/>
          <w:szCs w:val="24"/>
        </w:rPr>
        <w:t>, ‘Europe Matters: Teaching the EU in the US’ (2005) 18 EUSA Review 9</w:t>
      </w:r>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lastRenderedPageBreak/>
        <w:t>J Lonbay, ‘University Training: The Implications of the Bologna Declaration for the UK’ [2001] EJLE accessed at</w:t>
      </w:r>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t xml:space="preserve"> </w:t>
      </w:r>
      <w:hyperlink r:id="rId38" w:history="1">
        <w:r w:rsidRPr="00441CA7">
          <w:rPr>
            <w:rStyle w:val="Hyperlink"/>
            <w:rFonts w:ascii="Arial" w:hAnsi="Arial" w:cs="Arial"/>
            <w:sz w:val="24"/>
            <w:szCs w:val="24"/>
          </w:rPr>
          <w:t>http://www.elfa-afde.org/PDF/Journal/UNIVERSITY%TRAINING.pdf</w:t>
        </w:r>
      </w:hyperlink>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t>J Lonbay, ‘University Training: The Implications of the Bologna Declaration for the UK’</w:t>
      </w:r>
      <w:r>
        <w:rPr>
          <w:rFonts w:ascii="Arial" w:hAnsi="Arial" w:cs="Arial"/>
          <w:sz w:val="24"/>
          <w:szCs w:val="24"/>
        </w:rPr>
        <w:t xml:space="preserve"> </w:t>
      </w:r>
      <w:r w:rsidRPr="00441CA7">
        <w:rPr>
          <w:rFonts w:ascii="Arial" w:hAnsi="Arial" w:cs="Arial"/>
          <w:sz w:val="24"/>
          <w:szCs w:val="24"/>
        </w:rPr>
        <w:t xml:space="preserve">(2002) XXXV </w:t>
      </w:r>
      <w:proofErr w:type="spellStart"/>
      <w:r w:rsidRPr="00441CA7">
        <w:rPr>
          <w:rFonts w:ascii="Arial" w:hAnsi="Arial" w:cs="Arial"/>
          <w:sz w:val="24"/>
          <w:szCs w:val="24"/>
        </w:rPr>
        <w:t>Rassegne</w:t>
      </w:r>
      <w:proofErr w:type="spellEnd"/>
      <w:r w:rsidRPr="00441CA7">
        <w:rPr>
          <w:rFonts w:ascii="Arial" w:hAnsi="Arial" w:cs="Arial"/>
          <w:sz w:val="24"/>
          <w:szCs w:val="24"/>
        </w:rPr>
        <w:t xml:space="preserve"> </w:t>
      </w:r>
      <w:proofErr w:type="spellStart"/>
      <w:r w:rsidRPr="00441CA7">
        <w:rPr>
          <w:rFonts w:ascii="Arial" w:hAnsi="Arial" w:cs="Arial"/>
          <w:sz w:val="24"/>
          <w:szCs w:val="24"/>
        </w:rPr>
        <w:t>forense</w:t>
      </w:r>
      <w:proofErr w:type="spellEnd"/>
      <w:r w:rsidRPr="00441CA7">
        <w:rPr>
          <w:rFonts w:ascii="Arial" w:hAnsi="Arial" w:cs="Arial"/>
          <w:sz w:val="24"/>
          <w:szCs w:val="24"/>
        </w:rPr>
        <w:t xml:space="preserve"> 89</w:t>
      </w:r>
    </w:p>
    <w:p w:rsidR="00E03B54" w:rsidRDefault="00E03B54" w:rsidP="00E03B54">
      <w:pPr>
        <w:spacing w:line="360" w:lineRule="auto"/>
        <w:jc w:val="both"/>
      </w:pPr>
      <w:r w:rsidRPr="004A3D36">
        <w:rPr>
          <w:rFonts w:ascii="Arial" w:hAnsi="Arial" w:cs="Arial"/>
          <w:sz w:val="24"/>
          <w:szCs w:val="24"/>
        </w:rPr>
        <w:t xml:space="preserve">CJ </w:t>
      </w:r>
      <w:proofErr w:type="spellStart"/>
      <w:r w:rsidRPr="004A3D36">
        <w:rPr>
          <w:rFonts w:ascii="Arial" w:hAnsi="Arial" w:cs="Arial"/>
          <w:sz w:val="24"/>
          <w:szCs w:val="24"/>
        </w:rPr>
        <w:t>Makins</w:t>
      </w:r>
      <w:proofErr w:type="spellEnd"/>
      <w:r w:rsidRPr="004A3D36">
        <w:rPr>
          <w:rFonts w:ascii="Arial" w:hAnsi="Arial" w:cs="Arial"/>
          <w:sz w:val="24"/>
          <w:szCs w:val="24"/>
        </w:rPr>
        <w:t xml:space="preserve">, </w:t>
      </w:r>
      <w:r>
        <w:rPr>
          <w:rFonts w:ascii="Arial" w:hAnsi="Arial" w:cs="Arial"/>
          <w:sz w:val="24"/>
          <w:szCs w:val="24"/>
        </w:rPr>
        <w:t>‘</w:t>
      </w:r>
      <w:r w:rsidRPr="004A3D36">
        <w:rPr>
          <w:rFonts w:ascii="Arial" w:hAnsi="Arial" w:cs="Arial"/>
          <w:sz w:val="24"/>
          <w:szCs w:val="24"/>
        </w:rPr>
        <w:t>The Study of Europe in the United States</w:t>
      </w:r>
      <w:r>
        <w:rPr>
          <w:rFonts w:ascii="Arial" w:hAnsi="Arial" w:cs="Arial"/>
          <w:sz w:val="24"/>
          <w:szCs w:val="24"/>
        </w:rPr>
        <w:t xml:space="preserve"> 1998’</w:t>
      </w:r>
      <w:r w:rsidRPr="004A3D36">
        <w:rPr>
          <w:rFonts w:ascii="Arial" w:hAnsi="Arial" w:cs="Arial"/>
          <w:sz w:val="24"/>
          <w:szCs w:val="24"/>
        </w:rPr>
        <w:t xml:space="preserve"> European Commission and The German Marshall Fund of the United States, accessed at </w:t>
      </w:r>
      <w:hyperlink r:id="rId39" w:history="1">
        <w:r w:rsidRPr="004A3D36">
          <w:rPr>
            <w:rStyle w:val="Hyperlink"/>
            <w:rFonts w:ascii="Arial" w:hAnsi="Arial" w:cs="Arial"/>
            <w:sz w:val="24"/>
            <w:szCs w:val="24"/>
          </w:rPr>
          <w:t>http://www.eurunion.org/infores/studyof/portrait.htm</w:t>
        </w:r>
      </w:hyperlink>
    </w:p>
    <w:p w:rsidR="00E03B54" w:rsidRDefault="00E03B54" w:rsidP="00E03B54">
      <w:pPr>
        <w:spacing w:line="360" w:lineRule="auto"/>
        <w:jc w:val="both"/>
        <w:rPr>
          <w:rFonts w:ascii="Arial" w:hAnsi="Arial" w:cs="Arial"/>
          <w:sz w:val="24"/>
          <w:szCs w:val="24"/>
        </w:rPr>
      </w:pPr>
      <w:r w:rsidRPr="00D32C89">
        <w:rPr>
          <w:rFonts w:ascii="Arial" w:hAnsi="Arial" w:cs="Arial"/>
          <w:sz w:val="24"/>
          <w:szCs w:val="24"/>
        </w:rPr>
        <w:t>C McGlynn, ‘Women, Representation and the Legal Academy’ (1999) 19 Legal Studies 68</w:t>
      </w:r>
    </w:p>
    <w:p w:rsidR="00E03B54" w:rsidRPr="00BF2E49" w:rsidRDefault="00E03B54" w:rsidP="00E03B54">
      <w:pPr>
        <w:spacing w:line="360" w:lineRule="auto"/>
        <w:jc w:val="both"/>
        <w:rPr>
          <w:rFonts w:ascii="Arial" w:hAnsi="Arial" w:cs="Arial"/>
          <w:sz w:val="24"/>
          <w:szCs w:val="24"/>
        </w:rPr>
      </w:pPr>
      <w:r w:rsidRPr="00BF2E49">
        <w:rPr>
          <w:rFonts w:ascii="Arial" w:hAnsi="Arial" w:cs="Arial"/>
          <w:sz w:val="24"/>
          <w:szCs w:val="24"/>
        </w:rPr>
        <w:t xml:space="preserve">P </w:t>
      </w:r>
      <w:proofErr w:type="spellStart"/>
      <w:r w:rsidRPr="00BF2E49">
        <w:rPr>
          <w:rFonts w:ascii="Arial" w:hAnsi="Arial" w:cs="Arial"/>
          <w:sz w:val="24"/>
          <w:szCs w:val="24"/>
        </w:rPr>
        <w:t>Nyborg</w:t>
      </w:r>
      <w:proofErr w:type="spellEnd"/>
      <w:r w:rsidRPr="00BF2E49">
        <w:rPr>
          <w:rFonts w:ascii="Arial" w:hAnsi="Arial" w:cs="Arial"/>
          <w:sz w:val="24"/>
          <w:szCs w:val="24"/>
        </w:rPr>
        <w:t>, ‘Higher Education as a Public Good and a Public Responsibility’ (2003) 28 Higher Education in Europe 355</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A </w:t>
      </w:r>
      <w:proofErr w:type="spellStart"/>
      <w:r w:rsidRPr="002A6FF7">
        <w:rPr>
          <w:rFonts w:ascii="Arial" w:hAnsi="Arial" w:cs="Arial"/>
          <w:sz w:val="24"/>
          <w:szCs w:val="24"/>
        </w:rPr>
        <w:t>Rauhvargers</w:t>
      </w:r>
      <w:proofErr w:type="spellEnd"/>
      <w:r w:rsidRPr="002A6FF7">
        <w:rPr>
          <w:rFonts w:ascii="Arial" w:hAnsi="Arial" w:cs="Arial"/>
          <w:sz w:val="24"/>
          <w:szCs w:val="24"/>
        </w:rPr>
        <w:t>, ‘Improving the Recognition of Qualifications in the Framework of the Bologna Process’ (2004) 39 European Journal of Education 331</w:t>
      </w:r>
    </w:p>
    <w:p w:rsidR="00E03B54" w:rsidRDefault="00E03B54" w:rsidP="00E03B54">
      <w:pPr>
        <w:spacing w:line="360" w:lineRule="auto"/>
        <w:jc w:val="both"/>
      </w:pPr>
      <w:r w:rsidRPr="004A3D36">
        <w:rPr>
          <w:rFonts w:ascii="Arial" w:hAnsi="Arial" w:cs="Arial"/>
          <w:sz w:val="24"/>
          <w:szCs w:val="24"/>
        </w:rPr>
        <w:t>DC Smith, J Hogan, ‘Teaching EU Law &amp; Policy in an Online Setting’ Conference Paper for EUSA 9</w:t>
      </w:r>
      <w:r w:rsidRPr="004A3D36">
        <w:rPr>
          <w:rFonts w:ascii="Arial" w:hAnsi="Arial" w:cs="Arial"/>
          <w:sz w:val="24"/>
          <w:szCs w:val="24"/>
          <w:vertAlign w:val="superscript"/>
        </w:rPr>
        <w:t>th</w:t>
      </w:r>
      <w:r w:rsidRPr="004A3D36">
        <w:rPr>
          <w:rFonts w:ascii="Arial" w:hAnsi="Arial" w:cs="Arial"/>
          <w:sz w:val="24"/>
          <w:szCs w:val="24"/>
        </w:rPr>
        <w:t xml:space="preserve"> Biennial Conference – The State of Teaching the European Union: Challenges and Opportunities, 31 March-2 April 2005, accessed at </w:t>
      </w:r>
      <w:hyperlink r:id="rId40" w:history="1">
        <w:r w:rsidRPr="004A3D36">
          <w:rPr>
            <w:rStyle w:val="Hyperlink"/>
            <w:rFonts w:ascii="Arial" w:hAnsi="Arial" w:cs="Arial"/>
            <w:sz w:val="24"/>
            <w:szCs w:val="24"/>
          </w:rPr>
          <w:t>http://aei.pitt.edu/3091/01/2005_03_18_EUSA_Submitted.pdf</w:t>
        </w:r>
      </w:hyperlink>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C </w:t>
      </w:r>
      <w:proofErr w:type="spellStart"/>
      <w:r w:rsidRPr="002A6FF7">
        <w:rPr>
          <w:rFonts w:ascii="Arial" w:hAnsi="Arial" w:cs="Arial"/>
          <w:sz w:val="24"/>
          <w:szCs w:val="24"/>
        </w:rPr>
        <w:t>Tauch</w:t>
      </w:r>
      <w:proofErr w:type="spellEnd"/>
      <w:r w:rsidRPr="002A6FF7">
        <w:rPr>
          <w:rFonts w:ascii="Arial" w:hAnsi="Arial" w:cs="Arial"/>
          <w:sz w:val="24"/>
          <w:szCs w:val="24"/>
        </w:rPr>
        <w:t>, ‘Almost Half-Time in the Bologna Process – Where Do We Stand?’ (2004) 39 European Journal of Education 275</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V </w:t>
      </w:r>
      <w:proofErr w:type="spellStart"/>
      <w:r w:rsidRPr="002A6FF7">
        <w:rPr>
          <w:rFonts w:ascii="Arial" w:hAnsi="Arial" w:cs="Arial"/>
          <w:sz w:val="24"/>
          <w:szCs w:val="24"/>
        </w:rPr>
        <w:t>Tomusk</w:t>
      </w:r>
      <w:proofErr w:type="spellEnd"/>
      <w:r w:rsidRPr="002A6FF7">
        <w:rPr>
          <w:rFonts w:ascii="Arial" w:hAnsi="Arial" w:cs="Arial"/>
          <w:sz w:val="24"/>
          <w:szCs w:val="24"/>
        </w:rPr>
        <w:t>, ‘Three Bolognas and a Pizza Pie: Notes on Institutionalisation of the European Higher Education System’ (2001) 14 International Studies in Sociology of Education 75</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G </w:t>
      </w:r>
      <w:proofErr w:type="spellStart"/>
      <w:r w:rsidRPr="004A3D36">
        <w:rPr>
          <w:rFonts w:ascii="Arial" w:hAnsi="Arial" w:cs="Arial"/>
          <w:sz w:val="24"/>
          <w:szCs w:val="24"/>
        </w:rPr>
        <w:t>Umbach</w:t>
      </w:r>
      <w:proofErr w:type="spellEnd"/>
      <w:r w:rsidRPr="004A3D36">
        <w:rPr>
          <w:rFonts w:ascii="Arial" w:hAnsi="Arial" w:cs="Arial"/>
          <w:sz w:val="24"/>
          <w:szCs w:val="24"/>
        </w:rPr>
        <w:t>, B Scholl, ‘Towards a Core Curriculum in EU Studies’ (2003) 2 EPS 71</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M Vogel, ‘Diversity and Comparability – Towards a Common European Higher Education Area’ (2007) 387 Analytical and </w:t>
      </w:r>
      <w:proofErr w:type="spellStart"/>
      <w:r w:rsidRPr="002A6FF7">
        <w:rPr>
          <w:rFonts w:ascii="Arial" w:hAnsi="Arial" w:cs="Arial"/>
          <w:sz w:val="24"/>
          <w:szCs w:val="24"/>
        </w:rPr>
        <w:t>Bioanalytical</w:t>
      </w:r>
      <w:proofErr w:type="spellEnd"/>
      <w:r w:rsidRPr="002A6FF7">
        <w:rPr>
          <w:rFonts w:ascii="Arial" w:hAnsi="Arial" w:cs="Arial"/>
          <w:sz w:val="24"/>
          <w:szCs w:val="24"/>
        </w:rPr>
        <w:t xml:space="preserve"> Chemistry 131</w:t>
      </w:r>
    </w:p>
    <w:p w:rsidR="00E03B54" w:rsidRDefault="00E03B54" w:rsidP="00E03B54">
      <w:pPr>
        <w:spacing w:line="360" w:lineRule="auto"/>
        <w:jc w:val="both"/>
        <w:rPr>
          <w:rFonts w:ascii="Arial" w:hAnsi="Arial" w:cs="Arial"/>
          <w:sz w:val="24"/>
          <w:szCs w:val="24"/>
        </w:rPr>
      </w:pPr>
      <w:r w:rsidRPr="002A6FF7">
        <w:rPr>
          <w:rFonts w:ascii="Arial" w:hAnsi="Arial" w:cs="Arial"/>
          <w:sz w:val="24"/>
          <w:szCs w:val="24"/>
        </w:rPr>
        <w:t xml:space="preserve">B </w:t>
      </w:r>
      <w:proofErr w:type="spellStart"/>
      <w:r w:rsidRPr="002A6FF7">
        <w:rPr>
          <w:rFonts w:ascii="Arial" w:hAnsi="Arial" w:cs="Arial"/>
          <w:sz w:val="24"/>
          <w:szCs w:val="24"/>
        </w:rPr>
        <w:t>Wächter</w:t>
      </w:r>
      <w:proofErr w:type="spellEnd"/>
      <w:r w:rsidRPr="002A6FF7">
        <w:rPr>
          <w:rFonts w:ascii="Arial" w:hAnsi="Arial" w:cs="Arial"/>
          <w:sz w:val="24"/>
          <w:szCs w:val="24"/>
        </w:rPr>
        <w:t>, ‘The Bologna Process: Developments and Prospects’ (2004) 39 European Journal of Education 265</w:t>
      </w:r>
    </w:p>
    <w:p w:rsidR="00E03B54" w:rsidRDefault="00E03B54" w:rsidP="00E03B54">
      <w:pPr>
        <w:spacing w:line="360" w:lineRule="auto"/>
        <w:jc w:val="both"/>
        <w:rPr>
          <w:rFonts w:ascii="Arial" w:hAnsi="Arial" w:cs="Arial"/>
          <w:sz w:val="24"/>
          <w:szCs w:val="24"/>
        </w:rPr>
      </w:pPr>
      <w:r w:rsidRPr="00D32C89">
        <w:rPr>
          <w:rFonts w:ascii="Arial" w:hAnsi="Arial" w:cs="Arial"/>
          <w:sz w:val="24"/>
          <w:szCs w:val="24"/>
        </w:rPr>
        <w:lastRenderedPageBreak/>
        <w:t>C Wells, ‘Working out Women in Law Schools’ (2001) 21 Legal Studies 116</w:t>
      </w:r>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W </w:t>
      </w:r>
      <w:proofErr w:type="spellStart"/>
      <w:r w:rsidRPr="004A3D36">
        <w:rPr>
          <w:rFonts w:ascii="Arial" w:hAnsi="Arial" w:cs="Arial"/>
          <w:sz w:val="24"/>
          <w:szCs w:val="24"/>
        </w:rPr>
        <w:t>Wessels</w:t>
      </w:r>
      <w:proofErr w:type="spellEnd"/>
      <w:r w:rsidRPr="004A3D36">
        <w:rPr>
          <w:rFonts w:ascii="Arial" w:hAnsi="Arial" w:cs="Arial"/>
          <w:sz w:val="24"/>
          <w:szCs w:val="24"/>
        </w:rPr>
        <w:t xml:space="preserve">, I </w:t>
      </w:r>
      <w:proofErr w:type="spellStart"/>
      <w:r w:rsidRPr="004A3D36">
        <w:rPr>
          <w:rFonts w:ascii="Arial" w:hAnsi="Arial" w:cs="Arial"/>
          <w:sz w:val="24"/>
          <w:szCs w:val="24"/>
        </w:rPr>
        <w:t>Linsenmann</w:t>
      </w:r>
      <w:proofErr w:type="spellEnd"/>
      <w:r w:rsidRPr="004A3D36">
        <w:rPr>
          <w:rFonts w:ascii="Arial" w:hAnsi="Arial" w:cs="Arial"/>
          <w:sz w:val="24"/>
          <w:szCs w:val="24"/>
        </w:rPr>
        <w:t xml:space="preserve">, S </w:t>
      </w:r>
      <w:proofErr w:type="spellStart"/>
      <w:r w:rsidRPr="004A3D36">
        <w:rPr>
          <w:rFonts w:ascii="Arial" w:hAnsi="Arial" w:cs="Arial"/>
          <w:sz w:val="24"/>
          <w:szCs w:val="24"/>
        </w:rPr>
        <w:t>Hägele</w:t>
      </w:r>
      <w:proofErr w:type="spellEnd"/>
      <w:r w:rsidRPr="004A3D36">
        <w:rPr>
          <w:rFonts w:ascii="Arial" w:hAnsi="Arial" w:cs="Arial"/>
          <w:sz w:val="24"/>
          <w:szCs w:val="24"/>
        </w:rPr>
        <w:t xml:space="preserve">, ‘A Core Curriculum on European Integration Studies: Basic Assumptions and Proposals’ Conference Paper for the ECSA Madison Conference, 31 May-2 June 2001, accessed at </w:t>
      </w:r>
      <w:hyperlink r:id="rId41" w:history="1">
        <w:r w:rsidRPr="004A3D36">
          <w:rPr>
            <w:rStyle w:val="Hyperlink"/>
            <w:rFonts w:ascii="Arial" w:hAnsi="Arial" w:cs="Arial"/>
            <w:sz w:val="24"/>
            <w:szCs w:val="24"/>
          </w:rPr>
          <w:t>http://www.politik.uni-koeln.de/wessels/DE/PROJEKTE/CORE_CURRICULUM/TEACHING_INTEGRATION.PDF</w:t>
        </w:r>
      </w:hyperlink>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W </w:t>
      </w:r>
      <w:proofErr w:type="spellStart"/>
      <w:r w:rsidRPr="004A3D36">
        <w:rPr>
          <w:rFonts w:ascii="Arial" w:hAnsi="Arial" w:cs="Arial"/>
          <w:sz w:val="24"/>
          <w:szCs w:val="24"/>
        </w:rPr>
        <w:t>Wessels</w:t>
      </w:r>
      <w:proofErr w:type="spellEnd"/>
      <w:r w:rsidRPr="004A3D36">
        <w:rPr>
          <w:rFonts w:ascii="Arial" w:hAnsi="Arial" w:cs="Arial"/>
          <w:sz w:val="24"/>
          <w:szCs w:val="24"/>
        </w:rPr>
        <w:t xml:space="preserve">, T </w:t>
      </w:r>
      <w:proofErr w:type="spellStart"/>
      <w:r w:rsidRPr="004A3D36">
        <w:rPr>
          <w:rFonts w:ascii="Arial" w:hAnsi="Arial" w:cs="Arial"/>
          <w:sz w:val="24"/>
          <w:szCs w:val="24"/>
        </w:rPr>
        <w:t>Grothe</w:t>
      </w:r>
      <w:proofErr w:type="spellEnd"/>
      <w:r w:rsidRPr="004A3D36">
        <w:rPr>
          <w:rFonts w:ascii="Arial" w:hAnsi="Arial" w:cs="Arial"/>
          <w:sz w:val="24"/>
          <w:szCs w:val="24"/>
        </w:rPr>
        <w:t xml:space="preserve">, G </w:t>
      </w:r>
      <w:proofErr w:type="spellStart"/>
      <w:r w:rsidRPr="004A3D36">
        <w:rPr>
          <w:rFonts w:ascii="Arial" w:hAnsi="Arial" w:cs="Arial"/>
          <w:sz w:val="24"/>
          <w:szCs w:val="24"/>
        </w:rPr>
        <w:t>Umbach</w:t>
      </w:r>
      <w:proofErr w:type="spellEnd"/>
      <w:r w:rsidRPr="004A3D36">
        <w:rPr>
          <w:rFonts w:ascii="Arial" w:hAnsi="Arial" w:cs="Arial"/>
          <w:sz w:val="24"/>
          <w:szCs w:val="24"/>
        </w:rPr>
        <w:t xml:space="preserve">, ‘The Constitutional Treaty as Empirical Focus for a ‘Teaching Companion’ in EU Studies’ Conference Paper for the ECPR General Conference 2003, 18-21 September 2003, accessed at </w:t>
      </w:r>
      <w:hyperlink r:id="rId42" w:history="1">
        <w:r w:rsidRPr="004A3D36">
          <w:rPr>
            <w:rStyle w:val="Hyperlink"/>
            <w:rFonts w:ascii="Arial" w:hAnsi="Arial" w:cs="Arial"/>
            <w:sz w:val="24"/>
            <w:szCs w:val="24"/>
          </w:rPr>
          <w:t>http://www.politik.uni-koeln.de/wessels/DE/PUBLIKATIONEN/texte/empirical-focus%20.pdf</w:t>
        </w:r>
      </w:hyperlink>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 xml:space="preserve">P </w:t>
      </w:r>
      <w:proofErr w:type="spellStart"/>
      <w:r w:rsidRPr="004A3D36">
        <w:rPr>
          <w:rFonts w:ascii="Arial" w:hAnsi="Arial" w:cs="Arial"/>
          <w:sz w:val="24"/>
          <w:szCs w:val="24"/>
        </w:rPr>
        <w:t>Wilkin</w:t>
      </w:r>
      <w:proofErr w:type="spellEnd"/>
      <w:r w:rsidRPr="004A3D36">
        <w:rPr>
          <w:rFonts w:ascii="Arial" w:hAnsi="Arial" w:cs="Arial"/>
          <w:sz w:val="24"/>
          <w:szCs w:val="24"/>
        </w:rPr>
        <w:t xml:space="preserve">, ‘Teaching the European Union: The Role of the Internet in </w:t>
      </w:r>
      <w:proofErr w:type="spellStart"/>
      <w:r w:rsidRPr="004A3D36">
        <w:rPr>
          <w:rFonts w:ascii="Arial" w:hAnsi="Arial" w:cs="Arial"/>
          <w:sz w:val="24"/>
          <w:szCs w:val="24"/>
        </w:rPr>
        <w:t>Webteaching</w:t>
      </w:r>
      <w:proofErr w:type="spellEnd"/>
      <w:r w:rsidRPr="004A3D36">
        <w:rPr>
          <w:rFonts w:ascii="Arial" w:hAnsi="Arial" w:cs="Arial"/>
          <w:sz w:val="24"/>
          <w:szCs w:val="24"/>
        </w:rPr>
        <w:t>’ Conference Paper for ECSA 7</w:t>
      </w:r>
      <w:r w:rsidRPr="004A3D36">
        <w:rPr>
          <w:rFonts w:ascii="Arial" w:hAnsi="Arial" w:cs="Arial"/>
          <w:sz w:val="24"/>
          <w:szCs w:val="24"/>
          <w:vertAlign w:val="superscript"/>
        </w:rPr>
        <w:t>th</w:t>
      </w:r>
      <w:r w:rsidRPr="004A3D36">
        <w:rPr>
          <w:rFonts w:ascii="Arial" w:hAnsi="Arial" w:cs="Arial"/>
          <w:sz w:val="24"/>
          <w:szCs w:val="24"/>
        </w:rPr>
        <w:t xml:space="preserve"> Biennial International Conference, 31 May-2 June 2001, accessed at </w:t>
      </w:r>
      <w:hyperlink r:id="rId43" w:history="1">
        <w:r w:rsidRPr="004A3D36">
          <w:rPr>
            <w:rStyle w:val="Hyperlink"/>
            <w:rFonts w:ascii="Arial" w:hAnsi="Arial" w:cs="Arial"/>
            <w:sz w:val="24"/>
            <w:szCs w:val="24"/>
          </w:rPr>
          <w:t>http://www.teu.teachingtheeu.html</w:t>
        </w:r>
      </w:hyperlink>
    </w:p>
    <w:p w:rsidR="00E03B54" w:rsidRDefault="00E03B54" w:rsidP="00E03B54">
      <w:pPr>
        <w:spacing w:line="360" w:lineRule="auto"/>
        <w:jc w:val="both"/>
        <w:rPr>
          <w:rFonts w:ascii="Arial" w:hAnsi="Arial" w:cs="Arial"/>
          <w:sz w:val="24"/>
          <w:szCs w:val="24"/>
        </w:rPr>
      </w:pPr>
      <w:r w:rsidRPr="004A3D36">
        <w:rPr>
          <w:rFonts w:ascii="Arial" w:hAnsi="Arial" w:cs="Arial"/>
          <w:sz w:val="24"/>
          <w:szCs w:val="24"/>
        </w:rPr>
        <w:t>J Wilson, ‘A Third Survey of University Legal Education in the United Kingdom’ (1993) 13 LS 143</w:t>
      </w:r>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Reports</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 xml:space="preserve">ACLEC, </w:t>
      </w:r>
      <w:r w:rsidRPr="00DE40B5">
        <w:rPr>
          <w:rFonts w:ascii="Arial" w:hAnsi="Arial" w:cs="Arial"/>
          <w:i/>
          <w:sz w:val="24"/>
          <w:szCs w:val="24"/>
        </w:rPr>
        <w:t>Review of Legal Education: The Initial Stage – Consultation Paper</w:t>
      </w:r>
      <w:r w:rsidRPr="00DE40B5">
        <w:rPr>
          <w:rFonts w:ascii="Arial" w:hAnsi="Arial" w:cs="Arial"/>
          <w:sz w:val="24"/>
          <w:szCs w:val="24"/>
        </w:rPr>
        <w:t>, 1994, ACLEC</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 xml:space="preserve">ACLEC, </w:t>
      </w:r>
      <w:r w:rsidRPr="00DE40B5">
        <w:rPr>
          <w:rFonts w:ascii="Arial" w:hAnsi="Arial" w:cs="Arial"/>
          <w:i/>
          <w:sz w:val="24"/>
          <w:szCs w:val="24"/>
        </w:rPr>
        <w:t>Review of Legal Education Second Consultative Conference – 18 July 1994</w:t>
      </w:r>
      <w:r w:rsidRPr="00DE40B5">
        <w:rPr>
          <w:rFonts w:ascii="Arial" w:hAnsi="Arial" w:cs="Arial"/>
          <w:sz w:val="24"/>
          <w:szCs w:val="24"/>
        </w:rPr>
        <w:t>, 1994, ACLEC</w:t>
      </w:r>
    </w:p>
    <w:p w:rsidR="00E03B54" w:rsidRDefault="00E03B54" w:rsidP="00E03B54">
      <w:pPr>
        <w:spacing w:line="360" w:lineRule="auto"/>
        <w:jc w:val="both"/>
        <w:rPr>
          <w:rFonts w:ascii="Arial" w:hAnsi="Arial" w:cs="Arial"/>
          <w:sz w:val="24"/>
          <w:szCs w:val="24"/>
        </w:rPr>
      </w:pPr>
      <w:r w:rsidRPr="00DE40B5">
        <w:rPr>
          <w:rFonts w:ascii="Arial" w:hAnsi="Arial" w:cs="Arial"/>
          <w:sz w:val="24"/>
          <w:szCs w:val="24"/>
        </w:rPr>
        <w:t xml:space="preserve">ACLEC, </w:t>
      </w:r>
      <w:r w:rsidRPr="00DE40B5">
        <w:rPr>
          <w:rFonts w:ascii="Arial" w:hAnsi="Arial" w:cs="Arial"/>
          <w:i/>
          <w:sz w:val="24"/>
          <w:szCs w:val="24"/>
        </w:rPr>
        <w:t>First Report on Legal Education and Training</w:t>
      </w:r>
      <w:r w:rsidRPr="00DE40B5">
        <w:rPr>
          <w:rFonts w:ascii="Arial" w:hAnsi="Arial" w:cs="Arial"/>
          <w:sz w:val="24"/>
          <w:szCs w:val="24"/>
        </w:rPr>
        <w:t>, 1996, ACLEC</w:t>
      </w:r>
    </w:p>
    <w:p w:rsidR="00E03B54" w:rsidRDefault="00E03B54" w:rsidP="00E03B54">
      <w:pPr>
        <w:spacing w:line="360" w:lineRule="auto"/>
        <w:jc w:val="both"/>
        <w:rPr>
          <w:rFonts w:ascii="Arial" w:hAnsi="Arial" w:cs="Arial"/>
          <w:sz w:val="24"/>
          <w:szCs w:val="24"/>
        </w:rPr>
      </w:pPr>
      <w:r w:rsidRPr="004F6201">
        <w:rPr>
          <w:rFonts w:ascii="Arial" w:hAnsi="Arial" w:cs="Arial"/>
          <w:sz w:val="24"/>
          <w:szCs w:val="24"/>
        </w:rPr>
        <w:t xml:space="preserve">Berlin Follow Up Group, “From Berlin to Bergen”, 3 May 2005 accessed at </w:t>
      </w:r>
      <w:hyperlink r:id="rId44" w:history="1">
        <w:r w:rsidRPr="004F6201">
          <w:rPr>
            <w:rStyle w:val="Hyperlink"/>
            <w:rFonts w:ascii="Arial" w:hAnsi="Arial" w:cs="Arial"/>
            <w:sz w:val="24"/>
            <w:szCs w:val="24"/>
          </w:rPr>
          <w:t>http://www.bologna-bergen2005.no/Bergen/050503_General_rep.pdf</w:t>
        </w:r>
      </w:hyperlink>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t xml:space="preserve">European Commission, “Berlin Conference of European Higher Education Ministers “Realising the European Higher Education Area” Contribution of the European Commission”, 30 July 2003, accessed at </w:t>
      </w:r>
    </w:p>
    <w:p w:rsidR="00E03B54" w:rsidRDefault="002C7395" w:rsidP="00E03B54">
      <w:pPr>
        <w:spacing w:line="360" w:lineRule="auto"/>
        <w:jc w:val="both"/>
        <w:rPr>
          <w:rFonts w:ascii="Arial" w:hAnsi="Arial" w:cs="Arial"/>
          <w:sz w:val="24"/>
          <w:szCs w:val="24"/>
        </w:rPr>
      </w:pPr>
      <w:hyperlink r:id="rId45" w:history="1">
        <w:r w:rsidR="00E03B54" w:rsidRPr="00441CA7">
          <w:rPr>
            <w:rStyle w:val="Hyperlink"/>
            <w:rFonts w:ascii="Arial" w:hAnsi="Arial" w:cs="Arial"/>
            <w:sz w:val="24"/>
            <w:szCs w:val="24"/>
          </w:rPr>
          <w:t>http://ec.europa/education/policies/educ/bologna/berlin.pdf</w:t>
        </w:r>
      </w:hyperlink>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lastRenderedPageBreak/>
        <w:t xml:space="preserve">European Commission, “From Berlin to Bergen: The EU Contribution, 7 April 2005, accessed </w:t>
      </w:r>
      <w:hyperlink r:id="rId46" w:history="1">
        <w:r w:rsidRPr="00441CA7">
          <w:rPr>
            <w:rStyle w:val="Hyperlink"/>
            <w:rFonts w:ascii="Arial" w:hAnsi="Arial" w:cs="Arial"/>
            <w:sz w:val="24"/>
            <w:szCs w:val="24"/>
          </w:rPr>
          <w:t>http://ec.europa.eu/education/policies/educ/bologna/report05.pdf</w:t>
        </w:r>
      </w:hyperlink>
    </w:p>
    <w:p w:rsidR="00E03B54" w:rsidRDefault="00E03B54" w:rsidP="00E03B54">
      <w:pPr>
        <w:spacing w:line="360" w:lineRule="auto"/>
        <w:jc w:val="both"/>
        <w:rPr>
          <w:rFonts w:ascii="Arial" w:hAnsi="Arial" w:cs="Arial"/>
          <w:sz w:val="24"/>
          <w:szCs w:val="24"/>
        </w:rPr>
      </w:pPr>
      <w:proofErr w:type="spellStart"/>
      <w:r w:rsidRPr="00441CA7">
        <w:rPr>
          <w:rFonts w:ascii="Arial" w:hAnsi="Arial" w:cs="Arial"/>
          <w:sz w:val="24"/>
          <w:szCs w:val="24"/>
        </w:rPr>
        <w:t>Lourtie</w:t>
      </w:r>
      <w:proofErr w:type="spellEnd"/>
      <w:r w:rsidRPr="00441CA7">
        <w:rPr>
          <w:rFonts w:ascii="Arial" w:hAnsi="Arial" w:cs="Arial"/>
          <w:sz w:val="24"/>
          <w:szCs w:val="24"/>
        </w:rPr>
        <w:t xml:space="preserve"> Report – From </w:t>
      </w:r>
      <w:smartTag w:uri="urn:schemas-microsoft-com:office:smarttags" w:element="City">
        <w:r w:rsidRPr="00441CA7">
          <w:rPr>
            <w:rFonts w:ascii="Arial" w:hAnsi="Arial" w:cs="Arial"/>
            <w:sz w:val="24"/>
            <w:szCs w:val="24"/>
          </w:rPr>
          <w:t>Bologna</w:t>
        </w:r>
      </w:smartTag>
      <w:r w:rsidRPr="00441CA7">
        <w:rPr>
          <w:rFonts w:ascii="Arial" w:hAnsi="Arial" w:cs="Arial"/>
          <w:sz w:val="24"/>
          <w:szCs w:val="24"/>
        </w:rPr>
        <w:t xml:space="preserve"> to </w:t>
      </w:r>
      <w:smartTag w:uri="urn:schemas-microsoft-com:office:smarttags" w:element="City">
        <w:r w:rsidRPr="00441CA7">
          <w:rPr>
            <w:rFonts w:ascii="Arial" w:hAnsi="Arial" w:cs="Arial"/>
            <w:sz w:val="24"/>
            <w:szCs w:val="24"/>
          </w:rPr>
          <w:t>Prague</w:t>
        </w:r>
      </w:smartTag>
      <w:r w:rsidRPr="00441CA7">
        <w:rPr>
          <w:rFonts w:ascii="Arial" w:hAnsi="Arial" w:cs="Arial"/>
          <w:sz w:val="24"/>
          <w:szCs w:val="24"/>
        </w:rPr>
        <w:t xml:space="preserve">, May 2001, accessed at </w:t>
      </w:r>
      <w:hyperlink r:id="rId47" w:history="1">
        <w:r w:rsidRPr="00441CA7">
          <w:rPr>
            <w:rStyle w:val="Hyperlink"/>
            <w:rFonts w:ascii="Arial" w:hAnsi="Arial" w:cs="Arial"/>
            <w:sz w:val="24"/>
            <w:szCs w:val="24"/>
          </w:rPr>
          <w:t>http://www.bologne-bergen2005.no/Docs/00-Main_doc/0105Lourtie_report.pdf</w:t>
        </w:r>
      </w:hyperlink>
    </w:p>
    <w:p w:rsidR="00E03B54" w:rsidRDefault="00E03B54" w:rsidP="00E03B54">
      <w:pPr>
        <w:spacing w:line="360" w:lineRule="auto"/>
        <w:jc w:val="both"/>
        <w:rPr>
          <w:rFonts w:ascii="Arial" w:hAnsi="Arial" w:cs="Arial"/>
          <w:sz w:val="24"/>
          <w:szCs w:val="24"/>
        </w:rPr>
      </w:pPr>
      <w:r w:rsidRPr="00441CA7">
        <w:rPr>
          <w:rFonts w:ascii="Arial" w:hAnsi="Arial" w:cs="Arial"/>
          <w:sz w:val="24"/>
          <w:szCs w:val="24"/>
        </w:rPr>
        <w:t xml:space="preserve">The </w:t>
      </w:r>
      <w:r w:rsidRPr="00441CA7">
        <w:rPr>
          <w:rFonts w:ascii="Arial" w:hAnsi="Arial" w:cs="Arial"/>
          <w:bCs/>
          <w:sz w:val="24"/>
          <w:szCs w:val="24"/>
        </w:rPr>
        <w:t>Confederation of EU Rectors’ Conferences and the Association of European Universities,</w:t>
      </w:r>
      <w:r w:rsidRPr="00441CA7">
        <w:rPr>
          <w:rFonts w:ascii="Arial" w:hAnsi="Arial" w:cs="Arial"/>
          <w:sz w:val="24"/>
          <w:szCs w:val="24"/>
        </w:rPr>
        <w:t xml:space="preserve"> The Bologna Declaration: An Explanation, accessed at </w:t>
      </w:r>
      <w:hyperlink r:id="rId48" w:history="1">
        <w:r w:rsidRPr="00441CA7">
          <w:rPr>
            <w:rStyle w:val="Hyperlink"/>
            <w:rFonts w:ascii="Arial" w:hAnsi="Arial" w:cs="Arial"/>
            <w:sz w:val="24"/>
            <w:szCs w:val="24"/>
          </w:rPr>
          <w:t>http://ec.europa.eu/education/policies/educ/bologna/bologna.pdf</w:t>
        </w:r>
      </w:hyperlink>
    </w:p>
    <w:p w:rsidR="00E03B54" w:rsidRDefault="00E03B54" w:rsidP="00E03B54">
      <w:pPr>
        <w:spacing w:line="360" w:lineRule="auto"/>
        <w:jc w:val="both"/>
        <w:rPr>
          <w:rFonts w:ascii="Arial" w:hAnsi="Arial" w:cs="Arial"/>
          <w:sz w:val="24"/>
          <w:szCs w:val="24"/>
        </w:rPr>
      </w:pPr>
      <w:proofErr w:type="spellStart"/>
      <w:r w:rsidRPr="00441CA7">
        <w:rPr>
          <w:rFonts w:ascii="Arial" w:hAnsi="Arial" w:cs="Arial"/>
          <w:sz w:val="24"/>
          <w:szCs w:val="24"/>
        </w:rPr>
        <w:t>Zgaga</w:t>
      </w:r>
      <w:proofErr w:type="spellEnd"/>
      <w:r w:rsidRPr="00441CA7">
        <w:rPr>
          <w:rFonts w:ascii="Arial" w:hAnsi="Arial" w:cs="Arial"/>
          <w:sz w:val="24"/>
          <w:szCs w:val="24"/>
        </w:rPr>
        <w:t xml:space="preserve"> Report – From Prague to Berlin, September 2003, accessed at </w:t>
      </w:r>
      <w:hyperlink r:id="rId49" w:history="1">
        <w:r w:rsidRPr="00441CA7">
          <w:rPr>
            <w:rStyle w:val="Hyperlink"/>
            <w:rFonts w:ascii="Arial" w:hAnsi="Arial" w:cs="Arial"/>
            <w:sz w:val="24"/>
            <w:szCs w:val="24"/>
          </w:rPr>
          <w:t>http://www.bologna-berlin2005.no/Docs/00-Main_doc/0309ZGAGA.PDF</w:t>
        </w:r>
      </w:hyperlink>
    </w:p>
    <w:p w:rsidR="00E03B54" w:rsidRDefault="00E03B54" w:rsidP="00E03B54">
      <w:pPr>
        <w:spacing w:line="360" w:lineRule="auto"/>
        <w:jc w:val="both"/>
        <w:rPr>
          <w:rFonts w:ascii="Arial" w:hAnsi="Arial" w:cs="Arial"/>
          <w:sz w:val="24"/>
          <w:szCs w:val="24"/>
        </w:rPr>
      </w:pPr>
    </w:p>
    <w:p w:rsidR="00E03B54" w:rsidRDefault="00E03B54" w:rsidP="00E03B54">
      <w:pPr>
        <w:spacing w:line="360" w:lineRule="auto"/>
        <w:jc w:val="both"/>
        <w:rPr>
          <w:rFonts w:ascii="Arial" w:hAnsi="Arial" w:cs="Arial"/>
          <w:sz w:val="24"/>
          <w:szCs w:val="24"/>
        </w:rPr>
      </w:pPr>
      <w:r>
        <w:rPr>
          <w:rFonts w:ascii="Arial" w:hAnsi="Arial" w:cs="Arial"/>
          <w:b/>
          <w:sz w:val="24"/>
          <w:szCs w:val="24"/>
        </w:rPr>
        <w:t>Websites</w:t>
      </w:r>
    </w:p>
    <w:p w:rsidR="00132904" w:rsidRDefault="002C7395" w:rsidP="00132904">
      <w:pPr>
        <w:spacing w:line="360" w:lineRule="auto"/>
        <w:jc w:val="both"/>
        <w:rPr>
          <w:rFonts w:ascii="Arial" w:hAnsi="Arial" w:cs="Arial"/>
          <w:sz w:val="24"/>
          <w:szCs w:val="24"/>
        </w:rPr>
      </w:pPr>
      <w:hyperlink r:id="rId50" w:history="1">
        <w:r w:rsidR="00E03B54" w:rsidRPr="00132904">
          <w:rPr>
            <w:rStyle w:val="Hyperlink"/>
            <w:rFonts w:ascii="Arial" w:hAnsi="Arial" w:cs="Arial"/>
            <w:sz w:val="24"/>
            <w:szCs w:val="24"/>
          </w:rPr>
          <w:t>http://www.bailii.org</w:t>
        </w:r>
      </w:hyperlink>
    </w:p>
    <w:p w:rsidR="00132904" w:rsidRPr="00132904" w:rsidRDefault="002C7395" w:rsidP="00132904">
      <w:pPr>
        <w:spacing w:line="360" w:lineRule="auto"/>
        <w:jc w:val="both"/>
        <w:rPr>
          <w:rFonts w:ascii="Arial" w:hAnsi="Arial" w:cs="Arial"/>
          <w:sz w:val="24"/>
          <w:szCs w:val="24"/>
        </w:rPr>
      </w:pPr>
      <w:hyperlink r:id="rId51" w:history="1">
        <w:r w:rsidR="00132904" w:rsidRPr="00DF0D32">
          <w:rPr>
            <w:rStyle w:val="Hyperlink"/>
            <w:rFonts w:ascii="Arial" w:hAnsi="Arial" w:cs="Arial"/>
            <w:sz w:val="24"/>
            <w:szCs w:val="24"/>
          </w:rPr>
          <w:t>http://www.biletta.ac.uk</w:t>
        </w:r>
      </w:hyperlink>
      <w:r w:rsidR="00132904">
        <w:rPr>
          <w:rFonts w:ascii="Arial" w:hAnsi="Arial" w:cs="Arial"/>
          <w:sz w:val="24"/>
          <w:szCs w:val="24"/>
        </w:rPr>
        <w:t xml:space="preserve"> </w:t>
      </w:r>
    </w:p>
    <w:p w:rsidR="00E03B54" w:rsidRPr="00132904" w:rsidRDefault="002C7395" w:rsidP="00132904">
      <w:pPr>
        <w:spacing w:line="360" w:lineRule="auto"/>
        <w:jc w:val="both"/>
        <w:rPr>
          <w:rFonts w:ascii="Arial" w:hAnsi="Arial" w:cs="Arial"/>
          <w:sz w:val="24"/>
          <w:szCs w:val="24"/>
        </w:rPr>
      </w:pPr>
      <w:hyperlink r:id="rId52" w:history="1">
        <w:r w:rsidR="00E03B54" w:rsidRPr="00132904">
          <w:rPr>
            <w:rStyle w:val="Hyperlink"/>
            <w:rFonts w:ascii="Arial" w:hAnsi="Arial" w:cs="Arial"/>
            <w:sz w:val="24"/>
            <w:szCs w:val="24"/>
          </w:rPr>
          <w:t>http://curia.europa.eu/jcms/jcms/j_6/home</w:t>
        </w:r>
      </w:hyperlink>
    </w:p>
    <w:p w:rsidR="00E03B54" w:rsidRPr="00132904" w:rsidRDefault="002C7395" w:rsidP="00132904">
      <w:pPr>
        <w:spacing w:line="360" w:lineRule="auto"/>
        <w:jc w:val="both"/>
        <w:rPr>
          <w:rFonts w:ascii="Arial" w:hAnsi="Arial" w:cs="Arial"/>
          <w:sz w:val="24"/>
          <w:szCs w:val="24"/>
        </w:rPr>
      </w:pPr>
      <w:hyperlink r:id="rId53" w:history="1">
        <w:r w:rsidR="00E03B54" w:rsidRPr="00132904">
          <w:rPr>
            <w:rStyle w:val="Hyperlink"/>
            <w:rFonts w:ascii="Arial" w:hAnsi="Arial" w:cs="Arial"/>
            <w:sz w:val="24"/>
            <w:szCs w:val="24"/>
          </w:rPr>
          <w:t>http://europa.eu/index_en.htm</w:t>
        </w:r>
      </w:hyperlink>
    </w:p>
    <w:p w:rsidR="00E03B54" w:rsidRPr="00132904" w:rsidRDefault="00E03B54" w:rsidP="00132904">
      <w:pPr>
        <w:spacing w:line="360" w:lineRule="auto"/>
        <w:jc w:val="both"/>
        <w:rPr>
          <w:rFonts w:ascii="Arial" w:hAnsi="Arial" w:cs="Arial"/>
          <w:sz w:val="24"/>
          <w:szCs w:val="24"/>
        </w:rPr>
      </w:pPr>
      <w:r w:rsidRPr="00132904">
        <w:rPr>
          <w:rFonts w:ascii="Arial" w:hAnsi="Arial" w:cs="Arial"/>
          <w:sz w:val="24"/>
          <w:szCs w:val="24"/>
        </w:rPr>
        <w:t xml:space="preserve">University of Exeter, Centre for European Legal Studies, accessed at </w:t>
      </w:r>
      <w:hyperlink r:id="rId54" w:history="1">
        <w:r w:rsidRPr="00132904">
          <w:rPr>
            <w:rStyle w:val="Hyperlink"/>
            <w:rFonts w:ascii="Arial" w:hAnsi="Arial" w:cs="Arial"/>
            <w:sz w:val="24"/>
            <w:szCs w:val="24"/>
          </w:rPr>
          <w:t>http://www.law.ex.ac.uk/cels/documents/</w:t>
        </w:r>
      </w:hyperlink>
    </w:p>
    <w:p w:rsidR="00E03B54" w:rsidRPr="00132904" w:rsidRDefault="002C7395" w:rsidP="00132904">
      <w:pPr>
        <w:spacing w:line="360" w:lineRule="auto"/>
        <w:jc w:val="both"/>
        <w:rPr>
          <w:rFonts w:ascii="Arial" w:hAnsi="Arial" w:cs="Arial"/>
          <w:sz w:val="24"/>
          <w:szCs w:val="24"/>
        </w:rPr>
      </w:pPr>
      <w:hyperlink r:id="rId55" w:history="1">
        <w:r w:rsidR="00E03B54" w:rsidRPr="00132904">
          <w:rPr>
            <w:rStyle w:val="Hyperlink"/>
            <w:rFonts w:ascii="Arial" w:hAnsi="Arial" w:cs="Arial"/>
            <w:sz w:val="24"/>
            <w:szCs w:val="24"/>
          </w:rPr>
          <w:t>http://www.ukcle.ac.uk/interact/surveys.html</w:t>
        </w:r>
      </w:hyperlink>
    </w:p>
    <w:p w:rsidR="00E03B54" w:rsidRPr="00132904" w:rsidRDefault="002C7395" w:rsidP="00132904">
      <w:pPr>
        <w:spacing w:line="360" w:lineRule="auto"/>
        <w:jc w:val="both"/>
        <w:rPr>
          <w:rFonts w:ascii="Arial" w:hAnsi="Arial" w:cs="Arial"/>
          <w:sz w:val="24"/>
          <w:szCs w:val="24"/>
        </w:rPr>
      </w:pPr>
      <w:hyperlink r:id="rId56" w:history="1">
        <w:r w:rsidR="00E03B54" w:rsidRPr="00132904">
          <w:rPr>
            <w:rStyle w:val="Hyperlink"/>
            <w:rFonts w:ascii="Arial" w:hAnsi="Arial" w:cs="Arial"/>
            <w:sz w:val="24"/>
            <w:szCs w:val="24"/>
          </w:rPr>
          <w:t>http://www.ukcle.ac.uk/research/projects/environmental.html</w:t>
        </w:r>
      </w:hyperlink>
    </w:p>
    <w:p w:rsidR="00132904" w:rsidRPr="00132904" w:rsidRDefault="002C7395" w:rsidP="00132904">
      <w:pPr>
        <w:spacing w:line="360" w:lineRule="auto"/>
        <w:jc w:val="both"/>
        <w:rPr>
          <w:rFonts w:ascii="Arial" w:hAnsi="Arial" w:cs="Arial"/>
          <w:sz w:val="24"/>
          <w:szCs w:val="24"/>
        </w:rPr>
      </w:pPr>
      <w:hyperlink r:id="rId57" w:history="1">
        <w:r w:rsidR="00132904" w:rsidRPr="00132904">
          <w:rPr>
            <w:rStyle w:val="Hyperlink"/>
            <w:rFonts w:ascii="Arial" w:hAnsi="Arial" w:cs="Arial"/>
            <w:sz w:val="24"/>
            <w:szCs w:val="24"/>
          </w:rPr>
          <w:t>http://www.ukcle.ac.uk/resources/ict/index.html</w:t>
        </w:r>
      </w:hyperlink>
      <w:r w:rsidR="00132904" w:rsidRPr="00132904">
        <w:rPr>
          <w:rFonts w:ascii="Arial" w:hAnsi="Arial" w:cs="Arial"/>
          <w:sz w:val="24"/>
          <w:szCs w:val="24"/>
        </w:rPr>
        <w:t xml:space="preserve"> </w:t>
      </w:r>
    </w:p>
    <w:p w:rsidR="00E03B54" w:rsidRPr="00132904" w:rsidRDefault="00E03B54" w:rsidP="00132904">
      <w:pPr>
        <w:spacing w:line="360" w:lineRule="auto"/>
        <w:jc w:val="both"/>
        <w:rPr>
          <w:rFonts w:ascii="Arial" w:hAnsi="Arial" w:cs="Arial"/>
          <w:sz w:val="24"/>
          <w:szCs w:val="24"/>
        </w:rPr>
      </w:pPr>
    </w:p>
    <w:p w:rsidR="00E03B54" w:rsidRPr="00114030" w:rsidRDefault="00E03B54" w:rsidP="00E03B54">
      <w:pPr>
        <w:spacing w:line="360" w:lineRule="auto"/>
        <w:jc w:val="both"/>
        <w:rPr>
          <w:rFonts w:ascii="Arial" w:hAnsi="Arial" w:cs="Arial"/>
          <w:b/>
          <w:sz w:val="24"/>
          <w:szCs w:val="24"/>
        </w:rPr>
      </w:pPr>
    </w:p>
    <w:p w:rsidR="00E03B54" w:rsidRDefault="00E03B54">
      <w:pPr>
        <w:spacing w:after="0" w:line="240" w:lineRule="auto"/>
        <w:rPr>
          <w:rFonts w:ascii="Arial" w:hAnsi="Arial" w:cs="Arial"/>
          <w:sz w:val="24"/>
          <w:szCs w:val="24"/>
        </w:rPr>
      </w:pPr>
      <w:r>
        <w:rPr>
          <w:rFonts w:ascii="Arial" w:hAnsi="Arial" w:cs="Arial"/>
          <w:sz w:val="24"/>
          <w:szCs w:val="24"/>
        </w:rPr>
        <w:br w:type="page"/>
      </w:r>
    </w:p>
    <w:p w:rsidR="002A75CB" w:rsidRPr="002A75CB" w:rsidRDefault="002A75CB" w:rsidP="002A75CB">
      <w:pPr>
        <w:spacing w:line="360" w:lineRule="auto"/>
        <w:jc w:val="both"/>
        <w:rPr>
          <w:rFonts w:ascii="Arial" w:hAnsi="Arial" w:cs="Arial"/>
          <w:b/>
          <w:sz w:val="28"/>
          <w:szCs w:val="28"/>
        </w:rPr>
      </w:pPr>
      <w:r>
        <w:rPr>
          <w:rFonts w:ascii="Arial" w:hAnsi="Arial" w:cs="Arial"/>
          <w:b/>
          <w:sz w:val="28"/>
          <w:szCs w:val="28"/>
        </w:rPr>
        <w:lastRenderedPageBreak/>
        <w:t>Appendix</w:t>
      </w:r>
      <w:r w:rsidR="00527467">
        <w:rPr>
          <w:rFonts w:ascii="Arial" w:hAnsi="Arial" w:cs="Arial"/>
          <w:b/>
          <w:sz w:val="28"/>
          <w:szCs w:val="28"/>
        </w:rPr>
        <w:t xml:space="preserve"> 1</w:t>
      </w:r>
      <w:r>
        <w:rPr>
          <w:rFonts w:ascii="Arial" w:hAnsi="Arial" w:cs="Arial"/>
          <w:b/>
          <w:sz w:val="28"/>
          <w:szCs w:val="28"/>
        </w:rPr>
        <w:tab/>
        <w:t>UKCLE Subject Survey – EU Law</w:t>
      </w:r>
    </w:p>
    <w:p w:rsidR="002A75CB" w:rsidRDefault="002A75CB" w:rsidP="002A75CB">
      <w:pPr>
        <w:jc w:val="both"/>
        <w:rPr>
          <w:b/>
        </w:rPr>
      </w:pPr>
      <w:r>
        <w:object w:dxaOrig="3783"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6.5pt" o:ole="" fillcolor="window">
            <v:imagedata r:id="rId58" o:title=""/>
          </v:shape>
          <o:OLEObject Type="Embed" ProgID="Word.Picture.8" ShapeID="_x0000_i1025" DrawAspect="Content" ObjectID="_1368022371" r:id="rId59"/>
        </w:object>
      </w:r>
    </w:p>
    <w:p w:rsidR="002A75CB" w:rsidRDefault="002A75CB" w:rsidP="002A75CB">
      <w:pPr>
        <w:jc w:val="both"/>
        <w:rPr>
          <w:b/>
        </w:rPr>
      </w:pPr>
    </w:p>
    <w:p w:rsidR="00527467" w:rsidRPr="008E3F5D" w:rsidRDefault="00527467" w:rsidP="00527467">
      <w:pPr>
        <w:jc w:val="both"/>
        <w:rPr>
          <w:rFonts w:ascii="Arial" w:hAnsi="Arial" w:cs="Arial"/>
        </w:rPr>
      </w:pPr>
      <w:r w:rsidRPr="008E3F5D">
        <w:rPr>
          <w:rFonts w:ascii="Arial" w:hAnsi="Arial" w:cs="Arial"/>
        </w:rPr>
        <w:t>Dear Colleague,</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 xml:space="preserve">We are undertaking a survey on teaching and learning European Union Law in </w:t>
      </w:r>
      <w:smartTag w:uri="urn:schemas-microsoft-com:office:smarttags" w:element="country-region">
        <w:smartTag w:uri="urn:schemas-microsoft-com:office:smarttags" w:element="place">
          <w:r w:rsidRPr="008E3F5D">
            <w:rPr>
              <w:rFonts w:ascii="Arial" w:hAnsi="Arial" w:cs="Arial"/>
            </w:rPr>
            <w:t>UK</w:t>
          </w:r>
        </w:smartTag>
      </w:smartTag>
      <w:r w:rsidRPr="008E3F5D">
        <w:rPr>
          <w:rFonts w:ascii="Arial" w:hAnsi="Arial" w:cs="Arial"/>
        </w:rPr>
        <w:t xml:space="preserve"> and Irish universities. This survey is funded by the UK Centre for Legal Education (UKCLE). </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We are investigating in particular the delivery of EU Law modules on qualifying law degrees and Common Professional Examination (CPE) programmes or equivalent.</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We would be grateful if you could spare the time to complete the attached questionnaire and return it to us at the address provided as soon as possible.</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We look forward to hearing from you.</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Yours sincerely,</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Caroline Maughan (project leader)</w:t>
      </w:r>
    </w:p>
    <w:p w:rsidR="00527467" w:rsidRPr="008E3F5D" w:rsidRDefault="00527467" w:rsidP="00527467">
      <w:pPr>
        <w:jc w:val="both"/>
        <w:rPr>
          <w:rFonts w:ascii="Arial" w:hAnsi="Arial" w:cs="Arial"/>
        </w:rPr>
      </w:pPr>
      <w:r w:rsidRPr="008E3F5D">
        <w:rPr>
          <w:rFonts w:ascii="Arial" w:hAnsi="Arial" w:cs="Arial"/>
        </w:rPr>
        <w:t>Richard Ball</w:t>
      </w:r>
    </w:p>
    <w:p w:rsidR="00527467" w:rsidRPr="008E3F5D" w:rsidRDefault="00527467" w:rsidP="00527467">
      <w:pPr>
        <w:jc w:val="both"/>
        <w:rPr>
          <w:rFonts w:ascii="Arial" w:hAnsi="Arial" w:cs="Arial"/>
        </w:rPr>
      </w:pPr>
      <w:r w:rsidRPr="008E3F5D">
        <w:rPr>
          <w:rFonts w:ascii="Arial" w:hAnsi="Arial" w:cs="Arial"/>
        </w:rPr>
        <w:t>Christian Dadomo</w:t>
      </w:r>
    </w:p>
    <w:p w:rsidR="00527467" w:rsidRPr="008E3F5D" w:rsidRDefault="00527467" w:rsidP="00527467">
      <w:pPr>
        <w:jc w:val="both"/>
        <w:rPr>
          <w:rFonts w:ascii="Arial" w:hAnsi="Arial" w:cs="Arial"/>
        </w:rPr>
      </w:pPr>
      <w:r w:rsidRPr="008E3F5D">
        <w:rPr>
          <w:rFonts w:ascii="Arial" w:hAnsi="Arial" w:cs="Arial"/>
        </w:rPr>
        <w:t>Jane Kay</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b/>
        </w:rPr>
      </w:pPr>
      <w:r w:rsidRPr="008E3F5D">
        <w:rPr>
          <w:rFonts w:ascii="Arial" w:hAnsi="Arial" w:cs="Arial"/>
        </w:rPr>
        <w:object w:dxaOrig="3783" w:dyaOrig="1531">
          <v:shape id="_x0000_i1026" type="#_x0000_t75" style="width:189pt;height:76.5pt" o:ole="" fillcolor="window">
            <v:imagedata r:id="rId58" o:title=""/>
          </v:shape>
          <o:OLEObject Type="Embed" ProgID="Word.Picture.8" ShapeID="_x0000_i1026" DrawAspect="Content" ObjectID="_1368022372" r:id="rId60"/>
        </w:objec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center"/>
        <w:rPr>
          <w:rFonts w:ascii="Arial" w:hAnsi="Arial" w:cs="Arial"/>
          <w:b/>
        </w:rPr>
      </w:pPr>
      <w:r w:rsidRPr="008E3F5D">
        <w:rPr>
          <w:rFonts w:ascii="Arial" w:hAnsi="Arial" w:cs="Arial"/>
          <w:b/>
        </w:rPr>
        <w:t>UKCLE SUBJECT SURVEY - EUROPEAN UNION LAW</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rPr>
      </w:pPr>
      <w:r w:rsidRPr="008E3F5D">
        <w:rPr>
          <w:rFonts w:ascii="Arial" w:hAnsi="Arial" w:cs="Arial"/>
        </w:rPr>
        <w:t>This survey is looking at the teaching of European Union Law (or similar) courses at undergraduate and CPE levels.</w:t>
      </w:r>
    </w:p>
    <w:p w:rsidR="00527467" w:rsidRPr="008E3F5D" w:rsidRDefault="00527467" w:rsidP="00527467">
      <w:pPr>
        <w:jc w:val="both"/>
        <w:rPr>
          <w:rFonts w:ascii="Arial" w:hAnsi="Arial" w:cs="Arial"/>
        </w:rPr>
      </w:pPr>
      <w:r w:rsidRPr="008E3F5D">
        <w:rPr>
          <w:rFonts w:ascii="Arial" w:hAnsi="Arial" w:cs="Arial"/>
        </w:rPr>
        <w:t>We include within the definition of "European Union Law": European Union Law; European Community Law; European Constitutional and Administrative Law; European Competition Law; The Law of the European Internal Market; European Commercial Law; and any of the European Union policies (e.g., social, environment, etc.).</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NB: This definition does not include the European Convention on Human Rights</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b/>
        </w:rPr>
      </w:pPr>
      <w:r w:rsidRPr="008E3F5D">
        <w:rPr>
          <w:rFonts w:ascii="Arial" w:hAnsi="Arial" w:cs="Arial"/>
          <w:b/>
        </w:rPr>
        <w:t>1. General information</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rPr>
      </w:pPr>
      <w:r w:rsidRPr="008E3F5D">
        <w:rPr>
          <w:rFonts w:ascii="Arial" w:hAnsi="Arial" w:cs="Arial"/>
        </w:rPr>
        <w:t xml:space="preserve">1.1. </w:t>
      </w:r>
      <w:r w:rsidRPr="008E3F5D">
        <w:rPr>
          <w:rFonts w:ascii="Arial" w:hAnsi="Arial" w:cs="Arial"/>
        </w:rPr>
        <w:tab/>
        <w:t>Name of your institution</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1.2</w:t>
      </w:r>
      <w:r w:rsidRPr="008E3F5D">
        <w:rPr>
          <w:rFonts w:ascii="Arial" w:hAnsi="Arial" w:cs="Arial"/>
        </w:rPr>
        <w:tab/>
        <w:t>Name of QLD module leader</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1.3</w:t>
      </w:r>
      <w:r w:rsidRPr="008E3F5D">
        <w:rPr>
          <w:rFonts w:ascii="Arial" w:hAnsi="Arial" w:cs="Arial"/>
        </w:rPr>
        <w:tab/>
        <w:t>Names of other QLD team members</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b/>
        </w:rPr>
      </w:pPr>
      <w:r w:rsidRPr="008E3F5D">
        <w:rPr>
          <w:rFonts w:ascii="Arial" w:hAnsi="Arial" w:cs="Arial"/>
          <w:b/>
        </w:rPr>
        <w:t>2. General information on the teaching of EU law on the LLB/QLD</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rPr>
      </w:pPr>
      <w:r w:rsidRPr="008E3F5D">
        <w:rPr>
          <w:rFonts w:ascii="Arial" w:hAnsi="Arial" w:cs="Arial"/>
        </w:rPr>
        <w:t>2.1</w:t>
      </w:r>
      <w:r w:rsidRPr="008E3F5D">
        <w:rPr>
          <w:rFonts w:ascii="Arial" w:hAnsi="Arial" w:cs="Arial"/>
        </w:rPr>
        <w:tab/>
        <w:t xml:space="preserve">Please identify the courses/modules that cover </w:t>
      </w:r>
      <w:r w:rsidRPr="008E3F5D">
        <w:rPr>
          <w:rFonts w:ascii="Arial" w:hAnsi="Arial" w:cs="Arial"/>
          <w:u w:val="single"/>
        </w:rPr>
        <w:t>exclusively</w:t>
      </w:r>
      <w:r w:rsidRPr="008E3F5D">
        <w:rPr>
          <w:rFonts w:ascii="Arial" w:hAnsi="Arial" w:cs="Arial"/>
        </w:rPr>
        <w:t xml:space="preserve"> EU law</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b/>
              </w:rPr>
            </w:pPr>
            <w:r w:rsidRPr="008E3F5D">
              <w:rPr>
                <w:rFonts w:ascii="Arial" w:hAnsi="Arial" w:cs="Arial"/>
                <w:b/>
              </w:rPr>
              <w:t>Compulsory courses/modules (please list)</w:t>
            </w: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b/>
              </w:rPr>
            </w:pPr>
          </w:p>
        </w:tc>
      </w:tr>
      <w:tr w:rsidR="00527467" w:rsidRPr="008E3F5D" w:rsidTr="002B3202">
        <w:tc>
          <w:tcPr>
            <w:tcW w:w="8522" w:type="dxa"/>
          </w:tcPr>
          <w:p w:rsidR="00527467" w:rsidRPr="008E3F5D" w:rsidRDefault="00527467" w:rsidP="002B3202">
            <w:pPr>
              <w:jc w:val="both"/>
              <w:rPr>
                <w:rFonts w:ascii="Arial" w:hAnsi="Arial" w:cs="Arial"/>
                <w:b/>
              </w:rPr>
            </w:pPr>
            <w:r w:rsidRPr="008E3F5D">
              <w:rPr>
                <w:rFonts w:ascii="Arial" w:hAnsi="Arial" w:cs="Arial"/>
                <w:b/>
              </w:rPr>
              <w:lastRenderedPageBreak/>
              <w:t>Option courses/modules (please list)</w:t>
            </w: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2.2</w:t>
      </w:r>
      <w:r w:rsidRPr="008E3F5D">
        <w:rPr>
          <w:rFonts w:ascii="Arial" w:hAnsi="Arial" w:cs="Arial"/>
        </w:rPr>
        <w:tab/>
        <w:t>Are option courses/modules offered every year?   (Please</w:t>
      </w:r>
      <w:r>
        <w:rPr>
          <w:rFonts w:ascii="Arial" w:hAnsi="Arial" w:cs="Arial"/>
        </w:rPr>
        <w:t xml:space="preserve"> indicate</w:t>
      </w:r>
      <w:r w:rsidRPr="008E3F5D">
        <w:rPr>
          <w:rFonts w:ascii="Arial" w:hAnsi="Arial" w:cs="Arial"/>
        </w:rPr>
        <w:t>)</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Yes                                                      No</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2.3</w:t>
      </w:r>
      <w:r w:rsidRPr="008E3F5D">
        <w:rPr>
          <w:rFonts w:ascii="Arial" w:hAnsi="Arial" w:cs="Arial"/>
        </w:rPr>
        <w:tab/>
        <w:t>If not, why not?</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ind w:left="720" w:hanging="720"/>
        <w:jc w:val="both"/>
        <w:rPr>
          <w:rFonts w:ascii="Arial" w:hAnsi="Arial" w:cs="Arial"/>
        </w:rPr>
      </w:pPr>
      <w:r w:rsidRPr="008E3F5D">
        <w:rPr>
          <w:rFonts w:ascii="Arial" w:hAnsi="Arial" w:cs="Arial"/>
        </w:rPr>
        <w:t>2.4</w:t>
      </w:r>
      <w:r w:rsidRPr="008E3F5D">
        <w:rPr>
          <w:rFonts w:ascii="Arial" w:hAnsi="Arial" w:cs="Arial"/>
        </w:rPr>
        <w:tab/>
        <w:t xml:space="preserve">Please identify other courses/modules that </w:t>
      </w:r>
      <w:r w:rsidRPr="008E3F5D">
        <w:rPr>
          <w:rFonts w:ascii="Arial" w:hAnsi="Arial" w:cs="Arial"/>
          <w:u w:val="single"/>
        </w:rPr>
        <w:t>include elements</w:t>
      </w:r>
      <w:r w:rsidRPr="008E3F5D">
        <w:rPr>
          <w:rFonts w:ascii="Arial" w:hAnsi="Arial" w:cs="Arial"/>
        </w:rPr>
        <w:t xml:space="preserve"> of EU law (e.g. Public law, Legal Method and Systems, Competition law, Environmental law, etc.)</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b/>
              </w:rPr>
            </w:pPr>
            <w:r w:rsidRPr="008E3F5D">
              <w:rPr>
                <w:rFonts w:ascii="Arial" w:hAnsi="Arial" w:cs="Arial"/>
                <w:b/>
              </w:rPr>
              <w:t>Compulsory courses/modules (please list)</w:t>
            </w: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b/>
              </w:rPr>
            </w:pPr>
          </w:p>
        </w:tc>
      </w:tr>
      <w:tr w:rsidR="00527467" w:rsidRPr="008E3F5D" w:rsidTr="002B3202">
        <w:tc>
          <w:tcPr>
            <w:tcW w:w="8522" w:type="dxa"/>
          </w:tcPr>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r w:rsidRPr="008E3F5D">
              <w:rPr>
                <w:rFonts w:ascii="Arial" w:hAnsi="Arial" w:cs="Arial"/>
                <w:b/>
              </w:rPr>
              <w:t>Option courses/modules (please list)</w:t>
            </w: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lastRenderedPageBreak/>
        <w:t>2.5</w:t>
      </w:r>
      <w:r w:rsidRPr="008E3F5D">
        <w:rPr>
          <w:rFonts w:ascii="Arial" w:hAnsi="Arial" w:cs="Arial"/>
        </w:rPr>
        <w:tab/>
        <w:t>Are option courses/modules offered every year?</w:t>
      </w:r>
      <w:r>
        <w:rPr>
          <w:rFonts w:ascii="Arial" w:hAnsi="Arial" w:cs="Arial"/>
        </w:rPr>
        <w:t xml:space="preserve">  (Please indicate</w:t>
      </w:r>
      <w:r w:rsidRPr="008E3F5D">
        <w:rPr>
          <w:rFonts w:ascii="Arial" w:hAnsi="Arial" w:cs="Arial"/>
        </w:rPr>
        <w:t>)</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Yes                                                         No</w:t>
      </w: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rPr>
      </w:pPr>
      <w:r w:rsidRPr="008E3F5D">
        <w:rPr>
          <w:rFonts w:ascii="Arial" w:hAnsi="Arial" w:cs="Arial"/>
        </w:rPr>
        <w:t>2.6</w:t>
      </w:r>
      <w:r w:rsidRPr="008E3F5D">
        <w:rPr>
          <w:rFonts w:ascii="Arial" w:hAnsi="Arial" w:cs="Arial"/>
        </w:rPr>
        <w:tab/>
        <w:t>If not, why not?</w:t>
      </w: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b/>
        </w:rPr>
      </w:pPr>
      <w:r w:rsidRPr="008E3F5D">
        <w:rPr>
          <w:rFonts w:ascii="Arial" w:hAnsi="Arial" w:cs="Arial"/>
          <w:b/>
        </w:rPr>
        <w:t>3.</w:t>
      </w:r>
      <w:r w:rsidRPr="008E3F5D">
        <w:rPr>
          <w:rFonts w:ascii="Arial" w:hAnsi="Arial" w:cs="Arial"/>
          <w:b/>
        </w:rPr>
        <w:tab/>
        <w:t xml:space="preserve">Specific information on the courses/modules taught  </w:t>
      </w:r>
    </w:p>
    <w:p w:rsidR="00527467" w:rsidRDefault="00527467" w:rsidP="00527467">
      <w:pPr>
        <w:jc w:val="both"/>
        <w:rPr>
          <w:rFonts w:ascii="Arial Narrow" w:hAnsi="Arial Narrow" w:cs="Arial"/>
          <w:b/>
        </w:rPr>
      </w:pPr>
    </w:p>
    <w:p w:rsidR="00527467" w:rsidRPr="0004040F" w:rsidRDefault="00527467" w:rsidP="00527467">
      <w:pPr>
        <w:jc w:val="both"/>
        <w:rPr>
          <w:rFonts w:ascii="Arial Narrow" w:hAnsi="Arial Narrow" w:cs="Arial"/>
        </w:rPr>
      </w:pPr>
      <w:r>
        <w:rPr>
          <w:rFonts w:ascii="Arial Narrow" w:hAnsi="Arial Narrow" w:cs="Arial"/>
        </w:rPr>
        <w:t>3.1</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1417"/>
        <w:gridCol w:w="1366"/>
        <w:gridCol w:w="991"/>
        <w:gridCol w:w="1045"/>
        <w:gridCol w:w="1043"/>
      </w:tblGrid>
      <w:tr w:rsidR="00527467" w:rsidRPr="008E3F5D" w:rsidTr="002B3202">
        <w:tc>
          <w:tcPr>
            <w:tcW w:w="1242" w:type="dxa"/>
          </w:tcPr>
          <w:p w:rsidR="00527467" w:rsidRPr="008E3F5D" w:rsidRDefault="00527467" w:rsidP="002B3202">
            <w:pPr>
              <w:jc w:val="both"/>
              <w:rPr>
                <w:rFonts w:ascii="Arial Narrow" w:hAnsi="Arial Narrow" w:cs="Arial"/>
                <w:b/>
              </w:rPr>
            </w:pPr>
            <w:r w:rsidRPr="008E3F5D">
              <w:rPr>
                <w:rFonts w:ascii="Arial Narrow" w:hAnsi="Arial Narrow" w:cs="Arial"/>
                <w:b/>
              </w:rPr>
              <w:t>Course name</w:t>
            </w:r>
          </w:p>
        </w:tc>
        <w:tc>
          <w:tcPr>
            <w:tcW w:w="1418" w:type="dxa"/>
          </w:tcPr>
          <w:p w:rsidR="00527467" w:rsidRPr="008E3F5D" w:rsidRDefault="00527467" w:rsidP="002B3202">
            <w:pPr>
              <w:jc w:val="both"/>
              <w:rPr>
                <w:rFonts w:ascii="Arial Narrow" w:hAnsi="Arial Narrow" w:cs="Arial"/>
                <w:b/>
              </w:rPr>
            </w:pPr>
            <w:r w:rsidRPr="008E3F5D">
              <w:rPr>
                <w:rFonts w:ascii="Arial Narrow" w:hAnsi="Arial Narrow" w:cs="Arial"/>
                <w:b/>
              </w:rPr>
              <w:t>Degree programme and UG level (1-3)</w:t>
            </w:r>
          </w:p>
        </w:tc>
        <w:tc>
          <w:tcPr>
            <w:tcW w:w="1417" w:type="dxa"/>
          </w:tcPr>
          <w:p w:rsidR="00527467" w:rsidRPr="008E3F5D" w:rsidRDefault="00527467" w:rsidP="002B3202">
            <w:pPr>
              <w:jc w:val="both"/>
              <w:rPr>
                <w:rFonts w:ascii="Arial Narrow" w:hAnsi="Arial Narrow" w:cs="Arial"/>
                <w:b/>
              </w:rPr>
            </w:pPr>
            <w:r w:rsidRPr="008E3F5D">
              <w:rPr>
                <w:rFonts w:ascii="Arial Narrow" w:hAnsi="Arial Narrow" w:cs="Arial"/>
                <w:b/>
              </w:rPr>
              <w:t>Stage offered and compulsory or</w:t>
            </w:r>
            <w:r>
              <w:rPr>
                <w:rFonts w:ascii="Arial Narrow" w:hAnsi="Arial Narrow" w:cs="Arial"/>
                <w:b/>
              </w:rPr>
              <w:t xml:space="preserve"> </w:t>
            </w:r>
            <w:r w:rsidRPr="008E3F5D">
              <w:rPr>
                <w:rFonts w:ascii="Arial Narrow" w:hAnsi="Arial Narrow" w:cs="Arial"/>
                <w:b/>
              </w:rPr>
              <w:t>optional (e.g. final year option only)</w:t>
            </w:r>
          </w:p>
        </w:tc>
        <w:tc>
          <w:tcPr>
            <w:tcW w:w="1366" w:type="dxa"/>
          </w:tcPr>
          <w:p w:rsidR="00527467" w:rsidRPr="008E3F5D" w:rsidRDefault="00527467" w:rsidP="002B3202">
            <w:pPr>
              <w:jc w:val="both"/>
              <w:rPr>
                <w:rFonts w:ascii="Arial Narrow" w:hAnsi="Arial Narrow" w:cs="Arial"/>
                <w:b/>
              </w:rPr>
            </w:pPr>
            <w:r w:rsidRPr="008E3F5D">
              <w:rPr>
                <w:rFonts w:ascii="Arial Narrow" w:hAnsi="Arial Narrow" w:cs="Arial"/>
                <w:b/>
              </w:rPr>
              <w:t>Prerequisite courses (if any)</w:t>
            </w:r>
          </w:p>
        </w:tc>
        <w:tc>
          <w:tcPr>
            <w:tcW w:w="991" w:type="dxa"/>
          </w:tcPr>
          <w:p w:rsidR="00527467" w:rsidRPr="008E3F5D" w:rsidRDefault="00527467" w:rsidP="002B3202">
            <w:pPr>
              <w:jc w:val="both"/>
              <w:rPr>
                <w:rFonts w:ascii="Arial Narrow" w:hAnsi="Arial Narrow" w:cs="Arial"/>
                <w:b/>
              </w:rPr>
            </w:pPr>
            <w:r w:rsidRPr="008E3F5D">
              <w:rPr>
                <w:rFonts w:ascii="Arial Narrow" w:hAnsi="Arial Narrow" w:cs="Arial"/>
                <w:b/>
              </w:rPr>
              <w:t>Course length (weeks)</w:t>
            </w:r>
          </w:p>
        </w:tc>
        <w:tc>
          <w:tcPr>
            <w:tcW w:w="1045" w:type="dxa"/>
          </w:tcPr>
          <w:p w:rsidR="00527467" w:rsidRPr="008E3F5D" w:rsidRDefault="00527467" w:rsidP="002B3202">
            <w:pPr>
              <w:jc w:val="both"/>
              <w:rPr>
                <w:rFonts w:ascii="Arial Narrow" w:hAnsi="Arial Narrow" w:cs="Arial"/>
                <w:b/>
              </w:rPr>
            </w:pPr>
            <w:r w:rsidRPr="008E3F5D">
              <w:rPr>
                <w:rFonts w:ascii="Arial Narrow" w:hAnsi="Arial Narrow" w:cs="Arial"/>
                <w:b/>
              </w:rPr>
              <w:t xml:space="preserve">Student contact hours per week </w:t>
            </w:r>
          </w:p>
        </w:tc>
        <w:tc>
          <w:tcPr>
            <w:tcW w:w="1043" w:type="dxa"/>
          </w:tcPr>
          <w:p w:rsidR="00527467" w:rsidRPr="008E3F5D" w:rsidRDefault="00527467" w:rsidP="002B3202">
            <w:pPr>
              <w:jc w:val="both"/>
              <w:rPr>
                <w:rFonts w:ascii="Arial Narrow" w:hAnsi="Arial Narrow" w:cs="Arial"/>
                <w:b/>
              </w:rPr>
            </w:pPr>
            <w:r w:rsidRPr="008E3F5D">
              <w:rPr>
                <w:rFonts w:ascii="Arial Narrow" w:hAnsi="Arial Narrow" w:cs="Arial"/>
                <w:b/>
              </w:rPr>
              <w:t>Number of students</w:t>
            </w: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r w:rsidR="00527467" w:rsidRPr="008E3F5D" w:rsidTr="002B3202">
        <w:tc>
          <w:tcPr>
            <w:tcW w:w="1242" w:type="dxa"/>
          </w:tcPr>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1418" w:type="dxa"/>
          </w:tcPr>
          <w:p w:rsidR="00527467" w:rsidRPr="008E3F5D" w:rsidRDefault="00527467" w:rsidP="002B3202">
            <w:pPr>
              <w:jc w:val="both"/>
              <w:rPr>
                <w:rFonts w:ascii="Arial" w:hAnsi="Arial" w:cs="Arial"/>
              </w:rPr>
            </w:pPr>
          </w:p>
        </w:tc>
        <w:tc>
          <w:tcPr>
            <w:tcW w:w="1417" w:type="dxa"/>
          </w:tcPr>
          <w:p w:rsidR="00527467" w:rsidRPr="008E3F5D" w:rsidRDefault="00527467" w:rsidP="002B3202">
            <w:pPr>
              <w:jc w:val="both"/>
              <w:rPr>
                <w:rFonts w:ascii="Arial" w:hAnsi="Arial" w:cs="Arial"/>
              </w:rPr>
            </w:pPr>
          </w:p>
        </w:tc>
        <w:tc>
          <w:tcPr>
            <w:tcW w:w="1366" w:type="dxa"/>
          </w:tcPr>
          <w:p w:rsidR="00527467" w:rsidRPr="008E3F5D" w:rsidRDefault="00527467" w:rsidP="002B3202">
            <w:pPr>
              <w:jc w:val="both"/>
              <w:rPr>
                <w:rFonts w:ascii="Arial" w:hAnsi="Arial" w:cs="Arial"/>
              </w:rPr>
            </w:pPr>
          </w:p>
        </w:tc>
        <w:tc>
          <w:tcPr>
            <w:tcW w:w="991" w:type="dxa"/>
          </w:tcPr>
          <w:p w:rsidR="00527467" w:rsidRPr="008E3F5D" w:rsidRDefault="00527467" w:rsidP="002B3202">
            <w:pPr>
              <w:jc w:val="both"/>
              <w:rPr>
                <w:rFonts w:ascii="Arial" w:hAnsi="Arial" w:cs="Arial"/>
              </w:rPr>
            </w:pPr>
          </w:p>
        </w:tc>
        <w:tc>
          <w:tcPr>
            <w:tcW w:w="1045" w:type="dxa"/>
          </w:tcPr>
          <w:p w:rsidR="00527467" w:rsidRPr="008E3F5D" w:rsidRDefault="00527467" w:rsidP="002B3202">
            <w:pPr>
              <w:jc w:val="both"/>
              <w:rPr>
                <w:rFonts w:ascii="Arial" w:hAnsi="Arial" w:cs="Arial"/>
              </w:rPr>
            </w:pPr>
          </w:p>
        </w:tc>
        <w:tc>
          <w:tcPr>
            <w:tcW w:w="1043" w:type="dxa"/>
          </w:tcPr>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rPr>
      </w:pPr>
    </w:p>
    <w:p w:rsidR="00527467" w:rsidRPr="00C0109D" w:rsidRDefault="00527467" w:rsidP="00527467">
      <w:pPr>
        <w:jc w:val="both"/>
        <w:rPr>
          <w:rFonts w:ascii="Arial" w:hAnsi="Arial" w:cs="Arial"/>
        </w:rPr>
      </w:pPr>
      <w:proofErr w:type="gramStart"/>
      <w:r w:rsidRPr="00C0109D">
        <w:rPr>
          <w:rFonts w:ascii="Arial" w:hAnsi="Arial" w:cs="Arial"/>
        </w:rPr>
        <w:t xml:space="preserve">3.2 </w:t>
      </w:r>
      <w:r>
        <w:rPr>
          <w:rFonts w:ascii="Arial" w:hAnsi="Arial" w:cs="Arial"/>
        </w:rPr>
        <w:t xml:space="preserve"> If</w:t>
      </w:r>
      <w:proofErr w:type="gramEnd"/>
      <w:r>
        <w:rPr>
          <w:rFonts w:ascii="Arial" w:hAnsi="Arial" w:cs="Arial"/>
        </w:rPr>
        <w:t xml:space="preserve"> your institution also runs a CPE course, are CPE students taught together with undergraduate students? (Please indicate)</w:t>
      </w:r>
    </w:p>
    <w:p w:rsidR="00527467" w:rsidRDefault="00527467" w:rsidP="00527467">
      <w:pPr>
        <w:jc w:val="both"/>
        <w:rPr>
          <w:rFonts w:ascii="Arial" w:hAnsi="Arial" w:cs="Arial"/>
        </w:rPr>
      </w:pPr>
    </w:p>
    <w:p w:rsidR="00527467" w:rsidRPr="008E3F5D" w:rsidRDefault="00527467" w:rsidP="00527467">
      <w:pPr>
        <w:jc w:val="both"/>
        <w:rPr>
          <w:rFonts w:ascii="Arial" w:hAnsi="Arial" w:cs="Arial"/>
        </w:rPr>
      </w:pPr>
      <w:r>
        <w:rPr>
          <w:rFonts w:ascii="Arial" w:hAnsi="Arial" w:cs="Arial"/>
        </w:rPr>
        <w:t>Yes                                                     No</w:t>
      </w:r>
    </w:p>
    <w:p w:rsidR="00527467" w:rsidRDefault="00527467" w:rsidP="00527467">
      <w:pPr>
        <w:jc w:val="both"/>
        <w:rPr>
          <w:rFonts w:ascii="Arial" w:hAnsi="Arial" w:cs="Arial"/>
        </w:rPr>
      </w:pPr>
    </w:p>
    <w:p w:rsidR="00527467" w:rsidRDefault="00527467" w:rsidP="00527467">
      <w:pPr>
        <w:numPr>
          <w:ilvl w:val="1"/>
          <w:numId w:val="33"/>
        </w:numPr>
        <w:spacing w:after="0" w:line="240" w:lineRule="auto"/>
        <w:jc w:val="both"/>
        <w:rPr>
          <w:rFonts w:ascii="Arial" w:hAnsi="Arial" w:cs="Arial"/>
        </w:rPr>
      </w:pPr>
      <w:r>
        <w:rPr>
          <w:rFonts w:ascii="Arial" w:hAnsi="Arial" w:cs="Arial"/>
        </w:rPr>
        <w:t>If yes, please give details below</w:t>
      </w:r>
    </w:p>
    <w:p w:rsidR="00527467" w:rsidRDefault="00527467" w:rsidP="00527467">
      <w:pPr>
        <w:jc w:val="both"/>
        <w:rPr>
          <w:rFonts w:ascii="Arial" w:hAnsi="Arial" w:cs="Arial"/>
        </w:rPr>
      </w:pPr>
    </w:p>
    <w:p w:rsidR="00527467" w:rsidRPr="008E3F5D"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667"/>
      </w:tblGrid>
      <w:tr w:rsidR="00527467" w:rsidRPr="008E3F5D" w:rsidTr="002B3202">
        <w:tc>
          <w:tcPr>
            <w:tcW w:w="4261" w:type="dxa"/>
          </w:tcPr>
          <w:p w:rsidR="00527467" w:rsidRPr="008E3F5D" w:rsidRDefault="00527467" w:rsidP="002B3202">
            <w:pPr>
              <w:jc w:val="both"/>
              <w:rPr>
                <w:rFonts w:ascii="Arial" w:hAnsi="Arial" w:cs="Arial"/>
                <w:b/>
                <w:bCs/>
              </w:rPr>
            </w:pPr>
            <w:r w:rsidRPr="008E3F5D">
              <w:rPr>
                <w:rFonts w:ascii="Arial" w:hAnsi="Arial" w:cs="Arial"/>
                <w:b/>
                <w:bCs/>
              </w:rPr>
              <w:t>Students taught together in:</w:t>
            </w:r>
          </w:p>
        </w:tc>
        <w:tc>
          <w:tcPr>
            <w:tcW w:w="667" w:type="dxa"/>
          </w:tcPr>
          <w:p w:rsidR="00527467" w:rsidRPr="008E3F5D" w:rsidRDefault="00527467" w:rsidP="002B3202">
            <w:pPr>
              <w:jc w:val="both"/>
              <w:rPr>
                <w:rFonts w:ascii="Arial" w:hAnsi="Arial" w:cs="Arial"/>
                <w:b/>
                <w:bCs/>
              </w:rPr>
            </w:pPr>
            <w:r w:rsidRPr="008E3F5D">
              <w:rPr>
                <w:rFonts w:ascii="Arial" w:hAnsi="Arial" w:cs="Arial"/>
                <w:b/>
                <w:bCs/>
              </w:rPr>
              <w:t>X</w:t>
            </w:r>
          </w:p>
        </w:tc>
      </w:tr>
      <w:tr w:rsidR="00527467" w:rsidRPr="008E3F5D" w:rsidTr="002B3202">
        <w:tc>
          <w:tcPr>
            <w:tcW w:w="4261" w:type="dxa"/>
          </w:tcPr>
          <w:p w:rsidR="00527467" w:rsidRDefault="00527467" w:rsidP="002B3202">
            <w:pPr>
              <w:jc w:val="both"/>
              <w:rPr>
                <w:rFonts w:ascii="Arial" w:hAnsi="Arial" w:cs="Arial"/>
              </w:rPr>
            </w:pPr>
            <w:r w:rsidRPr="008E3F5D">
              <w:rPr>
                <w:rFonts w:ascii="Arial" w:hAnsi="Arial" w:cs="Arial"/>
              </w:rPr>
              <w:t>All their classes</w:t>
            </w:r>
          </w:p>
          <w:p w:rsidR="00527467" w:rsidRPr="008E3F5D" w:rsidRDefault="00527467" w:rsidP="002B3202">
            <w:pPr>
              <w:jc w:val="both"/>
              <w:rPr>
                <w:rFonts w:ascii="Arial" w:hAnsi="Arial" w:cs="Arial"/>
              </w:rPr>
            </w:pPr>
          </w:p>
        </w:tc>
        <w:tc>
          <w:tcPr>
            <w:tcW w:w="667" w:type="dxa"/>
          </w:tcPr>
          <w:p w:rsidR="00527467" w:rsidRPr="008E3F5D" w:rsidRDefault="00527467" w:rsidP="002B3202">
            <w:pPr>
              <w:jc w:val="both"/>
              <w:rPr>
                <w:rFonts w:ascii="Arial" w:hAnsi="Arial" w:cs="Arial"/>
                <w:b/>
                <w:bCs/>
              </w:rPr>
            </w:pPr>
          </w:p>
        </w:tc>
      </w:tr>
      <w:tr w:rsidR="00527467" w:rsidRPr="008E3F5D" w:rsidTr="002B3202">
        <w:tc>
          <w:tcPr>
            <w:tcW w:w="4261" w:type="dxa"/>
          </w:tcPr>
          <w:p w:rsidR="00527467" w:rsidRDefault="00527467" w:rsidP="002B3202">
            <w:pPr>
              <w:jc w:val="both"/>
              <w:rPr>
                <w:rFonts w:ascii="Arial" w:hAnsi="Arial" w:cs="Arial"/>
              </w:rPr>
            </w:pPr>
            <w:r w:rsidRPr="008E3F5D">
              <w:rPr>
                <w:rFonts w:ascii="Arial" w:hAnsi="Arial" w:cs="Arial"/>
              </w:rPr>
              <w:t>Lectures only</w:t>
            </w:r>
          </w:p>
          <w:p w:rsidR="00527467" w:rsidRPr="008E3F5D" w:rsidRDefault="00527467" w:rsidP="002B3202">
            <w:pPr>
              <w:jc w:val="both"/>
              <w:rPr>
                <w:rFonts w:ascii="Arial" w:hAnsi="Arial" w:cs="Arial"/>
              </w:rPr>
            </w:pPr>
          </w:p>
        </w:tc>
        <w:tc>
          <w:tcPr>
            <w:tcW w:w="667" w:type="dxa"/>
          </w:tcPr>
          <w:p w:rsidR="00527467" w:rsidRPr="008E3F5D" w:rsidRDefault="00527467" w:rsidP="002B3202">
            <w:pPr>
              <w:jc w:val="both"/>
              <w:rPr>
                <w:rFonts w:ascii="Arial" w:hAnsi="Arial" w:cs="Arial"/>
              </w:rPr>
            </w:pPr>
          </w:p>
        </w:tc>
      </w:tr>
      <w:tr w:rsidR="00527467" w:rsidRPr="008E3F5D" w:rsidTr="002B3202">
        <w:tc>
          <w:tcPr>
            <w:tcW w:w="4261" w:type="dxa"/>
          </w:tcPr>
          <w:p w:rsidR="00527467" w:rsidRDefault="00527467" w:rsidP="002B3202">
            <w:pPr>
              <w:jc w:val="both"/>
              <w:rPr>
                <w:rFonts w:ascii="Arial" w:hAnsi="Arial" w:cs="Arial"/>
              </w:rPr>
            </w:pPr>
            <w:r w:rsidRPr="008E3F5D">
              <w:rPr>
                <w:rFonts w:ascii="Arial" w:hAnsi="Arial" w:cs="Arial"/>
              </w:rPr>
              <w:t>Seminars/tutorials only</w:t>
            </w:r>
          </w:p>
          <w:p w:rsidR="00527467" w:rsidRPr="008E3F5D" w:rsidRDefault="00527467" w:rsidP="002B3202">
            <w:pPr>
              <w:jc w:val="both"/>
              <w:rPr>
                <w:rFonts w:ascii="Arial" w:hAnsi="Arial" w:cs="Arial"/>
              </w:rPr>
            </w:pPr>
          </w:p>
        </w:tc>
        <w:tc>
          <w:tcPr>
            <w:tcW w:w="667" w:type="dxa"/>
          </w:tcPr>
          <w:p w:rsidR="00527467" w:rsidRPr="008E3F5D" w:rsidRDefault="00527467" w:rsidP="002B3202">
            <w:pPr>
              <w:jc w:val="both"/>
              <w:rPr>
                <w:rFonts w:ascii="Arial" w:hAnsi="Arial" w:cs="Arial"/>
              </w:rPr>
            </w:pPr>
          </w:p>
        </w:tc>
      </w:tr>
      <w:tr w:rsidR="00527467" w:rsidRPr="008E3F5D" w:rsidTr="002B3202">
        <w:tc>
          <w:tcPr>
            <w:tcW w:w="4261" w:type="dxa"/>
          </w:tcPr>
          <w:p w:rsidR="00527467" w:rsidRPr="008E3F5D" w:rsidRDefault="00527467" w:rsidP="002B3202">
            <w:pPr>
              <w:jc w:val="both"/>
              <w:rPr>
                <w:rFonts w:ascii="Arial" w:hAnsi="Arial" w:cs="Arial"/>
                <w:i/>
                <w:iCs/>
              </w:rPr>
            </w:pPr>
            <w:r w:rsidRPr="008E3F5D">
              <w:rPr>
                <w:rFonts w:ascii="Arial" w:hAnsi="Arial" w:cs="Arial"/>
              </w:rPr>
              <w:t>Other classes (</w:t>
            </w:r>
            <w:r w:rsidRPr="008E3F5D">
              <w:rPr>
                <w:rFonts w:ascii="Arial" w:hAnsi="Arial" w:cs="Arial"/>
                <w:i/>
                <w:iCs/>
              </w:rPr>
              <w:t>please specify)</w:t>
            </w:r>
          </w:p>
          <w:p w:rsidR="00527467" w:rsidRDefault="00527467" w:rsidP="002B3202">
            <w:pPr>
              <w:jc w:val="both"/>
              <w:rPr>
                <w:rFonts w:ascii="Arial" w:hAnsi="Arial" w:cs="Arial"/>
                <w:i/>
                <w:iCs/>
              </w:rPr>
            </w:pPr>
          </w:p>
          <w:p w:rsidR="00527467" w:rsidRPr="008E3F5D" w:rsidRDefault="00527467" w:rsidP="002B3202">
            <w:pPr>
              <w:jc w:val="both"/>
              <w:rPr>
                <w:rFonts w:ascii="Arial" w:hAnsi="Arial" w:cs="Arial"/>
                <w:i/>
                <w:iCs/>
              </w:rPr>
            </w:pPr>
            <w:r>
              <w:rPr>
                <w:rFonts w:ascii="Arial" w:hAnsi="Arial" w:cs="Arial"/>
                <w:i/>
                <w:iCs/>
              </w:rPr>
              <w:t>:</w:t>
            </w:r>
          </w:p>
        </w:tc>
        <w:tc>
          <w:tcPr>
            <w:tcW w:w="667" w:type="dxa"/>
          </w:tcPr>
          <w:p w:rsidR="00527467" w:rsidRPr="008E3F5D" w:rsidRDefault="00527467" w:rsidP="002B3202">
            <w:pPr>
              <w:jc w:val="both"/>
              <w:rPr>
                <w:rFonts w:ascii="Arial" w:hAnsi="Arial" w:cs="Arial"/>
              </w:rPr>
            </w:pPr>
          </w:p>
        </w:tc>
      </w:tr>
    </w:tbl>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Pr="008E3F5D" w:rsidRDefault="00527467" w:rsidP="00527467">
      <w:pPr>
        <w:jc w:val="both"/>
        <w:rPr>
          <w:rFonts w:ascii="Arial" w:hAnsi="Arial" w:cs="Arial"/>
          <w:b/>
        </w:rPr>
      </w:pPr>
      <w:r w:rsidRPr="008E3F5D">
        <w:rPr>
          <w:rFonts w:ascii="Arial" w:hAnsi="Arial" w:cs="Arial"/>
          <w:b/>
        </w:rPr>
        <w:t>4.  Course Content</w:t>
      </w:r>
    </w:p>
    <w:p w:rsidR="00527467" w:rsidRDefault="00527467" w:rsidP="00527467">
      <w:pPr>
        <w:jc w:val="both"/>
        <w:rPr>
          <w:rFonts w:ascii="Arial" w:hAnsi="Arial" w:cs="Arial"/>
        </w:rPr>
      </w:pPr>
      <w:r w:rsidRPr="007C11F4">
        <w:rPr>
          <w:rFonts w:ascii="Arial" w:hAnsi="Arial" w:cs="Arial"/>
        </w:rPr>
        <w:t>We are interested first in the content of your principal Europ</w:t>
      </w:r>
      <w:r>
        <w:rPr>
          <w:rFonts w:ascii="Arial" w:hAnsi="Arial" w:cs="Arial"/>
        </w:rPr>
        <w:t>ean Union law course or module.</w:t>
      </w:r>
      <w:r w:rsidRPr="007C11F4">
        <w:rPr>
          <w:rFonts w:ascii="Arial" w:hAnsi="Arial" w:cs="Arial"/>
        </w:rPr>
        <w:t xml:space="preserve"> Please indicate: </w:t>
      </w:r>
    </w:p>
    <w:p w:rsidR="00527467" w:rsidRDefault="00527467" w:rsidP="00527467">
      <w:pPr>
        <w:jc w:val="both"/>
        <w:rPr>
          <w:rFonts w:ascii="Arial" w:hAnsi="Arial" w:cs="Arial"/>
        </w:rPr>
      </w:pPr>
      <w:r w:rsidRPr="007C11F4">
        <w:rPr>
          <w:rFonts w:ascii="Arial" w:hAnsi="Arial" w:cs="Arial"/>
        </w:rPr>
        <w:lastRenderedPageBreak/>
        <w:t xml:space="preserve">(a) </w:t>
      </w:r>
      <w:proofErr w:type="gramStart"/>
      <w:r w:rsidRPr="007C11F4">
        <w:rPr>
          <w:rFonts w:ascii="Arial" w:hAnsi="Arial" w:cs="Arial"/>
        </w:rPr>
        <w:t>which</w:t>
      </w:r>
      <w:proofErr w:type="gramEnd"/>
      <w:r w:rsidRPr="007C11F4">
        <w:rPr>
          <w:rFonts w:ascii="Arial" w:hAnsi="Arial" w:cs="Arial"/>
        </w:rPr>
        <w:t xml:space="preserve"> general areas are covered in your course</w:t>
      </w:r>
      <w:r>
        <w:rPr>
          <w:rFonts w:ascii="Arial" w:hAnsi="Arial" w:cs="Arial"/>
        </w:rPr>
        <w:t>;</w:t>
      </w:r>
    </w:p>
    <w:p w:rsidR="00527467" w:rsidRDefault="00527467" w:rsidP="00527467">
      <w:pPr>
        <w:jc w:val="both"/>
        <w:rPr>
          <w:rFonts w:ascii="Arial" w:hAnsi="Arial" w:cs="Arial"/>
        </w:rPr>
      </w:pPr>
      <w:r>
        <w:rPr>
          <w:rFonts w:ascii="Arial" w:hAnsi="Arial" w:cs="Arial"/>
        </w:rPr>
        <w:t xml:space="preserve">(b) </w:t>
      </w:r>
      <w:proofErr w:type="gramStart"/>
      <w:r w:rsidRPr="007C11F4">
        <w:rPr>
          <w:rFonts w:ascii="Arial" w:hAnsi="Arial" w:cs="Arial"/>
        </w:rPr>
        <w:t>for</w:t>
      </w:r>
      <w:proofErr w:type="gramEnd"/>
      <w:r w:rsidRPr="007C11F4">
        <w:rPr>
          <w:rFonts w:ascii="Arial" w:hAnsi="Arial" w:cs="Arial"/>
        </w:rPr>
        <w:t xml:space="preserve"> each area, roughly what percentage of the overall course content this area represents</w:t>
      </w:r>
      <w:r>
        <w:rPr>
          <w:rFonts w:ascii="Arial" w:hAnsi="Arial" w:cs="Arial"/>
        </w:rPr>
        <w:t>;</w:t>
      </w:r>
    </w:p>
    <w:p w:rsidR="00527467" w:rsidRPr="007C11F4" w:rsidRDefault="00527467" w:rsidP="00527467">
      <w:pPr>
        <w:jc w:val="both"/>
        <w:rPr>
          <w:rFonts w:ascii="Arial" w:hAnsi="Arial" w:cs="Arial"/>
        </w:rPr>
      </w:pPr>
      <w:r>
        <w:rPr>
          <w:rFonts w:ascii="Arial" w:hAnsi="Arial" w:cs="Arial"/>
        </w:rPr>
        <w:t xml:space="preserve">(c) </w:t>
      </w:r>
      <w:proofErr w:type="gramStart"/>
      <w:r>
        <w:rPr>
          <w:rFonts w:ascii="Arial" w:hAnsi="Arial" w:cs="Arial"/>
        </w:rPr>
        <w:t>any</w:t>
      </w:r>
      <w:proofErr w:type="gramEnd"/>
      <w:r w:rsidRPr="007C11F4">
        <w:rPr>
          <w:rFonts w:ascii="Arial" w:hAnsi="Arial" w:cs="Arial"/>
        </w:rPr>
        <w:t xml:space="preserve"> areas </w:t>
      </w:r>
      <w:r>
        <w:rPr>
          <w:rFonts w:ascii="Arial" w:hAnsi="Arial" w:cs="Arial"/>
        </w:rPr>
        <w:t xml:space="preserve">which </w:t>
      </w:r>
      <w:r w:rsidRPr="007C11F4">
        <w:rPr>
          <w:rFonts w:ascii="Arial" w:hAnsi="Arial" w:cs="Arial"/>
        </w:rPr>
        <w:t>are taught on courses other than your principal EU course.</w:t>
      </w:r>
    </w:p>
    <w:p w:rsidR="00527467" w:rsidRPr="007C11F4" w:rsidRDefault="00527467" w:rsidP="00527467">
      <w:pPr>
        <w:jc w:val="both"/>
        <w:rPr>
          <w:rFonts w:ascii="Arial" w:hAnsi="Arial" w:cs="Arial"/>
        </w:rPr>
      </w:pPr>
      <w:r w:rsidRPr="007C11F4">
        <w:rPr>
          <w:rFonts w:ascii="Arial" w:hAnsi="Arial" w:cs="Arial"/>
        </w:rPr>
        <w:t xml:space="preserve"> There are a number of boxes where you may wish to add course contents that have not been pre-listed.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1352"/>
        <w:gridCol w:w="1964"/>
        <w:gridCol w:w="2623"/>
      </w:tblGrid>
      <w:tr w:rsidR="00527467" w:rsidRPr="008E3F5D" w:rsidTr="002B3202">
        <w:tc>
          <w:tcPr>
            <w:tcW w:w="0" w:type="auto"/>
          </w:tcPr>
          <w:p w:rsidR="00527467" w:rsidRPr="007E0D8E" w:rsidRDefault="00527467" w:rsidP="002B3202">
            <w:pPr>
              <w:jc w:val="both"/>
              <w:rPr>
                <w:rFonts w:ascii="Arial Narrow" w:hAnsi="Arial Narrow" w:cs="Arial"/>
                <w:b/>
              </w:rPr>
            </w:pPr>
            <w:r w:rsidRPr="007E0D8E">
              <w:rPr>
                <w:rFonts w:ascii="Arial Narrow" w:hAnsi="Arial Narrow" w:cs="Arial"/>
                <w:b/>
              </w:rPr>
              <w:t>(a) Subject included in principal EU course</w:t>
            </w:r>
          </w:p>
        </w:tc>
        <w:tc>
          <w:tcPr>
            <w:tcW w:w="0" w:type="auto"/>
          </w:tcPr>
          <w:p w:rsidR="00527467" w:rsidRPr="007E0D8E" w:rsidRDefault="00527467" w:rsidP="002B3202">
            <w:pPr>
              <w:jc w:val="both"/>
              <w:rPr>
                <w:rFonts w:ascii="Arial Narrow" w:hAnsi="Arial Narrow" w:cs="Arial"/>
                <w:b/>
              </w:rPr>
            </w:pPr>
            <w:r w:rsidRPr="007E0D8E">
              <w:rPr>
                <w:rFonts w:ascii="Arial Narrow" w:hAnsi="Arial Narrow" w:cs="Arial"/>
                <w:b/>
              </w:rPr>
              <w:t>(a) Please mark with X</w:t>
            </w:r>
          </w:p>
        </w:tc>
        <w:tc>
          <w:tcPr>
            <w:tcW w:w="0" w:type="auto"/>
          </w:tcPr>
          <w:p w:rsidR="00527467" w:rsidRPr="007E0D8E" w:rsidRDefault="00527467" w:rsidP="002B3202">
            <w:pPr>
              <w:jc w:val="both"/>
              <w:rPr>
                <w:rFonts w:ascii="Arial Narrow" w:hAnsi="Arial Narrow" w:cs="Arial"/>
                <w:b/>
              </w:rPr>
            </w:pPr>
            <w:r w:rsidRPr="007E0D8E">
              <w:rPr>
                <w:rFonts w:ascii="Arial Narrow" w:hAnsi="Arial Narrow" w:cs="Arial"/>
                <w:b/>
              </w:rPr>
              <w:t>(b) Percentage of overall content</w:t>
            </w:r>
          </w:p>
        </w:tc>
        <w:tc>
          <w:tcPr>
            <w:tcW w:w="0" w:type="auto"/>
          </w:tcPr>
          <w:p w:rsidR="00527467" w:rsidRDefault="00527467" w:rsidP="002B3202">
            <w:pPr>
              <w:jc w:val="both"/>
              <w:rPr>
                <w:rFonts w:ascii="Arial Narrow" w:hAnsi="Arial Narrow" w:cs="Arial"/>
                <w:b/>
              </w:rPr>
            </w:pPr>
            <w:r w:rsidRPr="007E0D8E">
              <w:rPr>
                <w:rFonts w:ascii="Arial Narrow" w:hAnsi="Arial Narrow" w:cs="Arial"/>
                <w:b/>
              </w:rPr>
              <w:t>(c) Subject included in other course/module.</w:t>
            </w:r>
          </w:p>
          <w:p w:rsidR="00527467" w:rsidRPr="007E0D8E" w:rsidRDefault="00527467" w:rsidP="002B3202">
            <w:pPr>
              <w:jc w:val="both"/>
              <w:rPr>
                <w:rFonts w:ascii="Arial Narrow" w:hAnsi="Arial Narrow" w:cs="Arial"/>
                <w:b/>
              </w:rPr>
            </w:pPr>
            <w:r w:rsidRPr="007E0D8E">
              <w:rPr>
                <w:rFonts w:ascii="Arial Narrow" w:hAnsi="Arial Narrow" w:cs="Arial"/>
                <w:b/>
              </w:rPr>
              <w:t>Please identify in which other course/module</w:t>
            </w: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Historical background</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Institutional framework</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Nature and function of the EU</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Integration theory</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Civil law systems and reasoning</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Sources of law</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Supremacy</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Direct Effect</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General Principles</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Principle of Subsidiarity</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Fundamental Rights</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Preliminary Rulings, Art 234</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Enforcement Actions, Art 226</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Action for Annulment, Art 230</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State Liability</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Free Movement of Goods</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Free Movement of Persons</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Free Movement of Capital</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 xml:space="preserve">Free Movement of Services </w:t>
            </w:r>
            <w:r w:rsidRPr="008E3F5D">
              <w:rPr>
                <w:rFonts w:ascii="Arial" w:hAnsi="Arial" w:cs="Arial"/>
              </w:rPr>
              <w:lastRenderedPageBreak/>
              <w:t>and Right of Establishment</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lastRenderedPageBreak/>
              <w:t>Competition Law</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State Aid</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Intellectual Property Law</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Social Policy</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Sex Discrimination</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Environmental Law</w:t>
            </w: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b/>
        </w:rPr>
      </w:pPr>
      <w:r w:rsidRPr="008E3F5D">
        <w:rPr>
          <w:rFonts w:ascii="Arial" w:hAnsi="Arial" w:cs="Arial"/>
          <w:b/>
        </w:rPr>
        <w:t>5.0 Factors Influencing Course Content</w:t>
      </w:r>
    </w:p>
    <w:p w:rsidR="00527467" w:rsidRPr="008E3F5D" w:rsidRDefault="00527467" w:rsidP="00527467">
      <w:pPr>
        <w:jc w:val="both"/>
        <w:rPr>
          <w:rFonts w:ascii="Arial" w:hAnsi="Arial" w:cs="Arial"/>
          <w:b/>
        </w:rPr>
      </w:pPr>
    </w:p>
    <w:p w:rsidR="00527467" w:rsidRPr="009D0775" w:rsidRDefault="00527467" w:rsidP="00527467">
      <w:pPr>
        <w:jc w:val="both"/>
        <w:rPr>
          <w:rFonts w:ascii="Arial" w:hAnsi="Arial" w:cs="Arial"/>
        </w:rPr>
      </w:pPr>
      <w:r w:rsidRPr="009D0775">
        <w:rPr>
          <w:rFonts w:ascii="Arial" w:hAnsi="Arial" w:cs="Arial"/>
        </w:rPr>
        <w:t>We are interested in the factors which influence the selection of course content.  Please indicate which factors influence your present choice of course content.  Please give a weighting to each of the selected factors from 1 - 5:</w:t>
      </w:r>
    </w:p>
    <w:p w:rsidR="00527467" w:rsidRPr="009D0775" w:rsidRDefault="00527467" w:rsidP="00527467">
      <w:pPr>
        <w:jc w:val="both"/>
        <w:rPr>
          <w:rFonts w:ascii="Arial" w:hAnsi="Arial" w:cs="Arial"/>
        </w:rPr>
      </w:pPr>
      <w:r w:rsidRPr="009D0775">
        <w:rPr>
          <w:rFonts w:ascii="Arial" w:hAnsi="Arial" w:cs="Arial"/>
        </w:rPr>
        <w:t>1 = an irrelevant factor</w:t>
      </w:r>
    </w:p>
    <w:p w:rsidR="00527467" w:rsidRPr="009D0775" w:rsidRDefault="00527467" w:rsidP="00527467">
      <w:pPr>
        <w:jc w:val="both"/>
        <w:rPr>
          <w:rFonts w:ascii="Arial" w:hAnsi="Arial" w:cs="Arial"/>
        </w:rPr>
      </w:pPr>
      <w:r w:rsidRPr="009D0775">
        <w:rPr>
          <w:rFonts w:ascii="Arial" w:hAnsi="Arial" w:cs="Arial"/>
        </w:rPr>
        <w:t>2 = of marginal relevance</w:t>
      </w:r>
    </w:p>
    <w:p w:rsidR="00527467" w:rsidRPr="009D0775" w:rsidRDefault="00527467" w:rsidP="00527467">
      <w:pPr>
        <w:jc w:val="both"/>
        <w:rPr>
          <w:rFonts w:ascii="Arial" w:hAnsi="Arial" w:cs="Arial"/>
        </w:rPr>
      </w:pPr>
      <w:r w:rsidRPr="009D0775">
        <w:rPr>
          <w:rFonts w:ascii="Arial" w:hAnsi="Arial" w:cs="Arial"/>
        </w:rPr>
        <w:t>3 = significant or material</w:t>
      </w:r>
    </w:p>
    <w:p w:rsidR="00527467" w:rsidRPr="009D0775" w:rsidRDefault="00527467" w:rsidP="00527467">
      <w:pPr>
        <w:jc w:val="both"/>
        <w:rPr>
          <w:rFonts w:ascii="Arial" w:hAnsi="Arial" w:cs="Arial"/>
        </w:rPr>
      </w:pPr>
      <w:r w:rsidRPr="009D0775">
        <w:rPr>
          <w:rFonts w:ascii="Arial" w:hAnsi="Arial" w:cs="Arial"/>
        </w:rPr>
        <w:t>4 = of considerable importance</w:t>
      </w:r>
    </w:p>
    <w:p w:rsidR="00527467" w:rsidRPr="009D0775" w:rsidRDefault="00527467" w:rsidP="00527467">
      <w:pPr>
        <w:jc w:val="both"/>
        <w:rPr>
          <w:rFonts w:ascii="Arial" w:hAnsi="Arial" w:cs="Arial"/>
        </w:rPr>
      </w:pPr>
      <w:r w:rsidRPr="009D0775">
        <w:rPr>
          <w:rFonts w:ascii="Arial" w:hAnsi="Arial" w:cs="Arial"/>
        </w:rPr>
        <w:t>5 = a crucial or determinative factor.</w:t>
      </w:r>
    </w:p>
    <w:p w:rsidR="00527467" w:rsidRPr="009D0775" w:rsidRDefault="00527467" w:rsidP="0052746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950"/>
      </w:tblGrid>
      <w:tr w:rsidR="00527467" w:rsidRPr="008E3F5D" w:rsidTr="002B3202">
        <w:tc>
          <w:tcPr>
            <w:tcW w:w="0" w:type="auto"/>
          </w:tcPr>
          <w:p w:rsidR="00527467" w:rsidRPr="008E3F5D" w:rsidRDefault="00527467" w:rsidP="002B3202">
            <w:pPr>
              <w:jc w:val="both"/>
              <w:rPr>
                <w:rFonts w:ascii="Arial" w:hAnsi="Arial" w:cs="Arial"/>
                <w:b/>
              </w:rPr>
            </w:pPr>
            <w:r w:rsidRPr="008E3F5D">
              <w:rPr>
                <w:rFonts w:ascii="Arial" w:hAnsi="Arial" w:cs="Arial"/>
                <w:b/>
              </w:rPr>
              <w:t>Factors</w:t>
            </w:r>
          </w:p>
        </w:tc>
        <w:tc>
          <w:tcPr>
            <w:tcW w:w="0" w:type="auto"/>
          </w:tcPr>
          <w:p w:rsidR="00527467" w:rsidRPr="008E3F5D" w:rsidRDefault="00527467" w:rsidP="002B3202">
            <w:pPr>
              <w:jc w:val="both"/>
              <w:rPr>
                <w:rFonts w:ascii="Arial" w:hAnsi="Arial" w:cs="Arial"/>
                <w:b/>
              </w:rPr>
            </w:pPr>
            <w:r w:rsidRPr="008E3F5D">
              <w:rPr>
                <w:rFonts w:ascii="Arial" w:hAnsi="Arial" w:cs="Arial"/>
                <w:b/>
              </w:rPr>
              <w:t>Weight</w:t>
            </w:r>
          </w:p>
          <w:p w:rsidR="00527467" w:rsidRPr="008E3F5D" w:rsidRDefault="00527467" w:rsidP="002B3202">
            <w:pPr>
              <w:jc w:val="both"/>
              <w:rPr>
                <w:rFonts w:ascii="Arial" w:hAnsi="Arial" w:cs="Arial"/>
                <w:b/>
              </w:rPr>
            </w:pPr>
            <w:r w:rsidRPr="008E3F5D">
              <w:rPr>
                <w:rFonts w:ascii="Arial" w:hAnsi="Arial" w:cs="Arial"/>
                <w:b/>
              </w:rPr>
              <w:t>(1 - 5)</w:t>
            </w: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Requirements of professional bodies</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Length of course</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Nature of course (e</w:t>
            </w:r>
            <w:r>
              <w:rPr>
                <w:rFonts w:ascii="Arial" w:hAnsi="Arial" w:cs="Arial"/>
              </w:rPr>
              <w:t>.</w:t>
            </w:r>
            <w:r w:rsidRPr="008E3F5D">
              <w:rPr>
                <w:rFonts w:ascii="Arial" w:hAnsi="Arial" w:cs="Arial"/>
              </w:rPr>
              <w:t>g. Specialist course such as EU Competition law)</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Contents of pre-existing course</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Feedback from previous courses</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Integration of parts of the course into the whole</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Relevance to practice</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Availability of teaching and learning resources, e</w:t>
            </w:r>
            <w:r>
              <w:rPr>
                <w:rFonts w:ascii="Arial" w:hAnsi="Arial" w:cs="Arial"/>
              </w:rPr>
              <w:t>.</w:t>
            </w:r>
            <w:r w:rsidRPr="008E3F5D">
              <w:rPr>
                <w:rFonts w:ascii="Arial" w:hAnsi="Arial" w:cs="Arial"/>
              </w:rPr>
              <w:t>g</w:t>
            </w:r>
            <w:r>
              <w:rPr>
                <w:rFonts w:ascii="Arial" w:hAnsi="Arial" w:cs="Arial"/>
              </w:rPr>
              <w:t>.</w:t>
            </w:r>
            <w:r w:rsidRPr="008E3F5D">
              <w:rPr>
                <w:rFonts w:ascii="Arial" w:hAnsi="Arial" w:cs="Arial"/>
              </w:rPr>
              <w:t xml:space="preserve"> databases, library holdings</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lastRenderedPageBreak/>
              <w:t>Textbook availability and coverage</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Student preferences</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Topicality</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Type of student</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Personal interests</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Commitment to European integration</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Taking a critical approach to European integration</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Personal research agenda</w:t>
            </w: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b/>
        </w:rPr>
      </w:pPr>
      <w:proofErr w:type="gramStart"/>
      <w:r w:rsidRPr="008E3F5D">
        <w:rPr>
          <w:rFonts w:ascii="Arial" w:hAnsi="Arial" w:cs="Arial"/>
          <w:b/>
        </w:rPr>
        <w:t>6.0  Learning</w:t>
      </w:r>
      <w:proofErr w:type="gramEnd"/>
      <w:r w:rsidRPr="008E3F5D">
        <w:rPr>
          <w:rFonts w:ascii="Arial" w:hAnsi="Arial" w:cs="Arial"/>
          <w:b/>
        </w:rPr>
        <w:t xml:space="preserve"> and Teaching Methods</w:t>
      </w:r>
    </w:p>
    <w:p w:rsidR="00527467" w:rsidRPr="008E3F5D" w:rsidRDefault="00527467" w:rsidP="00527467">
      <w:pPr>
        <w:jc w:val="both"/>
        <w:rPr>
          <w:rFonts w:ascii="Arial" w:hAnsi="Arial" w:cs="Arial"/>
          <w:b/>
        </w:rPr>
      </w:pPr>
    </w:p>
    <w:p w:rsidR="00527467" w:rsidRPr="004235D4" w:rsidRDefault="00527467" w:rsidP="00527467">
      <w:pPr>
        <w:jc w:val="both"/>
        <w:rPr>
          <w:rFonts w:ascii="Arial" w:hAnsi="Arial" w:cs="Arial"/>
        </w:rPr>
      </w:pPr>
      <w:r w:rsidRPr="004235D4">
        <w:rPr>
          <w:rFonts w:ascii="Arial" w:hAnsi="Arial" w:cs="Arial"/>
        </w:rPr>
        <w:t xml:space="preserve">One of the main aims in the research is to identify learning and teaching methods in the subject area and to identify innovation and best practice where possible.  Please indicate </w:t>
      </w:r>
      <w:r w:rsidRPr="004235D4">
        <w:rPr>
          <w:rFonts w:ascii="Arial" w:hAnsi="Arial" w:cs="Arial"/>
        </w:rPr>
        <w:lastRenderedPageBreak/>
        <w:t xml:space="preserve">which learning and teaching methods are used.  </w:t>
      </w:r>
      <w:r>
        <w:rPr>
          <w:rFonts w:ascii="Arial" w:hAnsi="Arial" w:cs="Arial"/>
        </w:rPr>
        <w:t xml:space="preserve">Mark </w:t>
      </w:r>
      <w:r w:rsidRPr="004235D4">
        <w:rPr>
          <w:rFonts w:ascii="Arial" w:hAnsi="Arial" w:cs="Arial"/>
        </w:rPr>
        <w:t>all that apply and indic</w:t>
      </w:r>
      <w:r>
        <w:rPr>
          <w:rFonts w:ascii="Arial" w:hAnsi="Arial" w:cs="Arial"/>
        </w:rPr>
        <w:t xml:space="preserve">ate roughly what percentage of </w:t>
      </w:r>
      <w:r w:rsidRPr="004235D4">
        <w:rPr>
          <w:rFonts w:ascii="Arial" w:hAnsi="Arial" w:cs="Arial"/>
        </w:rPr>
        <w:t xml:space="preserve">student </w:t>
      </w:r>
      <w:r>
        <w:rPr>
          <w:rFonts w:ascii="Arial" w:hAnsi="Arial" w:cs="Arial"/>
        </w:rPr>
        <w:t>learning time</w:t>
      </w:r>
      <w:r w:rsidRPr="004235D4">
        <w:rPr>
          <w:rFonts w:ascii="Arial" w:hAnsi="Arial" w:cs="Arial"/>
        </w:rPr>
        <w:t xml:space="preserve"> each method represents.  </w:t>
      </w:r>
    </w:p>
    <w:p w:rsidR="00527467" w:rsidRPr="004235D4" w:rsidRDefault="00527467" w:rsidP="00527467">
      <w:pPr>
        <w:jc w:val="both"/>
        <w:rPr>
          <w:rFonts w:ascii="Arial" w:hAnsi="Arial" w:cs="Arial"/>
        </w:rPr>
      </w:pPr>
    </w:p>
    <w:p w:rsidR="00527467" w:rsidRPr="004235D4" w:rsidRDefault="00527467" w:rsidP="00527467">
      <w:pPr>
        <w:jc w:val="both"/>
        <w:rPr>
          <w:rFonts w:ascii="Arial" w:hAnsi="Arial" w:cs="Arial"/>
        </w:rPr>
      </w:pPr>
      <w:r w:rsidRPr="004235D4">
        <w:rPr>
          <w:rFonts w:ascii="Arial" w:hAnsi="Arial" w:cs="Arial"/>
        </w:rPr>
        <w:t>Please note that e-learning methods are addressed in 7 below.</w:t>
      </w:r>
    </w:p>
    <w:p w:rsidR="00527467" w:rsidRPr="004235D4" w:rsidRDefault="00527467" w:rsidP="00527467">
      <w:pPr>
        <w:jc w:val="both"/>
        <w:rPr>
          <w:rFonts w:ascii="Arial" w:hAnsi="Arial" w:cs="Arial"/>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363"/>
        <w:gridCol w:w="3957"/>
      </w:tblGrid>
      <w:tr w:rsidR="00527467" w:rsidRPr="008E3F5D" w:rsidTr="002B3202">
        <w:tc>
          <w:tcPr>
            <w:tcW w:w="0" w:type="auto"/>
          </w:tcPr>
          <w:p w:rsidR="00527467" w:rsidRPr="008E3F5D" w:rsidRDefault="00527467" w:rsidP="002B3202">
            <w:pPr>
              <w:jc w:val="both"/>
              <w:rPr>
                <w:rFonts w:ascii="Arial" w:hAnsi="Arial" w:cs="Arial"/>
                <w:b/>
                <w:i/>
              </w:rPr>
            </w:pPr>
            <w:r w:rsidRPr="008E3F5D">
              <w:rPr>
                <w:rFonts w:ascii="Arial" w:hAnsi="Arial" w:cs="Arial"/>
                <w:b/>
              </w:rPr>
              <w:t xml:space="preserve">Learning and Teaching Methods </w:t>
            </w:r>
          </w:p>
        </w:tc>
        <w:tc>
          <w:tcPr>
            <w:tcW w:w="0" w:type="auto"/>
          </w:tcPr>
          <w:p w:rsidR="00527467" w:rsidRPr="008E3F5D" w:rsidRDefault="00527467" w:rsidP="002B3202">
            <w:pPr>
              <w:jc w:val="both"/>
              <w:rPr>
                <w:rFonts w:ascii="Arial" w:hAnsi="Arial" w:cs="Arial"/>
                <w:b/>
              </w:rPr>
            </w:pPr>
            <w:r w:rsidRPr="008E3F5D">
              <w:rPr>
                <w:rFonts w:ascii="Arial" w:hAnsi="Arial" w:cs="Arial"/>
                <w:b/>
              </w:rPr>
              <w:t>X</w:t>
            </w:r>
          </w:p>
        </w:tc>
        <w:tc>
          <w:tcPr>
            <w:tcW w:w="0" w:type="auto"/>
          </w:tcPr>
          <w:p w:rsidR="00527467" w:rsidRPr="008E3F5D" w:rsidRDefault="00527467" w:rsidP="002B3202">
            <w:pPr>
              <w:jc w:val="both"/>
              <w:rPr>
                <w:rFonts w:ascii="Arial" w:hAnsi="Arial" w:cs="Arial"/>
                <w:b/>
              </w:rPr>
            </w:pPr>
            <w:r w:rsidRPr="008E3F5D">
              <w:rPr>
                <w:rFonts w:ascii="Arial" w:hAnsi="Arial" w:cs="Arial"/>
                <w:b/>
              </w:rPr>
              <w:t xml:space="preserve">Percentage of </w:t>
            </w:r>
            <w:r>
              <w:rPr>
                <w:rFonts w:ascii="Arial" w:hAnsi="Arial" w:cs="Arial"/>
                <w:b/>
              </w:rPr>
              <w:t>student learning time</w:t>
            </w: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Lectures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Workshops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Seminars (groups of 12 or more)</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Tutorials (groups of less than 12)</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rPr>
          <w:trHeight w:val="70"/>
        </w:trPr>
        <w:tc>
          <w:tcPr>
            <w:tcW w:w="0" w:type="auto"/>
          </w:tcPr>
          <w:p w:rsidR="00527467" w:rsidRPr="008E3F5D" w:rsidRDefault="00527467" w:rsidP="002B3202">
            <w:pPr>
              <w:jc w:val="both"/>
              <w:rPr>
                <w:rFonts w:ascii="Arial" w:hAnsi="Arial" w:cs="Arial"/>
              </w:rPr>
            </w:pPr>
            <w:r w:rsidRPr="008E3F5D">
              <w:rPr>
                <w:rFonts w:ascii="Arial" w:hAnsi="Arial" w:cs="Arial"/>
              </w:rPr>
              <w:t>Group work</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Watching DVD/video/TV</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Mooting</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Skills-based activities (</w:t>
            </w:r>
            <w:proofErr w:type="spellStart"/>
            <w:r w:rsidRPr="008E3F5D">
              <w:rPr>
                <w:rFonts w:ascii="Arial" w:hAnsi="Arial" w:cs="Arial"/>
              </w:rPr>
              <w:t>eg</w:t>
            </w:r>
            <w:proofErr w:type="spellEnd"/>
            <w:r w:rsidRPr="008E3F5D">
              <w:rPr>
                <w:rFonts w:ascii="Arial" w:hAnsi="Arial" w:cs="Arial"/>
              </w:rPr>
              <w:t xml:space="preserve"> negotiation)</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Role play</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Oral presentations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Research-based projects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Reflective logs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Portfolio/progress files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Poster presentations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Short notes/seminar reports</w:t>
            </w: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r w:rsidR="00527467" w:rsidRPr="008E3F5D" w:rsidTr="002B3202">
        <w:tc>
          <w:tcPr>
            <w:tcW w:w="0" w:type="auto"/>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tc>
        <w:tc>
          <w:tcPr>
            <w:tcW w:w="0" w:type="auto"/>
          </w:tcPr>
          <w:p w:rsidR="00527467" w:rsidRPr="008E3F5D" w:rsidRDefault="00527467" w:rsidP="002B3202">
            <w:pPr>
              <w:jc w:val="both"/>
              <w:rPr>
                <w:rFonts w:ascii="Arial" w:hAnsi="Arial" w:cs="Arial"/>
                <w:b/>
              </w:rPr>
            </w:pPr>
          </w:p>
        </w:tc>
        <w:tc>
          <w:tcPr>
            <w:tcW w:w="0" w:type="auto"/>
          </w:tcPr>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7.0 E-Learning methods.</w:t>
      </w:r>
    </w:p>
    <w:p w:rsidR="00527467" w:rsidRPr="008E3F5D" w:rsidRDefault="00527467" w:rsidP="00527467">
      <w:pPr>
        <w:jc w:val="both"/>
        <w:rPr>
          <w:rFonts w:ascii="Arial" w:hAnsi="Arial" w:cs="Arial"/>
          <w:b/>
        </w:rPr>
      </w:pPr>
    </w:p>
    <w:p w:rsidR="00527467" w:rsidRPr="00375384" w:rsidRDefault="00527467" w:rsidP="00527467">
      <w:pPr>
        <w:jc w:val="both"/>
        <w:rPr>
          <w:rFonts w:ascii="Arial" w:hAnsi="Arial" w:cs="Arial"/>
        </w:rPr>
      </w:pPr>
      <w:r w:rsidRPr="00375384">
        <w:rPr>
          <w:rFonts w:ascii="Arial" w:hAnsi="Arial" w:cs="Arial"/>
        </w:rPr>
        <w:t>Please list full details of the main electronic learning and teaching resources used.</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gridCol w:w="3238"/>
      </w:tblGrid>
      <w:tr w:rsidR="00527467" w:rsidRPr="008E3F5D" w:rsidTr="002B3202">
        <w:tc>
          <w:tcPr>
            <w:tcW w:w="0" w:type="auto"/>
          </w:tcPr>
          <w:p w:rsidR="00527467" w:rsidRPr="008E3F5D" w:rsidRDefault="00527467" w:rsidP="002B3202">
            <w:pPr>
              <w:jc w:val="both"/>
              <w:rPr>
                <w:rFonts w:ascii="Arial" w:hAnsi="Arial" w:cs="Arial"/>
                <w:b/>
              </w:rPr>
            </w:pPr>
            <w:r w:rsidRPr="008E3F5D">
              <w:rPr>
                <w:rFonts w:ascii="Arial" w:hAnsi="Arial" w:cs="Arial"/>
                <w:b/>
              </w:rPr>
              <w:t>Resources used</w:t>
            </w:r>
          </w:p>
        </w:tc>
        <w:tc>
          <w:tcPr>
            <w:tcW w:w="0" w:type="auto"/>
          </w:tcPr>
          <w:p w:rsidR="00527467" w:rsidRPr="008E3F5D" w:rsidRDefault="00527467" w:rsidP="002B3202">
            <w:pPr>
              <w:jc w:val="center"/>
              <w:rPr>
                <w:rFonts w:ascii="Arial" w:hAnsi="Arial" w:cs="Arial"/>
                <w:b/>
              </w:rPr>
            </w:pPr>
            <w:r w:rsidRPr="008E3F5D">
              <w:rPr>
                <w:rFonts w:ascii="Arial" w:hAnsi="Arial" w:cs="Arial"/>
                <w:b/>
              </w:rPr>
              <w:t>X</w:t>
            </w:r>
          </w:p>
          <w:p w:rsidR="00527467" w:rsidRPr="008E3F5D" w:rsidRDefault="00527467" w:rsidP="002B3202">
            <w:pPr>
              <w:jc w:val="both"/>
              <w:rPr>
                <w:rFonts w:ascii="Arial" w:hAnsi="Arial" w:cs="Arial"/>
              </w:rPr>
            </w:pPr>
            <w:r w:rsidRPr="008E3F5D">
              <w:rPr>
                <w:rFonts w:ascii="Arial" w:hAnsi="Arial" w:cs="Arial"/>
                <w:b/>
              </w:rPr>
              <w:t>(plus details where appropriate</w:t>
            </w:r>
            <w:r w:rsidRPr="008E3F5D">
              <w:rPr>
                <w:rFonts w:ascii="Arial" w:hAnsi="Arial" w:cs="Arial"/>
              </w:rPr>
              <w:t>)</w:t>
            </w:r>
          </w:p>
        </w:tc>
      </w:tr>
      <w:tr w:rsidR="00527467" w:rsidRPr="008E3F5D" w:rsidTr="002B3202">
        <w:tc>
          <w:tcPr>
            <w:tcW w:w="0" w:type="auto"/>
          </w:tcPr>
          <w:p w:rsidR="00527467" w:rsidRPr="008E3F5D" w:rsidRDefault="00527467" w:rsidP="002B3202">
            <w:pPr>
              <w:jc w:val="both"/>
              <w:rPr>
                <w:rFonts w:ascii="Arial" w:hAnsi="Arial" w:cs="Arial"/>
              </w:rPr>
            </w:pPr>
            <w:r w:rsidRPr="008E3F5D">
              <w:rPr>
                <w:rFonts w:ascii="Arial" w:hAnsi="Arial" w:cs="Arial"/>
              </w:rPr>
              <w:t>Courseware (e</w:t>
            </w:r>
            <w:r>
              <w:rPr>
                <w:rFonts w:ascii="Arial" w:hAnsi="Arial" w:cs="Arial"/>
              </w:rPr>
              <w:t>.</w:t>
            </w:r>
            <w:r w:rsidRPr="008E3F5D">
              <w:rPr>
                <w:rFonts w:ascii="Arial" w:hAnsi="Arial" w:cs="Arial"/>
              </w:rPr>
              <w:t xml:space="preserve">g. Self-test questions on CD </w:t>
            </w:r>
            <w:proofErr w:type="spellStart"/>
            <w:r w:rsidRPr="008E3F5D">
              <w:rPr>
                <w:rFonts w:ascii="Arial" w:hAnsi="Arial" w:cs="Arial"/>
              </w:rPr>
              <w:t>roms</w:t>
            </w:r>
            <w:proofErr w:type="spellEnd"/>
            <w:r w:rsidRPr="008E3F5D">
              <w:rPr>
                <w:rFonts w:ascii="Arial" w:hAnsi="Arial" w:cs="Arial"/>
              </w:rPr>
              <w:t xml:space="preserve"> such as IOLIS)</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t>Databases e</w:t>
            </w:r>
            <w:r>
              <w:rPr>
                <w:rFonts w:ascii="Arial" w:hAnsi="Arial" w:cs="Arial"/>
              </w:rPr>
              <w:t>.</w:t>
            </w:r>
            <w:r w:rsidRPr="008E3F5D">
              <w:rPr>
                <w:rFonts w:ascii="Arial" w:hAnsi="Arial" w:cs="Arial"/>
              </w:rPr>
              <w:t xml:space="preserve">g. LEXIS-NEXIS, Westlaw, </w:t>
            </w:r>
            <w:proofErr w:type="spellStart"/>
            <w:r w:rsidRPr="008E3F5D">
              <w:rPr>
                <w:rFonts w:ascii="Arial" w:hAnsi="Arial" w:cs="Arial"/>
              </w:rPr>
              <w:t>Lawtel</w:t>
            </w:r>
            <w:proofErr w:type="spellEnd"/>
            <w:r w:rsidRPr="008E3F5D">
              <w:rPr>
                <w:rFonts w:ascii="Arial" w:hAnsi="Arial" w:cs="Arial"/>
              </w:rPr>
              <w:t>, Context</w:t>
            </w: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lastRenderedPageBreak/>
              <w:t>Electronic/video conferencing</w:t>
            </w:r>
          </w:p>
          <w:p w:rsidR="00527467"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t>Videos/TV programmes</w:t>
            </w:r>
          </w:p>
          <w:p w:rsidR="00527467"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t xml:space="preserve">Virtual Learning Environment </w:t>
            </w:r>
            <w:proofErr w:type="spellStart"/>
            <w:r w:rsidRPr="008E3F5D">
              <w:rPr>
                <w:rFonts w:ascii="Arial" w:hAnsi="Arial" w:cs="Arial"/>
              </w:rPr>
              <w:t>eg</w:t>
            </w:r>
            <w:proofErr w:type="spellEnd"/>
            <w:r w:rsidRPr="008E3F5D">
              <w:rPr>
                <w:rFonts w:ascii="Arial" w:hAnsi="Arial" w:cs="Arial"/>
              </w:rPr>
              <w:t>. Blackboard, WebCT, Lotus Notes</w:t>
            </w: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t>Web-based course materials</w:t>
            </w:r>
          </w:p>
          <w:p w:rsidR="00527467"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Default="00527467" w:rsidP="002B3202">
            <w:pPr>
              <w:jc w:val="both"/>
              <w:rPr>
                <w:rFonts w:ascii="Arial" w:hAnsi="Arial" w:cs="Arial"/>
              </w:rPr>
            </w:pPr>
            <w:r w:rsidRPr="008E3F5D">
              <w:rPr>
                <w:rFonts w:ascii="Arial" w:hAnsi="Arial" w:cs="Arial"/>
              </w:rPr>
              <w:t>Websites (list most frequently used)</w:t>
            </w:r>
          </w:p>
          <w:p w:rsidR="00527467" w:rsidRDefault="00527467" w:rsidP="002B3202">
            <w:pPr>
              <w:jc w:val="both"/>
              <w:rPr>
                <w:rFonts w:ascii="Arial" w:hAnsi="Arial" w:cs="Arial"/>
              </w:rPr>
            </w:pPr>
          </w:p>
          <w:p w:rsidR="00527467" w:rsidRPr="008E3F5D" w:rsidRDefault="00527467" w:rsidP="002B3202">
            <w:pPr>
              <w:jc w:val="both"/>
              <w:rPr>
                <w:rFonts w:ascii="Arial" w:hAnsi="Arial" w:cs="Arial"/>
              </w:rPr>
            </w:pPr>
          </w:p>
        </w:tc>
        <w:tc>
          <w:tcPr>
            <w:tcW w:w="0" w:type="auto"/>
          </w:tcPr>
          <w:p w:rsidR="00527467" w:rsidRPr="008E3F5D" w:rsidRDefault="00527467" w:rsidP="002B3202">
            <w:pPr>
              <w:jc w:val="both"/>
              <w:rPr>
                <w:rFonts w:ascii="Arial" w:hAnsi="Arial" w:cs="Arial"/>
              </w:rPr>
            </w:pPr>
          </w:p>
        </w:tc>
      </w:tr>
      <w:tr w:rsidR="00527467" w:rsidRPr="008E3F5D" w:rsidTr="002B3202">
        <w:tc>
          <w:tcPr>
            <w:tcW w:w="0" w:type="auto"/>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tc>
        <w:tc>
          <w:tcPr>
            <w:tcW w:w="0" w:type="auto"/>
          </w:tcPr>
          <w:p w:rsidR="00527467" w:rsidRPr="008E3F5D" w:rsidRDefault="00527467" w:rsidP="002B3202">
            <w:pPr>
              <w:jc w:val="both"/>
              <w:rPr>
                <w:rFonts w:ascii="Arial" w:hAnsi="Arial" w:cs="Arial"/>
              </w:rPr>
            </w:pPr>
          </w:p>
        </w:tc>
      </w:tr>
    </w:tbl>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Pr="008E3F5D" w:rsidRDefault="00527467" w:rsidP="00527467">
      <w:pPr>
        <w:jc w:val="both"/>
        <w:rPr>
          <w:rFonts w:ascii="Arial" w:hAnsi="Arial" w:cs="Arial"/>
        </w:rPr>
      </w:pPr>
      <w:r>
        <w:rPr>
          <w:rFonts w:ascii="Arial" w:hAnsi="Arial" w:cs="Arial"/>
        </w:rPr>
        <w:br w:type="page"/>
      </w:r>
    </w:p>
    <w:p w:rsidR="00527467" w:rsidRDefault="00527467" w:rsidP="00527467">
      <w:pPr>
        <w:jc w:val="both"/>
        <w:rPr>
          <w:rFonts w:ascii="Arial" w:hAnsi="Arial" w:cs="Arial"/>
          <w:b/>
        </w:rPr>
      </w:pPr>
      <w:proofErr w:type="gramStart"/>
      <w:r w:rsidRPr="008E3F5D">
        <w:rPr>
          <w:rFonts w:ascii="Arial" w:hAnsi="Arial" w:cs="Arial"/>
          <w:b/>
        </w:rPr>
        <w:lastRenderedPageBreak/>
        <w:t>8.0  Textbooks</w:t>
      </w:r>
      <w:proofErr w:type="gramEnd"/>
    </w:p>
    <w:p w:rsidR="00527467"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t>8.1.</w:t>
      </w:r>
      <w:r w:rsidRPr="008E3F5D">
        <w:rPr>
          <w:rFonts w:ascii="Arial" w:hAnsi="Arial" w:cs="Arial"/>
          <w:b/>
        </w:rPr>
        <w:t xml:space="preserve"> Which of the following general textbooks do you recommend for students to buy?</w:t>
      </w: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tblGrid>
      <w:tr w:rsidR="00527467" w:rsidRPr="008E3F5D" w:rsidTr="002B3202">
        <w:tc>
          <w:tcPr>
            <w:tcW w:w="3227" w:type="dxa"/>
          </w:tcPr>
          <w:p w:rsidR="00527467" w:rsidRPr="008E3F5D" w:rsidRDefault="00527467" w:rsidP="002B3202">
            <w:pPr>
              <w:jc w:val="both"/>
              <w:rPr>
                <w:rFonts w:ascii="Arial" w:hAnsi="Arial" w:cs="Arial"/>
                <w:b/>
              </w:rPr>
            </w:pPr>
            <w:r w:rsidRPr="008E3F5D">
              <w:rPr>
                <w:rFonts w:ascii="Arial" w:hAnsi="Arial" w:cs="Arial"/>
                <w:b/>
              </w:rPr>
              <w:t>Textbook author(s)</w:t>
            </w:r>
          </w:p>
        </w:tc>
        <w:tc>
          <w:tcPr>
            <w:tcW w:w="1134" w:type="dxa"/>
          </w:tcPr>
          <w:p w:rsidR="00527467" w:rsidRPr="008E3F5D" w:rsidRDefault="00527467" w:rsidP="002B3202">
            <w:pPr>
              <w:jc w:val="both"/>
              <w:rPr>
                <w:rFonts w:ascii="Arial" w:hAnsi="Arial" w:cs="Arial"/>
                <w:b/>
              </w:rPr>
            </w:pPr>
            <w:r>
              <w:rPr>
                <w:rFonts w:ascii="Arial" w:hAnsi="Arial" w:cs="Arial"/>
                <w:b/>
              </w:rPr>
              <w:t xml:space="preserve">    </w:t>
            </w:r>
            <w:r w:rsidRPr="008E3F5D">
              <w:rPr>
                <w:rFonts w:ascii="Arial" w:hAnsi="Arial" w:cs="Arial"/>
                <w:b/>
              </w:rPr>
              <w:t>X</w:t>
            </w: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Steiner &amp; Woods</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Hartley</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Wyatt &amp; Dashwood</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proofErr w:type="spellStart"/>
            <w:r w:rsidRPr="008E3F5D">
              <w:rPr>
                <w:rFonts w:ascii="Arial" w:hAnsi="Arial" w:cs="Arial"/>
              </w:rPr>
              <w:t>Deards</w:t>
            </w:r>
            <w:proofErr w:type="spellEnd"/>
            <w:r w:rsidRPr="008E3F5D">
              <w:rPr>
                <w:rFonts w:ascii="Arial" w:hAnsi="Arial" w:cs="Arial"/>
              </w:rPr>
              <w:t xml:space="preserve"> &amp; Hargreaves</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Foster</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Horspool &amp; Humphreys</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Barnard</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 xml:space="preserve">Fairhurst &amp; </w:t>
            </w:r>
            <w:proofErr w:type="spellStart"/>
            <w:r w:rsidRPr="008E3F5D">
              <w:rPr>
                <w:rFonts w:ascii="Arial" w:hAnsi="Arial" w:cs="Arial"/>
              </w:rPr>
              <w:t>Vincenzi</w:t>
            </w:r>
            <w:proofErr w:type="spellEnd"/>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 xml:space="preserve">Mathijsen  </w:t>
            </w:r>
          </w:p>
        </w:tc>
        <w:tc>
          <w:tcPr>
            <w:tcW w:w="1134" w:type="dxa"/>
          </w:tcPr>
          <w:p w:rsidR="00527467" w:rsidRPr="008E3F5D" w:rsidRDefault="00527467" w:rsidP="002B3202">
            <w:pPr>
              <w:jc w:val="both"/>
              <w:rPr>
                <w:rFonts w:ascii="Arial" w:hAnsi="Arial" w:cs="Arial"/>
              </w:rPr>
            </w:pPr>
          </w:p>
        </w:tc>
      </w:tr>
      <w:tr w:rsidR="00527467" w:rsidRPr="008E3F5D" w:rsidTr="002B3202">
        <w:tc>
          <w:tcPr>
            <w:tcW w:w="3227" w:type="dxa"/>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tc>
        <w:tc>
          <w:tcPr>
            <w:tcW w:w="1134" w:type="dxa"/>
          </w:tcPr>
          <w:p w:rsidR="00527467" w:rsidRPr="008E3F5D" w:rsidRDefault="00527467" w:rsidP="002B3202">
            <w:pPr>
              <w:jc w:val="both"/>
              <w:rPr>
                <w:rFonts w:ascii="Arial" w:hAnsi="Arial" w:cs="Arial"/>
              </w:rPr>
            </w:pPr>
          </w:p>
        </w:tc>
      </w:tr>
    </w:tbl>
    <w:p w:rsidR="00527467" w:rsidRPr="008E3F5D" w:rsidRDefault="00527467" w:rsidP="00527467">
      <w:pPr>
        <w:jc w:val="both"/>
        <w:rPr>
          <w:rFonts w:ascii="Arial" w:hAnsi="Arial" w:cs="Arial"/>
        </w:rPr>
      </w:pPr>
    </w:p>
    <w:p w:rsidR="00527467" w:rsidRPr="008E3F5D" w:rsidRDefault="00527467" w:rsidP="00527467">
      <w:pPr>
        <w:jc w:val="both"/>
        <w:rPr>
          <w:rFonts w:ascii="Arial" w:hAnsi="Arial" w:cs="Arial"/>
          <w:b/>
        </w:rPr>
      </w:pPr>
      <w:r>
        <w:rPr>
          <w:rFonts w:ascii="Arial" w:hAnsi="Arial" w:cs="Arial"/>
          <w:b/>
        </w:rPr>
        <w:t>8</w:t>
      </w:r>
      <w:r w:rsidRPr="008E3F5D">
        <w:rPr>
          <w:rFonts w:ascii="Arial" w:hAnsi="Arial" w:cs="Arial"/>
          <w:b/>
        </w:rPr>
        <w:t>.2 Which casebook/cases and materials book do you recommend for students to buy?</w:t>
      </w: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tblGrid>
      <w:tr w:rsidR="00527467" w:rsidRPr="008E3F5D" w:rsidTr="002B3202">
        <w:tc>
          <w:tcPr>
            <w:tcW w:w="3227" w:type="dxa"/>
          </w:tcPr>
          <w:p w:rsidR="00527467" w:rsidRPr="008E3F5D" w:rsidRDefault="00527467" w:rsidP="002B3202">
            <w:pPr>
              <w:jc w:val="both"/>
              <w:rPr>
                <w:rFonts w:ascii="Arial" w:hAnsi="Arial" w:cs="Arial"/>
                <w:b/>
              </w:rPr>
            </w:pPr>
            <w:r w:rsidRPr="008E3F5D">
              <w:rPr>
                <w:rFonts w:ascii="Arial" w:hAnsi="Arial" w:cs="Arial"/>
                <w:b/>
              </w:rPr>
              <w:t>Author(s)</w:t>
            </w:r>
          </w:p>
        </w:tc>
        <w:tc>
          <w:tcPr>
            <w:tcW w:w="1134" w:type="dxa"/>
          </w:tcPr>
          <w:p w:rsidR="00527467" w:rsidRPr="008E3F5D" w:rsidRDefault="00527467" w:rsidP="002B3202">
            <w:pPr>
              <w:jc w:val="both"/>
              <w:rPr>
                <w:rFonts w:ascii="Arial" w:hAnsi="Arial" w:cs="Arial"/>
                <w:b/>
              </w:rPr>
            </w:pPr>
            <w:r>
              <w:rPr>
                <w:rFonts w:ascii="Arial" w:hAnsi="Arial" w:cs="Arial"/>
                <w:b/>
              </w:rPr>
              <w:t xml:space="preserve">     </w:t>
            </w:r>
            <w:r w:rsidRPr="008E3F5D">
              <w:rPr>
                <w:rFonts w:ascii="Arial" w:hAnsi="Arial" w:cs="Arial"/>
                <w:b/>
              </w:rPr>
              <w:t>X</w:t>
            </w: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 xml:space="preserve">Craig &amp; de </w:t>
            </w:r>
            <w:proofErr w:type="spellStart"/>
            <w:r w:rsidRPr="008E3F5D">
              <w:rPr>
                <w:rFonts w:ascii="Arial" w:hAnsi="Arial" w:cs="Arial"/>
              </w:rPr>
              <w:t>Burca</w:t>
            </w:r>
            <w:proofErr w:type="spellEnd"/>
          </w:p>
        </w:tc>
        <w:tc>
          <w:tcPr>
            <w:tcW w:w="1134" w:type="dxa"/>
          </w:tcPr>
          <w:p w:rsidR="00527467" w:rsidRPr="008E3F5D" w:rsidRDefault="00527467" w:rsidP="002B3202">
            <w:pPr>
              <w:jc w:val="both"/>
              <w:rPr>
                <w:rFonts w:ascii="Arial" w:hAnsi="Arial" w:cs="Arial"/>
                <w:b/>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Weatherill</w:t>
            </w:r>
          </w:p>
        </w:tc>
        <w:tc>
          <w:tcPr>
            <w:tcW w:w="1134" w:type="dxa"/>
          </w:tcPr>
          <w:p w:rsidR="00527467" w:rsidRPr="008E3F5D" w:rsidRDefault="00527467" w:rsidP="002B3202">
            <w:pPr>
              <w:jc w:val="both"/>
              <w:rPr>
                <w:rFonts w:ascii="Arial" w:hAnsi="Arial" w:cs="Arial"/>
                <w:b/>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t>Chalmers &amp; others</w:t>
            </w:r>
          </w:p>
        </w:tc>
        <w:tc>
          <w:tcPr>
            <w:tcW w:w="1134" w:type="dxa"/>
          </w:tcPr>
          <w:p w:rsidR="00527467" w:rsidRPr="008E3F5D" w:rsidRDefault="00527467" w:rsidP="002B3202">
            <w:pPr>
              <w:jc w:val="both"/>
              <w:rPr>
                <w:rFonts w:ascii="Arial" w:hAnsi="Arial" w:cs="Arial"/>
                <w:b/>
              </w:rPr>
            </w:pPr>
          </w:p>
        </w:tc>
      </w:tr>
      <w:tr w:rsidR="00527467" w:rsidRPr="008E3F5D" w:rsidTr="002B3202">
        <w:tc>
          <w:tcPr>
            <w:tcW w:w="3227" w:type="dxa"/>
          </w:tcPr>
          <w:p w:rsidR="00527467" w:rsidRPr="008E3F5D" w:rsidRDefault="00527467" w:rsidP="002B3202">
            <w:pPr>
              <w:jc w:val="both"/>
              <w:rPr>
                <w:rFonts w:ascii="Arial" w:hAnsi="Arial" w:cs="Arial"/>
              </w:rPr>
            </w:pPr>
            <w:r w:rsidRPr="008E3F5D">
              <w:rPr>
                <w:rFonts w:ascii="Arial" w:hAnsi="Arial" w:cs="Arial"/>
              </w:rPr>
              <w:lastRenderedPageBreak/>
              <w:t>Tillotson &amp; Foster</w:t>
            </w:r>
          </w:p>
        </w:tc>
        <w:tc>
          <w:tcPr>
            <w:tcW w:w="1134" w:type="dxa"/>
          </w:tcPr>
          <w:p w:rsidR="00527467" w:rsidRPr="008E3F5D" w:rsidRDefault="00527467" w:rsidP="002B3202">
            <w:pPr>
              <w:jc w:val="both"/>
              <w:rPr>
                <w:rFonts w:ascii="Arial" w:hAnsi="Arial" w:cs="Arial"/>
                <w:b/>
              </w:rPr>
            </w:pPr>
          </w:p>
        </w:tc>
      </w:tr>
      <w:tr w:rsidR="00527467" w:rsidRPr="008E3F5D" w:rsidTr="002B3202">
        <w:tc>
          <w:tcPr>
            <w:tcW w:w="3227" w:type="dxa"/>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tc>
        <w:tc>
          <w:tcPr>
            <w:tcW w:w="1134" w:type="dxa"/>
          </w:tcPr>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t>8</w:t>
      </w:r>
      <w:r w:rsidRPr="008E3F5D">
        <w:rPr>
          <w:rFonts w:ascii="Arial" w:hAnsi="Arial" w:cs="Arial"/>
          <w:b/>
        </w:rPr>
        <w:t>.3 Please identify any specialist textbook(s) you recommend students to buy</w:t>
      </w: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527467" w:rsidRPr="008E3F5D" w:rsidTr="002B3202">
        <w:tc>
          <w:tcPr>
            <w:tcW w:w="8472" w:type="dxa"/>
          </w:tcPr>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br w:type="page"/>
      </w:r>
    </w:p>
    <w:p w:rsidR="00527467" w:rsidRDefault="00527467" w:rsidP="00527467">
      <w:pPr>
        <w:jc w:val="both"/>
        <w:rPr>
          <w:rFonts w:ascii="Arial" w:hAnsi="Arial" w:cs="Arial"/>
          <w:b/>
        </w:rPr>
      </w:pPr>
      <w:r w:rsidRPr="008E3F5D">
        <w:rPr>
          <w:rFonts w:ascii="Arial" w:hAnsi="Arial" w:cs="Arial"/>
          <w:b/>
        </w:rPr>
        <w:lastRenderedPageBreak/>
        <w:t>9.0 The Challenges of Teaching European Union Law</w:t>
      </w:r>
    </w:p>
    <w:p w:rsidR="00527467" w:rsidRPr="008E3F5D" w:rsidRDefault="00527467" w:rsidP="00527467">
      <w:pPr>
        <w:jc w:val="both"/>
        <w:rPr>
          <w:rFonts w:ascii="Arial" w:hAnsi="Arial" w:cs="Arial"/>
          <w:b/>
        </w:rPr>
      </w:pPr>
    </w:p>
    <w:p w:rsidR="00527467" w:rsidRPr="00485E0A" w:rsidRDefault="00527467" w:rsidP="00527467">
      <w:pPr>
        <w:jc w:val="both"/>
        <w:rPr>
          <w:rFonts w:ascii="Arial" w:hAnsi="Arial" w:cs="Arial"/>
        </w:rPr>
      </w:pPr>
      <w:r w:rsidRPr="00485E0A">
        <w:rPr>
          <w:rFonts w:ascii="Arial" w:hAnsi="Arial" w:cs="Arial"/>
        </w:rPr>
        <w:t>In general terms, to what extent does the teaching of European Union law pose particular challenges?  Please indicate which particular challenges apply to your course.  Please give a weighting to each of the selected factors from 1 - 5:</w:t>
      </w:r>
    </w:p>
    <w:p w:rsidR="00527467" w:rsidRPr="00485E0A" w:rsidRDefault="00527467" w:rsidP="00527467">
      <w:pPr>
        <w:jc w:val="both"/>
        <w:rPr>
          <w:rFonts w:ascii="Arial" w:hAnsi="Arial" w:cs="Arial"/>
        </w:rPr>
      </w:pPr>
    </w:p>
    <w:p w:rsidR="00527467" w:rsidRPr="00485E0A" w:rsidRDefault="00527467" w:rsidP="00527467">
      <w:pPr>
        <w:jc w:val="both"/>
        <w:rPr>
          <w:rFonts w:ascii="Arial" w:hAnsi="Arial" w:cs="Arial"/>
        </w:rPr>
      </w:pPr>
      <w:r w:rsidRPr="00485E0A">
        <w:rPr>
          <w:rFonts w:ascii="Arial" w:hAnsi="Arial" w:cs="Arial"/>
        </w:rPr>
        <w:t>1 = not a challenge at all</w:t>
      </w:r>
    </w:p>
    <w:p w:rsidR="00527467" w:rsidRPr="00485E0A" w:rsidRDefault="00527467" w:rsidP="00527467">
      <w:pPr>
        <w:jc w:val="both"/>
        <w:rPr>
          <w:rFonts w:ascii="Arial" w:hAnsi="Arial" w:cs="Arial"/>
        </w:rPr>
      </w:pPr>
      <w:r w:rsidRPr="00485E0A">
        <w:rPr>
          <w:rFonts w:ascii="Arial" w:hAnsi="Arial" w:cs="Arial"/>
        </w:rPr>
        <w:t>2 = a challenge of marginal significance</w:t>
      </w:r>
    </w:p>
    <w:p w:rsidR="00527467" w:rsidRPr="00485E0A" w:rsidRDefault="00527467" w:rsidP="00527467">
      <w:pPr>
        <w:jc w:val="both"/>
        <w:rPr>
          <w:rFonts w:ascii="Arial" w:hAnsi="Arial" w:cs="Arial"/>
        </w:rPr>
      </w:pPr>
      <w:r w:rsidRPr="00485E0A">
        <w:rPr>
          <w:rFonts w:ascii="Arial" w:hAnsi="Arial" w:cs="Arial"/>
        </w:rPr>
        <w:t>3 = a significant or material challenge</w:t>
      </w:r>
    </w:p>
    <w:p w:rsidR="00527467" w:rsidRPr="00485E0A" w:rsidRDefault="00527467" w:rsidP="00527467">
      <w:pPr>
        <w:jc w:val="both"/>
        <w:rPr>
          <w:rFonts w:ascii="Arial" w:hAnsi="Arial" w:cs="Arial"/>
        </w:rPr>
      </w:pPr>
      <w:r w:rsidRPr="00485E0A">
        <w:rPr>
          <w:rFonts w:ascii="Arial" w:hAnsi="Arial" w:cs="Arial"/>
        </w:rPr>
        <w:t>4 = a very difficult challenge</w:t>
      </w:r>
    </w:p>
    <w:p w:rsidR="00527467" w:rsidRPr="00485E0A" w:rsidRDefault="00527467" w:rsidP="00527467">
      <w:pPr>
        <w:jc w:val="both"/>
        <w:rPr>
          <w:rFonts w:ascii="Arial" w:hAnsi="Arial" w:cs="Arial"/>
        </w:rPr>
      </w:pPr>
      <w:r w:rsidRPr="00485E0A">
        <w:rPr>
          <w:rFonts w:ascii="Arial" w:hAnsi="Arial" w:cs="Arial"/>
        </w:rPr>
        <w:t>5 = an insurmountable challenge</w:t>
      </w:r>
    </w:p>
    <w:p w:rsidR="00527467" w:rsidRPr="00485E0A" w:rsidRDefault="00527467" w:rsidP="00527467">
      <w:pPr>
        <w:jc w:val="both"/>
        <w:rPr>
          <w:rFonts w:ascii="Arial" w:hAnsi="Arial" w:cs="Arial"/>
        </w:rPr>
      </w:pPr>
    </w:p>
    <w:p w:rsidR="00527467" w:rsidRPr="00485E0A" w:rsidRDefault="00527467" w:rsidP="00527467">
      <w:pPr>
        <w:jc w:val="both"/>
        <w:rPr>
          <w:rFonts w:ascii="Arial" w:hAnsi="Arial" w:cs="Arial"/>
        </w:rPr>
      </w:pPr>
      <w:r w:rsidRPr="00485E0A">
        <w:rPr>
          <w:rFonts w:ascii="Arial" w:hAnsi="Arial" w:cs="Arial"/>
        </w:rPr>
        <w:t>In addition, please indicate whether you consider that any of the challenges are unique to EU law as a subject.</w:t>
      </w:r>
    </w:p>
    <w:p w:rsidR="00527467" w:rsidRPr="00485E0A" w:rsidRDefault="00527467" w:rsidP="00527467">
      <w:pPr>
        <w:jc w:val="both"/>
        <w:rPr>
          <w:rFonts w:ascii="Arial" w:hAnsi="Arial"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126"/>
        <w:gridCol w:w="1417"/>
      </w:tblGrid>
      <w:tr w:rsidR="00527467" w:rsidRPr="008E3F5D" w:rsidTr="002B3202">
        <w:tc>
          <w:tcPr>
            <w:tcW w:w="5070" w:type="dxa"/>
          </w:tcPr>
          <w:p w:rsidR="00527467" w:rsidRPr="008E3F5D" w:rsidRDefault="00527467" w:rsidP="002B3202">
            <w:pPr>
              <w:jc w:val="both"/>
              <w:rPr>
                <w:rFonts w:ascii="Arial" w:hAnsi="Arial" w:cs="Arial"/>
                <w:b/>
              </w:rPr>
            </w:pPr>
            <w:r w:rsidRPr="008E3F5D">
              <w:rPr>
                <w:rFonts w:ascii="Arial" w:hAnsi="Arial" w:cs="Arial"/>
                <w:b/>
              </w:rPr>
              <w:t xml:space="preserve">Challenges of teaching EU law  </w:t>
            </w:r>
          </w:p>
        </w:tc>
        <w:tc>
          <w:tcPr>
            <w:tcW w:w="2126" w:type="dxa"/>
          </w:tcPr>
          <w:p w:rsidR="00527467" w:rsidRPr="008E3F5D" w:rsidRDefault="00527467" w:rsidP="002B3202">
            <w:pPr>
              <w:jc w:val="both"/>
              <w:rPr>
                <w:rFonts w:ascii="Arial" w:hAnsi="Arial" w:cs="Arial"/>
                <w:b/>
              </w:rPr>
            </w:pPr>
            <w:r>
              <w:rPr>
                <w:rFonts w:ascii="Arial" w:hAnsi="Arial" w:cs="Arial"/>
                <w:b/>
              </w:rPr>
              <w:t xml:space="preserve">    </w:t>
            </w:r>
            <w:r w:rsidRPr="008E3F5D">
              <w:rPr>
                <w:rFonts w:ascii="Arial" w:hAnsi="Arial" w:cs="Arial"/>
                <w:b/>
              </w:rPr>
              <w:t>Weighting</w:t>
            </w:r>
          </w:p>
          <w:p w:rsidR="00527467" w:rsidRPr="008E3F5D" w:rsidRDefault="00527467" w:rsidP="002B3202">
            <w:pPr>
              <w:jc w:val="center"/>
              <w:rPr>
                <w:rFonts w:ascii="Arial" w:hAnsi="Arial" w:cs="Arial"/>
                <w:b/>
              </w:rPr>
            </w:pPr>
            <w:r w:rsidRPr="008E3F5D">
              <w:rPr>
                <w:rFonts w:ascii="Arial" w:hAnsi="Arial" w:cs="Arial"/>
                <w:b/>
              </w:rPr>
              <w:t>1 - 5</w:t>
            </w:r>
          </w:p>
        </w:tc>
        <w:tc>
          <w:tcPr>
            <w:tcW w:w="1417" w:type="dxa"/>
          </w:tcPr>
          <w:p w:rsidR="00527467" w:rsidRPr="008E3F5D" w:rsidRDefault="00527467" w:rsidP="002B3202">
            <w:pPr>
              <w:jc w:val="center"/>
              <w:rPr>
                <w:rFonts w:ascii="Arial" w:hAnsi="Arial" w:cs="Arial"/>
                <w:b/>
              </w:rPr>
            </w:pPr>
            <w:r w:rsidRPr="008E3F5D">
              <w:rPr>
                <w:rFonts w:ascii="Arial" w:hAnsi="Arial" w:cs="Arial"/>
                <w:b/>
              </w:rPr>
              <w:t>Unique?    X</w:t>
            </w: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Students find it difficult to understand civil law reasoning</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Students resent having to study EU law</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 xml:space="preserve">The </w:t>
            </w:r>
            <w:smartTag w:uri="urn:schemas-microsoft-com:office:smarttags" w:element="country-region">
              <w:smartTag w:uri="urn:schemas-microsoft-com:office:smarttags" w:element="place">
                <w:r w:rsidRPr="008E3F5D">
                  <w:rPr>
                    <w:rFonts w:ascii="Arial" w:hAnsi="Arial" w:cs="Arial"/>
                  </w:rPr>
                  <w:t>UK</w:t>
                </w:r>
              </w:smartTag>
            </w:smartTag>
            <w:r w:rsidRPr="008E3F5D">
              <w:rPr>
                <w:rFonts w:ascii="Arial" w:hAnsi="Arial" w:cs="Arial"/>
              </w:rPr>
              <w:t xml:space="preserve"> media are critical</w:t>
            </w:r>
            <w:r>
              <w:rPr>
                <w:rFonts w:ascii="Arial" w:hAnsi="Arial" w:cs="Arial"/>
              </w:rPr>
              <w:t xml:space="preserve"> </w:t>
            </w:r>
            <w:r w:rsidRPr="008E3F5D">
              <w:rPr>
                <w:rFonts w:ascii="Arial" w:hAnsi="Arial" w:cs="Arial"/>
              </w:rPr>
              <w:t>of  the EU</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Students consider EU law to be distant from their own experience</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There is excessive technical detail</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To understand EU law fully it is necessary to understand the historical and political contexts</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rPr>
                <w:rFonts w:ascii="Arial" w:hAnsi="Arial" w:cs="Arial"/>
              </w:rPr>
            </w:pPr>
            <w:r w:rsidRPr="008E3F5D">
              <w:rPr>
                <w:rFonts w:ascii="Arial" w:hAnsi="Arial" w:cs="Arial"/>
              </w:rPr>
              <w:t>To understand EU law fully it is helpful to have an understanding of economics</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It is very difficult for teachers to keep up to date, given the bulk of material</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 xml:space="preserve">Because of the breadth of the subject, it is difficult </w:t>
            </w:r>
            <w:r w:rsidRPr="008E3F5D">
              <w:rPr>
                <w:rFonts w:ascii="Arial" w:hAnsi="Arial" w:cs="Arial"/>
              </w:rPr>
              <w:lastRenderedPageBreak/>
              <w:t>to select course content</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lastRenderedPageBreak/>
              <w:t>Students cannot remember names of the cases because they are foreign to them</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rPr>
            </w:pPr>
            <w:r w:rsidRPr="008E3F5D">
              <w:rPr>
                <w:rFonts w:ascii="Arial" w:hAnsi="Arial" w:cs="Arial"/>
              </w:rPr>
              <w:t>Students perceive EU law as a subject separate from all other core subjects</w:t>
            </w: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r w:rsidR="00527467" w:rsidRPr="008E3F5D" w:rsidTr="002B3202">
        <w:tc>
          <w:tcPr>
            <w:tcW w:w="5070" w:type="dxa"/>
          </w:tcPr>
          <w:p w:rsidR="00527467" w:rsidRPr="008E3F5D" w:rsidRDefault="00527467" w:rsidP="002B3202">
            <w:pPr>
              <w:jc w:val="both"/>
              <w:rPr>
                <w:rFonts w:ascii="Arial" w:hAnsi="Arial" w:cs="Arial"/>
                <w:i/>
              </w:rPr>
            </w:pPr>
            <w:r w:rsidRPr="008E3F5D">
              <w:rPr>
                <w:rFonts w:ascii="Arial" w:hAnsi="Arial" w:cs="Arial"/>
              </w:rPr>
              <w:t>Other (</w:t>
            </w:r>
            <w:r w:rsidRPr="008E3F5D">
              <w:rPr>
                <w:rFonts w:ascii="Arial" w:hAnsi="Arial" w:cs="Arial"/>
                <w:i/>
              </w:rPr>
              <w:t>please specify)</w:t>
            </w: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p w:rsidR="00527467" w:rsidRPr="008E3F5D" w:rsidRDefault="00527467" w:rsidP="002B3202">
            <w:pPr>
              <w:jc w:val="both"/>
              <w:rPr>
                <w:rFonts w:ascii="Arial" w:hAnsi="Arial" w:cs="Arial"/>
                <w:i/>
              </w:rPr>
            </w:pPr>
          </w:p>
        </w:tc>
        <w:tc>
          <w:tcPr>
            <w:tcW w:w="2126" w:type="dxa"/>
          </w:tcPr>
          <w:p w:rsidR="00527467" w:rsidRPr="008E3F5D" w:rsidRDefault="00527467" w:rsidP="002B3202">
            <w:pPr>
              <w:jc w:val="both"/>
              <w:rPr>
                <w:rFonts w:ascii="Arial" w:hAnsi="Arial" w:cs="Arial"/>
                <w:b/>
              </w:rPr>
            </w:pPr>
          </w:p>
        </w:tc>
        <w:tc>
          <w:tcPr>
            <w:tcW w:w="1417" w:type="dxa"/>
          </w:tcPr>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br w:type="page"/>
      </w:r>
    </w:p>
    <w:p w:rsidR="00527467" w:rsidRPr="008E3F5D" w:rsidRDefault="00527467" w:rsidP="00527467">
      <w:pPr>
        <w:tabs>
          <w:tab w:val="left" w:pos="6180"/>
        </w:tabs>
        <w:jc w:val="both"/>
        <w:rPr>
          <w:rFonts w:ascii="Arial" w:hAnsi="Arial" w:cs="Arial"/>
          <w:b/>
        </w:rPr>
      </w:pPr>
      <w:r w:rsidRPr="008E3F5D">
        <w:rPr>
          <w:rFonts w:ascii="Arial" w:hAnsi="Arial" w:cs="Arial"/>
          <w:b/>
        </w:rPr>
        <w:lastRenderedPageBreak/>
        <w:t>10</w:t>
      </w:r>
      <w:r>
        <w:rPr>
          <w:rFonts w:ascii="Arial" w:hAnsi="Arial" w:cs="Arial"/>
          <w:b/>
        </w:rPr>
        <w:t>.</w:t>
      </w:r>
      <w:r w:rsidRPr="008E3F5D">
        <w:rPr>
          <w:rFonts w:ascii="Arial" w:hAnsi="Arial" w:cs="Arial"/>
          <w:b/>
        </w:rPr>
        <w:t xml:space="preserve"> Assessment Methods.</w:t>
      </w:r>
    </w:p>
    <w:p w:rsidR="00527467" w:rsidRPr="008E3F5D" w:rsidRDefault="00527467" w:rsidP="00527467">
      <w:pPr>
        <w:tabs>
          <w:tab w:val="left" w:pos="6180"/>
        </w:tabs>
        <w:jc w:val="both"/>
        <w:rPr>
          <w:rFonts w:ascii="Arial" w:hAnsi="Arial" w:cs="Arial"/>
          <w:b/>
        </w:rPr>
      </w:pPr>
    </w:p>
    <w:p w:rsidR="00527467" w:rsidRPr="008E3F5D" w:rsidRDefault="00527467" w:rsidP="00527467">
      <w:pPr>
        <w:tabs>
          <w:tab w:val="left" w:pos="6180"/>
        </w:tabs>
        <w:jc w:val="both"/>
        <w:rPr>
          <w:rFonts w:ascii="Arial" w:hAnsi="Arial" w:cs="Arial"/>
          <w:b/>
        </w:rPr>
      </w:pPr>
      <w:r>
        <w:rPr>
          <w:rFonts w:ascii="Arial" w:hAnsi="Arial" w:cs="Arial"/>
          <w:b/>
        </w:rPr>
        <w:t>10.1</w:t>
      </w:r>
    </w:p>
    <w:p w:rsidR="00527467" w:rsidRPr="00E156ED" w:rsidRDefault="00527467" w:rsidP="00527467">
      <w:pPr>
        <w:tabs>
          <w:tab w:val="left" w:pos="6180"/>
        </w:tabs>
        <w:jc w:val="both"/>
        <w:rPr>
          <w:rFonts w:ascii="Arial" w:hAnsi="Arial" w:cs="Arial"/>
        </w:rPr>
      </w:pPr>
      <w:r w:rsidRPr="00E156ED">
        <w:rPr>
          <w:rFonts w:ascii="Arial" w:hAnsi="Arial" w:cs="Arial"/>
        </w:rPr>
        <w:t xml:space="preserve">Please indicate which formal assessment methods are used and also indicate the percentage of the final mark which is allocated to each method.  </w:t>
      </w:r>
    </w:p>
    <w:p w:rsidR="00527467" w:rsidRPr="008E3F5D" w:rsidRDefault="00527467" w:rsidP="00527467">
      <w:pPr>
        <w:tabs>
          <w:tab w:val="left" w:pos="6180"/>
        </w:tabs>
        <w:jc w:val="both"/>
        <w:rPr>
          <w:rFonts w:ascii="Arial" w:hAnsi="Arial" w:cs="Arial"/>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701"/>
      </w:tblGrid>
      <w:tr w:rsidR="00527467" w:rsidRPr="008E3F5D" w:rsidTr="002B3202">
        <w:tc>
          <w:tcPr>
            <w:tcW w:w="5637" w:type="dxa"/>
          </w:tcPr>
          <w:p w:rsidR="00527467" w:rsidRPr="008E3F5D" w:rsidRDefault="00527467" w:rsidP="002B3202">
            <w:pPr>
              <w:pStyle w:val="Heading1"/>
              <w:rPr>
                <w:rFonts w:ascii="Arial" w:hAnsi="Arial" w:cs="Arial"/>
              </w:rPr>
            </w:pPr>
            <w:r w:rsidRPr="008E3F5D">
              <w:rPr>
                <w:rFonts w:ascii="Arial" w:hAnsi="Arial" w:cs="Arial"/>
              </w:rPr>
              <w:t>Assessment method</w:t>
            </w:r>
          </w:p>
        </w:tc>
        <w:tc>
          <w:tcPr>
            <w:tcW w:w="1275" w:type="dxa"/>
          </w:tcPr>
          <w:p w:rsidR="00527467" w:rsidRPr="008E3F5D" w:rsidRDefault="00527467" w:rsidP="002B3202">
            <w:pPr>
              <w:pStyle w:val="Heading1"/>
              <w:rPr>
                <w:rFonts w:ascii="Arial" w:hAnsi="Arial" w:cs="Arial"/>
              </w:rPr>
            </w:pPr>
            <w:r w:rsidRPr="008E3F5D">
              <w:rPr>
                <w:rFonts w:ascii="Arial" w:hAnsi="Arial" w:cs="Arial"/>
              </w:rPr>
              <w:t xml:space="preserve">    X    </w:t>
            </w:r>
          </w:p>
        </w:tc>
        <w:tc>
          <w:tcPr>
            <w:tcW w:w="1701" w:type="dxa"/>
          </w:tcPr>
          <w:p w:rsidR="00527467" w:rsidRPr="008E3F5D" w:rsidRDefault="00527467" w:rsidP="002B3202">
            <w:pPr>
              <w:tabs>
                <w:tab w:val="left" w:pos="6180"/>
              </w:tabs>
              <w:rPr>
                <w:rFonts w:ascii="Arial" w:hAnsi="Arial" w:cs="Arial"/>
                <w:b/>
              </w:rPr>
            </w:pPr>
            <w:r w:rsidRPr="008E3F5D">
              <w:rPr>
                <w:rFonts w:ascii="Arial" w:hAnsi="Arial" w:cs="Arial"/>
                <w:b/>
              </w:rPr>
              <w:t>% of marks</w:t>
            </w: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Formal examinations – essay questions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Formal examinations – problem questions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Coursework essays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Coursework problem questions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Dissertation</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Oral presentation</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Reflective logs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Portfolio/progress file</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Group work</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Computer-based assessment</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Multiple choice questions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Peer assessment</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Library-based projects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Reports from clinical/practice-based activities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Poster presentations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proofErr w:type="spellStart"/>
            <w:r w:rsidRPr="008E3F5D">
              <w:rPr>
                <w:rFonts w:ascii="Arial" w:hAnsi="Arial" w:cs="Arial"/>
                <w:bCs/>
              </w:rPr>
              <w:t>Self assessment</w:t>
            </w:r>
            <w:proofErr w:type="spellEnd"/>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rPr>
            </w:pPr>
            <w:r w:rsidRPr="008E3F5D">
              <w:rPr>
                <w:rFonts w:ascii="Arial" w:hAnsi="Arial" w:cs="Arial"/>
              </w:rPr>
              <w:t>Seminar preparation/notes/reports</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Skills-based activities (e</w:t>
            </w:r>
            <w:r>
              <w:rPr>
                <w:rFonts w:ascii="Arial" w:hAnsi="Arial" w:cs="Arial"/>
                <w:bCs/>
              </w:rPr>
              <w:t>.</w:t>
            </w:r>
            <w:r w:rsidRPr="008E3F5D">
              <w:rPr>
                <w:rFonts w:ascii="Arial" w:hAnsi="Arial" w:cs="Arial"/>
                <w:bCs/>
              </w:rPr>
              <w:t>g</w:t>
            </w:r>
            <w:r>
              <w:rPr>
                <w:rFonts w:ascii="Arial" w:hAnsi="Arial" w:cs="Arial"/>
                <w:bCs/>
              </w:rPr>
              <w:t>.</w:t>
            </w:r>
            <w:r w:rsidRPr="008E3F5D">
              <w:rPr>
                <w:rFonts w:ascii="Arial" w:hAnsi="Arial" w:cs="Arial"/>
                <w:bCs/>
              </w:rPr>
              <w:t xml:space="preserve"> negotiation)</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rPr>
            </w:pPr>
            <w:r w:rsidRPr="008E3F5D">
              <w:rPr>
                <w:rFonts w:ascii="Arial" w:hAnsi="Arial" w:cs="Arial"/>
                <w:bCs/>
              </w:rPr>
              <w:t>Mooting</w:t>
            </w: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r w:rsidR="00527467" w:rsidRPr="008E3F5D" w:rsidTr="002B3202">
        <w:tc>
          <w:tcPr>
            <w:tcW w:w="5637" w:type="dxa"/>
          </w:tcPr>
          <w:p w:rsidR="00527467" w:rsidRPr="008E3F5D" w:rsidRDefault="00527467" w:rsidP="002B3202">
            <w:pPr>
              <w:tabs>
                <w:tab w:val="left" w:pos="6180"/>
              </w:tabs>
              <w:jc w:val="both"/>
              <w:rPr>
                <w:rFonts w:ascii="Arial" w:hAnsi="Arial" w:cs="Arial"/>
                <w:bCs/>
                <w:i/>
                <w:iCs/>
              </w:rPr>
            </w:pPr>
            <w:r w:rsidRPr="008E3F5D">
              <w:rPr>
                <w:rFonts w:ascii="Arial" w:hAnsi="Arial" w:cs="Arial"/>
                <w:bCs/>
              </w:rPr>
              <w:t>Other (</w:t>
            </w:r>
            <w:r w:rsidRPr="008E3F5D">
              <w:rPr>
                <w:rFonts w:ascii="Arial" w:hAnsi="Arial" w:cs="Arial"/>
                <w:bCs/>
                <w:i/>
                <w:iCs/>
              </w:rPr>
              <w:t>please specify)</w:t>
            </w:r>
          </w:p>
          <w:p w:rsidR="00527467" w:rsidRPr="008E3F5D" w:rsidRDefault="00527467" w:rsidP="002B3202">
            <w:pPr>
              <w:tabs>
                <w:tab w:val="left" w:pos="6180"/>
              </w:tabs>
              <w:jc w:val="both"/>
              <w:rPr>
                <w:rFonts w:ascii="Arial" w:hAnsi="Arial" w:cs="Arial"/>
                <w:bCs/>
                <w:i/>
                <w:iCs/>
              </w:rPr>
            </w:pPr>
          </w:p>
          <w:p w:rsidR="00527467" w:rsidRPr="008E3F5D" w:rsidRDefault="00527467" w:rsidP="002B3202">
            <w:pPr>
              <w:tabs>
                <w:tab w:val="left" w:pos="6180"/>
              </w:tabs>
              <w:jc w:val="both"/>
              <w:rPr>
                <w:rFonts w:ascii="Arial" w:hAnsi="Arial" w:cs="Arial"/>
                <w:bCs/>
                <w:i/>
                <w:iCs/>
              </w:rPr>
            </w:pPr>
          </w:p>
          <w:p w:rsidR="00527467" w:rsidRPr="008E3F5D" w:rsidRDefault="00527467" w:rsidP="002B3202">
            <w:pPr>
              <w:tabs>
                <w:tab w:val="left" w:pos="6180"/>
              </w:tabs>
              <w:jc w:val="both"/>
              <w:rPr>
                <w:rFonts w:ascii="Arial" w:hAnsi="Arial" w:cs="Arial"/>
                <w:bCs/>
                <w:i/>
                <w:iCs/>
              </w:rPr>
            </w:pPr>
          </w:p>
        </w:tc>
        <w:tc>
          <w:tcPr>
            <w:tcW w:w="1275" w:type="dxa"/>
          </w:tcPr>
          <w:p w:rsidR="00527467" w:rsidRPr="008E3F5D" w:rsidRDefault="00527467" w:rsidP="002B3202">
            <w:pPr>
              <w:tabs>
                <w:tab w:val="left" w:pos="6180"/>
              </w:tabs>
              <w:jc w:val="both"/>
              <w:rPr>
                <w:rFonts w:ascii="Arial" w:hAnsi="Arial" w:cs="Arial"/>
                <w:b/>
              </w:rPr>
            </w:pPr>
          </w:p>
        </w:tc>
        <w:tc>
          <w:tcPr>
            <w:tcW w:w="1701" w:type="dxa"/>
          </w:tcPr>
          <w:p w:rsidR="00527467" w:rsidRPr="008E3F5D" w:rsidRDefault="00527467" w:rsidP="002B3202">
            <w:pPr>
              <w:tabs>
                <w:tab w:val="left" w:pos="6180"/>
              </w:tabs>
              <w:jc w:val="both"/>
              <w:rPr>
                <w:rFonts w:ascii="Arial" w:hAnsi="Arial" w:cs="Arial"/>
                <w:b/>
              </w:rPr>
            </w:pPr>
          </w:p>
        </w:tc>
      </w:tr>
    </w:tbl>
    <w:p w:rsidR="00527467" w:rsidRDefault="00527467" w:rsidP="00527467">
      <w:pPr>
        <w:tabs>
          <w:tab w:val="left" w:pos="6180"/>
        </w:tabs>
        <w:jc w:val="both"/>
        <w:rPr>
          <w:rFonts w:ascii="Arial" w:hAnsi="Arial" w:cs="Arial"/>
          <w:b/>
        </w:rPr>
      </w:pPr>
    </w:p>
    <w:p w:rsidR="00527467" w:rsidRDefault="00527467" w:rsidP="00527467">
      <w:pPr>
        <w:tabs>
          <w:tab w:val="left" w:pos="6180"/>
        </w:tabs>
        <w:jc w:val="both"/>
        <w:rPr>
          <w:rFonts w:ascii="Arial" w:hAnsi="Arial" w:cs="Arial"/>
          <w:b/>
        </w:rPr>
      </w:pPr>
      <w:r>
        <w:rPr>
          <w:rFonts w:ascii="Arial" w:hAnsi="Arial" w:cs="Arial"/>
          <w:b/>
        </w:rPr>
        <w:t>10.2</w:t>
      </w:r>
    </w:p>
    <w:p w:rsidR="00527467" w:rsidRPr="00052044" w:rsidRDefault="00527467" w:rsidP="00527467">
      <w:pPr>
        <w:tabs>
          <w:tab w:val="left" w:pos="6180"/>
        </w:tabs>
        <w:jc w:val="both"/>
        <w:rPr>
          <w:rFonts w:ascii="Arial" w:hAnsi="Arial" w:cs="Arial"/>
        </w:rPr>
      </w:pPr>
      <w:r w:rsidRPr="00052044">
        <w:rPr>
          <w:rFonts w:ascii="Arial" w:hAnsi="Arial" w:cs="Arial"/>
        </w:rPr>
        <w:t>Do you use any of the above methods for informal (formative) assessment of student performance and feedback? (Please indicate.)</w:t>
      </w:r>
    </w:p>
    <w:p w:rsidR="00527467" w:rsidRPr="00052044" w:rsidRDefault="00527467" w:rsidP="00527467">
      <w:pPr>
        <w:tabs>
          <w:tab w:val="left" w:pos="6180"/>
        </w:tabs>
        <w:jc w:val="both"/>
        <w:rPr>
          <w:rFonts w:ascii="Arial" w:hAnsi="Arial" w:cs="Arial"/>
        </w:rPr>
      </w:pPr>
    </w:p>
    <w:p w:rsidR="00527467" w:rsidRPr="00052044" w:rsidRDefault="00527467" w:rsidP="00527467">
      <w:pPr>
        <w:tabs>
          <w:tab w:val="left" w:pos="6180"/>
        </w:tabs>
        <w:jc w:val="both"/>
        <w:rPr>
          <w:rFonts w:ascii="Arial" w:hAnsi="Arial" w:cs="Arial"/>
        </w:rPr>
      </w:pPr>
      <w:r w:rsidRPr="00052044">
        <w:rPr>
          <w:rFonts w:ascii="Arial" w:hAnsi="Arial" w:cs="Arial"/>
        </w:rPr>
        <w:t>Yes                                        No</w:t>
      </w:r>
    </w:p>
    <w:p w:rsidR="00527467" w:rsidRPr="00052044" w:rsidRDefault="00527467" w:rsidP="00527467">
      <w:pPr>
        <w:tabs>
          <w:tab w:val="left" w:pos="6180"/>
        </w:tabs>
        <w:jc w:val="both"/>
        <w:rPr>
          <w:rFonts w:ascii="Arial" w:hAnsi="Arial" w:cs="Arial"/>
        </w:rPr>
      </w:pPr>
    </w:p>
    <w:p w:rsidR="00527467" w:rsidRPr="00052044" w:rsidRDefault="00527467" w:rsidP="00527467">
      <w:pPr>
        <w:jc w:val="both"/>
        <w:rPr>
          <w:rFonts w:ascii="Arial" w:hAnsi="Arial" w:cs="Arial"/>
        </w:rPr>
      </w:pPr>
      <w:r w:rsidRPr="00052044">
        <w:rPr>
          <w:rFonts w:ascii="Arial" w:hAnsi="Arial" w:cs="Arial"/>
        </w:rPr>
        <w:t xml:space="preserve">Please specify </w:t>
      </w:r>
      <w:proofErr w:type="gramStart"/>
      <w:r w:rsidRPr="00052044">
        <w:rPr>
          <w:rFonts w:ascii="Arial" w:hAnsi="Arial" w:cs="Arial"/>
        </w:rPr>
        <w:t>these  methods</w:t>
      </w:r>
      <w:proofErr w:type="gramEnd"/>
      <w:r w:rsidRPr="00052044">
        <w:rPr>
          <w:rFonts w:ascii="Arial" w:hAnsi="Arial" w:cs="Arial"/>
        </w:rPr>
        <w:t xml:space="preserve"> below.</w:t>
      </w:r>
    </w:p>
    <w:p w:rsidR="00527467" w:rsidRPr="008E3F5D" w:rsidRDefault="00527467" w:rsidP="00527467">
      <w:pPr>
        <w:tabs>
          <w:tab w:val="left" w:pos="6180"/>
        </w:tabs>
        <w:jc w:val="both"/>
        <w:rPr>
          <w:rFonts w:ascii="Arial" w:hAnsi="Arial" w:cs="Arial"/>
          <w:b/>
        </w:rPr>
      </w:pPr>
      <w:r w:rsidRPr="00052044">
        <w:rPr>
          <w:rFonts w:ascii="Arial" w:hAnsi="Arial" w:cs="Arial"/>
        </w:rPr>
        <w:tab/>
      </w:r>
    </w:p>
    <w:p w:rsidR="00527467" w:rsidRPr="008E3F5D"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8522"/>
      </w:tblGrid>
      <w:tr w:rsidR="00527467" w:rsidTr="002B3202">
        <w:tc>
          <w:tcPr>
            <w:tcW w:w="8522" w:type="dxa"/>
          </w:tcPr>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t>11</w:t>
      </w:r>
      <w:proofErr w:type="gramStart"/>
      <w:r>
        <w:rPr>
          <w:rFonts w:ascii="Arial" w:hAnsi="Arial" w:cs="Arial"/>
          <w:b/>
        </w:rPr>
        <w:t>.</w:t>
      </w:r>
      <w:r w:rsidRPr="008E3F5D">
        <w:rPr>
          <w:rFonts w:ascii="Arial" w:hAnsi="Arial" w:cs="Arial"/>
          <w:b/>
        </w:rPr>
        <w:t>Course</w:t>
      </w:r>
      <w:proofErr w:type="gramEnd"/>
      <w:r w:rsidRPr="008E3F5D">
        <w:rPr>
          <w:rFonts w:ascii="Arial" w:hAnsi="Arial" w:cs="Arial"/>
          <w:b/>
        </w:rPr>
        <w:t xml:space="preserve"> Evaluation</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74725B" w:rsidRDefault="00527467" w:rsidP="00527467">
      <w:pPr>
        <w:ind w:left="540"/>
        <w:jc w:val="both"/>
        <w:rPr>
          <w:rFonts w:ascii="Arial" w:hAnsi="Arial" w:cs="Arial"/>
        </w:rPr>
      </w:pPr>
      <w:r w:rsidRPr="0074725B">
        <w:rPr>
          <w:rFonts w:ascii="Arial" w:hAnsi="Arial" w:cs="Arial"/>
        </w:rPr>
        <w:t>How do you evaluate your courses?  Which methods of evaluation provide the best feedback?</w:t>
      </w:r>
    </w:p>
    <w:p w:rsidR="00527467" w:rsidRPr="0074725B" w:rsidRDefault="00527467" w:rsidP="00527467">
      <w:pPr>
        <w:ind w:left="540"/>
        <w:jc w:val="both"/>
        <w:rPr>
          <w:rFonts w:ascii="Arial" w:hAnsi="Arial" w:cs="Arial"/>
        </w:rPr>
      </w:pPr>
    </w:p>
    <w:p w:rsidR="00527467" w:rsidRPr="0074725B" w:rsidRDefault="00527467" w:rsidP="00527467">
      <w:pPr>
        <w:ind w:left="540"/>
        <w:jc w:val="both"/>
        <w:rPr>
          <w:rFonts w:ascii="Arial" w:hAnsi="Arial" w:cs="Arial"/>
        </w:rPr>
      </w:pPr>
      <w:r w:rsidRPr="0074725B">
        <w:rPr>
          <w:rFonts w:ascii="Arial" w:hAnsi="Arial" w:cs="Arial"/>
        </w:rPr>
        <w:t>Please give a weighting to each of the selected evaluation methods from 1 – 5, for example:</w:t>
      </w:r>
    </w:p>
    <w:p w:rsidR="00527467" w:rsidRPr="0074725B" w:rsidRDefault="00527467" w:rsidP="00527467">
      <w:pPr>
        <w:ind w:left="540"/>
        <w:jc w:val="both"/>
        <w:rPr>
          <w:rFonts w:ascii="Arial" w:hAnsi="Arial" w:cs="Arial"/>
        </w:rPr>
      </w:pPr>
    </w:p>
    <w:p w:rsidR="00527467" w:rsidRPr="0074725B" w:rsidRDefault="00527467" w:rsidP="00527467">
      <w:pPr>
        <w:numPr>
          <w:ilvl w:val="0"/>
          <w:numId w:val="31"/>
        </w:numPr>
        <w:spacing w:after="0" w:line="240" w:lineRule="auto"/>
        <w:jc w:val="both"/>
        <w:rPr>
          <w:rFonts w:ascii="Arial" w:hAnsi="Arial" w:cs="Arial"/>
        </w:rPr>
      </w:pPr>
      <w:r w:rsidRPr="0074725B">
        <w:rPr>
          <w:rFonts w:ascii="Arial" w:hAnsi="Arial" w:cs="Arial"/>
        </w:rPr>
        <w:t>=  a poor method;</w:t>
      </w:r>
    </w:p>
    <w:p w:rsidR="00527467" w:rsidRPr="0074725B" w:rsidRDefault="00527467" w:rsidP="00527467">
      <w:pPr>
        <w:numPr>
          <w:ilvl w:val="0"/>
          <w:numId w:val="31"/>
        </w:numPr>
        <w:spacing w:after="0" w:line="240" w:lineRule="auto"/>
        <w:jc w:val="both"/>
        <w:rPr>
          <w:rFonts w:ascii="Arial" w:hAnsi="Arial" w:cs="Arial"/>
        </w:rPr>
      </w:pPr>
      <w:r w:rsidRPr="0074725B">
        <w:rPr>
          <w:rFonts w:ascii="Arial" w:hAnsi="Arial" w:cs="Arial"/>
        </w:rPr>
        <w:lastRenderedPageBreak/>
        <w:t>=  a method which has some value;</w:t>
      </w:r>
    </w:p>
    <w:p w:rsidR="00527467" w:rsidRPr="0074725B" w:rsidRDefault="00527467" w:rsidP="00527467">
      <w:pPr>
        <w:numPr>
          <w:ilvl w:val="0"/>
          <w:numId w:val="31"/>
        </w:numPr>
        <w:spacing w:after="0" w:line="240" w:lineRule="auto"/>
        <w:jc w:val="both"/>
        <w:rPr>
          <w:rFonts w:ascii="Arial" w:hAnsi="Arial" w:cs="Arial"/>
        </w:rPr>
      </w:pPr>
      <w:r w:rsidRPr="0074725B">
        <w:rPr>
          <w:rFonts w:ascii="Arial" w:hAnsi="Arial" w:cs="Arial"/>
        </w:rPr>
        <w:t>=  a method which has a reasonable value;</w:t>
      </w:r>
    </w:p>
    <w:p w:rsidR="00527467" w:rsidRPr="0074725B" w:rsidRDefault="00527467" w:rsidP="00527467">
      <w:pPr>
        <w:numPr>
          <w:ilvl w:val="0"/>
          <w:numId w:val="31"/>
        </w:numPr>
        <w:spacing w:after="0" w:line="240" w:lineRule="auto"/>
        <w:jc w:val="both"/>
        <w:rPr>
          <w:rFonts w:ascii="Arial" w:hAnsi="Arial" w:cs="Arial"/>
        </w:rPr>
      </w:pPr>
      <w:r w:rsidRPr="0074725B">
        <w:rPr>
          <w:rFonts w:ascii="Arial" w:hAnsi="Arial" w:cs="Arial"/>
        </w:rPr>
        <w:t>=  a method which is very valuable;</w:t>
      </w:r>
    </w:p>
    <w:p w:rsidR="00527467" w:rsidRPr="0074725B" w:rsidRDefault="00527467" w:rsidP="00527467">
      <w:pPr>
        <w:numPr>
          <w:ilvl w:val="0"/>
          <w:numId w:val="31"/>
        </w:numPr>
        <w:spacing w:after="0" w:line="240" w:lineRule="auto"/>
        <w:jc w:val="both"/>
        <w:rPr>
          <w:rFonts w:ascii="Arial" w:hAnsi="Arial" w:cs="Arial"/>
        </w:rPr>
      </w:pPr>
      <w:proofErr w:type="gramStart"/>
      <w:r w:rsidRPr="0074725B">
        <w:rPr>
          <w:rFonts w:ascii="Arial" w:hAnsi="Arial" w:cs="Arial"/>
        </w:rPr>
        <w:t>=  a</w:t>
      </w:r>
      <w:proofErr w:type="gramEnd"/>
      <w:r w:rsidRPr="0074725B">
        <w:rPr>
          <w:rFonts w:ascii="Arial" w:hAnsi="Arial" w:cs="Arial"/>
        </w:rPr>
        <w:t xml:space="preserve"> method which is essential.</w:t>
      </w:r>
    </w:p>
    <w:p w:rsidR="00527467" w:rsidRPr="0074725B" w:rsidRDefault="00527467" w:rsidP="00527467">
      <w:pPr>
        <w:jc w:val="both"/>
        <w:rPr>
          <w:rFonts w:ascii="Arial" w:hAnsi="Arial"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037"/>
        <w:gridCol w:w="2932"/>
      </w:tblGrid>
      <w:tr w:rsidR="00527467" w:rsidRPr="008E3F5D" w:rsidTr="002B3202">
        <w:tc>
          <w:tcPr>
            <w:tcW w:w="4644" w:type="dxa"/>
          </w:tcPr>
          <w:p w:rsidR="00527467" w:rsidRDefault="00527467" w:rsidP="002B3202">
            <w:pPr>
              <w:pStyle w:val="Heading1"/>
              <w:tabs>
                <w:tab w:val="clear" w:pos="6180"/>
              </w:tabs>
              <w:rPr>
                <w:rFonts w:ascii="Arial" w:hAnsi="Arial" w:cs="Arial"/>
              </w:rPr>
            </w:pPr>
            <w:r w:rsidRPr="008E3F5D">
              <w:rPr>
                <w:rFonts w:ascii="Arial" w:hAnsi="Arial" w:cs="Arial"/>
              </w:rPr>
              <w:t>Evaluation method</w:t>
            </w:r>
          </w:p>
          <w:p w:rsidR="00527467" w:rsidRPr="0074725B" w:rsidRDefault="00527467" w:rsidP="002B3202"/>
        </w:tc>
        <w:tc>
          <w:tcPr>
            <w:tcW w:w="1037" w:type="dxa"/>
          </w:tcPr>
          <w:p w:rsidR="00527467" w:rsidRPr="008E3F5D" w:rsidRDefault="00527467" w:rsidP="002B3202">
            <w:pPr>
              <w:jc w:val="both"/>
              <w:rPr>
                <w:rFonts w:ascii="Arial" w:hAnsi="Arial" w:cs="Arial"/>
                <w:b/>
              </w:rPr>
            </w:pPr>
            <w:r w:rsidRPr="008E3F5D">
              <w:rPr>
                <w:rFonts w:ascii="Arial" w:hAnsi="Arial" w:cs="Arial"/>
                <w:b/>
              </w:rPr>
              <w:t xml:space="preserve">     X</w:t>
            </w:r>
          </w:p>
        </w:tc>
        <w:tc>
          <w:tcPr>
            <w:tcW w:w="2932" w:type="dxa"/>
          </w:tcPr>
          <w:p w:rsidR="00527467" w:rsidRPr="008E3F5D" w:rsidRDefault="00527467" w:rsidP="002B3202">
            <w:pPr>
              <w:jc w:val="both"/>
              <w:rPr>
                <w:rFonts w:ascii="Arial" w:hAnsi="Arial" w:cs="Arial"/>
                <w:b/>
              </w:rPr>
            </w:pPr>
            <w:r w:rsidRPr="008E3F5D">
              <w:rPr>
                <w:rFonts w:ascii="Arial" w:hAnsi="Arial" w:cs="Arial"/>
                <w:b/>
              </w:rPr>
              <w:t>Weighting  (1 – 5)</w:t>
            </w: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Student questionnaires</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External examiners’ reports</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Peer review by EU law tutors</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Peer review within your department</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Peer review outside your department</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rPr>
            </w:pPr>
            <w:r w:rsidRPr="008E3F5D">
              <w:rPr>
                <w:rFonts w:ascii="Arial" w:hAnsi="Arial" w:cs="Arial"/>
                <w:bCs/>
              </w:rPr>
              <w:t>Interviews with students</w:t>
            </w:r>
          </w:p>
          <w:p w:rsidR="00527467" w:rsidRPr="008E3F5D" w:rsidRDefault="00527467" w:rsidP="002B3202">
            <w:pPr>
              <w:jc w:val="both"/>
              <w:rPr>
                <w:rFonts w:ascii="Arial" w:hAnsi="Arial" w:cs="Arial"/>
                <w:b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r w:rsidR="00527467" w:rsidRPr="008E3F5D" w:rsidTr="002B3202">
        <w:tc>
          <w:tcPr>
            <w:tcW w:w="4644" w:type="dxa"/>
          </w:tcPr>
          <w:p w:rsidR="00527467" w:rsidRDefault="00527467" w:rsidP="002B3202">
            <w:pPr>
              <w:jc w:val="both"/>
              <w:rPr>
                <w:rFonts w:ascii="Arial" w:hAnsi="Arial" w:cs="Arial"/>
                <w:bCs/>
                <w:i/>
                <w:iCs/>
              </w:rPr>
            </w:pPr>
            <w:r w:rsidRPr="008E3F5D">
              <w:rPr>
                <w:rFonts w:ascii="Arial" w:hAnsi="Arial" w:cs="Arial"/>
                <w:bCs/>
              </w:rPr>
              <w:t>Other (</w:t>
            </w:r>
            <w:r w:rsidRPr="008E3F5D">
              <w:rPr>
                <w:rFonts w:ascii="Arial" w:hAnsi="Arial" w:cs="Arial"/>
                <w:bCs/>
                <w:i/>
                <w:iCs/>
              </w:rPr>
              <w:t>please specify)</w:t>
            </w:r>
          </w:p>
          <w:p w:rsidR="00527467" w:rsidRPr="008E3F5D" w:rsidRDefault="00527467" w:rsidP="002B3202">
            <w:pPr>
              <w:jc w:val="both"/>
              <w:rPr>
                <w:rFonts w:ascii="Arial" w:hAnsi="Arial" w:cs="Arial"/>
                <w:bCs/>
                <w:i/>
                <w:iCs/>
              </w:rPr>
            </w:pPr>
          </w:p>
          <w:p w:rsidR="00527467" w:rsidRPr="008E3F5D" w:rsidRDefault="00527467" w:rsidP="002B3202">
            <w:pPr>
              <w:jc w:val="both"/>
              <w:rPr>
                <w:rFonts w:ascii="Arial" w:hAnsi="Arial" w:cs="Arial"/>
                <w:bCs/>
                <w:i/>
                <w:iCs/>
              </w:rPr>
            </w:pPr>
          </w:p>
          <w:p w:rsidR="00527467" w:rsidRPr="008E3F5D" w:rsidRDefault="00527467" w:rsidP="002B3202">
            <w:pPr>
              <w:jc w:val="both"/>
              <w:rPr>
                <w:rFonts w:ascii="Arial" w:hAnsi="Arial" w:cs="Arial"/>
                <w:bCs/>
                <w:i/>
                <w:iCs/>
              </w:rPr>
            </w:pPr>
          </w:p>
        </w:tc>
        <w:tc>
          <w:tcPr>
            <w:tcW w:w="1037" w:type="dxa"/>
          </w:tcPr>
          <w:p w:rsidR="00527467" w:rsidRPr="008E3F5D" w:rsidRDefault="00527467" w:rsidP="002B3202">
            <w:pPr>
              <w:jc w:val="both"/>
              <w:rPr>
                <w:rFonts w:ascii="Arial" w:hAnsi="Arial" w:cs="Arial"/>
                <w:b/>
              </w:rPr>
            </w:pPr>
          </w:p>
        </w:tc>
        <w:tc>
          <w:tcPr>
            <w:tcW w:w="2932" w:type="dxa"/>
          </w:tcPr>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br w:type="page"/>
      </w:r>
      <w:r w:rsidRPr="008E3F5D">
        <w:rPr>
          <w:rFonts w:ascii="Arial" w:hAnsi="Arial" w:cs="Arial"/>
          <w:b/>
        </w:rPr>
        <w:lastRenderedPageBreak/>
        <w:t>12   Examples of good practice</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 xml:space="preserve">12.1 </w:t>
      </w:r>
      <w:r w:rsidRPr="008E3F5D">
        <w:rPr>
          <w:rFonts w:ascii="Arial" w:hAnsi="Arial" w:cs="Arial"/>
          <w:b/>
        </w:rPr>
        <w:tab/>
        <w:t>Do you have examples of good practice in learning, teaching and assessment methods that you would be willing to disseminate through this project?</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If yes, please provide a brief outline below:</w:t>
      </w:r>
    </w:p>
    <w:p w:rsidR="00527467" w:rsidRPr="008E3F5D" w:rsidRDefault="00527467" w:rsidP="0052746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27467" w:rsidRPr="008E3F5D" w:rsidTr="002B3202">
        <w:tc>
          <w:tcPr>
            <w:tcW w:w="8522" w:type="dxa"/>
          </w:tcPr>
          <w:p w:rsidR="00527467" w:rsidRPr="008E3F5D" w:rsidRDefault="00527467" w:rsidP="002B3202">
            <w:pPr>
              <w:jc w:val="both"/>
              <w:rPr>
                <w:rFonts w:ascii="Arial" w:hAnsi="Arial" w:cs="Arial"/>
                <w:b/>
              </w:rPr>
            </w:pPr>
            <w:r w:rsidRPr="008E3F5D">
              <w:rPr>
                <w:rFonts w:ascii="Arial" w:hAnsi="Arial" w:cs="Arial"/>
                <w:b/>
              </w:rPr>
              <w:t>1.</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r w:rsidRPr="008E3F5D">
              <w:rPr>
                <w:rFonts w:ascii="Arial" w:hAnsi="Arial" w:cs="Arial"/>
                <w:b/>
              </w:rPr>
              <w:t>2.</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r w:rsidRPr="008E3F5D">
              <w:rPr>
                <w:rFonts w:ascii="Arial" w:hAnsi="Arial" w:cs="Arial"/>
                <w:b/>
              </w:rPr>
              <w:t>3.</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r w:rsidRPr="008E3F5D">
              <w:rPr>
                <w:rFonts w:ascii="Arial" w:hAnsi="Arial" w:cs="Arial"/>
                <w:b/>
              </w:rPr>
              <w:t>4.</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p w:rsidR="00527467" w:rsidRPr="008E3F5D" w:rsidRDefault="00527467" w:rsidP="002B3202">
            <w:pPr>
              <w:jc w:val="both"/>
              <w:rPr>
                <w:rFonts w:ascii="Arial" w:hAnsi="Arial" w:cs="Arial"/>
                <w:b/>
              </w:rPr>
            </w:pPr>
            <w:r w:rsidRPr="008E3F5D">
              <w:rPr>
                <w:rFonts w:ascii="Arial" w:hAnsi="Arial" w:cs="Arial"/>
                <w:b/>
              </w:rPr>
              <w:t>Etc…</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8E3F5D" w:rsidRDefault="00527467" w:rsidP="002B3202">
            <w:pPr>
              <w:jc w:val="both"/>
              <w:rPr>
                <w:rFonts w:ascii="Arial" w:hAnsi="Arial" w:cs="Arial"/>
                <w:b/>
              </w:rPr>
            </w:pPr>
          </w:p>
        </w:tc>
      </w:tr>
    </w:tbl>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12.2 May we contact you for further details?</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If yes, please provide the name of the person to contact together with a telephone number and e-mail address</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Pr>
          <w:rFonts w:ascii="Arial" w:hAnsi="Arial" w:cs="Arial"/>
          <w:b/>
        </w:rPr>
        <w:br w:type="page"/>
      </w:r>
    </w:p>
    <w:p w:rsidR="00527467" w:rsidRDefault="00527467" w:rsidP="00527467">
      <w:pPr>
        <w:jc w:val="both"/>
        <w:rPr>
          <w:rFonts w:ascii="Arial" w:hAnsi="Arial" w:cs="Arial"/>
          <w:b/>
        </w:rPr>
      </w:pPr>
      <w:r w:rsidRPr="008E3F5D">
        <w:rPr>
          <w:rFonts w:ascii="Arial" w:hAnsi="Arial" w:cs="Arial"/>
          <w:b/>
        </w:rPr>
        <w:lastRenderedPageBreak/>
        <w:t xml:space="preserve">Thank you very much for completing this questionnaire. </w:t>
      </w:r>
    </w:p>
    <w:p w:rsidR="00527467"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74725B" w:rsidRDefault="00527467" w:rsidP="00527467">
      <w:pPr>
        <w:pStyle w:val="BodyText2"/>
        <w:rPr>
          <w:rFonts w:ascii="Arial" w:hAnsi="Arial" w:cs="Arial"/>
          <w:sz w:val="24"/>
        </w:rPr>
      </w:pPr>
      <w:r w:rsidRPr="0074725B">
        <w:rPr>
          <w:rFonts w:ascii="Arial" w:hAnsi="Arial" w:cs="Arial"/>
          <w:sz w:val="24"/>
        </w:rPr>
        <w:t>If you have any other comments then please write them below</w:t>
      </w:r>
      <w:r w:rsidRPr="008E3F5D">
        <w:t>.</w:t>
      </w: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p>
    <w:p w:rsidR="00527467" w:rsidRPr="008E3F5D" w:rsidRDefault="00527467" w:rsidP="00527467">
      <w:pPr>
        <w:pStyle w:val="BodyText"/>
        <w:rPr>
          <w:rFonts w:ascii="Arial" w:hAnsi="Arial" w:cs="Arial"/>
          <w:sz w:val="24"/>
        </w:rPr>
      </w:pPr>
      <w:r w:rsidRPr="008E3F5D">
        <w:rPr>
          <w:rFonts w:ascii="Arial" w:hAnsi="Arial" w:cs="Arial"/>
          <w:sz w:val="24"/>
        </w:rPr>
        <w:t>We would encourage you to complete this questionnaire electronically and send it to:</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hyperlink r:id="rId61" w:history="1">
        <w:r w:rsidRPr="008E3F5D">
          <w:rPr>
            <w:rStyle w:val="Hyperlink"/>
            <w:rFonts w:ascii="Arial" w:hAnsi="Arial" w:cs="Arial"/>
            <w:b/>
          </w:rPr>
          <w:t>christian.dadomo@uwe.ac.uk</w:t>
        </w:r>
      </w:hyperlink>
      <w:r w:rsidRPr="008E3F5D">
        <w:rPr>
          <w:rFonts w:ascii="Arial" w:hAnsi="Arial" w:cs="Arial"/>
          <w:b/>
        </w:rPr>
        <w:t xml:space="preserve"> (please specify EU Law Survey in the subject box)</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But it is also possible to return it by post to:</w:t>
      </w:r>
    </w:p>
    <w:p w:rsidR="00527467" w:rsidRPr="008E3F5D" w:rsidRDefault="00527467" w:rsidP="00527467">
      <w:pPr>
        <w:jc w:val="both"/>
        <w:rPr>
          <w:rFonts w:ascii="Arial" w:hAnsi="Arial" w:cs="Arial"/>
          <w:b/>
        </w:rPr>
      </w:pPr>
    </w:p>
    <w:p w:rsidR="00527467" w:rsidRPr="008E3F5D" w:rsidRDefault="00527467" w:rsidP="00527467">
      <w:pPr>
        <w:jc w:val="both"/>
        <w:rPr>
          <w:rFonts w:ascii="Arial" w:hAnsi="Arial" w:cs="Arial"/>
          <w:b/>
        </w:rPr>
      </w:pPr>
      <w:r w:rsidRPr="008E3F5D">
        <w:rPr>
          <w:rFonts w:ascii="Arial" w:hAnsi="Arial" w:cs="Arial"/>
          <w:b/>
        </w:rPr>
        <w:t>Christian Dadomo</w:t>
      </w:r>
    </w:p>
    <w:p w:rsidR="00527467" w:rsidRPr="008E3F5D" w:rsidRDefault="00527467" w:rsidP="00527467">
      <w:pPr>
        <w:pStyle w:val="Heading2"/>
        <w:rPr>
          <w:rFonts w:ascii="Arial" w:hAnsi="Arial" w:cs="Arial"/>
          <w:sz w:val="24"/>
        </w:rPr>
      </w:pPr>
      <w:smartTag w:uri="urn:schemas-microsoft-com:office:smarttags" w:element="place">
        <w:smartTag w:uri="urn:schemas-microsoft-com:office:smarttags" w:element="PlaceType">
          <w:r w:rsidRPr="008E3F5D">
            <w:rPr>
              <w:rFonts w:ascii="Arial" w:hAnsi="Arial" w:cs="Arial"/>
              <w:sz w:val="24"/>
            </w:rPr>
            <w:t>School</w:t>
          </w:r>
        </w:smartTag>
        <w:r w:rsidRPr="008E3F5D">
          <w:rPr>
            <w:rFonts w:ascii="Arial" w:hAnsi="Arial" w:cs="Arial"/>
            <w:sz w:val="24"/>
          </w:rPr>
          <w:t xml:space="preserve"> of </w:t>
        </w:r>
        <w:smartTag w:uri="urn:schemas-microsoft-com:office:smarttags" w:element="PlaceName">
          <w:r w:rsidRPr="008E3F5D">
            <w:rPr>
              <w:rFonts w:ascii="Arial" w:hAnsi="Arial" w:cs="Arial"/>
              <w:sz w:val="24"/>
            </w:rPr>
            <w:t>Law</w:t>
          </w:r>
        </w:smartTag>
      </w:smartTag>
    </w:p>
    <w:p w:rsidR="00527467" w:rsidRPr="008E3F5D" w:rsidRDefault="00527467" w:rsidP="00527467">
      <w:pPr>
        <w:jc w:val="both"/>
        <w:rPr>
          <w:rFonts w:ascii="Arial" w:hAnsi="Arial" w:cs="Arial"/>
          <w:b/>
        </w:rPr>
      </w:pPr>
      <w:r w:rsidRPr="008E3F5D">
        <w:rPr>
          <w:rFonts w:ascii="Arial" w:hAnsi="Arial" w:cs="Arial"/>
          <w:b/>
        </w:rPr>
        <w:t xml:space="preserve">University of the West of </w:t>
      </w:r>
      <w:smartTag w:uri="urn:schemas-microsoft-com:office:smarttags" w:element="country-region">
        <w:smartTag w:uri="urn:schemas-microsoft-com:office:smarttags" w:element="place">
          <w:r w:rsidRPr="008E3F5D">
            <w:rPr>
              <w:rFonts w:ascii="Arial" w:hAnsi="Arial" w:cs="Arial"/>
              <w:b/>
            </w:rPr>
            <w:t>England</w:t>
          </w:r>
        </w:smartTag>
      </w:smartTag>
    </w:p>
    <w:p w:rsidR="00527467" w:rsidRPr="008E3F5D" w:rsidRDefault="00527467" w:rsidP="00527467">
      <w:pPr>
        <w:jc w:val="both"/>
        <w:rPr>
          <w:rFonts w:ascii="Arial" w:hAnsi="Arial" w:cs="Arial"/>
          <w:b/>
        </w:rPr>
      </w:pPr>
      <w:r w:rsidRPr="008E3F5D">
        <w:rPr>
          <w:rFonts w:ascii="Arial" w:hAnsi="Arial" w:cs="Arial"/>
          <w:b/>
        </w:rPr>
        <w:t>Frenchay Campus</w:t>
      </w:r>
    </w:p>
    <w:p w:rsidR="00527467" w:rsidRPr="008E3F5D" w:rsidRDefault="00527467" w:rsidP="00527467">
      <w:pPr>
        <w:jc w:val="both"/>
        <w:rPr>
          <w:rFonts w:ascii="Arial" w:hAnsi="Arial" w:cs="Arial"/>
          <w:b/>
        </w:rPr>
      </w:pPr>
      <w:smartTag w:uri="urn:schemas-microsoft-com:office:smarttags" w:element="Street">
        <w:smartTag w:uri="urn:schemas-microsoft-com:office:smarttags" w:element="address">
          <w:r w:rsidRPr="008E3F5D">
            <w:rPr>
              <w:rFonts w:ascii="Arial" w:hAnsi="Arial" w:cs="Arial"/>
              <w:b/>
            </w:rPr>
            <w:t>Coldharbour Lane</w:t>
          </w:r>
        </w:smartTag>
      </w:smartTag>
    </w:p>
    <w:p w:rsidR="00527467" w:rsidRPr="008E3F5D" w:rsidRDefault="00527467" w:rsidP="00527467">
      <w:pPr>
        <w:jc w:val="both"/>
        <w:rPr>
          <w:rFonts w:ascii="Arial" w:hAnsi="Arial" w:cs="Arial"/>
          <w:b/>
        </w:rPr>
      </w:pPr>
      <w:r w:rsidRPr="008E3F5D">
        <w:rPr>
          <w:rFonts w:ascii="Arial" w:hAnsi="Arial" w:cs="Arial"/>
          <w:b/>
        </w:rPr>
        <w:t>Frenchay</w:t>
      </w:r>
    </w:p>
    <w:p w:rsidR="00527467" w:rsidRPr="008E3F5D" w:rsidRDefault="00527467" w:rsidP="00527467">
      <w:pPr>
        <w:jc w:val="both"/>
        <w:rPr>
          <w:rFonts w:ascii="Arial" w:hAnsi="Arial" w:cs="Arial"/>
          <w:b/>
        </w:rPr>
      </w:pPr>
      <w:smartTag w:uri="urn:schemas-microsoft-com:office:smarttags" w:element="City">
        <w:smartTag w:uri="urn:schemas-microsoft-com:office:smarttags" w:element="place">
          <w:r w:rsidRPr="008E3F5D">
            <w:rPr>
              <w:rFonts w:ascii="Arial" w:hAnsi="Arial" w:cs="Arial"/>
              <w:b/>
            </w:rPr>
            <w:t>Bristol</w:t>
          </w:r>
        </w:smartTag>
      </w:smartTag>
    </w:p>
    <w:p w:rsidR="00527467" w:rsidRPr="008E3F5D" w:rsidRDefault="00527467" w:rsidP="00527467">
      <w:pPr>
        <w:jc w:val="both"/>
        <w:rPr>
          <w:rFonts w:ascii="Arial" w:hAnsi="Arial" w:cs="Arial"/>
          <w:b/>
        </w:rPr>
      </w:pPr>
      <w:r w:rsidRPr="008E3F5D">
        <w:rPr>
          <w:rFonts w:ascii="Arial" w:hAnsi="Arial" w:cs="Arial"/>
          <w:b/>
        </w:rPr>
        <w:t>BS16 1QY</w:t>
      </w:r>
    </w:p>
    <w:p w:rsidR="00527467" w:rsidRPr="008E3F5D" w:rsidRDefault="00527467" w:rsidP="00527467">
      <w:pPr>
        <w:jc w:val="both"/>
        <w:rPr>
          <w:rFonts w:ascii="Arial" w:hAnsi="Arial" w:cs="Arial"/>
          <w:b/>
        </w:rPr>
      </w:pPr>
    </w:p>
    <w:p w:rsidR="002A75CB" w:rsidRDefault="00527467" w:rsidP="00527467">
      <w:pPr>
        <w:jc w:val="both"/>
        <w:rPr>
          <w:b/>
          <w:sz w:val="28"/>
        </w:rPr>
      </w:pPr>
      <w:r w:rsidRPr="008E3F5D">
        <w:rPr>
          <w:rFonts w:ascii="Arial" w:hAnsi="Arial" w:cs="Arial"/>
          <w:b/>
        </w:rPr>
        <w:t>Direct telephone line: 01173282350</w:t>
      </w:r>
    </w:p>
    <w:p w:rsidR="002A75CB" w:rsidRDefault="002A75CB" w:rsidP="002A75CB">
      <w:pPr>
        <w:jc w:val="both"/>
        <w:rPr>
          <w:b/>
          <w:sz w:val="28"/>
        </w:rPr>
      </w:pPr>
    </w:p>
    <w:p w:rsidR="002A75CB" w:rsidRDefault="002A75CB" w:rsidP="002A75CB">
      <w:pPr>
        <w:jc w:val="both"/>
        <w:rPr>
          <w:b/>
        </w:rPr>
      </w:pPr>
    </w:p>
    <w:p w:rsidR="002A75CB" w:rsidRDefault="002A75CB" w:rsidP="002A75CB">
      <w:pPr>
        <w:jc w:val="both"/>
        <w:rPr>
          <w:b/>
        </w:rPr>
      </w:pPr>
    </w:p>
    <w:p w:rsidR="00527467" w:rsidRDefault="00527467">
      <w:pPr>
        <w:spacing w:after="0" w:line="240" w:lineRule="auto"/>
        <w:rPr>
          <w:rFonts w:ascii="Arial" w:hAnsi="Arial" w:cs="Arial"/>
          <w:color w:val="000000"/>
          <w:sz w:val="24"/>
          <w:szCs w:val="24"/>
        </w:rPr>
      </w:pPr>
      <w:r>
        <w:rPr>
          <w:rFonts w:ascii="Arial" w:hAnsi="Arial" w:cs="Arial"/>
          <w:color w:val="000000"/>
          <w:sz w:val="24"/>
          <w:szCs w:val="24"/>
        </w:rPr>
        <w:br w:type="page"/>
      </w:r>
    </w:p>
    <w:p w:rsidR="00527467" w:rsidRPr="002A75CB" w:rsidRDefault="00527467" w:rsidP="00527467">
      <w:pPr>
        <w:spacing w:line="360" w:lineRule="auto"/>
        <w:jc w:val="both"/>
        <w:rPr>
          <w:rFonts w:ascii="Arial" w:hAnsi="Arial" w:cs="Arial"/>
          <w:b/>
          <w:sz w:val="28"/>
          <w:szCs w:val="28"/>
        </w:rPr>
      </w:pPr>
      <w:r>
        <w:rPr>
          <w:rFonts w:ascii="Arial" w:hAnsi="Arial" w:cs="Arial"/>
          <w:b/>
          <w:sz w:val="28"/>
          <w:szCs w:val="28"/>
        </w:rPr>
        <w:lastRenderedPageBreak/>
        <w:t>Appendix</w:t>
      </w:r>
      <w:r>
        <w:rPr>
          <w:rFonts w:ascii="Arial" w:hAnsi="Arial" w:cs="Arial"/>
          <w:b/>
          <w:sz w:val="28"/>
          <w:szCs w:val="28"/>
        </w:rPr>
        <w:t xml:space="preserve"> 2</w:t>
      </w:r>
      <w:r>
        <w:rPr>
          <w:rFonts w:ascii="Arial" w:hAnsi="Arial" w:cs="Arial"/>
          <w:b/>
          <w:sz w:val="28"/>
          <w:szCs w:val="28"/>
        </w:rPr>
        <w:tab/>
        <w:t>UKCLE Subject Survey – EU Law</w:t>
      </w:r>
    </w:p>
    <w:p w:rsidR="00527467" w:rsidRDefault="00527467" w:rsidP="00527467">
      <w:pPr>
        <w:jc w:val="both"/>
        <w:rPr>
          <w:b/>
        </w:rPr>
      </w:pPr>
      <w:r>
        <w:object w:dxaOrig="3783" w:dyaOrig="1531">
          <v:shape id="_x0000_i1027" type="#_x0000_t75" style="width:189pt;height:76.5pt" o:ole="" fillcolor="window">
            <v:imagedata r:id="rId58" o:title=""/>
          </v:shape>
          <o:OLEObject Type="Embed" ProgID="Word.Picture.8" ShapeID="_x0000_i1027" DrawAspect="Content" ObjectID="_1368022373" r:id="rId62"/>
        </w:object>
      </w:r>
    </w:p>
    <w:p w:rsidR="00527467" w:rsidRPr="009615AA" w:rsidRDefault="00527467" w:rsidP="00527467">
      <w:pPr>
        <w:jc w:val="both"/>
        <w:rPr>
          <w:rFonts w:ascii="Arial" w:hAnsi="Arial" w:cs="Arial"/>
          <w:sz w:val="28"/>
          <w:szCs w:val="28"/>
        </w:rPr>
      </w:pPr>
      <w:r w:rsidRPr="009615AA">
        <w:rPr>
          <w:rFonts w:ascii="Arial" w:hAnsi="Arial" w:cs="Arial"/>
          <w:sz w:val="28"/>
          <w:szCs w:val="28"/>
        </w:rPr>
        <w:t>Dear colleague,</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r w:rsidRPr="009615AA">
        <w:rPr>
          <w:rFonts w:ascii="Arial" w:hAnsi="Arial" w:cs="Arial"/>
          <w:sz w:val="28"/>
          <w:szCs w:val="28"/>
        </w:rPr>
        <w:t xml:space="preserve">We are undertaking a survey on teaching and learning European Union Law in </w:t>
      </w:r>
      <w:smartTag w:uri="urn:schemas-microsoft-com:office:smarttags" w:element="country-region">
        <w:smartTag w:uri="urn:schemas-microsoft-com:office:smarttags" w:element="place">
          <w:r w:rsidRPr="009615AA">
            <w:rPr>
              <w:rFonts w:ascii="Arial" w:hAnsi="Arial" w:cs="Arial"/>
              <w:sz w:val="28"/>
              <w:szCs w:val="28"/>
            </w:rPr>
            <w:t>UK</w:t>
          </w:r>
        </w:smartTag>
      </w:smartTag>
      <w:r w:rsidRPr="009615AA">
        <w:rPr>
          <w:rFonts w:ascii="Arial" w:hAnsi="Arial" w:cs="Arial"/>
          <w:sz w:val="28"/>
          <w:szCs w:val="28"/>
        </w:rPr>
        <w:t xml:space="preserve"> and Irish universities. This survey is funded by the UK Centre for Legal Education (UKCLE). </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r w:rsidRPr="009615AA">
        <w:rPr>
          <w:rFonts w:ascii="Arial" w:hAnsi="Arial" w:cs="Arial"/>
          <w:sz w:val="28"/>
          <w:szCs w:val="28"/>
        </w:rPr>
        <w:t>We are investigating in particular the delivery of EU Law modules on qualifying law degrees and Common Professional Examination (CPE) programmes or equivalent.</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r w:rsidRPr="009615AA">
        <w:rPr>
          <w:rFonts w:ascii="Arial" w:hAnsi="Arial" w:cs="Arial"/>
          <w:sz w:val="28"/>
          <w:szCs w:val="28"/>
        </w:rPr>
        <w:t>We would be grateful if you could spare the time to complete the attached questionnaire and return it to us at the address provided as soon as possible.</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r w:rsidRPr="009615AA">
        <w:rPr>
          <w:rFonts w:ascii="Arial" w:hAnsi="Arial" w:cs="Arial"/>
          <w:sz w:val="28"/>
          <w:szCs w:val="28"/>
        </w:rPr>
        <w:t>We look forward to hearing from you.</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r w:rsidRPr="009615AA">
        <w:rPr>
          <w:rFonts w:ascii="Arial" w:hAnsi="Arial" w:cs="Arial"/>
          <w:sz w:val="28"/>
          <w:szCs w:val="28"/>
        </w:rPr>
        <w:t>Yours sincerely,</w:t>
      </w:r>
    </w:p>
    <w:p w:rsidR="00527467" w:rsidRPr="009615AA" w:rsidRDefault="00527467" w:rsidP="00527467">
      <w:pPr>
        <w:jc w:val="both"/>
        <w:rPr>
          <w:rFonts w:ascii="Arial" w:hAnsi="Arial" w:cs="Arial"/>
          <w:sz w:val="28"/>
          <w:szCs w:val="28"/>
        </w:rPr>
      </w:pPr>
    </w:p>
    <w:p w:rsidR="00527467" w:rsidRPr="009615AA" w:rsidRDefault="00527467" w:rsidP="00527467">
      <w:pPr>
        <w:jc w:val="both"/>
        <w:rPr>
          <w:rFonts w:ascii="Arial" w:hAnsi="Arial" w:cs="Arial"/>
          <w:sz w:val="28"/>
          <w:szCs w:val="28"/>
        </w:rPr>
      </w:pPr>
      <w:smartTag w:uri="urn:schemas-microsoft-com:office:smarttags" w:element="PersonName">
        <w:r w:rsidRPr="009615AA">
          <w:rPr>
            <w:rFonts w:ascii="Arial" w:hAnsi="Arial" w:cs="Arial"/>
            <w:sz w:val="28"/>
            <w:szCs w:val="28"/>
          </w:rPr>
          <w:t>Caroline Maughan</w:t>
        </w:r>
      </w:smartTag>
      <w:r w:rsidRPr="009615AA">
        <w:rPr>
          <w:rFonts w:ascii="Arial" w:hAnsi="Arial" w:cs="Arial"/>
          <w:sz w:val="28"/>
          <w:szCs w:val="28"/>
        </w:rPr>
        <w:t xml:space="preserve"> (project leader)</w:t>
      </w:r>
    </w:p>
    <w:p w:rsidR="00527467" w:rsidRPr="009615AA" w:rsidRDefault="00527467" w:rsidP="00527467">
      <w:pPr>
        <w:jc w:val="both"/>
        <w:rPr>
          <w:rFonts w:ascii="Arial" w:hAnsi="Arial" w:cs="Arial"/>
          <w:sz w:val="28"/>
          <w:szCs w:val="28"/>
        </w:rPr>
      </w:pPr>
      <w:smartTag w:uri="urn:schemas-microsoft-com:office:smarttags" w:element="PersonName">
        <w:r w:rsidRPr="009615AA">
          <w:rPr>
            <w:rFonts w:ascii="Arial" w:hAnsi="Arial" w:cs="Arial"/>
            <w:sz w:val="28"/>
            <w:szCs w:val="28"/>
          </w:rPr>
          <w:t>Richard Ball</w:t>
        </w:r>
      </w:smartTag>
    </w:p>
    <w:p w:rsidR="00527467" w:rsidRPr="009615AA" w:rsidRDefault="00527467" w:rsidP="00527467">
      <w:pPr>
        <w:jc w:val="both"/>
        <w:rPr>
          <w:rFonts w:ascii="Arial" w:hAnsi="Arial" w:cs="Arial"/>
          <w:sz w:val="28"/>
          <w:szCs w:val="28"/>
        </w:rPr>
      </w:pPr>
      <w:r w:rsidRPr="009615AA">
        <w:rPr>
          <w:rFonts w:ascii="Arial" w:hAnsi="Arial" w:cs="Arial"/>
          <w:sz w:val="28"/>
          <w:szCs w:val="28"/>
        </w:rPr>
        <w:t>Christian Dadomo</w:t>
      </w:r>
    </w:p>
    <w:p w:rsidR="00527467" w:rsidRPr="009615AA" w:rsidRDefault="00527467" w:rsidP="00527467">
      <w:pPr>
        <w:jc w:val="both"/>
        <w:rPr>
          <w:rFonts w:ascii="Arial" w:hAnsi="Arial" w:cs="Arial"/>
          <w:b/>
        </w:rPr>
      </w:pPr>
      <w:r w:rsidRPr="009615AA">
        <w:rPr>
          <w:rFonts w:ascii="Arial" w:hAnsi="Arial" w:cs="Arial"/>
          <w:sz w:val="28"/>
          <w:szCs w:val="28"/>
        </w:rPr>
        <w:t>Jane Kay</w:t>
      </w:r>
    </w:p>
    <w:p w:rsidR="00527467" w:rsidRPr="009615AA" w:rsidRDefault="00527467" w:rsidP="00527467">
      <w:pPr>
        <w:jc w:val="both"/>
        <w:rPr>
          <w:rFonts w:ascii="Arial" w:hAnsi="Arial" w:cs="Arial"/>
          <w:b/>
        </w:rPr>
      </w:pPr>
      <w:r w:rsidRPr="009615AA">
        <w:rPr>
          <w:rFonts w:ascii="Arial" w:hAnsi="Arial" w:cs="Arial"/>
        </w:rPr>
        <w:object w:dxaOrig="3783" w:dyaOrig="1531">
          <v:shape id="_x0000_i1028" type="#_x0000_t75" style="width:189pt;height:76.5pt" o:ole="" fillcolor="window">
            <v:imagedata r:id="rId58" o:title=""/>
          </v:shape>
          <o:OLEObject Type="Embed" ProgID="Word.Picture.8" ShapeID="_x0000_i1028" DrawAspect="Content" ObjectID="_1368022374" r:id="rId63"/>
        </w:objec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center"/>
        <w:rPr>
          <w:rFonts w:ascii="Arial" w:hAnsi="Arial" w:cs="Arial"/>
          <w:b/>
        </w:rPr>
      </w:pPr>
      <w:r w:rsidRPr="009615AA">
        <w:rPr>
          <w:rFonts w:ascii="Arial" w:hAnsi="Arial" w:cs="Arial"/>
          <w:b/>
        </w:rPr>
        <w:t>UKCLE SUBJECT SURVEY - EUROPEAN UNION LAW</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rPr>
      </w:pPr>
      <w:r w:rsidRPr="009615AA">
        <w:rPr>
          <w:rFonts w:ascii="Arial" w:hAnsi="Arial" w:cs="Arial"/>
        </w:rPr>
        <w:t>This survey is looking at the teaching of European Union Law (or similar) courses at undergraduate and CPE levels.</w:t>
      </w:r>
    </w:p>
    <w:p w:rsidR="00527467" w:rsidRPr="009615AA" w:rsidRDefault="00527467" w:rsidP="00527467">
      <w:pPr>
        <w:jc w:val="both"/>
        <w:rPr>
          <w:rFonts w:ascii="Arial" w:hAnsi="Arial" w:cs="Arial"/>
        </w:rPr>
      </w:pPr>
      <w:r w:rsidRPr="009615AA">
        <w:rPr>
          <w:rFonts w:ascii="Arial" w:hAnsi="Arial" w:cs="Arial"/>
        </w:rPr>
        <w:t>We include within the definition of "European Union Law": European Union Law; European Community Law; European Constitutional and Administrative Law; European Competition Law; The Law of the European Internal Market; European Commercial Law; and any of the European Union policies (e.g., social, environment, etc.).</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NB: This definition does not include the European Convention on Human Rights</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b/>
        </w:rPr>
      </w:pPr>
      <w:r w:rsidRPr="009615AA">
        <w:rPr>
          <w:rFonts w:ascii="Arial" w:hAnsi="Arial" w:cs="Arial"/>
          <w:b/>
        </w:rPr>
        <w:t>1. General information</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rPr>
      </w:pPr>
      <w:r w:rsidRPr="009615AA">
        <w:rPr>
          <w:rFonts w:ascii="Arial" w:hAnsi="Arial" w:cs="Arial"/>
        </w:rPr>
        <w:t xml:space="preserve">1.1. </w:t>
      </w:r>
      <w:r w:rsidRPr="009615AA">
        <w:rPr>
          <w:rFonts w:ascii="Arial" w:hAnsi="Arial" w:cs="Arial"/>
        </w:rPr>
        <w:tab/>
        <w:t>Name of your institution</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1.2</w:t>
      </w:r>
      <w:r w:rsidRPr="009615AA">
        <w:rPr>
          <w:rFonts w:ascii="Arial" w:hAnsi="Arial" w:cs="Arial"/>
        </w:rPr>
        <w:tab/>
        <w:t>Name of CPE module leader</w:t>
      </w: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1.3</w:t>
      </w:r>
      <w:r w:rsidRPr="009615AA">
        <w:rPr>
          <w:rFonts w:ascii="Arial" w:hAnsi="Arial" w:cs="Arial"/>
        </w:rPr>
        <w:tab/>
        <w:t>Names of other CPE team members</w:t>
      </w: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b/>
        </w:rPr>
      </w:pPr>
      <w:r w:rsidRPr="009615AA">
        <w:rPr>
          <w:rFonts w:ascii="Arial" w:hAnsi="Arial" w:cs="Arial"/>
          <w:b/>
        </w:rPr>
        <w:t>2. General information on the teaching of EU law on the CPE</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rPr>
      </w:pPr>
      <w:r w:rsidRPr="009615AA">
        <w:rPr>
          <w:rFonts w:ascii="Arial" w:hAnsi="Arial" w:cs="Arial"/>
        </w:rPr>
        <w:t>2.1</w:t>
      </w:r>
      <w:r w:rsidRPr="009615AA">
        <w:rPr>
          <w:rFonts w:ascii="Arial" w:hAnsi="Arial" w:cs="Arial"/>
        </w:rPr>
        <w:tab/>
        <w:t>Please identify the courses/modules that cover exclusively EU law</w:t>
      </w: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b/>
              </w:rPr>
            </w:pPr>
            <w:r w:rsidRPr="009615AA">
              <w:rPr>
                <w:rFonts w:ascii="Arial" w:hAnsi="Arial" w:cs="Arial"/>
                <w:b/>
              </w:rPr>
              <w:t>Compulsory courses/modules (please list)</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tc>
      </w:tr>
      <w:tr w:rsidR="00527467" w:rsidRPr="009615AA" w:rsidTr="002B3202">
        <w:tc>
          <w:tcPr>
            <w:tcW w:w="8522" w:type="dxa"/>
          </w:tcPr>
          <w:p w:rsidR="00527467" w:rsidRPr="009615AA" w:rsidRDefault="00527467" w:rsidP="002B3202">
            <w:pPr>
              <w:jc w:val="both"/>
              <w:rPr>
                <w:rFonts w:ascii="Arial" w:hAnsi="Arial" w:cs="Arial"/>
                <w:b/>
              </w:rPr>
            </w:pPr>
            <w:r w:rsidRPr="009615AA">
              <w:rPr>
                <w:rFonts w:ascii="Arial" w:hAnsi="Arial" w:cs="Arial"/>
                <w:b/>
              </w:rPr>
              <w:t>Option courses/modules (please list)</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2.2</w:t>
      </w:r>
      <w:r w:rsidRPr="009615AA">
        <w:rPr>
          <w:rFonts w:ascii="Arial" w:hAnsi="Arial" w:cs="Arial"/>
        </w:rPr>
        <w:tab/>
        <w:t xml:space="preserve">Are option courses/modules offered every year? (Please </w:t>
      </w:r>
      <w:r>
        <w:rPr>
          <w:rFonts w:ascii="Arial" w:hAnsi="Arial" w:cs="Arial"/>
        </w:rPr>
        <w:t>indicate</w:t>
      </w:r>
      <w:r w:rsidRPr="009615AA">
        <w:rPr>
          <w:rFonts w:ascii="Arial" w:hAnsi="Arial" w:cs="Arial"/>
        </w:rPr>
        <w:t>)</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Yes</w:t>
      </w:r>
      <w:r w:rsidRPr="009615AA">
        <w:rPr>
          <w:rFonts w:ascii="Arial" w:hAnsi="Arial" w:cs="Arial"/>
        </w:rPr>
        <w:tab/>
      </w:r>
      <w:r w:rsidRPr="009615AA">
        <w:rPr>
          <w:rFonts w:ascii="Arial" w:hAnsi="Arial" w:cs="Arial"/>
        </w:rPr>
        <w:tab/>
      </w:r>
      <w:r w:rsidRPr="009615AA">
        <w:rPr>
          <w:rFonts w:ascii="Arial" w:hAnsi="Arial" w:cs="Arial"/>
        </w:rPr>
        <w:tab/>
      </w:r>
      <w:r w:rsidRPr="009615AA">
        <w:rPr>
          <w:rFonts w:ascii="Arial" w:hAnsi="Arial" w:cs="Arial"/>
        </w:rPr>
        <w:tab/>
      </w:r>
      <w:r w:rsidRPr="009615AA">
        <w:rPr>
          <w:rFonts w:ascii="Arial" w:hAnsi="Arial" w:cs="Arial"/>
        </w:rPr>
        <w:tab/>
        <w:t>No</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2.3</w:t>
      </w:r>
      <w:r w:rsidRPr="009615AA">
        <w:rPr>
          <w:rFonts w:ascii="Arial" w:hAnsi="Arial" w:cs="Arial"/>
        </w:rPr>
        <w:tab/>
        <w:t>If not, why not?</w:t>
      </w: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2.4</w:t>
      </w:r>
      <w:r w:rsidRPr="009615AA">
        <w:rPr>
          <w:rFonts w:ascii="Arial" w:hAnsi="Arial" w:cs="Arial"/>
        </w:rPr>
        <w:tab/>
        <w:t xml:space="preserve">Please identify other courses/modules that include elements of EU law (e.g. </w:t>
      </w:r>
      <w:r w:rsidRPr="009615AA">
        <w:rPr>
          <w:rFonts w:ascii="Arial" w:hAnsi="Arial" w:cs="Arial"/>
        </w:rPr>
        <w:tab/>
      </w:r>
      <w:proofErr w:type="gramStart"/>
      <w:r w:rsidRPr="009615AA">
        <w:rPr>
          <w:rFonts w:ascii="Arial" w:hAnsi="Arial" w:cs="Arial"/>
        </w:rPr>
        <w:t>Public law, Legal Method and Systems, Competition law, Environmental law,</w:t>
      </w:r>
      <w:r w:rsidRPr="009615AA">
        <w:rPr>
          <w:rFonts w:ascii="Arial" w:hAnsi="Arial" w:cs="Arial"/>
        </w:rPr>
        <w:tab/>
        <w:t>etc.)</w:t>
      </w:r>
      <w:proofErr w:type="gramEnd"/>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b/>
              </w:rPr>
            </w:pPr>
            <w:r w:rsidRPr="009615AA">
              <w:rPr>
                <w:rFonts w:ascii="Arial" w:hAnsi="Arial" w:cs="Arial"/>
                <w:b/>
              </w:rPr>
              <w:t>Compulsory courses/modules (please list)</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b/>
              </w:rPr>
            </w:pPr>
          </w:p>
        </w:tc>
      </w:tr>
      <w:tr w:rsidR="00527467" w:rsidRPr="009615AA" w:rsidTr="002B3202">
        <w:tc>
          <w:tcPr>
            <w:tcW w:w="8522" w:type="dxa"/>
          </w:tcPr>
          <w:p w:rsidR="00527467" w:rsidRPr="009615AA" w:rsidRDefault="00527467" w:rsidP="002B3202">
            <w:pPr>
              <w:jc w:val="both"/>
              <w:rPr>
                <w:rFonts w:ascii="Arial" w:hAnsi="Arial" w:cs="Arial"/>
                <w:b/>
              </w:rPr>
            </w:pPr>
            <w:r w:rsidRPr="009615AA">
              <w:rPr>
                <w:rFonts w:ascii="Arial" w:hAnsi="Arial" w:cs="Arial"/>
                <w:b/>
              </w:rPr>
              <w:t>Option courses/modules (please list)</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2.5</w:t>
      </w:r>
      <w:r w:rsidRPr="009615AA">
        <w:rPr>
          <w:rFonts w:ascii="Arial" w:hAnsi="Arial" w:cs="Arial"/>
        </w:rPr>
        <w:tab/>
        <w:t xml:space="preserve">Are option courses/modules offered every year? (Please </w:t>
      </w:r>
      <w:r>
        <w:rPr>
          <w:rFonts w:ascii="Arial" w:hAnsi="Arial" w:cs="Arial"/>
        </w:rPr>
        <w:t>indicate</w:t>
      </w:r>
      <w:r w:rsidRPr="009615AA">
        <w:rPr>
          <w:rFonts w:ascii="Arial" w:hAnsi="Arial" w:cs="Arial"/>
        </w:rPr>
        <w:t>)</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Yes</w:t>
      </w:r>
      <w:r w:rsidRPr="009615AA">
        <w:rPr>
          <w:rFonts w:ascii="Arial" w:hAnsi="Arial" w:cs="Arial"/>
        </w:rPr>
        <w:tab/>
      </w:r>
      <w:r w:rsidRPr="009615AA">
        <w:rPr>
          <w:rFonts w:ascii="Arial" w:hAnsi="Arial" w:cs="Arial"/>
        </w:rPr>
        <w:tab/>
      </w:r>
      <w:r w:rsidRPr="009615AA">
        <w:rPr>
          <w:rFonts w:ascii="Arial" w:hAnsi="Arial" w:cs="Arial"/>
        </w:rPr>
        <w:tab/>
      </w:r>
      <w:r w:rsidRPr="009615AA">
        <w:rPr>
          <w:rFonts w:ascii="Arial" w:hAnsi="Arial" w:cs="Arial"/>
        </w:rPr>
        <w:tab/>
      </w:r>
      <w:r w:rsidRPr="009615AA">
        <w:rPr>
          <w:rFonts w:ascii="Arial" w:hAnsi="Arial" w:cs="Arial"/>
        </w:rPr>
        <w:tab/>
        <w:t>No</w:t>
      </w: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rPr>
      </w:pPr>
      <w:r w:rsidRPr="009615AA">
        <w:rPr>
          <w:rFonts w:ascii="Arial" w:hAnsi="Arial" w:cs="Arial"/>
        </w:rPr>
        <w:t>2.6</w:t>
      </w:r>
      <w:r w:rsidRPr="009615AA">
        <w:rPr>
          <w:rFonts w:ascii="Arial" w:hAnsi="Arial" w:cs="Arial"/>
        </w:rPr>
        <w:tab/>
        <w:t>If not, why not?</w:t>
      </w:r>
    </w:p>
    <w:p w:rsidR="00527467" w:rsidRPr="009615AA"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b/>
        </w:rPr>
      </w:pPr>
      <w:r w:rsidRPr="009615AA">
        <w:rPr>
          <w:rFonts w:ascii="Arial" w:hAnsi="Arial" w:cs="Arial"/>
          <w:b/>
        </w:rPr>
        <w:t>3.</w:t>
      </w:r>
      <w:r w:rsidRPr="009615AA">
        <w:rPr>
          <w:rFonts w:ascii="Arial" w:hAnsi="Arial" w:cs="Arial"/>
          <w:b/>
        </w:rPr>
        <w:tab/>
        <w:t xml:space="preserve">Specific information on the courses/modules taught  </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Default="00527467" w:rsidP="00527467">
      <w:pPr>
        <w:jc w:val="both"/>
        <w:rPr>
          <w:rFonts w:ascii="Arial" w:hAnsi="Arial" w:cs="Arial"/>
        </w:rPr>
      </w:pPr>
      <w:r>
        <w:rPr>
          <w:rFonts w:ascii="Arial" w:hAnsi="Arial" w:cs="Arial"/>
        </w:rPr>
        <w:t>3.1.</w:t>
      </w:r>
      <w:r>
        <w:rPr>
          <w:rFonts w:ascii="Arial" w:hAnsi="Arial" w:cs="Arial"/>
        </w:rPr>
        <w:tab/>
      </w:r>
    </w:p>
    <w:p w:rsidR="00527467" w:rsidRPr="00DF375D" w:rsidRDefault="00527467" w:rsidP="00527467">
      <w:pPr>
        <w:jc w:val="both"/>
        <w:rPr>
          <w:rFonts w:ascii="Arial" w:hAnsi="Arial" w:cs="Arial"/>
        </w:rPr>
      </w:pPr>
    </w:p>
    <w:tbl>
      <w:tblPr>
        <w:tblStyle w:val="TableGrid"/>
        <w:tblW w:w="0" w:type="auto"/>
        <w:tblLook w:val="01E0" w:firstRow="1" w:lastRow="1" w:firstColumn="1" w:lastColumn="1" w:noHBand="0" w:noVBand="0"/>
      </w:tblPr>
      <w:tblGrid>
        <w:gridCol w:w="1668"/>
        <w:gridCol w:w="1712"/>
        <w:gridCol w:w="1548"/>
        <w:gridCol w:w="1984"/>
        <w:gridCol w:w="1560"/>
      </w:tblGrid>
      <w:tr w:rsidR="00527467" w:rsidRPr="009615AA" w:rsidTr="002B3202">
        <w:tc>
          <w:tcPr>
            <w:tcW w:w="1668" w:type="dxa"/>
          </w:tcPr>
          <w:p w:rsidR="00527467" w:rsidRPr="001460EF" w:rsidRDefault="00527467" w:rsidP="002B3202">
            <w:pPr>
              <w:jc w:val="both"/>
              <w:rPr>
                <w:rFonts w:ascii="Arial" w:hAnsi="Arial" w:cs="Arial"/>
                <w:b/>
              </w:rPr>
            </w:pPr>
            <w:r w:rsidRPr="001460EF">
              <w:rPr>
                <w:rFonts w:ascii="Arial" w:hAnsi="Arial" w:cs="Arial"/>
                <w:b/>
              </w:rPr>
              <w:t>Course name</w:t>
            </w:r>
          </w:p>
        </w:tc>
        <w:tc>
          <w:tcPr>
            <w:tcW w:w="1712" w:type="dxa"/>
          </w:tcPr>
          <w:p w:rsidR="00527467" w:rsidRPr="001460EF" w:rsidRDefault="00527467" w:rsidP="002B3202">
            <w:pPr>
              <w:jc w:val="both"/>
              <w:rPr>
                <w:rFonts w:ascii="Arial" w:hAnsi="Arial" w:cs="Arial"/>
                <w:b/>
              </w:rPr>
            </w:pPr>
            <w:r w:rsidRPr="001460EF">
              <w:rPr>
                <w:rFonts w:ascii="Arial" w:hAnsi="Arial" w:cs="Arial"/>
                <w:b/>
              </w:rPr>
              <w:t>Stage offered (e.g., first or second semester)</w:t>
            </w:r>
          </w:p>
        </w:tc>
        <w:tc>
          <w:tcPr>
            <w:tcW w:w="1548" w:type="dxa"/>
          </w:tcPr>
          <w:p w:rsidR="00527467" w:rsidRPr="001460EF" w:rsidRDefault="00527467" w:rsidP="002B3202">
            <w:pPr>
              <w:jc w:val="both"/>
              <w:rPr>
                <w:rFonts w:ascii="Arial" w:hAnsi="Arial" w:cs="Arial"/>
                <w:b/>
              </w:rPr>
            </w:pPr>
            <w:r w:rsidRPr="001460EF">
              <w:rPr>
                <w:rFonts w:ascii="Arial" w:hAnsi="Arial" w:cs="Arial"/>
                <w:b/>
              </w:rPr>
              <w:t>Course length (weeks)</w:t>
            </w:r>
          </w:p>
        </w:tc>
        <w:tc>
          <w:tcPr>
            <w:tcW w:w="1984" w:type="dxa"/>
          </w:tcPr>
          <w:p w:rsidR="00527467" w:rsidRPr="001460EF" w:rsidRDefault="00527467" w:rsidP="002B3202">
            <w:pPr>
              <w:jc w:val="both"/>
              <w:rPr>
                <w:rFonts w:ascii="Arial" w:hAnsi="Arial" w:cs="Arial"/>
                <w:b/>
              </w:rPr>
            </w:pPr>
            <w:r w:rsidRPr="001460EF">
              <w:rPr>
                <w:rFonts w:ascii="Arial" w:hAnsi="Arial" w:cs="Arial"/>
                <w:b/>
              </w:rPr>
              <w:t>Student contact hours per week</w:t>
            </w:r>
          </w:p>
        </w:tc>
        <w:tc>
          <w:tcPr>
            <w:tcW w:w="1560" w:type="dxa"/>
          </w:tcPr>
          <w:p w:rsidR="00527467" w:rsidRPr="001460EF" w:rsidRDefault="00527467" w:rsidP="002B3202">
            <w:pPr>
              <w:jc w:val="both"/>
              <w:rPr>
                <w:rFonts w:ascii="Arial" w:hAnsi="Arial" w:cs="Arial"/>
                <w:b/>
              </w:rPr>
            </w:pPr>
            <w:r w:rsidRPr="001460EF">
              <w:rPr>
                <w:rFonts w:ascii="Arial" w:hAnsi="Arial" w:cs="Arial"/>
                <w:b/>
              </w:rPr>
              <w:t>Number</w:t>
            </w:r>
          </w:p>
          <w:p w:rsidR="00527467" w:rsidRPr="001460EF" w:rsidRDefault="00527467" w:rsidP="002B3202">
            <w:pPr>
              <w:jc w:val="both"/>
              <w:rPr>
                <w:rFonts w:ascii="Arial" w:hAnsi="Arial" w:cs="Arial"/>
                <w:b/>
              </w:rPr>
            </w:pPr>
            <w:r w:rsidRPr="001460EF">
              <w:rPr>
                <w:rFonts w:ascii="Arial" w:hAnsi="Arial" w:cs="Arial"/>
                <w:b/>
              </w:rPr>
              <w:t>of students</w:t>
            </w:r>
          </w:p>
        </w:tc>
      </w:tr>
      <w:tr w:rsidR="00527467" w:rsidRPr="009615AA" w:rsidTr="002B3202">
        <w:tc>
          <w:tcPr>
            <w:tcW w:w="1668"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71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548" w:type="dxa"/>
          </w:tcPr>
          <w:p w:rsidR="00527467" w:rsidRPr="009615AA" w:rsidRDefault="00527467" w:rsidP="002B3202">
            <w:pPr>
              <w:jc w:val="both"/>
              <w:rPr>
                <w:rFonts w:ascii="Arial" w:hAnsi="Arial" w:cs="Arial"/>
              </w:rPr>
            </w:pPr>
          </w:p>
        </w:tc>
        <w:tc>
          <w:tcPr>
            <w:tcW w:w="1984" w:type="dxa"/>
          </w:tcPr>
          <w:p w:rsidR="00527467" w:rsidRPr="009615AA" w:rsidRDefault="00527467" w:rsidP="002B3202">
            <w:pPr>
              <w:jc w:val="both"/>
              <w:rPr>
                <w:rFonts w:ascii="Arial" w:hAnsi="Arial" w:cs="Arial"/>
              </w:rPr>
            </w:pPr>
          </w:p>
        </w:tc>
        <w:tc>
          <w:tcPr>
            <w:tcW w:w="1560" w:type="dxa"/>
          </w:tcPr>
          <w:p w:rsidR="00527467" w:rsidRPr="009615AA" w:rsidRDefault="00527467" w:rsidP="002B3202">
            <w:pPr>
              <w:jc w:val="both"/>
              <w:rPr>
                <w:rFonts w:ascii="Arial" w:hAnsi="Arial" w:cs="Arial"/>
              </w:rPr>
            </w:pPr>
          </w:p>
        </w:tc>
      </w:tr>
      <w:tr w:rsidR="00527467" w:rsidRPr="009615AA" w:rsidTr="002B3202">
        <w:tc>
          <w:tcPr>
            <w:tcW w:w="1668" w:type="dxa"/>
          </w:tcPr>
          <w:p w:rsidR="00527467" w:rsidRPr="009615AA"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71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548" w:type="dxa"/>
          </w:tcPr>
          <w:p w:rsidR="00527467" w:rsidRPr="009615AA" w:rsidRDefault="00527467" w:rsidP="002B3202">
            <w:pPr>
              <w:jc w:val="both"/>
              <w:rPr>
                <w:rFonts w:ascii="Arial" w:hAnsi="Arial" w:cs="Arial"/>
              </w:rPr>
            </w:pPr>
          </w:p>
        </w:tc>
        <w:tc>
          <w:tcPr>
            <w:tcW w:w="1984" w:type="dxa"/>
          </w:tcPr>
          <w:p w:rsidR="00527467" w:rsidRPr="009615AA" w:rsidRDefault="00527467" w:rsidP="002B3202">
            <w:pPr>
              <w:jc w:val="both"/>
              <w:rPr>
                <w:rFonts w:ascii="Arial" w:hAnsi="Arial" w:cs="Arial"/>
              </w:rPr>
            </w:pPr>
          </w:p>
        </w:tc>
        <w:tc>
          <w:tcPr>
            <w:tcW w:w="1560" w:type="dxa"/>
          </w:tcPr>
          <w:p w:rsidR="00527467" w:rsidRPr="009615AA" w:rsidRDefault="00527467" w:rsidP="002B3202">
            <w:pPr>
              <w:jc w:val="both"/>
              <w:rPr>
                <w:rFonts w:ascii="Arial" w:hAnsi="Arial" w:cs="Arial"/>
              </w:rPr>
            </w:pPr>
          </w:p>
        </w:tc>
      </w:tr>
      <w:tr w:rsidR="00527467" w:rsidRPr="009615AA" w:rsidTr="002B3202">
        <w:tc>
          <w:tcPr>
            <w:tcW w:w="1668" w:type="dxa"/>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712" w:type="dxa"/>
          </w:tcPr>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p w:rsidR="00527467" w:rsidRPr="009615AA" w:rsidRDefault="00527467" w:rsidP="002B3202">
            <w:pPr>
              <w:jc w:val="both"/>
              <w:rPr>
                <w:rFonts w:ascii="Arial" w:hAnsi="Arial" w:cs="Arial"/>
              </w:rPr>
            </w:pPr>
          </w:p>
        </w:tc>
        <w:tc>
          <w:tcPr>
            <w:tcW w:w="1548" w:type="dxa"/>
          </w:tcPr>
          <w:p w:rsidR="00527467" w:rsidRPr="009615AA" w:rsidRDefault="00527467" w:rsidP="002B3202">
            <w:pPr>
              <w:jc w:val="both"/>
              <w:rPr>
                <w:rFonts w:ascii="Arial" w:hAnsi="Arial" w:cs="Arial"/>
              </w:rPr>
            </w:pPr>
          </w:p>
        </w:tc>
        <w:tc>
          <w:tcPr>
            <w:tcW w:w="1984" w:type="dxa"/>
          </w:tcPr>
          <w:p w:rsidR="00527467" w:rsidRPr="009615AA" w:rsidRDefault="00527467" w:rsidP="002B3202">
            <w:pPr>
              <w:jc w:val="both"/>
              <w:rPr>
                <w:rFonts w:ascii="Arial" w:hAnsi="Arial" w:cs="Arial"/>
              </w:rPr>
            </w:pPr>
          </w:p>
        </w:tc>
        <w:tc>
          <w:tcPr>
            <w:tcW w:w="1560" w:type="dxa"/>
          </w:tcPr>
          <w:p w:rsidR="00527467" w:rsidRPr="009615AA" w:rsidRDefault="00527467" w:rsidP="002B3202">
            <w:pPr>
              <w:jc w:val="both"/>
              <w:rPr>
                <w:rFonts w:ascii="Arial" w:hAnsi="Arial" w:cs="Arial"/>
              </w:rPr>
            </w:pPr>
          </w:p>
        </w:tc>
      </w:tr>
    </w:tbl>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Pr="00DF375D" w:rsidRDefault="00527467" w:rsidP="00527467">
      <w:pPr>
        <w:numPr>
          <w:ilvl w:val="1"/>
          <w:numId w:val="34"/>
        </w:numPr>
        <w:spacing w:after="0" w:line="240" w:lineRule="auto"/>
        <w:jc w:val="both"/>
        <w:rPr>
          <w:rFonts w:ascii="Arial" w:hAnsi="Arial" w:cs="Arial"/>
        </w:rPr>
      </w:pPr>
      <w:r>
        <w:rPr>
          <w:rFonts w:ascii="Arial" w:hAnsi="Arial" w:cs="Arial"/>
        </w:rPr>
        <w:t xml:space="preserve"> </w:t>
      </w:r>
      <w:r w:rsidRPr="00DF375D">
        <w:rPr>
          <w:rFonts w:ascii="Arial" w:hAnsi="Arial" w:cs="Arial"/>
        </w:rPr>
        <w:t>Are CPE students taught together with undergraduate students?</w:t>
      </w:r>
      <w:r>
        <w:rPr>
          <w:rFonts w:ascii="Arial" w:hAnsi="Arial" w:cs="Arial"/>
        </w:rPr>
        <w:t xml:space="preserve"> (please indicate)</w:t>
      </w:r>
    </w:p>
    <w:p w:rsidR="00527467" w:rsidRPr="00DF375D" w:rsidRDefault="00527467" w:rsidP="00527467">
      <w:pPr>
        <w:jc w:val="both"/>
        <w:rPr>
          <w:rFonts w:ascii="Arial" w:hAnsi="Arial" w:cs="Arial"/>
        </w:rPr>
      </w:pPr>
      <w:r w:rsidRPr="00DF375D">
        <w:rPr>
          <w:rFonts w:ascii="Arial" w:hAnsi="Arial" w:cs="Arial"/>
        </w:rPr>
        <w:t xml:space="preserve"> </w:t>
      </w:r>
    </w:p>
    <w:p w:rsidR="00527467" w:rsidRPr="00DF375D" w:rsidRDefault="00527467" w:rsidP="00527467">
      <w:pPr>
        <w:jc w:val="both"/>
        <w:rPr>
          <w:rFonts w:ascii="Arial" w:hAnsi="Arial" w:cs="Arial"/>
        </w:rPr>
      </w:pPr>
      <w:r w:rsidRPr="00DF375D">
        <w:rPr>
          <w:rFonts w:ascii="Arial" w:hAnsi="Arial" w:cs="Arial"/>
        </w:rPr>
        <w:t xml:space="preserve">         Yes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F375D">
        <w:rPr>
          <w:rFonts w:ascii="Arial" w:hAnsi="Arial" w:cs="Arial"/>
        </w:rPr>
        <w:t xml:space="preserve">No      </w:t>
      </w:r>
    </w:p>
    <w:p w:rsidR="00527467" w:rsidRPr="00DF375D" w:rsidRDefault="00527467" w:rsidP="00527467">
      <w:pPr>
        <w:jc w:val="both"/>
        <w:rPr>
          <w:rFonts w:ascii="Arial" w:hAnsi="Arial" w:cs="Arial"/>
        </w:rPr>
      </w:pPr>
    </w:p>
    <w:p w:rsidR="00527467" w:rsidRPr="00DF375D" w:rsidRDefault="00527467" w:rsidP="00527467">
      <w:pPr>
        <w:jc w:val="both"/>
        <w:rPr>
          <w:rFonts w:ascii="Arial" w:hAnsi="Arial" w:cs="Arial"/>
        </w:rPr>
      </w:pPr>
      <w:r>
        <w:rPr>
          <w:rFonts w:ascii="Arial" w:hAnsi="Arial" w:cs="Arial"/>
        </w:rPr>
        <w:t>3.3</w:t>
      </w:r>
      <w:r w:rsidRPr="00DF375D">
        <w:rPr>
          <w:rFonts w:ascii="Arial" w:hAnsi="Arial" w:cs="Arial"/>
        </w:rPr>
        <w:t xml:space="preserve"> </w:t>
      </w:r>
      <w:r>
        <w:rPr>
          <w:rFonts w:ascii="Arial" w:hAnsi="Arial" w:cs="Arial"/>
        </w:rPr>
        <w:t xml:space="preserve"> </w:t>
      </w:r>
      <w:r w:rsidRPr="00DF375D">
        <w:rPr>
          <w:rFonts w:ascii="Arial" w:hAnsi="Arial" w:cs="Arial"/>
        </w:rPr>
        <w:t xml:space="preserve"> If yes, please give details below:</w:t>
      </w:r>
    </w:p>
    <w:p w:rsidR="00527467" w:rsidRPr="00DF375D" w:rsidRDefault="00527467" w:rsidP="00527467">
      <w:pPr>
        <w:jc w:val="both"/>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134"/>
      </w:tblGrid>
      <w:tr w:rsidR="00527467" w:rsidRPr="00DF375D" w:rsidTr="002B3202">
        <w:tc>
          <w:tcPr>
            <w:tcW w:w="4361" w:type="dxa"/>
          </w:tcPr>
          <w:p w:rsidR="00527467" w:rsidRPr="00DF375D" w:rsidRDefault="00527467" w:rsidP="002B3202">
            <w:pPr>
              <w:jc w:val="both"/>
              <w:rPr>
                <w:rFonts w:ascii="Arial" w:hAnsi="Arial" w:cs="Arial"/>
                <w:b/>
                <w:bCs/>
              </w:rPr>
            </w:pPr>
            <w:r w:rsidRPr="00DF375D">
              <w:rPr>
                <w:rFonts w:ascii="Arial" w:hAnsi="Arial" w:cs="Arial"/>
                <w:b/>
                <w:bCs/>
              </w:rPr>
              <w:t>Students taught together in:</w:t>
            </w:r>
          </w:p>
        </w:tc>
        <w:tc>
          <w:tcPr>
            <w:tcW w:w="1134" w:type="dxa"/>
          </w:tcPr>
          <w:p w:rsidR="00527467" w:rsidRPr="00DF375D" w:rsidRDefault="00527467" w:rsidP="002B3202">
            <w:pPr>
              <w:jc w:val="both"/>
              <w:rPr>
                <w:rFonts w:ascii="Arial" w:hAnsi="Arial" w:cs="Arial"/>
                <w:b/>
                <w:bCs/>
              </w:rPr>
            </w:pPr>
            <w:r w:rsidRPr="00DF375D">
              <w:rPr>
                <w:rFonts w:ascii="Arial" w:hAnsi="Arial" w:cs="Arial"/>
                <w:b/>
                <w:bCs/>
              </w:rPr>
              <w:t xml:space="preserve">    </w:t>
            </w:r>
            <w:r>
              <w:rPr>
                <w:rFonts w:ascii="Arial" w:hAnsi="Arial" w:cs="Arial"/>
                <w:b/>
                <w:bCs/>
              </w:rPr>
              <w:t>X</w:t>
            </w:r>
          </w:p>
        </w:tc>
      </w:tr>
      <w:tr w:rsidR="00527467" w:rsidRPr="00DF375D" w:rsidTr="002B3202">
        <w:tc>
          <w:tcPr>
            <w:tcW w:w="4361" w:type="dxa"/>
          </w:tcPr>
          <w:p w:rsidR="00527467" w:rsidRDefault="00527467" w:rsidP="002B3202">
            <w:pPr>
              <w:jc w:val="both"/>
              <w:rPr>
                <w:rFonts w:ascii="Arial" w:hAnsi="Arial" w:cs="Arial"/>
              </w:rPr>
            </w:pPr>
            <w:r w:rsidRPr="00DF375D">
              <w:rPr>
                <w:rFonts w:ascii="Arial" w:hAnsi="Arial" w:cs="Arial"/>
              </w:rPr>
              <w:t>All their classes</w:t>
            </w:r>
          </w:p>
          <w:p w:rsidR="00527467" w:rsidRPr="00DF375D" w:rsidRDefault="00527467" w:rsidP="002B3202">
            <w:pPr>
              <w:jc w:val="both"/>
              <w:rPr>
                <w:rFonts w:ascii="Arial" w:hAnsi="Arial" w:cs="Arial"/>
              </w:rPr>
            </w:pPr>
          </w:p>
        </w:tc>
        <w:tc>
          <w:tcPr>
            <w:tcW w:w="1134" w:type="dxa"/>
          </w:tcPr>
          <w:p w:rsidR="00527467" w:rsidRPr="00DF375D" w:rsidRDefault="00527467" w:rsidP="002B3202">
            <w:pPr>
              <w:jc w:val="both"/>
              <w:rPr>
                <w:rFonts w:ascii="Arial" w:hAnsi="Arial" w:cs="Arial"/>
                <w:b/>
                <w:bCs/>
              </w:rPr>
            </w:pPr>
          </w:p>
        </w:tc>
      </w:tr>
      <w:tr w:rsidR="00527467" w:rsidRPr="00DF375D" w:rsidTr="002B3202">
        <w:tc>
          <w:tcPr>
            <w:tcW w:w="4361" w:type="dxa"/>
          </w:tcPr>
          <w:p w:rsidR="00527467" w:rsidRDefault="00527467" w:rsidP="002B3202">
            <w:pPr>
              <w:jc w:val="both"/>
              <w:rPr>
                <w:rFonts w:ascii="Arial" w:hAnsi="Arial" w:cs="Arial"/>
              </w:rPr>
            </w:pPr>
            <w:r w:rsidRPr="00DF375D">
              <w:rPr>
                <w:rFonts w:ascii="Arial" w:hAnsi="Arial" w:cs="Arial"/>
              </w:rPr>
              <w:t>Lectures only</w:t>
            </w:r>
          </w:p>
          <w:p w:rsidR="00527467" w:rsidRPr="00DF375D" w:rsidRDefault="00527467" w:rsidP="002B3202">
            <w:pPr>
              <w:jc w:val="both"/>
              <w:rPr>
                <w:rFonts w:ascii="Arial" w:hAnsi="Arial" w:cs="Arial"/>
              </w:rPr>
            </w:pPr>
          </w:p>
        </w:tc>
        <w:tc>
          <w:tcPr>
            <w:tcW w:w="1134" w:type="dxa"/>
          </w:tcPr>
          <w:p w:rsidR="00527467" w:rsidRPr="00DF375D" w:rsidRDefault="00527467" w:rsidP="002B3202">
            <w:pPr>
              <w:jc w:val="both"/>
              <w:rPr>
                <w:rFonts w:ascii="Arial" w:hAnsi="Arial" w:cs="Arial"/>
              </w:rPr>
            </w:pPr>
          </w:p>
        </w:tc>
      </w:tr>
      <w:tr w:rsidR="00527467" w:rsidRPr="00DF375D" w:rsidTr="002B3202">
        <w:tc>
          <w:tcPr>
            <w:tcW w:w="4361" w:type="dxa"/>
          </w:tcPr>
          <w:p w:rsidR="00527467" w:rsidRDefault="00527467" w:rsidP="002B3202">
            <w:pPr>
              <w:jc w:val="both"/>
              <w:rPr>
                <w:rFonts w:ascii="Arial" w:hAnsi="Arial" w:cs="Arial"/>
              </w:rPr>
            </w:pPr>
            <w:r w:rsidRPr="00DF375D">
              <w:rPr>
                <w:rFonts w:ascii="Arial" w:hAnsi="Arial" w:cs="Arial"/>
              </w:rPr>
              <w:t>Seminars/tutorials only</w:t>
            </w:r>
          </w:p>
          <w:p w:rsidR="00527467" w:rsidRPr="00DF375D" w:rsidRDefault="00527467" w:rsidP="002B3202">
            <w:pPr>
              <w:jc w:val="both"/>
              <w:rPr>
                <w:rFonts w:ascii="Arial" w:hAnsi="Arial" w:cs="Arial"/>
              </w:rPr>
            </w:pPr>
          </w:p>
        </w:tc>
        <w:tc>
          <w:tcPr>
            <w:tcW w:w="1134" w:type="dxa"/>
          </w:tcPr>
          <w:p w:rsidR="00527467" w:rsidRPr="00DF375D" w:rsidRDefault="00527467" w:rsidP="002B3202">
            <w:pPr>
              <w:jc w:val="both"/>
              <w:rPr>
                <w:rFonts w:ascii="Arial" w:hAnsi="Arial" w:cs="Arial"/>
              </w:rPr>
            </w:pPr>
          </w:p>
        </w:tc>
      </w:tr>
      <w:tr w:rsidR="00527467" w:rsidRPr="00DF375D" w:rsidTr="002B3202">
        <w:tc>
          <w:tcPr>
            <w:tcW w:w="4361" w:type="dxa"/>
          </w:tcPr>
          <w:p w:rsidR="00527467" w:rsidRDefault="00527467" w:rsidP="002B3202">
            <w:pPr>
              <w:jc w:val="both"/>
              <w:rPr>
                <w:rFonts w:ascii="Arial" w:hAnsi="Arial" w:cs="Arial"/>
                <w:i/>
                <w:iCs/>
              </w:rPr>
            </w:pPr>
            <w:r w:rsidRPr="00DF375D">
              <w:rPr>
                <w:rFonts w:ascii="Arial" w:hAnsi="Arial" w:cs="Arial"/>
              </w:rPr>
              <w:t>Other classes (</w:t>
            </w:r>
            <w:r w:rsidRPr="00DF375D">
              <w:rPr>
                <w:rFonts w:ascii="Arial" w:hAnsi="Arial" w:cs="Arial"/>
                <w:i/>
                <w:iCs/>
              </w:rPr>
              <w:t>please specify)</w:t>
            </w:r>
          </w:p>
          <w:p w:rsidR="00527467" w:rsidRDefault="00527467" w:rsidP="002B3202">
            <w:pPr>
              <w:jc w:val="both"/>
              <w:rPr>
                <w:rFonts w:ascii="Arial" w:hAnsi="Arial" w:cs="Arial"/>
                <w:i/>
                <w:iCs/>
              </w:rPr>
            </w:pPr>
          </w:p>
          <w:p w:rsidR="00527467" w:rsidRDefault="00527467" w:rsidP="002B3202">
            <w:pPr>
              <w:jc w:val="both"/>
              <w:rPr>
                <w:rFonts w:ascii="Arial" w:hAnsi="Arial" w:cs="Arial"/>
                <w:i/>
                <w:iCs/>
              </w:rPr>
            </w:pPr>
          </w:p>
          <w:p w:rsidR="00527467" w:rsidRPr="00DF375D" w:rsidRDefault="00527467" w:rsidP="002B3202">
            <w:pPr>
              <w:jc w:val="both"/>
              <w:rPr>
                <w:rFonts w:ascii="Arial" w:hAnsi="Arial" w:cs="Arial"/>
                <w:i/>
                <w:iCs/>
              </w:rPr>
            </w:pPr>
          </w:p>
          <w:p w:rsidR="00527467" w:rsidRPr="00DF375D" w:rsidRDefault="00527467" w:rsidP="002B3202">
            <w:pPr>
              <w:jc w:val="both"/>
              <w:rPr>
                <w:rFonts w:ascii="Arial" w:hAnsi="Arial" w:cs="Arial"/>
                <w:i/>
                <w:iCs/>
              </w:rPr>
            </w:pPr>
          </w:p>
          <w:p w:rsidR="00527467" w:rsidRPr="00DF375D" w:rsidRDefault="00527467" w:rsidP="002B3202">
            <w:pPr>
              <w:jc w:val="both"/>
              <w:rPr>
                <w:rFonts w:ascii="Arial" w:hAnsi="Arial" w:cs="Arial"/>
                <w:i/>
                <w:iCs/>
              </w:rPr>
            </w:pPr>
          </w:p>
        </w:tc>
        <w:tc>
          <w:tcPr>
            <w:tcW w:w="1134" w:type="dxa"/>
          </w:tcPr>
          <w:p w:rsidR="00527467" w:rsidRPr="00DF375D" w:rsidRDefault="00527467" w:rsidP="002B3202">
            <w:pPr>
              <w:jc w:val="both"/>
              <w:rPr>
                <w:rFonts w:ascii="Arial" w:hAnsi="Arial" w:cs="Arial"/>
              </w:rPr>
            </w:pPr>
          </w:p>
        </w:tc>
      </w:tr>
    </w:tbl>
    <w:p w:rsidR="00527467" w:rsidRPr="00DF375D" w:rsidRDefault="00527467" w:rsidP="00527467">
      <w:pPr>
        <w:jc w:val="both"/>
        <w:rPr>
          <w:rFonts w:ascii="Arial" w:hAnsi="Arial" w:cs="Arial"/>
        </w:rPr>
      </w:pPr>
      <w:r>
        <w:rPr>
          <w:rFonts w:ascii="Arial" w:hAnsi="Arial" w:cs="Arial"/>
        </w:rPr>
        <w:br w:type="textWrapping" w:clear="all"/>
      </w:r>
    </w:p>
    <w:p w:rsidR="00527467" w:rsidRPr="00DF375D" w:rsidRDefault="00527467" w:rsidP="00527467">
      <w:pPr>
        <w:jc w:val="both"/>
        <w:rPr>
          <w:rFonts w:ascii="Arial" w:hAnsi="Arial" w:cs="Arial"/>
        </w:rPr>
      </w:pPr>
    </w:p>
    <w:p w:rsidR="00527467" w:rsidRDefault="00527467" w:rsidP="00527467">
      <w:pPr>
        <w:jc w:val="both"/>
        <w:rPr>
          <w:rFonts w:ascii="Arial" w:hAnsi="Arial" w:cs="Arial"/>
          <w:b/>
        </w:rPr>
      </w:pPr>
      <w:r w:rsidRPr="009615AA">
        <w:rPr>
          <w:rFonts w:ascii="Arial" w:hAnsi="Arial" w:cs="Arial"/>
          <w:b/>
        </w:rPr>
        <w:t>4.  Course Content</w:t>
      </w:r>
    </w:p>
    <w:p w:rsidR="00527467" w:rsidRPr="007B3041" w:rsidRDefault="00527467" w:rsidP="00527467">
      <w:pPr>
        <w:jc w:val="both"/>
        <w:rPr>
          <w:rFonts w:ascii="Arial" w:hAnsi="Arial" w:cs="Arial"/>
        </w:rPr>
      </w:pPr>
      <w:r w:rsidRPr="007B3041">
        <w:rPr>
          <w:rFonts w:ascii="Arial" w:hAnsi="Arial" w:cs="Arial"/>
        </w:rPr>
        <w:lastRenderedPageBreak/>
        <w:t>We are interested first in the content of your principal European Union law course or module.  Please indicate:</w:t>
      </w:r>
    </w:p>
    <w:p w:rsidR="00527467" w:rsidRDefault="00527467" w:rsidP="00527467">
      <w:pPr>
        <w:jc w:val="both"/>
        <w:rPr>
          <w:rFonts w:ascii="Arial" w:hAnsi="Arial" w:cs="Arial"/>
        </w:rPr>
      </w:pPr>
      <w:r>
        <w:rPr>
          <w:rFonts w:ascii="Arial" w:hAnsi="Arial" w:cs="Arial"/>
        </w:rPr>
        <w:t xml:space="preserve">(a) </w:t>
      </w:r>
      <w:proofErr w:type="gramStart"/>
      <w:r w:rsidRPr="007B3041">
        <w:rPr>
          <w:rFonts w:ascii="Arial" w:hAnsi="Arial" w:cs="Arial"/>
        </w:rPr>
        <w:t>which</w:t>
      </w:r>
      <w:proofErr w:type="gramEnd"/>
      <w:r w:rsidRPr="007B3041">
        <w:rPr>
          <w:rFonts w:ascii="Arial" w:hAnsi="Arial" w:cs="Arial"/>
        </w:rPr>
        <w:t xml:space="preserve"> </w:t>
      </w:r>
      <w:r>
        <w:rPr>
          <w:rFonts w:ascii="Arial" w:hAnsi="Arial" w:cs="Arial"/>
        </w:rPr>
        <w:t xml:space="preserve">general </w:t>
      </w:r>
      <w:r w:rsidRPr="007B3041">
        <w:rPr>
          <w:rFonts w:ascii="Arial" w:hAnsi="Arial" w:cs="Arial"/>
        </w:rPr>
        <w:t>areas are covered in your course</w:t>
      </w:r>
      <w:r>
        <w:rPr>
          <w:rFonts w:ascii="Arial" w:hAnsi="Arial" w:cs="Arial"/>
        </w:rPr>
        <w:t>;</w:t>
      </w:r>
    </w:p>
    <w:p w:rsidR="00527467" w:rsidRDefault="00527467" w:rsidP="00527467">
      <w:pPr>
        <w:numPr>
          <w:ilvl w:val="0"/>
          <w:numId w:val="35"/>
        </w:numPr>
        <w:tabs>
          <w:tab w:val="clear" w:pos="720"/>
          <w:tab w:val="num" w:pos="426"/>
        </w:tabs>
        <w:spacing w:after="0" w:line="240" w:lineRule="auto"/>
        <w:ind w:hanging="720"/>
        <w:jc w:val="both"/>
        <w:rPr>
          <w:rFonts w:ascii="Arial" w:hAnsi="Arial" w:cs="Arial"/>
        </w:rPr>
      </w:pPr>
      <w:r w:rsidRPr="007B3041">
        <w:rPr>
          <w:rFonts w:ascii="Arial" w:hAnsi="Arial" w:cs="Arial"/>
        </w:rPr>
        <w:t xml:space="preserve">for each area, roughly what percentage of </w:t>
      </w:r>
      <w:r>
        <w:rPr>
          <w:rFonts w:ascii="Arial" w:hAnsi="Arial" w:cs="Arial"/>
        </w:rPr>
        <w:t>the overall course content this</w:t>
      </w:r>
    </w:p>
    <w:p w:rsidR="00527467" w:rsidRDefault="00527467" w:rsidP="00527467">
      <w:pPr>
        <w:jc w:val="both"/>
        <w:rPr>
          <w:rFonts w:ascii="Arial" w:hAnsi="Arial" w:cs="Arial"/>
        </w:rPr>
      </w:pPr>
      <w:proofErr w:type="gramStart"/>
      <w:r w:rsidRPr="007B3041">
        <w:rPr>
          <w:rFonts w:ascii="Arial" w:hAnsi="Arial" w:cs="Arial"/>
        </w:rPr>
        <w:t>area</w:t>
      </w:r>
      <w:proofErr w:type="gramEnd"/>
      <w:r w:rsidRPr="007B3041">
        <w:rPr>
          <w:rFonts w:ascii="Arial" w:hAnsi="Arial" w:cs="Arial"/>
        </w:rPr>
        <w:t xml:space="preserve"> represents</w:t>
      </w:r>
      <w:r>
        <w:rPr>
          <w:rFonts w:ascii="Arial" w:hAnsi="Arial" w:cs="Arial"/>
        </w:rPr>
        <w:t>;</w:t>
      </w:r>
    </w:p>
    <w:p w:rsidR="00527467" w:rsidRPr="007B3041" w:rsidRDefault="00527467" w:rsidP="00527467">
      <w:pPr>
        <w:numPr>
          <w:ilvl w:val="0"/>
          <w:numId w:val="35"/>
        </w:numPr>
        <w:tabs>
          <w:tab w:val="clear" w:pos="720"/>
          <w:tab w:val="num" w:pos="426"/>
        </w:tabs>
        <w:spacing w:after="0" w:line="240" w:lineRule="auto"/>
        <w:ind w:left="0" w:firstLine="0"/>
        <w:jc w:val="both"/>
        <w:rPr>
          <w:rFonts w:ascii="Arial" w:hAnsi="Arial" w:cs="Arial"/>
        </w:rPr>
      </w:pPr>
      <w:proofErr w:type="gramStart"/>
      <w:r>
        <w:rPr>
          <w:rFonts w:ascii="Arial" w:hAnsi="Arial" w:cs="Arial"/>
        </w:rPr>
        <w:t>any</w:t>
      </w:r>
      <w:proofErr w:type="gramEnd"/>
      <w:r>
        <w:rPr>
          <w:rFonts w:ascii="Arial" w:hAnsi="Arial" w:cs="Arial"/>
        </w:rPr>
        <w:t xml:space="preserve"> </w:t>
      </w:r>
      <w:r w:rsidRPr="007B3041">
        <w:rPr>
          <w:rFonts w:ascii="Arial" w:hAnsi="Arial" w:cs="Arial"/>
        </w:rPr>
        <w:t xml:space="preserve">areas </w:t>
      </w:r>
      <w:r>
        <w:rPr>
          <w:rFonts w:ascii="Arial" w:hAnsi="Arial" w:cs="Arial"/>
        </w:rPr>
        <w:t xml:space="preserve">which </w:t>
      </w:r>
      <w:r w:rsidRPr="007B3041">
        <w:rPr>
          <w:rFonts w:ascii="Arial" w:hAnsi="Arial" w:cs="Arial"/>
        </w:rPr>
        <w:t>are taught on courses other than your principal EU course.</w:t>
      </w:r>
    </w:p>
    <w:p w:rsidR="00527467" w:rsidRPr="007B3041" w:rsidRDefault="00527467" w:rsidP="00527467">
      <w:pPr>
        <w:jc w:val="both"/>
        <w:rPr>
          <w:rFonts w:ascii="Arial" w:hAnsi="Arial" w:cs="Arial"/>
        </w:rPr>
      </w:pPr>
      <w:r w:rsidRPr="007B3041">
        <w:rPr>
          <w:rFonts w:ascii="Arial" w:hAnsi="Arial" w:cs="Arial"/>
        </w:rPr>
        <w:t>There are a number of boxes where you may wish to add course contents that have not been pre-listed.</w:t>
      </w: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3303"/>
        <w:gridCol w:w="1352"/>
        <w:gridCol w:w="1964"/>
        <w:gridCol w:w="2623"/>
      </w:tblGrid>
      <w:tr w:rsidR="00527467" w:rsidRPr="009615AA" w:rsidTr="002B3202">
        <w:tc>
          <w:tcPr>
            <w:tcW w:w="0" w:type="auto"/>
          </w:tcPr>
          <w:p w:rsidR="00527467" w:rsidRPr="007B3041" w:rsidRDefault="00527467" w:rsidP="002B3202">
            <w:pPr>
              <w:jc w:val="both"/>
              <w:rPr>
                <w:rFonts w:ascii="Arial Narrow" w:hAnsi="Arial Narrow" w:cs="Arial"/>
                <w:b/>
              </w:rPr>
            </w:pPr>
            <w:r w:rsidRPr="007B3041">
              <w:rPr>
                <w:rFonts w:ascii="Arial Narrow" w:hAnsi="Arial Narrow" w:cs="Arial"/>
                <w:b/>
              </w:rPr>
              <w:t>(a) Subject included in principal EU course</w:t>
            </w:r>
          </w:p>
        </w:tc>
        <w:tc>
          <w:tcPr>
            <w:tcW w:w="0" w:type="auto"/>
          </w:tcPr>
          <w:p w:rsidR="00527467" w:rsidRPr="007B3041" w:rsidRDefault="00527467" w:rsidP="002B3202">
            <w:pPr>
              <w:jc w:val="both"/>
              <w:rPr>
                <w:rFonts w:ascii="Arial Narrow" w:hAnsi="Arial Narrow" w:cs="Arial"/>
                <w:b/>
              </w:rPr>
            </w:pPr>
            <w:r w:rsidRPr="007B3041">
              <w:rPr>
                <w:rFonts w:ascii="Arial Narrow" w:hAnsi="Arial Narrow" w:cs="Arial"/>
                <w:b/>
              </w:rPr>
              <w:t>(a) Please mark with X</w:t>
            </w:r>
          </w:p>
        </w:tc>
        <w:tc>
          <w:tcPr>
            <w:tcW w:w="0" w:type="auto"/>
          </w:tcPr>
          <w:p w:rsidR="00527467" w:rsidRPr="007B3041" w:rsidRDefault="00527467" w:rsidP="002B3202">
            <w:pPr>
              <w:jc w:val="both"/>
              <w:rPr>
                <w:rFonts w:ascii="Arial Narrow" w:hAnsi="Arial Narrow" w:cs="Arial"/>
                <w:b/>
              </w:rPr>
            </w:pPr>
            <w:r w:rsidRPr="007B3041">
              <w:rPr>
                <w:rFonts w:ascii="Arial Narrow" w:hAnsi="Arial Narrow" w:cs="Arial"/>
                <w:b/>
              </w:rPr>
              <w:t xml:space="preserve">(b) </w:t>
            </w:r>
            <w:r>
              <w:rPr>
                <w:rFonts w:ascii="Arial Narrow" w:hAnsi="Arial Narrow" w:cs="Arial"/>
                <w:b/>
              </w:rPr>
              <w:t xml:space="preserve">Percentage of </w:t>
            </w:r>
            <w:r w:rsidRPr="007B3041">
              <w:rPr>
                <w:rFonts w:ascii="Arial Narrow" w:hAnsi="Arial Narrow" w:cs="Arial"/>
                <w:b/>
              </w:rPr>
              <w:t>overall content</w:t>
            </w:r>
          </w:p>
        </w:tc>
        <w:tc>
          <w:tcPr>
            <w:tcW w:w="0" w:type="auto"/>
          </w:tcPr>
          <w:p w:rsidR="00527467" w:rsidRDefault="00527467" w:rsidP="002B3202">
            <w:pPr>
              <w:jc w:val="both"/>
              <w:rPr>
                <w:rFonts w:ascii="Arial Narrow" w:hAnsi="Arial Narrow" w:cs="Arial"/>
                <w:b/>
              </w:rPr>
            </w:pPr>
            <w:r w:rsidRPr="007B3041">
              <w:rPr>
                <w:rFonts w:ascii="Arial Narrow" w:hAnsi="Arial Narrow" w:cs="Arial"/>
                <w:b/>
              </w:rPr>
              <w:t>(c) Subject incl</w:t>
            </w:r>
            <w:r>
              <w:rPr>
                <w:rFonts w:ascii="Arial Narrow" w:hAnsi="Arial Narrow" w:cs="Arial"/>
                <w:b/>
              </w:rPr>
              <w:t>uded in other course/module.</w:t>
            </w:r>
          </w:p>
          <w:p w:rsidR="00527467" w:rsidRPr="007B3041" w:rsidRDefault="00527467" w:rsidP="002B3202">
            <w:pPr>
              <w:jc w:val="both"/>
              <w:rPr>
                <w:rFonts w:ascii="Arial Narrow" w:hAnsi="Arial Narrow" w:cs="Arial"/>
                <w:b/>
              </w:rPr>
            </w:pPr>
            <w:r w:rsidRPr="007B3041">
              <w:rPr>
                <w:rFonts w:ascii="Arial Narrow" w:hAnsi="Arial Narrow" w:cs="Arial"/>
                <w:b/>
              </w:rPr>
              <w:t>Please identify in which other course/module</w:t>
            </w: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Historical background</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Institutional framework</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Nature and function of the EU</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Integration theory</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Civil law systems and reasoning</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Sources of law</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Supremacy</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Direct Effect</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General Principles</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rPr>
                <w:rFonts w:ascii="Arial" w:hAnsi="Arial" w:cs="Arial"/>
              </w:rPr>
            </w:pPr>
            <w:r w:rsidRPr="009615AA">
              <w:rPr>
                <w:rFonts w:ascii="Arial" w:hAnsi="Arial" w:cs="Arial"/>
              </w:rPr>
              <w:t>Principle of Subsidiarity</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Fundamental Rights</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Preliminary Rulings, Art 234</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Enforcement Actions, Art 226</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Action for Annulment, Art 230</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State Liability</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Free Movement of Goods</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Free Movement of Persons</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lastRenderedPageBreak/>
              <w:t>Free Movement of Capital</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Free Movement of Services and Right of Establishment</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Competition Law</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State Aid</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Intellectual Property Law</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Social Policy</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Sex Discrimination</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Environmental Law</w:t>
            </w: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b/>
        </w:rPr>
      </w:pPr>
      <w:r w:rsidRPr="009615AA">
        <w:rPr>
          <w:rFonts w:ascii="Arial" w:hAnsi="Arial" w:cs="Arial"/>
          <w:b/>
        </w:rPr>
        <w:t>5.0 Factors Influencing Course Content</w:t>
      </w:r>
    </w:p>
    <w:p w:rsidR="00527467" w:rsidRPr="009615AA" w:rsidRDefault="00527467" w:rsidP="00527467">
      <w:pPr>
        <w:jc w:val="both"/>
        <w:rPr>
          <w:rFonts w:ascii="Arial" w:hAnsi="Arial" w:cs="Arial"/>
        </w:rPr>
      </w:pPr>
    </w:p>
    <w:p w:rsidR="00527467" w:rsidRPr="00273604" w:rsidRDefault="00527467" w:rsidP="00527467">
      <w:pPr>
        <w:jc w:val="both"/>
        <w:rPr>
          <w:rFonts w:ascii="Arial" w:hAnsi="Arial" w:cs="Arial"/>
        </w:rPr>
      </w:pPr>
      <w:r w:rsidRPr="00273604">
        <w:rPr>
          <w:rFonts w:ascii="Arial" w:hAnsi="Arial" w:cs="Arial"/>
        </w:rPr>
        <w:t>We are interested in the factors which influence the selection of course content.  Please indicate which factors influence your present choice of course content.  Please give a weighting to each of the selected factors from 1 - 5:</w:t>
      </w:r>
    </w:p>
    <w:p w:rsidR="00527467" w:rsidRPr="00273604" w:rsidRDefault="00527467" w:rsidP="00527467">
      <w:pPr>
        <w:jc w:val="both"/>
        <w:rPr>
          <w:rFonts w:ascii="Arial" w:hAnsi="Arial" w:cs="Arial"/>
        </w:rPr>
      </w:pPr>
      <w:r w:rsidRPr="00273604">
        <w:rPr>
          <w:rFonts w:ascii="Arial" w:hAnsi="Arial" w:cs="Arial"/>
        </w:rPr>
        <w:t>1 = an irrelevant factor</w:t>
      </w:r>
    </w:p>
    <w:p w:rsidR="00527467" w:rsidRPr="00273604" w:rsidRDefault="00527467" w:rsidP="00527467">
      <w:pPr>
        <w:jc w:val="both"/>
        <w:rPr>
          <w:rFonts w:ascii="Arial" w:hAnsi="Arial" w:cs="Arial"/>
        </w:rPr>
      </w:pPr>
      <w:r w:rsidRPr="00273604">
        <w:rPr>
          <w:rFonts w:ascii="Arial" w:hAnsi="Arial" w:cs="Arial"/>
        </w:rPr>
        <w:t>2 = of marginal relevance</w:t>
      </w:r>
    </w:p>
    <w:p w:rsidR="00527467" w:rsidRPr="00273604" w:rsidRDefault="00527467" w:rsidP="00527467">
      <w:pPr>
        <w:jc w:val="both"/>
        <w:rPr>
          <w:rFonts w:ascii="Arial" w:hAnsi="Arial" w:cs="Arial"/>
        </w:rPr>
      </w:pPr>
      <w:r w:rsidRPr="00273604">
        <w:rPr>
          <w:rFonts w:ascii="Arial" w:hAnsi="Arial" w:cs="Arial"/>
        </w:rPr>
        <w:t>3 = significant or material</w:t>
      </w:r>
    </w:p>
    <w:p w:rsidR="00527467" w:rsidRPr="00273604" w:rsidRDefault="00527467" w:rsidP="00527467">
      <w:pPr>
        <w:jc w:val="both"/>
        <w:rPr>
          <w:rFonts w:ascii="Arial" w:hAnsi="Arial" w:cs="Arial"/>
        </w:rPr>
      </w:pPr>
      <w:r w:rsidRPr="00273604">
        <w:rPr>
          <w:rFonts w:ascii="Arial" w:hAnsi="Arial" w:cs="Arial"/>
        </w:rPr>
        <w:t>4 = of considerable importance</w:t>
      </w:r>
    </w:p>
    <w:p w:rsidR="00527467" w:rsidRPr="00273604" w:rsidRDefault="00527467" w:rsidP="00527467">
      <w:pPr>
        <w:jc w:val="both"/>
        <w:rPr>
          <w:rFonts w:ascii="Arial" w:hAnsi="Arial" w:cs="Arial"/>
        </w:rPr>
      </w:pPr>
      <w:r w:rsidRPr="00273604">
        <w:rPr>
          <w:rFonts w:ascii="Arial" w:hAnsi="Arial" w:cs="Arial"/>
        </w:rPr>
        <w:t>5 = a crucial or determinative factor.</w:t>
      </w: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7860"/>
        <w:gridCol w:w="950"/>
      </w:tblGrid>
      <w:tr w:rsidR="00527467" w:rsidRPr="009615AA" w:rsidTr="002B3202">
        <w:tc>
          <w:tcPr>
            <w:tcW w:w="0" w:type="auto"/>
          </w:tcPr>
          <w:p w:rsidR="00527467" w:rsidRPr="009615AA" w:rsidRDefault="00527467" w:rsidP="002B3202">
            <w:pPr>
              <w:jc w:val="both"/>
              <w:rPr>
                <w:rFonts w:ascii="Arial" w:hAnsi="Arial" w:cs="Arial"/>
                <w:b/>
              </w:rPr>
            </w:pPr>
            <w:r w:rsidRPr="009615AA">
              <w:rPr>
                <w:rFonts w:ascii="Arial" w:hAnsi="Arial" w:cs="Arial"/>
                <w:b/>
              </w:rPr>
              <w:t>Factors</w:t>
            </w:r>
          </w:p>
        </w:tc>
        <w:tc>
          <w:tcPr>
            <w:tcW w:w="0" w:type="auto"/>
          </w:tcPr>
          <w:p w:rsidR="00527467" w:rsidRPr="009615AA" w:rsidRDefault="00527467" w:rsidP="002B3202">
            <w:pPr>
              <w:jc w:val="both"/>
              <w:rPr>
                <w:rFonts w:ascii="Arial" w:hAnsi="Arial" w:cs="Arial"/>
                <w:b/>
              </w:rPr>
            </w:pPr>
            <w:r w:rsidRPr="009615AA">
              <w:rPr>
                <w:rFonts w:ascii="Arial" w:hAnsi="Arial" w:cs="Arial"/>
                <w:b/>
              </w:rPr>
              <w:t>Weight</w:t>
            </w:r>
          </w:p>
          <w:p w:rsidR="00527467" w:rsidRPr="009615AA" w:rsidRDefault="00527467" w:rsidP="002B3202">
            <w:pPr>
              <w:jc w:val="both"/>
              <w:rPr>
                <w:rFonts w:ascii="Arial" w:hAnsi="Arial" w:cs="Arial"/>
                <w:b/>
              </w:rPr>
            </w:pPr>
            <w:r w:rsidRPr="009615AA">
              <w:rPr>
                <w:rFonts w:ascii="Arial" w:hAnsi="Arial" w:cs="Arial"/>
                <w:b/>
              </w:rPr>
              <w:t>(1 - 5)</w:t>
            </w: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Requirements of professional bodies</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Length of course</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Nature of course (e</w:t>
            </w:r>
            <w:r>
              <w:rPr>
                <w:rFonts w:ascii="Arial" w:hAnsi="Arial" w:cs="Arial"/>
              </w:rPr>
              <w:t xml:space="preserve"> </w:t>
            </w:r>
            <w:r w:rsidRPr="009615AA">
              <w:rPr>
                <w:rFonts w:ascii="Arial" w:hAnsi="Arial" w:cs="Arial"/>
              </w:rPr>
              <w:t>g. Specialist course such as EU Competition law)</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Contents of pre-existing course</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lastRenderedPageBreak/>
              <w:t>Feedback from previous courses</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Integration of parts of the course into the whole</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Relevance to practice</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Default="00527467" w:rsidP="002B3202">
            <w:pPr>
              <w:jc w:val="both"/>
              <w:rPr>
                <w:rFonts w:ascii="Arial" w:hAnsi="Arial" w:cs="Arial"/>
              </w:rPr>
            </w:pPr>
            <w:r w:rsidRPr="009615AA">
              <w:rPr>
                <w:rFonts w:ascii="Arial" w:hAnsi="Arial" w:cs="Arial"/>
              </w:rPr>
              <w:t>Availability of teaching and learning resources, e</w:t>
            </w:r>
            <w:r>
              <w:rPr>
                <w:rFonts w:ascii="Arial" w:hAnsi="Arial" w:cs="Arial"/>
              </w:rPr>
              <w:t xml:space="preserve"> </w:t>
            </w:r>
            <w:r w:rsidRPr="009615AA">
              <w:rPr>
                <w:rFonts w:ascii="Arial" w:hAnsi="Arial" w:cs="Arial"/>
              </w:rPr>
              <w:t>g</w:t>
            </w:r>
            <w:r>
              <w:rPr>
                <w:rFonts w:ascii="Arial" w:hAnsi="Arial" w:cs="Arial"/>
              </w:rPr>
              <w:t>.</w:t>
            </w:r>
            <w:r w:rsidRPr="009615AA">
              <w:rPr>
                <w:rFonts w:ascii="Arial" w:hAnsi="Arial" w:cs="Arial"/>
              </w:rPr>
              <w:t xml:space="preserve"> databases, library holdings</w:t>
            </w:r>
          </w:p>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Textbook availability and coverage</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Student preferences</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Topicality</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Type of student</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Personal interests</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Commitment to European integration</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Taking a critical approach to European integration</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Personal research agenda</w:t>
            </w:r>
          </w:p>
        </w:tc>
        <w:tc>
          <w:tcPr>
            <w:tcW w:w="0" w:type="auto"/>
          </w:tcPr>
          <w:p w:rsidR="00527467" w:rsidRPr="009615AA" w:rsidRDefault="00527467" w:rsidP="002B3202">
            <w:pPr>
              <w:jc w:val="both"/>
              <w:rPr>
                <w:rFonts w:ascii="Arial" w:hAnsi="Arial" w:cs="Arial"/>
              </w:rPr>
            </w:pPr>
          </w:p>
        </w:tc>
      </w:tr>
      <w:tr w:rsidR="00527467" w:rsidRPr="009615AA" w:rsidTr="002B3202">
        <w:tc>
          <w:tcPr>
            <w:tcW w:w="0" w:type="auto"/>
          </w:tcPr>
          <w:p w:rsidR="00527467"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Default="00527467" w:rsidP="002B3202">
            <w:pPr>
              <w:jc w:val="both"/>
              <w:rPr>
                <w:rFonts w:ascii="Arial" w:hAnsi="Arial" w:cs="Arial"/>
                <w:i/>
              </w:rPr>
            </w:pPr>
          </w:p>
          <w:p w:rsidR="00527467" w:rsidRDefault="00527467" w:rsidP="002B3202">
            <w:pPr>
              <w:jc w:val="both"/>
              <w:rPr>
                <w:rFonts w:ascii="Arial" w:hAnsi="Arial" w:cs="Arial"/>
                <w:i/>
              </w:rPr>
            </w:pPr>
          </w:p>
          <w:p w:rsidR="00527467" w:rsidRDefault="00527467" w:rsidP="002B3202">
            <w:pPr>
              <w:jc w:val="both"/>
              <w:rPr>
                <w:rFonts w:ascii="Arial" w:hAnsi="Arial" w:cs="Arial"/>
                <w:i/>
              </w:rPr>
            </w:pPr>
          </w:p>
          <w:p w:rsidR="00527467"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rPr>
            </w:pPr>
          </w:p>
        </w:tc>
        <w:tc>
          <w:tcPr>
            <w:tcW w:w="0" w:type="auto"/>
          </w:tcPr>
          <w:p w:rsidR="00527467" w:rsidRPr="009615AA" w:rsidRDefault="00527467" w:rsidP="002B3202">
            <w:pPr>
              <w:jc w:val="both"/>
              <w:rPr>
                <w:rFonts w:ascii="Arial" w:hAnsi="Arial" w:cs="Arial"/>
              </w:rPr>
            </w:pPr>
          </w:p>
        </w:tc>
      </w:tr>
    </w:tbl>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Pr="009615AA" w:rsidRDefault="00527467" w:rsidP="00527467">
      <w:pPr>
        <w:jc w:val="both"/>
        <w:rPr>
          <w:rFonts w:ascii="Arial" w:hAnsi="Arial" w:cs="Arial"/>
          <w:b/>
        </w:rPr>
      </w:pPr>
      <w:proofErr w:type="gramStart"/>
      <w:r w:rsidRPr="009615AA">
        <w:rPr>
          <w:rFonts w:ascii="Arial" w:hAnsi="Arial" w:cs="Arial"/>
          <w:b/>
        </w:rPr>
        <w:t>6.0  Learning</w:t>
      </w:r>
      <w:proofErr w:type="gramEnd"/>
      <w:r w:rsidRPr="009615AA">
        <w:rPr>
          <w:rFonts w:ascii="Arial" w:hAnsi="Arial" w:cs="Arial"/>
          <w:b/>
        </w:rPr>
        <w:t xml:space="preserve"> and Teaching Methods</w:t>
      </w:r>
    </w:p>
    <w:p w:rsidR="00527467" w:rsidRPr="009615AA" w:rsidRDefault="00527467" w:rsidP="00527467">
      <w:pPr>
        <w:jc w:val="both"/>
        <w:rPr>
          <w:rFonts w:ascii="Arial" w:hAnsi="Arial" w:cs="Arial"/>
          <w:b/>
        </w:rPr>
      </w:pPr>
    </w:p>
    <w:p w:rsidR="00527467" w:rsidRPr="00273604" w:rsidRDefault="00527467" w:rsidP="00527467">
      <w:pPr>
        <w:jc w:val="both"/>
        <w:rPr>
          <w:rFonts w:ascii="Arial" w:hAnsi="Arial" w:cs="Arial"/>
        </w:rPr>
      </w:pPr>
      <w:r w:rsidRPr="00273604">
        <w:rPr>
          <w:rFonts w:ascii="Arial" w:hAnsi="Arial" w:cs="Arial"/>
        </w:rPr>
        <w:t xml:space="preserve">One of the main aims in the research is to identify learning and teaching methods in the subject area and to identify innovation and best practice where possible.  Please indicate which learning and teaching methods are used.  </w:t>
      </w:r>
      <w:r>
        <w:rPr>
          <w:rFonts w:ascii="Arial" w:hAnsi="Arial" w:cs="Arial"/>
        </w:rPr>
        <w:t>Mark</w:t>
      </w:r>
      <w:r w:rsidRPr="00273604">
        <w:rPr>
          <w:rFonts w:ascii="Arial" w:hAnsi="Arial" w:cs="Arial"/>
        </w:rPr>
        <w:t xml:space="preserve"> all that apply and indicate roughly what percentage of student </w:t>
      </w:r>
      <w:r>
        <w:rPr>
          <w:rFonts w:ascii="Arial" w:hAnsi="Arial" w:cs="Arial"/>
        </w:rPr>
        <w:t xml:space="preserve">learning time </w:t>
      </w:r>
      <w:r w:rsidRPr="00273604">
        <w:rPr>
          <w:rFonts w:ascii="Arial" w:hAnsi="Arial" w:cs="Arial"/>
        </w:rPr>
        <w:t xml:space="preserve">each method represents.  </w:t>
      </w:r>
    </w:p>
    <w:p w:rsidR="00527467" w:rsidRPr="00273604" w:rsidRDefault="00527467" w:rsidP="00527467">
      <w:pPr>
        <w:jc w:val="both"/>
        <w:rPr>
          <w:rFonts w:ascii="Arial" w:hAnsi="Arial" w:cs="Arial"/>
        </w:rPr>
      </w:pPr>
    </w:p>
    <w:p w:rsidR="00527467" w:rsidRPr="00273604" w:rsidRDefault="00527467" w:rsidP="00527467">
      <w:pPr>
        <w:jc w:val="both"/>
        <w:rPr>
          <w:rFonts w:ascii="Arial" w:hAnsi="Arial" w:cs="Arial"/>
        </w:rPr>
      </w:pPr>
      <w:r w:rsidRPr="00273604">
        <w:rPr>
          <w:rFonts w:ascii="Arial" w:hAnsi="Arial" w:cs="Arial"/>
        </w:rPr>
        <w:t>Please note that e-learning methods are addressed in 7 below.</w:t>
      </w: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3897"/>
        <w:gridCol w:w="696"/>
        <w:gridCol w:w="3402"/>
      </w:tblGrid>
      <w:tr w:rsidR="00527467" w:rsidRPr="009615AA" w:rsidTr="002B3202">
        <w:tc>
          <w:tcPr>
            <w:tcW w:w="0" w:type="auto"/>
          </w:tcPr>
          <w:p w:rsidR="00527467" w:rsidRPr="006F3557" w:rsidRDefault="00527467" w:rsidP="002B3202">
            <w:pPr>
              <w:jc w:val="both"/>
              <w:rPr>
                <w:rFonts w:ascii="Arial Narrow" w:hAnsi="Arial Narrow" w:cs="Arial"/>
                <w:b/>
                <w:i/>
              </w:rPr>
            </w:pPr>
            <w:r w:rsidRPr="006F3557">
              <w:rPr>
                <w:rFonts w:ascii="Arial Narrow" w:hAnsi="Arial Narrow" w:cs="Arial"/>
                <w:b/>
              </w:rPr>
              <w:t xml:space="preserve">Learning and Teaching Methods </w:t>
            </w:r>
          </w:p>
        </w:tc>
        <w:tc>
          <w:tcPr>
            <w:tcW w:w="696" w:type="dxa"/>
          </w:tcPr>
          <w:p w:rsidR="00527467" w:rsidRPr="006F3557" w:rsidRDefault="00527467" w:rsidP="002B3202">
            <w:pPr>
              <w:jc w:val="both"/>
              <w:rPr>
                <w:rFonts w:ascii="Arial Narrow" w:hAnsi="Arial Narrow" w:cs="Arial"/>
                <w:b/>
              </w:rPr>
            </w:pPr>
            <w:r>
              <w:rPr>
                <w:rFonts w:ascii="Arial Narrow" w:hAnsi="Arial Narrow" w:cs="Arial"/>
                <w:b/>
              </w:rPr>
              <w:t xml:space="preserve"> </w:t>
            </w:r>
            <w:r w:rsidRPr="006F3557">
              <w:rPr>
                <w:rFonts w:ascii="Arial Narrow" w:hAnsi="Arial Narrow" w:cs="Arial"/>
                <w:b/>
              </w:rPr>
              <w:t>X</w:t>
            </w:r>
          </w:p>
        </w:tc>
        <w:tc>
          <w:tcPr>
            <w:tcW w:w="3402" w:type="dxa"/>
          </w:tcPr>
          <w:p w:rsidR="00527467" w:rsidRPr="006F3557" w:rsidRDefault="00527467" w:rsidP="002B3202">
            <w:pPr>
              <w:jc w:val="both"/>
              <w:rPr>
                <w:rFonts w:ascii="Arial Narrow" w:hAnsi="Arial Narrow" w:cs="Arial"/>
                <w:b/>
              </w:rPr>
            </w:pPr>
            <w:r w:rsidRPr="006F3557">
              <w:rPr>
                <w:rFonts w:ascii="Arial Narrow" w:hAnsi="Arial Narrow" w:cs="Arial"/>
                <w:b/>
              </w:rPr>
              <w:t>Percentage of  student learning   time</w:t>
            </w: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Lectures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Workshops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Seminars (groups of 12 or more)</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Tutorials (groups of less than 12)</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Group work</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Watching DVD/video/TV</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Mooting</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Skills-based activities (</w:t>
            </w:r>
            <w:proofErr w:type="spellStart"/>
            <w:r w:rsidRPr="009615AA">
              <w:rPr>
                <w:rFonts w:ascii="Arial" w:hAnsi="Arial" w:cs="Arial"/>
              </w:rPr>
              <w:t>eg</w:t>
            </w:r>
            <w:proofErr w:type="spellEnd"/>
            <w:r w:rsidRPr="009615AA">
              <w:rPr>
                <w:rFonts w:ascii="Arial" w:hAnsi="Arial" w:cs="Arial"/>
              </w:rPr>
              <w:t xml:space="preserve"> negotiation)</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Role play</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Oral presentations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Research-based projects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Reflective reports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Portfolio/progress files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Poster presentations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Short notes/seminar reports</w:t>
            </w: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r w:rsidR="00527467" w:rsidRPr="009615AA" w:rsidTr="002B3202">
        <w:tc>
          <w:tcPr>
            <w:tcW w:w="0" w:type="auto"/>
          </w:tcPr>
          <w:p w:rsidR="00527467"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Default="00527467" w:rsidP="002B3202">
            <w:pPr>
              <w:jc w:val="both"/>
              <w:rPr>
                <w:rFonts w:ascii="Arial" w:hAnsi="Arial" w:cs="Arial"/>
                <w:i/>
              </w:rPr>
            </w:pPr>
          </w:p>
          <w:p w:rsidR="00527467"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tc>
        <w:tc>
          <w:tcPr>
            <w:tcW w:w="696" w:type="dxa"/>
          </w:tcPr>
          <w:p w:rsidR="00527467" w:rsidRPr="009615AA" w:rsidRDefault="00527467" w:rsidP="002B3202">
            <w:pPr>
              <w:jc w:val="both"/>
              <w:rPr>
                <w:rFonts w:ascii="Arial" w:hAnsi="Arial" w:cs="Arial"/>
                <w:b/>
              </w:rPr>
            </w:pPr>
          </w:p>
        </w:tc>
        <w:tc>
          <w:tcPr>
            <w:tcW w:w="3402" w:type="dxa"/>
          </w:tcPr>
          <w:p w:rsidR="00527467" w:rsidRPr="009615AA" w:rsidRDefault="00527467" w:rsidP="002B3202">
            <w:pPr>
              <w:jc w:val="both"/>
              <w:rPr>
                <w:rFonts w:ascii="Arial" w:hAnsi="Arial" w:cs="Arial"/>
                <w:b/>
              </w:rPr>
            </w:pPr>
          </w:p>
        </w:tc>
      </w:tr>
    </w:tbl>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7.0 E-Learning methods.</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Default="00527467" w:rsidP="00527467">
      <w:pPr>
        <w:jc w:val="both"/>
        <w:rPr>
          <w:rFonts w:ascii="Arial" w:hAnsi="Arial" w:cs="Arial"/>
        </w:rPr>
      </w:pPr>
      <w:r w:rsidRPr="008E5284">
        <w:rPr>
          <w:rFonts w:ascii="Arial" w:hAnsi="Arial" w:cs="Arial"/>
        </w:rPr>
        <w:t>Please list full details of the main electronic learning and teaching resources used.</w:t>
      </w:r>
    </w:p>
    <w:p w:rsidR="00527467" w:rsidRPr="008E5284" w:rsidRDefault="00527467" w:rsidP="00527467">
      <w:pPr>
        <w:jc w:val="both"/>
        <w:rPr>
          <w:rFonts w:ascii="Arial" w:hAnsi="Arial" w:cs="Arial"/>
        </w:rPr>
      </w:pP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6426"/>
        <w:gridCol w:w="2816"/>
      </w:tblGrid>
      <w:tr w:rsidR="00527467" w:rsidRPr="009615AA" w:rsidTr="002B3202">
        <w:tc>
          <w:tcPr>
            <w:tcW w:w="0" w:type="auto"/>
          </w:tcPr>
          <w:p w:rsidR="00527467" w:rsidRPr="008E5284" w:rsidRDefault="00527467" w:rsidP="002B3202">
            <w:pPr>
              <w:jc w:val="both"/>
              <w:rPr>
                <w:rFonts w:ascii="Arial Narrow" w:hAnsi="Arial Narrow" w:cs="Arial"/>
                <w:b/>
              </w:rPr>
            </w:pPr>
            <w:r w:rsidRPr="008E5284">
              <w:rPr>
                <w:rFonts w:ascii="Arial Narrow" w:hAnsi="Arial Narrow" w:cs="Arial"/>
                <w:b/>
              </w:rPr>
              <w:t>Resources used</w:t>
            </w:r>
          </w:p>
        </w:tc>
        <w:tc>
          <w:tcPr>
            <w:tcW w:w="0" w:type="auto"/>
          </w:tcPr>
          <w:p w:rsidR="00527467" w:rsidRPr="008E5284" w:rsidRDefault="00527467" w:rsidP="002B3202">
            <w:pPr>
              <w:jc w:val="center"/>
              <w:rPr>
                <w:rFonts w:ascii="Arial Narrow" w:hAnsi="Arial Narrow" w:cs="Arial"/>
                <w:b/>
              </w:rPr>
            </w:pPr>
            <w:r w:rsidRPr="008E5284">
              <w:rPr>
                <w:rFonts w:ascii="Arial Narrow" w:hAnsi="Arial Narrow" w:cs="Arial"/>
                <w:b/>
              </w:rPr>
              <w:t>X</w:t>
            </w:r>
          </w:p>
          <w:p w:rsidR="00527467" w:rsidRPr="008E5284" w:rsidRDefault="00527467" w:rsidP="002B3202">
            <w:pPr>
              <w:jc w:val="both"/>
              <w:rPr>
                <w:rFonts w:ascii="Arial Narrow" w:hAnsi="Arial Narrow" w:cs="Arial"/>
              </w:rPr>
            </w:pPr>
            <w:r w:rsidRPr="008E5284">
              <w:rPr>
                <w:rFonts w:ascii="Arial Narrow" w:hAnsi="Arial Narrow" w:cs="Arial"/>
                <w:b/>
              </w:rPr>
              <w:t>(plus details where appropriate</w:t>
            </w:r>
            <w:r w:rsidRPr="008E5284">
              <w:rPr>
                <w:rFonts w:ascii="Arial Narrow" w:hAnsi="Arial Narrow" w:cs="Arial"/>
              </w:rPr>
              <w:t>)</w:t>
            </w: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Courseware (e</w:t>
            </w:r>
            <w:r>
              <w:rPr>
                <w:rFonts w:ascii="Arial" w:hAnsi="Arial" w:cs="Arial"/>
              </w:rPr>
              <w:t>.</w:t>
            </w:r>
            <w:r w:rsidRPr="009615AA">
              <w:rPr>
                <w:rFonts w:ascii="Arial" w:hAnsi="Arial" w:cs="Arial"/>
              </w:rPr>
              <w:t xml:space="preserve">g. Self-test questions on CD </w:t>
            </w:r>
            <w:proofErr w:type="spellStart"/>
            <w:r w:rsidRPr="009615AA">
              <w:rPr>
                <w:rFonts w:ascii="Arial" w:hAnsi="Arial" w:cs="Arial"/>
              </w:rPr>
              <w:t>roms</w:t>
            </w:r>
            <w:proofErr w:type="spellEnd"/>
            <w:r w:rsidRPr="009615AA">
              <w:rPr>
                <w:rFonts w:ascii="Arial" w:hAnsi="Arial" w:cs="Arial"/>
              </w:rPr>
              <w:t xml:space="preserve"> such as IOLIS)</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lastRenderedPageBreak/>
              <w:t>Databases e</w:t>
            </w:r>
            <w:r>
              <w:rPr>
                <w:rFonts w:ascii="Arial" w:hAnsi="Arial" w:cs="Arial"/>
              </w:rPr>
              <w:t>.</w:t>
            </w:r>
            <w:r w:rsidRPr="009615AA">
              <w:rPr>
                <w:rFonts w:ascii="Arial" w:hAnsi="Arial" w:cs="Arial"/>
              </w:rPr>
              <w:t xml:space="preserve">g. LEXIS-NEXIS, Westlaw, </w:t>
            </w:r>
            <w:proofErr w:type="spellStart"/>
            <w:r w:rsidRPr="009615AA">
              <w:rPr>
                <w:rFonts w:ascii="Arial" w:hAnsi="Arial" w:cs="Arial"/>
              </w:rPr>
              <w:t>Lawtel</w:t>
            </w:r>
            <w:proofErr w:type="spellEnd"/>
            <w:r w:rsidRPr="009615AA">
              <w:rPr>
                <w:rFonts w:ascii="Arial" w:hAnsi="Arial" w:cs="Arial"/>
              </w:rPr>
              <w:t>, Context</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Electronic/video conferencing</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Videos/TV programmes</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Virtual Learning Environment e</w:t>
            </w:r>
            <w:r>
              <w:rPr>
                <w:rFonts w:ascii="Arial" w:hAnsi="Arial" w:cs="Arial"/>
              </w:rPr>
              <w:t>.</w:t>
            </w:r>
            <w:r w:rsidRPr="009615AA">
              <w:rPr>
                <w:rFonts w:ascii="Arial" w:hAnsi="Arial" w:cs="Arial"/>
              </w:rPr>
              <w:t>g. Blackboard, WebCT, Lotus Notes</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Web-based course materials</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rPr>
            </w:pPr>
            <w:r w:rsidRPr="009615AA">
              <w:rPr>
                <w:rFonts w:ascii="Arial" w:hAnsi="Arial" w:cs="Arial"/>
              </w:rPr>
              <w:t>Websites (list most frequently used)</w:t>
            </w: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r w:rsidR="00527467" w:rsidRPr="009615AA" w:rsidTr="002B3202">
        <w:tc>
          <w:tcPr>
            <w:tcW w:w="0" w:type="auto"/>
          </w:tcPr>
          <w:p w:rsidR="00527467" w:rsidRPr="009615AA"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tc>
        <w:tc>
          <w:tcPr>
            <w:tcW w:w="0" w:type="auto"/>
          </w:tcPr>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Default="00527467" w:rsidP="002B3202">
            <w:pPr>
              <w:jc w:val="both"/>
              <w:rPr>
                <w:rFonts w:ascii="Arial" w:hAnsi="Arial" w:cs="Arial"/>
              </w:rPr>
            </w:pPr>
          </w:p>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rPr>
      </w:pPr>
    </w:p>
    <w:p w:rsidR="00527467" w:rsidRDefault="00527467" w:rsidP="00527467">
      <w:pPr>
        <w:jc w:val="both"/>
        <w:rPr>
          <w:rFonts w:ascii="Arial" w:hAnsi="Arial" w:cs="Arial"/>
          <w:b/>
        </w:rPr>
      </w:pPr>
      <w:proofErr w:type="gramStart"/>
      <w:r w:rsidRPr="009615AA">
        <w:rPr>
          <w:rFonts w:ascii="Arial" w:hAnsi="Arial" w:cs="Arial"/>
          <w:b/>
        </w:rPr>
        <w:t>8.0  Textbooks</w:t>
      </w:r>
      <w:proofErr w:type="gramEnd"/>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8.1 Which of the following general textbooks do you recommend for students to buy?</w:t>
      </w:r>
    </w:p>
    <w:p w:rsidR="00527467" w:rsidRPr="009615AA" w:rsidRDefault="00527467" w:rsidP="00527467">
      <w:pPr>
        <w:jc w:val="both"/>
        <w:rPr>
          <w:rFonts w:ascii="Arial" w:hAnsi="Arial" w:cs="Arial"/>
          <w:b/>
        </w:rPr>
      </w:pPr>
    </w:p>
    <w:tbl>
      <w:tblPr>
        <w:tblStyle w:val="TableGrid"/>
        <w:tblW w:w="0" w:type="auto"/>
        <w:tblLayout w:type="fixed"/>
        <w:tblLook w:val="01E0" w:firstRow="1" w:lastRow="1" w:firstColumn="1" w:lastColumn="1" w:noHBand="0" w:noVBand="0"/>
      </w:tblPr>
      <w:tblGrid>
        <w:gridCol w:w="3369"/>
        <w:gridCol w:w="992"/>
      </w:tblGrid>
      <w:tr w:rsidR="00527467" w:rsidRPr="009615AA" w:rsidTr="002B3202">
        <w:tc>
          <w:tcPr>
            <w:tcW w:w="3369" w:type="dxa"/>
          </w:tcPr>
          <w:p w:rsidR="00527467" w:rsidRPr="009615AA" w:rsidRDefault="00527467" w:rsidP="002B3202">
            <w:pPr>
              <w:jc w:val="both"/>
              <w:rPr>
                <w:rFonts w:ascii="Arial" w:hAnsi="Arial" w:cs="Arial"/>
                <w:b/>
              </w:rPr>
            </w:pPr>
            <w:r w:rsidRPr="009615AA">
              <w:rPr>
                <w:rFonts w:ascii="Arial" w:hAnsi="Arial" w:cs="Arial"/>
                <w:b/>
              </w:rPr>
              <w:t>Textbook author(s)</w:t>
            </w:r>
          </w:p>
        </w:tc>
        <w:tc>
          <w:tcPr>
            <w:tcW w:w="992" w:type="dxa"/>
          </w:tcPr>
          <w:p w:rsidR="00527467" w:rsidRPr="009615AA" w:rsidRDefault="00527467" w:rsidP="002B3202">
            <w:pPr>
              <w:jc w:val="both"/>
              <w:rPr>
                <w:rFonts w:ascii="Arial" w:hAnsi="Arial" w:cs="Arial"/>
                <w:b/>
              </w:rPr>
            </w:pPr>
            <w:r>
              <w:rPr>
                <w:rFonts w:ascii="Arial" w:hAnsi="Arial" w:cs="Arial"/>
                <w:b/>
              </w:rPr>
              <w:t xml:space="preserve">   </w:t>
            </w:r>
            <w:r w:rsidRPr="009615AA">
              <w:rPr>
                <w:rFonts w:ascii="Arial" w:hAnsi="Arial" w:cs="Arial"/>
                <w:b/>
              </w:rPr>
              <w:t>X</w:t>
            </w: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Steiner &amp; Woods</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Hartley</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Wyatt &amp; Dashwood</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proofErr w:type="spellStart"/>
            <w:r w:rsidRPr="009615AA">
              <w:rPr>
                <w:rFonts w:ascii="Arial" w:hAnsi="Arial" w:cs="Arial"/>
              </w:rPr>
              <w:t>Deards</w:t>
            </w:r>
            <w:proofErr w:type="spellEnd"/>
            <w:r w:rsidRPr="009615AA">
              <w:rPr>
                <w:rFonts w:ascii="Arial" w:hAnsi="Arial" w:cs="Arial"/>
              </w:rPr>
              <w:t xml:space="preserve"> &amp; Hargreaves</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Foster</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Horspool &amp; Humphreys</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Barnard</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 xml:space="preserve">Fairhurst &amp; </w:t>
            </w:r>
            <w:proofErr w:type="spellStart"/>
            <w:r w:rsidRPr="009615AA">
              <w:rPr>
                <w:rFonts w:ascii="Arial" w:hAnsi="Arial" w:cs="Arial"/>
              </w:rPr>
              <w:t>Vincenzi</w:t>
            </w:r>
            <w:proofErr w:type="spellEnd"/>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 xml:space="preserve">Mathijsen  </w:t>
            </w:r>
          </w:p>
        </w:tc>
        <w:tc>
          <w:tcPr>
            <w:tcW w:w="992" w:type="dxa"/>
          </w:tcPr>
          <w:p w:rsidR="00527467" w:rsidRPr="009615AA" w:rsidRDefault="00527467" w:rsidP="002B3202">
            <w:pPr>
              <w:jc w:val="both"/>
              <w:rPr>
                <w:rFonts w:ascii="Arial" w:hAnsi="Arial" w:cs="Arial"/>
              </w:rPr>
            </w:pPr>
          </w:p>
        </w:tc>
      </w:tr>
      <w:tr w:rsidR="00527467" w:rsidRPr="009615AA" w:rsidTr="002B3202">
        <w:tc>
          <w:tcPr>
            <w:tcW w:w="3369" w:type="dxa"/>
          </w:tcPr>
          <w:p w:rsidR="00527467" w:rsidRPr="009615AA"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tc>
        <w:tc>
          <w:tcPr>
            <w:tcW w:w="992" w:type="dxa"/>
          </w:tcPr>
          <w:p w:rsidR="00527467" w:rsidRPr="009615AA" w:rsidRDefault="00527467" w:rsidP="002B3202">
            <w:pPr>
              <w:jc w:val="both"/>
              <w:rPr>
                <w:rFonts w:ascii="Arial" w:hAnsi="Arial" w:cs="Arial"/>
              </w:rPr>
            </w:pPr>
          </w:p>
        </w:tc>
      </w:tr>
    </w:tbl>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rPr>
      </w:pPr>
    </w:p>
    <w:p w:rsidR="00527467" w:rsidRPr="009615AA" w:rsidRDefault="00527467" w:rsidP="00527467">
      <w:pPr>
        <w:jc w:val="both"/>
        <w:rPr>
          <w:rFonts w:ascii="Arial" w:hAnsi="Arial" w:cs="Arial"/>
          <w:b/>
        </w:rPr>
      </w:pPr>
      <w:r>
        <w:rPr>
          <w:rFonts w:ascii="Arial" w:hAnsi="Arial" w:cs="Arial"/>
          <w:b/>
        </w:rPr>
        <w:t>8.2.</w:t>
      </w:r>
      <w:r w:rsidRPr="009615AA">
        <w:rPr>
          <w:rFonts w:ascii="Arial" w:hAnsi="Arial" w:cs="Arial"/>
          <w:b/>
        </w:rPr>
        <w:t xml:space="preserve"> Which casebook/cases and materials book do you recommend for students to buy?</w:t>
      </w: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3369"/>
        <w:gridCol w:w="992"/>
      </w:tblGrid>
      <w:tr w:rsidR="00527467" w:rsidRPr="009615AA" w:rsidTr="002B3202">
        <w:tc>
          <w:tcPr>
            <w:tcW w:w="3369" w:type="dxa"/>
          </w:tcPr>
          <w:p w:rsidR="00527467" w:rsidRPr="009615AA" w:rsidRDefault="00527467" w:rsidP="002B3202">
            <w:pPr>
              <w:jc w:val="both"/>
              <w:rPr>
                <w:rFonts w:ascii="Arial" w:hAnsi="Arial" w:cs="Arial"/>
                <w:b/>
              </w:rPr>
            </w:pPr>
            <w:r w:rsidRPr="009615AA">
              <w:rPr>
                <w:rFonts w:ascii="Arial" w:hAnsi="Arial" w:cs="Arial"/>
                <w:b/>
              </w:rPr>
              <w:t>Author(s)</w:t>
            </w:r>
          </w:p>
        </w:tc>
        <w:tc>
          <w:tcPr>
            <w:tcW w:w="992" w:type="dxa"/>
          </w:tcPr>
          <w:p w:rsidR="00527467" w:rsidRPr="009615AA" w:rsidRDefault="00527467" w:rsidP="002B3202">
            <w:pPr>
              <w:jc w:val="both"/>
              <w:rPr>
                <w:rFonts w:ascii="Arial" w:hAnsi="Arial" w:cs="Arial"/>
                <w:b/>
              </w:rPr>
            </w:pPr>
            <w:r>
              <w:rPr>
                <w:rFonts w:ascii="Arial" w:hAnsi="Arial" w:cs="Arial"/>
                <w:b/>
              </w:rPr>
              <w:t xml:space="preserve">   </w:t>
            </w:r>
            <w:r w:rsidRPr="009615AA">
              <w:rPr>
                <w:rFonts w:ascii="Arial" w:hAnsi="Arial" w:cs="Arial"/>
                <w:b/>
              </w:rPr>
              <w:t>X</w:t>
            </w: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 xml:space="preserve">Craig &amp; de </w:t>
            </w:r>
            <w:proofErr w:type="spellStart"/>
            <w:r w:rsidRPr="009615AA">
              <w:rPr>
                <w:rFonts w:ascii="Arial" w:hAnsi="Arial" w:cs="Arial"/>
              </w:rPr>
              <w:t>Burca</w:t>
            </w:r>
            <w:proofErr w:type="spellEnd"/>
          </w:p>
        </w:tc>
        <w:tc>
          <w:tcPr>
            <w:tcW w:w="992" w:type="dxa"/>
          </w:tcPr>
          <w:p w:rsidR="00527467" w:rsidRPr="009615AA" w:rsidRDefault="00527467" w:rsidP="002B3202">
            <w:pPr>
              <w:jc w:val="both"/>
              <w:rPr>
                <w:rFonts w:ascii="Arial" w:hAnsi="Arial" w:cs="Arial"/>
                <w:b/>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Weatherill</w:t>
            </w:r>
          </w:p>
        </w:tc>
        <w:tc>
          <w:tcPr>
            <w:tcW w:w="992" w:type="dxa"/>
          </w:tcPr>
          <w:p w:rsidR="00527467" w:rsidRPr="009615AA" w:rsidRDefault="00527467" w:rsidP="002B3202">
            <w:pPr>
              <w:jc w:val="both"/>
              <w:rPr>
                <w:rFonts w:ascii="Arial" w:hAnsi="Arial" w:cs="Arial"/>
                <w:b/>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Chalmers &amp; others</w:t>
            </w:r>
          </w:p>
        </w:tc>
        <w:tc>
          <w:tcPr>
            <w:tcW w:w="992" w:type="dxa"/>
          </w:tcPr>
          <w:p w:rsidR="00527467" w:rsidRPr="009615AA" w:rsidRDefault="00527467" w:rsidP="002B3202">
            <w:pPr>
              <w:jc w:val="both"/>
              <w:rPr>
                <w:rFonts w:ascii="Arial" w:hAnsi="Arial" w:cs="Arial"/>
                <w:b/>
              </w:rPr>
            </w:pPr>
          </w:p>
        </w:tc>
      </w:tr>
      <w:tr w:rsidR="00527467" w:rsidRPr="009615AA" w:rsidTr="002B3202">
        <w:tc>
          <w:tcPr>
            <w:tcW w:w="3369" w:type="dxa"/>
          </w:tcPr>
          <w:p w:rsidR="00527467" w:rsidRPr="009615AA" w:rsidRDefault="00527467" w:rsidP="002B3202">
            <w:pPr>
              <w:jc w:val="both"/>
              <w:rPr>
                <w:rFonts w:ascii="Arial" w:hAnsi="Arial" w:cs="Arial"/>
              </w:rPr>
            </w:pPr>
            <w:r w:rsidRPr="009615AA">
              <w:rPr>
                <w:rFonts w:ascii="Arial" w:hAnsi="Arial" w:cs="Arial"/>
              </w:rPr>
              <w:t>Tillotson &amp; Foster</w:t>
            </w:r>
          </w:p>
        </w:tc>
        <w:tc>
          <w:tcPr>
            <w:tcW w:w="992" w:type="dxa"/>
          </w:tcPr>
          <w:p w:rsidR="00527467" w:rsidRPr="009615AA" w:rsidRDefault="00527467" w:rsidP="002B3202">
            <w:pPr>
              <w:jc w:val="both"/>
              <w:rPr>
                <w:rFonts w:ascii="Arial" w:hAnsi="Arial" w:cs="Arial"/>
                <w:b/>
              </w:rPr>
            </w:pPr>
          </w:p>
        </w:tc>
      </w:tr>
      <w:tr w:rsidR="00527467" w:rsidRPr="009615AA" w:rsidTr="002B3202">
        <w:tc>
          <w:tcPr>
            <w:tcW w:w="3369" w:type="dxa"/>
          </w:tcPr>
          <w:p w:rsidR="00527467" w:rsidRPr="009615AA"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tc>
        <w:tc>
          <w:tcPr>
            <w:tcW w:w="992" w:type="dxa"/>
          </w:tcPr>
          <w:p w:rsidR="00527467" w:rsidRPr="009615AA" w:rsidRDefault="00527467" w:rsidP="002B3202">
            <w:pPr>
              <w:jc w:val="both"/>
              <w:rPr>
                <w:rFonts w:ascii="Arial" w:hAnsi="Arial" w:cs="Arial"/>
                <w:b/>
              </w:rPr>
            </w:pPr>
          </w:p>
        </w:tc>
      </w:tr>
    </w:tbl>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Pr>
          <w:rFonts w:ascii="Arial" w:hAnsi="Arial" w:cs="Arial"/>
          <w:b/>
        </w:rPr>
        <w:t>8.</w:t>
      </w:r>
      <w:r w:rsidRPr="009615AA">
        <w:rPr>
          <w:rFonts w:ascii="Arial" w:hAnsi="Arial" w:cs="Arial"/>
          <w:b/>
        </w:rPr>
        <w:t>3 Please identify any specialist textbook(s) you recommend students to buy</w:t>
      </w: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8472"/>
      </w:tblGrid>
      <w:tr w:rsidR="00527467" w:rsidRPr="009615AA" w:rsidTr="002B3202">
        <w:tc>
          <w:tcPr>
            <w:tcW w:w="8472" w:type="dxa"/>
          </w:tcPr>
          <w:p w:rsidR="00527467" w:rsidRPr="009615AA" w:rsidRDefault="00527467" w:rsidP="002B3202">
            <w:pPr>
              <w:jc w:val="both"/>
              <w:rPr>
                <w:rFonts w:ascii="Arial" w:hAnsi="Arial" w:cs="Arial"/>
                <w:b/>
              </w:rPr>
            </w:pPr>
          </w:p>
          <w:p w:rsidR="00527467" w:rsidRDefault="00527467" w:rsidP="002B3202">
            <w:pPr>
              <w:jc w:val="both"/>
              <w:rPr>
                <w:rFonts w:ascii="Arial" w:hAnsi="Arial" w:cs="Arial"/>
                <w:b/>
              </w:rPr>
            </w:pPr>
            <w:r>
              <w:rPr>
                <w:rFonts w:ascii="Arial" w:hAnsi="Arial" w:cs="Arial"/>
                <w:b/>
              </w:rPr>
              <w:t xml:space="preserve"> </w:t>
            </w: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tc>
      </w:tr>
    </w:tbl>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9.0 The Challenges of Teaching European Union Law</w:t>
      </w:r>
    </w:p>
    <w:p w:rsidR="00527467" w:rsidRPr="009615AA" w:rsidRDefault="00527467" w:rsidP="00527467">
      <w:pPr>
        <w:jc w:val="both"/>
        <w:rPr>
          <w:rFonts w:ascii="Arial" w:hAnsi="Arial" w:cs="Arial"/>
          <w:b/>
        </w:rPr>
      </w:pPr>
    </w:p>
    <w:p w:rsidR="00527467" w:rsidRDefault="00527467" w:rsidP="00527467">
      <w:pPr>
        <w:jc w:val="both"/>
        <w:rPr>
          <w:rFonts w:ascii="Arial" w:hAnsi="Arial" w:cs="Arial"/>
        </w:rPr>
      </w:pPr>
      <w:r w:rsidRPr="008E5284">
        <w:rPr>
          <w:rFonts w:ascii="Arial" w:hAnsi="Arial" w:cs="Arial"/>
        </w:rPr>
        <w:t>In general terms, to what extent does the teaching of European Union law pose particular challenges?  Please indicate which particular challenges apply to your course.  Please give a weighting to each of the selected factors from 1 - 5:</w:t>
      </w:r>
    </w:p>
    <w:p w:rsidR="00527467" w:rsidRPr="008E5284" w:rsidRDefault="00527467" w:rsidP="00527467">
      <w:pPr>
        <w:jc w:val="both"/>
        <w:rPr>
          <w:rFonts w:ascii="Arial" w:hAnsi="Arial" w:cs="Arial"/>
        </w:rPr>
      </w:pPr>
    </w:p>
    <w:p w:rsidR="00527467" w:rsidRPr="008E5284" w:rsidRDefault="00527467" w:rsidP="00527467">
      <w:pPr>
        <w:jc w:val="both"/>
        <w:rPr>
          <w:rFonts w:ascii="Arial" w:hAnsi="Arial" w:cs="Arial"/>
        </w:rPr>
      </w:pPr>
      <w:r w:rsidRPr="008E5284">
        <w:rPr>
          <w:rFonts w:ascii="Arial" w:hAnsi="Arial" w:cs="Arial"/>
        </w:rPr>
        <w:t>1 = not a challenge at all</w:t>
      </w:r>
    </w:p>
    <w:p w:rsidR="00527467" w:rsidRPr="008E5284" w:rsidRDefault="00527467" w:rsidP="00527467">
      <w:pPr>
        <w:jc w:val="both"/>
        <w:rPr>
          <w:rFonts w:ascii="Arial" w:hAnsi="Arial" w:cs="Arial"/>
        </w:rPr>
      </w:pPr>
      <w:r w:rsidRPr="008E5284">
        <w:rPr>
          <w:rFonts w:ascii="Arial" w:hAnsi="Arial" w:cs="Arial"/>
        </w:rPr>
        <w:t>2 = a challenge of marginal significance</w:t>
      </w:r>
    </w:p>
    <w:p w:rsidR="00527467" w:rsidRPr="008E5284" w:rsidRDefault="00527467" w:rsidP="00527467">
      <w:pPr>
        <w:jc w:val="both"/>
        <w:rPr>
          <w:rFonts w:ascii="Arial" w:hAnsi="Arial" w:cs="Arial"/>
        </w:rPr>
      </w:pPr>
      <w:r w:rsidRPr="008E5284">
        <w:rPr>
          <w:rFonts w:ascii="Arial" w:hAnsi="Arial" w:cs="Arial"/>
        </w:rPr>
        <w:t>3 = a significant or material challenge</w:t>
      </w:r>
    </w:p>
    <w:p w:rsidR="00527467" w:rsidRPr="008E5284" w:rsidRDefault="00527467" w:rsidP="00527467">
      <w:pPr>
        <w:jc w:val="both"/>
        <w:rPr>
          <w:rFonts w:ascii="Arial" w:hAnsi="Arial" w:cs="Arial"/>
        </w:rPr>
      </w:pPr>
      <w:r w:rsidRPr="008E5284">
        <w:rPr>
          <w:rFonts w:ascii="Arial" w:hAnsi="Arial" w:cs="Arial"/>
        </w:rPr>
        <w:t>4 = a very difficult challenge</w:t>
      </w:r>
    </w:p>
    <w:p w:rsidR="00527467" w:rsidRDefault="00527467" w:rsidP="00527467">
      <w:pPr>
        <w:jc w:val="both"/>
        <w:rPr>
          <w:rFonts w:ascii="Arial" w:hAnsi="Arial" w:cs="Arial"/>
        </w:rPr>
      </w:pPr>
      <w:r w:rsidRPr="008E5284">
        <w:rPr>
          <w:rFonts w:ascii="Arial" w:hAnsi="Arial" w:cs="Arial"/>
        </w:rPr>
        <w:t>5 = an insurmountable challenge</w:t>
      </w:r>
    </w:p>
    <w:p w:rsidR="00527467" w:rsidRPr="008E5284" w:rsidRDefault="00527467" w:rsidP="00527467">
      <w:pPr>
        <w:jc w:val="both"/>
        <w:rPr>
          <w:rFonts w:ascii="Arial" w:hAnsi="Arial" w:cs="Arial"/>
        </w:rPr>
      </w:pPr>
    </w:p>
    <w:p w:rsidR="00527467" w:rsidRPr="008E5284" w:rsidRDefault="00527467" w:rsidP="00527467">
      <w:pPr>
        <w:jc w:val="both"/>
        <w:rPr>
          <w:rFonts w:ascii="Arial" w:hAnsi="Arial" w:cs="Arial"/>
        </w:rPr>
      </w:pPr>
      <w:r w:rsidRPr="008E5284">
        <w:rPr>
          <w:rFonts w:ascii="Arial" w:hAnsi="Arial" w:cs="Arial"/>
        </w:rPr>
        <w:t>In addition, please indicate whether you consider that any of the challenges are unique to EU law as a subject.</w:t>
      </w:r>
    </w:p>
    <w:p w:rsidR="00527467" w:rsidRPr="008E5284" w:rsidRDefault="00527467" w:rsidP="00527467">
      <w:pPr>
        <w:jc w:val="both"/>
        <w:rPr>
          <w:rFonts w:ascii="Arial" w:hAnsi="Arial" w:cs="Arial"/>
        </w:rPr>
      </w:pPr>
    </w:p>
    <w:tbl>
      <w:tblPr>
        <w:tblStyle w:val="TableGrid"/>
        <w:tblW w:w="8613" w:type="dxa"/>
        <w:tblLayout w:type="fixed"/>
        <w:tblLook w:val="01E0" w:firstRow="1" w:lastRow="1" w:firstColumn="1" w:lastColumn="1" w:noHBand="0" w:noVBand="0"/>
      </w:tblPr>
      <w:tblGrid>
        <w:gridCol w:w="5070"/>
        <w:gridCol w:w="1275"/>
        <w:gridCol w:w="2268"/>
      </w:tblGrid>
      <w:tr w:rsidR="00527467" w:rsidRPr="009615AA" w:rsidTr="002B3202">
        <w:tc>
          <w:tcPr>
            <w:tcW w:w="5070" w:type="dxa"/>
          </w:tcPr>
          <w:p w:rsidR="00527467" w:rsidRPr="00ED4E2A" w:rsidRDefault="00527467" w:rsidP="002B3202">
            <w:pPr>
              <w:jc w:val="both"/>
              <w:rPr>
                <w:rFonts w:ascii="Arial Narrow" w:hAnsi="Arial Narrow" w:cs="Arial"/>
                <w:b/>
              </w:rPr>
            </w:pPr>
            <w:r w:rsidRPr="00ED4E2A">
              <w:rPr>
                <w:rFonts w:ascii="Arial Narrow" w:hAnsi="Arial Narrow" w:cs="Arial"/>
                <w:b/>
              </w:rPr>
              <w:t xml:space="preserve">Challenges of teaching EU law  </w:t>
            </w:r>
          </w:p>
        </w:tc>
        <w:tc>
          <w:tcPr>
            <w:tcW w:w="1275" w:type="dxa"/>
          </w:tcPr>
          <w:p w:rsidR="00527467" w:rsidRPr="00ED4E2A" w:rsidRDefault="00527467" w:rsidP="002B3202">
            <w:pPr>
              <w:jc w:val="both"/>
              <w:rPr>
                <w:rFonts w:ascii="Arial Narrow" w:hAnsi="Arial Narrow" w:cs="Arial"/>
                <w:b/>
              </w:rPr>
            </w:pPr>
            <w:r w:rsidRPr="00ED4E2A">
              <w:rPr>
                <w:rFonts w:ascii="Arial Narrow" w:hAnsi="Arial Narrow" w:cs="Arial"/>
                <w:b/>
              </w:rPr>
              <w:t>Weighting</w:t>
            </w:r>
          </w:p>
          <w:p w:rsidR="00527467" w:rsidRPr="00ED4E2A" w:rsidRDefault="00527467" w:rsidP="002B3202">
            <w:pPr>
              <w:jc w:val="center"/>
              <w:rPr>
                <w:rFonts w:ascii="Arial Narrow" w:hAnsi="Arial Narrow" w:cs="Arial"/>
                <w:b/>
              </w:rPr>
            </w:pPr>
            <w:r w:rsidRPr="00ED4E2A">
              <w:rPr>
                <w:rFonts w:ascii="Arial Narrow" w:hAnsi="Arial Narrow" w:cs="Arial"/>
                <w:b/>
              </w:rPr>
              <w:t>1 - 5</w:t>
            </w:r>
          </w:p>
        </w:tc>
        <w:tc>
          <w:tcPr>
            <w:tcW w:w="2268" w:type="dxa"/>
          </w:tcPr>
          <w:p w:rsidR="00527467" w:rsidRPr="00ED4E2A" w:rsidRDefault="00527467" w:rsidP="002B3202">
            <w:pPr>
              <w:jc w:val="center"/>
              <w:rPr>
                <w:rFonts w:ascii="Arial Narrow" w:hAnsi="Arial Narrow" w:cs="Arial"/>
                <w:b/>
              </w:rPr>
            </w:pPr>
            <w:r w:rsidRPr="00ED4E2A">
              <w:rPr>
                <w:rFonts w:ascii="Arial Narrow" w:hAnsi="Arial Narrow" w:cs="Arial"/>
                <w:b/>
              </w:rPr>
              <w:t>Unique?    X</w:t>
            </w: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Students find it difficult to understand civil law reasoning</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Students resent having to study EU law</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 xml:space="preserve">The </w:t>
            </w:r>
            <w:smartTag w:uri="urn:schemas-microsoft-com:office:smarttags" w:element="country-region">
              <w:smartTag w:uri="urn:schemas-microsoft-com:office:smarttags" w:element="place">
                <w:r w:rsidRPr="009615AA">
                  <w:rPr>
                    <w:rFonts w:ascii="Arial" w:hAnsi="Arial" w:cs="Arial"/>
                  </w:rPr>
                  <w:t>UK</w:t>
                </w:r>
              </w:smartTag>
            </w:smartTag>
            <w:r w:rsidRPr="009615AA">
              <w:rPr>
                <w:rFonts w:ascii="Arial" w:hAnsi="Arial" w:cs="Arial"/>
              </w:rPr>
              <w:t xml:space="preserve"> media are critical of  the EU</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Students consider EU law to be distant from their own experience</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There is excessive technical detail</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To understand EU law fully it is necessary to understand the historical and political contexts</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rPr>
                <w:rFonts w:ascii="Arial" w:hAnsi="Arial" w:cs="Arial"/>
              </w:rPr>
            </w:pPr>
            <w:r w:rsidRPr="009615AA">
              <w:rPr>
                <w:rFonts w:ascii="Arial" w:hAnsi="Arial" w:cs="Arial"/>
              </w:rPr>
              <w:t>To understand EU law fully it is helpful to have an understanding of economics</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It is very difficult for teachers to keep up to date, given the bulk of material</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lastRenderedPageBreak/>
              <w:t>Because of the breadth of the subject, it is difficult to select course content</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Students cannot remember names of the cases because they are foreign to them</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rPr>
            </w:pPr>
            <w:r w:rsidRPr="009615AA">
              <w:rPr>
                <w:rFonts w:ascii="Arial" w:hAnsi="Arial" w:cs="Arial"/>
              </w:rPr>
              <w:t>Students perceive EU law as a subject separate from all other core subjects</w:t>
            </w: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r w:rsidR="00527467" w:rsidRPr="009615AA" w:rsidTr="002B3202">
        <w:tc>
          <w:tcPr>
            <w:tcW w:w="5070" w:type="dxa"/>
          </w:tcPr>
          <w:p w:rsidR="00527467" w:rsidRPr="009615AA" w:rsidRDefault="00527467" w:rsidP="002B3202">
            <w:pPr>
              <w:jc w:val="both"/>
              <w:rPr>
                <w:rFonts w:ascii="Arial" w:hAnsi="Arial" w:cs="Arial"/>
                <w:i/>
              </w:rPr>
            </w:pPr>
            <w:r w:rsidRPr="009615AA">
              <w:rPr>
                <w:rFonts w:ascii="Arial" w:hAnsi="Arial" w:cs="Arial"/>
              </w:rPr>
              <w:t>Other (</w:t>
            </w:r>
            <w:r w:rsidRPr="009615AA">
              <w:rPr>
                <w:rFonts w:ascii="Arial" w:hAnsi="Arial" w:cs="Arial"/>
                <w:i/>
              </w:rPr>
              <w:t>please specify)</w:t>
            </w:r>
          </w:p>
          <w:p w:rsidR="00527467" w:rsidRDefault="00527467" w:rsidP="002B3202">
            <w:pPr>
              <w:jc w:val="both"/>
              <w:rPr>
                <w:rFonts w:ascii="Arial" w:hAnsi="Arial" w:cs="Arial"/>
                <w:i/>
              </w:rPr>
            </w:pPr>
          </w:p>
          <w:p w:rsidR="00527467"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p w:rsidR="00527467" w:rsidRPr="009615AA" w:rsidRDefault="00527467" w:rsidP="002B3202">
            <w:pPr>
              <w:jc w:val="both"/>
              <w:rPr>
                <w:rFonts w:ascii="Arial" w:hAnsi="Arial" w:cs="Arial"/>
                <w:i/>
              </w:rPr>
            </w:pPr>
          </w:p>
        </w:tc>
        <w:tc>
          <w:tcPr>
            <w:tcW w:w="1275" w:type="dxa"/>
          </w:tcPr>
          <w:p w:rsidR="00527467" w:rsidRPr="009615AA" w:rsidRDefault="00527467" w:rsidP="002B3202">
            <w:pPr>
              <w:jc w:val="both"/>
              <w:rPr>
                <w:rFonts w:ascii="Arial" w:hAnsi="Arial" w:cs="Arial"/>
                <w:b/>
              </w:rPr>
            </w:pPr>
          </w:p>
        </w:tc>
        <w:tc>
          <w:tcPr>
            <w:tcW w:w="2268" w:type="dxa"/>
          </w:tcPr>
          <w:p w:rsidR="00527467" w:rsidRPr="009615AA" w:rsidRDefault="00527467" w:rsidP="002B3202">
            <w:pPr>
              <w:jc w:val="both"/>
              <w:rPr>
                <w:rFonts w:ascii="Arial" w:hAnsi="Arial" w:cs="Arial"/>
                <w:b/>
              </w:rPr>
            </w:pPr>
          </w:p>
        </w:tc>
      </w:tr>
    </w:tbl>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tabs>
          <w:tab w:val="left" w:pos="6180"/>
        </w:tabs>
        <w:jc w:val="both"/>
        <w:rPr>
          <w:b/>
        </w:rPr>
      </w:pPr>
      <w:proofErr w:type="gramStart"/>
      <w:r>
        <w:rPr>
          <w:b/>
        </w:rPr>
        <w:t>10 Assessment Methods.</w:t>
      </w:r>
      <w:proofErr w:type="gramEnd"/>
    </w:p>
    <w:p w:rsidR="00527467" w:rsidRDefault="00527467" w:rsidP="00527467">
      <w:pPr>
        <w:jc w:val="both"/>
        <w:rPr>
          <w:b/>
        </w:rPr>
      </w:pPr>
    </w:p>
    <w:p w:rsidR="00527467" w:rsidRDefault="00527467" w:rsidP="00527467">
      <w:pPr>
        <w:tabs>
          <w:tab w:val="left" w:pos="6180"/>
        </w:tabs>
        <w:jc w:val="both"/>
      </w:pPr>
      <w:r w:rsidRPr="004D17C7">
        <w:t xml:space="preserve">Please indicate which assessment methods are used and also indicate the percentage </w:t>
      </w:r>
      <w:r>
        <w:t>o</w:t>
      </w:r>
      <w:r w:rsidRPr="004D17C7">
        <w:t xml:space="preserve">f the final mark which is allocated to each method.  </w:t>
      </w:r>
    </w:p>
    <w:p w:rsidR="00527467" w:rsidRDefault="00527467" w:rsidP="00527467">
      <w:pPr>
        <w:tabs>
          <w:tab w:val="left" w:pos="6180"/>
        </w:tabs>
        <w:jc w:val="both"/>
      </w:pPr>
    </w:p>
    <w:p w:rsidR="00527467" w:rsidRDefault="00527467" w:rsidP="00527467">
      <w:pPr>
        <w:tabs>
          <w:tab w:val="left" w:pos="6180"/>
        </w:tabs>
        <w:jc w:val="both"/>
      </w:pPr>
      <w:r>
        <w:t xml:space="preserve">10.1 </w:t>
      </w:r>
    </w:p>
    <w:p w:rsidR="00527467" w:rsidRDefault="00527467" w:rsidP="00527467">
      <w:pPr>
        <w:tabs>
          <w:tab w:val="left" w:pos="6180"/>
        </w:tabs>
        <w:jc w:val="both"/>
        <w:rPr>
          <w:b/>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34"/>
        <w:gridCol w:w="1701"/>
      </w:tblGrid>
      <w:tr w:rsidR="00527467" w:rsidTr="002B3202">
        <w:tc>
          <w:tcPr>
            <w:tcW w:w="4786" w:type="dxa"/>
          </w:tcPr>
          <w:p w:rsidR="00527467" w:rsidRDefault="00527467" w:rsidP="002B3202">
            <w:pPr>
              <w:pStyle w:val="Heading1"/>
            </w:pPr>
            <w:r>
              <w:t>Assessment method</w:t>
            </w:r>
          </w:p>
        </w:tc>
        <w:tc>
          <w:tcPr>
            <w:tcW w:w="1134" w:type="dxa"/>
          </w:tcPr>
          <w:p w:rsidR="00527467" w:rsidRDefault="00527467" w:rsidP="002B3202">
            <w:pPr>
              <w:pStyle w:val="Heading1"/>
            </w:pPr>
            <w:r>
              <w:t xml:space="preserve">    X    </w:t>
            </w:r>
          </w:p>
        </w:tc>
        <w:tc>
          <w:tcPr>
            <w:tcW w:w="1701" w:type="dxa"/>
          </w:tcPr>
          <w:p w:rsidR="00527467" w:rsidRDefault="00527467" w:rsidP="002B3202">
            <w:pPr>
              <w:tabs>
                <w:tab w:val="left" w:pos="6180"/>
              </w:tabs>
              <w:rPr>
                <w:b/>
              </w:rPr>
            </w:pPr>
            <w:r>
              <w:rPr>
                <w:b/>
              </w:rPr>
              <w:t>% of marks</w:t>
            </w:r>
          </w:p>
          <w:p w:rsidR="00527467" w:rsidRDefault="00527467" w:rsidP="002B3202">
            <w:pPr>
              <w:tabs>
                <w:tab w:val="left" w:pos="6180"/>
              </w:tabs>
              <w:rPr>
                <w:b/>
              </w:rPr>
            </w:pPr>
          </w:p>
        </w:tc>
      </w:tr>
      <w:tr w:rsidR="00527467" w:rsidTr="002B3202">
        <w:tc>
          <w:tcPr>
            <w:tcW w:w="4786" w:type="dxa"/>
          </w:tcPr>
          <w:p w:rsidR="00527467" w:rsidRDefault="00527467" w:rsidP="002B3202">
            <w:pPr>
              <w:tabs>
                <w:tab w:val="left" w:pos="6180"/>
              </w:tabs>
              <w:jc w:val="both"/>
              <w:rPr>
                <w:bCs/>
              </w:rPr>
            </w:pPr>
            <w:r>
              <w:rPr>
                <w:bCs/>
              </w:rPr>
              <w:t>Formal examinations – essay questions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Formal examinations – problem questions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lastRenderedPageBreak/>
              <w:t>Coursework essays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Coursework problem questions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Dissertation</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Oral presentation</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Reflective logs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Portfolio/progress file</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Group work</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Computer-based assessment</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Multiple choice questions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Peer assessment</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Library-based projects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Reports from clinical/practice-based activities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Poster presentations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proofErr w:type="spellStart"/>
            <w:r>
              <w:rPr>
                <w:bCs/>
              </w:rPr>
              <w:t>Self assessment</w:t>
            </w:r>
            <w:proofErr w:type="spellEnd"/>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pPr>
            <w:r>
              <w:t>Seminar preparation/notes/reports</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Skills-based activities (e.g. negotiation)</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rPr>
            </w:pPr>
            <w:r>
              <w:rPr>
                <w:bCs/>
              </w:rPr>
              <w:t>Mooting</w:t>
            </w: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r w:rsidR="00527467" w:rsidTr="002B3202">
        <w:tc>
          <w:tcPr>
            <w:tcW w:w="4786" w:type="dxa"/>
          </w:tcPr>
          <w:p w:rsidR="00527467" w:rsidRDefault="00527467" w:rsidP="002B3202">
            <w:pPr>
              <w:tabs>
                <w:tab w:val="left" w:pos="6180"/>
              </w:tabs>
              <w:jc w:val="both"/>
              <w:rPr>
                <w:bCs/>
                <w:i/>
                <w:iCs/>
              </w:rPr>
            </w:pPr>
            <w:r>
              <w:rPr>
                <w:bCs/>
              </w:rPr>
              <w:t>Other (</w:t>
            </w:r>
            <w:r>
              <w:rPr>
                <w:bCs/>
                <w:i/>
                <w:iCs/>
              </w:rPr>
              <w:t>please specify)</w:t>
            </w:r>
          </w:p>
          <w:p w:rsidR="00527467" w:rsidRDefault="00527467" w:rsidP="002B3202">
            <w:pPr>
              <w:tabs>
                <w:tab w:val="left" w:pos="6180"/>
              </w:tabs>
              <w:jc w:val="both"/>
              <w:rPr>
                <w:bCs/>
                <w:i/>
                <w:iCs/>
              </w:rPr>
            </w:pPr>
          </w:p>
          <w:p w:rsidR="00527467" w:rsidRDefault="00527467" w:rsidP="002B3202">
            <w:pPr>
              <w:tabs>
                <w:tab w:val="left" w:pos="6180"/>
              </w:tabs>
              <w:jc w:val="both"/>
              <w:rPr>
                <w:bCs/>
                <w:i/>
                <w:iCs/>
              </w:rPr>
            </w:pPr>
          </w:p>
          <w:p w:rsidR="00527467" w:rsidRDefault="00527467" w:rsidP="002B3202">
            <w:pPr>
              <w:tabs>
                <w:tab w:val="left" w:pos="6180"/>
              </w:tabs>
              <w:jc w:val="both"/>
              <w:rPr>
                <w:bCs/>
                <w:i/>
                <w:iCs/>
              </w:rPr>
            </w:pPr>
          </w:p>
        </w:tc>
        <w:tc>
          <w:tcPr>
            <w:tcW w:w="1134" w:type="dxa"/>
          </w:tcPr>
          <w:p w:rsidR="00527467" w:rsidRDefault="00527467" w:rsidP="002B3202">
            <w:pPr>
              <w:tabs>
                <w:tab w:val="left" w:pos="6180"/>
              </w:tabs>
              <w:jc w:val="both"/>
              <w:rPr>
                <w:b/>
              </w:rPr>
            </w:pPr>
          </w:p>
        </w:tc>
        <w:tc>
          <w:tcPr>
            <w:tcW w:w="1701" w:type="dxa"/>
          </w:tcPr>
          <w:p w:rsidR="00527467" w:rsidRDefault="00527467" w:rsidP="002B3202">
            <w:pPr>
              <w:tabs>
                <w:tab w:val="left" w:pos="6180"/>
              </w:tabs>
              <w:jc w:val="both"/>
              <w:rPr>
                <w:b/>
              </w:rPr>
            </w:pPr>
          </w:p>
        </w:tc>
      </w:tr>
    </w:tbl>
    <w:p w:rsidR="00527467" w:rsidRDefault="00527467" w:rsidP="00527467">
      <w:pPr>
        <w:tabs>
          <w:tab w:val="left" w:pos="6180"/>
        </w:tabs>
        <w:jc w:val="both"/>
        <w:rPr>
          <w:b/>
        </w:rPr>
      </w:pPr>
    </w:p>
    <w:p w:rsidR="00527467" w:rsidRPr="006257BC" w:rsidRDefault="00527467" w:rsidP="00527467">
      <w:pPr>
        <w:tabs>
          <w:tab w:val="left" w:pos="6180"/>
        </w:tabs>
        <w:jc w:val="both"/>
      </w:pPr>
      <w:r>
        <w:t xml:space="preserve">10.2 Do you use any of the above assessment methods for informal (formative) assessment of students’ performance and feedback? </w:t>
      </w:r>
    </w:p>
    <w:p w:rsidR="00527467" w:rsidRDefault="00527467" w:rsidP="00527467">
      <w:pPr>
        <w:jc w:val="both"/>
        <w:rPr>
          <w:b/>
        </w:rPr>
      </w:pPr>
    </w:p>
    <w:p w:rsidR="00527467" w:rsidRPr="00ED4E2A" w:rsidRDefault="00527467" w:rsidP="00527467">
      <w:pPr>
        <w:jc w:val="both"/>
      </w:pPr>
      <w:r w:rsidRPr="00ED4E2A">
        <w:t xml:space="preserve">Please </w:t>
      </w:r>
      <w:r>
        <w:t>specify</w:t>
      </w:r>
      <w:r w:rsidRPr="00ED4E2A">
        <w:t xml:space="preserve"> these </w:t>
      </w:r>
      <w:r>
        <w:t xml:space="preserve">methods </w:t>
      </w:r>
      <w:r w:rsidRPr="00ED4E2A">
        <w:t>below.</w:t>
      </w:r>
    </w:p>
    <w:p w:rsidR="00527467" w:rsidRDefault="00527467" w:rsidP="00527467">
      <w:pPr>
        <w:tabs>
          <w:tab w:val="left" w:pos="6180"/>
        </w:tabs>
        <w:jc w:val="both"/>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27467" w:rsidTr="002B3202">
        <w:tc>
          <w:tcPr>
            <w:tcW w:w="8522" w:type="dxa"/>
          </w:tcPr>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p w:rsidR="00527467" w:rsidRDefault="00527467" w:rsidP="002B3202">
            <w:pPr>
              <w:jc w:val="both"/>
              <w:rPr>
                <w:b/>
              </w:rPr>
            </w:pPr>
          </w:p>
        </w:tc>
      </w:tr>
    </w:tbl>
    <w:p w:rsidR="00527467" w:rsidRDefault="00527467" w:rsidP="00527467">
      <w:pPr>
        <w:jc w:val="both"/>
        <w:rPr>
          <w:b/>
        </w:rPr>
      </w:pPr>
    </w:p>
    <w:p w:rsidR="00527467" w:rsidRDefault="00527467" w:rsidP="00527467">
      <w:pPr>
        <w:jc w:val="both"/>
        <w:rPr>
          <w:b/>
        </w:rPr>
      </w:pPr>
    </w:p>
    <w:p w:rsidR="00527467" w:rsidRPr="00ED4E2A" w:rsidRDefault="00527467" w:rsidP="00527467">
      <w:pPr>
        <w:numPr>
          <w:ilvl w:val="0"/>
          <w:numId w:val="36"/>
        </w:numPr>
        <w:tabs>
          <w:tab w:val="clear" w:pos="720"/>
          <w:tab w:val="num" w:pos="567"/>
        </w:tabs>
        <w:spacing w:after="0" w:line="240" w:lineRule="auto"/>
        <w:ind w:hanging="720"/>
        <w:jc w:val="both"/>
        <w:rPr>
          <w:rFonts w:ascii="Arial" w:hAnsi="Arial" w:cs="Arial"/>
          <w:b/>
        </w:rPr>
      </w:pPr>
      <w:r w:rsidRPr="00ED4E2A">
        <w:rPr>
          <w:rFonts w:ascii="Arial" w:hAnsi="Arial" w:cs="Arial"/>
          <w:b/>
        </w:rPr>
        <w:t>Course Evaluation</w:t>
      </w:r>
    </w:p>
    <w:p w:rsidR="00527467" w:rsidRDefault="00527467" w:rsidP="00527467">
      <w:pPr>
        <w:jc w:val="both"/>
        <w:rPr>
          <w:b/>
        </w:rPr>
      </w:pPr>
    </w:p>
    <w:p w:rsidR="00527467" w:rsidRPr="00ED4E2A" w:rsidRDefault="00527467" w:rsidP="00527467">
      <w:pPr>
        <w:ind w:left="540"/>
        <w:jc w:val="both"/>
      </w:pPr>
      <w:r w:rsidRPr="00ED4E2A">
        <w:t>How do you evaluate your courses?  Which methods of evaluation provide the best feedback?</w:t>
      </w:r>
    </w:p>
    <w:p w:rsidR="00527467" w:rsidRPr="00ED4E2A" w:rsidRDefault="00527467" w:rsidP="00527467">
      <w:pPr>
        <w:ind w:left="540"/>
        <w:jc w:val="both"/>
      </w:pPr>
    </w:p>
    <w:p w:rsidR="00527467" w:rsidRPr="00ED4E2A" w:rsidRDefault="00527467" w:rsidP="00527467">
      <w:pPr>
        <w:ind w:left="540"/>
        <w:jc w:val="both"/>
      </w:pPr>
      <w:r w:rsidRPr="00ED4E2A">
        <w:t>Please give a weighting to each of the selected evaluation methods from 1 – 5, for example:</w:t>
      </w:r>
    </w:p>
    <w:p w:rsidR="00527467" w:rsidRPr="00ED4E2A" w:rsidRDefault="00527467" w:rsidP="00527467">
      <w:pPr>
        <w:ind w:left="540"/>
        <w:jc w:val="both"/>
      </w:pPr>
    </w:p>
    <w:p w:rsidR="00527467" w:rsidRPr="00ED4E2A" w:rsidRDefault="00527467" w:rsidP="00527467">
      <w:pPr>
        <w:numPr>
          <w:ilvl w:val="0"/>
          <w:numId w:val="31"/>
        </w:numPr>
        <w:spacing w:after="0" w:line="240" w:lineRule="auto"/>
        <w:jc w:val="both"/>
      </w:pPr>
      <w:r w:rsidRPr="00ED4E2A">
        <w:t>=  a poor method;</w:t>
      </w:r>
    </w:p>
    <w:p w:rsidR="00527467" w:rsidRPr="00ED4E2A" w:rsidRDefault="00527467" w:rsidP="00527467">
      <w:pPr>
        <w:numPr>
          <w:ilvl w:val="0"/>
          <w:numId w:val="31"/>
        </w:numPr>
        <w:spacing w:after="0" w:line="240" w:lineRule="auto"/>
        <w:jc w:val="both"/>
      </w:pPr>
      <w:r w:rsidRPr="00ED4E2A">
        <w:t>=  a method which has some value;</w:t>
      </w:r>
    </w:p>
    <w:p w:rsidR="00527467" w:rsidRPr="00ED4E2A" w:rsidRDefault="00527467" w:rsidP="00527467">
      <w:pPr>
        <w:numPr>
          <w:ilvl w:val="0"/>
          <w:numId w:val="31"/>
        </w:numPr>
        <w:spacing w:after="0" w:line="240" w:lineRule="auto"/>
        <w:jc w:val="both"/>
      </w:pPr>
      <w:r w:rsidRPr="00ED4E2A">
        <w:t>=  a method which has a reasonable value;</w:t>
      </w:r>
    </w:p>
    <w:p w:rsidR="00527467" w:rsidRPr="00ED4E2A" w:rsidRDefault="00527467" w:rsidP="00527467">
      <w:pPr>
        <w:numPr>
          <w:ilvl w:val="0"/>
          <w:numId w:val="31"/>
        </w:numPr>
        <w:spacing w:after="0" w:line="240" w:lineRule="auto"/>
        <w:jc w:val="both"/>
      </w:pPr>
      <w:r w:rsidRPr="00ED4E2A">
        <w:t>=  a method which is very valuable;</w:t>
      </w:r>
    </w:p>
    <w:p w:rsidR="00527467" w:rsidRPr="00ED4E2A" w:rsidRDefault="00527467" w:rsidP="00527467">
      <w:pPr>
        <w:numPr>
          <w:ilvl w:val="0"/>
          <w:numId w:val="31"/>
        </w:numPr>
        <w:spacing w:after="0" w:line="240" w:lineRule="auto"/>
        <w:jc w:val="both"/>
      </w:pPr>
      <w:proofErr w:type="gramStart"/>
      <w:r w:rsidRPr="00ED4E2A">
        <w:t>=  a</w:t>
      </w:r>
      <w:proofErr w:type="gramEnd"/>
      <w:r w:rsidRPr="00ED4E2A">
        <w:t xml:space="preserve"> method which is essential.</w:t>
      </w:r>
    </w:p>
    <w:p w:rsidR="00527467" w:rsidRDefault="00527467" w:rsidP="00527467">
      <w:pPr>
        <w:jc w:val="both"/>
        <w:rPr>
          <w:b/>
        </w:rPr>
      </w:pPr>
    </w:p>
    <w:p w:rsidR="00527467" w:rsidRDefault="00527467" w:rsidP="00527467">
      <w:pPr>
        <w:jc w:val="both"/>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037"/>
        <w:gridCol w:w="2932"/>
      </w:tblGrid>
      <w:tr w:rsidR="00527467" w:rsidTr="002B3202">
        <w:tc>
          <w:tcPr>
            <w:tcW w:w="4644" w:type="dxa"/>
          </w:tcPr>
          <w:p w:rsidR="00527467" w:rsidRDefault="00527467" w:rsidP="002B3202">
            <w:pPr>
              <w:pStyle w:val="Heading1"/>
              <w:tabs>
                <w:tab w:val="clear" w:pos="6180"/>
              </w:tabs>
            </w:pPr>
            <w:r>
              <w:t>Evaluation method</w:t>
            </w:r>
          </w:p>
          <w:p w:rsidR="00527467" w:rsidRPr="00ED4E2A" w:rsidRDefault="00527467" w:rsidP="002B3202"/>
        </w:tc>
        <w:tc>
          <w:tcPr>
            <w:tcW w:w="1037" w:type="dxa"/>
          </w:tcPr>
          <w:p w:rsidR="00527467" w:rsidRDefault="00527467" w:rsidP="002B3202">
            <w:pPr>
              <w:jc w:val="both"/>
              <w:rPr>
                <w:b/>
              </w:rPr>
            </w:pPr>
            <w:r>
              <w:rPr>
                <w:b/>
              </w:rPr>
              <w:t xml:space="preserve">     X</w:t>
            </w:r>
          </w:p>
        </w:tc>
        <w:tc>
          <w:tcPr>
            <w:tcW w:w="2932" w:type="dxa"/>
          </w:tcPr>
          <w:p w:rsidR="00527467" w:rsidRDefault="00527467" w:rsidP="002B3202">
            <w:pPr>
              <w:jc w:val="both"/>
              <w:rPr>
                <w:b/>
              </w:rPr>
            </w:pPr>
            <w:r>
              <w:rPr>
                <w:b/>
              </w:rPr>
              <w:t>Weighting   (1 – 5)</w:t>
            </w:r>
          </w:p>
        </w:tc>
      </w:tr>
      <w:tr w:rsidR="00527467" w:rsidTr="002B3202">
        <w:tc>
          <w:tcPr>
            <w:tcW w:w="4644" w:type="dxa"/>
          </w:tcPr>
          <w:p w:rsidR="00527467" w:rsidRDefault="00527467" w:rsidP="002B3202">
            <w:pPr>
              <w:jc w:val="both"/>
              <w:rPr>
                <w:bCs/>
              </w:rPr>
            </w:pPr>
            <w:r>
              <w:rPr>
                <w:bCs/>
              </w:rPr>
              <w:t>Student questionnaires</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rPr>
            </w:pPr>
            <w:r>
              <w:rPr>
                <w:bCs/>
              </w:rPr>
              <w:t>External examiners’ reports</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rPr>
            </w:pPr>
            <w:r>
              <w:rPr>
                <w:bCs/>
              </w:rPr>
              <w:lastRenderedPageBreak/>
              <w:t>Peer review by EU law tutors</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rPr>
            </w:pPr>
            <w:r>
              <w:rPr>
                <w:bCs/>
              </w:rPr>
              <w:t>Peer review within your department</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rPr>
            </w:pPr>
            <w:r>
              <w:rPr>
                <w:bCs/>
              </w:rPr>
              <w:t>Peer review outside your department</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rPr>
            </w:pPr>
            <w:r>
              <w:rPr>
                <w:bCs/>
              </w:rPr>
              <w:t>Interviews with students</w:t>
            </w:r>
          </w:p>
          <w:p w:rsidR="00527467" w:rsidRDefault="00527467" w:rsidP="002B3202">
            <w:pPr>
              <w:jc w:val="both"/>
              <w:rPr>
                <w:b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r w:rsidR="00527467" w:rsidTr="002B3202">
        <w:tc>
          <w:tcPr>
            <w:tcW w:w="4644" w:type="dxa"/>
          </w:tcPr>
          <w:p w:rsidR="00527467" w:rsidRDefault="00527467" w:rsidP="002B3202">
            <w:pPr>
              <w:jc w:val="both"/>
              <w:rPr>
                <w:bCs/>
                <w:i/>
                <w:iCs/>
              </w:rPr>
            </w:pPr>
            <w:r>
              <w:rPr>
                <w:bCs/>
              </w:rPr>
              <w:t>Other (</w:t>
            </w:r>
            <w:r>
              <w:rPr>
                <w:bCs/>
                <w:i/>
                <w:iCs/>
              </w:rPr>
              <w:t>please specify)</w:t>
            </w:r>
          </w:p>
          <w:p w:rsidR="00527467" w:rsidRDefault="00527467" w:rsidP="002B3202">
            <w:pPr>
              <w:jc w:val="both"/>
              <w:rPr>
                <w:bCs/>
                <w:i/>
                <w:iCs/>
              </w:rPr>
            </w:pPr>
          </w:p>
          <w:p w:rsidR="00527467" w:rsidRDefault="00527467" w:rsidP="002B3202">
            <w:pPr>
              <w:jc w:val="both"/>
              <w:rPr>
                <w:bCs/>
                <w:i/>
                <w:iCs/>
              </w:rPr>
            </w:pPr>
          </w:p>
          <w:p w:rsidR="00527467" w:rsidRDefault="00527467" w:rsidP="002B3202">
            <w:pPr>
              <w:jc w:val="both"/>
              <w:rPr>
                <w:bCs/>
                <w:i/>
                <w:iCs/>
              </w:rPr>
            </w:pPr>
          </w:p>
        </w:tc>
        <w:tc>
          <w:tcPr>
            <w:tcW w:w="1037" w:type="dxa"/>
          </w:tcPr>
          <w:p w:rsidR="00527467" w:rsidRDefault="00527467" w:rsidP="002B3202">
            <w:pPr>
              <w:jc w:val="both"/>
              <w:rPr>
                <w:b/>
              </w:rPr>
            </w:pPr>
          </w:p>
        </w:tc>
        <w:tc>
          <w:tcPr>
            <w:tcW w:w="2932" w:type="dxa"/>
          </w:tcPr>
          <w:p w:rsidR="00527467" w:rsidRDefault="00527467" w:rsidP="002B3202">
            <w:pPr>
              <w:jc w:val="both"/>
              <w:rPr>
                <w:b/>
              </w:rPr>
            </w:pPr>
          </w:p>
        </w:tc>
      </w:tr>
    </w:tbl>
    <w:p w:rsidR="00527467" w:rsidRDefault="00527467" w:rsidP="00527467">
      <w:pPr>
        <w:jc w:val="both"/>
        <w:rPr>
          <w:b/>
        </w:rPr>
      </w:pPr>
    </w:p>
    <w:p w:rsidR="00527467" w:rsidRDefault="00527467" w:rsidP="00527467">
      <w:pPr>
        <w:jc w:val="both"/>
        <w:rPr>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r>
        <w:rPr>
          <w:rFonts w:ascii="Arial" w:hAnsi="Arial" w:cs="Arial"/>
          <w:b/>
        </w:rPr>
        <w:t>12</w:t>
      </w:r>
      <w:r w:rsidRPr="009615AA">
        <w:rPr>
          <w:rFonts w:ascii="Arial" w:hAnsi="Arial" w:cs="Arial"/>
          <w:b/>
        </w:rPr>
        <w:t xml:space="preserve">. Examples of good practice </w:t>
      </w:r>
    </w:p>
    <w:p w:rsidR="00527467" w:rsidRPr="009615AA" w:rsidRDefault="00527467" w:rsidP="00527467">
      <w:pPr>
        <w:jc w:val="both"/>
        <w:rPr>
          <w:rFonts w:ascii="Arial" w:hAnsi="Arial" w:cs="Arial"/>
          <w:b/>
        </w:rPr>
      </w:pPr>
    </w:p>
    <w:p w:rsidR="00527467" w:rsidRPr="00ED4E2A" w:rsidRDefault="00527467" w:rsidP="00527467">
      <w:pPr>
        <w:jc w:val="both"/>
        <w:rPr>
          <w:rFonts w:ascii="Arial" w:hAnsi="Arial" w:cs="Arial"/>
        </w:rPr>
      </w:pPr>
      <w:r w:rsidRPr="00ED4E2A">
        <w:rPr>
          <w:rFonts w:ascii="Arial" w:hAnsi="Arial" w:cs="Arial"/>
        </w:rPr>
        <w:t xml:space="preserve">12.1 </w:t>
      </w:r>
      <w:r w:rsidRPr="00ED4E2A">
        <w:rPr>
          <w:rFonts w:ascii="Arial" w:hAnsi="Arial" w:cs="Arial"/>
        </w:rPr>
        <w:tab/>
        <w:t>Do you have examples of good practice in learning, teaching and assessment methods that you would be willing to disseminate through this project?</w:t>
      </w:r>
    </w:p>
    <w:p w:rsidR="00527467" w:rsidRPr="00ED4E2A" w:rsidRDefault="00527467" w:rsidP="00527467">
      <w:pPr>
        <w:jc w:val="both"/>
        <w:rPr>
          <w:rFonts w:ascii="Arial" w:hAnsi="Arial" w:cs="Arial"/>
        </w:rPr>
      </w:pPr>
    </w:p>
    <w:p w:rsidR="00527467" w:rsidRPr="00ED4E2A" w:rsidRDefault="00527467" w:rsidP="00527467">
      <w:pPr>
        <w:jc w:val="both"/>
        <w:rPr>
          <w:rFonts w:ascii="Arial" w:hAnsi="Arial" w:cs="Arial"/>
        </w:rPr>
      </w:pPr>
      <w:r w:rsidRPr="00ED4E2A">
        <w:rPr>
          <w:rFonts w:ascii="Arial" w:hAnsi="Arial" w:cs="Arial"/>
        </w:rPr>
        <w:t>If yes, please provide a brief outline below:</w:t>
      </w:r>
    </w:p>
    <w:p w:rsidR="00527467" w:rsidRPr="009615AA" w:rsidRDefault="00527467" w:rsidP="00527467">
      <w:pPr>
        <w:jc w:val="both"/>
        <w:rPr>
          <w:rFonts w:ascii="Arial" w:hAnsi="Arial" w:cs="Arial"/>
          <w:b/>
        </w:rPr>
      </w:pPr>
    </w:p>
    <w:tbl>
      <w:tblPr>
        <w:tblStyle w:val="TableGrid"/>
        <w:tblW w:w="0" w:type="auto"/>
        <w:tblLook w:val="01E0" w:firstRow="1" w:lastRow="1" w:firstColumn="1" w:lastColumn="1" w:noHBand="0" w:noVBand="0"/>
      </w:tblPr>
      <w:tblGrid>
        <w:gridCol w:w="8522"/>
      </w:tblGrid>
      <w:tr w:rsidR="00527467" w:rsidRPr="009615AA" w:rsidTr="002B3202">
        <w:tc>
          <w:tcPr>
            <w:tcW w:w="8522" w:type="dxa"/>
          </w:tcPr>
          <w:p w:rsidR="00527467" w:rsidRDefault="00527467" w:rsidP="002B3202">
            <w:pPr>
              <w:jc w:val="both"/>
              <w:rPr>
                <w:rFonts w:ascii="Arial" w:hAnsi="Arial" w:cs="Arial"/>
                <w:b/>
              </w:rPr>
            </w:pPr>
            <w:r w:rsidRPr="009615AA">
              <w:rPr>
                <w:rFonts w:ascii="Arial" w:hAnsi="Arial" w:cs="Arial"/>
                <w:b/>
              </w:rPr>
              <w:t>1.</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Default="00527467" w:rsidP="002B3202">
            <w:pPr>
              <w:jc w:val="both"/>
              <w:rPr>
                <w:rFonts w:ascii="Arial" w:hAnsi="Arial" w:cs="Arial"/>
                <w:b/>
              </w:rPr>
            </w:pPr>
            <w:r w:rsidRPr="009615AA">
              <w:rPr>
                <w:rFonts w:ascii="Arial" w:hAnsi="Arial" w:cs="Arial"/>
                <w:b/>
              </w:rPr>
              <w:t>2.</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Default="00527467" w:rsidP="002B3202">
            <w:pPr>
              <w:jc w:val="both"/>
              <w:rPr>
                <w:rFonts w:ascii="Arial" w:hAnsi="Arial" w:cs="Arial"/>
                <w:b/>
              </w:rPr>
            </w:pPr>
            <w:r w:rsidRPr="009615AA">
              <w:rPr>
                <w:rFonts w:ascii="Arial" w:hAnsi="Arial" w:cs="Arial"/>
                <w:b/>
              </w:rPr>
              <w:t>3.</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Default="00527467" w:rsidP="002B3202">
            <w:pPr>
              <w:jc w:val="both"/>
              <w:rPr>
                <w:rFonts w:ascii="Arial" w:hAnsi="Arial" w:cs="Arial"/>
                <w:b/>
              </w:rPr>
            </w:pPr>
            <w:r w:rsidRPr="009615AA">
              <w:rPr>
                <w:rFonts w:ascii="Arial" w:hAnsi="Arial" w:cs="Arial"/>
                <w:b/>
              </w:rPr>
              <w:t>4.</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p w:rsidR="00527467" w:rsidRDefault="00527467" w:rsidP="002B3202">
            <w:pPr>
              <w:jc w:val="both"/>
              <w:rPr>
                <w:rFonts w:ascii="Arial" w:hAnsi="Arial" w:cs="Arial"/>
                <w:b/>
              </w:rPr>
            </w:pPr>
            <w:r w:rsidRPr="009615AA">
              <w:rPr>
                <w:rFonts w:ascii="Arial" w:hAnsi="Arial" w:cs="Arial"/>
                <w:b/>
              </w:rPr>
              <w:t>Etc…</w:t>
            </w:r>
          </w:p>
          <w:p w:rsidR="00527467" w:rsidRPr="009615AA" w:rsidRDefault="00527467" w:rsidP="002B3202">
            <w:pPr>
              <w:jc w:val="both"/>
              <w:rPr>
                <w:rFonts w:ascii="Arial" w:hAnsi="Arial" w:cs="Arial"/>
                <w:b/>
              </w:rPr>
            </w:pPr>
          </w:p>
          <w:p w:rsidR="00527467" w:rsidRPr="009615AA" w:rsidRDefault="00527467" w:rsidP="002B3202">
            <w:pPr>
              <w:jc w:val="both"/>
              <w:rPr>
                <w:rFonts w:ascii="Arial" w:hAnsi="Arial" w:cs="Arial"/>
                <w:b/>
              </w:rPr>
            </w:pPr>
          </w:p>
        </w:tc>
      </w:tr>
    </w:tbl>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ED4E2A" w:rsidRDefault="00527467" w:rsidP="00527467">
      <w:pPr>
        <w:jc w:val="both"/>
        <w:rPr>
          <w:rFonts w:ascii="Arial" w:hAnsi="Arial" w:cs="Arial"/>
        </w:rPr>
      </w:pPr>
      <w:r w:rsidRPr="00ED4E2A">
        <w:rPr>
          <w:rFonts w:ascii="Arial" w:hAnsi="Arial" w:cs="Arial"/>
        </w:rPr>
        <w:t>12.2 May we contact you for further details?</w:t>
      </w:r>
    </w:p>
    <w:p w:rsidR="00527467" w:rsidRPr="00ED4E2A" w:rsidRDefault="00527467" w:rsidP="00527467">
      <w:pPr>
        <w:jc w:val="both"/>
        <w:rPr>
          <w:rFonts w:ascii="Arial" w:hAnsi="Arial" w:cs="Arial"/>
        </w:rPr>
      </w:pPr>
    </w:p>
    <w:p w:rsidR="00527467" w:rsidRPr="00ED4E2A" w:rsidRDefault="00527467" w:rsidP="00527467">
      <w:pPr>
        <w:jc w:val="both"/>
        <w:rPr>
          <w:rFonts w:ascii="Arial" w:hAnsi="Arial" w:cs="Arial"/>
        </w:rPr>
      </w:pPr>
      <w:r w:rsidRPr="00ED4E2A">
        <w:rPr>
          <w:rFonts w:ascii="Arial" w:hAnsi="Arial" w:cs="Arial"/>
        </w:rPr>
        <w:lastRenderedPageBreak/>
        <w:t>If yes, please provide the name of the person to contact together with a telephone number and e-mail address</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Thank you very much fo</w:t>
      </w:r>
      <w:r>
        <w:rPr>
          <w:rFonts w:ascii="Arial" w:hAnsi="Arial" w:cs="Arial"/>
          <w:b/>
        </w:rPr>
        <w:t xml:space="preserve">r completing this questionnaire. </w:t>
      </w:r>
    </w:p>
    <w:p w:rsidR="00527467" w:rsidRPr="009615AA" w:rsidRDefault="00527467" w:rsidP="00527467">
      <w:pPr>
        <w:jc w:val="both"/>
        <w:rPr>
          <w:rFonts w:ascii="Arial" w:hAnsi="Arial" w:cs="Arial"/>
          <w:b/>
        </w:rPr>
      </w:pPr>
      <w:r>
        <w:rPr>
          <w:rFonts w:ascii="Arial" w:hAnsi="Arial" w:cs="Arial"/>
          <w:b/>
        </w:rPr>
        <w:t xml:space="preserve">If </w:t>
      </w:r>
      <w:r w:rsidRPr="009615AA">
        <w:rPr>
          <w:rFonts w:ascii="Arial" w:hAnsi="Arial" w:cs="Arial"/>
          <w:b/>
        </w:rPr>
        <w:t>you have any other comments then please write them below.</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We would encourage you to complete this questionnaire electronically and send it to:</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hyperlink r:id="rId64" w:history="1">
        <w:r w:rsidRPr="009615AA">
          <w:rPr>
            <w:rStyle w:val="Hyperlink"/>
            <w:rFonts w:ascii="Arial" w:hAnsi="Arial" w:cs="Arial"/>
            <w:b/>
          </w:rPr>
          <w:t>christian.dadomo@uwe.ac.uk</w:t>
        </w:r>
      </w:hyperlink>
      <w:r w:rsidRPr="009615AA">
        <w:rPr>
          <w:rFonts w:ascii="Arial" w:hAnsi="Arial" w:cs="Arial"/>
          <w:b/>
        </w:rPr>
        <w:t xml:space="preserve"> (please specify EU Law Survey in the subject box)</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But it is also possible to return it by post to:</w:t>
      </w:r>
    </w:p>
    <w:p w:rsidR="00527467" w:rsidRPr="009615AA" w:rsidRDefault="00527467" w:rsidP="00527467">
      <w:pPr>
        <w:jc w:val="both"/>
        <w:rPr>
          <w:rFonts w:ascii="Arial" w:hAnsi="Arial" w:cs="Arial"/>
          <w:b/>
        </w:rPr>
      </w:pPr>
    </w:p>
    <w:p w:rsidR="00527467" w:rsidRPr="009615AA" w:rsidRDefault="00527467" w:rsidP="00527467">
      <w:pPr>
        <w:jc w:val="both"/>
        <w:rPr>
          <w:rFonts w:ascii="Arial" w:hAnsi="Arial" w:cs="Arial"/>
          <w:b/>
        </w:rPr>
      </w:pPr>
      <w:r w:rsidRPr="009615AA">
        <w:rPr>
          <w:rFonts w:ascii="Arial" w:hAnsi="Arial" w:cs="Arial"/>
          <w:b/>
        </w:rPr>
        <w:t>Christian Dadomo</w:t>
      </w:r>
    </w:p>
    <w:p w:rsidR="00527467" w:rsidRPr="009615AA" w:rsidRDefault="00527467" w:rsidP="00527467">
      <w:pPr>
        <w:jc w:val="both"/>
        <w:rPr>
          <w:rFonts w:ascii="Arial" w:hAnsi="Arial" w:cs="Arial"/>
          <w:b/>
        </w:rPr>
      </w:pPr>
      <w:smartTag w:uri="urn:schemas-microsoft-com:office:smarttags" w:element="place">
        <w:smartTag w:uri="urn:schemas-microsoft-com:office:smarttags" w:element="PlaceType">
          <w:r w:rsidRPr="009615AA">
            <w:rPr>
              <w:rFonts w:ascii="Arial" w:hAnsi="Arial" w:cs="Arial"/>
              <w:b/>
            </w:rPr>
            <w:t>School</w:t>
          </w:r>
        </w:smartTag>
        <w:r w:rsidRPr="009615AA">
          <w:rPr>
            <w:rFonts w:ascii="Arial" w:hAnsi="Arial" w:cs="Arial"/>
            <w:b/>
          </w:rPr>
          <w:t xml:space="preserve"> of </w:t>
        </w:r>
        <w:smartTag w:uri="urn:schemas-microsoft-com:office:smarttags" w:element="PlaceName">
          <w:r w:rsidRPr="009615AA">
            <w:rPr>
              <w:rFonts w:ascii="Arial" w:hAnsi="Arial" w:cs="Arial"/>
              <w:b/>
            </w:rPr>
            <w:t>Law</w:t>
          </w:r>
        </w:smartTag>
      </w:smartTag>
    </w:p>
    <w:p w:rsidR="00527467" w:rsidRPr="009615AA" w:rsidRDefault="00527467" w:rsidP="00527467">
      <w:pPr>
        <w:jc w:val="both"/>
        <w:rPr>
          <w:rFonts w:ascii="Arial" w:hAnsi="Arial" w:cs="Arial"/>
          <w:b/>
        </w:rPr>
      </w:pPr>
      <w:r w:rsidRPr="009615AA">
        <w:rPr>
          <w:rFonts w:ascii="Arial" w:hAnsi="Arial" w:cs="Arial"/>
          <w:b/>
        </w:rPr>
        <w:t xml:space="preserve">University of the West of </w:t>
      </w:r>
      <w:smartTag w:uri="urn:schemas-microsoft-com:office:smarttags" w:element="country-region">
        <w:smartTag w:uri="urn:schemas-microsoft-com:office:smarttags" w:element="place">
          <w:r w:rsidRPr="009615AA">
            <w:rPr>
              <w:rFonts w:ascii="Arial" w:hAnsi="Arial" w:cs="Arial"/>
              <w:b/>
            </w:rPr>
            <w:t>England</w:t>
          </w:r>
        </w:smartTag>
      </w:smartTag>
    </w:p>
    <w:p w:rsidR="00527467" w:rsidRPr="009615AA" w:rsidRDefault="00527467" w:rsidP="00527467">
      <w:pPr>
        <w:jc w:val="both"/>
        <w:rPr>
          <w:rFonts w:ascii="Arial" w:hAnsi="Arial" w:cs="Arial"/>
          <w:b/>
        </w:rPr>
      </w:pPr>
      <w:r w:rsidRPr="009615AA">
        <w:rPr>
          <w:rFonts w:ascii="Arial" w:hAnsi="Arial" w:cs="Arial"/>
          <w:b/>
        </w:rPr>
        <w:t>Frenchay Campus</w:t>
      </w:r>
    </w:p>
    <w:p w:rsidR="00527467" w:rsidRPr="009615AA" w:rsidRDefault="00527467" w:rsidP="00527467">
      <w:pPr>
        <w:jc w:val="both"/>
        <w:rPr>
          <w:rFonts w:ascii="Arial" w:hAnsi="Arial" w:cs="Arial"/>
          <w:b/>
        </w:rPr>
      </w:pPr>
      <w:smartTag w:uri="urn:schemas-microsoft-com:office:smarttags" w:element="Street">
        <w:smartTag w:uri="urn:schemas-microsoft-com:office:smarttags" w:element="address">
          <w:r w:rsidRPr="009615AA">
            <w:rPr>
              <w:rFonts w:ascii="Arial" w:hAnsi="Arial" w:cs="Arial"/>
              <w:b/>
            </w:rPr>
            <w:t>Coldharbour Lane</w:t>
          </w:r>
        </w:smartTag>
      </w:smartTag>
    </w:p>
    <w:p w:rsidR="00527467" w:rsidRPr="009615AA" w:rsidRDefault="00527467" w:rsidP="00527467">
      <w:pPr>
        <w:jc w:val="both"/>
        <w:rPr>
          <w:rFonts w:ascii="Arial" w:hAnsi="Arial" w:cs="Arial"/>
          <w:b/>
        </w:rPr>
      </w:pPr>
      <w:r w:rsidRPr="009615AA">
        <w:rPr>
          <w:rFonts w:ascii="Arial" w:hAnsi="Arial" w:cs="Arial"/>
          <w:b/>
        </w:rPr>
        <w:t>Frenchay</w:t>
      </w:r>
    </w:p>
    <w:p w:rsidR="00527467" w:rsidRPr="009615AA" w:rsidRDefault="00527467" w:rsidP="00527467">
      <w:pPr>
        <w:jc w:val="both"/>
        <w:rPr>
          <w:rFonts w:ascii="Arial" w:hAnsi="Arial" w:cs="Arial"/>
          <w:b/>
        </w:rPr>
      </w:pPr>
      <w:smartTag w:uri="urn:schemas-microsoft-com:office:smarttags" w:element="City">
        <w:smartTag w:uri="urn:schemas-microsoft-com:office:smarttags" w:element="place">
          <w:r w:rsidRPr="009615AA">
            <w:rPr>
              <w:rFonts w:ascii="Arial" w:hAnsi="Arial" w:cs="Arial"/>
              <w:b/>
            </w:rPr>
            <w:t>Bristol</w:t>
          </w:r>
        </w:smartTag>
      </w:smartTag>
    </w:p>
    <w:p w:rsidR="00527467" w:rsidRPr="009615AA" w:rsidRDefault="00527467" w:rsidP="00527467">
      <w:pPr>
        <w:jc w:val="both"/>
        <w:rPr>
          <w:rFonts w:ascii="Arial" w:hAnsi="Arial" w:cs="Arial"/>
          <w:b/>
        </w:rPr>
      </w:pPr>
      <w:r w:rsidRPr="009615AA">
        <w:rPr>
          <w:rFonts w:ascii="Arial" w:hAnsi="Arial" w:cs="Arial"/>
          <w:b/>
        </w:rPr>
        <w:t>BS16 1QY</w:t>
      </w:r>
    </w:p>
    <w:p w:rsidR="00527467" w:rsidRPr="009615AA" w:rsidRDefault="00527467" w:rsidP="00527467">
      <w:pPr>
        <w:jc w:val="both"/>
        <w:rPr>
          <w:rFonts w:ascii="Arial" w:hAnsi="Arial" w:cs="Arial"/>
          <w:b/>
        </w:rPr>
      </w:pPr>
    </w:p>
    <w:p w:rsidR="007D7387" w:rsidRPr="00D74D8B" w:rsidRDefault="00527467" w:rsidP="00527467">
      <w:pPr>
        <w:spacing w:line="360" w:lineRule="auto"/>
        <w:jc w:val="both"/>
        <w:rPr>
          <w:rFonts w:ascii="Arial" w:hAnsi="Arial" w:cs="Arial"/>
          <w:color w:val="000000"/>
          <w:sz w:val="24"/>
          <w:szCs w:val="24"/>
        </w:rPr>
      </w:pPr>
      <w:r w:rsidRPr="009615AA">
        <w:rPr>
          <w:rFonts w:ascii="Arial" w:hAnsi="Arial" w:cs="Arial"/>
          <w:b/>
        </w:rPr>
        <w:t>Direct telephone line: 01173282350</w:t>
      </w:r>
    </w:p>
    <w:sectPr w:rsidR="007D7387" w:rsidRPr="00D74D8B" w:rsidSect="0037075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95" w:rsidRDefault="002C7395" w:rsidP="00D07CF4">
      <w:pPr>
        <w:spacing w:after="0" w:line="240" w:lineRule="auto"/>
      </w:pPr>
      <w:r>
        <w:separator/>
      </w:r>
    </w:p>
  </w:endnote>
  <w:endnote w:type="continuationSeparator" w:id="0">
    <w:p w:rsidR="002C7395" w:rsidRDefault="002C7395" w:rsidP="00D0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861"/>
      <w:docPartObj>
        <w:docPartGallery w:val="Page Numbers (Bottom of Page)"/>
        <w:docPartUnique/>
      </w:docPartObj>
    </w:sdtPr>
    <w:sdtEndPr/>
    <w:sdtContent>
      <w:p w:rsidR="00E6534A" w:rsidRDefault="00E6534A">
        <w:pPr>
          <w:pStyle w:val="Footer"/>
          <w:jc w:val="right"/>
        </w:pPr>
        <w:r>
          <w:fldChar w:fldCharType="begin"/>
        </w:r>
        <w:r>
          <w:instrText xml:space="preserve"> PAGE   \* MERGEFORMAT </w:instrText>
        </w:r>
        <w:r>
          <w:fldChar w:fldCharType="separate"/>
        </w:r>
        <w:r w:rsidR="00527467">
          <w:rPr>
            <w:noProof/>
          </w:rPr>
          <w:t>141</w:t>
        </w:r>
        <w:r>
          <w:rPr>
            <w:noProof/>
          </w:rPr>
          <w:fldChar w:fldCharType="end"/>
        </w:r>
      </w:p>
    </w:sdtContent>
  </w:sdt>
  <w:p w:rsidR="00E6534A" w:rsidRDefault="00E65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95" w:rsidRDefault="002C7395" w:rsidP="00D07CF4">
      <w:pPr>
        <w:spacing w:after="0" w:line="240" w:lineRule="auto"/>
      </w:pPr>
      <w:r>
        <w:separator/>
      </w:r>
    </w:p>
  </w:footnote>
  <w:footnote w:type="continuationSeparator" w:id="0">
    <w:p w:rsidR="002C7395" w:rsidRDefault="002C7395" w:rsidP="00D07CF4">
      <w:pPr>
        <w:spacing w:after="0" w:line="240" w:lineRule="auto"/>
      </w:pPr>
      <w:r>
        <w:continuationSeparator/>
      </w:r>
    </w:p>
  </w:footnote>
  <w:footnote w:id="1">
    <w:p w:rsidR="00E6534A" w:rsidRDefault="00E6534A" w:rsidP="00E03B54">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Treaty Establishing the European Economic Comm</w:t>
      </w:r>
      <w:r>
        <w:rPr>
          <w:rFonts w:ascii="Arial" w:hAnsi="Arial" w:cs="Arial"/>
        </w:rPr>
        <w:t>unity 25 March 1957 unpublished</w:t>
      </w:r>
    </w:p>
  </w:footnote>
  <w:footnote w:id="2">
    <w:p w:rsidR="00E6534A" w:rsidRDefault="00E6534A" w:rsidP="00E03B54">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Treaty</w:t>
      </w:r>
      <w:r>
        <w:rPr>
          <w:rFonts w:ascii="Arial" w:hAnsi="Arial" w:cs="Arial"/>
        </w:rPr>
        <w:t xml:space="preserve"> on European Union OJ 1992 C191</w:t>
      </w:r>
    </w:p>
  </w:footnote>
  <w:footnote w:id="3">
    <w:p w:rsidR="00E6534A" w:rsidRDefault="00E6534A" w:rsidP="00E03B54">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Treaty of Lisbon </w:t>
      </w:r>
      <w:r w:rsidRPr="008D6BF0">
        <w:rPr>
          <w:rFonts w:ascii="Arial" w:hAnsi="Arial" w:cs="Arial"/>
          <w:bCs/>
        </w:rPr>
        <w:t>amending the Treaty on European Union and the Treaty establishing the European Community</w:t>
      </w:r>
      <w:r w:rsidRPr="008D6BF0">
        <w:rPr>
          <w:rFonts w:ascii="Arial" w:hAnsi="Arial" w:cs="Arial"/>
        </w:rPr>
        <w:t xml:space="preserve"> OJ 2007 C306 but see now the Consolidated Version of the Treaty on the European Union and the Treaty on the Functioning of </w:t>
      </w:r>
      <w:r>
        <w:rPr>
          <w:rFonts w:ascii="Arial" w:hAnsi="Arial" w:cs="Arial"/>
        </w:rPr>
        <w:t>the European Union OJ 2008 C115</w:t>
      </w:r>
    </w:p>
  </w:footnote>
  <w:footnote w:id="4">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ACLEC, </w:t>
      </w:r>
      <w:r w:rsidRPr="008D6BF0">
        <w:rPr>
          <w:rFonts w:ascii="Arial" w:hAnsi="Arial" w:cs="Arial"/>
          <w:i/>
        </w:rPr>
        <w:t>Review of Legal Education: The Initial Stage – Consultation Paper</w:t>
      </w:r>
      <w:r>
        <w:rPr>
          <w:rFonts w:ascii="Arial" w:hAnsi="Arial" w:cs="Arial"/>
        </w:rPr>
        <w:t>, 1994, ACLEC</w:t>
      </w:r>
    </w:p>
  </w:footnote>
  <w:footnote w:id="5">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Pr>
          <w:rFonts w:ascii="Arial" w:hAnsi="Arial" w:cs="Arial"/>
        </w:rPr>
        <w:t xml:space="preserve"> Op. cit. n.4 at para 1.24</w:t>
      </w:r>
    </w:p>
  </w:footnote>
  <w:footnote w:id="6">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Ibid. at</w:t>
      </w:r>
      <w:r>
        <w:rPr>
          <w:rFonts w:ascii="Arial" w:hAnsi="Arial" w:cs="Arial"/>
        </w:rPr>
        <w:t xml:space="preserve"> para 4.6</w:t>
      </w:r>
    </w:p>
  </w:footnote>
  <w:footnote w:id="7">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R Jones, J Scully, ‘Hypertext within Legal Education’ [1996] 2 JILT; R Jones, J Scully, ‘Effective Teaching and Learnin</w:t>
      </w:r>
      <w:r>
        <w:rPr>
          <w:rFonts w:ascii="Arial" w:hAnsi="Arial" w:cs="Arial"/>
        </w:rPr>
        <w:t>g on the Web’ [1998] 2 Web JCLI</w:t>
      </w:r>
    </w:p>
  </w:footnote>
  <w:footnote w:id="8">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Pr>
          <w:rFonts w:ascii="Arial" w:hAnsi="Arial" w:cs="Arial"/>
        </w:rPr>
        <w:t xml:space="preserve"> Op. cit. n.4 at para 4.8</w:t>
      </w:r>
    </w:p>
  </w:footnote>
  <w:footnote w:id="9">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J Hodgson, ‘The Comparative Dimension (or </w:t>
      </w:r>
      <w:proofErr w:type="gramStart"/>
      <w:r w:rsidRPr="008D6BF0">
        <w:rPr>
          <w:rFonts w:ascii="Arial" w:hAnsi="Arial" w:cs="Arial"/>
        </w:rPr>
        <w:t>What</w:t>
      </w:r>
      <w:proofErr w:type="gramEnd"/>
      <w:r w:rsidRPr="008D6BF0">
        <w:rPr>
          <w:rFonts w:ascii="Arial" w:hAnsi="Arial" w:cs="Arial"/>
        </w:rPr>
        <w:t xml:space="preserve"> do They Know of England, that only En</w:t>
      </w:r>
      <w:r>
        <w:rPr>
          <w:rFonts w:ascii="Arial" w:hAnsi="Arial" w:cs="Arial"/>
        </w:rPr>
        <w:t>gland Know?)’ [1995] 5 Web JCLI</w:t>
      </w:r>
    </w:p>
  </w:footnote>
  <w:footnote w:id="10">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w:t>
      </w:r>
      <w:r>
        <w:rPr>
          <w:rFonts w:ascii="Arial" w:hAnsi="Arial" w:cs="Arial"/>
        </w:rPr>
        <w:t>Op. cit. n.4 at paras 4.11-4.13</w:t>
      </w:r>
    </w:p>
  </w:footnote>
  <w:footnote w:id="11">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ACLEC, </w:t>
      </w:r>
      <w:r w:rsidRPr="008D6BF0">
        <w:rPr>
          <w:rFonts w:ascii="Arial" w:hAnsi="Arial" w:cs="Arial"/>
          <w:i/>
        </w:rPr>
        <w:t>Review of Legal Education Second Consultative Conference – 18 July 1994</w:t>
      </w:r>
      <w:r>
        <w:rPr>
          <w:rFonts w:ascii="Arial" w:hAnsi="Arial" w:cs="Arial"/>
        </w:rPr>
        <w:t>, 1994, ACLEC</w:t>
      </w:r>
    </w:p>
  </w:footnote>
  <w:footnote w:id="12">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See P Birks, ‘Compulsory Subjects: Will the Seven Foundations e</w:t>
      </w:r>
      <w:r>
        <w:rPr>
          <w:rFonts w:ascii="Arial" w:hAnsi="Arial" w:cs="Arial"/>
        </w:rPr>
        <w:t xml:space="preserve">ver </w:t>
      </w:r>
      <w:proofErr w:type="gramStart"/>
      <w:r>
        <w:rPr>
          <w:rFonts w:ascii="Arial" w:hAnsi="Arial" w:cs="Arial"/>
        </w:rPr>
        <w:t>Crumble</w:t>
      </w:r>
      <w:proofErr w:type="gramEnd"/>
      <w:r>
        <w:rPr>
          <w:rFonts w:ascii="Arial" w:hAnsi="Arial" w:cs="Arial"/>
        </w:rPr>
        <w:t>?’ [1995] 1 Web JCLI</w:t>
      </w:r>
    </w:p>
  </w:footnote>
  <w:footnote w:id="13">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w:t>
      </w:r>
      <w:proofErr w:type="gramStart"/>
      <w:r w:rsidRPr="008D6BF0">
        <w:rPr>
          <w:rFonts w:ascii="Arial" w:hAnsi="Arial" w:cs="Arial"/>
        </w:rPr>
        <w:t>Ibid. at 6.</w:t>
      </w:r>
      <w:proofErr w:type="gramEnd"/>
      <w:r w:rsidRPr="008D6BF0">
        <w:rPr>
          <w:rFonts w:ascii="Arial" w:hAnsi="Arial" w:cs="Arial"/>
        </w:rPr>
        <w:t xml:space="preserve"> The joint announcement is included</w:t>
      </w:r>
      <w:r>
        <w:rPr>
          <w:rFonts w:ascii="Arial" w:hAnsi="Arial" w:cs="Arial"/>
        </w:rPr>
        <w:t xml:space="preserve"> in the annex of Birks’ article</w:t>
      </w:r>
    </w:p>
  </w:footnote>
  <w:footnote w:id="14">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ACLEC, </w:t>
      </w:r>
      <w:r w:rsidRPr="008D6BF0">
        <w:rPr>
          <w:rFonts w:ascii="Arial" w:hAnsi="Arial" w:cs="Arial"/>
          <w:i/>
        </w:rPr>
        <w:t>First Report on Legal Education and Training</w:t>
      </w:r>
      <w:r w:rsidRPr="008D6BF0">
        <w:rPr>
          <w:rFonts w:ascii="Arial" w:hAnsi="Arial" w:cs="Arial"/>
        </w:rPr>
        <w:t>, 1996, ACLEC</w:t>
      </w:r>
    </w:p>
  </w:footnote>
  <w:footnote w:id="15">
    <w:p w:rsidR="00E6534A" w:rsidRPr="00F4558A" w:rsidRDefault="00E6534A" w:rsidP="00F43A6C">
      <w:pPr>
        <w:pStyle w:val="FootnoteText"/>
        <w:jc w:val="both"/>
        <w:rPr>
          <w:rFonts w:ascii="Arial" w:hAnsi="Arial" w:cs="Arial"/>
        </w:rPr>
      </w:pPr>
      <w:r w:rsidRPr="008D6BF0">
        <w:rPr>
          <w:rStyle w:val="FootnoteReference"/>
          <w:rFonts w:ascii="Arial" w:hAnsi="Arial" w:cs="Arial"/>
        </w:rPr>
        <w:footnoteRef/>
      </w:r>
      <w:r>
        <w:rPr>
          <w:rFonts w:ascii="Arial" w:hAnsi="Arial" w:cs="Arial"/>
        </w:rPr>
        <w:t xml:space="preserve"> Ibid. at 3</w:t>
      </w:r>
    </w:p>
  </w:footnote>
  <w:footnote w:id="16">
    <w:p w:rsidR="00E6534A" w:rsidRDefault="00E6534A" w:rsidP="00F43A6C">
      <w:pPr>
        <w:pStyle w:val="FootnoteText"/>
        <w:jc w:val="both"/>
        <w:rPr>
          <w:rFonts w:ascii="Arial" w:hAnsi="Arial" w:cs="Arial"/>
        </w:rPr>
      </w:pPr>
      <w:r w:rsidRPr="008D6BF0">
        <w:rPr>
          <w:rStyle w:val="FootnoteReference"/>
          <w:rFonts w:ascii="Arial" w:hAnsi="Arial" w:cs="Arial"/>
        </w:rPr>
        <w:footnoteRef/>
      </w:r>
      <w:r w:rsidRPr="008D6BF0">
        <w:rPr>
          <w:rFonts w:ascii="Arial" w:hAnsi="Arial" w:cs="Arial"/>
        </w:rPr>
        <w:t xml:space="preserve"> </w:t>
      </w:r>
      <w:proofErr w:type="gramStart"/>
      <w:r w:rsidRPr="008D6BF0">
        <w:rPr>
          <w:rFonts w:ascii="Arial" w:hAnsi="Arial" w:cs="Arial"/>
        </w:rPr>
        <w:t>Ibid. at 141.</w:t>
      </w:r>
      <w:proofErr w:type="gramEnd"/>
      <w:r w:rsidRPr="008D6BF0">
        <w:rPr>
          <w:rFonts w:ascii="Arial" w:hAnsi="Arial" w:cs="Arial"/>
        </w:rPr>
        <w:t xml:space="preserve"> The Foundations of the Law of the European Union is one of the seven Foundation Subjects for a qualifying law degree with teaching to include “The political institutions and processes of the European Communities. The European Court of Justice and its jurisdiction. </w:t>
      </w:r>
      <w:proofErr w:type="gramStart"/>
      <w:r w:rsidRPr="008D6BF0">
        <w:rPr>
          <w:rFonts w:ascii="Arial" w:hAnsi="Arial" w:cs="Arial"/>
        </w:rPr>
        <w:t>Sources and general principles of the Law of the European Union.</w:t>
      </w:r>
      <w:proofErr w:type="gramEnd"/>
      <w:r w:rsidRPr="008D6BF0">
        <w:rPr>
          <w:rFonts w:ascii="Arial" w:hAnsi="Arial" w:cs="Arial"/>
        </w:rPr>
        <w:t xml:space="preserve"> </w:t>
      </w:r>
      <w:proofErr w:type="gramStart"/>
      <w:r w:rsidRPr="008D6BF0">
        <w:rPr>
          <w:rFonts w:ascii="Arial" w:hAnsi="Arial" w:cs="Arial"/>
        </w:rPr>
        <w:t>The relationship between the Law of the European Union and National Law.</w:t>
      </w:r>
      <w:proofErr w:type="gramEnd"/>
      <w:r w:rsidRPr="008D6BF0">
        <w:rPr>
          <w:rFonts w:ascii="Arial" w:hAnsi="Arial" w:cs="Arial"/>
        </w:rPr>
        <w:t xml:space="preserve"> </w:t>
      </w:r>
      <w:proofErr w:type="gramStart"/>
      <w:r w:rsidRPr="008D6BF0">
        <w:rPr>
          <w:rFonts w:ascii="Arial" w:hAnsi="Arial" w:cs="Arial"/>
        </w:rPr>
        <w:t>An introduction to the main areas of the substantive law of the European Union.”</w:t>
      </w:r>
      <w:proofErr w:type="gramEnd"/>
    </w:p>
  </w:footnote>
  <w:footnote w:id="17">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Ibid. at para 1.13</w:t>
      </w:r>
    </w:p>
  </w:footnote>
  <w:footnote w:id="18">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See e.g. G de Groot, ‘European Education in the 21</w:t>
      </w:r>
      <w:r w:rsidRPr="00F43A6C">
        <w:rPr>
          <w:rFonts w:ascii="Arial" w:hAnsi="Arial" w:cs="Arial"/>
          <w:vertAlign w:val="superscript"/>
        </w:rPr>
        <w:t>st</w:t>
      </w:r>
      <w:r w:rsidRPr="00F43A6C">
        <w:rPr>
          <w:rFonts w:ascii="Arial" w:hAnsi="Arial" w:cs="Arial"/>
        </w:rPr>
        <w:t xml:space="preserve"> Century’; H </w:t>
      </w:r>
      <w:proofErr w:type="spellStart"/>
      <w:r w:rsidRPr="00F43A6C">
        <w:rPr>
          <w:rFonts w:ascii="Arial" w:hAnsi="Arial" w:cs="Arial"/>
        </w:rPr>
        <w:t>Kötz</w:t>
      </w:r>
      <w:proofErr w:type="spellEnd"/>
      <w:r w:rsidRPr="00F43A6C">
        <w:rPr>
          <w:rFonts w:ascii="Arial" w:hAnsi="Arial" w:cs="Arial"/>
        </w:rPr>
        <w:t xml:space="preserve">, ‘A Common Private Law for Europe: Perspectives for the Reform of European Legal Education’; J Lonbay, ‘Differences in the Legal Education in the Member States of the European Community’; C </w:t>
      </w:r>
      <w:proofErr w:type="spellStart"/>
      <w:r w:rsidRPr="00F43A6C">
        <w:rPr>
          <w:rFonts w:ascii="Arial" w:hAnsi="Arial" w:cs="Arial"/>
        </w:rPr>
        <w:t>Flinterman</w:t>
      </w:r>
      <w:proofErr w:type="spellEnd"/>
      <w:r w:rsidRPr="00F43A6C">
        <w:rPr>
          <w:rFonts w:ascii="Arial" w:hAnsi="Arial" w:cs="Arial"/>
        </w:rPr>
        <w:t xml:space="preserve">, ‘European Legal Education in the Future: Some Concluding Observations’; K </w:t>
      </w:r>
      <w:proofErr w:type="spellStart"/>
      <w:r w:rsidRPr="00F43A6C">
        <w:rPr>
          <w:rFonts w:ascii="Arial" w:hAnsi="Arial" w:cs="Arial"/>
        </w:rPr>
        <w:t>Lipstein</w:t>
      </w:r>
      <w:proofErr w:type="spellEnd"/>
      <w:r w:rsidRPr="00F43A6C">
        <w:rPr>
          <w:rFonts w:ascii="Arial" w:hAnsi="Arial" w:cs="Arial"/>
        </w:rPr>
        <w:t xml:space="preserve">, ‘European Legal Education in the Future: Teaching the “Common Law of Europe”’, in B de Witte, C </w:t>
      </w:r>
      <w:proofErr w:type="spellStart"/>
      <w:r w:rsidRPr="00F43A6C">
        <w:rPr>
          <w:rFonts w:ascii="Arial" w:hAnsi="Arial" w:cs="Arial"/>
        </w:rPr>
        <w:t>Forder</w:t>
      </w:r>
      <w:proofErr w:type="spellEnd"/>
      <w:r w:rsidRPr="00F43A6C">
        <w:rPr>
          <w:rFonts w:ascii="Arial" w:hAnsi="Arial" w:cs="Arial"/>
        </w:rPr>
        <w:t xml:space="preserve">, (Eds.), </w:t>
      </w:r>
      <w:r w:rsidRPr="00F43A6C">
        <w:rPr>
          <w:rFonts w:ascii="Arial" w:hAnsi="Arial" w:cs="Arial"/>
          <w:i/>
        </w:rPr>
        <w:t>The Common Law of Europe and the Future of Legal Education</w:t>
      </w:r>
      <w:r w:rsidRPr="00F43A6C">
        <w:rPr>
          <w:rFonts w:ascii="Arial" w:hAnsi="Arial" w:cs="Arial"/>
        </w:rPr>
        <w:t xml:space="preserve"> (Kluwer, Deventer 1992). Also R Goode, ‘The European Law School’ (1993) 13 LS 1</w:t>
      </w:r>
    </w:p>
  </w:footnote>
  <w:footnote w:id="19">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w:t>
      </w:r>
      <w:r w:rsidRPr="00F43A6C">
        <w:rPr>
          <w:rFonts w:ascii="Arial" w:hAnsi="Arial" w:cs="Arial"/>
          <w:bCs/>
        </w:rPr>
        <w:t>Joint Declaration on Harmonisation of the Architecture of the European Higher Education System, 25 May 1998,</w:t>
      </w:r>
      <w:r w:rsidRPr="00F43A6C">
        <w:rPr>
          <w:rFonts w:ascii="Arial" w:hAnsi="Arial" w:cs="Arial"/>
        </w:rPr>
        <w:t xml:space="preserve"> accessed at </w:t>
      </w:r>
      <w:hyperlink r:id="rId1" w:history="1">
        <w:r w:rsidRPr="00F43A6C">
          <w:rPr>
            <w:rStyle w:val="Hyperlink"/>
            <w:rFonts w:ascii="Arial" w:hAnsi="Arial" w:cs="Arial"/>
          </w:rPr>
          <w:t>http://www.bologna-berlin2003.de/pdf/Sorbonne_declaration.pdf</w:t>
        </w:r>
      </w:hyperlink>
      <w:r w:rsidRPr="00F43A6C">
        <w:rPr>
          <w:rFonts w:ascii="Arial" w:hAnsi="Arial" w:cs="Arial"/>
        </w:rPr>
        <w:t xml:space="preserve"> </w:t>
      </w:r>
    </w:p>
  </w:footnote>
  <w:footnote w:id="20">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See A </w:t>
      </w:r>
      <w:proofErr w:type="spellStart"/>
      <w:r w:rsidRPr="00F43A6C">
        <w:rPr>
          <w:rFonts w:ascii="Arial" w:hAnsi="Arial" w:cs="Arial"/>
        </w:rPr>
        <w:t>Barblan</w:t>
      </w:r>
      <w:proofErr w:type="spellEnd"/>
      <w:r w:rsidRPr="00F43A6C">
        <w:rPr>
          <w:rFonts w:ascii="Arial" w:hAnsi="Arial" w:cs="Arial"/>
        </w:rPr>
        <w:t xml:space="preserve">, ‘The Sorbonne Declaration – Follow-up and Implication: A Personal View’ Conference Paper for the XII Santander Group General Assembly, 17 April 1999, accessed at </w:t>
      </w:r>
      <w:hyperlink r:id="rId2" w:history="1">
        <w:r w:rsidRPr="00F43A6C">
          <w:rPr>
            <w:rStyle w:val="Hyperlink"/>
            <w:rFonts w:ascii="Arial" w:hAnsi="Arial" w:cs="Arial"/>
          </w:rPr>
          <w:t>http://www.upf.edu/bolonya/obolonya/eees/document/instituc/1999/santander.rtf</w:t>
        </w:r>
      </w:hyperlink>
      <w:r w:rsidRPr="00F43A6C">
        <w:rPr>
          <w:rFonts w:ascii="Arial" w:hAnsi="Arial" w:cs="Arial"/>
        </w:rPr>
        <w:t xml:space="preserve"> </w:t>
      </w:r>
    </w:p>
  </w:footnote>
  <w:footnote w:id="21">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Joint Declaration of the European Ministers of Education, 19 June 1999, accessed at </w:t>
      </w:r>
      <w:hyperlink r:id="rId3" w:history="1">
        <w:r w:rsidRPr="00F43A6C">
          <w:rPr>
            <w:rStyle w:val="Hyperlink"/>
            <w:rFonts w:ascii="Arial" w:hAnsi="Arial" w:cs="Arial"/>
          </w:rPr>
          <w:t>http://www.ond.vlaanderen.be/hogeronderwijs/bologna/documents/MDC/BOLOGNA_DECLARATION1.pdf</w:t>
        </w:r>
      </w:hyperlink>
      <w:r w:rsidRPr="00F43A6C">
        <w:rPr>
          <w:rFonts w:ascii="Arial" w:hAnsi="Arial" w:cs="Arial"/>
        </w:rPr>
        <w:t xml:space="preserve">.  See also The </w:t>
      </w:r>
      <w:r w:rsidRPr="00F43A6C">
        <w:rPr>
          <w:rFonts w:ascii="Arial" w:hAnsi="Arial" w:cs="Arial"/>
          <w:bCs/>
        </w:rPr>
        <w:t>Confederation of EU Rectors’ Conferences and the Association of European Universities,</w:t>
      </w:r>
      <w:r w:rsidRPr="00F43A6C">
        <w:rPr>
          <w:rFonts w:ascii="Arial" w:hAnsi="Arial" w:cs="Arial"/>
        </w:rPr>
        <w:t xml:space="preserve"> The Bologna Declaration: An Explanation, accessed at </w:t>
      </w:r>
      <w:hyperlink r:id="rId4" w:history="1">
        <w:r w:rsidRPr="00F43A6C">
          <w:rPr>
            <w:rStyle w:val="Hyperlink"/>
            <w:rFonts w:ascii="Arial" w:hAnsi="Arial" w:cs="Arial"/>
          </w:rPr>
          <w:t>http://ec.europa.eu/education/policies/educ/bologna/bologna.pdf</w:t>
        </w:r>
      </w:hyperlink>
      <w:r w:rsidRPr="00F43A6C">
        <w:rPr>
          <w:rFonts w:ascii="Arial" w:hAnsi="Arial" w:cs="Arial"/>
        </w:rPr>
        <w:t xml:space="preserve">  </w:t>
      </w:r>
    </w:p>
  </w:footnote>
  <w:footnote w:id="22">
    <w:p w:rsidR="00E6534A" w:rsidRPr="00F4558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See J Lonbay, ‘University Training: The Implications of the Bologna Declaration for the UK’ [2001] EJLE accessed at </w:t>
      </w:r>
      <w:hyperlink r:id="rId5" w:history="1">
        <w:r w:rsidRPr="00F43A6C">
          <w:rPr>
            <w:rStyle w:val="Hyperlink"/>
            <w:rFonts w:ascii="Arial" w:hAnsi="Arial" w:cs="Arial"/>
          </w:rPr>
          <w:t>http://www.elfa-afde.org/PDF/Journal/UNIVERSITY%TRAINING.pdf</w:t>
        </w:r>
      </w:hyperlink>
      <w:r w:rsidRPr="00F43A6C">
        <w:rPr>
          <w:rFonts w:ascii="Arial" w:hAnsi="Arial" w:cs="Arial"/>
        </w:rPr>
        <w:t xml:space="preserve"> and (2002) XXXV </w:t>
      </w:r>
      <w:proofErr w:type="spellStart"/>
      <w:r w:rsidRPr="00F43A6C">
        <w:rPr>
          <w:rFonts w:ascii="Arial" w:hAnsi="Arial" w:cs="Arial"/>
        </w:rPr>
        <w:t>Rassegne</w:t>
      </w:r>
      <w:proofErr w:type="spellEnd"/>
      <w:r w:rsidRPr="00F43A6C">
        <w:rPr>
          <w:rFonts w:ascii="Arial" w:hAnsi="Arial" w:cs="Arial"/>
        </w:rPr>
        <w:t xml:space="preserve"> </w:t>
      </w:r>
      <w:proofErr w:type="spellStart"/>
      <w:r w:rsidRPr="00F43A6C">
        <w:rPr>
          <w:rFonts w:ascii="Arial" w:hAnsi="Arial" w:cs="Arial"/>
        </w:rPr>
        <w:t>forense</w:t>
      </w:r>
      <w:proofErr w:type="spellEnd"/>
      <w:r w:rsidRPr="00F43A6C">
        <w:rPr>
          <w:rFonts w:ascii="Arial" w:hAnsi="Arial" w:cs="Arial"/>
        </w:rPr>
        <w:t xml:space="preserve"> 89, E </w:t>
      </w:r>
      <w:proofErr w:type="spellStart"/>
      <w:r w:rsidRPr="00F43A6C">
        <w:rPr>
          <w:rFonts w:ascii="Arial" w:hAnsi="Arial" w:cs="Arial"/>
        </w:rPr>
        <w:t>Hackl</w:t>
      </w:r>
      <w:proofErr w:type="spellEnd"/>
      <w:r w:rsidRPr="00F43A6C">
        <w:rPr>
          <w:rFonts w:ascii="Arial" w:hAnsi="Arial" w:cs="Arial"/>
        </w:rPr>
        <w:t>, ‘Towards a European Area of Higher Education: Change and Convergence in European Higher Education’ (2001) EUI Working Paper RSC 2001/09</w:t>
      </w:r>
    </w:p>
  </w:footnote>
  <w:footnote w:id="23">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Communiqué of the Conference of Ministers Responsible for Higher Education in Prague, 19 May 2001, accessed at </w:t>
      </w:r>
    </w:p>
    <w:p w:rsidR="00E6534A" w:rsidRPr="00F43A6C" w:rsidRDefault="002C7395" w:rsidP="00F43A6C">
      <w:pPr>
        <w:pStyle w:val="FootnoteText"/>
        <w:jc w:val="both"/>
        <w:rPr>
          <w:rFonts w:ascii="Arial" w:hAnsi="Arial" w:cs="Arial"/>
        </w:rPr>
      </w:pPr>
      <w:hyperlink r:id="rId6" w:history="1">
        <w:r w:rsidR="00E6534A" w:rsidRPr="00F43A6C">
          <w:rPr>
            <w:rStyle w:val="Hyperlink"/>
            <w:rFonts w:ascii="Arial" w:hAnsi="Arial" w:cs="Arial"/>
          </w:rPr>
          <w:t>http://www.bologna-bergen2005.no/Docs/00-Main_doc/010519PRAGUE_COMMUNIQUE.PDF</w:t>
        </w:r>
      </w:hyperlink>
      <w:r w:rsidR="00E6534A" w:rsidRPr="00F43A6C">
        <w:rPr>
          <w:rFonts w:ascii="Arial" w:hAnsi="Arial" w:cs="Arial"/>
        </w:rPr>
        <w:t xml:space="preserve">. See </w:t>
      </w:r>
      <w:proofErr w:type="spellStart"/>
      <w:r w:rsidR="00E6534A" w:rsidRPr="00F43A6C">
        <w:rPr>
          <w:rFonts w:ascii="Arial" w:hAnsi="Arial" w:cs="Arial"/>
        </w:rPr>
        <w:t>Lourtie</w:t>
      </w:r>
      <w:proofErr w:type="spellEnd"/>
      <w:r w:rsidR="00E6534A" w:rsidRPr="00F43A6C">
        <w:rPr>
          <w:rFonts w:ascii="Arial" w:hAnsi="Arial" w:cs="Arial"/>
        </w:rPr>
        <w:t xml:space="preserve"> Report – From Bologna to Prague, May 2001, accessed at </w:t>
      </w:r>
      <w:hyperlink r:id="rId7" w:history="1">
        <w:r w:rsidR="00E6534A" w:rsidRPr="00F43A6C">
          <w:rPr>
            <w:rStyle w:val="Hyperlink"/>
            <w:rFonts w:ascii="Arial" w:hAnsi="Arial" w:cs="Arial"/>
          </w:rPr>
          <w:t>http://www.bologne-bergen2005.no/Docs/00-Main_doc/0105Lourtie_report.pdf</w:t>
        </w:r>
      </w:hyperlink>
      <w:r w:rsidR="00E6534A" w:rsidRPr="00F43A6C">
        <w:rPr>
          <w:rFonts w:ascii="Arial" w:hAnsi="Arial" w:cs="Arial"/>
        </w:rPr>
        <w:t xml:space="preserve"> and G </w:t>
      </w:r>
      <w:proofErr w:type="spellStart"/>
      <w:r w:rsidR="00E6534A" w:rsidRPr="00F43A6C">
        <w:rPr>
          <w:rFonts w:ascii="Arial" w:hAnsi="Arial" w:cs="Arial"/>
        </w:rPr>
        <w:t>Haug</w:t>
      </w:r>
      <w:proofErr w:type="spellEnd"/>
      <w:r w:rsidR="00E6534A" w:rsidRPr="00F43A6C">
        <w:rPr>
          <w:rFonts w:ascii="Arial" w:hAnsi="Arial" w:cs="Arial"/>
        </w:rPr>
        <w:t xml:space="preserve">, C </w:t>
      </w:r>
      <w:proofErr w:type="spellStart"/>
      <w:r w:rsidR="00E6534A" w:rsidRPr="00F43A6C">
        <w:rPr>
          <w:rFonts w:ascii="Arial" w:hAnsi="Arial" w:cs="Arial"/>
        </w:rPr>
        <w:t>Tauch</w:t>
      </w:r>
      <w:proofErr w:type="spellEnd"/>
      <w:r w:rsidR="00E6534A" w:rsidRPr="00F43A6C">
        <w:rPr>
          <w:rFonts w:ascii="Arial" w:hAnsi="Arial" w:cs="Arial"/>
        </w:rPr>
        <w:t xml:space="preserve">, ‘Towards a Coherent European Higher Education Space: From Bologna to Prague’ accessed at </w:t>
      </w:r>
      <w:hyperlink r:id="rId8" w:history="1">
        <w:r w:rsidR="00E6534A" w:rsidRPr="00F43A6C">
          <w:rPr>
            <w:rStyle w:val="Hyperlink"/>
            <w:rFonts w:ascii="Arial" w:hAnsi="Arial" w:cs="Arial"/>
          </w:rPr>
          <w:t>http://www.lebenslangeslernen.at/downloads/EU_CoherentHigherEducation_0301.pdf</w:t>
        </w:r>
      </w:hyperlink>
      <w:r w:rsidR="00E6534A" w:rsidRPr="00F43A6C">
        <w:rPr>
          <w:rFonts w:ascii="Arial" w:hAnsi="Arial" w:cs="Arial"/>
        </w:rPr>
        <w:t xml:space="preserve"> </w:t>
      </w:r>
    </w:p>
  </w:footnote>
  <w:footnote w:id="24">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Communiqué of the Conference of Ministers Responsible for Higher Education in Berlin, 19 September 2003, accessed at </w:t>
      </w:r>
    </w:p>
    <w:p w:rsidR="00E6534A" w:rsidRDefault="002C7395" w:rsidP="00F43A6C">
      <w:pPr>
        <w:pStyle w:val="FootnoteText"/>
        <w:jc w:val="both"/>
        <w:rPr>
          <w:rFonts w:ascii="Arial" w:hAnsi="Arial" w:cs="Arial"/>
        </w:rPr>
      </w:pPr>
      <w:hyperlink r:id="rId9" w:history="1">
        <w:r w:rsidR="00E6534A" w:rsidRPr="00F43A6C">
          <w:rPr>
            <w:rStyle w:val="Hyperlink"/>
            <w:rFonts w:ascii="Arial" w:hAnsi="Arial" w:cs="Arial"/>
          </w:rPr>
          <w:t>http://www.bologna-bergen2005.no/Docs/00-Main_doc/03091Berlin_Communiqu.pdf</w:t>
        </w:r>
      </w:hyperlink>
      <w:r w:rsidR="00E6534A" w:rsidRPr="00F43A6C">
        <w:rPr>
          <w:rFonts w:ascii="Arial" w:hAnsi="Arial" w:cs="Arial"/>
        </w:rPr>
        <w:t xml:space="preserve">. See European Commission, “Berlin Conference of European Higher Education Ministers “Realising the European Higher Education Area” Contribution of the European Commission”, 30 July 2003, accessed at </w:t>
      </w:r>
      <w:hyperlink r:id="rId10" w:history="1">
        <w:r w:rsidR="00E6534A" w:rsidRPr="00F43A6C">
          <w:rPr>
            <w:rStyle w:val="Hyperlink"/>
            <w:rFonts w:ascii="Arial" w:hAnsi="Arial" w:cs="Arial"/>
          </w:rPr>
          <w:t>http://ec.europa/education/policies/educ/bologna/berlin.pdf</w:t>
        </w:r>
      </w:hyperlink>
      <w:r w:rsidR="00E6534A" w:rsidRPr="00F43A6C">
        <w:rPr>
          <w:rFonts w:ascii="Arial" w:hAnsi="Arial" w:cs="Arial"/>
        </w:rPr>
        <w:t xml:space="preserve"> and </w:t>
      </w:r>
      <w:proofErr w:type="spellStart"/>
      <w:r w:rsidR="00E6534A" w:rsidRPr="00F43A6C">
        <w:rPr>
          <w:rFonts w:ascii="Arial" w:hAnsi="Arial" w:cs="Arial"/>
        </w:rPr>
        <w:t>Zgaga</w:t>
      </w:r>
      <w:proofErr w:type="spellEnd"/>
      <w:r w:rsidR="00E6534A" w:rsidRPr="00F43A6C">
        <w:rPr>
          <w:rFonts w:ascii="Arial" w:hAnsi="Arial" w:cs="Arial"/>
        </w:rPr>
        <w:t xml:space="preserve"> Report – From Prague to Berlin, September 2003, accessed at </w:t>
      </w:r>
    </w:p>
    <w:p w:rsidR="00E6534A" w:rsidRPr="00F43A6C" w:rsidRDefault="002C7395" w:rsidP="00F43A6C">
      <w:pPr>
        <w:pStyle w:val="FootnoteText"/>
        <w:jc w:val="both"/>
        <w:rPr>
          <w:rFonts w:ascii="Arial" w:hAnsi="Arial" w:cs="Arial"/>
        </w:rPr>
      </w:pPr>
      <w:hyperlink r:id="rId11" w:history="1">
        <w:r w:rsidR="00E6534A" w:rsidRPr="00F43A6C">
          <w:rPr>
            <w:rStyle w:val="Hyperlink"/>
            <w:rFonts w:ascii="Arial" w:hAnsi="Arial" w:cs="Arial"/>
          </w:rPr>
          <w:t>http://www.bologna-berlin2005.no/Docs/00-Main_doc/0309ZGAGA.PDF</w:t>
        </w:r>
      </w:hyperlink>
      <w:r w:rsidR="00E6534A" w:rsidRPr="00F43A6C">
        <w:rPr>
          <w:rFonts w:ascii="Arial" w:hAnsi="Arial" w:cs="Arial"/>
        </w:rPr>
        <w:t xml:space="preserve">. For commentary see E </w:t>
      </w:r>
      <w:proofErr w:type="spellStart"/>
      <w:r w:rsidR="00E6534A" w:rsidRPr="00F43A6C">
        <w:rPr>
          <w:rFonts w:ascii="Arial" w:hAnsi="Arial" w:cs="Arial"/>
        </w:rPr>
        <w:t>Froment</w:t>
      </w:r>
      <w:proofErr w:type="spellEnd"/>
      <w:r w:rsidR="00E6534A" w:rsidRPr="00F43A6C">
        <w:rPr>
          <w:rFonts w:ascii="Arial" w:hAnsi="Arial" w:cs="Arial"/>
        </w:rPr>
        <w:t xml:space="preserve">, ‘The European Higher Education Area: A New Framework for the Development of Higher Education’ (2003) 28 Higher Education in Europe 23, D </w:t>
      </w:r>
      <w:proofErr w:type="spellStart"/>
      <w:r w:rsidR="00E6534A" w:rsidRPr="00F43A6C">
        <w:rPr>
          <w:rFonts w:ascii="Arial" w:hAnsi="Arial" w:cs="Arial"/>
        </w:rPr>
        <w:t>Kladis</w:t>
      </w:r>
      <w:proofErr w:type="spellEnd"/>
      <w:r w:rsidR="00E6534A" w:rsidRPr="00F43A6C">
        <w:rPr>
          <w:rFonts w:ascii="Arial" w:hAnsi="Arial" w:cs="Arial"/>
        </w:rPr>
        <w:t xml:space="preserve">, ‘The Social Dimension of the Bologna Process’ (2003) 28 Higher Education in Europe 353, P </w:t>
      </w:r>
      <w:proofErr w:type="spellStart"/>
      <w:r w:rsidR="00E6534A" w:rsidRPr="00F43A6C">
        <w:rPr>
          <w:rFonts w:ascii="Arial" w:hAnsi="Arial" w:cs="Arial"/>
        </w:rPr>
        <w:t>Nyborg</w:t>
      </w:r>
      <w:proofErr w:type="spellEnd"/>
      <w:r w:rsidR="00E6534A" w:rsidRPr="00F43A6C">
        <w:rPr>
          <w:rFonts w:ascii="Arial" w:hAnsi="Arial" w:cs="Arial"/>
        </w:rPr>
        <w:t>, ‘Higher Education as a Public Good and a Public Responsibility’ (2003) 28 Higher Education in Europe 355</w:t>
      </w:r>
    </w:p>
  </w:footnote>
  <w:footnote w:id="25">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Communiqué of the Conference of European Ministers Responsible for Higher Education in Bergen, 19-20 May 2005, accessed at </w:t>
      </w:r>
    </w:p>
    <w:p w:rsidR="00E6534A" w:rsidRDefault="002C7395" w:rsidP="00F43A6C">
      <w:pPr>
        <w:pStyle w:val="FootnoteText"/>
        <w:jc w:val="both"/>
        <w:rPr>
          <w:rFonts w:ascii="Arial" w:hAnsi="Arial" w:cs="Arial"/>
        </w:rPr>
      </w:pPr>
      <w:hyperlink r:id="rId12" w:history="1">
        <w:r w:rsidR="00E6534A" w:rsidRPr="00F43A6C">
          <w:rPr>
            <w:rStyle w:val="Hyperlink"/>
            <w:rFonts w:ascii="Arial" w:hAnsi="Arial" w:cs="Arial"/>
          </w:rPr>
          <w:t>http://www.bologna-bergen2005.no/Docs/00-Main_doc/050520_Bergen_Communique.pdf</w:t>
        </w:r>
      </w:hyperlink>
      <w:r w:rsidR="00E6534A" w:rsidRPr="00F43A6C">
        <w:rPr>
          <w:rFonts w:ascii="Arial" w:hAnsi="Arial" w:cs="Arial"/>
        </w:rPr>
        <w:t xml:space="preserve">. See European Commission, “From Berlin to Bergen: The EU Contribution, 7 April 2005, accessed </w:t>
      </w:r>
      <w:hyperlink r:id="rId13" w:history="1">
        <w:r w:rsidR="00E6534A" w:rsidRPr="00F43A6C">
          <w:rPr>
            <w:rStyle w:val="Hyperlink"/>
            <w:rFonts w:ascii="Arial" w:hAnsi="Arial" w:cs="Arial"/>
          </w:rPr>
          <w:t>http://ec.europa.eu/education/policies/educ/bologna/report05.pdf</w:t>
        </w:r>
      </w:hyperlink>
      <w:r w:rsidR="00E6534A" w:rsidRPr="00F43A6C">
        <w:rPr>
          <w:rFonts w:ascii="Arial" w:hAnsi="Arial" w:cs="Arial"/>
        </w:rPr>
        <w:t xml:space="preserve">  and Berlin Follow Up Group, “From Berlin to Bergen”, 3 May 2005 accessed at </w:t>
      </w:r>
    </w:p>
    <w:p w:rsidR="00E6534A" w:rsidRPr="00F43A6C" w:rsidRDefault="002C7395" w:rsidP="00F43A6C">
      <w:pPr>
        <w:pStyle w:val="FootnoteText"/>
        <w:jc w:val="both"/>
        <w:rPr>
          <w:rFonts w:ascii="Arial" w:hAnsi="Arial" w:cs="Arial"/>
        </w:rPr>
      </w:pPr>
      <w:hyperlink r:id="rId14" w:history="1">
        <w:r w:rsidR="00E6534A" w:rsidRPr="00F43A6C">
          <w:rPr>
            <w:rStyle w:val="Hyperlink"/>
            <w:rFonts w:ascii="Arial" w:hAnsi="Arial" w:cs="Arial"/>
          </w:rPr>
          <w:t>http://www.bologna-bergen2005.no/Bergen/050503_General_rep.pdf</w:t>
        </w:r>
      </w:hyperlink>
    </w:p>
  </w:footnote>
  <w:footnote w:id="26">
    <w:p w:rsidR="00E6534A" w:rsidRDefault="00E6534A" w:rsidP="00F43A6C">
      <w:pPr>
        <w:pStyle w:val="FootnoteText"/>
        <w:jc w:val="both"/>
        <w:rPr>
          <w:rFonts w:ascii="Arial" w:hAnsi="Arial" w:cs="Arial"/>
          <w:bCs/>
        </w:rPr>
      </w:pPr>
      <w:r w:rsidRPr="00F43A6C">
        <w:rPr>
          <w:rStyle w:val="FootnoteReference"/>
          <w:rFonts w:ascii="Arial" w:hAnsi="Arial" w:cs="Arial"/>
        </w:rPr>
        <w:footnoteRef/>
      </w:r>
      <w:r w:rsidRPr="00F43A6C">
        <w:rPr>
          <w:rFonts w:ascii="Arial" w:hAnsi="Arial" w:cs="Arial"/>
        </w:rPr>
        <w:t xml:space="preserve"> </w:t>
      </w:r>
      <w:r w:rsidRPr="00F43A6C">
        <w:rPr>
          <w:rFonts w:ascii="Arial" w:eastAsia="Times New Roman" w:hAnsi="Arial" w:cs="Arial"/>
          <w:bCs/>
        </w:rPr>
        <w:t>Communiqué of the Conference of</w:t>
      </w:r>
      <w:r w:rsidRPr="00F43A6C">
        <w:rPr>
          <w:rFonts w:ascii="Arial" w:hAnsi="Arial" w:cs="Arial"/>
          <w:bCs/>
        </w:rPr>
        <w:t xml:space="preserve"> </w:t>
      </w:r>
      <w:r w:rsidRPr="00F43A6C">
        <w:rPr>
          <w:rFonts w:ascii="Arial" w:eastAsia="Times New Roman" w:hAnsi="Arial" w:cs="Arial"/>
          <w:bCs/>
        </w:rPr>
        <w:t>European Ministers Responsible for Higher Education,</w:t>
      </w:r>
      <w:r w:rsidRPr="00F43A6C">
        <w:rPr>
          <w:rFonts w:ascii="Arial" w:hAnsi="Arial" w:cs="Arial"/>
          <w:bCs/>
        </w:rPr>
        <w:t xml:space="preserve"> London, 17-18 May 2007, accessed at </w:t>
      </w:r>
    </w:p>
    <w:p w:rsidR="00E6534A" w:rsidRPr="00F43A6C" w:rsidRDefault="002C7395" w:rsidP="00F43A6C">
      <w:pPr>
        <w:pStyle w:val="FootnoteText"/>
        <w:jc w:val="both"/>
        <w:rPr>
          <w:rFonts w:ascii="Arial" w:hAnsi="Arial" w:cs="Arial"/>
        </w:rPr>
      </w:pPr>
      <w:hyperlink r:id="rId15" w:history="1">
        <w:r w:rsidR="00E6534A" w:rsidRPr="00F43A6C">
          <w:rPr>
            <w:rStyle w:val="Hyperlink"/>
            <w:rFonts w:ascii="Arial" w:hAnsi="Arial" w:cs="Arial"/>
            <w:bCs/>
          </w:rPr>
          <w:t>http://www.dcsf.gov.uk/londonbologna/uploads/documents/LondonCommuniquefinalwithLondonlogo.pdf</w:t>
        </w:r>
      </w:hyperlink>
      <w:r w:rsidR="00E6534A" w:rsidRPr="00F43A6C">
        <w:rPr>
          <w:rFonts w:ascii="Arial" w:hAnsi="Arial" w:cs="Arial"/>
          <w:bCs/>
        </w:rPr>
        <w:t xml:space="preserve"> </w:t>
      </w:r>
    </w:p>
  </w:footnote>
  <w:footnote w:id="27">
    <w:p w:rsidR="00E6534A" w:rsidRDefault="00E6534A" w:rsidP="00F43A6C">
      <w:pPr>
        <w:pStyle w:val="FootnoteText"/>
        <w:jc w:val="both"/>
        <w:rPr>
          <w:rFonts w:ascii="Arial" w:hAnsi="Arial" w:cs="Arial"/>
          <w:bCs/>
        </w:rPr>
      </w:pPr>
      <w:r w:rsidRPr="00F43A6C">
        <w:rPr>
          <w:rStyle w:val="FootnoteReference"/>
          <w:rFonts w:ascii="Arial" w:hAnsi="Arial" w:cs="Arial"/>
        </w:rPr>
        <w:footnoteRef/>
      </w:r>
      <w:r w:rsidRPr="00F43A6C">
        <w:rPr>
          <w:rFonts w:ascii="Arial" w:hAnsi="Arial" w:cs="Arial"/>
        </w:rPr>
        <w:t xml:space="preserve"> </w:t>
      </w:r>
      <w:r w:rsidRPr="00F43A6C">
        <w:rPr>
          <w:rFonts w:ascii="Arial" w:eastAsia="Times New Roman" w:hAnsi="Arial" w:cs="Arial"/>
          <w:bCs/>
        </w:rPr>
        <w:t>Communiqué of the Conference of</w:t>
      </w:r>
      <w:r w:rsidRPr="00F43A6C">
        <w:rPr>
          <w:rFonts w:ascii="Arial" w:hAnsi="Arial" w:cs="Arial"/>
          <w:bCs/>
        </w:rPr>
        <w:t xml:space="preserve"> </w:t>
      </w:r>
      <w:r w:rsidRPr="00F43A6C">
        <w:rPr>
          <w:rFonts w:ascii="Arial" w:eastAsia="Times New Roman" w:hAnsi="Arial" w:cs="Arial"/>
          <w:bCs/>
        </w:rPr>
        <w:t>European Ministers Responsible for Higher Education,</w:t>
      </w:r>
      <w:r w:rsidRPr="00F43A6C">
        <w:rPr>
          <w:rFonts w:ascii="Arial" w:hAnsi="Arial" w:cs="Arial"/>
          <w:bCs/>
        </w:rPr>
        <w:t xml:space="preserve"> Leuven and Louvain-la-</w:t>
      </w:r>
      <w:proofErr w:type="spellStart"/>
      <w:r w:rsidRPr="00F43A6C">
        <w:rPr>
          <w:rFonts w:ascii="Arial" w:hAnsi="Arial" w:cs="Arial"/>
          <w:bCs/>
        </w:rPr>
        <w:t>Neuve</w:t>
      </w:r>
      <w:proofErr w:type="spellEnd"/>
      <w:r w:rsidRPr="00F43A6C">
        <w:rPr>
          <w:rFonts w:ascii="Arial" w:hAnsi="Arial" w:cs="Arial"/>
          <w:bCs/>
        </w:rPr>
        <w:t xml:space="preserve">, 28-29 April 2009, accessed at </w:t>
      </w:r>
    </w:p>
    <w:p w:rsidR="00E6534A" w:rsidRPr="00F43A6C" w:rsidRDefault="002C7395" w:rsidP="00F43A6C">
      <w:pPr>
        <w:pStyle w:val="FootnoteText"/>
        <w:jc w:val="both"/>
        <w:rPr>
          <w:rFonts w:ascii="Arial" w:hAnsi="Arial" w:cs="Arial"/>
        </w:rPr>
      </w:pPr>
      <w:hyperlink r:id="rId16" w:history="1">
        <w:r w:rsidR="00E6534A" w:rsidRPr="00F43A6C">
          <w:rPr>
            <w:rStyle w:val="Hyperlink"/>
            <w:rFonts w:ascii="Arial" w:hAnsi="Arial" w:cs="Arial"/>
            <w:bCs/>
          </w:rPr>
          <w:t>http://www.ond.vlaanderen.be/hogeronderwijs/bologna/conference/documents/Leuven_Louvain-la-Neuve_Communiqué_April_2009.pdf</w:t>
        </w:r>
      </w:hyperlink>
      <w:r w:rsidR="00E6534A" w:rsidRPr="00F43A6C">
        <w:rPr>
          <w:rFonts w:ascii="Arial" w:hAnsi="Arial" w:cs="Arial"/>
          <w:bCs/>
        </w:rPr>
        <w:t xml:space="preserve"> </w:t>
      </w:r>
    </w:p>
  </w:footnote>
  <w:footnote w:id="28">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There has been much analysis of the Bologna Process from the doctoral disciplines of political science and higher education studies. See for example K </w:t>
      </w:r>
      <w:proofErr w:type="spellStart"/>
      <w:r w:rsidRPr="00F43A6C">
        <w:rPr>
          <w:rFonts w:ascii="Arial" w:hAnsi="Arial" w:cs="Arial"/>
        </w:rPr>
        <w:t>Barkholt</w:t>
      </w:r>
      <w:proofErr w:type="spellEnd"/>
      <w:r w:rsidRPr="00F43A6C">
        <w:rPr>
          <w:rFonts w:ascii="Arial" w:hAnsi="Arial" w:cs="Arial"/>
        </w:rPr>
        <w:t xml:space="preserve">, ‘The Bologna Process and Integration Theory: Convergence and Autonomy’ (2005) 30 Higher Education in Europe 23, P </w:t>
      </w:r>
      <w:proofErr w:type="spellStart"/>
      <w:r w:rsidRPr="00F43A6C">
        <w:rPr>
          <w:rFonts w:ascii="Arial" w:hAnsi="Arial" w:cs="Arial"/>
        </w:rPr>
        <w:t>Blasi</w:t>
      </w:r>
      <w:proofErr w:type="spellEnd"/>
      <w:r w:rsidRPr="00F43A6C">
        <w:rPr>
          <w:rFonts w:ascii="Arial" w:hAnsi="Arial" w:cs="Arial"/>
        </w:rPr>
        <w:t xml:space="preserve">, ‘The European University – Towards a Wisdom-Based Society’ (2006) 31 Higher Education in Europe 403, VL </w:t>
      </w:r>
      <w:proofErr w:type="spellStart"/>
      <w:r w:rsidRPr="00F43A6C">
        <w:rPr>
          <w:rFonts w:ascii="Arial" w:hAnsi="Arial" w:cs="Arial"/>
        </w:rPr>
        <w:t>Haanes</w:t>
      </w:r>
      <w:proofErr w:type="spellEnd"/>
      <w:r w:rsidRPr="00F43A6C">
        <w:rPr>
          <w:rFonts w:ascii="Arial" w:hAnsi="Arial" w:cs="Arial"/>
        </w:rPr>
        <w:t xml:space="preserve">, ‘Unity in Diversity and Diversity in Unity: The Role and Legitimacy of European Universities’ (2006) 31 Higher Education in Europe 443, J </w:t>
      </w:r>
      <w:proofErr w:type="spellStart"/>
      <w:r w:rsidRPr="00F43A6C">
        <w:rPr>
          <w:rFonts w:ascii="Arial" w:hAnsi="Arial" w:cs="Arial"/>
        </w:rPr>
        <w:t>Huisman</w:t>
      </w:r>
      <w:proofErr w:type="spellEnd"/>
      <w:r w:rsidRPr="00F43A6C">
        <w:rPr>
          <w:rFonts w:ascii="Arial" w:hAnsi="Arial" w:cs="Arial"/>
        </w:rPr>
        <w:t xml:space="preserve">, M van de </w:t>
      </w:r>
      <w:proofErr w:type="spellStart"/>
      <w:r w:rsidRPr="00F43A6C">
        <w:rPr>
          <w:rFonts w:ascii="Arial" w:hAnsi="Arial" w:cs="Arial"/>
        </w:rPr>
        <w:t>Wende</w:t>
      </w:r>
      <w:proofErr w:type="spellEnd"/>
      <w:r w:rsidRPr="00F43A6C">
        <w:rPr>
          <w:rFonts w:ascii="Arial" w:hAnsi="Arial" w:cs="Arial"/>
        </w:rPr>
        <w:t xml:space="preserve">, ‘The EU and Bologna: Are Supra- and International Initiatives Threatening Domestic Agendas?’ (2004) 39 European Journal of Education 349, R Keeling, ‘The Bologna Process and the Lisbon Research Agenda: The European Commission’s Expanding Role in Higher Education Discourse’ (2006) 41 European Journal of Education 203, T Kirkwood-Tucker, ‘Toward a European Model of Higher Education Processes, Problems and Promises’ (2004) 36 European Education 51, A </w:t>
      </w:r>
      <w:proofErr w:type="spellStart"/>
      <w:r w:rsidRPr="00F43A6C">
        <w:rPr>
          <w:rFonts w:ascii="Arial" w:hAnsi="Arial" w:cs="Arial"/>
        </w:rPr>
        <w:t>Rauhvargers</w:t>
      </w:r>
      <w:proofErr w:type="spellEnd"/>
      <w:r w:rsidRPr="00F43A6C">
        <w:rPr>
          <w:rFonts w:ascii="Arial" w:hAnsi="Arial" w:cs="Arial"/>
        </w:rPr>
        <w:t xml:space="preserve">, ‘Improving the Recognition of Qualifications in the Framework of the Bologna Process’ (2004) 39 European Journal of Education 331, C </w:t>
      </w:r>
      <w:proofErr w:type="spellStart"/>
      <w:r w:rsidRPr="00F43A6C">
        <w:rPr>
          <w:rFonts w:ascii="Arial" w:hAnsi="Arial" w:cs="Arial"/>
        </w:rPr>
        <w:t>Tauch</w:t>
      </w:r>
      <w:proofErr w:type="spellEnd"/>
      <w:r w:rsidRPr="00F43A6C">
        <w:rPr>
          <w:rFonts w:ascii="Arial" w:hAnsi="Arial" w:cs="Arial"/>
        </w:rPr>
        <w:t xml:space="preserve">, ‘Almost Half-Time in the Bologna Process – Where Do We Stand?’ (2004) 39 European Journal of Education 275, V </w:t>
      </w:r>
      <w:proofErr w:type="spellStart"/>
      <w:r w:rsidRPr="00F43A6C">
        <w:rPr>
          <w:rFonts w:ascii="Arial" w:hAnsi="Arial" w:cs="Arial"/>
        </w:rPr>
        <w:t>Tomusk</w:t>
      </w:r>
      <w:proofErr w:type="spellEnd"/>
      <w:r w:rsidRPr="00F43A6C">
        <w:rPr>
          <w:rFonts w:ascii="Arial" w:hAnsi="Arial" w:cs="Arial"/>
        </w:rPr>
        <w:t xml:space="preserve">, ‘Three Bolognas and a Pizza Pie: Notes on Institutionalisation of the European Higher Education System’ (2001) 14 International Studies in Sociology of Education 75, M Vogel, ‘Diversity and Comparability – Towards a Common European Higher Education Area’ (2007) 387 Analytical and </w:t>
      </w:r>
      <w:proofErr w:type="spellStart"/>
      <w:r w:rsidRPr="00F43A6C">
        <w:rPr>
          <w:rFonts w:ascii="Arial" w:hAnsi="Arial" w:cs="Arial"/>
        </w:rPr>
        <w:t>Bioanalytical</w:t>
      </w:r>
      <w:proofErr w:type="spellEnd"/>
      <w:r w:rsidRPr="00F43A6C">
        <w:rPr>
          <w:rFonts w:ascii="Arial" w:hAnsi="Arial" w:cs="Arial"/>
        </w:rPr>
        <w:t xml:space="preserve"> Chemistry 131, B </w:t>
      </w:r>
      <w:proofErr w:type="spellStart"/>
      <w:r w:rsidRPr="00F43A6C">
        <w:rPr>
          <w:rFonts w:ascii="Arial" w:hAnsi="Arial" w:cs="Arial"/>
        </w:rPr>
        <w:t>Wächter</w:t>
      </w:r>
      <w:proofErr w:type="spellEnd"/>
      <w:r w:rsidRPr="00F43A6C">
        <w:rPr>
          <w:rFonts w:ascii="Arial" w:hAnsi="Arial" w:cs="Arial"/>
        </w:rPr>
        <w:t>,</w:t>
      </w:r>
      <w:r>
        <w:rPr>
          <w:rFonts w:ascii="Arial" w:hAnsi="Arial" w:cs="Arial"/>
        </w:rPr>
        <w:t xml:space="preserve"> </w:t>
      </w:r>
      <w:r w:rsidRPr="00F43A6C">
        <w:rPr>
          <w:rFonts w:ascii="Arial" w:hAnsi="Arial" w:cs="Arial"/>
        </w:rPr>
        <w:t xml:space="preserve">‘The Bologna Process: Developments and Prospects’ (2004) 39 European Journal of Education 265. Legal analysis has been considerably less. See for example R </w:t>
      </w:r>
      <w:proofErr w:type="spellStart"/>
      <w:r w:rsidRPr="00F43A6C">
        <w:rPr>
          <w:rFonts w:ascii="Arial" w:hAnsi="Arial" w:cs="Arial"/>
        </w:rPr>
        <w:t>Cippitani</w:t>
      </w:r>
      <w:proofErr w:type="spellEnd"/>
      <w:r w:rsidRPr="00F43A6C">
        <w:rPr>
          <w:rFonts w:ascii="Arial" w:hAnsi="Arial" w:cs="Arial"/>
        </w:rPr>
        <w:t xml:space="preserve">, S </w:t>
      </w:r>
      <w:proofErr w:type="spellStart"/>
      <w:r w:rsidRPr="00F43A6C">
        <w:rPr>
          <w:rFonts w:ascii="Arial" w:hAnsi="Arial" w:cs="Arial"/>
        </w:rPr>
        <w:t>Gatt</w:t>
      </w:r>
      <w:proofErr w:type="spellEnd"/>
      <w:r w:rsidRPr="00F43A6C">
        <w:rPr>
          <w:rFonts w:ascii="Arial" w:hAnsi="Arial" w:cs="Arial"/>
        </w:rPr>
        <w:t xml:space="preserve">, ‘Legal Developments and Problems of the Bologna Process within the European Higher Education Area and European Integration’ (2009) 34 Higher Education in Europe 385, A Corbett, ‘Ideas, Institutions and Policy Entrepreneurs: Towards a New History of Higher Education in the European Community’ (2003) 38 European Journal of Education 316, S Garben, ‘The Bologna Process: From a European Law Perspective’ (2010) 16 ELJ 186, </w:t>
      </w:r>
      <w:proofErr w:type="spellStart"/>
      <w:r w:rsidRPr="00F43A6C">
        <w:rPr>
          <w:rFonts w:ascii="Arial" w:hAnsi="Arial" w:cs="Arial"/>
        </w:rPr>
        <w:t>Hackl</w:t>
      </w:r>
      <w:proofErr w:type="spellEnd"/>
      <w:r w:rsidRPr="00F43A6C">
        <w:rPr>
          <w:rFonts w:ascii="Arial" w:hAnsi="Arial" w:cs="Arial"/>
        </w:rPr>
        <w:t>, Op. Cit. n.1</w:t>
      </w:r>
    </w:p>
  </w:footnote>
  <w:footnote w:id="29">
    <w:p w:rsidR="00E6534A" w:rsidRDefault="00E6534A" w:rsidP="00F43A6C">
      <w:pPr>
        <w:pStyle w:val="FootnoteText"/>
        <w:jc w:val="both"/>
        <w:rPr>
          <w:rFonts w:ascii="Arial" w:hAnsi="Arial" w:cs="Arial"/>
          <w:bCs/>
        </w:rPr>
      </w:pPr>
      <w:r w:rsidRPr="00F43A6C">
        <w:rPr>
          <w:rStyle w:val="FootnoteReference"/>
          <w:rFonts w:ascii="Arial" w:hAnsi="Arial" w:cs="Arial"/>
        </w:rPr>
        <w:footnoteRef/>
      </w:r>
      <w:r w:rsidRPr="00F43A6C">
        <w:rPr>
          <w:rFonts w:ascii="Arial" w:hAnsi="Arial" w:cs="Arial"/>
        </w:rPr>
        <w:t xml:space="preserve"> </w:t>
      </w:r>
      <w:r w:rsidRPr="00F43A6C">
        <w:rPr>
          <w:rFonts w:ascii="Arial" w:eastAsia="Times New Roman" w:hAnsi="Arial" w:cs="Arial"/>
          <w:bCs/>
        </w:rPr>
        <w:t>Budapest-Vienna Declaration</w:t>
      </w:r>
      <w:r w:rsidRPr="00F43A6C">
        <w:rPr>
          <w:rFonts w:ascii="Arial" w:hAnsi="Arial" w:cs="Arial"/>
          <w:bCs/>
        </w:rPr>
        <w:t xml:space="preserve"> on the European Higher Education Area, accessed at </w:t>
      </w:r>
    </w:p>
    <w:p w:rsidR="00E6534A" w:rsidRPr="00F43A6C" w:rsidRDefault="002C7395" w:rsidP="00F43A6C">
      <w:pPr>
        <w:pStyle w:val="FootnoteText"/>
        <w:jc w:val="both"/>
        <w:rPr>
          <w:rFonts w:ascii="Arial" w:hAnsi="Arial" w:cs="Arial"/>
        </w:rPr>
      </w:pPr>
      <w:hyperlink r:id="rId17" w:history="1">
        <w:r w:rsidR="00E6534A" w:rsidRPr="00F43A6C">
          <w:rPr>
            <w:rStyle w:val="Hyperlink"/>
            <w:rFonts w:ascii="Arial" w:hAnsi="Arial" w:cs="Arial"/>
            <w:bCs/>
          </w:rPr>
          <w:t>http://www.ond.vlaanderen.be/hogeronderwijs/Bologna/2010_conference/documents/Budapest-Vienna_Declaration.pdf</w:t>
        </w:r>
      </w:hyperlink>
      <w:r w:rsidR="00E6534A" w:rsidRPr="00F43A6C">
        <w:rPr>
          <w:rFonts w:ascii="Arial" w:hAnsi="Arial" w:cs="Arial"/>
          <w:bCs/>
        </w:rPr>
        <w:t xml:space="preserve"> </w:t>
      </w:r>
    </w:p>
  </w:footnote>
  <w:footnote w:id="30">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Op. </w:t>
      </w:r>
      <w:proofErr w:type="spellStart"/>
      <w:r w:rsidRPr="00F43A6C">
        <w:rPr>
          <w:rFonts w:ascii="Arial" w:hAnsi="Arial" w:cs="Arial"/>
        </w:rPr>
        <w:t>cit</w:t>
      </w:r>
      <w:proofErr w:type="spellEnd"/>
      <w:r w:rsidRPr="00F43A6C">
        <w:rPr>
          <w:rFonts w:ascii="Arial" w:hAnsi="Arial" w:cs="Arial"/>
        </w:rPr>
        <w:t xml:space="preserve"> n.1 at para 4.13</w:t>
      </w:r>
    </w:p>
  </w:footnote>
  <w:footnote w:id="31">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Op. cit. n.18 at 12</w:t>
      </w:r>
    </w:p>
  </w:footnote>
  <w:footnote w:id="32">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D Edward, ‘The ‘European’ Content of British Law Degrees’ (1995) 29 LT 142</w:t>
      </w:r>
    </w:p>
  </w:footnote>
  <w:footnote w:id="33">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G </w:t>
      </w:r>
      <w:proofErr w:type="spellStart"/>
      <w:r w:rsidRPr="00F43A6C">
        <w:rPr>
          <w:rFonts w:ascii="Arial" w:hAnsi="Arial" w:cs="Arial"/>
        </w:rPr>
        <w:t>Umbach</w:t>
      </w:r>
      <w:proofErr w:type="spellEnd"/>
      <w:r w:rsidRPr="00F43A6C">
        <w:rPr>
          <w:rFonts w:ascii="Arial" w:hAnsi="Arial" w:cs="Arial"/>
        </w:rPr>
        <w:t>, B Scholl, ‘Towards a Core Curriculum in EU Studies’ (2003) 2 EPS 71</w:t>
      </w:r>
    </w:p>
  </w:footnote>
  <w:footnote w:id="34">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I Bache, ‘</w:t>
      </w:r>
      <w:proofErr w:type="spellStart"/>
      <w:r w:rsidRPr="00F43A6C">
        <w:rPr>
          <w:rFonts w:ascii="Arial" w:hAnsi="Arial" w:cs="Arial"/>
        </w:rPr>
        <w:t>Europeanisation</w:t>
      </w:r>
      <w:proofErr w:type="spellEnd"/>
      <w:r w:rsidRPr="00F43A6C">
        <w:rPr>
          <w:rFonts w:ascii="Arial" w:hAnsi="Arial" w:cs="Arial"/>
        </w:rPr>
        <w:t xml:space="preserve"> and Higher Education: Towards a Core Curriculum in European Studies’ Conference Paper for the ESRC/UACES Study Group and Seminar Series on the </w:t>
      </w:r>
      <w:proofErr w:type="spellStart"/>
      <w:r w:rsidRPr="00F43A6C">
        <w:rPr>
          <w:rFonts w:ascii="Arial" w:hAnsi="Arial" w:cs="Arial"/>
        </w:rPr>
        <w:t>Europeanisation</w:t>
      </w:r>
      <w:proofErr w:type="spellEnd"/>
      <w:r w:rsidRPr="00F43A6C">
        <w:rPr>
          <w:rFonts w:ascii="Arial" w:hAnsi="Arial" w:cs="Arial"/>
        </w:rPr>
        <w:t xml:space="preserve"> of British Politics and Policy-Making, 23 April 2004, accessed at </w:t>
      </w:r>
      <w:hyperlink r:id="rId18" w:history="1">
        <w:r w:rsidRPr="00F43A6C">
          <w:rPr>
            <w:rStyle w:val="Hyperlink"/>
            <w:rFonts w:ascii="Arial" w:hAnsi="Arial" w:cs="Arial"/>
          </w:rPr>
          <w:t>http://aei.pitt.edu/1728/01/BacheHE.pdf</w:t>
        </w:r>
      </w:hyperlink>
      <w:r w:rsidRPr="00F43A6C">
        <w:rPr>
          <w:rFonts w:ascii="Arial" w:hAnsi="Arial" w:cs="Arial"/>
        </w:rPr>
        <w:t xml:space="preserve"> </w:t>
      </w:r>
    </w:p>
  </w:footnote>
  <w:footnote w:id="35">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W </w:t>
      </w:r>
      <w:proofErr w:type="spellStart"/>
      <w:r w:rsidRPr="00F43A6C">
        <w:rPr>
          <w:rFonts w:ascii="Arial" w:hAnsi="Arial" w:cs="Arial"/>
        </w:rPr>
        <w:t>Wessels</w:t>
      </w:r>
      <w:proofErr w:type="spellEnd"/>
      <w:r w:rsidRPr="00F43A6C">
        <w:rPr>
          <w:rFonts w:ascii="Arial" w:hAnsi="Arial" w:cs="Arial"/>
        </w:rPr>
        <w:t xml:space="preserve">, I </w:t>
      </w:r>
      <w:proofErr w:type="spellStart"/>
      <w:r w:rsidRPr="00F43A6C">
        <w:rPr>
          <w:rFonts w:ascii="Arial" w:hAnsi="Arial" w:cs="Arial"/>
        </w:rPr>
        <w:t>Linsenmann</w:t>
      </w:r>
      <w:proofErr w:type="spellEnd"/>
      <w:r w:rsidRPr="00F43A6C">
        <w:rPr>
          <w:rFonts w:ascii="Arial" w:hAnsi="Arial" w:cs="Arial"/>
        </w:rPr>
        <w:t xml:space="preserve">, S </w:t>
      </w:r>
      <w:proofErr w:type="spellStart"/>
      <w:r w:rsidRPr="00F43A6C">
        <w:rPr>
          <w:rFonts w:ascii="Arial" w:hAnsi="Arial" w:cs="Arial"/>
        </w:rPr>
        <w:t>Hägele</w:t>
      </w:r>
      <w:proofErr w:type="spellEnd"/>
      <w:r w:rsidRPr="00F43A6C">
        <w:rPr>
          <w:rFonts w:ascii="Arial" w:hAnsi="Arial" w:cs="Arial"/>
        </w:rPr>
        <w:t xml:space="preserve">, ‘A Core Curriculum on European Integration Studies: Basic Assumptions and Proposals’ Conference Paper for the ECSA Madison Conference, 31 May-2 June 2001, accessed at </w:t>
      </w:r>
    </w:p>
    <w:p w:rsidR="00E6534A" w:rsidRPr="00F43A6C" w:rsidRDefault="002C7395" w:rsidP="00F43A6C">
      <w:pPr>
        <w:pStyle w:val="FootnoteText"/>
        <w:jc w:val="both"/>
        <w:rPr>
          <w:rFonts w:ascii="Arial" w:hAnsi="Arial" w:cs="Arial"/>
        </w:rPr>
      </w:pPr>
      <w:hyperlink r:id="rId19" w:history="1">
        <w:r w:rsidR="00E6534A" w:rsidRPr="00F43A6C">
          <w:rPr>
            <w:rStyle w:val="Hyperlink"/>
            <w:rFonts w:ascii="Arial" w:hAnsi="Arial" w:cs="Arial"/>
          </w:rPr>
          <w:t>http://www.politik.uni-koeln.de/wessels/DE/PROJEKTE/CORE_CURRICULUM/TEACHING_INTEGRATION.PDF</w:t>
        </w:r>
      </w:hyperlink>
      <w:r w:rsidR="00E6534A" w:rsidRPr="00F43A6C">
        <w:rPr>
          <w:rFonts w:ascii="Arial" w:hAnsi="Arial" w:cs="Arial"/>
        </w:rPr>
        <w:t xml:space="preserve"> </w:t>
      </w:r>
    </w:p>
  </w:footnote>
  <w:footnote w:id="36">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W </w:t>
      </w:r>
      <w:proofErr w:type="spellStart"/>
      <w:r w:rsidRPr="00F43A6C">
        <w:rPr>
          <w:rFonts w:ascii="Arial" w:hAnsi="Arial" w:cs="Arial"/>
        </w:rPr>
        <w:t>Wessels</w:t>
      </w:r>
      <w:proofErr w:type="spellEnd"/>
      <w:r w:rsidRPr="00F43A6C">
        <w:rPr>
          <w:rFonts w:ascii="Arial" w:hAnsi="Arial" w:cs="Arial"/>
        </w:rPr>
        <w:t xml:space="preserve">, T </w:t>
      </w:r>
      <w:proofErr w:type="spellStart"/>
      <w:r w:rsidRPr="00F43A6C">
        <w:rPr>
          <w:rFonts w:ascii="Arial" w:hAnsi="Arial" w:cs="Arial"/>
        </w:rPr>
        <w:t>Grothe</w:t>
      </w:r>
      <w:proofErr w:type="spellEnd"/>
      <w:r w:rsidRPr="00F43A6C">
        <w:rPr>
          <w:rFonts w:ascii="Arial" w:hAnsi="Arial" w:cs="Arial"/>
        </w:rPr>
        <w:t xml:space="preserve">, G </w:t>
      </w:r>
      <w:proofErr w:type="spellStart"/>
      <w:r w:rsidRPr="00F43A6C">
        <w:rPr>
          <w:rFonts w:ascii="Arial" w:hAnsi="Arial" w:cs="Arial"/>
        </w:rPr>
        <w:t>Umbach</w:t>
      </w:r>
      <w:proofErr w:type="spellEnd"/>
      <w:r w:rsidRPr="00F43A6C">
        <w:rPr>
          <w:rFonts w:ascii="Arial" w:hAnsi="Arial" w:cs="Arial"/>
        </w:rPr>
        <w:t xml:space="preserve">, ‘The Constitutional Treaty as Empirical Focus for a ‘Teaching Companion’ in EU Studies’ Conference Paper for the ECPR General Conference 2003, 18-21 September 2003, accessed at </w:t>
      </w:r>
    </w:p>
    <w:p w:rsidR="00E6534A" w:rsidRPr="00F43A6C" w:rsidRDefault="002C7395" w:rsidP="00F43A6C">
      <w:pPr>
        <w:pStyle w:val="FootnoteText"/>
        <w:jc w:val="both"/>
        <w:rPr>
          <w:rFonts w:ascii="Arial" w:hAnsi="Arial" w:cs="Arial"/>
        </w:rPr>
      </w:pPr>
      <w:hyperlink r:id="rId20" w:history="1">
        <w:r w:rsidR="00E6534A" w:rsidRPr="00F43A6C">
          <w:rPr>
            <w:rStyle w:val="Hyperlink"/>
            <w:rFonts w:ascii="Arial" w:hAnsi="Arial" w:cs="Arial"/>
          </w:rPr>
          <w:t>http://www.politik.uni-koeln.de/wessels/DE/PUBLIKATIONEN/texte/empirical-focus%20.pdf</w:t>
        </w:r>
      </w:hyperlink>
      <w:r w:rsidR="00E6534A" w:rsidRPr="00F43A6C">
        <w:rPr>
          <w:rFonts w:ascii="Arial" w:hAnsi="Arial" w:cs="Arial"/>
        </w:rPr>
        <w:t xml:space="preserve"> </w:t>
      </w:r>
    </w:p>
  </w:footnote>
  <w:footnote w:id="37">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See CJ </w:t>
      </w:r>
      <w:proofErr w:type="spellStart"/>
      <w:r w:rsidRPr="00F43A6C">
        <w:rPr>
          <w:rFonts w:ascii="Arial" w:hAnsi="Arial" w:cs="Arial"/>
        </w:rPr>
        <w:t>Makins</w:t>
      </w:r>
      <w:proofErr w:type="spellEnd"/>
      <w:r w:rsidRPr="00F43A6C">
        <w:rPr>
          <w:rFonts w:ascii="Arial" w:hAnsi="Arial" w:cs="Arial"/>
        </w:rPr>
        <w:t xml:space="preserve">, </w:t>
      </w:r>
      <w:r w:rsidRPr="00F43A6C">
        <w:rPr>
          <w:rFonts w:ascii="Arial" w:hAnsi="Arial" w:cs="Arial"/>
          <w:i/>
        </w:rPr>
        <w:t>The Study of Europe in the United States</w:t>
      </w:r>
      <w:r w:rsidRPr="00F43A6C">
        <w:rPr>
          <w:rFonts w:ascii="Arial" w:hAnsi="Arial" w:cs="Arial"/>
        </w:rPr>
        <w:t xml:space="preserve">, 1998, European Commission and The German Marshall Fund of the United States, accessed at </w:t>
      </w:r>
    </w:p>
    <w:p w:rsidR="00E6534A" w:rsidRPr="00F43A6C" w:rsidRDefault="002C7395" w:rsidP="00F43A6C">
      <w:pPr>
        <w:pStyle w:val="FootnoteText"/>
        <w:jc w:val="both"/>
        <w:rPr>
          <w:rFonts w:ascii="Arial" w:hAnsi="Arial" w:cs="Arial"/>
        </w:rPr>
      </w:pPr>
      <w:hyperlink r:id="rId21" w:history="1">
        <w:r w:rsidR="00E6534A" w:rsidRPr="00F43A6C">
          <w:rPr>
            <w:rStyle w:val="Hyperlink"/>
            <w:rFonts w:ascii="Arial" w:hAnsi="Arial" w:cs="Arial"/>
          </w:rPr>
          <w:t>http://www.eurunion.org/infores/studyof/portrait.htm</w:t>
        </w:r>
      </w:hyperlink>
      <w:r w:rsidR="00E6534A" w:rsidRPr="00F43A6C">
        <w:rPr>
          <w:rFonts w:ascii="Arial" w:hAnsi="Arial" w:cs="Arial"/>
        </w:rPr>
        <w:t xml:space="preserve"> </w:t>
      </w:r>
    </w:p>
  </w:footnote>
  <w:footnote w:id="38">
    <w:p w:rsidR="00E6534A" w:rsidRPr="00F4558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RJ Goebel, ‘Teaching the EU: Pedagogical Goals and Approaches in Teaching European Union Law’ accessed at </w:t>
      </w:r>
      <w:hyperlink r:id="rId22" w:history="1">
        <w:r w:rsidRPr="00F43A6C">
          <w:rPr>
            <w:rStyle w:val="Hyperlink"/>
            <w:rFonts w:ascii="Arial" w:hAnsi="Arial" w:cs="Arial"/>
          </w:rPr>
          <w:t>http://www.eurunion.org/infores/teaching/goebel.htm</w:t>
        </w:r>
      </w:hyperlink>
      <w:r w:rsidRPr="008D6BF0">
        <w:rPr>
          <w:rFonts w:ascii="Arial" w:hAnsi="Arial" w:cs="Arial"/>
        </w:rPr>
        <w:t xml:space="preserve"> </w:t>
      </w:r>
    </w:p>
  </w:footnote>
  <w:footnote w:id="39">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RJ Goebel, E-mail dated 6 June 2006</w:t>
      </w:r>
    </w:p>
  </w:footnote>
  <w:footnote w:id="40">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DC Smith, J Hogan, ‘Teaching EU Law &amp; Policy in an Online Setting’ Conference Paper for EUSA 9</w:t>
      </w:r>
      <w:r w:rsidRPr="00F43A6C">
        <w:rPr>
          <w:rFonts w:ascii="Arial" w:hAnsi="Arial" w:cs="Arial"/>
          <w:vertAlign w:val="superscript"/>
        </w:rPr>
        <w:t>th</w:t>
      </w:r>
      <w:r w:rsidRPr="00F43A6C">
        <w:rPr>
          <w:rFonts w:ascii="Arial" w:hAnsi="Arial" w:cs="Arial"/>
        </w:rPr>
        <w:t xml:space="preserve"> Biennial Conference – The State of Teaching the European Union: Challenges and Opportunities, 31 March-2 April 2005, accessed at </w:t>
      </w:r>
      <w:hyperlink r:id="rId23" w:history="1">
        <w:r w:rsidRPr="00F43A6C">
          <w:rPr>
            <w:rStyle w:val="Hyperlink"/>
            <w:rFonts w:ascii="Arial" w:hAnsi="Arial" w:cs="Arial"/>
          </w:rPr>
          <w:t>http://aei.pitt.edu/3091/01/2005_03_18_EUSA_Submitted.pdf</w:t>
        </w:r>
      </w:hyperlink>
      <w:r w:rsidRPr="00F43A6C">
        <w:rPr>
          <w:rFonts w:ascii="Arial" w:hAnsi="Arial" w:cs="Arial"/>
        </w:rPr>
        <w:t xml:space="preserve"> </w:t>
      </w:r>
    </w:p>
  </w:footnote>
  <w:footnote w:id="41">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P </w:t>
      </w:r>
      <w:proofErr w:type="spellStart"/>
      <w:r w:rsidRPr="00F43A6C">
        <w:rPr>
          <w:rFonts w:ascii="Arial" w:hAnsi="Arial" w:cs="Arial"/>
        </w:rPr>
        <w:t>Wilkin</w:t>
      </w:r>
      <w:proofErr w:type="spellEnd"/>
      <w:r w:rsidRPr="00F43A6C">
        <w:rPr>
          <w:rFonts w:ascii="Arial" w:hAnsi="Arial" w:cs="Arial"/>
        </w:rPr>
        <w:t xml:space="preserve">, ‘Teaching the European Union: The Role of the Internet in </w:t>
      </w:r>
      <w:proofErr w:type="spellStart"/>
      <w:r w:rsidRPr="00F43A6C">
        <w:rPr>
          <w:rFonts w:ascii="Arial" w:hAnsi="Arial" w:cs="Arial"/>
        </w:rPr>
        <w:t>Webteaching</w:t>
      </w:r>
      <w:proofErr w:type="spellEnd"/>
      <w:r w:rsidRPr="00F43A6C">
        <w:rPr>
          <w:rFonts w:ascii="Arial" w:hAnsi="Arial" w:cs="Arial"/>
        </w:rPr>
        <w:t>’ Conference Paper for ECSA 7</w:t>
      </w:r>
      <w:r w:rsidRPr="00F43A6C">
        <w:rPr>
          <w:rFonts w:ascii="Arial" w:hAnsi="Arial" w:cs="Arial"/>
          <w:vertAlign w:val="superscript"/>
        </w:rPr>
        <w:t>th</w:t>
      </w:r>
      <w:r w:rsidRPr="00F43A6C">
        <w:rPr>
          <w:rFonts w:ascii="Arial" w:hAnsi="Arial" w:cs="Arial"/>
        </w:rPr>
        <w:t xml:space="preserve"> Biennial International Conference, 31 May-2 June 2001, accessed at </w:t>
      </w:r>
      <w:hyperlink r:id="rId24" w:history="1">
        <w:r w:rsidRPr="00F43A6C">
          <w:rPr>
            <w:rStyle w:val="Hyperlink"/>
            <w:rFonts w:ascii="Arial" w:hAnsi="Arial" w:cs="Arial"/>
          </w:rPr>
          <w:t>http://www.teu.teachingtheeu.html</w:t>
        </w:r>
      </w:hyperlink>
      <w:r w:rsidRPr="00F43A6C">
        <w:rPr>
          <w:rFonts w:ascii="Arial" w:hAnsi="Arial" w:cs="Arial"/>
        </w:rPr>
        <w:t xml:space="preserve"> </w:t>
      </w:r>
    </w:p>
  </w:footnote>
  <w:footnote w:id="42">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K </w:t>
      </w:r>
      <w:proofErr w:type="spellStart"/>
      <w:r w:rsidRPr="00F43A6C">
        <w:rPr>
          <w:rFonts w:ascii="Arial" w:hAnsi="Arial" w:cs="Arial"/>
        </w:rPr>
        <w:t>Bookmiller</w:t>
      </w:r>
      <w:proofErr w:type="spellEnd"/>
      <w:r w:rsidRPr="00F43A6C">
        <w:rPr>
          <w:rFonts w:ascii="Arial" w:hAnsi="Arial" w:cs="Arial"/>
        </w:rPr>
        <w:t xml:space="preserve">, E </w:t>
      </w:r>
      <w:proofErr w:type="spellStart"/>
      <w:r w:rsidRPr="00F43A6C">
        <w:rPr>
          <w:rFonts w:ascii="Arial" w:hAnsi="Arial" w:cs="Arial"/>
        </w:rPr>
        <w:t>DeClair</w:t>
      </w:r>
      <w:proofErr w:type="spellEnd"/>
      <w:r w:rsidRPr="00F43A6C">
        <w:rPr>
          <w:rFonts w:ascii="Arial" w:hAnsi="Arial" w:cs="Arial"/>
        </w:rPr>
        <w:t xml:space="preserve">, P </w:t>
      </w:r>
      <w:proofErr w:type="spellStart"/>
      <w:r w:rsidRPr="00F43A6C">
        <w:rPr>
          <w:rFonts w:ascii="Arial" w:hAnsi="Arial" w:cs="Arial"/>
        </w:rPr>
        <w:t>Loedel</w:t>
      </w:r>
      <w:proofErr w:type="spellEnd"/>
      <w:r w:rsidRPr="00F43A6C">
        <w:rPr>
          <w:rFonts w:ascii="Arial" w:hAnsi="Arial" w:cs="Arial"/>
        </w:rPr>
        <w:t>, ‘Teaching an EU Simulation’ (1998) 11 ECSA Review 10</w:t>
      </w:r>
    </w:p>
  </w:footnote>
  <w:footnote w:id="43">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PH </w:t>
      </w:r>
      <w:proofErr w:type="spellStart"/>
      <w:r w:rsidRPr="00F43A6C">
        <w:rPr>
          <w:rFonts w:ascii="Arial" w:hAnsi="Arial" w:cs="Arial"/>
        </w:rPr>
        <w:t>Loedel</w:t>
      </w:r>
      <w:proofErr w:type="spellEnd"/>
      <w:r w:rsidRPr="00F43A6C">
        <w:rPr>
          <w:rFonts w:ascii="Arial" w:hAnsi="Arial" w:cs="Arial"/>
        </w:rPr>
        <w:t xml:space="preserve">, J </w:t>
      </w:r>
      <w:proofErr w:type="spellStart"/>
      <w:r w:rsidRPr="00F43A6C">
        <w:rPr>
          <w:rFonts w:ascii="Arial" w:hAnsi="Arial" w:cs="Arial"/>
        </w:rPr>
        <w:t>Occhiphinti</w:t>
      </w:r>
      <w:proofErr w:type="spellEnd"/>
      <w:r w:rsidRPr="00F43A6C">
        <w:rPr>
          <w:rFonts w:ascii="Arial" w:hAnsi="Arial" w:cs="Arial"/>
        </w:rPr>
        <w:t>, ‘Europe Matters: Teaching the EU in the US’ (2005) 18 EUSA Review 9</w:t>
      </w:r>
    </w:p>
  </w:footnote>
  <w:footnote w:id="44">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Op. cit. n.36</w:t>
      </w:r>
    </w:p>
  </w:footnote>
  <w:footnote w:id="45">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P Harris, S </w:t>
      </w:r>
      <w:proofErr w:type="spellStart"/>
      <w:r w:rsidRPr="00F43A6C">
        <w:rPr>
          <w:rFonts w:ascii="Arial" w:hAnsi="Arial" w:cs="Arial"/>
        </w:rPr>
        <w:t>Bellerby</w:t>
      </w:r>
      <w:proofErr w:type="spellEnd"/>
      <w:r w:rsidRPr="00F43A6C">
        <w:rPr>
          <w:rFonts w:ascii="Arial" w:hAnsi="Arial" w:cs="Arial"/>
        </w:rPr>
        <w:t xml:space="preserve">, </w:t>
      </w:r>
      <w:r w:rsidRPr="00F43A6C">
        <w:rPr>
          <w:rFonts w:ascii="Arial" w:hAnsi="Arial" w:cs="Arial"/>
          <w:i/>
        </w:rPr>
        <w:t>A Survey of Law Teaching 1993</w:t>
      </w:r>
      <w:r w:rsidRPr="00F43A6C">
        <w:rPr>
          <w:rFonts w:ascii="Arial" w:hAnsi="Arial" w:cs="Arial"/>
        </w:rPr>
        <w:t xml:space="preserve"> (Sweet and Maxwell/Association of Law Teachers, London 1993)</w:t>
      </w:r>
    </w:p>
  </w:footnote>
  <w:footnote w:id="46">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J Wilson, ‘A Third Survey of University Legal Education in the United Kingdom’ (1993) 13 LS 143</w:t>
      </w:r>
    </w:p>
  </w:footnote>
  <w:footnote w:id="47">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Ibid. at 168</w:t>
      </w:r>
    </w:p>
  </w:footnote>
  <w:footnote w:id="48">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Ibid. at 169</w:t>
      </w:r>
    </w:p>
  </w:footnote>
  <w:footnote w:id="49">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Op. cit. n.44 at 31</w:t>
      </w:r>
    </w:p>
  </w:footnote>
  <w:footnote w:id="50">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P Harris, S </w:t>
      </w:r>
      <w:proofErr w:type="spellStart"/>
      <w:r w:rsidRPr="00F43A6C">
        <w:rPr>
          <w:rFonts w:ascii="Arial" w:hAnsi="Arial" w:cs="Arial"/>
        </w:rPr>
        <w:t>Beinart</w:t>
      </w:r>
      <w:proofErr w:type="spellEnd"/>
      <w:r w:rsidRPr="00F43A6C">
        <w:rPr>
          <w:rFonts w:ascii="Arial" w:hAnsi="Arial" w:cs="Arial"/>
        </w:rPr>
        <w:t>, ‘A Survey of Law Schools in the United Kingdom, 2004’ (2005) 39 LT 299</w:t>
      </w:r>
    </w:p>
  </w:footnote>
  <w:footnote w:id="51">
    <w:p w:rsidR="00E6534A"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Ibid. at 330 &amp; 337</w:t>
      </w:r>
    </w:p>
  </w:footnote>
  <w:footnote w:id="52">
    <w:p w:rsidR="00E6534A" w:rsidRPr="00F43A6C" w:rsidRDefault="00E6534A" w:rsidP="00E03B54">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M </w:t>
      </w:r>
      <w:proofErr w:type="spellStart"/>
      <w:r w:rsidRPr="00F43A6C">
        <w:rPr>
          <w:rFonts w:ascii="Arial" w:hAnsi="Arial" w:cs="Arial"/>
        </w:rPr>
        <w:t>Aitkenhead</w:t>
      </w:r>
      <w:proofErr w:type="spellEnd"/>
      <w:r w:rsidRPr="00F43A6C">
        <w:rPr>
          <w:rFonts w:ascii="Arial" w:hAnsi="Arial" w:cs="Arial"/>
        </w:rPr>
        <w:t xml:space="preserve">, N Burrows, R </w:t>
      </w:r>
      <w:proofErr w:type="spellStart"/>
      <w:r w:rsidRPr="00F43A6C">
        <w:rPr>
          <w:rFonts w:ascii="Arial" w:hAnsi="Arial" w:cs="Arial"/>
        </w:rPr>
        <w:t>Jagtenberg</w:t>
      </w:r>
      <w:proofErr w:type="spellEnd"/>
      <w:r w:rsidRPr="00F43A6C">
        <w:rPr>
          <w:rFonts w:ascii="Arial" w:hAnsi="Arial" w:cs="Arial"/>
        </w:rPr>
        <w:t xml:space="preserve">, E </w:t>
      </w:r>
      <w:proofErr w:type="spellStart"/>
      <w:r w:rsidRPr="00F43A6C">
        <w:rPr>
          <w:rFonts w:ascii="Arial" w:hAnsi="Arial" w:cs="Arial"/>
        </w:rPr>
        <w:t>Orucu</w:t>
      </w:r>
      <w:proofErr w:type="spellEnd"/>
      <w:r w:rsidRPr="00F43A6C">
        <w:rPr>
          <w:rFonts w:ascii="Arial" w:hAnsi="Arial" w:cs="Arial"/>
        </w:rPr>
        <w:t>, ‘Education in European Community Law in Scotland and the Netherlands’ (1986) 20 LT 79</w:t>
      </w:r>
    </w:p>
  </w:footnote>
  <w:footnote w:id="53">
    <w:p w:rsidR="00E6534A" w:rsidRPr="00F43A6C" w:rsidRDefault="00E6534A" w:rsidP="00E03B54">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MH Chisholm, ‘Di-Le-</w:t>
      </w:r>
      <w:proofErr w:type="spellStart"/>
      <w:r w:rsidRPr="00F43A6C">
        <w:rPr>
          <w:rFonts w:ascii="Arial" w:hAnsi="Arial" w:cs="Arial"/>
        </w:rPr>
        <w:t>Ca</w:t>
      </w:r>
      <w:proofErr w:type="spellEnd"/>
      <w:r w:rsidRPr="00F43A6C">
        <w:rPr>
          <w:rFonts w:ascii="Arial" w:hAnsi="Arial" w:cs="Arial"/>
        </w:rPr>
        <w:t xml:space="preserve"> Approach to Teaching European Law’ (1990) 24 LT 63</w:t>
      </w:r>
    </w:p>
  </w:footnote>
  <w:footnote w:id="54">
    <w:p w:rsidR="00E6534A" w:rsidRDefault="00E6534A" w:rsidP="00467A24">
      <w:pPr>
        <w:pStyle w:val="FootnoteText"/>
        <w:jc w:val="both"/>
        <w:rPr>
          <w:rFonts w:ascii="Arial" w:hAnsi="Arial" w:cs="Arial"/>
        </w:rPr>
      </w:pPr>
      <w:r w:rsidRPr="00467A24">
        <w:rPr>
          <w:rStyle w:val="FootnoteReference"/>
          <w:rFonts w:ascii="Arial" w:hAnsi="Arial" w:cs="Arial"/>
        </w:rPr>
        <w:footnoteRef/>
      </w:r>
      <w:r w:rsidRPr="00467A24">
        <w:rPr>
          <w:rFonts w:ascii="Arial" w:hAnsi="Arial" w:cs="Arial"/>
        </w:rPr>
        <w:t xml:space="preserve"> </w:t>
      </w:r>
      <w:r>
        <w:rPr>
          <w:rFonts w:ascii="Arial" w:hAnsi="Arial" w:cs="Arial"/>
        </w:rPr>
        <w:t>University of Exeter, Centre for European Legal Studies, accessed at</w:t>
      </w:r>
    </w:p>
    <w:p w:rsidR="00E6534A" w:rsidRPr="00467A24" w:rsidRDefault="00E6534A" w:rsidP="00467A24">
      <w:pPr>
        <w:pStyle w:val="FootnoteText"/>
        <w:jc w:val="both"/>
        <w:rPr>
          <w:rFonts w:ascii="Arial" w:hAnsi="Arial" w:cs="Arial"/>
        </w:rPr>
      </w:pPr>
      <w:r>
        <w:rPr>
          <w:rFonts w:ascii="Arial" w:hAnsi="Arial" w:cs="Arial"/>
        </w:rPr>
        <w:t xml:space="preserve"> </w:t>
      </w:r>
      <w:hyperlink r:id="rId25" w:history="1">
        <w:r w:rsidRPr="00911C55">
          <w:rPr>
            <w:rStyle w:val="Hyperlink"/>
            <w:rFonts w:ascii="Arial" w:hAnsi="Arial" w:cs="Arial"/>
          </w:rPr>
          <w:t>http://www.law.ex.ac.uk/cels/documents/</w:t>
        </w:r>
      </w:hyperlink>
      <w:r>
        <w:rPr>
          <w:rFonts w:ascii="Arial" w:hAnsi="Arial" w:cs="Arial"/>
        </w:rPr>
        <w:t xml:space="preserve"> </w:t>
      </w:r>
    </w:p>
  </w:footnote>
  <w:footnote w:id="55">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See paras 1.10-1.12 of this Report</w:t>
      </w:r>
    </w:p>
  </w:footnote>
  <w:footnote w:id="56">
    <w:p w:rsidR="00E6534A" w:rsidRPr="00F43A6C"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Available at </w:t>
      </w:r>
      <w:hyperlink r:id="rId26" w:history="1">
        <w:r w:rsidRPr="00F43A6C">
          <w:rPr>
            <w:rStyle w:val="Hyperlink"/>
            <w:rFonts w:ascii="Arial" w:hAnsi="Arial" w:cs="Arial"/>
          </w:rPr>
          <w:t>http://www.ukcle.ac.uk/interact/surveys.html</w:t>
        </w:r>
      </w:hyperlink>
      <w:r w:rsidRPr="00F43A6C">
        <w:rPr>
          <w:rFonts w:ascii="Arial" w:hAnsi="Arial" w:cs="Arial"/>
        </w:rPr>
        <w:t xml:space="preserve"> </w:t>
      </w:r>
    </w:p>
  </w:footnote>
  <w:footnote w:id="57">
    <w:p w:rsidR="00E6534A" w:rsidRPr="003F61A2" w:rsidRDefault="00E6534A" w:rsidP="00F43A6C">
      <w:pPr>
        <w:pStyle w:val="FootnoteText"/>
        <w:jc w:val="both"/>
        <w:rPr>
          <w:rFonts w:ascii="Arial" w:hAnsi="Arial" w:cs="Arial"/>
        </w:rPr>
      </w:pPr>
      <w:r w:rsidRPr="00F43A6C">
        <w:rPr>
          <w:rStyle w:val="FootnoteReference"/>
          <w:rFonts w:ascii="Arial" w:hAnsi="Arial" w:cs="Arial"/>
        </w:rPr>
        <w:footnoteRef/>
      </w:r>
      <w:r w:rsidRPr="00F43A6C">
        <w:rPr>
          <w:rFonts w:ascii="Arial" w:hAnsi="Arial" w:cs="Arial"/>
        </w:rPr>
        <w:t xml:space="preserve"> Available at </w:t>
      </w:r>
      <w:hyperlink r:id="rId27" w:history="1">
        <w:r w:rsidRPr="00F43A6C">
          <w:rPr>
            <w:rStyle w:val="Hyperlink"/>
            <w:rFonts w:ascii="Arial" w:hAnsi="Arial" w:cs="Arial"/>
          </w:rPr>
          <w:t>http://www.ukcle.ac.uk/research/projects/environmental.html</w:t>
        </w:r>
      </w:hyperlink>
      <w:r w:rsidRPr="003F61A2">
        <w:rPr>
          <w:rFonts w:ascii="Arial" w:hAnsi="Arial" w:cs="Arial"/>
        </w:rPr>
        <w:t xml:space="preserve"> </w:t>
      </w:r>
    </w:p>
  </w:footnote>
  <w:footnote w:id="58">
    <w:p w:rsidR="00E6534A" w:rsidRPr="004A5797" w:rsidRDefault="00E6534A" w:rsidP="00F43A6C">
      <w:pPr>
        <w:pStyle w:val="FootnoteText"/>
        <w:jc w:val="both"/>
        <w:rPr>
          <w:rFonts w:ascii="Arial" w:hAnsi="Arial" w:cs="Arial"/>
        </w:rPr>
      </w:pPr>
      <w:r w:rsidRPr="004A5797">
        <w:rPr>
          <w:rStyle w:val="FootnoteReference"/>
          <w:rFonts w:ascii="Arial" w:hAnsi="Arial" w:cs="Arial"/>
        </w:rPr>
        <w:footnoteRef/>
      </w:r>
      <w:r w:rsidRPr="004A5797">
        <w:rPr>
          <w:rFonts w:ascii="Arial" w:hAnsi="Arial" w:cs="Arial"/>
        </w:rPr>
        <w:t xml:space="preserve"> </w:t>
      </w:r>
      <w:r>
        <w:rPr>
          <w:rFonts w:ascii="Arial" w:hAnsi="Arial" w:cs="Arial"/>
        </w:rPr>
        <w:t>University of Wales Aberystwyth, University of Bangor, University of Birmingham, Bournemouth University, University of Brighton, Brunel University, Cardiff University, University of Central Lancashire, University of Chester, De Montfort University, University of Derby, Durham University, University of East London, University of Essex, University of Exeter, University of Glamorgan, University of Gloucestershire, University of Hertfordshire, University of Huddersfield, Keele University, Kingston University, University of Leeds, University of Liverpool, University of Manchester, Open University, Oxford University, University of Plymouth, Queen’s University Belfast, Sheffield Hallam University, University of Sunderland, University of Ulster, University of Warwick, University of the West of England, University of Aberdeen, University of Glasgow, University of Paisley and University of Stirling</w:t>
      </w:r>
    </w:p>
  </w:footnote>
  <w:footnote w:id="59">
    <w:p w:rsidR="00E6534A" w:rsidRDefault="00E6534A" w:rsidP="00F43A6C">
      <w:pPr>
        <w:pStyle w:val="FootnoteText"/>
        <w:jc w:val="both"/>
      </w:pPr>
      <w:r w:rsidRPr="004A5797">
        <w:rPr>
          <w:rStyle w:val="FootnoteReference"/>
          <w:rFonts w:ascii="Arial" w:hAnsi="Arial" w:cs="Arial"/>
        </w:rPr>
        <w:footnoteRef/>
      </w:r>
      <w:r w:rsidRPr="004A5797">
        <w:rPr>
          <w:rFonts w:ascii="Arial" w:hAnsi="Arial" w:cs="Arial"/>
        </w:rPr>
        <w:t xml:space="preserve"> </w:t>
      </w:r>
      <w:r>
        <w:rPr>
          <w:rFonts w:ascii="Arial" w:hAnsi="Arial" w:cs="Arial"/>
        </w:rPr>
        <w:t>Bournemouth University, Brunel University, College of Law, University of Glamorgan, University of Hertfordshire, Keele University, Leeds Metropolitan University, Northumbria University, Oxford Brookes University, University of Sussex, Swansea University, Thames Valley University and University of the West of England</w:t>
      </w:r>
    </w:p>
  </w:footnote>
  <w:footnote w:id="60">
    <w:p w:rsidR="00A346E4" w:rsidRPr="00A346E4" w:rsidRDefault="00A346E4" w:rsidP="00A346E4">
      <w:pPr>
        <w:pStyle w:val="FootnoteText"/>
        <w:jc w:val="both"/>
        <w:rPr>
          <w:rFonts w:ascii="Arial" w:hAnsi="Arial" w:cs="Arial"/>
        </w:rPr>
      </w:pPr>
      <w:r w:rsidRPr="00A346E4">
        <w:rPr>
          <w:rStyle w:val="FootnoteReference"/>
          <w:rFonts w:ascii="Arial" w:hAnsi="Arial" w:cs="Arial"/>
        </w:rPr>
        <w:footnoteRef/>
      </w:r>
      <w:r w:rsidRPr="00A346E4">
        <w:rPr>
          <w:rFonts w:ascii="Arial" w:hAnsi="Arial" w:cs="Arial"/>
        </w:rPr>
        <w:t xml:space="preserve"> </w:t>
      </w:r>
      <w:r>
        <w:rPr>
          <w:rFonts w:ascii="Arial" w:hAnsi="Arial" w:cs="Arial"/>
        </w:rPr>
        <w:t>This is the only part of this report in which any comparison is made between pre and post 92 universities though as we stated in section 1.12 no weighting is attached to this comparison.</w:t>
      </w:r>
    </w:p>
  </w:footnote>
  <w:footnote w:id="61">
    <w:p w:rsidR="00E6534A" w:rsidRPr="002D45D8" w:rsidRDefault="00E6534A" w:rsidP="00F43A6C">
      <w:pPr>
        <w:pStyle w:val="FootnoteText"/>
        <w:jc w:val="both"/>
        <w:rPr>
          <w:rFonts w:ascii="Arial" w:hAnsi="Arial" w:cs="Arial"/>
        </w:rPr>
      </w:pPr>
      <w:r w:rsidRPr="002D45D8">
        <w:rPr>
          <w:rStyle w:val="FootnoteReference"/>
          <w:rFonts w:ascii="Arial" w:hAnsi="Arial" w:cs="Arial"/>
        </w:rPr>
        <w:footnoteRef/>
      </w:r>
      <w:r w:rsidRPr="002D45D8">
        <w:rPr>
          <w:rFonts w:ascii="Arial" w:hAnsi="Arial" w:cs="Arial"/>
        </w:rPr>
        <w:t xml:space="preserve"> C McGlynn, ‘Women, Representation and the Legal Academy’ (1999) 19 Legal Studies 68 at 75</w:t>
      </w:r>
    </w:p>
  </w:footnote>
  <w:footnote w:id="62">
    <w:p w:rsidR="00E6534A" w:rsidRPr="002D45D8" w:rsidRDefault="00E6534A" w:rsidP="00F43A6C">
      <w:pPr>
        <w:pStyle w:val="FootnoteText"/>
        <w:jc w:val="both"/>
        <w:rPr>
          <w:rFonts w:ascii="Arial" w:hAnsi="Arial" w:cs="Arial"/>
        </w:rPr>
      </w:pPr>
      <w:r w:rsidRPr="002D45D8">
        <w:rPr>
          <w:rStyle w:val="FootnoteReference"/>
          <w:rFonts w:ascii="Arial" w:hAnsi="Arial" w:cs="Arial"/>
        </w:rPr>
        <w:footnoteRef/>
      </w:r>
      <w:r w:rsidRPr="002D45D8">
        <w:rPr>
          <w:rFonts w:ascii="Arial" w:hAnsi="Arial" w:cs="Arial"/>
        </w:rPr>
        <w:t xml:space="preserve"> Ibid. at 76</w:t>
      </w:r>
    </w:p>
  </w:footnote>
  <w:footnote w:id="63">
    <w:p w:rsidR="00E6534A" w:rsidRPr="002D45D8" w:rsidRDefault="00E6534A" w:rsidP="00F43A6C">
      <w:pPr>
        <w:pStyle w:val="FootnoteText"/>
        <w:jc w:val="both"/>
      </w:pPr>
      <w:r w:rsidRPr="002D45D8">
        <w:rPr>
          <w:rStyle w:val="FootnoteReference"/>
          <w:rFonts w:ascii="Arial" w:hAnsi="Arial" w:cs="Arial"/>
        </w:rPr>
        <w:footnoteRef/>
      </w:r>
      <w:r w:rsidRPr="002D45D8">
        <w:rPr>
          <w:rFonts w:ascii="Arial" w:hAnsi="Arial" w:cs="Arial"/>
        </w:rPr>
        <w:t xml:space="preserve"> C Wells, ‘</w:t>
      </w:r>
      <w:r w:rsidRPr="002D45D8">
        <w:rPr>
          <w:rFonts w:ascii="Arial" w:hAnsi="Arial" w:cs="Arial"/>
          <w:lang w:eastAsia="en-GB"/>
        </w:rPr>
        <w:t>Working out Women in Law Schools’ (2001) 21 Legal Studies 116</w:t>
      </w:r>
      <w:r>
        <w:rPr>
          <w:rFonts w:ascii="Arial" w:hAnsi="Arial" w:cs="Arial"/>
          <w:lang w:eastAsia="en-GB"/>
        </w:rPr>
        <w:t xml:space="preserve"> at 122</w:t>
      </w:r>
    </w:p>
  </w:footnote>
  <w:footnote w:id="64">
    <w:p w:rsidR="00E6534A" w:rsidRPr="001B026E" w:rsidRDefault="00E6534A" w:rsidP="00E03B54">
      <w:pPr>
        <w:pStyle w:val="FootnoteText"/>
        <w:jc w:val="both"/>
        <w:rPr>
          <w:rFonts w:ascii="Arial" w:hAnsi="Arial" w:cs="Arial"/>
        </w:rPr>
      </w:pPr>
      <w:r w:rsidRPr="001B026E">
        <w:rPr>
          <w:rStyle w:val="FootnoteReference"/>
          <w:rFonts w:ascii="Arial" w:hAnsi="Arial" w:cs="Arial"/>
        </w:rPr>
        <w:footnoteRef/>
      </w:r>
      <w:r>
        <w:rPr>
          <w:rFonts w:ascii="Arial" w:hAnsi="Arial" w:cs="Arial"/>
        </w:rPr>
        <w:t xml:space="preserve"> Thames Valley</w:t>
      </w:r>
      <w:r w:rsidRPr="001B026E">
        <w:rPr>
          <w:rFonts w:ascii="Arial" w:hAnsi="Arial" w:cs="Arial"/>
        </w:rPr>
        <w:t xml:space="preserve"> </w:t>
      </w:r>
      <w:r>
        <w:rPr>
          <w:rFonts w:ascii="Arial" w:hAnsi="Arial" w:cs="Arial"/>
        </w:rPr>
        <w:t xml:space="preserve">(7) </w:t>
      </w:r>
      <w:r w:rsidRPr="001B026E">
        <w:rPr>
          <w:rFonts w:ascii="Arial" w:hAnsi="Arial" w:cs="Arial"/>
        </w:rPr>
        <w:t>and Swansea</w:t>
      </w:r>
      <w:r>
        <w:rPr>
          <w:rFonts w:ascii="Arial" w:hAnsi="Arial" w:cs="Arial"/>
        </w:rPr>
        <w:t xml:space="preserve"> (8)</w:t>
      </w:r>
    </w:p>
  </w:footnote>
  <w:footnote w:id="65">
    <w:p w:rsidR="00E6534A" w:rsidRPr="001B026E" w:rsidRDefault="00E6534A" w:rsidP="00E03B54">
      <w:pPr>
        <w:pStyle w:val="FootnoteText"/>
        <w:jc w:val="both"/>
        <w:rPr>
          <w:rFonts w:ascii="Arial" w:hAnsi="Arial" w:cs="Arial"/>
        </w:rPr>
      </w:pPr>
      <w:r w:rsidRPr="001B026E">
        <w:rPr>
          <w:rStyle w:val="FootnoteReference"/>
          <w:rFonts w:ascii="Arial" w:hAnsi="Arial" w:cs="Arial"/>
        </w:rPr>
        <w:footnoteRef/>
      </w:r>
      <w:r w:rsidRPr="001B026E">
        <w:rPr>
          <w:rFonts w:ascii="Arial" w:hAnsi="Arial" w:cs="Arial"/>
        </w:rPr>
        <w:t xml:space="preserve"> With the exception of a few institutions which have much l</w:t>
      </w:r>
      <w:r>
        <w:rPr>
          <w:rFonts w:ascii="Arial" w:hAnsi="Arial" w:cs="Arial"/>
        </w:rPr>
        <w:t>arger EU law teams: Bournemouth (</w:t>
      </w:r>
      <w:r w:rsidRPr="001B026E">
        <w:rPr>
          <w:rFonts w:ascii="Arial" w:hAnsi="Arial" w:cs="Arial"/>
        </w:rPr>
        <w:t>17</w:t>
      </w:r>
      <w:r>
        <w:rPr>
          <w:rFonts w:ascii="Arial" w:hAnsi="Arial" w:cs="Arial"/>
        </w:rPr>
        <w:t>); Durham</w:t>
      </w:r>
      <w:r w:rsidRPr="001B026E">
        <w:rPr>
          <w:rFonts w:ascii="Arial" w:hAnsi="Arial" w:cs="Arial"/>
        </w:rPr>
        <w:t xml:space="preserve"> </w:t>
      </w:r>
      <w:r>
        <w:rPr>
          <w:rFonts w:ascii="Arial" w:hAnsi="Arial" w:cs="Arial"/>
        </w:rPr>
        <w:t>(</w:t>
      </w:r>
      <w:r w:rsidRPr="001B026E">
        <w:rPr>
          <w:rFonts w:ascii="Arial" w:hAnsi="Arial" w:cs="Arial"/>
        </w:rPr>
        <w:t>9</w:t>
      </w:r>
      <w:r>
        <w:rPr>
          <w:rFonts w:ascii="Arial" w:hAnsi="Arial" w:cs="Arial"/>
        </w:rPr>
        <w:t>); Stirling (11), and Sunderland (11)</w:t>
      </w:r>
    </w:p>
  </w:footnote>
  <w:footnote w:id="66">
    <w:p w:rsidR="00E6534A" w:rsidRPr="001E2EB0" w:rsidRDefault="00E6534A" w:rsidP="00E03B54">
      <w:pPr>
        <w:pStyle w:val="FootnoteText"/>
        <w:jc w:val="both"/>
        <w:rPr>
          <w:rFonts w:ascii="Arial" w:hAnsi="Arial" w:cs="Arial"/>
        </w:rPr>
      </w:pPr>
      <w:r>
        <w:rPr>
          <w:rStyle w:val="FootnoteReference"/>
        </w:rPr>
        <w:footnoteRef/>
      </w:r>
      <w:r w:rsidRPr="007337FA">
        <w:t xml:space="preserve"> </w:t>
      </w:r>
      <w:r w:rsidRPr="001E2EB0">
        <w:rPr>
          <w:rFonts w:ascii="Arial" w:hAnsi="Arial" w:cs="Arial"/>
        </w:rPr>
        <w:t>From the coming into force of the Lisbon Treaty</w:t>
      </w:r>
      <w:r>
        <w:rPr>
          <w:rFonts w:ascii="Arial" w:hAnsi="Arial" w:cs="Arial"/>
        </w:rPr>
        <w:t xml:space="preserve"> on 1 December 2009, the title “EC L</w:t>
      </w:r>
      <w:r w:rsidRPr="001E2EB0">
        <w:rPr>
          <w:rFonts w:ascii="Arial" w:hAnsi="Arial" w:cs="Arial"/>
        </w:rPr>
        <w:t xml:space="preserve">aw” </w:t>
      </w:r>
      <w:r>
        <w:rPr>
          <w:rFonts w:ascii="Arial" w:hAnsi="Arial" w:cs="Arial"/>
        </w:rPr>
        <w:t>or “European Community L</w:t>
      </w:r>
      <w:r w:rsidRPr="001E2EB0">
        <w:rPr>
          <w:rFonts w:ascii="Arial" w:hAnsi="Arial" w:cs="Arial"/>
        </w:rPr>
        <w:t>aw” should logically cease to be used.</w:t>
      </w:r>
    </w:p>
  </w:footnote>
  <w:footnote w:id="67">
    <w:p w:rsidR="00E6534A" w:rsidRPr="00494216" w:rsidRDefault="00E6534A" w:rsidP="00E03B54">
      <w:pPr>
        <w:jc w:val="both"/>
        <w:rPr>
          <w:rFonts w:ascii="Arial" w:hAnsi="Arial" w:cs="Arial"/>
          <w:sz w:val="24"/>
          <w:szCs w:val="24"/>
        </w:rPr>
      </w:pPr>
      <w:r>
        <w:rPr>
          <w:rStyle w:val="FootnoteReference"/>
        </w:rPr>
        <w:footnoteRef/>
      </w:r>
      <w:r w:rsidRPr="00494216">
        <w:t xml:space="preserve"> </w:t>
      </w:r>
      <w:r w:rsidRPr="00494216">
        <w:rPr>
          <w:rFonts w:ascii="Arial" w:hAnsi="Arial" w:cs="Arial"/>
          <w:sz w:val="20"/>
          <w:szCs w:val="20"/>
        </w:rPr>
        <w:t>The opt</w:t>
      </w:r>
      <w:r>
        <w:rPr>
          <w:rFonts w:ascii="Arial" w:hAnsi="Arial" w:cs="Arial"/>
          <w:sz w:val="20"/>
          <w:szCs w:val="20"/>
        </w:rPr>
        <w:t>ional module labelled ‘Another A</w:t>
      </w:r>
      <w:r w:rsidRPr="00494216">
        <w:rPr>
          <w:rFonts w:ascii="Arial" w:hAnsi="Arial" w:cs="Arial"/>
          <w:sz w:val="20"/>
          <w:szCs w:val="20"/>
        </w:rPr>
        <w:t>rea of Law</w:t>
      </w:r>
      <w:r>
        <w:rPr>
          <w:rFonts w:ascii="Arial" w:hAnsi="Arial" w:cs="Arial"/>
          <w:sz w:val="20"/>
          <w:szCs w:val="20"/>
        </w:rPr>
        <w:t>’ could include elements of EU L</w:t>
      </w:r>
      <w:r w:rsidRPr="00494216">
        <w:rPr>
          <w:rFonts w:ascii="Arial" w:hAnsi="Arial" w:cs="Arial"/>
          <w:sz w:val="20"/>
          <w:szCs w:val="20"/>
        </w:rPr>
        <w:t>aw</w:t>
      </w:r>
      <w:r>
        <w:rPr>
          <w:rFonts w:ascii="Arial" w:hAnsi="Arial" w:cs="Arial"/>
          <w:sz w:val="20"/>
          <w:szCs w:val="20"/>
        </w:rPr>
        <w:t xml:space="preserve"> (environmental and intellectual property law were mentioned)</w:t>
      </w:r>
      <w:r w:rsidRPr="00494216">
        <w:rPr>
          <w:rFonts w:ascii="Arial" w:hAnsi="Arial" w:cs="Arial"/>
          <w:sz w:val="20"/>
          <w:szCs w:val="20"/>
        </w:rPr>
        <w:t xml:space="preserve">. Some modules which appear on the list of modules offered </w:t>
      </w:r>
      <w:r>
        <w:rPr>
          <w:rFonts w:ascii="Arial" w:hAnsi="Arial" w:cs="Arial"/>
          <w:sz w:val="20"/>
          <w:szCs w:val="20"/>
        </w:rPr>
        <w:t>in this option</w:t>
      </w:r>
      <w:r w:rsidRPr="00494216">
        <w:rPr>
          <w:rFonts w:ascii="Arial" w:hAnsi="Arial" w:cs="Arial"/>
          <w:sz w:val="20"/>
          <w:szCs w:val="20"/>
        </w:rPr>
        <w:t xml:space="preserve"> include</w:t>
      </w:r>
      <w:r>
        <w:rPr>
          <w:rFonts w:ascii="Arial" w:hAnsi="Arial" w:cs="Arial"/>
          <w:sz w:val="20"/>
          <w:szCs w:val="20"/>
        </w:rPr>
        <w:t>d EU L</w:t>
      </w:r>
      <w:r w:rsidRPr="00494216">
        <w:rPr>
          <w:rFonts w:ascii="Arial" w:hAnsi="Arial" w:cs="Arial"/>
          <w:sz w:val="20"/>
          <w:szCs w:val="20"/>
        </w:rPr>
        <w:t>aw but different modu</w:t>
      </w:r>
      <w:r>
        <w:rPr>
          <w:rFonts w:ascii="Arial" w:hAnsi="Arial" w:cs="Arial"/>
          <w:sz w:val="20"/>
          <w:szCs w:val="20"/>
        </w:rPr>
        <w:t>les we</w:t>
      </w:r>
      <w:r w:rsidRPr="00494216">
        <w:rPr>
          <w:rFonts w:ascii="Arial" w:hAnsi="Arial" w:cs="Arial"/>
          <w:sz w:val="20"/>
          <w:szCs w:val="20"/>
        </w:rPr>
        <w:t>re offered each year.</w:t>
      </w:r>
    </w:p>
    <w:p w:rsidR="00E6534A" w:rsidRPr="00494216" w:rsidRDefault="00E6534A" w:rsidP="00E03B54">
      <w:pPr>
        <w:pStyle w:val="FootnoteText"/>
      </w:pPr>
    </w:p>
  </w:footnote>
  <w:footnote w:id="68">
    <w:p w:rsidR="00E6534A" w:rsidRPr="00D20FA7" w:rsidRDefault="00E6534A" w:rsidP="00E03B54">
      <w:pPr>
        <w:pStyle w:val="FootnoteText"/>
        <w:jc w:val="both"/>
        <w:rPr>
          <w:rFonts w:ascii="Arial" w:hAnsi="Arial" w:cs="Arial"/>
        </w:rPr>
      </w:pPr>
      <w:r w:rsidRPr="00D20FA7">
        <w:rPr>
          <w:rStyle w:val="FootnoteReference"/>
          <w:rFonts w:ascii="Arial" w:hAnsi="Arial" w:cs="Arial"/>
        </w:rPr>
        <w:footnoteRef/>
      </w:r>
      <w:r w:rsidRPr="00D20FA7">
        <w:rPr>
          <w:rFonts w:ascii="Arial" w:hAnsi="Arial" w:cs="Arial"/>
        </w:rPr>
        <w:t xml:space="preserve"> Law of European Integration (year 1) and Law of the Single European Market (year 2) (Durham)</w:t>
      </w:r>
      <w:r>
        <w:rPr>
          <w:rFonts w:ascii="Arial" w:hAnsi="Arial" w:cs="Arial"/>
        </w:rPr>
        <w:t xml:space="preserve">; EU Law </w:t>
      </w:r>
      <w:r w:rsidRPr="00A346E4">
        <w:rPr>
          <w:rFonts w:ascii="Arial" w:hAnsi="Arial" w:cs="Arial"/>
        </w:rPr>
        <w:t>(Level 1) (Ulster)</w:t>
      </w:r>
    </w:p>
  </w:footnote>
  <w:footnote w:id="69">
    <w:p w:rsidR="00E6534A" w:rsidRPr="00D20FA7" w:rsidRDefault="00E6534A" w:rsidP="00E03B54">
      <w:pPr>
        <w:pStyle w:val="FootnoteText"/>
        <w:jc w:val="both"/>
        <w:rPr>
          <w:rFonts w:ascii="Arial" w:hAnsi="Arial" w:cs="Arial"/>
        </w:rPr>
      </w:pPr>
      <w:r w:rsidRPr="00D20FA7">
        <w:rPr>
          <w:rStyle w:val="FootnoteReference"/>
          <w:rFonts w:ascii="Arial" w:hAnsi="Arial" w:cs="Arial"/>
        </w:rPr>
        <w:footnoteRef/>
      </w:r>
      <w:r w:rsidRPr="00D20FA7">
        <w:rPr>
          <w:rFonts w:ascii="Arial" w:hAnsi="Arial" w:cs="Arial"/>
        </w:rPr>
        <w:t xml:space="preserve"> The course might be split into two semester courses such as Foundations of the European Union Law </w:t>
      </w:r>
      <w:r>
        <w:rPr>
          <w:rFonts w:ascii="Arial" w:hAnsi="Arial" w:cs="Arial"/>
        </w:rPr>
        <w:t xml:space="preserve">(or EU law and Institutions) </w:t>
      </w:r>
      <w:r w:rsidRPr="00D20FA7">
        <w:rPr>
          <w:rFonts w:ascii="Arial" w:hAnsi="Arial" w:cs="Arial"/>
        </w:rPr>
        <w:t>and European Substantive law (</w:t>
      </w:r>
      <w:r>
        <w:rPr>
          <w:rFonts w:ascii="Arial" w:hAnsi="Arial" w:cs="Arial"/>
        </w:rPr>
        <w:t xml:space="preserve">Aberdeen, </w:t>
      </w:r>
      <w:r w:rsidRPr="00D20FA7">
        <w:rPr>
          <w:rFonts w:ascii="Arial" w:hAnsi="Arial" w:cs="Arial"/>
        </w:rPr>
        <w:t>Queen’s University, Belfast)</w:t>
      </w:r>
      <w:r>
        <w:rPr>
          <w:rFonts w:ascii="Arial" w:hAnsi="Arial" w:cs="Arial"/>
        </w:rPr>
        <w:t xml:space="preserve"> or EU Law I and EU Law II (Kingston), Law of the EU and EC Trade Law (Derby); EU I and EU II (Liverpool)</w:t>
      </w:r>
      <w:r w:rsidRPr="00D20FA7">
        <w:rPr>
          <w:rFonts w:ascii="Arial" w:hAnsi="Arial" w:cs="Arial"/>
        </w:rPr>
        <w:t>.</w:t>
      </w:r>
      <w:r>
        <w:rPr>
          <w:rFonts w:ascii="Arial" w:hAnsi="Arial" w:cs="Arial"/>
        </w:rPr>
        <w:t xml:space="preserve"> Others cover the course in 10 weeks (Stirling), 11 (Manchester), 12 (Brunel, Keele, Ulster), 18 (Bangor) </w:t>
      </w:r>
    </w:p>
  </w:footnote>
  <w:footnote w:id="70">
    <w:p w:rsidR="00E6534A" w:rsidRPr="00F65E2F" w:rsidRDefault="00E6534A" w:rsidP="00327E15">
      <w:pPr>
        <w:pStyle w:val="FootnoteText"/>
        <w:jc w:val="both"/>
        <w:rPr>
          <w:rFonts w:ascii="Arial" w:hAnsi="Arial" w:cs="Arial"/>
        </w:rPr>
      </w:pPr>
      <w:r w:rsidRPr="00F65E2F">
        <w:rPr>
          <w:rStyle w:val="FootnoteReference"/>
          <w:rFonts w:ascii="Arial" w:hAnsi="Arial" w:cs="Arial"/>
        </w:rPr>
        <w:footnoteRef/>
      </w:r>
      <w:r w:rsidRPr="00F65E2F">
        <w:rPr>
          <w:rFonts w:ascii="Arial" w:hAnsi="Arial" w:cs="Arial"/>
        </w:rPr>
        <w:t xml:space="preserve"> With the exception of the Open  University’s Centre of Law with 1200 students on their </w:t>
      </w:r>
      <w:r>
        <w:rPr>
          <w:rFonts w:ascii="Arial" w:hAnsi="Arial" w:cs="Arial"/>
        </w:rPr>
        <w:t>U</w:t>
      </w:r>
      <w:r w:rsidRPr="00F65E2F">
        <w:rPr>
          <w:rFonts w:ascii="Arial" w:hAnsi="Arial" w:cs="Arial"/>
        </w:rPr>
        <w:t>nderstanding</w:t>
      </w:r>
      <w:r>
        <w:rPr>
          <w:rFonts w:ascii="Arial" w:hAnsi="Arial" w:cs="Arial"/>
        </w:rPr>
        <w:t xml:space="preserve"> L</w:t>
      </w:r>
      <w:r w:rsidRPr="00F65E2F">
        <w:rPr>
          <w:rFonts w:ascii="Arial" w:hAnsi="Arial" w:cs="Arial"/>
        </w:rPr>
        <w:t>aw module</w:t>
      </w:r>
    </w:p>
  </w:footnote>
  <w:footnote w:id="71">
    <w:p w:rsidR="00E6534A" w:rsidRPr="00D20FA7" w:rsidRDefault="00E6534A" w:rsidP="00E03B54">
      <w:pPr>
        <w:pStyle w:val="FootnoteText"/>
        <w:jc w:val="both"/>
        <w:rPr>
          <w:rFonts w:ascii="Arial" w:hAnsi="Arial" w:cs="Arial"/>
        </w:rPr>
      </w:pPr>
      <w:r w:rsidRPr="00D20FA7">
        <w:rPr>
          <w:rStyle w:val="FootnoteReference"/>
          <w:rFonts w:ascii="Arial" w:hAnsi="Arial" w:cs="Arial"/>
        </w:rPr>
        <w:footnoteRef/>
      </w:r>
      <w:r w:rsidRPr="00D20FA7">
        <w:rPr>
          <w:rFonts w:ascii="Arial" w:hAnsi="Arial" w:cs="Arial"/>
        </w:rPr>
        <w:t xml:space="preserve"> </w:t>
      </w:r>
      <w:r>
        <w:rPr>
          <w:rFonts w:ascii="Arial" w:hAnsi="Arial" w:cs="Arial"/>
        </w:rPr>
        <w:t xml:space="preserve">Legal Institutions and Method (Brighton); Lawyers’ Skills (Central Lancashire); </w:t>
      </w:r>
      <w:r w:rsidRPr="00D20FA7">
        <w:rPr>
          <w:rFonts w:ascii="Arial" w:hAnsi="Arial" w:cs="Arial"/>
        </w:rPr>
        <w:t>ELS (</w:t>
      </w:r>
      <w:r>
        <w:rPr>
          <w:rFonts w:ascii="Arial" w:hAnsi="Arial" w:cs="Arial"/>
        </w:rPr>
        <w:t>Chester); Public Law I &amp; II</w:t>
      </w:r>
      <w:r w:rsidRPr="00D20FA7">
        <w:rPr>
          <w:rFonts w:ascii="Arial" w:hAnsi="Arial" w:cs="Arial"/>
        </w:rPr>
        <w:t xml:space="preserve"> (University of Derby); Law of the European Integration (University of Durham); SILS (Glasgow); Learning and Personal Development (Glou</w:t>
      </w:r>
      <w:r>
        <w:rPr>
          <w:rFonts w:ascii="Arial" w:hAnsi="Arial" w:cs="Arial"/>
        </w:rPr>
        <w:t>cestershire); Legal M</w:t>
      </w:r>
      <w:r w:rsidRPr="00D20FA7">
        <w:rPr>
          <w:rFonts w:ascii="Arial" w:hAnsi="Arial" w:cs="Arial"/>
        </w:rPr>
        <w:t>ethod or Introduc</w:t>
      </w:r>
      <w:r>
        <w:rPr>
          <w:rFonts w:ascii="Arial" w:hAnsi="Arial" w:cs="Arial"/>
        </w:rPr>
        <w:t>tion to English Law and Public L</w:t>
      </w:r>
      <w:r w:rsidRPr="00D20FA7">
        <w:rPr>
          <w:rFonts w:ascii="Arial" w:hAnsi="Arial" w:cs="Arial"/>
        </w:rPr>
        <w:t>aw I or Constitutional Law (Manchester);  Introductory Scots Law (University of Paisley); Foundations of the European Union Law (Queen’s university, Belfast)</w:t>
      </w:r>
      <w:r>
        <w:rPr>
          <w:rFonts w:ascii="Arial" w:hAnsi="Arial" w:cs="Arial"/>
        </w:rPr>
        <w:t>, Introduction to law (Ulster)</w:t>
      </w:r>
    </w:p>
  </w:footnote>
  <w:footnote w:id="72">
    <w:p w:rsidR="00E6534A" w:rsidRPr="00396559" w:rsidRDefault="00E6534A" w:rsidP="00E03B54">
      <w:pPr>
        <w:pStyle w:val="FootnoteText"/>
        <w:jc w:val="both"/>
        <w:rPr>
          <w:rFonts w:ascii="Arial" w:hAnsi="Arial" w:cs="Arial"/>
        </w:rPr>
      </w:pPr>
      <w:r w:rsidRPr="00396559">
        <w:rPr>
          <w:rStyle w:val="FootnoteReference"/>
          <w:rFonts w:ascii="Arial" w:hAnsi="Arial" w:cs="Arial"/>
        </w:rPr>
        <w:footnoteRef/>
      </w:r>
      <w:r w:rsidRPr="00396559">
        <w:rPr>
          <w:rFonts w:ascii="Arial" w:hAnsi="Arial" w:cs="Arial"/>
        </w:rPr>
        <w:t xml:space="preserve"> Bournemouth (however no longer the case since academic year 2008-2009), Brunel, Essex, </w:t>
      </w:r>
      <w:r>
        <w:rPr>
          <w:rFonts w:ascii="Arial" w:hAnsi="Arial" w:cs="Arial"/>
        </w:rPr>
        <w:t>Keele, Sussex, Swansea and Ulster</w:t>
      </w:r>
    </w:p>
  </w:footnote>
  <w:footnote w:id="73">
    <w:p w:rsidR="00E6534A" w:rsidRPr="00D20FA7" w:rsidRDefault="00E6534A" w:rsidP="00E03B54">
      <w:pPr>
        <w:pStyle w:val="FootnoteText"/>
        <w:jc w:val="both"/>
        <w:rPr>
          <w:rFonts w:ascii="Arial" w:hAnsi="Arial" w:cs="Arial"/>
        </w:rPr>
      </w:pPr>
      <w:r w:rsidRPr="00D20FA7">
        <w:rPr>
          <w:rStyle w:val="FootnoteReference"/>
          <w:rFonts w:ascii="Arial" w:hAnsi="Arial" w:cs="Arial"/>
        </w:rPr>
        <w:footnoteRef/>
      </w:r>
      <w:r>
        <w:rPr>
          <w:rFonts w:ascii="Arial" w:hAnsi="Arial" w:cs="Arial"/>
        </w:rPr>
        <w:t xml:space="preserve"> There were 7 missing answers, which could be interpreted as an indication that</w:t>
      </w:r>
      <w:r w:rsidRPr="00D20FA7">
        <w:rPr>
          <w:rFonts w:ascii="Arial" w:hAnsi="Arial" w:cs="Arial"/>
        </w:rPr>
        <w:t xml:space="preserve"> the universities </w:t>
      </w:r>
      <w:r>
        <w:rPr>
          <w:rFonts w:ascii="Arial" w:hAnsi="Arial" w:cs="Arial"/>
        </w:rPr>
        <w:t xml:space="preserve">concerned are </w:t>
      </w:r>
      <w:r w:rsidRPr="00D20FA7">
        <w:rPr>
          <w:rFonts w:ascii="Arial" w:hAnsi="Arial" w:cs="Arial"/>
        </w:rPr>
        <w:t>not running both courses.</w:t>
      </w:r>
      <w:r>
        <w:rPr>
          <w:rFonts w:ascii="Arial" w:hAnsi="Arial" w:cs="Arial"/>
        </w:rPr>
        <w:t xml:space="preserve"> This interpretation was confirmed by an online check of law courses on offer at the institutions concerned</w:t>
      </w:r>
    </w:p>
  </w:footnote>
  <w:footnote w:id="74">
    <w:p w:rsidR="00E6534A" w:rsidRPr="003B1506" w:rsidRDefault="00E6534A" w:rsidP="00E03B54">
      <w:pPr>
        <w:pStyle w:val="FootnoteText"/>
        <w:jc w:val="both"/>
        <w:rPr>
          <w:rFonts w:ascii="Arial" w:hAnsi="Arial" w:cs="Arial"/>
        </w:rPr>
      </w:pPr>
      <w:r>
        <w:rPr>
          <w:rStyle w:val="FootnoteReference"/>
        </w:rPr>
        <w:footnoteRef/>
      </w:r>
      <w:r w:rsidRPr="00095B00">
        <w:t xml:space="preserve"> </w:t>
      </w:r>
      <w:r w:rsidRPr="003B1506">
        <w:rPr>
          <w:rFonts w:ascii="Arial" w:hAnsi="Arial" w:cs="Arial"/>
        </w:rPr>
        <w:t>Only 24 QLD providers (i.e. a third) were able to evaluate in percentages the proportion for each area of the overall course content. Only a general impression can be drawn from the figures provided. Generally, the main areas in institutional law and substantive law represented between 5 and 10 % of the overall with variatio</w:t>
      </w:r>
      <w:r>
        <w:rPr>
          <w:rFonts w:ascii="Arial" w:hAnsi="Arial" w:cs="Arial"/>
        </w:rPr>
        <w:t xml:space="preserve">ns of </w:t>
      </w:r>
      <w:r w:rsidRPr="003B1506">
        <w:rPr>
          <w:rFonts w:ascii="Arial" w:hAnsi="Arial" w:cs="Arial"/>
        </w:rPr>
        <w:t xml:space="preserve">+ or – 2.5 to 5%. </w:t>
      </w:r>
    </w:p>
  </w:footnote>
  <w:footnote w:id="75">
    <w:p w:rsidR="00E6534A" w:rsidRPr="00E6684F" w:rsidRDefault="00E6534A" w:rsidP="00E03B54">
      <w:pPr>
        <w:pStyle w:val="FootnoteText"/>
        <w:jc w:val="both"/>
        <w:rPr>
          <w:rFonts w:ascii="Arial" w:hAnsi="Arial" w:cs="Arial"/>
        </w:rPr>
      </w:pPr>
      <w:r>
        <w:rPr>
          <w:rStyle w:val="FootnoteReference"/>
        </w:rPr>
        <w:footnoteRef/>
      </w:r>
      <w:r>
        <w:t xml:space="preserve"> </w:t>
      </w:r>
      <w:r>
        <w:rPr>
          <w:rFonts w:ascii="Arial" w:hAnsi="Arial" w:cs="Arial"/>
        </w:rPr>
        <w:t>Bangor (p</w:t>
      </w:r>
      <w:r w:rsidRPr="002C40CB">
        <w:rPr>
          <w:rFonts w:ascii="Arial" w:hAnsi="Arial" w:cs="Arial"/>
        </w:rPr>
        <w:t>ublic law);</w:t>
      </w:r>
      <w:r>
        <w:t xml:space="preserve"> </w:t>
      </w:r>
      <w:r>
        <w:rPr>
          <w:rFonts w:ascii="Arial" w:hAnsi="Arial" w:cs="Arial"/>
        </w:rPr>
        <w:t>Bournemouth CPE (c</w:t>
      </w:r>
      <w:r w:rsidRPr="00E6684F">
        <w:rPr>
          <w:rFonts w:ascii="Arial" w:hAnsi="Arial" w:cs="Arial"/>
        </w:rPr>
        <w:t>o</w:t>
      </w:r>
      <w:r>
        <w:rPr>
          <w:rFonts w:ascii="Arial" w:hAnsi="Arial" w:cs="Arial"/>
        </w:rPr>
        <w:t>nstitutional &amp; administrative law); Cardiff (public law; legal f</w:t>
      </w:r>
      <w:r w:rsidRPr="00E6684F">
        <w:rPr>
          <w:rFonts w:ascii="Arial" w:hAnsi="Arial" w:cs="Arial"/>
        </w:rPr>
        <w:t xml:space="preserve">oundations); </w:t>
      </w:r>
      <w:r>
        <w:rPr>
          <w:rFonts w:ascii="Arial" w:hAnsi="Arial" w:cs="Arial"/>
        </w:rPr>
        <w:t>Central Lancashire (public law); College of Law (public law); East London (constitutional &amp; administrative law); Glasgow (SISL and law &amp; government); Gloucestershire (p</w:t>
      </w:r>
      <w:r w:rsidRPr="00E6684F">
        <w:rPr>
          <w:rFonts w:ascii="Arial" w:hAnsi="Arial" w:cs="Arial"/>
        </w:rPr>
        <w:t>ublic law);</w:t>
      </w:r>
      <w:r>
        <w:rPr>
          <w:rFonts w:ascii="Arial" w:hAnsi="Arial" w:cs="Arial"/>
        </w:rPr>
        <w:t xml:space="preserve"> Northumbria CPE (p</w:t>
      </w:r>
      <w:r w:rsidRPr="00E6684F">
        <w:rPr>
          <w:rFonts w:ascii="Arial" w:hAnsi="Arial" w:cs="Arial"/>
        </w:rPr>
        <w:t xml:space="preserve">ublic law); </w:t>
      </w:r>
      <w:r>
        <w:rPr>
          <w:rFonts w:ascii="Arial" w:hAnsi="Arial" w:cs="Arial"/>
        </w:rPr>
        <w:t>Oxford (constitutional law); Paisley (c</w:t>
      </w:r>
      <w:r w:rsidRPr="00E6684F">
        <w:rPr>
          <w:rFonts w:ascii="Arial" w:hAnsi="Arial" w:cs="Arial"/>
        </w:rPr>
        <w:t>onstitutional law)</w:t>
      </w:r>
      <w:r>
        <w:rPr>
          <w:rFonts w:ascii="Arial" w:hAnsi="Arial" w:cs="Arial"/>
        </w:rPr>
        <w:t xml:space="preserve"> Plymouth (legal systems, constitutional and administrative law); Sunderland (constitutional &amp; a</w:t>
      </w:r>
      <w:r w:rsidRPr="00E6684F">
        <w:rPr>
          <w:rFonts w:ascii="Arial" w:hAnsi="Arial" w:cs="Arial"/>
        </w:rPr>
        <w:t xml:space="preserve">dministrative law); </w:t>
      </w:r>
      <w:r>
        <w:rPr>
          <w:rFonts w:ascii="Arial" w:hAnsi="Arial" w:cs="Arial"/>
        </w:rPr>
        <w:t>Sheffield Hallam (elements of law); Swansea CPE (p</w:t>
      </w:r>
      <w:r w:rsidRPr="00E6684F">
        <w:rPr>
          <w:rFonts w:ascii="Arial" w:hAnsi="Arial" w:cs="Arial"/>
        </w:rPr>
        <w:t xml:space="preserve">ublic law); </w:t>
      </w:r>
      <w:r>
        <w:rPr>
          <w:rFonts w:ascii="Arial" w:hAnsi="Arial" w:cs="Arial"/>
        </w:rPr>
        <w:t>Ulster (introduction to law; public law); UWE Bristol (public law I)</w:t>
      </w:r>
    </w:p>
  </w:footnote>
  <w:footnote w:id="76">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Pr>
          <w:rFonts w:ascii="Arial" w:hAnsi="Arial" w:cs="Arial"/>
        </w:rPr>
        <w:t xml:space="preserve"> Durham (law of single European market; EC &amp; UK c</w:t>
      </w:r>
      <w:r w:rsidRPr="00E6684F">
        <w:rPr>
          <w:rFonts w:ascii="Arial" w:hAnsi="Arial" w:cs="Arial"/>
        </w:rPr>
        <w:t xml:space="preserve">ompetition law); </w:t>
      </w:r>
      <w:r>
        <w:rPr>
          <w:rFonts w:ascii="Arial" w:hAnsi="Arial" w:cs="Arial"/>
        </w:rPr>
        <w:t>Glamorgan CPE (self-directed reading); Queen’s Belfast (EU s</w:t>
      </w:r>
      <w:r w:rsidRPr="00E6684F">
        <w:rPr>
          <w:rFonts w:ascii="Arial" w:hAnsi="Arial" w:cs="Arial"/>
        </w:rPr>
        <w:t xml:space="preserve">ubstantive law); </w:t>
      </w:r>
      <w:r>
        <w:rPr>
          <w:rFonts w:ascii="Arial" w:hAnsi="Arial" w:cs="Arial"/>
        </w:rPr>
        <w:t xml:space="preserve">Stirling (competition law); </w:t>
      </w:r>
      <w:r w:rsidRPr="00E6684F">
        <w:rPr>
          <w:rFonts w:ascii="Arial" w:hAnsi="Arial" w:cs="Arial"/>
        </w:rPr>
        <w:t xml:space="preserve">UWE </w:t>
      </w:r>
      <w:r>
        <w:rPr>
          <w:rFonts w:ascii="Arial" w:hAnsi="Arial" w:cs="Arial"/>
        </w:rPr>
        <w:t>Bristol (EU s</w:t>
      </w:r>
      <w:r w:rsidRPr="00E6684F">
        <w:rPr>
          <w:rFonts w:ascii="Arial" w:hAnsi="Arial" w:cs="Arial"/>
        </w:rPr>
        <w:t>ubstantive law)</w:t>
      </w:r>
      <w:r>
        <w:rPr>
          <w:rFonts w:ascii="Arial" w:hAnsi="Arial" w:cs="Arial"/>
        </w:rPr>
        <w:t>;</w:t>
      </w:r>
      <w:r w:rsidRPr="00175447">
        <w:rPr>
          <w:rFonts w:ascii="Arial" w:hAnsi="Arial" w:cs="Arial"/>
        </w:rPr>
        <w:t xml:space="preserve"> </w:t>
      </w:r>
      <w:r>
        <w:rPr>
          <w:rFonts w:ascii="Arial" w:hAnsi="Arial" w:cs="Arial"/>
        </w:rPr>
        <w:t>Warwick (law &amp; policies)</w:t>
      </w:r>
    </w:p>
  </w:footnote>
  <w:footnote w:id="77">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sidRPr="00E6684F">
        <w:rPr>
          <w:rFonts w:ascii="Arial" w:hAnsi="Arial" w:cs="Arial"/>
        </w:rPr>
        <w:t xml:space="preserve"> </w:t>
      </w:r>
      <w:r>
        <w:rPr>
          <w:rFonts w:ascii="Arial" w:hAnsi="Arial" w:cs="Arial"/>
        </w:rPr>
        <w:t>Aberystwyth (comparative law); College of Law (l</w:t>
      </w:r>
      <w:r w:rsidRPr="00E6684F">
        <w:rPr>
          <w:rFonts w:ascii="Arial" w:hAnsi="Arial" w:cs="Arial"/>
        </w:rPr>
        <w:t>e</w:t>
      </w:r>
      <w:r>
        <w:rPr>
          <w:rFonts w:ascii="Arial" w:hAnsi="Arial" w:cs="Arial"/>
        </w:rPr>
        <w:t xml:space="preserve">gal method); Exeter (Roman law, </w:t>
      </w:r>
      <w:r w:rsidRPr="00E6684F">
        <w:rPr>
          <w:rFonts w:ascii="Arial" w:hAnsi="Arial" w:cs="Arial"/>
        </w:rPr>
        <w:t>French l</w:t>
      </w:r>
      <w:r>
        <w:rPr>
          <w:rFonts w:ascii="Arial" w:hAnsi="Arial" w:cs="Arial"/>
        </w:rPr>
        <w:t>aw and German law); Glamorgan (legal systems); Liverpool (pervasive legal s</w:t>
      </w:r>
      <w:r w:rsidRPr="00E6684F">
        <w:rPr>
          <w:rFonts w:ascii="Arial" w:hAnsi="Arial" w:cs="Arial"/>
        </w:rPr>
        <w:t>kills)</w:t>
      </w:r>
      <w:r>
        <w:rPr>
          <w:rFonts w:ascii="Arial" w:hAnsi="Arial" w:cs="Arial"/>
        </w:rPr>
        <w:t>; Ulster (legal analysis)</w:t>
      </w:r>
    </w:p>
  </w:footnote>
  <w:footnote w:id="78">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sidRPr="00E6684F">
        <w:rPr>
          <w:rFonts w:ascii="Arial" w:hAnsi="Arial" w:cs="Arial"/>
        </w:rPr>
        <w:t xml:space="preserve"> Durham; Hertfordshire CPE; </w:t>
      </w:r>
      <w:r>
        <w:rPr>
          <w:rFonts w:ascii="Arial" w:hAnsi="Arial" w:cs="Arial"/>
        </w:rPr>
        <w:t xml:space="preserve">Leeds; </w:t>
      </w:r>
      <w:r w:rsidRPr="00E6684F">
        <w:rPr>
          <w:rFonts w:ascii="Arial" w:hAnsi="Arial" w:cs="Arial"/>
        </w:rPr>
        <w:t xml:space="preserve">Liverpool; </w:t>
      </w:r>
      <w:r>
        <w:rPr>
          <w:rFonts w:ascii="Arial" w:hAnsi="Arial" w:cs="Arial"/>
        </w:rPr>
        <w:t>Oxford; Stirling</w:t>
      </w:r>
      <w:r w:rsidRPr="00E6684F">
        <w:rPr>
          <w:rFonts w:ascii="Arial" w:hAnsi="Arial" w:cs="Arial"/>
        </w:rPr>
        <w:t xml:space="preserve">; </w:t>
      </w:r>
      <w:r>
        <w:rPr>
          <w:rFonts w:ascii="Arial" w:hAnsi="Arial" w:cs="Arial"/>
        </w:rPr>
        <w:t>Ulster; Warwick</w:t>
      </w:r>
    </w:p>
  </w:footnote>
  <w:footnote w:id="79">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sidRPr="00E6684F">
        <w:rPr>
          <w:rFonts w:ascii="Arial" w:hAnsi="Arial" w:cs="Arial"/>
        </w:rPr>
        <w:t xml:space="preserve"> </w:t>
      </w:r>
      <w:r>
        <w:rPr>
          <w:rFonts w:ascii="Arial" w:hAnsi="Arial" w:cs="Arial"/>
        </w:rPr>
        <w:t>Aberystwyth; Bournemouth QLD; Bournemouth</w:t>
      </w:r>
      <w:r w:rsidRPr="00E6684F">
        <w:rPr>
          <w:rFonts w:ascii="Arial" w:hAnsi="Arial" w:cs="Arial"/>
        </w:rPr>
        <w:t xml:space="preserve"> CPE</w:t>
      </w:r>
      <w:r>
        <w:rPr>
          <w:rFonts w:ascii="Arial" w:hAnsi="Arial" w:cs="Arial"/>
        </w:rPr>
        <w:t xml:space="preserve"> (another area of law); Chester; Durham (law of single European m</w:t>
      </w:r>
      <w:r w:rsidRPr="00E6684F">
        <w:rPr>
          <w:rFonts w:ascii="Arial" w:hAnsi="Arial" w:cs="Arial"/>
        </w:rPr>
        <w:t xml:space="preserve">arket); Exeter; Glamorgan; Gloucestershire; </w:t>
      </w:r>
      <w:r>
        <w:rPr>
          <w:rFonts w:ascii="Arial" w:hAnsi="Arial" w:cs="Arial"/>
        </w:rPr>
        <w:t xml:space="preserve">Leeds (IP 1 and IP 2); </w:t>
      </w:r>
      <w:r w:rsidRPr="00E6684F">
        <w:rPr>
          <w:rFonts w:ascii="Arial" w:hAnsi="Arial" w:cs="Arial"/>
        </w:rPr>
        <w:t xml:space="preserve">Liverpool; </w:t>
      </w:r>
      <w:r>
        <w:rPr>
          <w:rFonts w:ascii="Arial" w:hAnsi="Arial" w:cs="Arial"/>
        </w:rPr>
        <w:t xml:space="preserve">Oxford; </w:t>
      </w:r>
      <w:r w:rsidRPr="00E6684F">
        <w:rPr>
          <w:rFonts w:ascii="Arial" w:hAnsi="Arial" w:cs="Arial"/>
        </w:rPr>
        <w:t xml:space="preserve">Paisley; </w:t>
      </w:r>
      <w:r>
        <w:rPr>
          <w:rFonts w:ascii="Arial" w:hAnsi="Arial" w:cs="Arial"/>
        </w:rPr>
        <w:t xml:space="preserve">Plymouth (media and information law; E-commerce); </w:t>
      </w:r>
      <w:r w:rsidRPr="00E6684F">
        <w:rPr>
          <w:rFonts w:ascii="Arial" w:hAnsi="Arial" w:cs="Arial"/>
        </w:rPr>
        <w:t xml:space="preserve">Queen’s Belfast; </w:t>
      </w:r>
      <w:r>
        <w:rPr>
          <w:rFonts w:ascii="Arial" w:hAnsi="Arial" w:cs="Arial"/>
        </w:rPr>
        <w:t xml:space="preserve">Stirling; </w:t>
      </w:r>
      <w:r w:rsidRPr="00E6684F">
        <w:rPr>
          <w:rFonts w:ascii="Arial" w:hAnsi="Arial" w:cs="Arial"/>
        </w:rPr>
        <w:t xml:space="preserve">UWE Bristol; </w:t>
      </w:r>
      <w:r>
        <w:rPr>
          <w:rFonts w:ascii="Arial" w:hAnsi="Arial" w:cs="Arial"/>
        </w:rPr>
        <w:t>Ulster (land law and equity); Warwick (law &amp; policies)</w:t>
      </w:r>
    </w:p>
  </w:footnote>
  <w:footnote w:id="80">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sidRPr="00E6684F">
        <w:rPr>
          <w:rFonts w:ascii="Arial" w:hAnsi="Arial" w:cs="Arial"/>
        </w:rPr>
        <w:t xml:space="preserve"> Bournemouth; Exeter; Gloucestershire; </w:t>
      </w:r>
      <w:r>
        <w:rPr>
          <w:rFonts w:ascii="Arial" w:hAnsi="Arial" w:cs="Arial"/>
        </w:rPr>
        <w:t xml:space="preserve">Leeds; </w:t>
      </w:r>
      <w:r w:rsidRPr="00E6684F">
        <w:rPr>
          <w:rFonts w:ascii="Arial" w:hAnsi="Arial" w:cs="Arial"/>
        </w:rPr>
        <w:t xml:space="preserve">Liverpool; </w:t>
      </w:r>
      <w:r>
        <w:rPr>
          <w:rFonts w:ascii="Arial" w:hAnsi="Arial" w:cs="Arial"/>
        </w:rPr>
        <w:t xml:space="preserve">Plymouth; </w:t>
      </w:r>
      <w:r w:rsidRPr="00E6684F">
        <w:rPr>
          <w:rFonts w:ascii="Arial" w:hAnsi="Arial" w:cs="Arial"/>
        </w:rPr>
        <w:t xml:space="preserve">Queen’s Belfast; </w:t>
      </w:r>
      <w:r>
        <w:rPr>
          <w:rFonts w:ascii="Arial" w:hAnsi="Arial" w:cs="Arial"/>
        </w:rPr>
        <w:t>Stirling; UWE Bristol; Warwick</w:t>
      </w:r>
    </w:p>
  </w:footnote>
  <w:footnote w:id="81">
    <w:p w:rsidR="00E6534A" w:rsidRPr="00E6684F" w:rsidRDefault="00E6534A" w:rsidP="00E03B54">
      <w:pPr>
        <w:pStyle w:val="FootnoteText"/>
        <w:jc w:val="both"/>
        <w:rPr>
          <w:rFonts w:ascii="Arial" w:hAnsi="Arial" w:cs="Arial"/>
        </w:rPr>
      </w:pPr>
      <w:r w:rsidRPr="00E6684F">
        <w:rPr>
          <w:rStyle w:val="FootnoteReference"/>
          <w:rFonts w:ascii="Arial" w:hAnsi="Arial" w:cs="Arial"/>
        </w:rPr>
        <w:footnoteRef/>
      </w:r>
      <w:r>
        <w:rPr>
          <w:rFonts w:ascii="Arial" w:hAnsi="Arial" w:cs="Arial"/>
        </w:rPr>
        <w:t>Aberystwyth (human rights); Oxford (human rights); Plymouth (legal systems and human rights); Sheffield Hallam (international human rights)</w:t>
      </w:r>
    </w:p>
  </w:footnote>
  <w:footnote w:id="82">
    <w:p w:rsidR="00E6534A" w:rsidRPr="00327E15" w:rsidRDefault="00E6534A" w:rsidP="00327E15">
      <w:pPr>
        <w:pStyle w:val="FootnoteText"/>
        <w:jc w:val="both"/>
        <w:rPr>
          <w:rFonts w:ascii="Arial" w:hAnsi="Arial" w:cs="Arial"/>
        </w:rPr>
      </w:pPr>
      <w:r w:rsidRPr="00E6684F">
        <w:rPr>
          <w:rStyle w:val="FootnoteReference"/>
          <w:rFonts w:ascii="Arial" w:hAnsi="Arial" w:cs="Arial"/>
        </w:rPr>
        <w:footnoteRef/>
      </w:r>
      <w:r w:rsidRPr="00E6684F">
        <w:rPr>
          <w:rFonts w:ascii="Arial" w:hAnsi="Arial" w:cs="Arial"/>
        </w:rPr>
        <w:t xml:space="preserve"> </w:t>
      </w:r>
      <w:r>
        <w:rPr>
          <w:rFonts w:ascii="Arial" w:hAnsi="Arial" w:cs="Arial"/>
        </w:rPr>
        <w:t>Aberystwyth; Bournemouth QLD; Bournemouth</w:t>
      </w:r>
      <w:r w:rsidRPr="00E6684F">
        <w:rPr>
          <w:rFonts w:ascii="Arial" w:hAnsi="Arial" w:cs="Arial"/>
        </w:rPr>
        <w:t xml:space="preserve"> CPE</w:t>
      </w:r>
      <w:r>
        <w:rPr>
          <w:rFonts w:ascii="Arial" w:hAnsi="Arial" w:cs="Arial"/>
        </w:rPr>
        <w:t xml:space="preserve"> (another area of law)</w:t>
      </w:r>
      <w:r w:rsidRPr="00E6684F">
        <w:rPr>
          <w:rFonts w:ascii="Arial" w:hAnsi="Arial" w:cs="Arial"/>
        </w:rPr>
        <w:t xml:space="preserve">; Cardiff; Chester; Exeter; Glamorgan; Gloucestershire; </w:t>
      </w:r>
      <w:r>
        <w:rPr>
          <w:rFonts w:ascii="Arial" w:hAnsi="Arial" w:cs="Arial"/>
        </w:rPr>
        <w:t xml:space="preserve">Leeds; </w:t>
      </w:r>
      <w:r w:rsidRPr="00E6684F">
        <w:rPr>
          <w:rFonts w:ascii="Arial" w:hAnsi="Arial" w:cs="Arial"/>
        </w:rPr>
        <w:t xml:space="preserve">Liverpool; </w:t>
      </w:r>
      <w:r>
        <w:rPr>
          <w:rFonts w:ascii="Arial" w:hAnsi="Arial" w:cs="Arial"/>
        </w:rPr>
        <w:t xml:space="preserve">Oxford; </w:t>
      </w:r>
      <w:r w:rsidRPr="00E6684F">
        <w:rPr>
          <w:rFonts w:ascii="Arial" w:hAnsi="Arial" w:cs="Arial"/>
        </w:rPr>
        <w:t xml:space="preserve">Paisley; </w:t>
      </w:r>
      <w:r>
        <w:rPr>
          <w:rFonts w:ascii="Arial" w:hAnsi="Arial" w:cs="Arial"/>
        </w:rPr>
        <w:t>Plymouth; Sheffield Hallam (law and contemporary studies); Stirling; Warwick (law &amp; policies)</w:t>
      </w:r>
    </w:p>
  </w:footnote>
  <w:footnote w:id="83">
    <w:p w:rsidR="00E6534A" w:rsidRPr="002448F0" w:rsidRDefault="00E6534A" w:rsidP="002448F0">
      <w:pPr>
        <w:pStyle w:val="FootnoteText"/>
        <w:jc w:val="both"/>
        <w:rPr>
          <w:rFonts w:ascii="Arial" w:hAnsi="Arial" w:cs="Arial"/>
        </w:rPr>
      </w:pPr>
      <w:r w:rsidRPr="002448F0">
        <w:rPr>
          <w:rStyle w:val="FootnoteReference"/>
          <w:rFonts w:ascii="Arial" w:hAnsi="Arial" w:cs="Arial"/>
        </w:rPr>
        <w:footnoteRef/>
      </w:r>
      <w:r w:rsidRPr="002448F0">
        <w:rPr>
          <w:rFonts w:ascii="Arial" w:hAnsi="Arial" w:cs="Arial"/>
        </w:rPr>
        <w:t xml:space="preserve"> Law Society and General Council of the Bar, </w:t>
      </w:r>
      <w:r w:rsidRPr="002448F0">
        <w:rPr>
          <w:rFonts w:ascii="Arial" w:hAnsi="Arial" w:cs="Arial"/>
          <w:i/>
        </w:rPr>
        <w:t>A Joint Statement Issued by the Law Society and the General Council of the Bar on the Completion of the Initial or Academic Stage of Training by Obtaining an Undergraduate Degree</w:t>
      </w:r>
      <w:r w:rsidRPr="002448F0">
        <w:rPr>
          <w:rFonts w:ascii="Arial" w:hAnsi="Arial" w:cs="Arial"/>
        </w:rPr>
        <w:t xml:space="preserve"> (Law Society, London 1999) Schedule 2</w:t>
      </w:r>
    </w:p>
  </w:footnote>
  <w:footnote w:id="84">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Hertfordshire</w:t>
      </w:r>
    </w:p>
  </w:footnote>
  <w:footnote w:id="85">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College of Law</w:t>
      </w:r>
    </w:p>
  </w:footnote>
  <w:footnote w:id="86">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Leeds Met</w:t>
      </w:r>
    </w:p>
  </w:footnote>
  <w:footnote w:id="87">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UWE</w:t>
      </w:r>
    </w:p>
  </w:footnote>
  <w:footnote w:id="88">
    <w:p w:rsidR="00E6534A" w:rsidRDefault="00E6534A" w:rsidP="00340CD9">
      <w:pPr>
        <w:pStyle w:val="FootnoteText"/>
        <w:jc w:val="both"/>
      </w:pPr>
      <w:r w:rsidRPr="00340CD9">
        <w:rPr>
          <w:rStyle w:val="FootnoteReference"/>
          <w:rFonts w:ascii="Arial" w:hAnsi="Arial" w:cs="Arial"/>
        </w:rPr>
        <w:footnoteRef/>
      </w:r>
      <w:r w:rsidRPr="00340CD9">
        <w:rPr>
          <w:rFonts w:ascii="Arial" w:hAnsi="Arial" w:cs="Arial"/>
        </w:rPr>
        <w:t xml:space="preserve"> Liverpool; Hertfordshire; Ulster</w:t>
      </w:r>
    </w:p>
  </w:footnote>
  <w:footnote w:id="89">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UWE</w:t>
      </w:r>
    </w:p>
  </w:footnote>
  <w:footnote w:id="90">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Birmingham</w:t>
      </w:r>
    </w:p>
  </w:footnote>
  <w:footnote w:id="91">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Manchester</w:t>
      </w:r>
    </w:p>
  </w:footnote>
  <w:footnote w:id="92">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Open University</w:t>
      </w:r>
    </w:p>
  </w:footnote>
  <w:footnote w:id="93">
    <w:p w:rsidR="00E6534A" w:rsidRPr="00340CD9" w:rsidRDefault="00E6534A" w:rsidP="00340CD9">
      <w:pPr>
        <w:pStyle w:val="FootnoteText"/>
        <w:jc w:val="both"/>
        <w:rPr>
          <w:rFonts w:ascii="Arial" w:hAnsi="Arial" w:cs="Arial"/>
        </w:rPr>
      </w:pPr>
      <w:r w:rsidRPr="00340CD9">
        <w:rPr>
          <w:rStyle w:val="FootnoteReference"/>
          <w:rFonts w:ascii="Arial" w:hAnsi="Arial" w:cs="Arial"/>
        </w:rPr>
        <w:footnoteRef/>
      </w:r>
      <w:r w:rsidRPr="00340CD9">
        <w:rPr>
          <w:rFonts w:ascii="Arial" w:hAnsi="Arial" w:cs="Arial"/>
        </w:rPr>
        <w:t xml:space="preserve"> Glasgow</w:t>
      </w:r>
    </w:p>
  </w:footnote>
  <w:footnote w:id="94">
    <w:p w:rsidR="00E6534A" w:rsidRDefault="00E6534A" w:rsidP="00340CD9">
      <w:pPr>
        <w:pStyle w:val="FootnoteText"/>
        <w:jc w:val="both"/>
      </w:pPr>
      <w:r w:rsidRPr="00340CD9">
        <w:rPr>
          <w:rStyle w:val="FootnoteReference"/>
          <w:rFonts w:ascii="Arial" w:hAnsi="Arial" w:cs="Arial"/>
        </w:rPr>
        <w:footnoteRef/>
      </w:r>
      <w:r w:rsidRPr="00340CD9">
        <w:rPr>
          <w:rFonts w:ascii="Arial" w:hAnsi="Arial" w:cs="Arial"/>
        </w:rPr>
        <w:t xml:space="preserve"> Bangor</w:t>
      </w:r>
    </w:p>
  </w:footnote>
  <w:footnote w:id="95">
    <w:p w:rsidR="00E6534A" w:rsidRPr="00F20D4E" w:rsidRDefault="00E6534A" w:rsidP="00F20D4E">
      <w:pPr>
        <w:pStyle w:val="FootnoteText"/>
        <w:jc w:val="both"/>
        <w:rPr>
          <w:rFonts w:ascii="Arial" w:hAnsi="Arial" w:cs="Arial"/>
        </w:rPr>
      </w:pPr>
      <w:r w:rsidRPr="00F20D4E">
        <w:rPr>
          <w:rStyle w:val="FootnoteReference"/>
          <w:rFonts w:ascii="Arial" w:hAnsi="Arial" w:cs="Arial"/>
        </w:rPr>
        <w:footnoteRef/>
      </w:r>
      <w:r w:rsidRPr="00F20D4E">
        <w:rPr>
          <w:rFonts w:ascii="Arial" w:hAnsi="Arial" w:cs="Arial"/>
        </w:rPr>
        <w:t xml:space="preserve"> It is not the intention of this Report to enter the debate on the positive or negative </w:t>
      </w:r>
      <w:r>
        <w:rPr>
          <w:rFonts w:ascii="Arial" w:hAnsi="Arial" w:cs="Arial"/>
        </w:rPr>
        <w:t>eff</w:t>
      </w:r>
      <w:r w:rsidRPr="00F20D4E">
        <w:rPr>
          <w:rFonts w:ascii="Arial" w:hAnsi="Arial" w:cs="Arial"/>
        </w:rPr>
        <w:t>ects of e-learning</w:t>
      </w:r>
      <w:r>
        <w:rPr>
          <w:rFonts w:ascii="Arial" w:hAnsi="Arial" w:cs="Arial"/>
        </w:rPr>
        <w:t xml:space="preserve"> as there has been c</w:t>
      </w:r>
      <w:r w:rsidRPr="00F20D4E">
        <w:rPr>
          <w:rFonts w:ascii="Arial" w:hAnsi="Arial" w:cs="Arial"/>
        </w:rPr>
        <w:t xml:space="preserve">onsiderable </w:t>
      </w:r>
      <w:r>
        <w:rPr>
          <w:rFonts w:ascii="Arial" w:hAnsi="Arial" w:cs="Arial"/>
        </w:rPr>
        <w:t xml:space="preserve">research and </w:t>
      </w:r>
      <w:r w:rsidRPr="00F20D4E">
        <w:rPr>
          <w:rFonts w:ascii="Arial" w:hAnsi="Arial" w:cs="Arial"/>
        </w:rPr>
        <w:t>pedagogical analysis conducted across many academic disciplines. For a recent collection of research into e-learning see T Mayes, D Morrison, H Mellar, P Mullen, M Oliver</w:t>
      </w:r>
      <w:r>
        <w:rPr>
          <w:rFonts w:ascii="Arial" w:hAnsi="Arial" w:cs="Arial"/>
        </w:rPr>
        <w:t>,</w:t>
      </w:r>
      <w:r w:rsidRPr="00F20D4E">
        <w:rPr>
          <w:rFonts w:ascii="Arial" w:hAnsi="Arial" w:cs="Arial"/>
        </w:rPr>
        <w:t xml:space="preserve"> (Eds</w:t>
      </w:r>
      <w:r>
        <w:rPr>
          <w:rFonts w:ascii="Arial" w:hAnsi="Arial" w:cs="Arial"/>
        </w:rPr>
        <w:t>.</w:t>
      </w:r>
      <w:r w:rsidRPr="00F20D4E">
        <w:rPr>
          <w:rFonts w:ascii="Arial" w:hAnsi="Arial" w:cs="Arial"/>
        </w:rPr>
        <w:t xml:space="preserve">), </w:t>
      </w:r>
      <w:r w:rsidRPr="00F20D4E">
        <w:rPr>
          <w:rFonts w:ascii="Arial" w:hAnsi="Arial" w:cs="Arial"/>
          <w:i/>
        </w:rPr>
        <w:t>Transforming Higher Education Through Technology-Enhanced Learning</w:t>
      </w:r>
      <w:r w:rsidRPr="00F20D4E">
        <w:rPr>
          <w:rFonts w:ascii="Arial" w:hAnsi="Arial" w:cs="Arial"/>
        </w:rPr>
        <w:t xml:space="preserve"> (The Higher Education Academy, York 2009). For further information on e-learning in law see </w:t>
      </w:r>
      <w:hyperlink r:id="rId28" w:history="1">
        <w:r w:rsidRPr="00F20D4E">
          <w:rPr>
            <w:rStyle w:val="Hyperlink"/>
            <w:rFonts w:ascii="Arial" w:hAnsi="Arial" w:cs="Arial"/>
          </w:rPr>
          <w:t>http://www.ukcle.ac.uk/resources/ict/index.html</w:t>
        </w:r>
      </w:hyperlink>
      <w:r w:rsidRPr="00F20D4E">
        <w:rPr>
          <w:rFonts w:ascii="Arial" w:hAnsi="Arial" w:cs="Arial"/>
        </w:rPr>
        <w:t xml:space="preserve"> and </w:t>
      </w:r>
      <w:hyperlink r:id="rId29" w:history="1">
        <w:r w:rsidRPr="00F20D4E">
          <w:rPr>
            <w:rStyle w:val="Hyperlink"/>
            <w:rFonts w:ascii="Arial" w:hAnsi="Arial" w:cs="Arial"/>
          </w:rPr>
          <w:t>http://www.bileta.ac.uk</w:t>
        </w:r>
      </w:hyperlink>
      <w:r w:rsidRPr="00F20D4E">
        <w:rPr>
          <w:rFonts w:ascii="Arial" w:hAnsi="Arial" w:cs="Arial"/>
        </w:rPr>
        <w:t xml:space="preserve">. </w:t>
      </w:r>
    </w:p>
  </w:footnote>
  <w:footnote w:id="96">
    <w:p w:rsidR="00E6534A" w:rsidRPr="00327E15" w:rsidRDefault="00E6534A" w:rsidP="00327E15">
      <w:pPr>
        <w:pStyle w:val="FootnoteText"/>
        <w:jc w:val="both"/>
        <w:rPr>
          <w:rFonts w:ascii="Arial" w:hAnsi="Arial" w:cs="Arial"/>
        </w:rPr>
      </w:pPr>
      <w:r w:rsidRPr="00327E15">
        <w:rPr>
          <w:rStyle w:val="FootnoteReference"/>
          <w:rFonts w:ascii="Arial" w:hAnsi="Arial" w:cs="Arial"/>
        </w:rPr>
        <w:footnoteRef/>
      </w:r>
      <w:r w:rsidRPr="00327E15">
        <w:rPr>
          <w:rFonts w:ascii="Arial" w:hAnsi="Arial" w:cs="Arial"/>
        </w:rPr>
        <w:t xml:space="preserve"> The home website of the European Union</w:t>
      </w:r>
    </w:p>
  </w:footnote>
  <w:footnote w:id="97">
    <w:p w:rsidR="00E6534A" w:rsidRPr="00327E15" w:rsidRDefault="00E6534A" w:rsidP="00327E15">
      <w:pPr>
        <w:pStyle w:val="FootnoteText"/>
        <w:jc w:val="both"/>
        <w:rPr>
          <w:rFonts w:ascii="Arial" w:hAnsi="Arial" w:cs="Arial"/>
        </w:rPr>
      </w:pPr>
      <w:r w:rsidRPr="00327E15">
        <w:rPr>
          <w:rStyle w:val="FootnoteReference"/>
          <w:rFonts w:ascii="Arial" w:hAnsi="Arial" w:cs="Arial"/>
        </w:rPr>
        <w:footnoteRef/>
      </w:r>
      <w:r w:rsidRPr="00327E15">
        <w:rPr>
          <w:rFonts w:ascii="Arial" w:hAnsi="Arial" w:cs="Arial"/>
        </w:rPr>
        <w:t xml:space="preserve"> The home website of the British and Irish Legal Information Institute</w:t>
      </w:r>
    </w:p>
  </w:footnote>
  <w:footnote w:id="98">
    <w:p w:rsidR="00E6534A" w:rsidRPr="00B56A7A" w:rsidRDefault="00E6534A" w:rsidP="00327E15">
      <w:pPr>
        <w:pStyle w:val="FootnoteText"/>
        <w:jc w:val="both"/>
        <w:rPr>
          <w:rFonts w:ascii="Arial" w:hAnsi="Arial" w:cs="Arial"/>
        </w:rPr>
      </w:pPr>
      <w:r w:rsidRPr="00327E15">
        <w:rPr>
          <w:rStyle w:val="FootnoteReference"/>
          <w:rFonts w:ascii="Arial" w:hAnsi="Arial" w:cs="Arial"/>
        </w:rPr>
        <w:footnoteRef/>
      </w:r>
      <w:r w:rsidRPr="00327E15">
        <w:rPr>
          <w:rFonts w:ascii="Arial" w:hAnsi="Arial" w:cs="Arial"/>
        </w:rPr>
        <w:t xml:space="preserve"> The home website of the European Court of Justice</w:t>
      </w:r>
    </w:p>
  </w:footnote>
  <w:footnote w:id="99">
    <w:p w:rsidR="00E6534A" w:rsidRPr="007F7FC6" w:rsidRDefault="00E6534A" w:rsidP="007F7FC6">
      <w:pPr>
        <w:pStyle w:val="FootnoteText"/>
        <w:jc w:val="both"/>
        <w:rPr>
          <w:rFonts w:ascii="Arial" w:hAnsi="Arial" w:cs="Arial"/>
        </w:rPr>
      </w:pPr>
      <w:r w:rsidRPr="007F7FC6">
        <w:rPr>
          <w:rStyle w:val="FootnoteReference"/>
          <w:rFonts w:ascii="Arial" w:hAnsi="Arial" w:cs="Arial"/>
        </w:rPr>
        <w:footnoteRef/>
      </w:r>
      <w:r w:rsidRPr="007F7FC6">
        <w:rPr>
          <w:rFonts w:ascii="Arial" w:hAnsi="Arial" w:cs="Arial"/>
        </w:rPr>
        <w:t xml:space="preserve"> College of Law, Hertfordshire (</w:t>
      </w:r>
      <w:r>
        <w:rPr>
          <w:rFonts w:ascii="Arial" w:hAnsi="Arial" w:cs="Arial"/>
        </w:rPr>
        <w:t xml:space="preserve">the latter used the </w:t>
      </w:r>
      <w:r w:rsidRPr="007F7FC6">
        <w:rPr>
          <w:rFonts w:ascii="Arial" w:hAnsi="Arial" w:cs="Arial"/>
        </w:rPr>
        <w:t>VLE for quizzes and podcasts)</w:t>
      </w:r>
    </w:p>
  </w:footnote>
  <w:footnote w:id="100">
    <w:p w:rsidR="00E6534A" w:rsidRDefault="00E6534A" w:rsidP="007F7FC6">
      <w:pPr>
        <w:pStyle w:val="FootnoteText"/>
        <w:jc w:val="both"/>
      </w:pPr>
      <w:r w:rsidRPr="007F7FC6">
        <w:rPr>
          <w:rStyle w:val="FootnoteReference"/>
          <w:rFonts w:ascii="Arial" w:hAnsi="Arial" w:cs="Arial"/>
        </w:rPr>
        <w:footnoteRef/>
      </w:r>
      <w:r w:rsidRPr="007F7FC6">
        <w:rPr>
          <w:rFonts w:ascii="Arial" w:hAnsi="Arial" w:cs="Arial"/>
        </w:rPr>
        <w:t xml:space="preserve"> Ulster</w:t>
      </w:r>
    </w:p>
  </w:footnote>
  <w:footnote w:id="101">
    <w:p w:rsidR="00E6534A" w:rsidRPr="00A81EED" w:rsidRDefault="00E6534A" w:rsidP="003D44AF">
      <w:pPr>
        <w:pStyle w:val="FootnoteText"/>
        <w:jc w:val="both"/>
        <w:rPr>
          <w:rFonts w:ascii="Arial" w:hAnsi="Arial" w:cs="Arial"/>
        </w:rPr>
      </w:pPr>
      <w:r w:rsidRPr="00A81EED">
        <w:rPr>
          <w:rStyle w:val="FootnoteReference"/>
          <w:rFonts w:ascii="Arial" w:hAnsi="Arial" w:cs="Arial"/>
        </w:rPr>
        <w:footnoteRef/>
      </w:r>
      <w:r w:rsidRPr="00A81EED">
        <w:rPr>
          <w:rFonts w:ascii="Arial" w:hAnsi="Arial" w:cs="Arial"/>
        </w:rPr>
        <w:t xml:space="preserve"> </w:t>
      </w:r>
      <w:r>
        <w:rPr>
          <w:rFonts w:ascii="Arial" w:hAnsi="Arial" w:cs="Arial"/>
        </w:rPr>
        <w:t>Please note that references for textbooks and casebooks are up to date at the time of writing the report.</w:t>
      </w:r>
    </w:p>
  </w:footnote>
  <w:footnote w:id="102">
    <w:p w:rsidR="00E6534A" w:rsidRPr="00104CF0" w:rsidRDefault="00E6534A" w:rsidP="003D44AF">
      <w:pPr>
        <w:pStyle w:val="FootnoteText"/>
        <w:jc w:val="both"/>
        <w:rPr>
          <w:rFonts w:ascii="Arial" w:hAnsi="Arial" w:cs="Arial"/>
        </w:rPr>
      </w:pPr>
      <w:r w:rsidRPr="00104CF0">
        <w:rPr>
          <w:rStyle w:val="FootnoteReference"/>
          <w:rFonts w:ascii="Arial" w:hAnsi="Arial" w:cs="Arial"/>
        </w:rPr>
        <w:footnoteRef/>
      </w:r>
      <w:r w:rsidRPr="00104CF0">
        <w:rPr>
          <w:rFonts w:ascii="Arial" w:hAnsi="Arial" w:cs="Arial"/>
        </w:rPr>
        <w:t xml:space="preserve"> </w:t>
      </w:r>
      <w:r>
        <w:rPr>
          <w:rFonts w:ascii="Arial" w:hAnsi="Arial" w:cs="Arial"/>
        </w:rPr>
        <w:t>Swansea</w:t>
      </w:r>
    </w:p>
  </w:footnote>
  <w:footnote w:id="103">
    <w:p w:rsidR="00E6534A" w:rsidRPr="00104CF0" w:rsidRDefault="00E6534A" w:rsidP="003D44AF">
      <w:pPr>
        <w:pStyle w:val="FootnoteText"/>
        <w:jc w:val="both"/>
        <w:rPr>
          <w:rFonts w:ascii="Arial" w:hAnsi="Arial" w:cs="Arial"/>
        </w:rPr>
      </w:pPr>
      <w:r w:rsidRPr="00104CF0">
        <w:rPr>
          <w:rStyle w:val="FootnoteReference"/>
          <w:rFonts w:ascii="Arial" w:hAnsi="Arial" w:cs="Arial"/>
        </w:rPr>
        <w:footnoteRef/>
      </w:r>
      <w:r w:rsidRPr="00104CF0">
        <w:rPr>
          <w:rFonts w:ascii="Arial" w:hAnsi="Arial" w:cs="Arial"/>
        </w:rPr>
        <w:t xml:space="preserve"> </w:t>
      </w:r>
      <w:r>
        <w:rPr>
          <w:rFonts w:ascii="Arial" w:hAnsi="Arial" w:cs="Arial"/>
        </w:rPr>
        <w:t>Aberystwyth, Central Lancashire and UWE</w:t>
      </w:r>
    </w:p>
  </w:footnote>
  <w:footnote w:id="104">
    <w:p w:rsidR="00E6534A" w:rsidRPr="00441F33" w:rsidRDefault="00E6534A" w:rsidP="003D44AF">
      <w:pPr>
        <w:pStyle w:val="FootnoteText"/>
        <w:jc w:val="both"/>
        <w:rPr>
          <w:rFonts w:ascii="Arial" w:hAnsi="Arial" w:cs="Arial"/>
        </w:rPr>
      </w:pPr>
      <w:r w:rsidRPr="00441F33">
        <w:rPr>
          <w:rStyle w:val="FootnoteReference"/>
          <w:rFonts w:ascii="Arial" w:hAnsi="Arial" w:cs="Arial"/>
        </w:rPr>
        <w:footnoteRef/>
      </w:r>
      <w:r w:rsidRPr="00441F33">
        <w:rPr>
          <w:rFonts w:ascii="Arial" w:hAnsi="Arial" w:cs="Arial"/>
        </w:rPr>
        <w:t xml:space="preserve"> </w:t>
      </w:r>
      <w:r>
        <w:rPr>
          <w:rFonts w:ascii="Arial" w:hAnsi="Arial" w:cs="Arial"/>
        </w:rPr>
        <w:t>Plymouth</w:t>
      </w:r>
    </w:p>
  </w:footnote>
  <w:footnote w:id="105">
    <w:p w:rsidR="00E6534A" w:rsidRPr="00441F33" w:rsidRDefault="00E6534A" w:rsidP="003D44AF">
      <w:pPr>
        <w:pStyle w:val="FootnoteText"/>
        <w:jc w:val="both"/>
        <w:rPr>
          <w:rFonts w:ascii="Arial" w:hAnsi="Arial" w:cs="Arial"/>
        </w:rPr>
      </w:pPr>
      <w:r w:rsidRPr="00441F33">
        <w:rPr>
          <w:rStyle w:val="FootnoteReference"/>
          <w:rFonts w:ascii="Arial" w:hAnsi="Arial" w:cs="Arial"/>
        </w:rPr>
        <w:footnoteRef/>
      </w:r>
      <w:r w:rsidRPr="00441F33">
        <w:rPr>
          <w:rFonts w:ascii="Arial" w:hAnsi="Arial" w:cs="Arial"/>
        </w:rPr>
        <w:t xml:space="preserve"> Ulster</w:t>
      </w:r>
    </w:p>
  </w:footnote>
  <w:footnote w:id="106">
    <w:p w:rsidR="00E6534A" w:rsidRPr="00441F33" w:rsidRDefault="00E6534A" w:rsidP="003D44AF">
      <w:pPr>
        <w:pStyle w:val="FootnoteText"/>
        <w:jc w:val="both"/>
        <w:rPr>
          <w:rFonts w:ascii="Arial" w:hAnsi="Arial" w:cs="Arial"/>
        </w:rPr>
      </w:pPr>
      <w:r w:rsidRPr="00441F33">
        <w:rPr>
          <w:rStyle w:val="FootnoteReference"/>
          <w:rFonts w:ascii="Arial" w:hAnsi="Arial" w:cs="Arial"/>
        </w:rPr>
        <w:footnoteRef/>
      </w:r>
      <w:r w:rsidRPr="00441F33">
        <w:rPr>
          <w:rFonts w:ascii="Arial" w:hAnsi="Arial" w:cs="Arial"/>
        </w:rPr>
        <w:t xml:space="preserve"> </w:t>
      </w:r>
      <w:r>
        <w:rPr>
          <w:rFonts w:ascii="Arial" w:hAnsi="Arial" w:cs="Arial"/>
        </w:rPr>
        <w:t>Oxford</w:t>
      </w:r>
    </w:p>
  </w:footnote>
  <w:footnote w:id="107">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Kingston</w:t>
      </w:r>
    </w:p>
  </w:footnote>
  <w:footnote w:id="108">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Gloucestershire</w:t>
      </w:r>
    </w:p>
  </w:footnote>
  <w:footnote w:id="109">
    <w:p w:rsidR="00E6534A" w:rsidRPr="00E93A74" w:rsidRDefault="00E6534A" w:rsidP="003D44AF">
      <w:pPr>
        <w:pStyle w:val="FootnoteText"/>
        <w:jc w:val="both"/>
        <w:rPr>
          <w:rFonts w:ascii="Arial" w:hAnsi="Arial" w:cs="Arial"/>
        </w:rPr>
      </w:pPr>
      <w:r w:rsidRPr="006356C5">
        <w:rPr>
          <w:rStyle w:val="FootnoteReference"/>
          <w:rFonts w:ascii="Arial" w:hAnsi="Arial" w:cs="Arial"/>
        </w:rPr>
        <w:footnoteRef/>
      </w:r>
      <w:r>
        <w:t xml:space="preserve"> </w:t>
      </w:r>
      <w:r>
        <w:rPr>
          <w:rFonts w:ascii="Arial" w:hAnsi="Arial" w:cs="Arial"/>
        </w:rPr>
        <w:t>Exeter</w:t>
      </w:r>
    </w:p>
  </w:footnote>
  <w:footnote w:id="110">
    <w:p w:rsidR="00E6534A" w:rsidRPr="00E93A74" w:rsidRDefault="00E6534A" w:rsidP="003D44AF">
      <w:pPr>
        <w:pStyle w:val="FootnoteText"/>
        <w:jc w:val="both"/>
        <w:rPr>
          <w:rFonts w:ascii="Arial" w:hAnsi="Arial" w:cs="Arial"/>
        </w:rPr>
      </w:pPr>
      <w:r w:rsidRPr="00E93A74">
        <w:rPr>
          <w:rStyle w:val="FootnoteReference"/>
          <w:rFonts w:ascii="Arial" w:hAnsi="Arial" w:cs="Arial"/>
        </w:rPr>
        <w:footnoteRef/>
      </w:r>
      <w:r w:rsidRPr="00E93A74">
        <w:rPr>
          <w:rFonts w:ascii="Arial" w:hAnsi="Arial" w:cs="Arial"/>
        </w:rPr>
        <w:t xml:space="preserve"> </w:t>
      </w:r>
      <w:r>
        <w:rPr>
          <w:rFonts w:ascii="Arial" w:hAnsi="Arial" w:cs="Arial"/>
        </w:rPr>
        <w:t>Keele</w:t>
      </w:r>
    </w:p>
  </w:footnote>
  <w:footnote w:id="111">
    <w:p w:rsidR="00E6534A" w:rsidRPr="001E36CC" w:rsidRDefault="00E6534A" w:rsidP="003D44AF">
      <w:pPr>
        <w:pStyle w:val="FootnoteText"/>
        <w:jc w:val="both"/>
        <w:rPr>
          <w:rFonts w:ascii="Arial" w:hAnsi="Arial" w:cs="Arial"/>
        </w:rPr>
      </w:pPr>
      <w:r w:rsidRPr="001E36CC">
        <w:rPr>
          <w:rStyle w:val="FootnoteReference"/>
          <w:rFonts w:ascii="Arial" w:hAnsi="Arial" w:cs="Arial"/>
        </w:rPr>
        <w:footnoteRef/>
      </w:r>
      <w:r w:rsidRPr="001E36CC">
        <w:rPr>
          <w:rFonts w:ascii="Arial" w:hAnsi="Arial" w:cs="Arial"/>
        </w:rPr>
        <w:t xml:space="preserve"> </w:t>
      </w:r>
      <w:r>
        <w:rPr>
          <w:rFonts w:ascii="Arial" w:hAnsi="Arial" w:cs="Arial"/>
        </w:rPr>
        <w:t>Ulster</w:t>
      </w:r>
    </w:p>
  </w:footnote>
  <w:footnote w:id="112">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UWE</w:t>
      </w:r>
    </w:p>
  </w:footnote>
  <w:footnote w:id="113">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Leeds Met</w:t>
      </w:r>
    </w:p>
  </w:footnote>
  <w:footnote w:id="114">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Keele</w:t>
      </w:r>
    </w:p>
  </w:footnote>
  <w:footnote w:id="115">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Leeds Met</w:t>
      </w:r>
    </w:p>
  </w:footnote>
  <w:footnote w:id="116">
    <w:p w:rsidR="00E6534A" w:rsidRPr="006356C5" w:rsidRDefault="00E6534A" w:rsidP="003D44AF">
      <w:pPr>
        <w:pStyle w:val="FootnoteText"/>
        <w:jc w:val="both"/>
        <w:rPr>
          <w:rFonts w:ascii="Arial" w:hAnsi="Arial" w:cs="Arial"/>
        </w:rPr>
      </w:pPr>
      <w:r w:rsidRPr="006356C5">
        <w:rPr>
          <w:rStyle w:val="FootnoteReference"/>
          <w:rFonts w:ascii="Arial" w:hAnsi="Arial" w:cs="Arial"/>
        </w:rPr>
        <w:footnoteRef/>
      </w:r>
      <w:r w:rsidRPr="006356C5">
        <w:rPr>
          <w:rFonts w:ascii="Arial" w:hAnsi="Arial" w:cs="Arial"/>
        </w:rPr>
        <w:t xml:space="preserve"> </w:t>
      </w:r>
      <w:r>
        <w:rPr>
          <w:rFonts w:ascii="Arial" w:hAnsi="Arial" w:cs="Arial"/>
        </w:rPr>
        <w:t>Aberystwyth, Bangor, Bournemouth, Brunel, Central Lancashire, Chester, East London, Glamorgan, Gloucestershire, Hertfordshire, Liverpool, Manchester, Plymouth, Queen’s Belfast, Glasgow, Stirling, Ulster</w:t>
      </w:r>
    </w:p>
  </w:footnote>
  <w:footnote w:id="117">
    <w:p w:rsidR="00E6534A" w:rsidRDefault="00E6534A" w:rsidP="003D44AF">
      <w:pPr>
        <w:pStyle w:val="FootnoteText"/>
        <w:jc w:val="both"/>
      </w:pPr>
      <w:r w:rsidRPr="006356C5">
        <w:rPr>
          <w:rStyle w:val="FootnoteReference"/>
          <w:rFonts w:ascii="Arial" w:hAnsi="Arial" w:cs="Arial"/>
        </w:rPr>
        <w:footnoteRef/>
      </w:r>
      <w:r w:rsidRPr="006356C5">
        <w:rPr>
          <w:rFonts w:ascii="Arial" w:hAnsi="Arial" w:cs="Arial"/>
        </w:rPr>
        <w:t xml:space="preserve"> </w:t>
      </w:r>
      <w:r>
        <w:rPr>
          <w:rFonts w:ascii="Arial" w:hAnsi="Arial" w:cs="Arial"/>
        </w:rPr>
        <w:t>Hertfordshire, College of Law, Bournemouth, Oxford Brookes, Sussex, TVU, UWE</w:t>
      </w:r>
    </w:p>
  </w:footnote>
  <w:footnote w:id="118">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Aberystwyth, Bangor, Birmingham, Brighton, Cardiff, Central Lancashire, Chester, Durham, Exeter, Glamorgan, Gloucestershire, Huddersfield, Leeds, Liverpool, Manchester, Open University, Oxford, Queen’s Belfast, Plymouth, Sheffield Hallam, Sunderland, Ulster, UWE, Glasgow, Paisley,</w:t>
      </w:r>
    </w:p>
  </w:footnote>
  <w:footnote w:id="119">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Leeds</w:t>
      </w:r>
    </w:p>
  </w:footnote>
  <w:footnote w:id="120">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Manchester</w:t>
      </w:r>
    </w:p>
  </w:footnote>
  <w:footnote w:id="121">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Exeter</w:t>
      </w:r>
    </w:p>
  </w:footnote>
  <w:footnote w:id="122">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Glasgow</w:t>
      </w:r>
    </w:p>
  </w:footnote>
  <w:footnote w:id="123">
    <w:p w:rsidR="00E6534A" w:rsidRPr="002C0462"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Ulster</w:t>
      </w:r>
    </w:p>
  </w:footnote>
  <w:footnote w:id="124">
    <w:p w:rsidR="00E6534A" w:rsidRPr="00573BBF" w:rsidRDefault="00E6534A" w:rsidP="003D44AF">
      <w:pPr>
        <w:pStyle w:val="FootnoteText"/>
        <w:jc w:val="both"/>
        <w:rPr>
          <w:rFonts w:ascii="Arial" w:hAnsi="Arial" w:cs="Arial"/>
        </w:rPr>
      </w:pPr>
      <w:r w:rsidRPr="00573BBF">
        <w:rPr>
          <w:rStyle w:val="FootnoteReference"/>
          <w:rFonts w:ascii="Arial" w:hAnsi="Arial" w:cs="Arial"/>
        </w:rPr>
        <w:footnoteRef/>
      </w:r>
      <w:r w:rsidRPr="00573BBF">
        <w:rPr>
          <w:rFonts w:ascii="Arial" w:hAnsi="Arial" w:cs="Arial"/>
        </w:rPr>
        <w:t xml:space="preserve"> </w:t>
      </w:r>
      <w:r>
        <w:rPr>
          <w:rFonts w:ascii="Arial" w:hAnsi="Arial" w:cs="Arial"/>
        </w:rPr>
        <w:t>Cardiff</w:t>
      </w:r>
    </w:p>
  </w:footnote>
  <w:footnote w:id="125">
    <w:p w:rsidR="00E6534A" w:rsidRPr="00763251" w:rsidRDefault="00E6534A" w:rsidP="003D44AF">
      <w:pPr>
        <w:pStyle w:val="FootnoteText"/>
        <w:jc w:val="both"/>
        <w:rPr>
          <w:rFonts w:ascii="Arial" w:hAnsi="Arial" w:cs="Arial"/>
        </w:rPr>
      </w:pPr>
      <w:r w:rsidRPr="00763251">
        <w:rPr>
          <w:rStyle w:val="FootnoteReference"/>
          <w:rFonts w:ascii="Arial" w:hAnsi="Arial" w:cs="Arial"/>
        </w:rPr>
        <w:footnoteRef/>
      </w:r>
      <w:r w:rsidRPr="00763251">
        <w:rPr>
          <w:rFonts w:ascii="Arial" w:hAnsi="Arial" w:cs="Arial"/>
        </w:rPr>
        <w:t xml:space="preserve"> </w:t>
      </w:r>
      <w:r>
        <w:rPr>
          <w:rFonts w:ascii="Arial" w:hAnsi="Arial" w:cs="Arial"/>
        </w:rPr>
        <w:t>Bournemouth, Brunel, College of Law, Hertfordshire, Leeds Met, Northumbria, Oxford Brookes, Sussex, Swansea, TVU, UWE</w:t>
      </w:r>
    </w:p>
  </w:footnote>
  <w:footnote w:id="126">
    <w:p w:rsidR="00E6534A" w:rsidRPr="00763251" w:rsidRDefault="00E6534A" w:rsidP="003D44AF">
      <w:pPr>
        <w:pStyle w:val="FootnoteText"/>
        <w:jc w:val="both"/>
        <w:rPr>
          <w:rFonts w:ascii="Arial" w:hAnsi="Arial" w:cs="Arial"/>
        </w:rPr>
      </w:pPr>
      <w:r w:rsidRPr="00763251">
        <w:rPr>
          <w:rStyle w:val="FootnoteReference"/>
          <w:rFonts w:ascii="Arial" w:hAnsi="Arial" w:cs="Arial"/>
        </w:rPr>
        <w:footnoteRef/>
      </w:r>
      <w:r w:rsidRPr="00763251">
        <w:rPr>
          <w:rFonts w:ascii="Arial" w:hAnsi="Arial" w:cs="Arial"/>
        </w:rPr>
        <w:t xml:space="preserve"> </w:t>
      </w:r>
      <w:r>
        <w:rPr>
          <w:rFonts w:ascii="Arial" w:hAnsi="Arial" w:cs="Arial"/>
        </w:rPr>
        <w:t>Hertfordshire</w:t>
      </w:r>
    </w:p>
  </w:footnote>
  <w:footnote w:id="127">
    <w:p w:rsidR="00E6534A" w:rsidRPr="00763251" w:rsidRDefault="00E6534A" w:rsidP="003D44AF">
      <w:pPr>
        <w:pStyle w:val="FootnoteText"/>
        <w:jc w:val="both"/>
        <w:rPr>
          <w:rFonts w:ascii="Arial" w:hAnsi="Arial" w:cs="Arial"/>
        </w:rPr>
      </w:pPr>
      <w:r w:rsidRPr="00763251">
        <w:rPr>
          <w:rStyle w:val="FootnoteReference"/>
          <w:rFonts w:ascii="Arial" w:hAnsi="Arial" w:cs="Arial"/>
        </w:rPr>
        <w:footnoteRef/>
      </w:r>
      <w:r w:rsidRPr="00763251">
        <w:rPr>
          <w:rFonts w:ascii="Arial" w:hAnsi="Arial" w:cs="Arial"/>
        </w:rPr>
        <w:t xml:space="preserve"> </w:t>
      </w:r>
      <w:r>
        <w:rPr>
          <w:rFonts w:ascii="Arial" w:hAnsi="Arial" w:cs="Arial"/>
        </w:rPr>
        <w:t>College of Law</w:t>
      </w:r>
    </w:p>
  </w:footnote>
  <w:footnote w:id="128">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Bangor, Bournemouth, Brighton, Brunel, Central Lancashire, Durham, Gloucestershire, Keele, Plymouth, Sheffield Hallam, Sunderland, Glasgow, Stirling</w:t>
      </w:r>
    </w:p>
  </w:footnote>
  <w:footnote w:id="129">
    <w:p w:rsidR="00E6534A" w:rsidRDefault="00E6534A" w:rsidP="003D44AF">
      <w:pPr>
        <w:pStyle w:val="FootnoteText"/>
        <w:jc w:val="both"/>
      </w:pPr>
      <w:r w:rsidRPr="00AB0166">
        <w:rPr>
          <w:rStyle w:val="FootnoteReference"/>
          <w:rFonts w:ascii="Arial" w:hAnsi="Arial" w:cs="Arial"/>
        </w:rPr>
        <w:footnoteRef/>
      </w:r>
      <w:r w:rsidRPr="00AB0166">
        <w:rPr>
          <w:rFonts w:ascii="Arial" w:hAnsi="Arial" w:cs="Arial"/>
        </w:rPr>
        <w:t xml:space="preserve"> Bournemouth, Brunel, College of Law, Glamorgan, Hertfordshire, Keele, Leeds Met, Northumbria, Sussex, TVU, UWE</w:t>
      </w:r>
    </w:p>
  </w:footnote>
  <w:footnote w:id="130">
    <w:p w:rsidR="00E6534A" w:rsidRPr="005A085F" w:rsidRDefault="00E6534A" w:rsidP="003D44AF">
      <w:pPr>
        <w:pStyle w:val="FootnoteText"/>
        <w:jc w:val="both"/>
        <w:rPr>
          <w:rFonts w:ascii="Arial" w:hAnsi="Arial" w:cs="Arial"/>
        </w:rPr>
      </w:pPr>
      <w:r w:rsidRPr="005A085F">
        <w:rPr>
          <w:rStyle w:val="FootnoteReference"/>
          <w:rFonts w:ascii="Arial" w:hAnsi="Arial" w:cs="Arial"/>
        </w:rPr>
        <w:footnoteRef/>
      </w:r>
      <w:r w:rsidRPr="005A085F">
        <w:rPr>
          <w:rFonts w:ascii="Arial" w:hAnsi="Arial" w:cs="Arial"/>
        </w:rPr>
        <w:t xml:space="preserve"> Stirling</w:t>
      </w:r>
    </w:p>
  </w:footnote>
  <w:footnote w:id="131">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Central Lancashire</w:t>
      </w:r>
    </w:p>
  </w:footnote>
  <w:footnote w:id="132">
    <w:p w:rsidR="00E6534A" w:rsidRDefault="00E6534A" w:rsidP="003D44AF">
      <w:pPr>
        <w:pStyle w:val="FootnoteText"/>
        <w:jc w:val="both"/>
      </w:pPr>
      <w:r w:rsidRPr="00AB0166">
        <w:rPr>
          <w:rStyle w:val="FootnoteReference"/>
          <w:rFonts w:ascii="Arial" w:hAnsi="Arial" w:cs="Arial"/>
        </w:rPr>
        <w:footnoteRef/>
      </w:r>
      <w:r w:rsidRPr="00AB0166">
        <w:rPr>
          <w:rFonts w:ascii="Arial" w:hAnsi="Arial" w:cs="Arial"/>
        </w:rPr>
        <w:t xml:space="preserve"> Sunderland</w:t>
      </w:r>
    </w:p>
  </w:footnote>
  <w:footnote w:id="133">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Durham</w:t>
      </w:r>
    </w:p>
  </w:footnote>
  <w:footnote w:id="134">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Plymouth</w:t>
      </w:r>
    </w:p>
  </w:footnote>
  <w:footnote w:id="135">
    <w:p w:rsidR="00E6534A" w:rsidRDefault="00E6534A" w:rsidP="003D44AF">
      <w:pPr>
        <w:pStyle w:val="FootnoteText"/>
        <w:jc w:val="both"/>
      </w:pPr>
      <w:r w:rsidRPr="00AB0166">
        <w:rPr>
          <w:rStyle w:val="FootnoteReference"/>
          <w:rFonts w:ascii="Arial" w:hAnsi="Arial" w:cs="Arial"/>
        </w:rPr>
        <w:footnoteRef/>
      </w:r>
      <w:r w:rsidRPr="00AB0166">
        <w:rPr>
          <w:rFonts w:ascii="Arial" w:hAnsi="Arial" w:cs="Arial"/>
        </w:rPr>
        <w:t xml:space="preserve"> Gloucestershire</w:t>
      </w:r>
    </w:p>
  </w:footnote>
  <w:footnote w:id="136">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Brighton</w:t>
      </w:r>
    </w:p>
  </w:footnote>
  <w:footnote w:id="137">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Bournemouth</w:t>
      </w:r>
    </w:p>
  </w:footnote>
  <w:footnote w:id="138">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Brunel</w:t>
      </w:r>
    </w:p>
  </w:footnote>
  <w:footnote w:id="139">
    <w:p w:rsidR="00E6534A" w:rsidRDefault="00E6534A" w:rsidP="003D44AF">
      <w:pPr>
        <w:pStyle w:val="FootnoteText"/>
        <w:jc w:val="both"/>
      </w:pPr>
      <w:r w:rsidRPr="00AB0166">
        <w:rPr>
          <w:rStyle w:val="FootnoteReference"/>
          <w:rFonts w:ascii="Arial" w:hAnsi="Arial" w:cs="Arial"/>
        </w:rPr>
        <w:footnoteRef/>
      </w:r>
      <w:r w:rsidRPr="00AB0166">
        <w:rPr>
          <w:rFonts w:ascii="Arial" w:hAnsi="Arial" w:cs="Arial"/>
        </w:rPr>
        <w:t xml:space="preserve"> Bangor</w:t>
      </w:r>
    </w:p>
  </w:footnote>
  <w:footnote w:id="140">
    <w:p w:rsidR="00E6534A" w:rsidRPr="00656077" w:rsidRDefault="00E6534A" w:rsidP="003D44AF">
      <w:pPr>
        <w:pStyle w:val="FootnoteText"/>
        <w:jc w:val="both"/>
        <w:rPr>
          <w:rFonts w:ascii="Arial" w:hAnsi="Arial" w:cs="Arial"/>
        </w:rPr>
      </w:pPr>
      <w:r w:rsidRPr="00656077">
        <w:rPr>
          <w:rStyle w:val="FootnoteReference"/>
          <w:rFonts w:ascii="Arial" w:hAnsi="Arial" w:cs="Arial"/>
        </w:rPr>
        <w:footnoteRef/>
      </w:r>
      <w:r w:rsidRPr="00656077">
        <w:rPr>
          <w:rFonts w:ascii="Arial" w:hAnsi="Arial" w:cs="Arial"/>
        </w:rPr>
        <w:t xml:space="preserve"> Glasgow</w:t>
      </w:r>
    </w:p>
  </w:footnote>
  <w:footnote w:id="141">
    <w:p w:rsidR="00E6534A" w:rsidRPr="00AB0166" w:rsidRDefault="00E6534A" w:rsidP="003D44AF">
      <w:pPr>
        <w:pStyle w:val="FootnoteText"/>
        <w:jc w:val="both"/>
        <w:rPr>
          <w:rFonts w:ascii="Arial" w:hAnsi="Arial" w:cs="Arial"/>
        </w:rPr>
      </w:pPr>
      <w:r w:rsidRPr="00AB0166">
        <w:rPr>
          <w:rStyle w:val="FootnoteReference"/>
          <w:rFonts w:ascii="Arial" w:hAnsi="Arial" w:cs="Arial"/>
        </w:rPr>
        <w:footnoteRef/>
      </w:r>
      <w:r w:rsidRPr="00AB0166">
        <w:rPr>
          <w:rFonts w:ascii="Arial" w:hAnsi="Arial" w:cs="Arial"/>
        </w:rPr>
        <w:t xml:space="preserve"> Sheffield Hallam</w:t>
      </w:r>
    </w:p>
  </w:footnote>
  <w:footnote w:id="142">
    <w:p w:rsidR="00E6534A" w:rsidRDefault="00E6534A" w:rsidP="003D44AF">
      <w:pPr>
        <w:pStyle w:val="FootnoteText"/>
        <w:jc w:val="both"/>
      </w:pPr>
      <w:r w:rsidRPr="00AB0166">
        <w:rPr>
          <w:rStyle w:val="FootnoteReference"/>
          <w:rFonts w:ascii="Arial" w:hAnsi="Arial" w:cs="Arial"/>
        </w:rPr>
        <w:footnoteRef/>
      </w:r>
      <w:r w:rsidRPr="00AB0166">
        <w:rPr>
          <w:rFonts w:ascii="Arial" w:hAnsi="Arial" w:cs="Arial"/>
        </w:rPr>
        <w:t xml:space="preserve"> Keele</w:t>
      </w:r>
    </w:p>
  </w:footnote>
  <w:footnote w:id="143">
    <w:p w:rsidR="00E6534A" w:rsidRPr="0001521C" w:rsidRDefault="00E6534A" w:rsidP="003D44AF">
      <w:pPr>
        <w:pStyle w:val="FootnoteText"/>
        <w:jc w:val="both"/>
        <w:rPr>
          <w:rFonts w:ascii="Arial" w:hAnsi="Arial" w:cs="Arial"/>
        </w:rPr>
      </w:pPr>
      <w:r w:rsidRPr="0001521C">
        <w:rPr>
          <w:rStyle w:val="FootnoteReference"/>
          <w:rFonts w:ascii="Arial" w:hAnsi="Arial" w:cs="Arial"/>
        </w:rPr>
        <w:footnoteRef/>
      </w:r>
      <w:r w:rsidRPr="0001521C">
        <w:rPr>
          <w:rFonts w:ascii="Arial" w:hAnsi="Arial" w:cs="Arial"/>
        </w:rPr>
        <w:t xml:space="preserve"> Keele</w:t>
      </w:r>
    </w:p>
  </w:footnote>
  <w:footnote w:id="144">
    <w:p w:rsidR="00E6534A" w:rsidRPr="00656077" w:rsidRDefault="00E6534A" w:rsidP="003D44AF">
      <w:pPr>
        <w:pStyle w:val="FootnoteText"/>
        <w:jc w:val="both"/>
        <w:rPr>
          <w:rFonts w:ascii="Arial" w:hAnsi="Arial" w:cs="Arial"/>
        </w:rPr>
      </w:pPr>
      <w:r w:rsidRPr="00656077">
        <w:rPr>
          <w:rStyle w:val="FootnoteReference"/>
          <w:rFonts w:ascii="Arial" w:hAnsi="Arial" w:cs="Arial"/>
        </w:rPr>
        <w:footnoteRef/>
      </w:r>
      <w:r w:rsidRPr="00656077">
        <w:rPr>
          <w:rFonts w:ascii="Arial" w:hAnsi="Arial" w:cs="Arial"/>
        </w:rPr>
        <w:t xml:space="preserve"> Sussex</w:t>
      </w:r>
    </w:p>
  </w:footnote>
  <w:footnote w:id="145">
    <w:p w:rsidR="00E6534A" w:rsidRPr="00656077" w:rsidRDefault="00E6534A" w:rsidP="003D44AF">
      <w:pPr>
        <w:pStyle w:val="FootnoteText"/>
        <w:jc w:val="both"/>
        <w:rPr>
          <w:rFonts w:ascii="Arial" w:hAnsi="Arial" w:cs="Arial"/>
        </w:rPr>
      </w:pPr>
      <w:r w:rsidRPr="00656077">
        <w:rPr>
          <w:rStyle w:val="FootnoteReference"/>
          <w:rFonts w:ascii="Arial" w:hAnsi="Arial" w:cs="Arial"/>
        </w:rPr>
        <w:footnoteRef/>
      </w:r>
      <w:r w:rsidRPr="00656077">
        <w:rPr>
          <w:rFonts w:ascii="Arial" w:hAnsi="Arial" w:cs="Arial"/>
        </w:rPr>
        <w:t xml:space="preserve"> Glamorgan</w:t>
      </w:r>
    </w:p>
  </w:footnote>
  <w:footnote w:id="146">
    <w:p w:rsidR="00E6534A" w:rsidRPr="00656077" w:rsidRDefault="00E6534A" w:rsidP="003D44AF">
      <w:pPr>
        <w:pStyle w:val="FootnoteText"/>
        <w:jc w:val="both"/>
        <w:rPr>
          <w:rFonts w:ascii="Arial" w:hAnsi="Arial" w:cs="Arial"/>
        </w:rPr>
      </w:pPr>
      <w:r w:rsidRPr="00656077">
        <w:rPr>
          <w:rStyle w:val="FootnoteReference"/>
          <w:rFonts w:ascii="Arial" w:hAnsi="Arial" w:cs="Arial"/>
        </w:rPr>
        <w:footnoteRef/>
      </w:r>
      <w:r w:rsidRPr="00656077">
        <w:rPr>
          <w:rFonts w:ascii="Arial" w:hAnsi="Arial" w:cs="Arial"/>
        </w:rPr>
        <w:t xml:space="preserve"> Leeds Met</w:t>
      </w:r>
    </w:p>
  </w:footnote>
  <w:footnote w:id="147">
    <w:p w:rsidR="00E6534A" w:rsidRDefault="00E6534A" w:rsidP="003D44AF">
      <w:pPr>
        <w:pStyle w:val="FootnoteText"/>
        <w:jc w:val="both"/>
      </w:pPr>
      <w:r w:rsidRPr="00656077">
        <w:rPr>
          <w:rStyle w:val="FootnoteReference"/>
          <w:rFonts w:ascii="Arial" w:hAnsi="Arial" w:cs="Arial"/>
        </w:rPr>
        <w:footnoteRef/>
      </w:r>
      <w:r w:rsidRPr="00656077">
        <w:rPr>
          <w:rFonts w:ascii="Arial" w:hAnsi="Arial" w:cs="Arial"/>
        </w:rPr>
        <w:t xml:space="preserve"> Keele</w:t>
      </w:r>
    </w:p>
  </w:footnote>
  <w:footnote w:id="148">
    <w:p w:rsidR="00E6534A" w:rsidRPr="00656077" w:rsidRDefault="00E6534A" w:rsidP="003D44AF">
      <w:pPr>
        <w:pStyle w:val="FootnoteText"/>
        <w:jc w:val="both"/>
        <w:rPr>
          <w:rFonts w:ascii="Arial" w:hAnsi="Arial" w:cs="Arial"/>
        </w:rPr>
      </w:pPr>
      <w:r w:rsidRPr="00656077">
        <w:rPr>
          <w:rStyle w:val="FootnoteReference"/>
          <w:rFonts w:ascii="Arial" w:hAnsi="Arial" w:cs="Arial"/>
        </w:rPr>
        <w:footnoteRef/>
      </w:r>
      <w:r w:rsidRPr="00656077">
        <w:rPr>
          <w:rFonts w:ascii="Arial" w:hAnsi="Arial" w:cs="Arial"/>
        </w:rPr>
        <w:t xml:space="preserve"> Bournemouth</w:t>
      </w:r>
    </w:p>
  </w:footnote>
  <w:footnote w:id="149">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College of Law</w:t>
      </w:r>
    </w:p>
  </w:footnote>
  <w:footnote w:id="150">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Hertfordshire</w:t>
      </w:r>
    </w:p>
  </w:footnote>
  <w:footnote w:id="151">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TVU</w:t>
      </w:r>
    </w:p>
  </w:footnote>
  <w:footnote w:id="152">
    <w:p w:rsidR="00E6534A" w:rsidRPr="00656077"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Northumbria</w:t>
      </w:r>
    </w:p>
  </w:footnote>
  <w:footnote w:id="153">
    <w:p w:rsidR="00E6534A" w:rsidRDefault="00E6534A" w:rsidP="003D44AF">
      <w:pPr>
        <w:pStyle w:val="FootnoteText"/>
        <w:jc w:val="both"/>
      </w:pPr>
      <w:r w:rsidRPr="00656077">
        <w:rPr>
          <w:rStyle w:val="FootnoteReference"/>
          <w:rFonts w:ascii="Arial" w:hAnsi="Arial" w:cs="Arial"/>
        </w:rPr>
        <w:footnoteRef/>
      </w:r>
      <w:r w:rsidRPr="00656077">
        <w:rPr>
          <w:rFonts w:ascii="Arial" w:hAnsi="Arial" w:cs="Arial"/>
        </w:rPr>
        <w:t xml:space="preserve"> UWE</w:t>
      </w:r>
    </w:p>
  </w:footnote>
  <w:footnote w:id="154">
    <w:p w:rsidR="00E6534A" w:rsidRPr="005A468E" w:rsidRDefault="00E6534A" w:rsidP="003D44AF">
      <w:pPr>
        <w:pStyle w:val="FootnoteText"/>
        <w:jc w:val="both"/>
        <w:rPr>
          <w:rFonts w:ascii="Arial" w:hAnsi="Arial" w:cs="Arial"/>
        </w:rPr>
      </w:pPr>
      <w:r w:rsidRPr="005A468E">
        <w:rPr>
          <w:rStyle w:val="FootnoteReference"/>
          <w:rFonts w:ascii="Arial" w:hAnsi="Arial" w:cs="Arial"/>
        </w:rPr>
        <w:footnoteRef/>
      </w:r>
      <w:r w:rsidRPr="005A468E">
        <w:rPr>
          <w:rFonts w:ascii="Arial" w:hAnsi="Arial" w:cs="Arial"/>
        </w:rPr>
        <w:t xml:space="preserve"> </w:t>
      </w:r>
      <w:r>
        <w:rPr>
          <w:rFonts w:ascii="Arial" w:hAnsi="Arial" w:cs="Arial"/>
        </w:rPr>
        <w:t>Essex</w:t>
      </w:r>
    </w:p>
  </w:footnote>
  <w:footnote w:id="155">
    <w:p w:rsidR="00E6534A" w:rsidRPr="003D44AF" w:rsidRDefault="00E6534A" w:rsidP="003D44AF">
      <w:pPr>
        <w:pStyle w:val="FootnoteText"/>
        <w:jc w:val="both"/>
        <w:rPr>
          <w:rFonts w:ascii="Arial" w:hAnsi="Arial" w:cs="Arial"/>
        </w:rPr>
      </w:pPr>
      <w:r w:rsidRPr="003D44AF">
        <w:rPr>
          <w:rStyle w:val="FootnoteReference"/>
          <w:rFonts w:ascii="Arial" w:hAnsi="Arial" w:cs="Arial"/>
        </w:rPr>
        <w:footnoteRef/>
      </w:r>
      <w:r w:rsidRPr="003D44AF">
        <w:rPr>
          <w:rFonts w:ascii="Arial" w:hAnsi="Arial" w:cs="Arial"/>
        </w:rPr>
        <w:t xml:space="preserve"> A good example of this tendency can be found in the area of criminal law, which started to be increasingly influenced by EU Law with the development of the Third EU Pillar on Police and Judicial Cooperation in Criminal Matters. The incorporation of the Third Pillar by the Lisbon Treaty into the Treaty on the Functioning of the European Union (Chapters 4 and 6 of Title V) will only accelerate this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7AE"/>
    <w:multiLevelType w:val="hybridMultilevel"/>
    <w:tmpl w:val="A5A0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94FFA"/>
    <w:multiLevelType w:val="hybridMultilevel"/>
    <w:tmpl w:val="8A7AEFCA"/>
    <w:lvl w:ilvl="0" w:tplc="68307E3E">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4347077"/>
    <w:multiLevelType w:val="hybridMultilevel"/>
    <w:tmpl w:val="9D30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414C8A"/>
    <w:multiLevelType w:val="hybridMultilevel"/>
    <w:tmpl w:val="4194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5420C6"/>
    <w:multiLevelType w:val="hybridMultilevel"/>
    <w:tmpl w:val="138E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3943C9"/>
    <w:multiLevelType w:val="hybridMultilevel"/>
    <w:tmpl w:val="8F3E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8D546B"/>
    <w:multiLevelType w:val="hybridMultilevel"/>
    <w:tmpl w:val="92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2C1572"/>
    <w:multiLevelType w:val="hybridMultilevel"/>
    <w:tmpl w:val="CB78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24419"/>
    <w:multiLevelType w:val="hybridMultilevel"/>
    <w:tmpl w:val="7918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043938"/>
    <w:multiLevelType w:val="hybridMultilevel"/>
    <w:tmpl w:val="88A23390"/>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83795C"/>
    <w:multiLevelType w:val="multilevel"/>
    <w:tmpl w:val="4080E04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231779"/>
    <w:multiLevelType w:val="hybridMultilevel"/>
    <w:tmpl w:val="5FC4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801752"/>
    <w:multiLevelType w:val="hybridMultilevel"/>
    <w:tmpl w:val="BFC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B7591E"/>
    <w:multiLevelType w:val="hybridMultilevel"/>
    <w:tmpl w:val="4B2C47CC"/>
    <w:lvl w:ilvl="0" w:tplc="7CD20AC0">
      <w:start w:val="2"/>
      <w:numFmt w:val="bullet"/>
      <w:lvlText w:val=""/>
      <w:lvlJc w:val="left"/>
      <w:pPr>
        <w:tabs>
          <w:tab w:val="num" w:pos="1800"/>
        </w:tabs>
        <w:ind w:left="180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306A91"/>
    <w:multiLevelType w:val="hybridMultilevel"/>
    <w:tmpl w:val="079A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142B6F"/>
    <w:multiLevelType w:val="hybridMultilevel"/>
    <w:tmpl w:val="2D5C88CE"/>
    <w:lvl w:ilvl="0" w:tplc="3F0AB61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F02E28"/>
    <w:multiLevelType w:val="hybridMultilevel"/>
    <w:tmpl w:val="D8C6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106D8D"/>
    <w:multiLevelType w:val="hybridMultilevel"/>
    <w:tmpl w:val="F96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EE38DE"/>
    <w:multiLevelType w:val="hybridMultilevel"/>
    <w:tmpl w:val="844AA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4C4CA5"/>
    <w:multiLevelType w:val="multilevel"/>
    <w:tmpl w:val="456A4D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631AED"/>
    <w:multiLevelType w:val="hybridMultilevel"/>
    <w:tmpl w:val="3E76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6D67DD"/>
    <w:multiLevelType w:val="hybridMultilevel"/>
    <w:tmpl w:val="AFE6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4C3E5E"/>
    <w:multiLevelType w:val="hybridMultilevel"/>
    <w:tmpl w:val="2F80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827CEC"/>
    <w:multiLevelType w:val="hybridMultilevel"/>
    <w:tmpl w:val="1AC202B6"/>
    <w:lvl w:ilvl="0" w:tplc="C92897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A307D"/>
    <w:multiLevelType w:val="hybridMultilevel"/>
    <w:tmpl w:val="046E5398"/>
    <w:lvl w:ilvl="0" w:tplc="219A52F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5E6D4DC5"/>
    <w:multiLevelType w:val="hybridMultilevel"/>
    <w:tmpl w:val="635C1D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1901292"/>
    <w:multiLevelType w:val="hybridMultilevel"/>
    <w:tmpl w:val="4C26A7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6A06589"/>
    <w:multiLevelType w:val="hybridMultilevel"/>
    <w:tmpl w:val="F33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C0197"/>
    <w:multiLevelType w:val="multilevel"/>
    <w:tmpl w:val="6A12941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346EF6"/>
    <w:multiLevelType w:val="multilevel"/>
    <w:tmpl w:val="7048D832"/>
    <w:lvl w:ilvl="0">
      <w:start w:val="1"/>
      <w:numFmt w:val="decimal"/>
      <w:lvlText w:val="%1."/>
      <w:lvlJc w:val="left"/>
      <w:pPr>
        <w:ind w:left="1146"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EDD6B93"/>
    <w:multiLevelType w:val="multilevel"/>
    <w:tmpl w:val="D9623750"/>
    <w:lvl w:ilvl="0">
      <w:start w:val="3"/>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B24024"/>
    <w:multiLevelType w:val="hybridMultilevel"/>
    <w:tmpl w:val="ABE0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BD1D5D"/>
    <w:multiLevelType w:val="multilevel"/>
    <w:tmpl w:val="4B2C47CC"/>
    <w:lvl w:ilvl="0">
      <w:start w:val="2"/>
      <w:numFmt w:val="bullet"/>
      <w:lvlText w:val=""/>
      <w:lvlJc w:val="left"/>
      <w:pPr>
        <w:tabs>
          <w:tab w:val="num" w:pos="1800"/>
        </w:tabs>
        <w:ind w:left="1800" w:hanging="72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76B23A8"/>
    <w:multiLevelType w:val="hybridMultilevel"/>
    <w:tmpl w:val="3E06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621826"/>
    <w:multiLevelType w:val="hybridMultilevel"/>
    <w:tmpl w:val="645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5F6B64"/>
    <w:multiLevelType w:val="hybridMultilevel"/>
    <w:tmpl w:val="EDB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22"/>
  </w:num>
  <w:num w:numId="5">
    <w:abstractNumId w:val="23"/>
  </w:num>
  <w:num w:numId="6">
    <w:abstractNumId w:val="15"/>
  </w:num>
  <w:num w:numId="7">
    <w:abstractNumId w:val="3"/>
  </w:num>
  <w:num w:numId="8">
    <w:abstractNumId w:val="34"/>
  </w:num>
  <w:num w:numId="9">
    <w:abstractNumId w:val="35"/>
  </w:num>
  <w:num w:numId="10">
    <w:abstractNumId w:val="18"/>
  </w:num>
  <w:num w:numId="11">
    <w:abstractNumId w:val="29"/>
  </w:num>
  <w:num w:numId="12">
    <w:abstractNumId w:val="5"/>
  </w:num>
  <w:num w:numId="13">
    <w:abstractNumId w:val="11"/>
  </w:num>
  <w:num w:numId="14">
    <w:abstractNumId w:val="4"/>
  </w:num>
  <w:num w:numId="15">
    <w:abstractNumId w:val="27"/>
  </w:num>
  <w:num w:numId="16">
    <w:abstractNumId w:val="12"/>
  </w:num>
  <w:num w:numId="17">
    <w:abstractNumId w:val="25"/>
  </w:num>
  <w:num w:numId="18">
    <w:abstractNumId w:val="26"/>
  </w:num>
  <w:num w:numId="19">
    <w:abstractNumId w:val="6"/>
  </w:num>
  <w:num w:numId="20">
    <w:abstractNumId w:val="33"/>
  </w:num>
  <w:num w:numId="21">
    <w:abstractNumId w:val="2"/>
  </w:num>
  <w:num w:numId="22">
    <w:abstractNumId w:val="31"/>
  </w:num>
  <w:num w:numId="23">
    <w:abstractNumId w:val="16"/>
  </w:num>
  <w:num w:numId="24">
    <w:abstractNumId w:val="20"/>
  </w:num>
  <w:num w:numId="25">
    <w:abstractNumId w:val="21"/>
  </w:num>
  <w:num w:numId="26">
    <w:abstractNumId w:val="7"/>
  </w:num>
  <w:num w:numId="27">
    <w:abstractNumId w:val="13"/>
  </w:num>
  <w:num w:numId="28">
    <w:abstractNumId w:val="32"/>
  </w:num>
  <w:num w:numId="29">
    <w:abstractNumId w:val="28"/>
  </w:num>
  <w:num w:numId="30">
    <w:abstractNumId w:val="10"/>
  </w:num>
  <w:num w:numId="31">
    <w:abstractNumId w:val="24"/>
  </w:num>
  <w:num w:numId="32">
    <w:abstractNumId w:val="17"/>
  </w:num>
  <w:num w:numId="33">
    <w:abstractNumId w:val="30"/>
  </w:num>
  <w:num w:numId="34">
    <w:abstractNumId w:val="19"/>
  </w:num>
  <w:num w:numId="35">
    <w:abstractNumId w:val="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1521C"/>
    <w:rsid w:val="00015247"/>
    <w:rsid w:val="00024F16"/>
    <w:rsid w:val="000378A5"/>
    <w:rsid w:val="000817F3"/>
    <w:rsid w:val="0008616B"/>
    <w:rsid w:val="00104CF0"/>
    <w:rsid w:val="00132904"/>
    <w:rsid w:val="00137765"/>
    <w:rsid w:val="001D4AA3"/>
    <w:rsid w:val="001E36CC"/>
    <w:rsid w:val="001F48FD"/>
    <w:rsid w:val="00206EBD"/>
    <w:rsid w:val="002132CE"/>
    <w:rsid w:val="00243198"/>
    <w:rsid w:val="002448F0"/>
    <w:rsid w:val="00263FDF"/>
    <w:rsid w:val="002642D3"/>
    <w:rsid w:val="0026431F"/>
    <w:rsid w:val="00286CB2"/>
    <w:rsid w:val="00293881"/>
    <w:rsid w:val="002A75CB"/>
    <w:rsid w:val="002B2016"/>
    <w:rsid w:val="002C0462"/>
    <w:rsid w:val="002C19D3"/>
    <w:rsid w:val="002C7395"/>
    <w:rsid w:val="003160BA"/>
    <w:rsid w:val="00327E15"/>
    <w:rsid w:val="00340CD9"/>
    <w:rsid w:val="00342764"/>
    <w:rsid w:val="00370756"/>
    <w:rsid w:val="00372745"/>
    <w:rsid w:val="0039192F"/>
    <w:rsid w:val="003B6D19"/>
    <w:rsid w:val="003B748C"/>
    <w:rsid w:val="003D44AF"/>
    <w:rsid w:val="00441F33"/>
    <w:rsid w:val="00467A24"/>
    <w:rsid w:val="004B4BA1"/>
    <w:rsid w:val="004D1CDE"/>
    <w:rsid w:val="004F3529"/>
    <w:rsid w:val="00517CD6"/>
    <w:rsid w:val="00527467"/>
    <w:rsid w:val="00544492"/>
    <w:rsid w:val="00565269"/>
    <w:rsid w:val="00573BBF"/>
    <w:rsid w:val="005859DC"/>
    <w:rsid w:val="00592FF8"/>
    <w:rsid w:val="005A085F"/>
    <w:rsid w:val="006356C5"/>
    <w:rsid w:val="00650E92"/>
    <w:rsid w:val="006537BB"/>
    <w:rsid w:val="00656077"/>
    <w:rsid w:val="006935D4"/>
    <w:rsid w:val="006A132B"/>
    <w:rsid w:val="006B02FD"/>
    <w:rsid w:val="006B5384"/>
    <w:rsid w:val="006C2548"/>
    <w:rsid w:val="006D7C13"/>
    <w:rsid w:val="006F1985"/>
    <w:rsid w:val="006F59F0"/>
    <w:rsid w:val="00701839"/>
    <w:rsid w:val="00704E8A"/>
    <w:rsid w:val="00713C53"/>
    <w:rsid w:val="00720387"/>
    <w:rsid w:val="00763251"/>
    <w:rsid w:val="00770EE4"/>
    <w:rsid w:val="007811F6"/>
    <w:rsid w:val="007A3165"/>
    <w:rsid w:val="007D7387"/>
    <w:rsid w:val="007F7FC6"/>
    <w:rsid w:val="00836F83"/>
    <w:rsid w:val="0086540A"/>
    <w:rsid w:val="00884DD3"/>
    <w:rsid w:val="00893C3D"/>
    <w:rsid w:val="008A61D7"/>
    <w:rsid w:val="008B15B9"/>
    <w:rsid w:val="008F26E0"/>
    <w:rsid w:val="009824FC"/>
    <w:rsid w:val="009915CE"/>
    <w:rsid w:val="009D63E8"/>
    <w:rsid w:val="00A1558F"/>
    <w:rsid w:val="00A346E4"/>
    <w:rsid w:val="00AA07DC"/>
    <w:rsid w:val="00AB0166"/>
    <w:rsid w:val="00AB5648"/>
    <w:rsid w:val="00AB678D"/>
    <w:rsid w:val="00AC4100"/>
    <w:rsid w:val="00AE0800"/>
    <w:rsid w:val="00AF1BEB"/>
    <w:rsid w:val="00B004BC"/>
    <w:rsid w:val="00B33AAE"/>
    <w:rsid w:val="00B9354C"/>
    <w:rsid w:val="00C22844"/>
    <w:rsid w:val="00C248FE"/>
    <w:rsid w:val="00C300AF"/>
    <w:rsid w:val="00C37F00"/>
    <w:rsid w:val="00C82CA7"/>
    <w:rsid w:val="00C97449"/>
    <w:rsid w:val="00CC1ADE"/>
    <w:rsid w:val="00CC58DE"/>
    <w:rsid w:val="00D07CF4"/>
    <w:rsid w:val="00D74D8B"/>
    <w:rsid w:val="00DC2FA9"/>
    <w:rsid w:val="00E03B54"/>
    <w:rsid w:val="00E05CE6"/>
    <w:rsid w:val="00E05DDB"/>
    <w:rsid w:val="00E2365D"/>
    <w:rsid w:val="00E23CE0"/>
    <w:rsid w:val="00E6534A"/>
    <w:rsid w:val="00E93A74"/>
    <w:rsid w:val="00EA5A15"/>
    <w:rsid w:val="00EC5FED"/>
    <w:rsid w:val="00ED10B3"/>
    <w:rsid w:val="00EE6878"/>
    <w:rsid w:val="00F04264"/>
    <w:rsid w:val="00F20D4E"/>
    <w:rsid w:val="00F43A6C"/>
    <w:rsid w:val="00F54409"/>
    <w:rsid w:val="00F65E2F"/>
    <w:rsid w:val="00F76F7A"/>
    <w:rsid w:val="00F90A1C"/>
    <w:rsid w:val="00FC080E"/>
    <w:rsid w:val="00FD3A61"/>
    <w:rsid w:val="00FF3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paragraph" w:styleId="Heading1">
    <w:name w:val="heading 1"/>
    <w:basedOn w:val="Normal"/>
    <w:next w:val="Normal"/>
    <w:link w:val="Heading1Char"/>
    <w:qFormat/>
    <w:rsid w:val="002A75CB"/>
    <w:pPr>
      <w:keepNext/>
      <w:tabs>
        <w:tab w:val="left" w:pos="6180"/>
      </w:tabs>
      <w:spacing w:after="0" w:line="240" w:lineRule="auto"/>
      <w:jc w:val="both"/>
      <w:outlineLvl w:val="0"/>
    </w:pPr>
    <w:rPr>
      <w:rFonts w:ascii="Times New Roman" w:eastAsia="Times New Roman" w:hAnsi="Times New Roman"/>
      <w:b/>
      <w:sz w:val="24"/>
      <w:szCs w:val="24"/>
      <w:lang w:eastAsia="en-GB"/>
    </w:rPr>
  </w:style>
  <w:style w:type="paragraph" w:styleId="Heading2">
    <w:name w:val="heading 2"/>
    <w:basedOn w:val="Normal"/>
    <w:next w:val="Normal"/>
    <w:link w:val="Heading2Char"/>
    <w:qFormat/>
    <w:rsid w:val="002A75CB"/>
    <w:pPr>
      <w:keepNext/>
      <w:spacing w:after="0" w:line="240" w:lineRule="auto"/>
      <w:jc w:val="both"/>
      <w:outlineLvl w:val="1"/>
    </w:pPr>
    <w:rPr>
      <w:rFonts w:ascii="Times New Roman" w:eastAsia="Times New Roman" w:hAnsi="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BA1"/>
    <w:pPr>
      <w:widowControl w:val="0"/>
      <w:autoSpaceDE w:val="0"/>
      <w:autoSpaceDN w:val="0"/>
      <w:adjustRightInd w:val="0"/>
    </w:pPr>
    <w:rPr>
      <w:rFonts w:ascii="Verdana" w:eastAsiaTheme="minorEastAsia" w:hAnsi="Verdana" w:cs="Verdana"/>
      <w:color w:val="000000"/>
      <w:sz w:val="24"/>
      <w:szCs w:val="24"/>
    </w:rPr>
  </w:style>
  <w:style w:type="paragraph" w:customStyle="1" w:styleId="CM1">
    <w:name w:val="CM1"/>
    <w:basedOn w:val="Default"/>
    <w:next w:val="Default"/>
    <w:uiPriority w:val="99"/>
    <w:rsid w:val="004B4BA1"/>
    <w:pPr>
      <w:spacing w:line="496" w:lineRule="atLeast"/>
    </w:pPr>
    <w:rPr>
      <w:rFonts w:cstheme="minorBidi"/>
      <w:color w:val="auto"/>
    </w:rPr>
  </w:style>
  <w:style w:type="paragraph" w:customStyle="1" w:styleId="CM2">
    <w:name w:val="CM2"/>
    <w:basedOn w:val="Default"/>
    <w:next w:val="Default"/>
    <w:uiPriority w:val="99"/>
    <w:rsid w:val="004B4BA1"/>
    <w:pPr>
      <w:spacing w:line="243" w:lineRule="atLeast"/>
    </w:pPr>
    <w:rPr>
      <w:rFonts w:cstheme="minorBidi"/>
      <w:color w:val="auto"/>
    </w:rPr>
  </w:style>
  <w:style w:type="paragraph" w:customStyle="1" w:styleId="CM34">
    <w:name w:val="CM34"/>
    <w:basedOn w:val="Default"/>
    <w:next w:val="Default"/>
    <w:uiPriority w:val="99"/>
    <w:rsid w:val="004B4BA1"/>
    <w:rPr>
      <w:rFonts w:cstheme="minorBidi"/>
      <w:color w:val="auto"/>
    </w:rPr>
  </w:style>
  <w:style w:type="paragraph" w:customStyle="1" w:styleId="CM4">
    <w:name w:val="CM4"/>
    <w:basedOn w:val="Default"/>
    <w:next w:val="Default"/>
    <w:uiPriority w:val="99"/>
    <w:rsid w:val="004B4BA1"/>
    <w:pPr>
      <w:spacing w:line="243" w:lineRule="atLeast"/>
    </w:pPr>
    <w:rPr>
      <w:rFonts w:cstheme="minorBidi"/>
      <w:color w:val="auto"/>
    </w:rPr>
  </w:style>
  <w:style w:type="paragraph" w:customStyle="1" w:styleId="CM35">
    <w:name w:val="CM35"/>
    <w:basedOn w:val="Default"/>
    <w:next w:val="Default"/>
    <w:uiPriority w:val="99"/>
    <w:rsid w:val="004B4BA1"/>
    <w:rPr>
      <w:rFonts w:cstheme="minorBidi"/>
      <w:color w:val="auto"/>
    </w:rPr>
  </w:style>
  <w:style w:type="paragraph" w:customStyle="1" w:styleId="CM36">
    <w:name w:val="CM36"/>
    <w:basedOn w:val="Default"/>
    <w:next w:val="Default"/>
    <w:uiPriority w:val="99"/>
    <w:rsid w:val="004B4BA1"/>
    <w:rPr>
      <w:rFonts w:cstheme="minorBidi"/>
      <w:color w:val="auto"/>
    </w:rPr>
  </w:style>
  <w:style w:type="paragraph" w:styleId="FootnoteText">
    <w:name w:val="footnote text"/>
    <w:basedOn w:val="Normal"/>
    <w:link w:val="FootnoteTextChar"/>
    <w:uiPriority w:val="99"/>
    <w:semiHidden/>
    <w:unhideWhenUsed/>
    <w:rsid w:val="00E03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54"/>
    <w:rPr>
      <w:lang w:eastAsia="en-US"/>
    </w:rPr>
  </w:style>
  <w:style w:type="character" w:styleId="FootnoteReference">
    <w:name w:val="footnote reference"/>
    <w:basedOn w:val="DefaultParagraphFont"/>
    <w:uiPriority w:val="99"/>
    <w:semiHidden/>
    <w:unhideWhenUsed/>
    <w:rsid w:val="00E03B54"/>
    <w:rPr>
      <w:vertAlign w:val="superscript"/>
    </w:rPr>
  </w:style>
  <w:style w:type="character" w:styleId="Hyperlink">
    <w:name w:val="Hyperlink"/>
    <w:basedOn w:val="DefaultParagraphFont"/>
    <w:rsid w:val="00E03B54"/>
    <w:rPr>
      <w:color w:val="0000FF"/>
      <w:u w:val="single"/>
    </w:rPr>
  </w:style>
  <w:style w:type="paragraph" w:styleId="ListParagraph">
    <w:name w:val="List Paragraph"/>
    <w:basedOn w:val="Normal"/>
    <w:uiPriority w:val="34"/>
    <w:qFormat/>
    <w:rsid w:val="00E03B54"/>
    <w:pPr>
      <w:ind w:left="720"/>
      <w:contextualSpacing/>
    </w:pPr>
  </w:style>
  <w:style w:type="paragraph" w:styleId="HTMLPreformatted">
    <w:name w:val="HTML Preformatted"/>
    <w:basedOn w:val="Normal"/>
    <w:link w:val="HTMLPreformattedChar"/>
    <w:uiPriority w:val="99"/>
    <w:semiHidden/>
    <w:unhideWhenUsed/>
    <w:rsid w:val="00E0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03B54"/>
    <w:rPr>
      <w:rFonts w:ascii="Courier New" w:eastAsia="Times New Roman" w:hAnsi="Courier New" w:cs="Courier New"/>
    </w:rPr>
  </w:style>
  <w:style w:type="table" w:styleId="TableGrid">
    <w:name w:val="Table Grid"/>
    <w:basedOn w:val="TableNormal"/>
    <w:rsid w:val="00E03B5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A75CB"/>
    <w:rPr>
      <w:rFonts w:ascii="Times New Roman" w:eastAsia="Times New Roman" w:hAnsi="Times New Roman"/>
      <w:b/>
      <w:sz w:val="24"/>
      <w:szCs w:val="24"/>
    </w:rPr>
  </w:style>
  <w:style w:type="character" w:customStyle="1" w:styleId="Heading2Char">
    <w:name w:val="Heading 2 Char"/>
    <w:basedOn w:val="DefaultParagraphFont"/>
    <w:link w:val="Heading2"/>
    <w:rsid w:val="002A75CB"/>
    <w:rPr>
      <w:rFonts w:ascii="Times New Roman" w:eastAsia="Times New Roman" w:hAnsi="Times New Roman"/>
      <w:b/>
      <w:sz w:val="28"/>
      <w:szCs w:val="24"/>
    </w:rPr>
  </w:style>
  <w:style w:type="paragraph" w:styleId="Footer">
    <w:name w:val="footer"/>
    <w:basedOn w:val="Normal"/>
    <w:link w:val="FooterChar"/>
    <w:uiPriority w:val="99"/>
    <w:rsid w:val="002A75C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2A75CB"/>
    <w:rPr>
      <w:rFonts w:ascii="Times New Roman" w:eastAsia="Times New Roman" w:hAnsi="Times New Roman"/>
      <w:sz w:val="24"/>
      <w:szCs w:val="24"/>
    </w:rPr>
  </w:style>
  <w:style w:type="character" w:styleId="PageNumber">
    <w:name w:val="page number"/>
    <w:basedOn w:val="DefaultParagraphFont"/>
    <w:rsid w:val="002A75CB"/>
  </w:style>
  <w:style w:type="paragraph" w:styleId="BodyText">
    <w:name w:val="Body Text"/>
    <w:basedOn w:val="Normal"/>
    <w:link w:val="BodyTextChar"/>
    <w:rsid w:val="002A75CB"/>
    <w:pPr>
      <w:spacing w:after="0" w:line="240" w:lineRule="auto"/>
      <w:jc w:val="both"/>
    </w:pPr>
    <w:rPr>
      <w:rFonts w:ascii="Times New Roman" w:eastAsia="Times New Roman" w:hAnsi="Times New Roman"/>
      <w:b/>
      <w:sz w:val="40"/>
      <w:szCs w:val="24"/>
      <w:lang w:eastAsia="en-GB"/>
    </w:rPr>
  </w:style>
  <w:style w:type="character" w:customStyle="1" w:styleId="BodyTextChar">
    <w:name w:val="Body Text Char"/>
    <w:basedOn w:val="DefaultParagraphFont"/>
    <w:link w:val="BodyText"/>
    <w:rsid w:val="002A75CB"/>
    <w:rPr>
      <w:rFonts w:ascii="Times New Roman" w:eastAsia="Times New Roman" w:hAnsi="Times New Roman"/>
      <w:b/>
      <w:sz w:val="40"/>
      <w:szCs w:val="24"/>
    </w:rPr>
  </w:style>
  <w:style w:type="paragraph" w:styleId="BodyText2">
    <w:name w:val="Body Text 2"/>
    <w:basedOn w:val="Normal"/>
    <w:link w:val="BodyText2Char"/>
    <w:rsid w:val="002A75CB"/>
    <w:pPr>
      <w:spacing w:after="0" w:line="240" w:lineRule="auto"/>
      <w:jc w:val="both"/>
    </w:pPr>
    <w:rPr>
      <w:rFonts w:ascii="Times New Roman" w:eastAsia="Times New Roman" w:hAnsi="Times New Roman"/>
      <w:b/>
      <w:sz w:val="32"/>
      <w:szCs w:val="24"/>
      <w:lang w:eastAsia="en-GB"/>
    </w:rPr>
  </w:style>
  <w:style w:type="character" w:customStyle="1" w:styleId="BodyText2Char">
    <w:name w:val="Body Text 2 Char"/>
    <w:basedOn w:val="DefaultParagraphFont"/>
    <w:link w:val="BodyText2"/>
    <w:rsid w:val="002A75CB"/>
    <w:rPr>
      <w:rFonts w:ascii="Times New Roman" w:eastAsia="Times New Roman" w:hAnsi="Times New Roman"/>
      <w:b/>
      <w:sz w:val="32"/>
      <w:szCs w:val="24"/>
    </w:rPr>
  </w:style>
  <w:style w:type="paragraph" w:styleId="BalloonText">
    <w:name w:val="Balloon Text"/>
    <w:basedOn w:val="Normal"/>
    <w:link w:val="BalloonTextChar"/>
    <w:semiHidden/>
    <w:rsid w:val="002A75C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2A75CB"/>
    <w:rPr>
      <w:rFonts w:ascii="Tahoma" w:eastAsia="Times New Roman" w:hAnsi="Tahoma" w:cs="Tahoma"/>
      <w:sz w:val="16"/>
      <w:szCs w:val="16"/>
    </w:rPr>
  </w:style>
  <w:style w:type="paragraph" w:styleId="Header">
    <w:name w:val="header"/>
    <w:basedOn w:val="Normal"/>
    <w:link w:val="HeaderChar"/>
    <w:uiPriority w:val="99"/>
    <w:unhideWhenUsed/>
    <w:rsid w:val="002A7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CB"/>
    <w:rPr>
      <w:sz w:val="22"/>
      <w:szCs w:val="22"/>
      <w:lang w:eastAsia="en-US"/>
    </w:rPr>
  </w:style>
  <w:style w:type="paragraph" w:styleId="Caption">
    <w:name w:val="caption"/>
    <w:basedOn w:val="Normal"/>
    <w:next w:val="Normal"/>
    <w:uiPriority w:val="35"/>
    <w:unhideWhenUsed/>
    <w:qFormat/>
    <w:rsid w:val="008B15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paragraph" w:styleId="Heading1">
    <w:name w:val="heading 1"/>
    <w:basedOn w:val="Normal"/>
    <w:next w:val="Normal"/>
    <w:link w:val="Heading1Char"/>
    <w:qFormat/>
    <w:rsid w:val="002A75CB"/>
    <w:pPr>
      <w:keepNext/>
      <w:tabs>
        <w:tab w:val="left" w:pos="6180"/>
      </w:tabs>
      <w:spacing w:after="0" w:line="240" w:lineRule="auto"/>
      <w:jc w:val="both"/>
      <w:outlineLvl w:val="0"/>
    </w:pPr>
    <w:rPr>
      <w:rFonts w:ascii="Times New Roman" w:eastAsia="Times New Roman" w:hAnsi="Times New Roman"/>
      <w:b/>
      <w:sz w:val="24"/>
      <w:szCs w:val="24"/>
      <w:lang w:eastAsia="en-GB"/>
    </w:rPr>
  </w:style>
  <w:style w:type="paragraph" w:styleId="Heading2">
    <w:name w:val="heading 2"/>
    <w:basedOn w:val="Normal"/>
    <w:next w:val="Normal"/>
    <w:link w:val="Heading2Char"/>
    <w:qFormat/>
    <w:rsid w:val="002A75CB"/>
    <w:pPr>
      <w:keepNext/>
      <w:spacing w:after="0" w:line="240" w:lineRule="auto"/>
      <w:jc w:val="both"/>
      <w:outlineLvl w:val="1"/>
    </w:pPr>
    <w:rPr>
      <w:rFonts w:ascii="Times New Roman" w:eastAsia="Times New Roman" w:hAnsi="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BA1"/>
    <w:pPr>
      <w:widowControl w:val="0"/>
      <w:autoSpaceDE w:val="0"/>
      <w:autoSpaceDN w:val="0"/>
      <w:adjustRightInd w:val="0"/>
    </w:pPr>
    <w:rPr>
      <w:rFonts w:ascii="Verdana" w:eastAsiaTheme="minorEastAsia" w:hAnsi="Verdana" w:cs="Verdana"/>
      <w:color w:val="000000"/>
      <w:sz w:val="24"/>
      <w:szCs w:val="24"/>
    </w:rPr>
  </w:style>
  <w:style w:type="paragraph" w:customStyle="1" w:styleId="CM1">
    <w:name w:val="CM1"/>
    <w:basedOn w:val="Default"/>
    <w:next w:val="Default"/>
    <w:uiPriority w:val="99"/>
    <w:rsid w:val="004B4BA1"/>
    <w:pPr>
      <w:spacing w:line="496" w:lineRule="atLeast"/>
    </w:pPr>
    <w:rPr>
      <w:rFonts w:cstheme="minorBidi"/>
      <w:color w:val="auto"/>
    </w:rPr>
  </w:style>
  <w:style w:type="paragraph" w:customStyle="1" w:styleId="CM2">
    <w:name w:val="CM2"/>
    <w:basedOn w:val="Default"/>
    <w:next w:val="Default"/>
    <w:uiPriority w:val="99"/>
    <w:rsid w:val="004B4BA1"/>
    <w:pPr>
      <w:spacing w:line="243" w:lineRule="atLeast"/>
    </w:pPr>
    <w:rPr>
      <w:rFonts w:cstheme="minorBidi"/>
      <w:color w:val="auto"/>
    </w:rPr>
  </w:style>
  <w:style w:type="paragraph" w:customStyle="1" w:styleId="CM34">
    <w:name w:val="CM34"/>
    <w:basedOn w:val="Default"/>
    <w:next w:val="Default"/>
    <w:uiPriority w:val="99"/>
    <w:rsid w:val="004B4BA1"/>
    <w:rPr>
      <w:rFonts w:cstheme="minorBidi"/>
      <w:color w:val="auto"/>
    </w:rPr>
  </w:style>
  <w:style w:type="paragraph" w:customStyle="1" w:styleId="CM4">
    <w:name w:val="CM4"/>
    <w:basedOn w:val="Default"/>
    <w:next w:val="Default"/>
    <w:uiPriority w:val="99"/>
    <w:rsid w:val="004B4BA1"/>
    <w:pPr>
      <w:spacing w:line="243" w:lineRule="atLeast"/>
    </w:pPr>
    <w:rPr>
      <w:rFonts w:cstheme="minorBidi"/>
      <w:color w:val="auto"/>
    </w:rPr>
  </w:style>
  <w:style w:type="paragraph" w:customStyle="1" w:styleId="CM35">
    <w:name w:val="CM35"/>
    <w:basedOn w:val="Default"/>
    <w:next w:val="Default"/>
    <w:uiPriority w:val="99"/>
    <w:rsid w:val="004B4BA1"/>
    <w:rPr>
      <w:rFonts w:cstheme="minorBidi"/>
      <w:color w:val="auto"/>
    </w:rPr>
  </w:style>
  <w:style w:type="paragraph" w:customStyle="1" w:styleId="CM36">
    <w:name w:val="CM36"/>
    <w:basedOn w:val="Default"/>
    <w:next w:val="Default"/>
    <w:uiPriority w:val="99"/>
    <w:rsid w:val="004B4BA1"/>
    <w:rPr>
      <w:rFonts w:cstheme="minorBidi"/>
      <w:color w:val="auto"/>
    </w:rPr>
  </w:style>
  <w:style w:type="paragraph" w:styleId="FootnoteText">
    <w:name w:val="footnote text"/>
    <w:basedOn w:val="Normal"/>
    <w:link w:val="FootnoteTextChar"/>
    <w:uiPriority w:val="99"/>
    <w:semiHidden/>
    <w:unhideWhenUsed/>
    <w:rsid w:val="00E03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54"/>
    <w:rPr>
      <w:lang w:eastAsia="en-US"/>
    </w:rPr>
  </w:style>
  <w:style w:type="character" w:styleId="FootnoteReference">
    <w:name w:val="footnote reference"/>
    <w:basedOn w:val="DefaultParagraphFont"/>
    <w:uiPriority w:val="99"/>
    <w:semiHidden/>
    <w:unhideWhenUsed/>
    <w:rsid w:val="00E03B54"/>
    <w:rPr>
      <w:vertAlign w:val="superscript"/>
    </w:rPr>
  </w:style>
  <w:style w:type="character" w:styleId="Hyperlink">
    <w:name w:val="Hyperlink"/>
    <w:basedOn w:val="DefaultParagraphFont"/>
    <w:rsid w:val="00E03B54"/>
    <w:rPr>
      <w:color w:val="0000FF"/>
      <w:u w:val="single"/>
    </w:rPr>
  </w:style>
  <w:style w:type="paragraph" w:styleId="ListParagraph">
    <w:name w:val="List Paragraph"/>
    <w:basedOn w:val="Normal"/>
    <w:uiPriority w:val="34"/>
    <w:qFormat/>
    <w:rsid w:val="00E03B54"/>
    <w:pPr>
      <w:ind w:left="720"/>
      <w:contextualSpacing/>
    </w:pPr>
  </w:style>
  <w:style w:type="paragraph" w:styleId="HTMLPreformatted">
    <w:name w:val="HTML Preformatted"/>
    <w:basedOn w:val="Normal"/>
    <w:link w:val="HTMLPreformattedChar"/>
    <w:uiPriority w:val="99"/>
    <w:semiHidden/>
    <w:unhideWhenUsed/>
    <w:rsid w:val="00E0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03B54"/>
    <w:rPr>
      <w:rFonts w:ascii="Courier New" w:eastAsia="Times New Roman" w:hAnsi="Courier New" w:cs="Courier New"/>
    </w:rPr>
  </w:style>
  <w:style w:type="table" w:styleId="TableGrid">
    <w:name w:val="Table Grid"/>
    <w:basedOn w:val="TableNormal"/>
    <w:rsid w:val="00E03B5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A75CB"/>
    <w:rPr>
      <w:rFonts w:ascii="Times New Roman" w:eastAsia="Times New Roman" w:hAnsi="Times New Roman"/>
      <w:b/>
      <w:sz w:val="24"/>
      <w:szCs w:val="24"/>
    </w:rPr>
  </w:style>
  <w:style w:type="character" w:customStyle="1" w:styleId="Heading2Char">
    <w:name w:val="Heading 2 Char"/>
    <w:basedOn w:val="DefaultParagraphFont"/>
    <w:link w:val="Heading2"/>
    <w:rsid w:val="002A75CB"/>
    <w:rPr>
      <w:rFonts w:ascii="Times New Roman" w:eastAsia="Times New Roman" w:hAnsi="Times New Roman"/>
      <w:b/>
      <w:sz w:val="28"/>
      <w:szCs w:val="24"/>
    </w:rPr>
  </w:style>
  <w:style w:type="paragraph" w:styleId="Footer">
    <w:name w:val="footer"/>
    <w:basedOn w:val="Normal"/>
    <w:link w:val="FooterChar"/>
    <w:uiPriority w:val="99"/>
    <w:rsid w:val="002A75C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2A75CB"/>
    <w:rPr>
      <w:rFonts w:ascii="Times New Roman" w:eastAsia="Times New Roman" w:hAnsi="Times New Roman"/>
      <w:sz w:val="24"/>
      <w:szCs w:val="24"/>
    </w:rPr>
  </w:style>
  <w:style w:type="character" w:styleId="PageNumber">
    <w:name w:val="page number"/>
    <w:basedOn w:val="DefaultParagraphFont"/>
    <w:rsid w:val="002A75CB"/>
  </w:style>
  <w:style w:type="paragraph" w:styleId="BodyText">
    <w:name w:val="Body Text"/>
    <w:basedOn w:val="Normal"/>
    <w:link w:val="BodyTextChar"/>
    <w:rsid w:val="002A75CB"/>
    <w:pPr>
      <w:spacing w:after="0" w:line="240" w:lineRule="auto"/>
      <w:jc w:val="both"/>
    </w:pPr>
    <w:rPr>
      <w:rFonts w:ascii="Times New Roman" w:eastAsia="Times New Roman" w:hAnsi="Times New Roman"/>
      <w:b/>
      <w:sz w:val="40"/>
      <w:szCs w:val="24"/>
      <w:lang w:eastAsia="en-GB"/>
    </w:rPr>
  </w:style>
  <w:style w:type="character" w:customStyle="1" w:styleId="BodyTextChar">
    <w:name w:val="Body Text Char"/>
    <w:basedOn w:val="DefaultParagraphFont"/>
    <w:link w:val="BodyText"/>
    <w:rsid w:val="002A75CB"/>
    <w:rPr>
      <w:rFonts w:ascii="Times New Roman" w:eastAsia="Times New Roman" w:hAnsi="Times New Roman"/>
      <w:b/>
      <w:sz w:val="40"/>
      <w:szCs w:val="24"/>
    </w:rPr>
  </w:style>
  <w:style w:type="paragraph" w:styleId="BodyText2">
    <w:name w:val="Body Text 2"/>
    <w:basedOn w:val="Normal"/>
    <w:link w:val="BodyText2Char"/>
    <w:rsid w:val="002A75CB"/>
    <w:pPr>
      <w:spacing w:after="0" w:line="240" w:lineRule="auto"/>
      <w:jc w:val="both"/>
    </w:pPr>
    <w:rPr>
      <w:rFonts w:ascii="Times New Roman" w:eastAsia="Times New Roman" w:hAnsi="Times New Roman"/>
      <w:b/>
      <w:sz w:val="32"/>
      <w:szCs w:val="24"/>
      <w:lang w:eastAsia="en-GB"/>
    </w:rPr>
  </w:style>
  <w:style w:type="character" w:customStyle="1" w:styleId="BodyText2Char">
    <w:name w:val="Body Text 2 Char"/>
    <w:basedOn w:val="DefaultParagraphFont"/>
    <w:link w:val="BodyText2"/>
    <w:rsid w:val="002A75CB"/>
    <w:rPr>
      <w:rFonts w:ascii="Times New Roman" w:eastAsia="Times New Roman" w:hAnsi="Times New Roman"/>
      <w:b/>
      <w:sz w:val="32"/>
      <w:szCs w:val="24"/>
    </w:rPr>
  </w:style>
  <w:style w:type="paragraph" w:styleId="BalloonText">
    <w:name w:val="Balloon Text"/>
    <w:basedOn w:val="Normal"/>
    <w:link w:val="BalloonTextChar"/>
    <w:semiHidden/>
    <w:rsid w:val="002A75C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2A75CB"/>
    <w:rPr>
      <w:rFonts w:ascii="Tahoma" w:eastAsia="Times New Roman" w:hAnsi="Tahoma" w:cs="Tahoma"/>
      <w:sz w:val="16"/>
      <w:szCs w:val="16"/>
    </w:rPr>
  </w:style>
  <w:style w:type="paragraph" w:styleId="Header">
    <w:name w:val="header"/>
    <w:basedOn w:val="Normal"/>
    <w:link w:val="HeaderChar"/>
    <w:uiPriority w:val="99"/>
    <w:unhideWhenUsed/>
    <w:rsid w:val="002A7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CB"/>
    <w:rPr>
      <w:sz w:val="22"/>
      <w:szCs w:val="22"/>
      <w:lang w:eastAsia="en-US"/>
    </w:rPr>
  </w:style>
  <w:style w:type="paragraph" w:styleId="Caption">
    <w:name w:val="caption"/>
    <w:basedOn w:val="Normal"/>
    <w:next w:val="Normal"/>
    <w:uiPriority w:val="35"/>
    <w:unhideWhenUsed/>
    <w:qFormat/>
    <w:rsid w:val="008B15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curia.europa.eu/jcms/jcms/j_6/home" TargetMode="External"/><Relationship Id="rId26" Type="http://schemas.openxmlformats.org/officeDocument/2006/relationships/hyperlink" Target="http://www.bologna-berlin2003.de/pdf/Sorbonne_declaration.pdf" TargetMode="External"/><Relationship Id="rId39" Type="http://schemas.openxmlformats.org/officeDocument/2006/relationships/hyperlink" Target="http://www.eurunion.org/infores/studyof/portrait.htm" TargetMode="External"/><Relationship Id="rId21" Type="http://schemas.openxmlformats.org/officeDocument/2006/relationships/chart" Target="charts/chart9.xml"/><Relationship Id="rId34" Type="http://schemas.openxmlformats.org/officeDocument/2006/relationships/hyperlink" Target="http://aei.pitt.edu/1728/01/BacheHE.pdf" TargetMode="External"/><Relationship Id="rId42" Type="http://schemas.openxmlformats.org/officeDocument/2006/relationships/hyperlink" Target="http://www.politik.uni-koeln.de/wessels/DE/PUBLIKATIONEN/texte/empirical-focus%20.pdf" TargetMode="External"/><Relationship Id="rId47" Type="http://schemas.openxmlformats.org/officeDocument/2006/relationships/hyperlink" Target="http://www.bologne-bergen2005.no/Docs/00-Main_doc/0105Lourtie_report.pdf" TargetMode="External"/><Relationship Id="rId50" Type="http://schemas.openxmlformats.org/officeDocument/2006/relationships/hyperlink" Target="http://www.bailii.org" TargetMode="External"/><Relationship Id="rId55" Type="http://schemas.openxmlformats.org/officeDocument/2006/relationships/hyperlink" Target="http://www.ukcle.ac.uk/interact/surveys.html" TargetMode="External"/><Relationship Id="rId63" Type="http://schemas.openxmlformats.org/officeDocument/2006/relationships/oleObject" Target="embeddings/oleObject4.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uropa.eu/index_en.htm" TargetMode="External"/><Relationship Id="rId20" Type="http://schemas.openxmlformats.org/officeDocument/2006/relationships/chart" Target="charts/chart8.xml"/><Relationship Id="rId29" Type="http://schemas.openxmlformats.org/officeDocument/2006/relationships/hyperlink" Target="http://www.bologna-bergen2005.no/Docs/00-Main_doc/03091Berlin_Communiqu.pdf" TargetMode="External"/><Relationship Id="rId41" Type="http://schemas.openxmlformats.org/officeDocument/2006/relationships/hyperlink" Target="http://www.politik.uni-koeln.de/wessels/DE/PROJEKTE/CORE_CURRICULUM/TEACHING_INTEGRATION.PDF" TargetMode="External"/><Relationship Id="rId54" Type="http://schemas.openxmlformats.org/officeDocument/2006/relationships/hyperlink" Target="http://www.law.ex.ac.uk/cels/documents/" TargetMode="External"/><Relationship Id="rId62"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hyperlink" Target="http://www.ond.vlaanderen.be/hogeronderwijs/bologna/conference/documents/Leuven_Louvain-la-Neuve_Communiqu&#233;_April_2009.pdf" TargetMode="External"/><Relationship Id="rId37" Type="http://schemas.openxmlformats.org/officeDocument/2006/relationships/hyperlink" Target="http://www.lebenslangeslernen.at/downloads/EU_CoherentHigherEducation_0301.pdf" TargetMode="External"/><Relationship Id="rId40" Type="http://schemas.openxmlformats.org/officeDocument/2006/relationships/hyperlink" Target="http://aei.pitt.edu/3091/01/2005_03_18_EUSA_Submitted.pdf" TargetMode="External"/><Relationship Id="rId45" Type="http://schemas.openxmlformats.org/officeDocument/2006/relationships/hyperlink" Target="http://ec.europa/education/policies/educ/bologna/berlin.pdf" TargetMode="External"/><Relationship Id="rId53" Type="http://schemas.openxmlformats.org/officeDocument/2006/relationships/hyperlink" Target="http://europa.eu/index_en.htm" TargetMode="External"/><Relationship Id="rId58" Type="http://schemas.openxmlformats.org/officeDocument/2006/relationships/image" Target="media/image1.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1.xml"/><Relationship Id="rId28" Type="http://schemas.openxmlformats.org/officeDocument/2006/relationships/hyperlink" Target="http://www.bologna-bergen2005.no/Docs/00-Main_doc/010519PRAGUE_COMMUNIQUE.PDF" TargetMode="External"/><Relationship Id="rId36" Type="http://schemas.openxmlformats.org/officeDocument/2006/relationships/hyperlink" Target="http://www.eurunion.org/infores/teaching/goebel.htm" TargetMode="External"/><Relationship Id="rId49" Type="http://schemas.openxmlformats.org/officeDocument/2006/relationships/hyperlink" Target="http://www.bologna-berlin2005.no/Docs/00-Main_doc/0309ZGAGA.PDF" TargetMode="External"/><Relationship Id="rId57" Type="http://schemas.openxmlformats.org/officeDocument/2006/relationships/hyperlink" Target="http://www.ukcle.ac.uk/resources/ict/index.html" TargetMode="External"/><Relationship Id="rId61" Type="http://schemas.openxmlformats.org/officeDocument/2006/relationships/hyperlink" Target="mailto:christian.dadomo@uwe.ac.uk" TargetMode="Externa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hyperlink" Target="http://www.dcsf.gov.uk/londonbologna/uploads/documents/LondonCommuniquefinalwithLondonlogo.pdf" TargetMode="External"/><Relationship Id="rId44" Type="http://schemas.openxmlformats.org/officeDocument/2006/relationships/hyperlink" Target="http://www.bologna-bergen2005.no/Bergen/050503_General_rep.pdf" TargetMode="External"/><Relationship Id="rId52" Type="http://schemas.openxmlformats.org/officeDocument/2006/relationships/hyperlink" Target="http://curia.europa.eu/jcms/jcms/j_6/home" TargetMode="External"/><Relationship Id="rId60" Type="http://schemas.openxmlformats.org/officeDocument/2006/relationships/oleObject" Target="embeddings/oleObject2.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0.xml"/><Relationship Id="rId27" Type="http://schemas.openxmlformats.org/officeDocument/2006/relationships/hyperlink" Target="http://www.ond.vlaanderen.be/hogeronderwijs/bologna/documents/MDC/BOLOGNA_DECLARATION1.pdf" TargetMode="External"/><Relationship Id="rId30" Type="http://schemas.openxmlformats.org/officeDocument/2006/relationships/hyperlink" Target="http://www.bologna-bergen2005.no/Docs/00-Main_doc/050520_Bergen_Communique.pdf" TargetMode="External"/><Relationship Id="rId35" Type="http://schemas.openxmlformats.org/officeDocument/2006/relationships/hyperlink" Target="http://www.upf.edu/bolonya/obolonya/eees/document/instituc/1999/santander.rtf" TargetMode="External"/><Relationship Id="rId43" Type="http://schemas.openxmlformats.org/officeDocument/2006/relationships/hyperlink" Target="http://www.teu.teachingtheeu.html" TargetMode="External"/><Relationship Id="rId48" Type="http://schemas.openxmlformats.org/officeDocument/2006/relationships/hyperlink" Target="http://ec.europa.eu/education/policies/educ/bologna/bologna.pdf" TargetMode="External"/><Relationship Id="rId56" Type="http://schemas.openxmlformats.org/officeDocument/2006/relationships/hyperlink" Target="http://www.ukcle.ac.uk/research/projects/environmental.html" TargetMode="External"/><Relationship Id="rId64" Type="http://schemas.openxmlformats.org/officeDocument/2006/relationships/hyperlink" Target="mailto:christian.dadomo@uwe.ac.uk" TargetMode="External"/><Relationship Id="rId8" Type="http://schemas.openxmlformats.org/officeDocument/2006/relationships/endnotes" Target="endnotes.xml"/><Relationship Id="rId51" Type="http://schemas.openxmlformats.org/officeDocument/2006/relationships/hyperlink" Target="http://www.biletta.ac.uk"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www.bailii.org" TargetMode="External"/><Relationship Id="rId25" Type="http://schemas.openxmlformats.org/officeDocument/2006/relationships/chart" Target="charts/chart13.xml"/><Relationship Id="rId33" Type="http://schemas.openxmlformats.org/officeDocument/2006/relationships/hyperlink" Target="http://www.ond.vlaanderen.be/hogeronderwijs/Bologna/2010_conference/documents/Budapest-Vienna_Declaration.pdf" TargetMode="External"/><Relationship Id="rId38" Type="http://schemas.openxmlformats.org/officeDocument/2006/relationships/hyperlink" Target="http://www.elfa-afde.org/PDF/Journal/UNIVERSITY%25TRAINING.pdf" TargetMode="External"/><Relationship Id="rId46" Type="http://schemas.openxmlformats.org/officeDocument/2006/relationships/hyperlink" Target="http://ec.europa.eu/education/policies/educ/bologna/report05.pdf" TargetMode="External"/><Relationship Id="rId5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8" Type="http://schemas.openxmlformats.org/officeDocument/2006/relationships/hyperlink" Target="http://www.lebenslangeslernen.at/downloads/EU_CoherentHigherEducation_0301.pdf" TargetMode="External"/><Relationship Id="rId13" Type="http://schemas.openxmlformats.org/officeDocument/2006/relationships/hyperlink" Target="http://ec.europa.eu/education/policies/educ/bologna/report05.pdf" TargetMode="External"/><Relationship Id="rId18" Type="http://schemas.openxmlformats.org/officeDocument/2006/relationships/hyperlink" Target="http://aei.pitt.edu/1728/01/BacheHE.pdf" TargetMode="External"/><Relationship Id="rId26" Type="http://schemas.openxmlformats.org/officeDocument/2006/relationships/hyperlink" Target="http://www.ukcle.ac.uk/interact/surveys.html" TargetMode="External"/><Relationship Id="rId3" Type="http://schemas.openxmlformats.org/officeDocument/2006/relationships/hyperlink" Target="http://www.ond.vlaanderen.be/hogeronderwijs/bologna/documents/MDC/BOLOGNA_DECLARATION1.pdf" TargetMode="External"/><Relationship Id="rId21" Type="http://schemas.openxmlformats.org/officeDocument/2006/relationships/hyperlink" Target="http://www.eurunion.org/infores/studyof/portrait.htm" TargetMode="External"/><Relationship Id="rId7" Type="http://schemas.openxmlformats.org/officeDocument/2006/relationships/hyperlink" Target="http://www.bologne-bergen2005.no/Docs/00-Main_doc/0105Lourtie_report.pdf" TargetMode="External"/><Relationship Id="rId12" Type="http://schemas.openxmlformats.org/officeDocument/2006/relationships/hyperlink" Target="http://www.bologna-bergen2005.no/Docs/00-Main_doc/050520_Bergen_Communique.pdf" TargetMode="External"/><Relationship Id="rId17" Type="http://schemas.openxmlformats.org/officeDocument/2006/relationships/hyperlink" Target="http://www.ond.vlaanderen.be/hogeronderwijs/Bologna/2010_conference/documents/Budapest-Vienna_Declaration.pdf" TargetMode="External"/><Relationship Id="rId25" Type="http://schemas.openxmlformats.org/officeDocument/2006/relationships/hyperlink" Target="http://www.law.ex.ac.uk/cels/documents/" TargetMode="External"/><Relationship Id="rId2" Type="http://schemas.openxmlformats.org/officeDocument/2006/relationships/hyperlink" Target="http://www.upf.edu/bolonya/obolonya/eees/document/instituc/1999/santander.rtf" TargetMode="External"/><Relationship Id="rId16" Type="http://schemas.openxmlformats.org/officeDocument/2006/relationships/hyperlink" Target="http://www.ond.vlaanderen.be/hogeronderwijs/bologna/conference/documents/Leuven_Louvain-la-Neuve_Communiqu&#233;_April_2009.pdf" TargetMode="External"/><Relationship Id="rId20" Type="http://schemas.openxmlformats.org/officeDocument/2006/relationships/hyperlink" Target="http://www.politik.uni-koeln.de/wessels/DE/PUBLIKATIONEN/texte/empirical-focus%20.pdf" TargetMode="External"/><Relationship Id="rId29" Type="http://schemas.openxmlformats.org/officeDocument/2006/relationships/hyperlink" Target="http://www.bileta.ac.uk" TargetMode="External"/><Relationship Id="rId1" Type="http://schemas.openxmlformats.org/officeDocument/2006/relationships/hyperlink" Target="http://www.bologna-berlin2003.de/pdf/Sorbonne_declaration.pdf" TargetMode="External"/><Relationship Id="rId6" Type="http://schemas.openxmlformats.org/officeDocument/2006/relationships/hyperlink" Target="http://www.bologna-bergen2005.no/Docs/00-Main_doc/010519PRAGUE_COMMUNIQUE.PDF" TargetMode="External"/><Relationship Id="rId11" Type="http://schemas.openxmlformats.org/officeDocument/2006/relationships/hyperlink" Target="http://www.bologna-berlin2005.no/Docs/00-Main_doc/0309ZGAGA.PDF" TargetMode="External"/><Relationship Id="rId24" Type="http://schemas.openxmlformats.org/officeDocument/2006/relationships/hyperlink" Target="http://www.teu.teachingtheeu.html" TargetMode="External"/><Relationship Id="rId5" Type="http://schemas.openxmlformats.org/officeDocument/2006/relationships/hyperlink" Target="http://www.elfa-afde.org/PDF/Journal/UNIVERSITY%25TRAINING.pdf" TargetMode="External"/><Relationship Id="rId15" Type="http://schemas.openxmlformats.org/officeDocument/2006/relationships/hyperlink" Target="http://www.dcsf.gov.uk/londonbologna/uploads/documents/LondonCommuniquefinalwithLondonlogo.pdf" TargetMode="External"/><Relationship Id="rId23" Type="http://schemas.openxmlformats.org/officeDocument/2006/relationships/hyperlink" Target="http://aei.pitt.edu/3091/01/2005_03_18_EUSA_Submitted.pdf" TargetMode="External"/><Relationship Id="rId28" Type="http://schemas.openxmlformats.org/officeDocument/2006/relationships/hyperlink" Target="http://www.ukcle.ac.uk/resources/ict/index.html" TargetMode="External"/><Relationship Id="rId10" Type="http://schemas.openxmlformats.org/officeDocument/2006/relationships/hyperlink" Target="http://ec.europa/education/policies/educ/bologna/berlin.pdf" TargetMode="External"/><Relationship Id="rId19" Type="http://schemas.openxmlformats.org/officeDocument/2006/relationships/hyperlink" Target="http://www.politik.uni-koeln.de/wessels/DE/PROJEKTE/CORE_CURRICULUM/TEACHING_INTEGRATION.PDF" TargetMode="External"/><Relationship Id="rId4" Type="http://schemas.openxmlformats.org/officeDocument/2006/relationships/hyperlink" Target="http://ec.europa.eu/education/policies/educ/bologna/bologna.pdf" TargetMode="External"/><Relationship Id="rId9" Type="http://schemas.openxmlformats.org/officeDocument/2006/relationships/hyperlink" Target="http://www.bologna-bergen2005.no/Docs/00-Main_doc/03091Berlin_Communiqu.pdf" TargetMode="External"/><Relationship Id="rId14" Type="http://schemas.openxmlformats.org/officeDocument/2006/relationships/hyperlink" Target="http://www.bologna-bergen2005.no/Bergen/050503_General_rep.pdf" TargetMode="External"/><Relationship Id="rId22" Type="http://schemas.openxmlformats.org/officeDocument/2006/relationships/hyperlink" Target="http://www.eurunion.org/infores/teaching/goebel.htm" TargetMode="External"/><Relationship Id="rId27" Type="http://schemas.openxmlformats.org/officeDocument/2006/relationships/hyperlink" Target="http://www.ukcle.ac.uk/research/projects/environmenta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4%20Course%20Conten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11%20Stud%20Questionnair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11%20External%20Exam%20Repor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11%20Peer%20Review%20by%20EU%20tutor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11%20Peer%20Review%20in%20De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4%20Course%20Content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4%20Course%20Content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4(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6%20Learning%20and%20Teaching%20metho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7%20E%20Learning%20Method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8%20Recommended%20Textbook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8%20Recommended%20CasebooksCa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ick\Documents\EU%20Law%20Teaching%20and%20Learning\EU%20Project%20Charts%202\Question%2010%20Assessment%20Metho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6.1.1	Course Content</a:t>
            </a:r>
          </a:p>
        </c:rich>
      </c:tx>
      <c:layout>
        <c:manualLayout>
          <c:xMode val="edge"/>
          <c:yMode val="edge"/>
          <c:x val="0.38336879894145676"/>
          <c:y val="2.033891736687285E-2"/>
        </c:manualLayout>
      </c:layout>
      <c:overlay val="0"/>
      <c:spPr>
        <a:noFill/>
        <a:ln w="25400">
          <a:noFill/>
        </a:ln>
      </c:spPr>
    </c:title>
    <c:autoTitleDeleted val="0"/>
    <c:plotArea>
      <c:layout>
        <c:manualLayout>
          <c:layoutTarget val="inner"/>
          <c:xMode val="edge"/>
          <c:yMode val="edge"/>
          <c:x val="6.2047569803516313E-2"/>
          <c:y val="0.12542372881355837"/>
          <c:w val="0.82006204756980361"/>
          <c:h val="0.70677966101694911"/>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Sheet1!$A$1:$A$9</c:f>
              <c:strCache>
                <c:ptCount val="9"/>
                <c:pt idx="0">
                  <c:v>Historical Background</c:v>
                </c:pt>
                <c:pt idx="1">
                  <c:v>Institutional Framework</c:v>
                </c:pt>
                <c:pt idx="2">
                  <c:v>Nature and Function of EU</c:v>
                </c:pt>
                <c:pt idx="3">
                  <c:v>Integration Theory</c:v>
                </c:pt>
                <c:pt idx="4">
                  <c:v>Civil Law Systems and Reasoning</c:v>
                </c:pt>
                <c:pt idx="5">
                  <c:v>Sources of Law</c:v>
                </c:pt>
                <c:pt idx="6">
                  <c:v>Supremacy</c:v>
                </c:pt>
                <c:pt idx="7">
                  <c:v>Direct Effect</c:v>
                </c:pt>
                <c:pt idx="8">
                  <c:v>General Principles</c:v>
                </c:pt>
              </c:strCache>
            </c:strRef>
          </c:cat>
          <c:val>
            <c:numRef>
              <c:f>Sheet1!$B$1:$B$9</c:f>
              <c:numCache>
                <c:formatCode>General</c:formatCode>
                <c:ptCount val="9"/>
                <c:pt idx="0">
                  <c:v>13</c:v>
                </c:pt>
                <c:pt idx="1">
                  <c:v>13</c:v>
                </c:pt>
                <c:pt idx="2">
                  <c:v>13</c:v>
                </c:pt>
                <c:pt idx="3">
                  <c:v>4</c:v>
                </c:pt>
                <c:pt idx="4">
                  <c:v>5</c:v>
                </c:pt>
                <c:pt idx="5">
                  <c:v>13</c:v>
                </c:pt>
                <c:pt idx="6">
                  <c:v>11</c:v>
                </c:pt>
                <c:pt idx="7">
                  <c:v>13</c:v>
                </c:pt>
                <c:pt idx="8">
                  <c:v>12</c:v>
                </c:pt>
              </c:numCache>
            </c:numRef>
          </c:val>
        </c:ser>
        <c:ser>
          <c:idx val="1"/>
          <c:order val="1"/>
          <c:tx>
            <c:v>LLB/QLD</c:v>
          </c:tx>
          <c:spPr>
            <a:solidFill>
              <a:srgbClr val="993366"/>
            </a:solidFill>
            <a:ln w="12700">
              <a:solidFill>
                <a:srgbClr val="000000"/>
              </a:solidFill>
              <a:prstDash val="solid"/>
            </a:ln>
          </c:spPr>
          <c:invertIfNegative val="0"/>
          <c:cat>
            <c:strRef>
              <c:f>Sheet1!$A$1:$A$9</c:f>
              <c:strCache>
                <c:ptCount val="9"/>
                <c:pt idx="0">
                  <c:v>Historical Background</c:v>
                </c:pt>
                <c:pt idx="1">
                  <c:v>Institutional Framework</c:v>
                </c:pt>
                <c:pt idx="2">
                  <c:v>Nature and Function of EU</c:v>
                </c:pt>
                <c:pt idx="3">
                  <c:v>Integration Theory</c:v>
                </c:pt>
                <c:pt idx="4">
                  <c:v>Civil Law Systems and Reasoning</c:v>
                </c:pt>
                <c:pt idx="5">
                  <c:v>Sources of Law</c:v>
                </c:pt>
                <c:pt idx="6">
                  <c:v>Supremacy</c:v>
                </c:pt>
                <c:pt idx="7">
                  <c:v>Direct Effect</c:v>
                </c:pt>
                <c:pt idx="8">
                  <c:v>General Principles</c:v>
                </c:pt>
              </c:strCache>
            </c:strRef>
          </c:cat>
          <c:val>
            <c:numRef>
              <c:f>Sheet1!$C$1:$C$9</c:f>
              <c:numCache>
                <c:formatCode>General</c:formatCode>
                <c:ptCount val="9"/>
                <c:pt idx="0">
                  <c:v>35</c:v>
                </c:pt>
                <c:pt idx="1">
                  <c:v>34</c:v>
                </c:pt>
                <c:pt idx="2">
                  <c:v>32</c:v>
                </c:pt>
                <c:pt idx="3">
                  <c:v>15</c:v>
                </c:pt>
                <c:pt idx="4">
                  <c:v>7</c:v>
                </c:pt>
                <c:pt idx="5">
                  <c:v>35</c:v>
                </c:pt>
                <c:pt idx="6">
                  <c:v>33</c:v>
                </c:pt>
                <c:pt idx="7">
                  <c:v>34</c:v>
                </c:pt>
                <c:pt idx="8">
                  <c:v>30</c:v>
                </c:pt>
              </c:numCache>
            </c:numRef>
          </c:val>
        </c:ser>
        <c:ser>
          <c:idx val="2"/>
          <c:order val="2"/>
          <c:tx>
            <c:v>Both Degrees</c:v>
          </c:tx>
          <c:spPr>
            <a:solidFill>
              <a:srgbClr val="FFFFCC"/>
            </a:solidFill>
            <a:ln w="12700">
              <a:solidFill>
                <a:srgbClr val="000000"/>
              </a:solidFill>
              <a:prstDash val="solid"/>
            </a:ln>
          </c:spPr>
          <c:invertIfNegative val="0"/>
          <c:cat>
            <c:strRef>
              <c:f>Sheet1!$A$1:$A$9</c:f>
              <c:strCache>
                <c:ptCount val="9"/>
                <c:pt idx="0">
                  <c:v>Historical Background</c:v>
                </c:pt>
                <c:pt idx="1">
                  <c:v>Institutional Framework</c:v>
                </c:pt>
                <c:pt idx="2">
                  <c:v>Nature and Function of EU</c:v>
                </c:pt>
                <c:pt idx="3">
                  <c:v>Integration Theory</c:v>
                </c:pt>
                <c:pt idx="4">
                  <c:v>Civil Law Systems and Reasoning</c:v>
                </c:pt>
                <c:pt idx="5">
                  <c:v>Sources of Law</c:v>
                </c:pt>
                <c:pt idx="6">
                  <c:v>Supremacy</c:v>
                </c:pt>
                <c:pt idx="7">
                  <c:v>Direct Effect</c:v>
                </c:pt>
                <c:pt idx="8">
                  <c:v>General Principles</c:v>
                </c:pt>
              </c:strCache>
            </c:strRef>
          </c:cat>
          <c:val>
            <c:numRef>
              <c:f>Sheet1!$D$1:$D$9</c:f>
              <c:numCache>
                <c:formatCode>General</c:formatCode>
                <c:ptCount val="9"/>
                <c:pt idx="0">
                  <c:v>48</c:v>
                </c:pt>
                <c:pt idx="1">
                  <c:v>47</c:v>
                </c:pt>
                <c:pt idx="2">
                  <c:v>45</c:v>
                </c:pt>
                <c:pt idx="3">
                  <c:v>19</c:v>
                </c:pt>
                <c:pt idx="4">
                  <c:v>12</c:v>
                </c:pt>
                <c:pt idx="5">
                  <c:v>48</c:v>
                </c:pt>
                <c:pt idx="6">
                  <c:v>44</c:v>
                </c:pt>
                <c:pt idx="7">
                  <c:v>47</c:v>
                </c:pt>
                <c:pt idx="8">
                  <c:v>42</c:v>
                </c:pt>
              </c:numCache>
            </c:numRef>
          </c:val>
        </c:ser>
        <c:dLbls>
          <c:showLegendKey val="0"/>
          <c:showVal val="0"/>
          <c:showCatName val="0"/>
          <c:showSerName val="0"/>
          <c:showPercent val="0"/>
          <c:showBubbleSize val="0"/>
        </c:dLbls>
        <c:gapWidth val="150"/>
        <c:axId val="179207168"/>
        <c:axId val="179209344"/>
      </c:barChart>
      <c:catAx>
        <c:axId val="17920716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Subject Included in Principal EU Course</a:t>
                </a:r>
              </a:p>
            </c:rich>
          </c:tx>
          <c:layout>
            <c:manualLayout>
              <c:xMode val="edge"/>
              <c:yMode val="edge"/>
              <c:x val="0.34022750775594796"/>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9209344"/>
        <c:crosses val="autoZero"/>
        <c:auto val="1"/>
        <c:lblAlgn val="ctr"/>
        <c:lblOffset val="100"/>
        <c:tickLblSkip val="1"/>
        <c:tickMarkSkip val="1"/>
        <c:noMultiLvlLbl val="0"/>
      </c:catAx>
      <c:valAx>
        <c:axId val="17920934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315E-2"/>
              <c:y val="0.3237288135593240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9207168"/>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4254237288135605"/>
          <c:w val="0.10237849017580145"/>
          <c:h val="0.1084745762711871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13.1	Student Questionnaire</a:t>
            </a:r>
          </a:p>
        </c:rich>
      </c:tx>
      <c:layout>
        <c:manualLayout>
          <c:xMode val="edge"/>
          <c:yMode val="edge"/>
          <c:x val="0.33962060536424676"/>
          <c:y val="2.0408153094787197E-2"/>
        </c:manualLayout>
      </c:layout>
      <c:overlay val="0"/>
      <c:spPr>
        <a:noFill/>
        <a:ln w="25400">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2694300518134836"/>
          <c:y val="0.10544217687074832"/>
          <c:w val="0.65492227979274609"/>
          <c:h val="0.78231292517006346"/>
        </c:manualLayout>
      </c:layout>
      <c:bar3DChart>
        <c:barDir val="col"/>
        <c:grouping val="clustered"/>
        <c:varyColors val="0"/>
        <c:ser>
          <c:idx val="0"/>
          <c:order val="0"/>
          <c:tx>
            <c:v>CPE</c:v>
          </c:tx>
          <c:spPr>
            <a:solidFill>
              <a:srgbClr val="9999FF"/>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Sheet1!$B$1:$B$5</c:f>
              <c:numCache>
                <c:formatCode>General</c:formatCode>
                <c:ptCount val="5"/>
                <c:pt idx="0">
                  <c:v>1</c:v>
                </c:pt>
                <c:pt idx="1">
                  <c:v>0</c:v>
                </c:pt>
                <c:pt idx="2">
                  <c:v>3</c:v>
                </c:pt>
                <c:pt idx="3">
                  <c:v>7</c:v>
                </c:pt>
                <c:pt idx="4">
                  <c:v>2</c:v>
                </c:pt>
              </c:numCache>
            </c:numRef>
          </c:val>
        </c:ser>
        <c:ser>
          <c:idx val="1"/>
          <c:order val="1"/>
          <c:tx>
            <c:v>LLB/QLD</c:v>
          </c:tx>
          <c:spPr>
            <a:solidFill>
              <a:srgbClr val="993366"/>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Sheet1!$C$1:$C$5</c:f>
              <c:numCache>
                <c:formatCode>General</c:formatCode>
                <c:ptCount val="5"/>
                <c:pt idx="0">
                  <c:v>0</c:v>
                </c:pt>
                <c:pt idx="1">
                  <c:v>7</c:v>
                </c:pt>
                <c:pt idx="2">
                  <c:v>7</c:v>
                </c:pt>
                <c:pt idx="3">
                  <c:v>15</c:v>
                </c:pt>
                <c:pt idx="4">
                  <c:v>5</c:v>
                </c:pt>
              </c:numCache>
            </c:numRef>
          </c:val>
        </c:ser>
        <c:ser>
          <c:idx val="2"/>
          <c:order val="2"/>
          <c:tx>
            <c:v>Both Degrees</c:v>
          </c:tx>
          <c:spPr>
            <a:solidFill>
              <a:srgbClr val="FFFFCC"/>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Sheet1!$D$1:$D$5</c:f>
              <c:numCache>
                <c:formatCode>General</c:formatCode>
                <c:ptCount val="5"/>
                <c:pt idx="0">
                  <c:v>1</c:v>
                </c:pt>
                <c:pt idx="1">
                  <c:v>7</c:v>
                </c:pt>
                <c:pt idx="2">
                  <c:v>10</c:v>
                </c:pt>
                <c:pt idx="3">
                  <c:v>22</c:v>
                </c:pt>
                <c:pt idx="4">
                  <c:v>7</c:v>
                </c:pt>
              </c:numCache>
            </c:numRef>
          </c:val>
        </c:ser>
        <c:dLbls>
          <c:showLegendKey val="0"/>
          <c:showVal val="0"/>
          <c:showCatName val="0"/>
          <c:showSerName val="0"/>
          <c:showPercent val="0"/>
          <c:showBubbleSize val="0"/>
        </c:dLbls>
        <c:gapWidth val="150"/>
        <c:shape val="box"/>
        <c:axId val="180312320"/>
        <c:axId val="180318592"/>
        <c:axId val="0"/>
      </c:bar3DChart>
      <c:catAx>
        <c:axId val="1803123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Rating</a:t>
                </a:r>
              </a:p>
            </c:rich>
          </c:tx>
          <c:layout>
            <c:manualLayout>
              <c:xMode val="edge"/>
              <c:yMode val="edge"/>
              <c:x val="0.51882556131260749"/>
              <c:y val="0.9200680272108846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318592"/>
        <c:crosses val="autoZero"/>
        <c:auto val="1"/>
        <c:lblAlgn val="ctr"/>
        <c:lblOffset val="100"/>
        <c:tickLblSkip val="1"/>
        <c:tickMarkSkip val="1"/>
        <c:noMultiLvlLbl val="0"/>
      </c:catAx>
      <c:valAx>
        <c:axId val="180318592"/>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98963730569948E-2"/>
              <c:y val="0.4948979591836750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312320"/>
        <c:crosses val="autoZero"/>
        <c:crossBetween val="between"/>
      </c:valAx>
      <c:spPr>
        <a:noFill/>
        <a:ln w="25400">
          <a:noFill/>
        </a:ln>
      </c:spPr>
    </c:plotArea>
    <c:legend>
      <c:legendPos val="r"/>
      <c:layout>
        <c:manualLayout>
          <c:xMode val="edge"/>
          <c:yMode val="edge"/>
          <c:x val="0.89326424870465937"/>
          <c:y val="0.49149659863945805"/>
          <c:w val="0.10259067357513027"/>
          <c:h val="0.1088435374149659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13.2	External Examiners Report</a:t>
            </a:r>
          </a:p>
        </c:rich>
      </c:tx>
      <c:layout>
        <c:manualLayout>
          <c:xMode val="edge"/>
          <c:yMode val="edge"/>
          <c:x val="0.35269887150182255"/>
          <c:y val="2.0408225670820387E-2"/>
        </c:manualLayout>
      </c:layout>
      <c:overlay val="0"/>
      <c:spPr>
        <a:noFill/>
        <a:ln w="25400">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2694300518134844"/>
          <c:y val="0.10544217687074832"/>
          <c:w val="0.65492227979274609"/>
          <c:h val="0.78231292517006312"/>
        </c:manualLayout>
      </c:layout>
      <c:bar3DChart>
        <c:barDir val="col"/>
        <c:grouping val="clustered"/>
        <c:varyColors val="0"/>
        <c:ser>
          <c:idx val="0"/>
          <c:order val="0"/>
          <c:tx>
            <c:v>CPE</c:v>
          </c:tx>
          <c:spPr>
            <a:solidFill>
              <a:srgbClr val="9999FF"/>
            </a:solidFill>
            <a:ln w="12700">
              <a:solidFill>
                <a:srgbClr val="000000"/>
              </a:solidFill>
              <a:prstDash val="solid"/>
            </a:ln>
          </c:spPr>
          <c:invertIfNegative val="0"/>
          <c:cat>
            <c:strLit>
              <c:ptCount val="5"/>
              <c:pt idx="0">
                <c:v>Poor</c:v>
              </c:pt>
              <c:pt idx="1">
                <c:v> Some Value</c:v>
              </c:pt>
              <c:pt idx="2">
                <c:v> Reasonable Value</c:v>
              </c:pt>
              <c:pt idx="3">
                <c:v> Very Valuable</c:v>
              </c:pt>
              <c:pt idx="4">
                <c:v> Essential</c:v>
              </c:pt>
            </c:strLit>
          </c:cat>
          <c:val>
            <c:numRef>
              <c:f>Sheet1!$B$1:$B$5</c:f>
              <c:numCache>
                <c:formatCode>General</c:formatCode>
                <c:ptCount val="5"/>
                <c:pt idx="0">
                  <c:v>0</c:v>
                </c:pt>
                <c:pt idx="1">
                  <c:v>2</c:v>
                </c:pt>
                <c:pt idx="2">
                  <c:v>4</c:v>
                </c:pt>
                <c:pt idx="3">
                  <c:v>4</c:v>
                </c:pt>
                <c:pt idx="4">
                  <c:v>3</c:v>
                </c:pt>
              </c:numCache>
            </c:numRef>
          </c:val>
        </c:ser>
        <c:ser>
          <c:idx val="1"/>
          <c:order val="1"/>
          <c:tx>
            <c:v>LLB/QLD</c:v>
          </c:tx>
          <c:spPr>
            <a:solidFill>
              <a:srgbClr val="993366"/>
            </a:solidFill>
            <a:ln w="12700">
              <a:solidFill>
                <a:srgbClr val="000000"/>
              </a:solidFill>
              <a:prstDash val="solid"/>
            </a:ln>
          </c:spPr>
          <c:invertIfNegative val="0"/>
          <c:cat>
            <c:strLit>
              <c:ptCount val="5"/>
              <c:pt idx="0">
                <c:v>Poor</c:v>
              </c:pt>
              <c:pt idx="1">
                <c:v> Some Value</c:v>
              </c:pt>
              <c:pt idx="2">
                <c:v> Reasonable Value</c:v>
              </c:pt>
              <c:pt idx="3">
                <c:v> Very Valuable</c:v>
              </c:pt>
              <c:pt idx="4">
                <c:v> Essential</c:v>
              </c:pt>
            </c:strLit>
          </c:cat>
          <c:val>
            <c:numRef>
              <c:f>Sheet1!$C$1:$C$5</c:f>
              <c:numCache>
                <c:formatCode>General</c:formatCode>
                <c:ptCount val="5"/>
                <c:pt idx="0">
                  <c:v>1</c:v>
                </c:pt>
                <c:pt idx="1">
                  <c:v>3</c:v>
                </c:pt>
                <c:pt idx="2">
                  <c:v>11</c:v>
                </c:pt>
                <c:pt idx="3">
                  <c:v>10</c:v>
                </c:pt>
                <c:pt idx="4">
                  <c:v>10</c:v>
                </c:pt>
              </c:numCache>
            </c:numRef>
          </c:val>
        </c:ser>
        <c:ser>
          <c:idx val="2"/>
          <c:order val="2"/>
          <c:tx>
            <c:v>Both Degrees</c:v>
          </c:tx>
          <c:spPr>
            <a:solidFill>
              <a:srgbClr val="FFFFCC"/>
            </a:solidFill>
            <a:ln w="12700">
              <a:solidFill>
                <a:srgbClr val="000000"/>
              </a:solidFill>
              <a:prstDash val="solid"/>
            </a:ln>
          </c:spPr>
          <c:invertIfNegative val="0"/>
          <c:cat>
            <c:strLit>
              <c:ptCount val="5"/>
              <c:pt idx="0">
                <c:v>Poor</c:v>
              </c:pt>
              <c:pt idx="1">
                <c:v> Some Value</c:v>
              </c:pt>
              <c:pt idx="2">
                <c:v> Reasonable Value</c:v>
              </c:pt>
              <c:pt idx="3">
                <c:v> Very Valuable</c:v>
              </c:pt>
              <c:pt idx="4">
                <c:v> Essential</c:v>
              </c:pt>
            </c:strLit>
          </c:cat>
          <c:val>
            <c:numRef>
              <c:f>Sheet1!$D$1:$D$5</c:f>
              <c:numCache>
                <c:formatCode>General</c:formatCode>
                <c:ptCount val="5"/>
                <c:pt idx="0">
                  <c:v>1</c:v>
                </c:pt>
                <c:pt idx="1">
                  <c:v>5</c:v>
                </c:pt>
                <c:pt idx="2">
                  <c:v>15</c:v>
                </c:pt>
                <c:pt idx="3">
                  <c:v>14</c:v>
                </c:pt>
                <c:pt idx="4">
                  <c:v>13</c:v>
                </c:pt>
              </c:numCache>
            </c:numRef>
          </c:val>
        </c:ser>
        <c:dLbls>
          <c:showLegendKey val="0"/>
          <c:showVal val="0"/>
          <c:showCatName val="0"/>
          <c:showSerName val="0"/>
          <c:showPercent val="0"/>
          <c:showBubbleSize val="0"/>
        </c:dLbls>
        <c:gapWidth val="150"/>
        <c:shape val="box"/>
        <c:axId val="180350336"/>
        <c:axId val="199124480"/>
        <c:axId val="0"/>
      </c:bar3DChart>
      <c:catAx>
        <c:axId val="180350336"/>
        <c:scaling>
          <c:orientation val="minMax"/>
        </c:scaling>
        <c:delete val="0"/>
        <c:axPos val="b"/>
        <c:title>
          <c:tx>
            <c:rich>
              <a:bodyPr/>
              <a:lstStyle/>
              <a:p>
                <a:pPr>
                  <a:defRPr sz="1000" b="0" i="0" u="none" strike="noStrike" baseline="0">
                    <a:solidFill>
                      <a:srgbClr val="000000"/>
                    </a:solidFill>
                    <a:latin typeface="Arial"/>
                    <a:ea typeface="Arial"/>
                    <a:cs typeface="Arial"/>
                  </a:defRPr>
                </a:pPr>
                <a:endParaRPr lang="en-GB" sz="1000" b="1" i="0" u="none" strike="noStrike" baseline="0">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Rating</a:t>
                </a:r>
              </a:p>
            </c:rich>
          </c:tx>
          <c:layout>
            <c:manualLayout>
              <c:xMode val="edge"/>
              <c:yMode val="edge"/>
              <c:x val="0.52158894645941278"/>
              <c:y val="0.9200680272108846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9124480"/>
        <c:crosses val="autoZero"/>
        <c:auto val="1"/>
        <c:lblAlgn val="ctr"/>
        <c:lblOffset val="100"/>
        <c:tickLblSkip val="1"/>
        <c:tickMarkSkip val="1"/>
        <c:noMultiLvlLbl val="0"/>
      </c:catAx>
      <c:valAx>
        <c:axId val="199124480"/>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0362694300518161E-2"/>
              <c:y val="0.4931972789115646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350336"/>
        <c:crosses val="autoZero"/>
        <c:crossBetween val="between"/>
      </c:valAx>
      <c:spPr>
        <a:noFill/>
        <a:ln w="25400">
          <a:noFill/>
        </a:ln>
      </c:spPr>
    </c:plotArea>
    <c:legend>
      <c:legendPos val="r"/>
      <c:layout>
        <c:manualLayout>
          <c:xMode val="edge"/>
          <c:yMode val="edge"/>
          <c:x val="0.89326424870465915"/>
          <c:y val="0.48979591836734698"/>
          <c:w val="0.10259067357513034"/>
          <c:h val="0.10884353741496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13.3	Peer Review by EU Tutors</a:t>
            </a:r>
          </a:p>
        </c:rich>
      </c:tx>
      <c:layout>
        <c:manualLayout>
          <c:xMode val="edge"/>
          <c:yMode val="edge"/>
          <c:x val="0.35158831411896407"/>
          <c:y val="2.0408163265306142E-2"/>
        </c:manualLayout>
      </c:layout>
      <c:overlay val="0"/>
      <c:spPr>
        <a:noFill/>
        <a:ln w="25400">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269430051813483"/>
          <c:y val="0.10544217687074832"/>
          <c:w val="0.65492227979274609"/>
          <c:h val="0.78231292517006357"/>
        </c:manualLayout>
      </c:layout>
      <c:bar3DChart>
        <c:barDir val="col"/>
        <c:grouping val="clustered"/>
        <c:varyColors val="0"/>
        <c:ser>
          <c:idx val="0"/>
          <c:order val="0"/>
          <c:tx>
            <c:v>CPE</c:v>
          </c:tx>
          <c:spPr>
            <a:solidFill>
              <a:srgbClr val="9999FF"/>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Sheet1!$B$1:$B$5</c:f>
              <c:numCache>
                <c:formatCode>General</c:formatCode>
                <c:ptCount val="5"/>
                <c:pt idx="0">
                  <c:v>0</c:v>
                </c:pt>
                <c:pt idx="1">
                  <c:v>0</c:v>
                </c:pt>
                <c:pt idx="2">
                  <c:v>2</c:v>
                </c:pt>
                <c:pt idx="3">
                  <c:v>7</c:v>
                </c:pt>
                <c:pt idx="4">
                  <c:v>1</c:v>
                </c:pt>
              </c:numCache>
            </c:numRef>
          </c:val>
        </c:ser>
        <c:ser>
          <c:idx val="1"/>
          <c:order val="1"/>
          <c:tx>
            <c:v>LLB/QLD</c:v>
          </c:tx>
          <c:spPr>
            <a:solidFill>
              <a:srgbClr val="993366"/>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Sheet1!$C$1:$C$5</c:f>
              <c:numCache>
                <c:formatCode>General</c:formatCode>
                <c:ptCount val="5"/>
                <c:pt idx="0">
                  <c:v>0</c:v>
                </c:pt>
                <c:pt idx="1">
                  <c:v>0</c:v>
                </c:pt>
                <c:pt idx="2">
                  <c:v>4</c:v>
                </c:pt>
                <c:pt idx="3">
                  <c:v>6</c:v>
                </c:pt>
                <c:pt idx="4">
                  <c:v>5</c:v>
                </c:pt>
              </c:numCache>
            </c:numRef>
          </c:val>
        </c:ser>
        <c:ser>
          <c:idx val="2"/>
          <c:order val="2"/>
          <c:tx>
            <c:v>Both Degrees</c:v>
          </c:tx>
          <c:spPr>
            <a:solidFill>
              <a:srgbClr val="FFFFCC"/>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Sheet1!$D$1:$D$5</c:f>
              <c:numCache>
                <c:formatCode>General</c:formatCode>
                <c:ptCount val="5"/>
                <c:pt idx="0">
                  <c:v>0</c:v>
                </c:pt>
                <c:pt idx="1">
                  <c:v>0</c:v>
                </c:pt>
                <c:pt idx="2">
                  <c:v>6</c:v>
                </c:pt>
                <c:pt idx="3">
                  <c:v>13</c:v>
                </c:pt>
                <c:pt idx="4">
                  <c:v>6</c:v>
                </c:pt>
              </c:numCache>
            </c:numRef>
          </c:val>
        </c:ser>
        <c:dLbls>
          <c:showLegendKey val="0"/>
          <c:showVal val="0"/>
          <c:showCatName val="0"/>
          <c:showSerName val="0"/>
          <c:showPercent val="0"/>
          <c:showBubbleSize val="0"/>
        </c:dLbls>
        <c:gapWidth val="150"/>
        <c:shape val="box"/>
        <c:axId val="199146496"/>
        <c:axId val="250283136"/>
        <c:axId val="0"/>
      </c:bar3DChart>
      <c:catAx>
        <c:axId val="1991464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Rating</a:t>
                </a:r>
              </a:p>
            </c:rich>
          </c:tx>
          <c:layout>
            <c:manualLayout>
              <c:xMode val="edge"/>
              <c:yMode val="edge"/>
              <c:x val="0.51606217616580308"/>
              <c:y val="0.9132653061224484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0283136"/>
        <c:crosses val="autoZero"/>
        <c:auto val="1"/>
        <c:lblAlgn val="ctr"/>
        <c:lblOffset val="100"/>
        <c:tickLblSkip val="1"/>
        <c:tickMarkSkip val="1"/>
        <c:noMultiLvlLbl val="0"/>
      </c:catAx>
      <c:valAx>
        <c:axId val="250283136"/>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98963730569948E-2"/>
              <c:y val="0.494897959183675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99146496"/>
        <c:crosses val="autoZero"/>
        <c:crossBetween val="between"/>
      </c:valAx>
      <c:spPr>
        <a:noFill/>
        <a:ln w="25400">
          <a:noFill/>
        </a:ln>
      </c:spPr>
    </c:plotArea>
    <c:legend>
      <c:legendPos val="r"/>
      <c:layout>
        <c:manualLayout>
          <c:xMode val="edge"/>
          <c:yMode val="edge"/>
          <c:x val="0.89326424870465948"/>
          <c:y val="0.49149659863945794"/>
          <c:w val="0.10259067357513024"/>
          <c:h val="0.1088435374149659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13.4	Peer Review in Department</a:t>
            </a:r>
          </a:p>
        </c:rich>
      </c:tx>
      <c:layout>
        <c:manualLayout>
          <c:xMode val="edge"/>
          <c:yMode val="edge"/>
          <c:x val="0.33943600333540591"/>
          <c:y val="2.04082077599726E-2"/>
        </c:manualLayout>
      </c:layout>
      <c:overlay val="0"/>
      <c:spPr>
        <a:noFill/>
        <a:ln w="25400">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269430051813483"/>
          <c:y val="0.10544217687074832"/>
          <c:w val="0.65492227979274609"/>
          <c:h val="0.78231292517006357"/>
        </c:manualLayout>
      </c:layout>
      <c:bar3DChart>
        <c:barDir val="col"/>
        <c:grouping val="clustered"/>
        <c:varyColors val="0"/>
        <c:ser>
          <c:idx val="0"/>
          <c:order val="0"/>
          <c:tx>
            <c:v>CPE</c:v>
          </c:tx>
          <c:spPr>
            <a:solidFill>
              <a:srgbClr val="9999FF"/>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Sheet1!$B$1:$B$5</c:f>
              <c:numCache>
                <c:formatCode>General</c:formatCode>
                <c:ptCount val="5"/>
                <c:pt idx="0">
                  <c:v>0</c:v>
                </c:pt>
                <c:pt idx="1">
                  <c:v>1</c:v>
                </c:pt>
                <c:pt idx="2">
                  <c:v>6</c:v>
                </c:pt>
                <c:pt idx="3">
                  <c:v>3</c:v>
                </c:pt>
                <c:pt idx="4">
                  <c:v>0</c:v>
                </c:pt>
              </c:numCache>
            </c:numRef>
          </c:val>
        </c:ser>
        <c:ser>
          <c:idx val="1"/>
          <c:order val="1"/>
          <c:tx>
            <c:v>LLB/QLD</c:v>
          </c:tx>
          <c:spPr>
            <a:solidFill>
              <a:srgbClr val="993366"/>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Sheet1!$C$1:$C$5</c:f>
              <c:numCache>
                <c:formatCode>General</c:formatCode>
                <c:ptCount val="5"/>
                <c:pt idx="0">
                  <c:v>2</c:v>
                </c:pt>
                <c:pt idx="1">
                  <c:v>2</c:v>
                </c:pt>
                <c:pt idx="2">
                  <c:v>10</c:v>
                </c:pt>
                <c:pt idx="3">
                  <c:v>6</c:v>
                </c:pt>
                <c:pt idx="4">
                  <c:v>1</c:v>
                </c:pt>
              </c:numCache>
            </c:numRef>
          </c:val>
        </c:ser>
        <c:ser>
          <c:idx val="2"/>
          <c:order val="2"/>
          <c:tx>
            <c:v>Both Degrees</c:v>
          </c:tx>
          <c:spPr>
            <a:solidFill>
              <a:srgbClr val="FFFFCC"/>
            </a:solidFill>
            <a:ln w="12700">
              <a:solidFill>
                <a:srgbClr val="000000"/>
              </a:solidFill>
              <a:prstDash val="solid"/>
            </a:ln>
          </c:spPr>
          <c:invertIfNegative val="0"/>
          <c:cat>
            <c:strRef>
              <c:f>Sheet1!$A$1:$A$5</c:f>
              <c:strCache>
                <c:ptCount val="5"/>
                <c:pt idx="0">
                  <c:v>Poor</c:v>
                </c:pt>
                <c:pt idx="1">
                  <c:v>Some Value</c:v>
                </c:pt>
                <c:pt idx="2">
                  <c:v>Reasonable Value</c:v>
                </c:pt>
                <c:pt idx="3">
                  <c:v>Very Valuable</c:v>
                </c:pt>
                <c:pt idx="4">
                  <c:v>Essential</c:v>
                </c:pt>
              </c:strCache>
            </c:strRef>
          </c:cat>
          <c:val>
            <c:numRef>
              <c:f>Sheet1!$D$1:$D$5</c:f>
              <c:numCache>
                <c:formatCode>General</c:formatCode>
                <c:ptCount val="5"/>
                <c:pt idx="0">
                  <c:v>2</c:v>
                </c:pt>
                <c:pt idx="1">
                  <c:v>3</c:v>
                </c:pt>
                <c:pt idx="2">
                  <c:v>16</c:v>
                </c:pt>
                <c:pt idx="3">
                  <c:v>9</c:v>
                </c:pt>
                <c:pt idx="4">
                  <c:v>1</c:v>
                </c:pt>
              </c:numCache>
            </c:numRef>
          </c:val>
        </c:ser>
        <c:dLbls>
          <c:showLegendKey val="0"/>
          <c:showVal val="0"/>
          <c:showCatName val="0"/>
          <c:showSerName val="0"/>
          <c:showPercent val="0"/>
          <c:showBubbleSize val="0"/>
        </c:dLbls>
        <c:gapWidth val="150"/>
        <c:shape val="box"/>
        <c:axId val="250318208"/>
        <c:axId val="250324480"/>
        <c:axId val="0"/>
      </c:bar3DChart>
      <c:catAx>
        <c:axId val="25031820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Rating</a:t>
                </a:r>
              </a:p>
            </c:rich>
          </c:tx>
          <c:layout>
            <c:manualLayout>
              <c:xMode val="edge"/>
              <c:yMode val="edge"/>
              <c:x val="0.52158894645941278"/>
              <c:y val="0.9291383219954620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0324480"/>
        <c:crosses val="autoZero"/>
        <c:auto val="1"/>
        <c:lblAlgn val="ctr"/>
        <c:lblOffset val="100"/>
        <c:tickLblSkip val="1"/>
        <c:tickMarkSkip val="1"/>
        <c:noMultiLvlLbl val="0"/>
      </c:catAx>
      <c:valAx>
        <c:axId val="250324480"/>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98963730569948E-2"/>
              <c:y val="0.494897959183675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0318208"/>
        <c:crosses val="autoZero"/>
        <c:crossBetween val="between"/>
      </c:valAx>
      <c:spPr>
        <a:noFill/>
        <a:ln w="25400">
          <a:noFill/>
        </a:ln>
      </c:spPr>
    </c:plotArea>
    <c:legend>
      <c:legendPos val="r"/>
      <c:layout>
        <c:manualLayout>
          <c:xMode val="edge"/>
          <c:yMode val="edge"/>
          <c:x val="0.89326424870465948"/>
          <c:y val="0.49149659863945794"/>
          <c:w val="0.10259067357513024"/>
          <c:h val="0.1088435374149659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6.1.2	Course Content</a:t>
            </a:r>
          </a:p>
        </c:rich>
      </c:tx>
      <c:layout>
        <c:manualLayout>
          <c:xMode val="edge"/>
          <c:yMode val="edge"/>
          <c:x val="0.37924829841185131"/>
          <c:y val="2.0338928695006381E-2"/>
        </c:manualLayout>
      </c:layout>
      <c:overlay val="0"/>
      <c:spPr>
        <a:noFill/>
        <a:ln w="25400">
          <a:noFill/>
        </a:ln>
      </c:spPr>
    </c:title>
    <c:autoTitleDeleted val="0"/>
    <c:plotArea>
      <c:layout>
        <c:manualLayout>
          <c:layoutTarget val="inner"/>
          <c:xMode val="edge"/>
          <c:yMode val="edge"/>
          <c:x val="6.204756980351632E-2"/>
          <c:y val="0.12542372881355829"/>
          <c:w val="0.82006204756980361"/>
          <c:h val="0.73559322033898566"/>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Sheet1!$A$1:$A$6</c:f>
              <c:strCache>
                <c:ptCount val="6"/>
                <c:pt idx="0">
                  <c:v>Principle of Subsidiarity</c:v>
                </c:pt>
                <c:pt idx="1">
                  <c:v>Fundamental Rights</c:v>
                </c:pt>
                <c:pt idx="2">
                  <c:v>Preliminary Rulings Art 234EC</c:v>
                </c:pt>
                <c:pt idx="3">
                  <c:v>Enforcement Actions Art 226EC</c:v>
                </c:pt>
                <c:pt idx="4">
                  <c:v>Action for Annulment Art 230EC</c:v>
                </c:pt>
                <c:pt idx="5">
                  <c:v>State Liability</c:v>
                </c:pt>
              </c:strCache>
            </c:strRef>
          </c:cat>
          <c:val>
            <c:numRef>
              <c:f>Sheet1!$B$1:$B$6</c:f>
              <c:numCache>
                <c:formatCode>General</c:formatCode>
                <c:ptCount val="6"/>
                <c:pt idx="0">
                  <c:v>10</c:v>
                </c:pt>
                <c:pt idx="1">
                  <c:v>12</c:v>
                </c:pt>
                <c:pt idx="2">
                  <c:v>12</c:v>
                </c:pt>
                <c:pt idx="3">
                  <c:v>10</c:v>
                </c:pt>
                <c:pt idx="4">
                  <c:v>8</c:v>
                </c:pt>
                <c:pt idx="5">
                  <c:v>13</c:v>
                </c:pt>
              </c:numCache>
            </c:numRef>
          </c:val>
        </c:ser>
        <c:ser>
          <c:idx val="1"/>
          <c:order val="1"/>
          <c:tx>
            <c:v>LLB/QLD</c:v>
          </c:tx>
          <c:spPr>
            <a:solidFill>
              <a:srgbClr val="993366"/>
            </a:solidFill>
            <a:ln w="12700">
              <a:solidFill>
                <a:srgbClr val="000000"/>
              </a:solidFill>
              <a:prstDash val="solid"/>
            </a:ln>
          </c:spPr>
          <c:invertIfNegative val="0"/>
          <c:cat>
            <c:strRef>
              <c:f>Sheet1!$A$1:$A$6</c:f>
              <c:strCache>
                <c:ptCount val="6"/>
                <c:pt idx="0">
                  <c:v>Principle of Subsidiarity</c:v>
                </c:pt>
                <c:pt idx="1">
                  <c:v>Fundamental Rights</c:v>
                </c:pt>
                <c:pt idx="2">
                  <c:v>Preliminary Rulings Art 234EC</c:v>
                </c:pt>
                <c:pt idx="3">
                  <c:v>Enforcement Actions Art 226EC</c:v>
                </c:pt>
                <c:pt idx="4">
                  <c:v>Action for Annulment Art 230EC</c:v>
                </c:pt>
                <c:pt idx="5">
                  <c:v>State Liability</c:v>
                </c:pt>
              </c:strCache>
            </c:strRef>
          </c:cat>
          <c:val>
            <c:numRef>
              <c:f>Sheet1!$C$1:$C$6</c:f>
              <c:numCache>
                <c:formatCode>General</c:formatCode>
                <c:ptCount val="6"/>
                <c:pt idx="0">
                  <c:v>27</c:v>
                </c:pt>
                <c:pt idx="1">
                  <c:v>26</c:v>
                </c:pt>
                <c:pt idx="2">
                  <c:v>33</c:v>
                </c:pt>
                <c:pt idx="3">
                  <c:v>32</c:v>
                </c:pt>
                <c:pt idx="4">
                  <c:v>30</c:v>
                </c:pt>
                <c:pt idx="5">
                  <c:v>33</c:v>
                </c:pt>
              </c:numCache>
            </c:numRef>
          </c:val>
        </c:ser>
        <c:ser>
          <c:idx val="2"/>
          <c:order val="2"/>
          <c:tx>
            <c:v>Both Degrees</c:v>
          </c:tx>
          <c:spPr>
            <a:solidFill>
              <a:srgbClr val="FFFFCC"/>
            </a:solidFill>
            <a:ln w="12700">
              <a:solidFill>
                <a:srgbClr val="000000"/>
              </a:solidFill>
              <a:prstDash val="solid"/>
            </a:ln>
          </c:spPr>
          <c:invertIfNegative val="0"/>
          <c:cat>
            <c:strRef>
              <c:f>Sheet1!$A$1:$A$6</c:f>
              <c:strCache>
                <c:ptCount val="6"/>
                <c:pt idx="0">
                  <c:v>Principle of Subsidiarity</c:v>
                </c:pt>
                <c:pt idx="1">
                  <c:v>Fundamental Rights</c:v>
                </c:pt>
                <c:pt idx="2">
                  <c:v>Preliminary Rulings Art 234EC</c:v>
                </c:pt>
                <c:pt idx="3">
                  <c:v>Enforcement Actions Art 226EC</c:v>
                </c:pt>
                <c:pt idx="4">
                  <c:v>Action for Annulment Art 230EC</c:v>
                </c:pt>
                <c:pt idx="5">
                  <c:v>State Liability</c:v>
                </c:pt>
              </c:strCache>
            </c:strRef>
          </c:cat>
          <c:val>
            <c:numRef>
              <c:f>Sheet1!$D$1:$D$6</c:f>
              <c:numCache>
                <c:formatCode>General</c:formatCode>
                <c:ptCount val="6"/>
                <c:pt idx="0">
                  <c:v>37</c:v>
                </c:pt>
                <c:pt idx="1">
                  <c:v>38</c:v>
                </c:pt>
                <c:pt idx="2">
                  <c:v>45</c:v>
                </c:pt>
                <c:pt idx="3">
                  <c:v>42</c:v>
                </c:pt>
                <c:pt idx="4">
                  <c:v>38</c:v>
                </c:pt>
                <c:pt idx="5">
                  <c:v>46</c:v>
                </c:pt>
              </c:numCache>
            </c:numRef>
          </c:val>
        </c:ser>
        <c:dLbls>
          <c:showLegendKey val="0"/>
          <c:showVal val="0"/>
          <c:showCatName val="0"/>
          <c:showSerName val="0"/>
          <c:showPercent val="0"/>
          <c:showBubbleSize val="0"/>
        </c:dLbls>
        <c:gapWidth val="150"/>
        <c:axId val="178527232"/>
        <c:axId val="178533504"/>
      </c:barChart>
      <c:catAx>
        <c:axId val="17852723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Subject Included in Principal EU Course</a:t>
                </a:r>
              </a:p>
            </c:rich>
          </c:tx>
          <c:layout>
            <c:manualLayout>
              <c:xMode val="edge"/>
              <c:yMode val="edge"/>
              <c:x val="0.33919338159255591"/>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533504"/>
        <c:crosses val="autoZero"/>
        <c:auto val="1"/>
        <c:lblAlgn val="ctr"/>
        <c:lblOffset val="100"/>
        <c:tickLblSkip val="1"/>
        <c:tickMarkSkip val="1"/>
        <c:noMultiLvlLbl val="0"/>
      </c:catAx>
      <c:valAx>
        <c:axId val="1785335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338983050847460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527232"/>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43898305084745953"/>
          <c:w val="0.10237849017580145"/>
          <c:h val="0.1084745762711872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6.1.3	Course Content</a:t>
            </a:r>
          </a:p>
        </c:rich>
      </c:tx>
      <c:layout>
        <c:manualLayout>
          <c:xMode val="edge"/>
          <c:yMode val="edge"/>
          <c:x val="0.39253572927208658"/>
          <c:y val="2.033903784717361E-2"/>
        </c:manualLayout>
      </c:layout>
      <c:overlay val="0"/>
      <c:spPr>
        <a:noFill/>
        <a:ln w="25400">
          <a:noFill/>
        </a:ln>
      </c:spPr>
    </c:title>
    <c:autoTitleDeleted val="0"/>
    <c:plotArea>
      <c:layout>
        <c:manualLayout>
          <c:layoutTarget val="inner"/>
          <c:xMode val="edge"/>
          <c:yMode val="edge"/>
          <c:x val="0.11995863495346432"/>
          <c:y val="0.12542372881355837"/>
          <c:w val="0.7621509824198579"/>
          <c:h val="0.39491525423728963"/>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Sheet1!$A$1:$A$10</c:f>
              <c:strCache>
                <c:ptCount val="10"/>
                <c:pt idx="0">
                  <c:v>Free Movement of Goods</c:v>
                </c:pt>
                <c:pt idx="1">
                  <c:v>Free Movement of Persons</c:v>
                </c:pt>
                <c:pt idx="2">
                  <c:v>Free Movement of Capital</c:v>
                </c:pt>
                <c:pt idx="3">
                  <c:v>Free Movement of Services and Right of Establishment</c:v>
                </c:pt>
                <c:pt idx="4">
                  <c:v>Competition Law</c:v>
                </c:pt>
                <c:pt idx="5">
                  <c:v>State Aid</c:v>
                </c:pt>
                <c:pt idx="6">
                  <c:v>Intellectual Property Law</c:v>
                </c:pt>
                <c:pt idx="7">
                  <c:v>Social Policy</c:v>
                </c:pt>
                <c:pt idx="8">
                  <c:v>Sex Discrimination</c:v>
                </c:pt>
                <c:pt idx="9">
                  <c:v>Environmental Law</c:v>
                </c:pt>
              </c:strCache>
            </c:strRef>
          </c:cat>
          <c:val>
            <c:numRef>
              <c:f>Sheet1!$B$1:$B$10</c:f>
              <c:numCache>
                <c:formatCode>General</c:formatCode>
                <c:ptCount val="10"/>
                <c:pt idx="0">
                  <c:v>13</c:v>
                </c:pt>
                <c:pt idx="1">
                  <c:v>13</c:v>
                </c:pt>
                <c:pt idx="2">
                  <c:v>5</c:v>
                </c:pt>
                <c:pt idx="3">
                  <c:v>13</c:v>
                </c:pt>
                <c:pt idx="4">
                  <c:v>4</c:v>
                </c:pt>
                <c:pt idx="5">
                  <c:v>1</c:v>
                </c:pt>
                <c:pt idx="6">
                  <c:v>1</c:v>
                </c:pt>
                <c:pt idx="7">
                  <c:v>4</c:v>
                </c:pt>
                <c:pt idx="8">
                  <c:v>4</c:v>
                </c:pt>
                <c:pt idx="9">
                  <c:v>0</c:v>
                </c:pt>
              </c:numCache>
            </c:numRef>
          </c:val>
        </c:ser>
        <c:ser>
          <c:idx val="1"/>
          <c:order val="1"/>
          <c:tx>
            <c:v>LLB/QLD</c:v>
          </c:tx>
          <c:spPr>
            <a:solidFill>
              <a:srgbClr val="993366"/>
            </a:solidFill>
            <a:ln w="12700">
              <a:solidFill>
                <a:srgbClr val="000000"/>
              </a:solidFill>
              <a:prstDash val="solid"/>
            </a:ln>
          </c:spPr>
          <c:invertIfNegative val="0"/>
          <c:cat>
            <c:strRef>
              <c:f>Sheet1!$A$1:$A$10</c:f>
              <c:strCache>
                <c:ptCount val="10"/>
                <c:pt idx="0">
                  <c:v>Free Movement of Goods</c:v>
                </c:pt>
                <c:pt idx="1">
                  <c:v>Free Movement of Persons</c:v>
                </c:pt>
                <c:pt idx="2">
                  <c:v>Free Movement of Capital</c:v>
                </c:pt>
                <c:pt idx="3">
                  <c:v>Free Movement of Services and Right of Establishment</c:v>
                </c:pt>
                <c:pt idx="4">
                  <c:v>Competition Law</c:v>
                </c:pt>
                <c:pt idx="5">
                  <c:v>State Aid</c:v>
                </c:pt>
                <c:pt idx="6">
                  <c:v>Intellectual Property Law</c:v>
                </c:pt>
                <c:pt idx="7">
                  <c:v>Social Policy</c:v>
                </c:pt>
                <c:pt idx="8">
                  <c:v>Sex Discrimination</c:v>
                </c:pt>
                <c:pt idx="9">
                  <c:v>Environmental Law</c:v>
                </c:pt>
              </c:strCache>
            </c:strRef>
          </c:cat>
          <c:val>
            <c:numRef>
              <c:f>Sheet1!$C$1:$C$10</c:f>
              <c:numCache>
                <c:formatCode>General</c:formatCode>
                <c:ptCount val="10"/>
                <c:pt idx="0">
                  <c:v>34</c:v>
                </c:pt>
                <c:pt idx="1">
                  <c:v>33</c:v>
                </c:pt>
                <c:pt idx="2">
                  <c:v>9</c:v>
                </c:pt>
                <c:pt idx="3">
                  <c:v>25</c:v>
                </c:pt>
                <c:pt idx="4">
                  <c:v>21</c:v>
                </c:pt>
                <c:pt idx="5">
                  <c:v>7</c:v>
                </c:pt>
                <c:pt idx="6">
                  <c:v>1</c:v>
                </c:pt>
                <c:pt idx="7">
                  <c:v>5</c:v>
                </c:pt>
                <c:pt idx="8">
                  <c:v>13</c:v>
                </c:pt>
                <c:pt idx="9">
                  <c:v>1</c:v>
                </c:pt>
              </c:numCache>
            </c:numRef>
          </c:val>
        </c:ser>
        <c:ser>
          <c:idx val="2"/>
          <c:order val="2"/>
          <c:tx>
            <c:v>Both Degrees</c:v>
          </c:tx>
          <c:spPr>
            <a:solidFill>
              <a:srgbClr val="FFFFCC"/>
            </a:solidFill>
            <a:ln w="12700">
              <a:solidFill>
                <a:srgbClr val="000000"/>
              </a:solidFill>
              <a:prstDash val="solid"/>
            </a:ln>
          </c:spPr>
          <c:invertIfNegative val="0"/>
          <c:cat>
            <c:strRef>
              <c:f>Sheet1!$A$1:$A$10</c:f>
              <c:strCache>
                <c:ptCount val="10"/>
                <c:pt idx="0">
                  <c:v>Free Movement of Goods</c:v>
                </c:pt>
                <c:pt idx="1">
                  <c:v>Free Movement of Persons</c:v>
                </c:pt>
                <c:pt idx="2">
                  <c:v>Free Movement of Capital</c:v>
                </c:pt>
                <c:pt idx="3">
                  <c:v>Free Movement of Services and Right of Establishment</c:v>
                </c:pt>
                <c:pt idx="4">
                  <c:v>Competition Law</c:v>
                </c:pt>
                <c:pt idx="5">
                  <c:v>State Aid</c:v>
                </c:pt>
                <c:pt idx="6">
                  <c:v>Intellectual Property Law</c:v>
                </c:pt>
                <c:pt idx="7">
                  <c:v>Social Policy</c:v>
                </c:pt>
                <c:pt idx="8">
                  <c:v>Sex Discrimination</c:v>
                </c:pt>
                <c:pt idx="9">
                  <c:v>Environmental Law</c:v>
                </c:pt>
              </c:strCache>
            </c:strRef>
          </c:cat>
          <c:val>
            <c:numRef>
              <c:f>Sheet1!$D$1:$D$10</c:f>
              <c:numCache>
                <c:formatCode>General</c:formatCode>
                <c:ptCount val="10"/>
                <c:pt idx="0">
                  <c:v>47</c:v>
                </c:pt>
                <c:pt idx="1">
                  <c:v>46</c:v>
                </c:pt>
                <c:pt idx="2">
                  <c:v>14</c:v>
                </c:pt>
                <c:pt idx="3">
                  <c:v>38</c:v>
                </c:pt>
                <c:pt idx="4">
                  <c:v>25</c:v>
                </c:pt>
                <c:pt idx="5">
                  <c:v>8</c:v>
                </c:pt>
                <c:pt idx="6">
                  <c:v>2</c:v>
                </c:pt>
                <c:pt idx="7">
                  <c:v>9</c:v>
                </c:pt>
                <c:pt idx="8">
                  <c:v>17</c:v>
                </c:pt>
                <c:pt idx="9">
                  <c:v>1</c:v>
                </c:pt>
              </c:numCache>
            </c:numRef>
          </c:val>
        </c:ser>
        <c:dLbls>
          <c:showLegendKey val="0"/>
          <c:showVal val="0"/>
          <c:showCatName val="0"/>
          <c:showSerName val="0"/>
          <c:showPercent val="0"/>
          <c:showBubbleSize val="0"/>
        </c:dLbls>
        <c:gapWidth val="150"/>
        <c:axId val="178576384"/>
        <c:axId val="178578560"/>
      </c:barChart>
      <c:catAx>
        <c:axId val="1785763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Subject Included in Principal EU Course</a:t>
                </a:r>
              </a:p>
            </c:rich>
          </c:tx>
          <c:layout>
            <c:manualLayout>
              <c:xMode val="edge"/>
              <c:yMode val="edge"/>
              <c:x val="0.36814891416752848"/>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78578560"/>
        <c:crosses val="autoZero"/>
        <c:auto val="1"/>
        <c:lblAlgn val="ctr"/>
        <c:lblOffset val="100"/>
        <c:tickLblSkip val="1"/>
        <c:tickMarkSkip val="1"/>
        <c:noMultiLvlLbl val="0"/>
      </c:catAx>
      <c:valAx>
        <c:axId val="1785785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167796610169492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576384"/>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26949152542372873"/>
          <c:w val="0.10237849017580145"/>
          <c:h val="0.1084745762711871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Sheet1!$A$1:$A$9</c:f>
              <c:strCache>
                <c:ptCount val="9"/>
                <c:pt idx="0">
                  <c:v>Comparative Law</c:v>
                </c:pt>
                <c:pt idx="1">
                  <c:v>Human Rights</c:v>
                </c:pt>
                <c:pt idx="2">
                  <c:v>Competition Law</c:v>
                </c:pt>
                <c:pt idx="3">
                  <c:v>Intellectual Property</c:v>
                </c:pt>
                <c:pt idx="4">
                  <c:v>Employment /Labour Law</c:v>
                </c:pt>
                <c:pt idx="5">
                  <c:v>Environmental Law</c:v>
                </c:pt>
                <c:pt idx="6">
                  <c:v>Public Law</c:v>
                </c:pt>
                <c:pt idx="7">
                  <c:v>Introduction to Law/Legal Skills/Legal Systems</c:v>
                </c:pt>
                <c:pt idx="8">
                  <c:v>Law and the Single Market/EU Substantive Law</c:v>
                </c:pt>
              </c:strCache>
            </c:strRef>
          </c:cat>
          <c:val>
            <c:numRef>
              <c:f>Sheet1!$B$1:$B$9</c:f>
              <c:numCache>
                <c:formatCode>General</c:formatCode>
                <c:ptCount val="9"/>
                <c:pt idx="0">
                  <c:v>2</c:v>
                </c:pt>
                <c:pt idx="1">
                  <c:v>5</c:v>
                </c:pt>
                <c:pt idx="2">
                  <c:v>6</c:v>
                </c:pt>
                <c:pt idx="3">
                  <c:v>11</c:v>
                </c:pt>
                <c:pt idx="4">
                  <c:v>8</c:v>
                </c:pt>
                <c:pt idx="5">
                  <c:v>10</c:v>
                </c:pt>
                <c:pt idx="6">
                  <c:v>12</c:v>
                </c:pt>
                <c:pt idx="7">
                  <c:v>8</c:v>
                </c:pt>
                <c:pt idx="8">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8.1	Learning and Teaching Methods</a:t>
            </a:r>
          </a:p>
        </c:rich>
      </c:tx>
      <c:layout>
        <c:manualLayout>
          <c:xMode val="edge"/>
          <c:yMode val="edge"/>
          <c:x val="0.33043167235957865"/>
          <c:y val="2.033900601134541E-2"/>
        </c:manualLayout>
      </c:layout>
      <c:overlay val="0"/>
      <c:spPr>
        <a:noFill/>
        <a:ln w="25400">
          <a:noFill/>
        </a:ln>
      </c:spPr>
    </c:title>
    <c:autoTitleDeleted val="0"/>
    <c:plotArea>
      <c:layout>
        <c:manualLayout>
          <c:layoutTarget val="inner"/>
          <c:xMode val="edge"/>
          <c:yMode val="edge"/>
          <c:x val="6.2047569803516285E-2"/>
          <c:y val="0.12542372881355837"/>
          <c:w val="0.8221302998965877"/>
          <c:h val="0.57796610169491458"/>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Sheet1!$A$1:$A$16</c:f>
              <c:strCache>
                <c:ptCount val="16"/>
                <c:pt idx="0">
                  <c:v>Lectures</c:v>
                </c:pt>
                <c:pt idx="1">
                  <c:v>Workshops</c:v>
                </c:pt>
                <c:pt idx="2">
                  <c:v>Seminars</c:v>
                </c:pt>
                <c:pt idx="3">
                  <c:v>Tutorials</c:v>
                </c:pt>
                <c:pt idx="4">
                  <c:v>Groupwork</c:v>
                </c:pt>
                <c:pt idx="5">
                  <c:v>DVD/Video/TV</c:v>
                </c:pt>
                <c:pt idx="6">
                  <c:v>Mooting</c:v>
                </c:pt>
                <c:pt idx="7">
                  <c:v>Skills based activities</c:v>
                </c:pt>
                <c:pt idx="8">
                  <c:v>Role Play</c:v>
                </c:pt>
                <c:pt idx="9">
                  <c:v>Oral Presentations</c:v>
                </c:pt>
                <c:pt idx="10">
                  <c:v>Research Based Projects</c:v>
                </c:pt>
                <c:pt idx="11">
                  <c:v>Reflective Logs</c:v>
                </c:pt>
                <c:pt idx="12">
                  <c:v>Portfolio/Progress Files</c:v>
                </c:pt>
                <c:pt idx="13">
                  <c:v>Poster Presentations</c:v>
                </c:pt>
                <c:pt idx="14">
                  <c:v>Short notes/Seminar reports</c:v>
                </c:pt>
                <c:pt idx="15">
                  <c:v>Other</c:v>
                </c:pt>
              </c:strCache>
            </c:strRef>
          </c:cat>
          <c:val>
            <c:numRef>
              <c:f>Sheet1!$B$1:$B$16</c:f>
              <c:numCache>
                <c:formatCode>General</c:formatCode>
                <c:ptCount val="16"/>
                <c:pt idx="0">
                  <c:v>13</c:v>
                </c:pt>
                <c:pt idx="1">
                  <c:v>4</c:v>
                </c:pt>
                <c:pt idx="2">
                  <c:v>11</c:v>
                </c:pt>
                <c:pt idx="3">
                  <c:v>3</c:v>
                </c:pt>
                <c:pt idx="4">
                  <c:v>4</c:v>
                </c:pt>
                <c:pt idx="5">
                  <c:v>3</c:v>
                </c:pt>
                <c:pt idx="6">
                  <c:v>3</c:v>
                </c:pt>
                <c:pt idx="7">
                  <c:v>3</c:v>
                </c:pt>
                <c:pt idx="8">
                  <c:v>3</c:v>
                </c:pt>
                <c:pt idx="9">
                  <c:v>4</c:v>
                </c:pt>
                <c:pt idx="10">
                  <c:v>8</c:v>
                </c:pt>
                <c:pt idx="11">
                  <c:v>3</c:v>
                </c:pt>
                <c:pt idx="12">
                  <c:v>2</c:v>
                </c:pt>
                <c:pt idx="13">
                  <c:v>0</c:v>
                </c:pt>
                <c:pt idx="14">
                  <c:v>2</c:v>
                </c:pt>
                <c:pt idx="15">
                  <c:v>4</c:v>
                </c:pt>
              </c:numCache>
            </c:numRef>
          </c:val>
        </c:ser>
        <c:ser>
          <c:idx val="3"/>
          <c:order val="1"/>
          <c:tx>
            <c:v>LLB/QLD</c:v>
          </c:tx>
          <c:spPr>
            <a:solidFill>
              <a:srgbClr val="CCFFFF"/>
            </a:solidFill>
            <a:ln w="12700">
              <a:solidFill>
                <a:srgbClr val="000000"/>
              </a:solidFill>
              <a:prstDash val="solid"/>
            </a:ln>
          </c:spPr>
          <c:invertIfNegative val="0"/>
          <c:cat>
            <c:strRef>
              <c:f>Sheet1!$A$1:$A$16</c:f>
              <c:strCache>
                <c:ptCount val="16"/>
                <c:pt idx="0">
                  <c:v>Lectures</c:v>
                </c:pt>
                <c:pt idx="1">
                  <c:v>Workshops</c:v>
                </c:pt>
                <c:pt idx="2">
                  <c:v>Seminars</c:v>
                </c:pt>
                <c:pt idx="3">
                  <c:v>Tutorials</c:v>
                </c:pt>
                <c:pt idx="4">
                  <c:v>Groupwork</c:v>
                </c:pt>
                <c:pt idx="5">
                  <c:v>DVD/Video/TV</c:v>
                </c:pt>
                <c:pt idx="6">
                  <c:v>Mooting</c:v>
                </c:pt>
                <c:pt idx="7">
                  <c:v>Skills based activities</c:v>
                </c:pt>
                <c:pt idx="8">
                  <c:v>Role Play</c:v>
                </c:pt>
                <c:pt idx="9">
                  <c:v>Oral Presentations</c:v>
                </c:pt>
                <c:pt idx="10">
                  <c:v>Research Based Projects</c:v>
                </c:pt>
                <c:pt idx="11">
                  <c:v>Reflective Logs</c:v>
                </c:pt>
                <c:pt idx="12">
                  <c:v>Portfolio/Progress Files</c:v>
                </c:pt>
                <c:pt idx="13">
                  <c:v>Poster Presentations</c:v>
                </c:pt>
                <c:pt idx="14">
                  <c:v>Short notes/Seminar reports</c:v>
                </c:pt>
                <c:pt idx="15">
                  <c:v>Other</c:v>
                </c:pt>
              </c:strCache>
            </c:strRef>
          </c:cat>
          <c:val>
            <c:numRef>
              <c:f>Sheet1!$C$1:$C$16</c:f>
              <c:numCache>
                <c:formatCode>General</c:formatCode>
                <c:ptCount val="16"/>
                <c:pt idx="0">
                  <c:v>37</c:v>
                </c:pt>
                <c:pt idx="1">
                  <c:v>7</c:v>
                </c:pt>
                <c:pt idx="2">
                  <c:v>20</c:v>
                </c:pt>
                <c:pt idx="3">
                  <c:v>17</c:v>
                </c:pt>
                <c:pt idx="4">
                  <c:v>9</c:v>
                </c:pt>
                <c:pt idx="5">
                  <c:v>3</c:v>
                </c:pt>
                <c:pt idx="6">
                  <c:v>3</c:v>
                </c:pt>
                <c:pt idx="7">
                  <c:v>4</c:v>
                </c:pt>
                <c:pt idx="8">
                  <c:v>5</c:v>
                </c:pt>
                <c:pt idx="9">
                  <c:v>11</c:v>
                </c:pt>
                <c:pt idx="10">
                  <c:v>9</c:v>
                </c:pt>
                <c:pt idx="11">
                  <c:v>1</c:v>
                </c:pt>
                <c:pt idx="12">
                  <c:v>0</c:v>
                </c:pt>
                <c:pt idx="13">
                  <c:v>0</c:v>
                </c:pt>
                <c:pt idx="14">
                  <c:v>2</c:v>
                </c:pt>
                <c:pt idx="15">
                  <c:v>9</c:v>
                </c:pt>
              </c:numCache>
            </c:numRef>
          </c:val>
        </c:ser>
        <c:ser>
          <c:idx val="1"/>
          <c:order val="2"/>
          <c:tx>
            <c:v>Both degrees</c:v>
          </c:tx>
          <c:spPr>
            <a:solidFill>
              <a:srgbClr val="993366"/>
            </a:solidFill>
            <a:ln w="12700">
              <a:solidFill>
                <a:srgbClr val="000000"/>
              </a:solidFill>
              <a:prstDash val="solid"/>
            </a:ln>
          </c:spPr>
          <c:invertIfNegative val="0"/>
          <c:cat>
            <c:strRef>
              <c:f>Sheet1!$A$1:$A$16</c:f>
              <c:strCache>
                <c:ptCount val="16"/>
                <c:pt idx="0">
                  <c:v>Lectures</c:v>
                </c:pt>
                <c:pt idx="1">
                  <c:v>Workshops</c:v>
                </c:pt>
                <c:pt idx="2">
                  <c:v>Seminars</c:v>
                </c:pt>
                <c:pt idx="3">
                  <c:v>Tutorials</c:v>
                </c:pt>
                <c:pt idx="4">
                  <c:v>Groupwork</c:v>
                </c:pt>
                <c:pt idx="5">
                  <c:v>DVD/Video/TV</c:v>
                </c:pt>
                <c:pt idx="6">
                  <c:v>Mooting</c:v>
                </c:pt>
                <c:pt idx="7">
                  <c:v>Skills based activities</c:v>
                </c:pt>
                <c:pt idx="8">
                  <c:v>Role Play</c:v>
                </c:pt>
                <c:pt idx="9">
                  <c:v>Oral Presentations</c:v>
                </c:pt>
                <c:pt idx="10">
                  <c:v>Research Based Projects</c:v>
                </c:pt>
                <c:pt idx="11">
                  <c:v>Reflective Logs</c:v>
                </c:pt>
                <c:pt idx="12">
                  <c:v>Portfolio/Progress Files</c:v>
                </c:pt>
                <c:pt idx="13">
                  <c:v>Poster Presentations</c:v>
                </c:pt>
                <c:pt idx="14">
                  <c:v>Short notes/Seminar reports</c:v>
                </c:pt>
                <c:pt idx="15">
                  <c:v>Other</c:v>
                </c:pt>
              </c:strCache>
            </c:strRef>
          </c:cat>
          <c:val>
            <c:numRef>
              <c:f>Sheet1!$D$1:$D$16</c:f>
              <c:numCache>
                <c:formatCode>General</c:formatCode>
                <c:ptCount val="16"/>
                <c:pt idx="0">
                  <c:v>50</c:v>
                </c:pt>
                <c:pt idx="1">
                  <c:v>11</c:v>
                </c:pt>
                <c:pt idx="2">
                  <c:v>31</c:v>
                </c:pt>
                <c:pt idx="3">
                  <c:v>20</c:v>
                </c:pt>
                <c:pt idx="4">
                  <c:v>13</c:v>
                </c:pt>
                <c:pt idx="5">
                  <c:v>6</c:v>
                </c:pt>
                <c:pt idx="6">
                  <c:v>6</c:v>
                </c:pt>
                <c:pt idx="7">
                  <c:v>7</c:v>
                </c:pt>
                <c:pt idx="8">
                  <c:v>8</c:v>
                </c:pt>
                <c:pt idx="9">
                  <c:v>15</c:v>
                </c:pt>
                <c:pt idx="10">
                  <c:v>17</c:v>
                </c:pt>
                <c:pt idx="11">
                  <c:v>4</c:v>
                </c:pt>
                <c:pt idx="12">
                  <c:v>2</c:v>
                </c:pt>
                <c:pt idx="13">
                  <c:v>0</c:v>
                </c:pt>
                <c:pt idx="14">
                  <c:v>4</c:v>
                </c:pt>
                <c:pt idx="15">
                  <c:v>13</c:v>
                </c:pt>
              </c:numCache>
            </c:numRef>
          </c:val>
        </c:ser>
        <c:dLbls>
          <c:showLegendKey val="0"/>
          <c:showVal val="0"/>
          <c:showCatName val="0"/>
          <c:showSerName val="0"/>
          <c:showPercent val="0"/>
          <c:showBubbleSize val="0"/>
        </c:dLbls>
        <c:gapWidth val="150"/>
        <c:axId val="178771456"/>
        <c:axId val="178773376"/>
      </c:barChart>
      <c:catAx>
        <c:axId val="17877145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Learning and Teaching Methods</a:t>
                </a:r>
              </a:p>
            </c:rich>
          </c:tx>
          <c:layout>
            <c:manualLayout>
              <c:xMode val="edge"/>
              <c:yMode val="edge"/>
              <c:x val="0.36504653567735396"/>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78773376"/>
        <c:crosses val="autoZero"/>
        <c:auto val="1"/>
        <c:lblAlgn val="ctr"/>
        <c:lblOffset val="100"/>
        <c:tickLblSkip val="1"/>
        <c:tickMarkSkip val="1"/>
        <c:noMultiLvlLbl val="0"/>
      </c:catAx>
      <c:valAx>
        <c:axId val="17877337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259322033898305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771456"/>
        <c:crosses val="autoZero"/>
        <c:crossBetween val="between"/>
      </c:valAx>
      <c:spPr>
        <a:solidFill>
          <a:srgbClr val="C0C0C0"/>
        </a:solidFill>
        <a:ln w="12700">
          <a:solidFill>
            <a:srgbClr val="808080"/>
          </a:solidFill>
          <a:prstDash val="solid"/>
        </a:ln>
      </c:spPr>
    </c:plotArea>
    <c:legend>
      <c:legendPos val="r"/>
      <c:layout>
        <c:manualLayout>
          <c:xMode val="edge"/>
          <c:yMode val="edge"/>
          <c:x val="0.89555325749741466"/>
          <c:y val="0.36101694915254501"/>
          <c:w val="0.10031023784901758"/>
          <c:h val="0.1084745762711871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9.1	E-Learning Methods</a:t>
            </a:r>
          </a:p>
        </c:rich>
      </c:tx>
      <c:layout>
        <c:manualLayout>
          <c:xMode val="edge"/>
          <c:yMode val="edge"/>
          <c:x val="0.354605965567865"/>
          <c:y val="2.033896005325668E-2"/>
        </c:manualLayout>
      </c:layout>
      <c:overlay val="0"/>
      <c:spPr>
        <a:noFill/>
        <a:ln w="25400">
          <a:noFill/>
        </a:ln>
      </c:spPr>
    </c:title>
    <c:autoTitleDeleted val="0"/>
    <c:plotArea>
      <c:layout>
        <c:manualLayout>
          <c:layoutTarget val="inner"/>
          <c:xMode val="edge"/>
          <c:yMode val="edge"/>
          <c:x val="6.2047569803516306E-2"/>
          <c:y val="0.12542372881355834"/>
          <c:w val="0.82006204756980361"/>
          <c:h val="0.70677966101694911"/>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Sheet1!$A$1:$A$8</c:f>
              <c:strCache>
                <c:ptCount val="8"/>
                <c:pt idx="0">
                  <c:v>Courseware</c:v>
                </c:pt>
                <c:pt idx="1">
                  <c:v>Databases</c:v>
                </c:pt>
                <c:pt idx="2">
                  <c:v>Electronic/Video Conferencing</c:v>
                </c:pt>
                <c:pt idx="3">
                  <c:v>Videos/TV programmes</c:v>
                </c:pt>
                <c:pt idx="4">
                  <c:v>Virtual Learning Environment</c:v>
                </c:pt>
                <c:pt idx="5">
                  <c:v>Web based course materials</c:v>
                </c:pt>
                <c:pt idx="6">
                  <c:v>Website</c:v>
                </c:pt>
                <c:pt idx="7">
                  <c:v>Other</c:v>
                </c:pt>
              </c:strCache>
            </c:strRef>
          </c:cat>
          <c:val>
            <c:numRef>
              <c:f>Sheet1!$B$1:$B$8</c:f>
              <c:numCache>
                <c:formatCode>General</c:formatCode>
                <c:ptCount val="8"/>
                <c:pt idx="0">
                  <c:v>8</c:v>
                </c:pt>
                <c:pt idx="1">
                  <c:v>12</c:v>
                </c:pt>
                <c:pt idx="2">
                  <c:v>1</c:v>
                </c:pt>
                <c:pt idx="3">
                  <c:v>3</c:v>
                </c:pt>
                <c:pt idx="4">
                  <c:v>11</c:v>
                </c:pt>
                <c:pt idx="5">
                  <c:v>9</c:v>
                </c:pt>
                <c:pt idx="6">
                  <c:v>13</c:v>
                </c:pt>
                <c:pt idx="7">
                  <c:v>3</c:v>
                </c:pt>
              </c:numCache>
            </c:numRef>
          </c:val>
        </c:ser>
        <c:ser>
          <c:idx val="1"/>
          <c:order val="1"/>
          <c:tx>
            <c:v>LLB/QLD</c:v>
          </c:tx>
          <c:spPr>
            <a:solidFill>
              <a:srgbClr val="993366"/>
            </a:solidFill>
            <a:ln w="12700">
              <a:solidFill>
                <a:srgbClr val="000000"/>
              </a:solidFill>
              <a:prstDash val="solid"/>
            </a:ln>
          </c:spPr>
          <c:invertIfNegative val="0"/>
          <c:cat>
            <c:strRef>
              <c:f>Sheet1!$A$1:$A$8</c:f>
              <c:strCache>
                <c:ptCount val="8"/>
                <c:pt idx="0">
                  <c:v>Courseware</c:v>
                </c:pt>
                <c:pt idx="1">
                  <c:v>Databases</c:v>
                </c:pt>
                <c:pt idx="2">
                  <c:v>Electronic/Video Conferencing</c:v>
                </c:pt>
                <c:pt idx="3">
                  <c:v>Videos/TV programmes</c:v>
                </c:pt>
                <c:pt idx="4">
                  <c:v>Virtual Learning Environment</c:v>
                </c:pt>
                <c:pt idx="5">
                  <c:v>Web based course materials</c:v>
                </c:pt>
                <c:pt idx="6">
                  <c:v>Website</c:v>
                </c:pt>
                <c:pt idx="7">
                  <c:v>Other</c:v>
                </c:pt>
              </c:strCache>
            </c:strRef>
          </c:cat>
          <c:val>
            <c:numRef>
              <c:f>Sheet1!$C$1:$C$8</c:f>
              <c:numCache>
                <c:formatCode>General</c:formatCode>
                <c:ptCount val="8"/>
                <c:pt idx="0">
                  <c:v>10</c:v>
                </c:pt>
                <c:pt idx="1">
                  <c:v>35</c:v>
                </c:pt>
                <c:pt idx="2">
                  <c:v>1</c:v>
                </c:pt>
                <c:pt idx="3">
                  <c:v>3</c:v>
                </c:pt>
                <c:pt idx="4">
                  <c:v>27</c:v>
                </c:pt>
                <c:pt idx="5">
                  <c:v>18</c:v>
                </c:pt>
                <c:pt idx="6">
                  <c:v>30</c:v>
                </c:pt>
                <c:pt idx="7">
                  <c:v>2</c:v>
                </c:pt>
              </c:numCache>
            </c:numRef>
          </c:val>
        </c:ser>
        <c:ser>
          <c:idx val="2"/>
          <c:order val="2"/>
          <c:tx>
            <c:v>Both Degrees</c:v>
          </c:tx>
          <c:spPr>
            <a:solidFill>
              <a:srgbClr val="FFFFCC"/>
            </a:solidFill>
            <a:ln w="12700">
              <a:solidFill>
                <a:srgbClr val="000000"/>
              </a:solidFill>
              <a:prstDash val="solid"/>
            </a:ln>
          </c:spPr>
          <c:invertIfNegative val="0"/>
          <c:cat>
            <c:strRef>
              <c:f>Sheet1!$A$1:$A$8</c:f>
              <c:strCache>
                <c:ptCount val="8"/>
                <c:pt idx="0">
                  <c:v>Courseware</c:v>
                </c:pt>
                <c:pt idx="1">
                  <c:v>Databases</c:v>
                </c:pt>
                <c:pt idx="2">
                  <c:v>Electronic/Video Conferencing</c:v>
                </c:pt>
                <c:pt idx="3">
                  <c:v>Videos/TV programmes</c:v>
                </c:pt>
                <c:pt idx="4">
                  <c:v>Virtual Learning Environment</c:v>
                </c:pt>
                <c:pt idx="5">
                  <c:v>Web based course materials</c:v>
                </c:pt>
                <c:pt idx="6">
                  <c:v>Website</c:v>
                </c:pt>
                <c:pt idx="7">
                  <c:v>Other</c:v>
                </c:pt>
              </c:strCache>
            </c:strRef>
          </c:cat>
          <c:val>
            <c:numRef>
              <c:f>Sheet1!$D$1:$D$8</c:f>
              <c:numCache>
                <c:formatCode>General</c:formatCode>
                <c:ptCount val="8"/>
                <c:pt idx="0">
                  <c:v>18</c:v>
                </c:pt>
                <c:pt idx="1">
                  <c:v>47</c:v>
                </c:pt>
                <c:pt idx="2">
                  <c:v>2</c:v>
                </c:pt>
                <c:pt idx="3">
                  <c:v>6</c:v>
                </c:pt>
                <c:pt idx="4">
                  <c:v>38</c:v>
                </c:pt>
                <c:pt idx="5">
                  <c:v>27</c:v>
                </c:pt>
                <c:pt idx="6">
                  <c:v>43</c:v>
                </c:pt>
                <c:pt idx="7">
                  <c:v>5</c:v>
                </c:pt>
              </c:numCache>
            </c:numRef>
          </c:val>
        </c:ser>
        <c:dLbls>
          <c:showLegendKey val="0"/>
          <c:showVal val="0"/>
          <c:showCatName val="0"/>
          <c:showSerName val="0"/>
          <c:showPercent val="0"/>
          <c:showBubbleSize val="0"/>
        </c:dLbls>
        <c:gapWidth val="150"/>
        <c:axId val="178955776"/>
        <c:axId val="178957696"/>
      </c:barChart>
      <c:catAx>
        <c:axId val="17895577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E-Learning Methods</a:t>
                </a:r>
              </a:p>
            </c:rich>
          </c:tx>
          <c:layout>
            <c:manualLayout>
              <c:xMode val="edge"/>
              <c:yMode val="edge"/>
              <c:x val="0.40641158221302998"/>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957696"/>
        <c:crosses val="autoZero"/>
        <c:auto val="1"/>
        <c:lblAlgn val="ctr"/>
        <c:lblOffset val="100"/>
        <c:tickLblSkip val="1"/>
        <c:tickMarkSkip val="1"/>
        <c:noMultiLvlLbl val="0"/>
      </c:catAx>
      <c:valAx>
        <c:axId val="17895769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323728813559324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955776"/>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42542372881356055"/>
          <c:w val="0.10237849017580145"/>
          <c:h val="0.1084745762711871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10.1	Recommended Textbooks</a:t>
            </a:r>
          </a:p>
        </c:rich>
      </c:tx>
      <c:layout>
        <c:manualLayout>
          <c:xMode val="edge"/>
          <c:yMode val="edge"/>
          <c:x val="0.33426776055508872"/>
          <c:y val="2.0338913946436311E-2"/>
        </c:manualLayout>
      </c:layout>
      <c:overlay val="0"/>
      <c:spPr>
        <a:noFill/>
        <a:ln w="25400">
          <a:noFill/>
        </a:ln>
      </c:spPr>
    </c:title>
    <c:autoTitleDeleted val="0"/>
    <c:plotArea>
      <c:layout>
        <c:manualLayout>
          <c:layoutTarget val="inner"/>
          <c:xMode val="edge"/>
          <c:yMode val="edge"/>
          <c:x val="6.2047569803516306E-2"/>
          <c:y val="0.12542372881355834"/>
          <c:w val="0.82006204756980361"/>
          <c:h val="0.70677966101694911"/>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Sheet1!$A$1:$A$10</c:f>
              <c:strCache>
                <c:ptCount val="10"/>
                <c:pt idx="0">
                  <c:v>Steiner and Woods</c:v>
                </c:pt>
                <c:pt idx="1">
                  <c:v>Hartley</c:v>
                </c:pt>
                <c:pt idx="2">
                  <c:v>Wyatt and Dashwood</c:v>
                </c:pt>
                <c:pt idx="3">
                  <c:v>Berry and Hargreaves</c:v>
                </c:pt>
                <c:pt idx="4">
                  <c:v>Foster</c:v>
                </c:pt>
                <c:pt idx="5">
                  <c:v>Horspool and Humphreys</c:v>
                </c:pt>
                <c:pt idx="6">
                  <c:v>Barnard</c:v>
                </c:pt>
                <c:pt idx="7">
                  <c:v>Fairhurst</c:v>
                </c:pt>
                <c:pt idx="8">
                  <c:v>Mathijsen</c:v>
                </c:pt>
                <c:pt idx="9">
                  <c:v>Other</c:v>
                </c:pt>
              </c:strCache>
            </c:strRef>
          </c:cat>
          <c:val>
            <c:numRef>
              <c:f>Sheet1!$B$1:$B$10</c:f>
              <c:numCache>
                <c:formatCode>General</c:formatCode>
                <c:ptCount val="10"/>
                <c:pt idx="0">
                  <c:v>6</c:v>
                </c:pt>
                <c:pt idx="1">
                  <c:v>2</c:v>
                </c:pt>
                <c:pt idx="2">
                  <c:v>2</c:v>
                </c:pt>
                <c:pt idx="3">
                  <c:v>0</c:v>
                </c:pt>
                <c:pt idx="4">
                  <c:v>3</c:v>
                </c:pt>
                <c:pt idx="5">
                  <c:v>1</c:v>
                </c:pt>
                <c:pt idx="6">
                  <c:v>1</c:v>
                </c:pt>
                <c:pt idx="7">
                  <c:v>4</c:v>
                </c:pt>
                <c:pt idx="8">
                  <c:v>0</c:v>
                </c:pt>
                <c:pt idx="9">
                  <c:v>1</c:v>
                </c:pt>
              </c:numCache>
            </c:numRef>
          </c:val>
        </c:ser>
        <c:ser>
          <c:idx val="1"/>
          <c:order val="1"/>
          <c:tx>
            <c:v>LLB/QLD</c:v>
          </c:tx>
          <c:spPr>
            <a:solidFill>
              <a:srgbClr val="993366"/>
            </a:solidFill>
            <a:ln w="12700">
              <a:solidFill>
                <a:srgbClr val="000000"/>
              </a:solidFill>
              <a:prstDash val="solid"/>
            </a:ln>
          </c:spPr>
          <c:invertIfNegative val="0"/>
          <c:cat>
            <c:strRef>
              <c:f>Sheet1!$A$1:$A$10</c:f>
              <c:strCache>
                <c:ptCount val="10"/>
                <c:pt idx="0">
                  <c:v>Steiner and Woods</c:v>
                </c:pt>
                <c:pt idx="1">
                  <c:v>Hartley</c:v>
                </c:pt>
                <c:pt idx="2">
                  <c:v>Wyatt and Dashwood</c:v>
                </c:pt>
                <c:pt idx="3">
                  <c:v>Berry and Hargreaves</c:v>
                </c:pt>
                <c:pt idx="4">
                  <c:v>Foster</c:v>
                </c:pt>
                <c:pt idx="5">
                  <c:v>Horspool and Humphreys</c:v>
                </c:pt>
                <c:pt idx="6">
                  <c:v>Barnard</c:v>
                </c:pt>
                <c:pt idx="7">
                  <c:v>Fairhurst</c:v>
                </c:pt>
                <c:pt idx="8">
                  <c:v>Mathijsen</c:v>
                </c:pt>
                <c:pt idx="9">
                  <c:v>Other</c:v>
                </c:pt>
              </c:strCache>
            </c:strRef>
          </c:cat>
          <c:val>
            <c:numRef>
              <c:f>Sheet1!$C$1:$C$10</c:f>
              <c:numCache>
                <c:formatCode>General</c:formatCode>
                <c:ptCount val="10"/>
                <c:pt idx="0">
                  <c:v>24</c:v>
                </c:pt>
                <c:pt idx="1">
                  <c:v>4</c:v>
                </c:pt>
                <c:pt idx="2">
                  <c:v>7</c:v>
                </c:pt>
                <c:pt idx="3">
                  <c:v>4</c:v>
                </c:pt>
                <c:pt idx="4">
                  <c:v>10</c:v>
                </c:pt>
                <c:pt idx="5">
                  <c:v>3</c:v>
                </c:pt>
                <c:pt idx="6">
                  <c:v>6</c:v>
                </c:pt>
                <c:pt idx="7">
                  <c:v>14</c:v>
                </c:pt>
                <c:pt idx="8">
                  <c:v>1</c:v>
                </c:pt>
                <c:pt idx="9">
                  <c:v>3</c:v>
                </c:pt>
              </c:numCache>
            </c:numRef>
          </c:val>
        </c:ser>
        <c:ser>
          <c:idx val="2"/>
          <c:order val="2"/>
          <c:tx>
            <c:v>Both Degrees</c:v>
          </c:tx>
          <c:spPr>
            <a:solidFill>
              <a:srgbClr val="FFFFCC"/>
            </a:solidFill>
            <a:ln w="12700">
              <a:solidFill>
                <a:srgbClr val="000000"/>
              </a:solidFill>
              <a:prstDash val="solid"/>
            </a:ln>
          </c:spPr>
          <c:invertIfNegative val="0"/>
          <c:cat>
            <c:strRef>
              <c:f>Sheet1!$A$1:$A$10</c:f>
              <c:strCache>
                <c:ptCount val="10"/>
                <c:pt idx="0">
                  <c:v>Steiner and Woods</c:v>
                </c:pt>
                <c:pt idx="1">
                  <c:v>Hartley</c:v>
                </c:pt>
                <c:pt idx="2">
                  <c:v>Wyatt and Dashwood</c:v>
                </c:pt>
                <c:pt idx="3">
                  <c:v>Berry and Hargreaves</c:v>
                </c:pt>
                <c:pt idx="4">
                  <c:v>Foster</c:v>
                </c:pt>
                <c:pt idx="5">
                  <c:v>Horspool and Humphreys</c:v>
                </c:pt>
                <c:pt idx="6">
                  <c:v>Barnard</c:v>
                </c:pt>
                <c:pt idx="7">
                  <c:v>Fairhurst</c:v>
                </c:pt>
                <c:pt idx="8">
                  <c:v>Mathijsen</c:v>
                </c:pt>
                <c:pt idx="9">
                  <c:v>Other</c:v>
                </c:pt>
              </c:strCache>
            </c:strRef>
          </c:cat>
          <c:val>
            <c:numRef>
              <c:f>Sheet1!$D$1:$D$10</c:f>
              <c:numCache>
                <c:formatCode>General</c:formatCode>
                <c:ptCount val="10"/>
                <c:pt idx="0">
                  <c:v>30</c:v>
                </c:pt>
                <c:pt idx="1">
                  <c:v>6</c:v>
                </c:pt>
                <c:pt idx="2">
                  <c:v>9</c:v>
                </c:pt>
                <c:pt idx="3">
                  <c:v>4</c:v>
                </c:pt>
                <c:pt idx="4">
                  <c:v>13</c:v>
                </c:pt>
                <c:pt idx="5">
                  <c:v>4</c:v>
                </c:pt>
                <c:pt idx="6">
                  <c:v>7</c:v>
                </c:pt>
                <c:pt idx="7">
                  <c:v>18</c:v>
                </c:pt>
                <c:pt idx="8">
                  <c:v>1</c:v>
                </c:pt>
                <c:pt idx="9">
                  <c:v>4</c:v>
                </c:pt>
              </c:numCache>
            </c:numRef>
          </c:val>
        </c:ser>
        <c:dLbls>
          <c:showLegendKey val="0"/>
          <c:showVal val="0"/>
          <c:showCatName val="0"/>
          <c:showSerName val="0"/>
          <c:showPercent val="0"/>
          <c:showBubbleSize val="0"/>
        </c:dLbls>
        <c:gapWidth val="150"/>
        <c:axId val="180254208"/>
        <c:axId val="180256128"/>
      </c:barChart>
      <c:catAx>
        <c:axId val="18025420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Authors of Textbooks</a:t>
                </a:r>
              </a:p>
            </c:rich>
          </c:tx>
          <c:layout>
            <c:manualLayout>
              <c:xMode val="edge"/>
              <c:yMode val="edge"/>
              <c:x val="0.4012409513960703"/>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256128"/>
        <c:crosses val="autoZero"/>
        <c:auto val="1"/>
        <c:lblAlgn val="ctr"/>
        <c:lblOffset val="100"/>
        <c:tickLblSkip val="1"/>
        <c:tickMarkSkip val="1"/>
        <c:noMultiLvlLbl val="0"/>
      </c:catAx>
      <c:valAx>
        <c:axId val="18025612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323728813559324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254208"/>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42542372881356055"/>
          <c:w val="0.10237849017580145"/>
          <c:h val="0.1084745762711871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10.2	Recommended Casebooks</a:t>
            </a:r>
          </a:p>
        </c:rich>
      </c:tx>
      <c:layout>
        <c:manualLayout>
          <c:xMode val="edge"/>
          <c:yMode val="edge"/>
          <c:x val="0.30736328547167002"/>
          <c:y val="2.0339051821420876E-2"/>
        </c:manualLayout>
      </c:layout>
      <c:overlay val="0"/>
      <c:spPr>
        <a:noFill/>
        <a:ln w="25400">
          <a:noFill/>
        </a:ln>
      </c:spPr>
    </c:title>
    <c:autoTitleDeleted val="0"/>
    <c:plotArea>
      <c:layout>
        <c:manualLayout>
          <c:layoutTarget val="inner"/>
          <c:xMode val="edge"/>
          <c:yMode val="edge"/>
          <c:x val="6.2047569803516306E-2"/>
          <c:y val="0.12542372881355834"/>
          <c:w val="0.82006204756980361"/>
          <c:h val="0.764406779661017"/>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Sheet1!$A$1:$A$5</c:f>
              <c:strCache>
                <c:ptCount val="5"/>
                <c:pt idx="0">
                  <c:v>Craig and De Burca</c:v>
                </c:pt>
                <c:pt idx="1">
                  <c:v>Weatherill</c:v>
                </c:pt>
                <c:pt idx="2">
                  <c:v>Chalmers et al</c:v>
                </c:pt>
                <c:pt idx="3">
                  <c:v>Tillotson and Foster</c:v>
                </c:pt>
                <c:pt idx="4">
                  <c:v>Other</c:v>
                </c:pt>
              </c:strCache>
            </c:strRef>
          </c:cat>
          <c:val>
            <c:numRef>
              <c:f>Sheet1!$B$1:$B$5</c:f>
              <c:numCache>
                <c:formatCode>General</c:formatCode>
                <c:ptCount val="5"/>
                <c:pt idx="0">
                  <c:v>10</c:v>
                </c:pt>
                <c:pt idx="1">
                  <c:v>4</c:v>
                </c:pt>
                <c:pt idx="2">
                  <c:v>7</c:v>
                </c:pt>
                <c:pt idx="3">
                  <c:v>0</c:v>
                </c:pt>
                <c:pt idx="4">
                  <c:v>1</c:v>
                </c:pt>
              </c:numCache>
            </c:numRef>
          </c:val>
        </c:ser>
        <c:ser>
          <c:idx val="1"/>
          <c:order val="1"/>
          <c:tx>
            <c:v>LLB/QLD</c:v>
          </c:tx>
          <c:spPr>
            <a:solidFill>
              <a:srgbClr val="993366"/>
            </a:solidFill>
            <a:ln w="12700">
              <a:solidFill>
                <a:srgbClr val="000000"/>
              </a:solidFill>
              <a:prstDash val="solid"/>
            </a:ln>
          </c:spPr>
          <c:invertIfNegative val="0"/>
          <c:cat>
            <c:strRef>
              <c:f>Sheet1!$A$1:$A$5</c:f>
              <c:strCache>
                <c:ptCount val="5"/>
                <c:pt idx="0">
                  <c:v>Craig and De Burca</c:v>
                </c:pt>
                <c:pt idx="1">
                  <c:v>Weatherill</c:v>
                </c:pt>
                <c:pt idx="2">
                  <c:v>Chalmers et al</c:v>
                </c:pt>
                <c:pt idx="3">
                  <c:v>Tillotson and Foster</c:v>
                </c:pt>
                <c:pt idx="4">
                  <c:v>Other</c:v>
                </c:pt>
              </c:strCache>
            </c:strRef>
          </c:cat>
          <c:val>
            <c:numRef>
              <c:f>Sheet1!$C$1:$C$5</c:f>
              <c:numCache>
                <c:formatCode>General</c:formatCode>
                <c:ptCount val="5"/>
                <c:pt idx="0">
                  <c:v>26</c:v>
                </c:pt>
                <c:pt idx="1">
                  <c:v>17</c:v>
                </c:pt>
                <c:pt idx="2">
                  <c:v>14</c:v>
                </c:pt>
                <c:pt idx="3">
                  <c:v>4</c:v>
                </c:pt>
                <c:pt idx="4">
                  <c:v>0</c:v>
                </c:pt>
              </c:numCache>
            </c:numRef>
          </c:val>
        </c:ser>
        <c:ser>
          <c:idx val="2"/>
          <c:order val="2"/>
          <c:tx>
            <c:v>Both Degrees</c:v>
          </c:tx>
          <c:spPr>
            <a:solidFill>
              <a:srgbClr val="FFFFCC"/>
            </a:solidFill>
            <a:ln w="12700">
              <a:solidFill>
                <a:srgbClr val="000000"/>
              </a:solidFill>
              <a:prstDash val="solid"/>
            </a:ln>
          </c:spPr>
          <c:invertIfNegative val="0"/>
          <c:cat>
            <c:strRef>
              <c:f>Sheet1!$A$1:$A$5</c:f>
              <c:strCache>
                <c:ptCount val="5"/>
                <c:pt idx="0">
                  <c:v>Craig and De Burca</c:v>
                </c:pt>
                <c:pt idx="1">
                  <c:v>Weatherill</c:v>
                </c:pt>
                <c:pt idx="2">
                  <c:v>Chalmers et al</c:v>
                </c:pt>
                <c:pt idx="3">
                  <c:v>Tillotson and Foster</c:v>
                </c:pt>
                <c:pt idx="4">
                  <c:v>Other</c:v>
                </c:pt>
              </c:strCache>
            </c:strRef>
          </c:cat>
          <c:val>
            <c:numRef>
              <c:f>Sheet1!$D$1:$D$5</c:f>
              <c:numCache>
                <c:formatCode>General</c:formatCode>
                <c:ptCount val="5"/>
                <c:pt idx="0">
                  <c:v>36</c:v>
                </c:pt>
                <c:pt idx="1">
                  <c:v>21</c:v>
                </c:pt>
                <c:pt idx="2">
                  <c:v>21</c:v>
                </c:pt>
                <c:pt idx="3">
                  <c:v>4</c:v>
                </c:pt>
                <c:pt idx="4">
                  <c:v>1</c:v>
                </c:pt>
              </c:numCache>
            </c:numRef>
          </c:val>
        </c:ser>
        <c:dLbls>
          <c:showLegendKey val="0"/>
          <c:showVal val="0"/>
          <c:showCatName val="0"/>
          <c:showSerName val="0"/>
          <c:showPercent val="0"/>
          <c:showBubbleSize val="0"/>
        </c:dLbls>
        <c:gapWidth val="150"/>
        <c:axId val="180282880"/>
        <c:axId val="180284800"/>
      </c:barChart>
      <c:catAx>
        <c:axId val="1802828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Authors of Casebooks</a:t>
                </a:r>
              </a:p>
            </c:rich>
          </c:tx>
          <c:layout>
            <c:manualLayout>
              <c:xMode val="edge"/>
              <c:yMode val="edge"/>
              <c:x val="0.36401240951396224"/>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284800"/>
        <c:crosses val="autoZero"/>
        <c:auto val="1"/>
        <c:lblAlgn val="ctr"/>
        <c:lblOffset val="100"/>
        <c:tickLblSkip val="1"/>
        <c:tickMarkSkip val="1"/>
        <c:noMultiLvlLbl val="0"/>
      </c:catAx>
      <c:valAx>
        <c:axId val="18028480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352542372881355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80282880"/>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454237288135592"/>
          <c:w val="0.10237849017580145"/>
          <c:h val="0.1084745762711871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GB" b="0"/>
              <a:t>Chart 12.1	Methods Employed for Summative Assessment</a:t>
            </a:r>
          </a:p>
        </c:rich>
      </c:tx>
      <c:layout>
        <c:manualLayout>
          <c:xMode val="edge"/>
          <c:yMode val="edge"/>
          <c:x val="0.26358917700732437"/>
          <c:y val="2.0338974482122421E-2"/>
        </c:manualLayout>
      </c:layout>
      <c:overlay val="0"/>
      <c:spPr>
        <a:noFill/>
        <a:ln w="25400">
          <a:noFill/>
        </a:ln>
      </c:spPr>
    </c:title>
    <c:autoTitleDeleted val="0"/>
    <c:plotArea>
      <c:layout>
        <c:manualLayout>
          <c:layoutTarget val="inner"/>
          <c:xMode val="edge"/>
          <c:yMode val="edge"/>
          <c:x val="0.16856256463288519"/>
          <c:y val="0.12542372881355834"/>
          <c:w val="0.71354705274043462"/>
          <c:h val="0.53898305084745757"/>
        </c:manualLayout>
      </c:layout>
      <c:barChart>
        <c:barDir val="col"/>
        <c:grouping val="clustered"/>
        <c:varyColors val="0"/>
        <c:ser>
          <c:idx val="0"/>
          <c:order val="0"/>
          <c:tx>
            <c:v>CPE</c:v>
          </c:tx>
          <c:spPr>
            <a:solidFill>
              <a:srgbClr val="9999FF"/>
            </a:solidFill>
            <a:ln w="12700">
              <a:solidFill>
                <a:srgbClr val="000000"/>
              </a:solidFill>
              <a:prstDash val="solid"/>
            </a:ln>
          </c:spPr>
          <c:invertIfNegative val="0"/>
          <c:cat>
            <c:strRef>
              <c:f>Sheet1!$A$1:$A$20</c:f>
              <c:strCache>
                <c:ptCount val="20"/>
                <c:pt idx="0">
                  <c:v>Formal Exams essay questions</c:v>
                </c:pt>
                <c:pt idx="1">
                  <c:v>Formal Exams problem questions</c:v>
                </c:pt>
                <c:pt idx="2">
                  <c:v>Coursework Essays</c:v>
                </c:pt>
                <c:pt idx="3">
                  <c:v>Coursework problem questions</c:v>
                </c:pt>
                <c:pt idx="4">
                  <c:v>Dissertation</c:v>
                </c:pt>
                <c:pt idx="5">
                  <c:v>Oral Presentation</c:v>
                </c:pt>
                <c:pt idx="6">
                  <c:v>Reflective Logs</c:v>
                </c:pt>
                <c:pt idx="7">
                  <c:v>Portfolio/Progress File</c:v>
                </c:pt>
                <c:pt idx="8">
                  <c:v>Groupwork</c:v>
                </c:pt>
                <c:pt idx="9">
                  <c:v>Computer-based assessment</c:v>
                </c:pt>
                <c:pt idx="10">
                  <c:v>Multiple Choice questions</c:v>
                </c:pt>
                <c:pt idx="11">
                  <c:v>Peer assessment</c:v>
                </c:pt>
                <c:pt idx="12">
                  <c:v>Library based projects</c:v>
                </c:pt>
                <c:pt idx="13">
                  <c:v>Reports from clinical/practice</c:v>
                </c:pt>
                <c:pt idx="14">
                  <c:v>Poster presentations</c:v>
                </c:pt>
                <c:pt idx="15">
                  <c:v>Self assessment</c:v>
                </c:pt>
                <c:pt idx="16">
                  <c:v>Seminar prep/notes/reports</c:v>
                </c:pt>
                <c:pt idx="17">
                  <c:v>Skills-based activities </c:v>
                </c:pt>
                <c:pt idx="18">
                  <c:v>Mooting</c:v>
                </c:pt>
                <c:pt idx="19">
                  <c:v>Other</c:v>
                </c:pt>
              </c:strCache>
            </c:strRef>
          </c:cat>
          <c:val>
            <c:numRef>
              <c:f>Sheet1!$B$1:$B$20</c:f>
              <c:numCache>
                <c:formatCode>General</c:formatCode>
                <c:ptCount val="20"/>
                <c:pt idx="0">
                  <c:v>11</c:v>
                </c:pt>
                <c:pt idx="1">
                  <c:v>13</c:v>
                </c:pt>
                <c:pt idx="2">
                  <c:v>9</c:v>
                </c:pt>
                <c:pt idx="3">
                  <c:v>7</c:v>
                </c:pt>
                <c:pt idx="4">
                  <c:v>3</c:v>
                </c:pt>
                <c:pt idx="5">
                  <c:v>1</c:v>
                </c:pt>
                <c:pt idx="6">
                  <c:v>2</c:v>
                </c:pt>
                <c:pt idx="7">
                  <c:v>0</c:v>
                </c:pt>
                <c:pt idx="8">
                  <c:v>3</c:v>
                </c:pt>
                <c:pt idx="9">
                  <c:v>0</c:v>
                </c:pt>
                <c:pt idx="10">
                  <c:v>2</c:v>
                </c:pt>
                <c:pt idx="11">
                  <c:v>0</c:v>
                </c:pt>
                <c:pt idx="12">
                  <c:v>1</c:v>
                </c:pt>
                <c:pt idx="13">
                  <c:v>0</c:v>
                </c:pt>
                <c:pt idx="14">
                  <c:v>0</c:v>
                </c:pt>
                <c:pt idx="15">
                  <c:v>1</c:v>
                </c:pt>
                <c:pt idx="16">
                  <c:v>3</c:v>
                </c:pt>
                <c:pt idx="17">
                  <c:v>0</c:v>
                </c:pt>
                <c:pt idx="18">
                  <c:v>1</c:v>
                </c:pt>
                <c:pt idx="19">
                  <c:v>0</c:v>
                </c:pt>
              </c:numCache>
            </c:numRef>
          </c:val>
        </c:ser>
        <c:ser>
          <c:idx val="1"/>
          <c:order val="1"/>
          <c:tx>
            <c:v>LLB/QLD</c:v>
          </c:tx>
          <c:spPr>
            <a:solidFill>
              <a:srgbClr val="993366"/>
            </a:solidFill>
            <a:ln w="12700">
              <a:solidFill>
                <a:srgbClr val="000000"/>
              </a:solidFill>
              <a:prstDash val="solid"/>
            </a:ln>
          </c:spPr>
          <c:invertIfNegative val="0"/>
          <c:cat>
            <c:strRef>
              <c:f>Sheet1!$A$1:$A$20</c:f>
              <c:strCache>
                <c:ptCount val="20"/>
                <c:pt idx="0">
                  <c:v>Formal Exams essay questions</c:v>
                </c:pt>
                <c:pt idx="1">
                  <c:v>Formal Exams problem questions</c:v>
                </c:pt>
                <c:pt idx="2">
                  <c:v>Coursework Essays</c:v>
                </c:pt>
                <c:pt idx="3">
                  <c:v>Coursework problem questions</c:v>
                </c:pt>
                <c:pt idx="4">
                  <c:v>Dissertation</c:v>
                </c:pt>
                <c:pt idx="5">
                  <c:v>Oral Presentation</c:v>
                </c:pt>
                <c:pt idx="6">
                  <c:v>Reflective Logs</c:v>
                </c:pt>
                <c:pt idx="7">
                  <c:v>Portfolio/Progress File</c:v>
                </c:pt>
                <c:pt idx="8">
                  <c:v>Groupwork</c:v>
                </c:pt>
                <c:pt idx="9">
                  <c:v>Computer-based assessment</c:v>
                </c:pt>
                <c:pt idx="10">
                  <c:v>Multiple Choice questions</c:v>
                </c:pt>
                <c:pt idx="11">
                  <c:v>Peer assessment</c:v>
                </c:pt>
                <c:pt idx="12">
                  <c:v>Library based projects</c:v>
                </c:pt>
                <c:pt idx="13">
                  <c:v>Reports from clinical/practice</c:v>
                </c:pt>
                <c:pt idx="14">
                  <c:v>Poster presentations</c:v>
                </c:pt>
                <c:pt idx="15">
                  <c:v>Self assessment</c:v>
                </c:pt>
                <c:pt idx="16">
                  <c:v>Seminar prep/notes/reports</c:v>
                </c:pt>
                <c:pt idx="17">
                  <c:v>Skills-based activities </c:v>
                </c:pt>
                <c:pt idx="18">
                  <c:v>Mooting</c:v>
                </c:pt>
                <c:pt idx="19">
                  <c:v>Other</c:v>
                </c:pt>
              </c:strCache>
            </c:strRef>
          </c:cat>
          <c:val>
            <c:numRef>
              <c:f>Sheet1!$C$1:$C$20</c:f>
              <c:numCache>
                <c:formatCode>General</c:formatCode>
                <c:ptCount val="20"/>
                <c:pt idx="0">
                  <c:v>35</c:v>
                </c:pt>
                <c:pt idx="1">
                  <c:v>30</c:v>
                </c:pt>
                <c:pt idx="2">
                  <c:v>24</c:v>
                </c:pt>
                <c:pt idx="3">
                  <c:v>18</c:v>
                </c:pt>
                <c:pt idx="4">
                  <c:v>0</c:v>
                </c:pt>
                <c:pt idx="5">
                  <c:v>2</c:v>
                </c:pt>
                <c:pt idx="6">
                  <c:v>1</c:v>
                </c:pt>
                <c:pt idx="7">
                  <c:v>0</c:v>
                </c:pt>
                <c:pt idx="8">
                  <c:v>2</c:v>
                </c:pt>
                <c:pt idx="9">
                  <c:v>2</c:v>
                </c:pt>
                <c:pt idx="10">
                  <c:v>3</c:v>
                </c:pt>
                <c:pt idx="11">
                  <c:v>1</c:v>
                </c:pt>
                <c:pt idx="12">
                  <c:v>1</c:v>
                </c:pt>
                <c:pt idx="13">
                  <c:v>0</c:v>
                </c:pt>
                <c:pt idx="14">
                  <c:v>0</c:v>
                </c:pt>
                <c:pt idx="15">
                  <c:v>0</c:v>
                </c:pt>
                <c:pt idx="16">
                  <c:v>3</c:v>
                </c:pt>
                <c:pt idx="17">
                  <c:v>0</c:v>
                </c:pt>
                <c:pt idx="18">
                  <c:v>0</c:v>
                </c:pt>
                <c:pt idx="19">
                  <c:v>1</c:v>
                </c:pt>
              </c:numCache>
            </c:numRef>
          </c:val>
        </c:ser>
        <c:ser>
          <c:idx val="2"/>
          <c:order val="2"/>
          <c:tx>
            <c:v>Both Degrees</c:v>
          </c:tx>
          <c:spPr>
            <a:solidFill>
              <a:srgbClr val="FFFFCC"/>
            </a:solidFill>
            <a:ln w="12700">
              <a:solidFill>
                <a:srgbClr val="000000"/>
              </a:solidFill>
              <a:prstDash val="solid"/>
            </a:ln>
          </c:spPr>
          <c:invertIfNegative val="0"/>
          <c:cat>
            <c:strRef>
              <c:f>Sheet1!$A$1:$A$20</c:f>
              <c:strCache>
                <c:ptCount val="20"/>
                <c:pt idx="0">
                  <c:v>Formal Exams essay questions</c:v>
                </c:pt>
                <c:pt idx="1">
                  <c:v>Formal Exams problem questions</c:v>
                </c:pt>
                <c:pt idx="2">
                  <c:v>Coursework Essays</c:v>
                </c:pt>
                <c:pt idx="3">
                  <c:v>Coursework problem questions</c:v>
                </c:pt>
                <c:pt idx="4">
                  <c:v>Dissertation</c:v>
                </c:pt>
                <c:pt idx="5">
                  <c:v>Oral Presentation</c:v>
                </c:pt>
                <c:pt idx="6">
                  <c:v>Reflective Logs</c:v>
                </c:pt>
                <c:pt idx="7">
                  <c:v>Portfolio/Progress File</c:v>
                </c:pt>
                <c:pt idx="8">
                  <c:v>Groupwork</c:v>
                </c:pt>
                <c:pt idx="9">
                  <c:v>Computer-based assessment</c:v>
                </c:pt>
                <c:pt idx="10">
                  <c:v>Multiple Choice questions</c:v>
                </c:pt>
                <c:pt idx="11">
                  <c:v>Peer assessment</c:v>
                </c:pt>
                <c:pt idx="12">
                  <c:v>Library based projects</c:v>
                </c:pt>
                <c:pt idx="13">
                  <c:v>Reports from clinical/practice</c:v>
                </c:pt>
                <c:pt idx="14">
                  <c:v>Poster presentations</c:v>
                </c:pt>
                <c:pt idx="15">
                  <c:v>Self assessment</c:v>
                </c:pt>
                <c:pt idx="16">
                  <c:v>Seminar prep/notes/reports</c:v>
                </c:pt>
                <c:pt idx="17">
                  <c:v>Skills-based activities </c:v>
                </c:pt>
                <c:pt idx="18">
                  <c:v>Mooting</c:v>
                </c:pt>
                <c:pt idx="19">
                  <c:v>Other</c:v>
                </c:pt>
              </c:strCache>
            </c:strRef>
          </c:cat>
          <c:val>
            <c:numRef>
              <c:f>Sheet1!$D$1:$D$20</c:f>
              <c:numCache>
                <c:formatCode>General</c:formatCode>
                <c:ptCount val="20"/>
                <c:pt idx="0">
                  <c:v>46</c:v>
                </c:pt>
                <c:pt idx="1">
                  <c:v>43</c:v>
                </c:pt>
                <c:pt idx="2">
                  <c:v>33</c:v>
                </c:pt>
                <c:pt idx="3">
                  <c:v>25</c:v>
                </c:pt>
                <c:pt idx="4">
                  <c:v>3</c:v>
                </c:pt>
                <c:pt idx="5">
                  <c:v>3</c:v>
                </c:pt>
                <c:pt idx="6">
                  <c:v>3</c:v>
                </c:pt>
                <c:pt idx="7">
                  <c:v>0</c:v>
                </c:pt>
                <c:pt idx="8">
                  <c:v>5</c:v>
                </c:pt>
                <c:pt idx="9">
                  <c:v>2</c:v>
                </c:pt>
                <c:pt idx="10">
                  <c:v>5</c:v>
                </c:pt>
                <c:pt idx="11">
                  <c:v>1</c:v>
                </c:pt>
                <c:pt idx="12">
                  <c:v>2</c:v>
                </c:pt>
                <c:pt idx="13">
                  <c:v>0</c:v>
                </c:pt>
                <c:pt idx="14">
                  <c:v>0</c:v>
                </c:pt>
                <c:pt idx="15">
                  <c:v>1</c:v>
                </c:pt>
                <c:pt idx="16">
                  <c:v>6</c:v>
                </c:pt>
                <c:pt idx="17">
                  <c:v>0</c:v>
                </c:pt>
                <c:pt idx="18">
                  <c:v>1</c:v>
                </c:pt>
                <c:pt idx="19">
                  <c:v>1</c:v>
                </c:pt>
              </c:numCache>
            </c:numRef>
          </c:val>
        </c:ser>
        <c:dLbls>
          <c:showLegendKey val="0"/>
          <c:showVal val="0"/>
          <c:showCatName val="0"/>
          <c:showSerName val="0"/>
          <c:showPercent val="0"/>
          <c:showBubbleSize val="0"/>
        </c:dLbls>
        <c:gapWidth val="150"/>
        <c:axId val="179083136"/>
        <c:axId val="179093504"/>
      </c:barChart>
      <c:catAx>
        <c:axId val="17908313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GB"/>
                  <a:t>Assessment Method</a:t>
                </a:r>
              </a:p>
            </c:rich>
          </c:tx>
          <c:layout>
            <c:manualLayout>
              <c:xMode val="edge"/>
              <c:yMode val="edge"/>
              <c:x val="0.45915201654601823"/>
              <c:y val="0.942372881355931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79093504"/>
        <c:crosses val="autoZero"/>
        <c:auto val="1"/>
        <c:lblAlgn val="ctr"/>
        <c:lblOffset val="100"/>
        <c:tickLblSkip val="1"/>
        <c:tickMarkSkip val="1"/>
        <c:noMultiLvlLbl val="0"/>
      </c:catAx>
      <c:valAx>
        <c:axId val="179093504"/>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Number of Course Providers</a:t>
                </a:r>
              </a:p>
            </c:rich>
          </c:tx>
          <c:layout>
            <c:manualLayout>
              <c:xMode val="edge"/>
              <c:yMode val="edge"/>
              <c:x val="1.1375387797311285E-2"/>
              <c:y val="0.2406779661016949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9083136"/>
        <c:crosses val="autoZero"/>
        <c:crossBetween val="between"/>
      </c:valAx>
      <c:spPr>
        <a:solidFill>
          <a:srgbClr val="C0C0C0"/>
        </a:solidFill>
        <a:ln w="12700">
          <a:solidFill>
            <a:srgbClr val="808080"/>
          </a:solidFill>
          <a:prstDash val="solid"/>
        </a:ln>
      </c:spPr>
    </c:plotArea>
    <c:legend>
      <c:legendPos val="r"/>
      <c:layout>
        <c:manualLayout>
          <c:xMode val="edge"/>
          <c:yMode val="edge"/>
          <c:x val="0.89348500517063056"/>
          <c:y val="0.34067796610169498"/>
          <c:w val="0.10237849017580145"/>
          <c:h val="0.1084745762711871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6917-6811-4FE3-B719-25F71AA0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162</Pages>
  <Words>20685</Words>
  <Characters>117908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7</cp:revision>
  <cp:lastPrinted>2010-06-09T15:17:00Z</cp:lastPrinted>
  <dcterms:created xsi:type="dcterms:W3CDTF">2011-05-25T14:36:00Z</dcterms:created>
  <dcterms:modified xsi:type="dcterms:W3CDTF">2011-05-27T16:26:00Z</dcterms:modified>
</cp:coreProperties>
</file>