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26" w:rsidRDefault="008141F7" w:rsidP="008141F7">
      <w:r>
        <w:t xml:space="preserve">European Association for the Study of Science and Technology 2010 Conference: Practising Science and Technology; performing the social. Track 20: Engineering practice: performing a profession, constructing society. </w:t>
      </w:r>
    </w:p>
    <w:p w:rsidR="008141F7" w:rsidRDefault="008141F7" w:rsidP="002F7326">
      <w:pPr>
        <w:pBdr>
          <w:bottom w:val="single" w:sz="4" w:space="1" w:color="auto"/>
        </w:pBdr>
      </w:pPr>
      <w:r>
        <w:t>University of Trento, Italy, September 2 – 4 2010.</w:t>
      </w:r>
    </w:p>
    <w:p w:rsidR="00B60A37" w:rsidRDefault="00B60A37" w:rsidP="00AA7F25">
      <w:pPr>
        <w:pStyle w:val="Heading1"/>
      </w:pPr>
      <w:r>
        <w:t>Open Science and Public Engagement</w:t>
      </w:r>
      <w:r w:rsidR="00293435">
        <w:t xml:space="preserve"> with Engineering</w:t>
      </w:r>
    </w:p>
    <w:p w:rsidR="00357910" w:rsidRPr="00155890" w:rsidRDefault="00911851" w:rsidP="00357910">
      <w:pPr>
        <w:spacing w:after="0"/>
      </w:pPr>
      <w:r>
        <w:t>Ann Grand</w:t>
      </w:r>
      <w:r w:rsidR="00357910">
        <w:t>,</w:t>
      </w:r>
      <w:r w:rsidR="001D0812">
        <w:rPr>
          <w:rStyle w:val="FootnoteReference"/>
        </w:rPr>
        <w:footnoteReference w:id="1"/>
      </w:r>
      <w:r w:rsidR="00357910">
        <w:t xml:space="preserve"> </w:t>
      </w:r>
      <w:r w:rsidR="001D0812">
        <w:t>Clare Wilkinson,</w:t>
      </w:r>
      <w:r w:rsidR="001D0812" w:rsidRPr="001D0812">
        <w:rPr>
          <w:vertAlign w:val="superscript"/>
        </w:rPr>
        <w:t>*</w:t>
      </w:r>
      <w:r w:rsidR="001D0812">
        <w:t xml:space="preserve"> Karen Bultitude,</w:t>
      </w:r>
      <w:r w:rsidR="001D0812" w:rsidRPr="001D0812">
        <w:rPr>
          <w:vertAlign w:val="superscript"/>
        </w:rPr>
        <w:t>*</w:t>
      </w:r>
      <w:r w:rsidR="001D0812">
        <w:t xml:space="preserve"> Alan Winfield</w:t>
      </w:r>
      <w:r w:rsidR="001D0812">
        <w:rPr>
          <w:rStyle w:val="FootnoteReference"/>
        </w:rPr>
        <w:footnoteReference w:id="2"/>
      </w:r>
    </w:p>
    <w:p w:rsidR="00544F51" w:rsidRDefault="00FB28CC" w:rsidP="002F7326">
      <w:pPr>
        <w:pStyle w:val="Sectionhead"/>
        <w:numPr>
          <w:ilvl w:val="0"/>
          <w:numId w:val="0"/>
        </w:numPr>
        <w:pBdr>
          <w:bottom w:val="none" w:sz="0" w:space="0" w:color="auto"/>
        </w:pBdr>
        <w:spacing w:before="600"/>
      </w:pPr>
      <w:r>
        <w:t>Abstract</w:t>
      </w:r>
    </w:p>
    <w:p w:rsidR="004F33CC" w:rsidRDefault="00293435" w:rsidP="002F7326">
      <w:r w:rsidRPr="004A50B9">
        <w:t xml:space="preserve">Open Science is an emerging approach to the conduct of science, </w:t>
      </w:r>
      <w:r>
        <w:t xml:space="preserve">technology and engineering projects, </w:t>
      </w:r>
      <w:r w:rsidRPr="004A50B9">
        <w:t xml:space="preserve">in which </w:t>
      </w:r>
      <w:r w:rsidR="00D050CB">
        <w:t>information about the whole of an</w:t>
      </w:r>
      <w:r>
        <w:t xml:space="preserve"> ongoing investigation</w:t>
      </w:r>
      <w:r w:rsidR="00D050CB">
        <w:t xml:space="preserve"> is</w:t>
      </w:r>
      <w:r w:rsidRPr="004A50B9">
        <w:t xml:space="preserve"> made available</w:t>
      </w:r>
      <w:r>
        <w:t xml:space="preserve"> on and through the Internet</w:t>
      </w:r>
      <w:r w:rsidRPr="004A50B9">
        <w:t>.</w:t>
      </w:r>
      <w:r>
        <w:t xml:space="preserve"> </w:t>
      </w:r>
      <w:r w:rsidR="00D050CB">
        <w:t>A</w:t>
      </w:r>
      <w:r w:rsidR="00975B59">
        <w:t xml:space="preserve">dopting </w:t>
      </w:r>
      <w:r w:rsidR="00D050CB">
        <w:t>an O</w:t>
      </w:r>
      <w:r w:rsidR="00975B59">
        <w:t xml:space="preserve">pen </w:t>
      </w:r>
      <w:r w:rsidR="00D050CB">
        <w:t>Science approach</w:t>
      </w:r>
      <w:r w:rsidR="00975B59">
        <w:t xml:space="preserve"> </w:t>
      </w:r>
      <w:r>
        <w:t xml:space="preserve">means </w:t>
      </w:r>
      <w:r w:rsidR="00B84E5B">
        <w:t xml:space="preserve">the audience </w:t>
      </w:r>
      <w:r w:rsidR="00D050CB">
        <w:t xml:space="preserve">for the research </w:t>
      </w:r>
      <w:r w:rsidR="00B84E5B">
        <w:t xml:space="preserve">can extend beyond </w:t>
      </w:r>
      <w:r w:rsidR="001A4B0C">
        <w:t xml:space="preserve">the </w:t>
      </w:r>
      <w:r w:rsidR="00B84E5B">
        <w:t xml:space="preserve">researchers </w:t>
      </w:r>
      <w:r w:rsidR="001A4B0C">
        <w:t xml:space="preserve">involved to other researchers and </w:t>
      </w:r>
      <w:r w:rsidR="00D050CB">
        <w:t xml:space="preserve">to </w:t>
      </w:r>
      <w:r>
        <w:t>members of the public</w:t>
      </w:r>
      <w:r w:rsidR="00D050CB">
        <w:t>.</w:t>
      </w:r>
      <w:r>
        <w:t xml:space="preserve"> Thus, Open Science has implications </w:t>
      </w:r>
      <w:r w:rsidR="0009382C">
        <w:t>for</w:t>
      </w:r>
      <w:r w:rsidR="00653B68">
        <w:t xml:space="preserve"> engineering</w:t>
      </w:r>
      <w:r>
        <w:t xml:space="preserve"> research, practice, publishing and public engagement</w:t>
      </w:r>
      <w:r w:rsidR="00653B68">
        <w:t xml:space="preserve"> with engineering</w:t>
      </w:r>
      <w:r>
        <w:t xml:space="preserve">. This paper reviews the history </w:t>
      </w:r>
      <w:r w:rsidR="001D0812">
        <w:t xml:space="preserve">and evolution </w:t>
      </w:r>
      <w:r>
        <w:t xml:space="preserve">of the Open Science movement, </w:t>
      </w:r>
      <w:r w:rsidR="001D0812">
        <w:t xml:space="preserve">includes some </w:t>
      </w:r>
      <w:r>
        <w:t>reflection</w:t>
      </w:r>
      <w:r w:rsidR="001D0812">
        <w:t>s</w:t>
      </w:r>
      <w:r>
        <w:t xml:space="preserve"> on the related areas of Open Access, peer-review and public engagement with science and engineering</w:t>
      </w:r>
      <w:r w:rsidR="00D23FD5">
        <w:t xml:space="preserve"> and discusses data gathered from interviews</w:t>
      </w:r>
      <w:r w:rsidR="004F33CC">
        <w:t>.</w:t>
      </w:r>
      <w:r w:rsidR="00B33600">
        <w:t xml:space="preserve"> The </w:t>
      </w:r>
      <w:r w:rsidR="007C2BF9">
        <w:t>analysis</w:t>
      </w:r>
      <w:r w:rsidR="00B33600">
        <w:t xml:space="preserve"> suggest</w:t>
      </w:r>
      <w:r w:rsidR="007C2BF9">
        <w:t xml:space="preserve">s that </w:t>
      </w:r>
      <w:r w:rsidR="006E4361">
        <w:t>interviewees</w:t>
      </w:r>
      <w:r w:rsidR="007C2BF9">
        <w:t xml:space="preserve"> </w:t>
      </w:r>
      <w:r w:rsidR="00DC13C9">
        <w:t>have concerns about issues such as precedence and protection of original work and the time needed to integrate open sc</w:t>
      </w:r>
      <w:r w:rsidR="00776880">
        <w:t xml:space="preserve">ience practices into daily work. </w:t>
      </w:r>
      <w:r w:rsidR="00D46257">
        <w:t xml:space="preserve">Successfully working in such collaborations is likely to require not only common practical tools but also the </w:t>
      </w:r>
      <w:r w:rsidR="0099737C">
        <w:t>development</w:t>
      </w:r>
      <w:r w:rsidR="00D46257">
        <w:t xml:space="preserve"> of </w:t>
      </w:r>
      <w:r w:rsidR="0099737C">
        <w:t xml:space="preserve">shared </w:t>
      </w:r>
      <w:r w:rsidR="00D46257">
        <w:t xml:space="preserve">language and </w:t>
      </w:r>
      <w:r w:rsidR="0099737C">
        <w:t>understanding</w:t>
      </w:r>
      <w:r w:rsidR="00D46257">
        <w:t xml:space="preserve"> between researchers and members of the public. </w:t>
      </w:r>
      <w:r w:rsidR="001D0812">
        <w:t>I</w:t>
      </w:r>
      <w:r w:rsidR="00023C26">
        <w:t>nterviewees</w:t>
      </w:r>
      <w:r w:rsidR="00DC13C9">
        <w:t xml:space="preserve"> </w:t>
      </w:r>
      <w:r w:rsidR="007C2BF9">
        <w:t xml:space="preserve">recognise the value of Open Science in </w:t>
      </w:r>
      <w:r w:rsidR="00097F6F">
        <w:t>collaborative research</w:t>
      </w:r>
      <w:r w:rsidR="007C2BF9">
        <w:t xml:space="preserve"> </w:t>
      </w:r>
      <w:r w:rsidR="00097F6F">
        <w:t xml:space="preserve">and </w:t>
      </w:r>
      <w:r w:rsidR="0099737C">
        <w:t>its</w:t>
      </w:r>
      <w:r w:rsidR="00097F6F">
        <w:t xml:space="preserve"> </w:t>
      </w:r>
      <w:r w:rsidR="00DC13C9">
        <w:t>innovative facility to sustain</w:t>
      </w:r>
      <w:r w:rsidR="00097F6F">
        <w:t xml:space="preserve"> direct </w:t>
      </w:r>
      <w:r w:rsidR="0099737C">
        <w:t xml:space="preserve">public </w:t>
      </w:r>
      <w:r w:rsidR="00097F6F">
        <w:t>access to research outputs</w:t>
      </w:r>
      <w:r w:rsidR="001D0812">
        <w:t>. It also has the potential to allow</w:t>
      </w:r>
      <w:r w:rsidR="0099737C">
        <w:t xml:space="preserve"> members of the public to make real practical </w:t>
      </w:r>
      <w:r w:rsidR="00097F6F">
        <w:t>contributions</w:t>
      </w:r>
      <w:r w:rsidR="001D0812">
        <w:t xml:space="preserve"> to research</w:t>
      </w:r>
      <w:r w:rsidR="00776880">
        <w:t>.</w:t>
      </w:r>
      <w:r w:rsidR="00DC13C9">
        <w:t xml:space="preserve"> </w:t>
      </w:r>
    </w:p>
    <w:p w:rsidR="005206CC" w:rsidRDefault="004F33CC">
      <w:pPr>
        <w:autoSpaceDE/>
        <w:autoSpaceDN/>
        <w:adjustRightInd/>
        <w:spacing w:after="0"/>
        <w:jc w:val="left"/>
        <w:rPr>
          <w:rFonts w:ascii="Cambria" w:eastAsia="Times New Roman" w:hAnsi="Cambria"/>
          <w:b/>
          <w:bCs/>
          <w:color w:val="365F91"/>
          <w:sz w:val="28"/>
          <w:szCs w:val="28"/>
        </w:rPr>
      </w:pPr>
      <w:r>
        <w:t>Key words: open science, public engagement</w:t>
      </w:r>
      <w:r w:rsidR="00776880">
        <w:t>, engineering</w:t>
      </w:r>
      <w:r w:rsidR="005206CC">
        <w:br w:type="page"/>
      </w:r>
    </w:p>
    <w:p w:rsidR="007D2151" w:rsidRDefault="00293435" w:rsidP="00A44093">
      <w:pPr>
        <w:pStyle w:val="Sectionhead"/>
      </w:pPr>
      <w:r>
        <w:lastRenderedPageBreak/>
        <w:t>Context</w:t>
      </w:r>
      <w:r w:rsidR="0000336B">
        <w:t xml:space="preserve"> </w:t>
      </w:r>
    </w:p>
    <w:p w:rsidR="009D14AE" w:rsidRDefault="009D14AE" w:rsidP="009D14AE">
      <w:r>
        <w:t xml:space="preserve">As </w:t>
      </w:r>
      <w:r w:rsidRPr="00C842BE">
        <w:t>Open Science initiatives exist through and depend on the Internet,</w:t>
      </w:r>
      <w:r>
        <w:t xml:space="preserve"> there </w:t>
      </w:r>
      <w:r w:rsidR="00EB3664">
        <w:t>are few boundaries</w:t>
      </w:r>
      <w:r w:rsidRPr="00C842BE">
        <w:t xml:space="preserve"> to preclude members of the public from </w:t>
      </w:r>
      <w:r w:rsidR="00EB3664">
        <w:t xml:space="preserve">being among those who engage with </w:t>
      </w:r>
      <w:r w:rsidR="00DC13C9">
        <w:t xml:space="preserve">research </w:t>
      </w:r>
      <w:r w:rsidR="00EB3664">
        <w:t>projects</w:t>
      </w:r>
      <w:r w:rsidR="008D6126">
        <w:t xml:space="preserve"> that operate on ‘open’ principles</w:t>
      </w:r>
      <w:r w:rsidRPr="00C842BE">
        <w:t xml:space="preserve">. </w:t>
      </w:r>
      <w:r w:rsidR="00D01DE3">
        <w:t xml:space="preserve">Open </w:t>
      </w:r>
      <w:r w:rsidR="00DC13C9">
        <w:t>S</w:t>
      </w:r>
      <w:r w:rsidR="00D01DE3">
        <w:t xml:space="preserve">cience is </w:t>
      </w:r>
      <w:r w:rsidR="0097536E">
        <w:t xml:space="preserve">therefore </w:t>
      </w:r>
      <w:r w:rsidR="00D01DE3">
        <w:t>unusual in that it present</w:t>
      </w:r>
      <w:r w:rsidR="00D23FD5">
        <w:t>s</w:t>
      </w:r>
      <w:r w:rsidR="00D01DE3">
        <w:t xml:space="preserve"> opportunities for direct, unmediated access </w:t>
      </w:r>
      <w:r w:rsidR="00DE5A93">
        <w:t xml:space="preserve">to engineering projects </w:t>
      </w:r>
      <w:r w:rsidR="00D01DE3">
        <w:t xml:space="preserve">for </w:t>
      </w:r>
      <w:r w:rsidR="00626C64">
        <w:t>public audiences, raising</w:t>
      </w:r>
      <w:r w:rsidRPr="00C842BE">
        <w:t xml:space="preserve"> the questions of the extent to which </w:t>
      </w:r>
      <w:r w:rsidR="00EB3664">
        <w:t>‘o</w:t>
      </w:r>
      <w:r w:rsidRPr="00C842BE">
        <w:t>pen</w:t>
      </w:r>
      <w:r w:rsidR="00EB3664">
        <w:t>’ projects</w:t>
      </w:r>
      <w:r w:rsidRPr="00C842BE">
        <w:t xml:space="preserve"> </w:t>
      </w:r>
      <w:r>
        <w:t xml:space="preserve">could, or perhaps </w:t>
      </w:r>
      <w:r w:rsidRPr="00C842BE">
        <w:t>should</w:t>
      </w:r>
      <w:r>
        <w:t>,</w:t>
      </w:r>
      <w:r w:rsidRPr="00C842BE">
        <w:t xml:space="preserve"> </w:t>
      </w:r>
      <w:r w:rsidR="00626C64">
        <w:t>take</w:t>
      </w:r>
      <w:r w:rsidRPr="00C842BE">
        <w:t xml:space="preserve"> the </w:t>
      </w:r>
      <w:r w:rsidR="00DE5A93">
        <w:t xml:space="preserve">public’s </w:t>
      </w:r>
      <w:r w:rsidRPr="00C842BE">
        <w:t>needs</w:t>
      </w:r>
      <w:r w:rsidR="00626C64">
        <w:t xml:space="preserve"> into account</w:t>
      </w:r>
      <w:r w:rsidR="00EB3664">
        <w:t>.</w:t>
      </w:r>
      <w:r w:rsidRPr="00C842BE">
        <w:t xml:space="preserve"> Some </w:t>
      </w:r>
      <w:r w:rsidR="00D01DE3">
        <w:t>researchers</w:t>
      </w:r>
      <w:r>
        <w:t xml:space="preserve"> </w:t>
      </w:r>
      <w:r w:rsidRPr="00C842BE">
        <w:t xml:space="preserve">are already beginning to consider how Open Science </w:t>
      </w:r>
      <w:r w:rsidR="00B84E5B">
        <w:t>can</w:t>
      </w:r>
      <w:r w:rsidRPr="00C842BE">
        <w:t xml:space="preserve"> adapt to meet the needs of these new </w:t>
      </w:r>
      <w:r w:rsidR="00626C64">
        <w:t>audiences</w:t>
      </w:r>
      <w:r>
        <w:t xml:space="preserve">; to find ways in which all participants can </w:t>
      </w:r>
      <w:r w:rsidRPr="00500DE3">
        <w:t>value the validity and importance of each oth</w:t>
      </w:r>
      <w:r>
        <w:t>ers’ expertises and experiences and</w:t>
      </w:r>
      <w:r w:rsidRPr="00C842BE">
        <w:t xml:space="preserve"> ‘encourage and provide paths to those with enthusiasm but insufficient expertise to gain sufficient expertise to contribute effectively’ (Neylon, 2010). </w:t>
      </w:r>
    </w:p>
    <w:p w:rsidR="00D23FD5" w:rsidRPr="00D23FD5" w:rsidRDefault="0099737C" w:rsidP="009D14AE">
      <w:pPr>
        <w:rPr>
          <w:b/>
        </w:rPr>
      </w:pPr>
      <w:r>
        <w:t xml:space="preserve">Open Science has the potential to be a novel engagement mechanism for projects in science, technology and engineering. </w:t>
      </w:r>
      <w:r w:rsidR="00353006">
        <w:t>The</w:t>
      </w:r>
      <w:r w:rsidR="0097536E">
        <w:t xml:space="preserve"> UK </w:t>
      </w:r>
      <w:r w:rsidR="0097536E" w:rsidRPr="00571419">
        <w:t xml:space="preserve">Department for Innovation, Universities and Skills (DIUS) </w:t>
      </w:r>
      <w:r>
        <w:t>believes</w:t>
      </w:r>
      <w:r w:rsidR="0097536E" w:rsidRPr="00571419">
        <w:t xml:space="preserve"> </w:t>
      </w:r>
      <w:r>
        <w:t>‘</w:t>
      </w:r>
      <w:r w:rsidR="0097536E" w:rsidRPr="00571419">
        <w:t>there is a pressing need to strengthen the level of high-quality science engagement with the publ</w:t>
      </w:r>
      <w:r w:rsidR="0097536E">
        <w:t>ic on all major science issues’</w:t>
      </w:r>
      <w:r w:rsidR="0097536E" w:rsidRPr="00571419">
        <w:t xml:space="preserve"> (</w:t>
      </w:r>
      <w:r w:rsidR="0097536E">
        <w:t>DIUS, 2008, p.6)</w:t>
      </w:r>
      <w:r w:rsidR="00353006">
        <w:t xml:space="preserve"> and that </w:t>
      </w:r>
      <w:r>
        <w:t>there is a public demand for</w:t>
      </w:r>
      <w:r w:rsidR="0097536E" w:rsidRPr="00571419">
        <w:t xml:space="preserve"> </w:t>
      </w:r>
      <w:r>
        <w:t>‘</w:t>
      </w:r>
      <w:r w:rsidR="0097536E" w:rsidRPr="00571419">
        <w:t xml:space="preserve">more information directly from scientists at an early stage in the research process </w:t>
      </w:r>
      <w:r w:rsidR="008D6126">
        <w:t>[</w:t>
      </w:r>
      <w:r w:rsidR="0097536E" w:rsidRPr="00571419">
        <w:t>…</w:t>
      </w:r>
      <w:r w:rsidR="008D6126">
        <w:t>]</w:t>
      </w:r>
      <w:r w:rsidR="0097536E" w:rsidRPr="00571419">
        <w:t xml:space="preserve"> Our strategy must look for innovative ways to provide people of any age with access to scientific resources and information’</w:t>
      </w:r>
      <w:r w:rsidR="0097536E">
        <w:t xml:space="preserve"> (DIUS, 2008, p.8).</w:t>
      </w:r>
      <w:r w:rsidR="00353006">
        <w:t xml:space="preserve"> </w:t>
      </w:r>
      <w:r>
        <w:t xml:space="preserve">Indeed, </w:t>
      </w:r>
      <w:r w:rsidR="009F5F65">
        <w:t>‘</w:t>
      </w:r>
      <w:r>
        <w:t xml:space="preserve">all governments have to take decisions in contentious and difficult areas, </w:t>
      </w:r>
      <w:r w:rsidRPr="00571419">
        <w:t xml:space="preserve">for example </w:t>
      </w:r>
      <w:r>
        <w:t>science, technology and national security; energy policy; sustainable development; climate change;</w:t>
      </w:r>
      <w:r w:rsidRPr="00A14966">
        <w:t xml:space="preserve"> </w:t>
      </w:r>
      <w:r>
        <w:t>space exploration; and</w:t>
      </w:r>
      <w:r w:rsidRPr="00571419">
        <w:t xml:space="preserve"> nanotechnology</w:t>
      </w:r>
      <w:r>
        <w:t>’</w:t>
      </w:r>
      <w:r w:rsidRPr="00571419">
        <w:t xml:space="preserve"> </w:t>
      </w:r>
      <w:r>
        <w:t xml:space="preserve">(AAAS, 2008, cited in McCaillie et al, 2009, p.28). </w:t>
      </w:r>
    </w:p>
    <w:p w:rsidR="00A61D7B" w:rsidRDefault="00353006" w:rsidP="00031ADC">
      <w:r>
        <w:t>While, for a variety of reasons, many researchers believe it is ‘</w:t>
      </w:r>
      <w:r w:rsidR="00F361B8">
        <w:t>important to engage the non-specialist public’ (Royal Society, 2006, p.9) or that it is ‘a duty […] because taxpayers’ money may ultimately fund their research’ (Poliakoff and Webb, 2007, p.247)</w:t>
      </w:r>
      <w:r>
        <w:t>, some are wary, for example because they</w:t>
      </w:r>
      <w:r w:rsidR="00221200">
        <w:t xml:space="preserve"> worry</w:t>
      </w:r>
      <w:r>
        <w:t xml:space="preserve"> </w:t>
      </w:r>
      <w:r w:rsidR="00F361B8">
        <w:t>that their work will be misunderstood or misquoted</w:t>
      </w:r>
      <w:r w:rsidR="00221200">
        <w:t xml:space="preserve"> or </w:t>
      </w:r>
      <w:r>
        <w:t>that they lack the necessary</w:t>
      </w:r>
      <w:r w:rsidR="00221200">
        <w:t xml:space="preserve"> skills </w:t>
      </w:r>
      <w:r w:rsidR="00F361B8" w:rsidRPr="00571419">
        <w:t>(</w:t>
      </w:r>
      <w:r w:rsidR="00D23FD5">
        <w:t>Poliakoff and Webb, 2007)</w:t>
      </w:r>
      <w:r w:rsidR="00221200">
        <w:t xml:space="preserve">. </w:t>
      </w:r>
      <w:r w:rsidR="00ED7D7A">
        <w:t xml:space="preserve">Because </w:t>
      </w:r>
      <w:r w:rsidR="00221200">
        <w:t xml:space="preserve">Open Science </w:t>
      </w:r>
      <w:r w:rsidR="00ED7D7A">
        <w:t xml:space="preserve">involves the sharing of ‘everything – data, scientific opinions, questions, ideas, folk knowledge, workflows and everything else’ as it happens (Neilsen, 2009, p.32), it </w:t>
      </w:r>
      <w:r w:rsidR="00221200">
        <w:t>provides a route for engagement that is integral with everyday work and in which information flows direct</w:t>
      </w:r>
      <w:r w:rsidR="00AC5E78">
        <w:t>ly</w:t>
      </w:r>
      <w:r w:rsidR="00221200">
        <w:t xml:space="preserve"> from the researchers.</w:t>
      </w:r>
      <w:r w:rsidR="00B84E5B">
        <w:t xml:space="preserve"> </w:t>
      </w:r>
      <w:r w:rsidR="00031ADC">
        <w:t xml:space="preserve">Such </w:t>
      </w:r>
      <w:r w:rsidR="00ED7D7A">
        <w:t xml:space="preserve">openness </w:t>
      </w:r>
      <w:r w:rsidR="00031ADC">
        <w:t>may involve researchers in a significant change of paradigm</w:t>
      </w:r>
      <w:r w:rsidR="00ED7D7A">
        <w:t>;</w:t>
      </w:r>
      <w:r w:rsidR="00A61D7B">
        <w:t xml:space="preserve"> </w:t>
      </w:r>
      <w:r w:rsidR="00ED7D7A">
        <w:t>s</w:t>
      </w:r>
      <w:r w:rsidR="00031ADC">
        <w:t xml:space="preserve">ince no research project runs without set-backs and detours, adopting an Open Science approach means </w:t>
      </w:r>
      <w:r w:rsidR="00A61D7B">
        <w:t>s</w:t>
      </w:r>
      <w:r w:rsidR="00A61D7B" w:rsidRPr="00BF5985">
        <w:t xml:space="preserve">haring failure </w:t>
      </w:r>
      <w:r w:rsidR="00031ADC">
        <w:t>as well as</w:t>
      </w:r>
      <w:r w:rsidR="00A61D7B" w:rsidRPr="00BF5985">
        <w:t xml:space="preserve"> success</w:t>
      </w:r>
      <w:r w:rsidR="00031ADC">
        <w:t>.</w:t>
      </w:r>
      <w:r w:rsidR="00A61D7B" w:rsidRPr="00BF5985">
        <w:t xml:space="preserve"> </w:t>
      </w:r>
      <w:r w:rsidR="00031ADC">
        <w:t xml:space="preserve">Yet the sharing of failure can </w:t>
      </w:r>
      <w:r w:rsidR="002B1AEF">
        <w:t xml:space="preserve">itself </w:t>
      </w:r>
      <w:r w:rsidR="00031ADC">
        <w:t xml:space="preserve">be valuable: </w:t>
      </w:r>
      <w:r w:rsidR="00A61D7B" w:rsidRPr="00BF5985">
        <w:t>‘At present, scientists often share only the result</w:t>
      </w:r>
      <w:r w:rsidR="00DE5A93">
        <w:t xml:space="preserve">s of successful experiments. </w:t>
      </w:r>
      <w:r w:rsidR="00A61D7B" w:rsidRPr="00BF5985">
        <w:t>[…] Endlessly re-running failed experiments helps nobody.’ (</w:t>
      </w:r>
      <w:r w:rsidR="00A61D7B" w:rsidRPr="00BF5985">
        <w:rPr>
          <w:i/>
        </w:rPr>
        <w:t>The Economist</w:t>
      </w:r>
      <w:r w:rsidR="00A61D7B" w:rsidRPr="00BF5985">
        <w:t>, 2009)</w:t>
      </w:r>
      <w:r w:rsidR="00A61D7B">
        <w:t xml:space="preserve">. </w:t>
      </w:r>
    </w:p>
    <w:p w:rsidR="00A44093" w:rsidRDefault="00B87B75" w:rsidP="004965DA">
      <w:pPr>
        <w:pStyle w:val="Sectionhead"/>
      </w:pPr>
      <w:r>
        <w:t xml:space="preserve">What </w:t>
      </w:r>
      <w:r w:rsidR="00132A03">
        <w:t>does</w:t>
      </w:r>
      <w:r>
        <w:t xml:space="preserve"> ‘</w:t>
      </w:r>
      <w:r w:rsidR="002B1AEF">
        <w:t>o</w:t>
      </w:r>
      <w:r w:rsidR="00A44093">
        <w:t>pen</w:t>
      </w:r>
      <w:r w:rsidR="00132A03">
        <w:t>’ mean</w:t>
      </w:r>
      <w:r>
        <w:t>?</w:t>
      </w:r>
    </w:p>
    <w:p w:rsidR="003574A1" w:rsidRDefault="003574A1" w:rsidP="003574A1">
      <w:r>
        <w:t xml:space="preserve">Open Science is an emerging approach to the conduct of research </w:t>
      </w:r>
      <w:r w:rsidRPr="002F081C">
        <w:t>in which the whole of an ongoing investigation and its data are made available for anyone to follow, analyse and potentially contribute to.</w:t>
      </w:r>
      <w:r>
        <w:rPr>
          <w:sz w:val="22"/>
        </w:rPr>
        <w:t xml:space="preserve">  </w:t>
      </w:r>
      <w:r>
        <w:t>As an approach to the conduct of science, its philosophy has not yet coalesced and its description is evolving but</w:t>
      </w:r>
      <w:r w:rsidR="00AC5E78">
        <w:t>,</w:t>
      </w:r>
      <w:r>
        <w:t xml:space="preserve"> as a working definition, researchers who adopt an Open Science approach are concerned to ‘promote the sharing of information, know-h</w:t>
      </w:r>
      <w:r w:rsidR="00DB56C7">
        <w:t>ow, and wisdom</w:t>
      </w:r>
      <w:r>
        <w:t xml:space="preserve">’ (OpenWetWare, 2010). The collaboratively-edited </w:t>
      </w:r>
      <w:r w:rsidRPr="000F6A5F">
        <w:t>Science Commons</w:t>
      </w:r>
      <w:r>
        <w:t xml:space="preserve">’ </w:t>
      </w:r>
      <w:r w:rsidRPr="00B60A37">
        <w:rPr>
          <w:i/>
        </w:rPr>
        <w:t>Principles for open science</w:t>
      </w:r>
      <w:r>
        <w:t xml:space="preserve"> comprise four elements: open access to research literature, open access to the research tools used, open access to the research data and an open cyberinfrastructure (Science Commons, 2008); likewise, Fry </w:t>
      </w:r>
      <w:r w:rsidRPr="002F081C">
        <w:t>et al</w:t>
      </w:r>
      <w:r>
        <w:t>.</w:t>
      </w:r>
      <w:r w:rsidRPr="00A14966">
        <w:rPr>
          <w:i/>
        </w:rPr>
        <w:t xml:space="preserve"> </w:t>
      </w:r>
      <w:r w:rsidR="002D67FC">
        <w:t>(2009</w:t>
      </w:r>
      <w:r>
        <w:t xml:space="preserve">) in their definition </w:t>
      </w:r>
      <w:r>
        <w:lastRenderedPageBreak/>
        <w:t>of open e-science</w:t>
      </w:r>
      <w:r w:rsidR="002B1AEF">
        <w:t>,</w:t>
      </w:r>
      <w:r>
        <w:t xml:space="preserve"> include the need for tools and resources to have unrestricted access and use, be free of charge and use non-exclusionary (open) standards. </w:t>
      </w:r>
    </w:p>
    <w:p w:rsidR="002B1AEF" w:rsidRDefault="00BE0AF6" w:rsidP="003574A1">
      <w:r>
        <w:t>T</w:t>
      </w:r>
      <w:r w:rsidR="00B87B75">
        <w:t xml:space="preserve">here are ‘many degrees and kinds of wider and easier access’ (Suber, 2004). </w:t>
      </w:r>
      <w:r w:rsidR="000B0B3D">
        <w:t>Since the founding of the first scientific journals in the seventeenth century, researchers</w:t>
      </w:r>
      <w:r w:rsidR="00A766E7">
        <w:t xml:space="preserve"> have </w:t>
      </w:r>
      <w:r w:rsidR="003345E6">
        <w:t xml:space="preserve">both </w:t>
      </w:r>
      <w:r w:rsidR="00380A1B">
        <w:t xml:space="preserve">wished and been urged to </w:t>
      </w:r>
      <w:r w:rsidR="00BD405F">
        <w:t>share</w:t>
      </w:r>
      <w:r w:rsidR="00A766E7">
        <w:t xml:space="preserve"> the results of their work. </w:t>
      </w:r>
      <w:r w:rsidR="004350B9">
        <w:t>J</w:t>
      </w:r>
      <w:r w:rsidR="00686C93">
        <w:t xml:space="preserve">ournals, conferences, symposia and </w:t>
      </w:r>
      <w:r w:rsidR="00380A1B">
        <w:t>workshops</w:t>
      </w:r>
      <w:r w:rsidR="004350B9">
        <w:t xml:space="preserve"> offer </w:t>
      </w:r>
      <w:r w:rsidR="00686C93">
        <w:t xml:space="preserve">researchers </w:t>
      </w:r>
      <w:r w:rsidR="00BD405F">
        <w:t xml:space="preserve">rich </w:t>
      </w:r>
      <w:r w:rsidR="00686C93">
        <w:t>media</w:t>
      </w:r>
      <w:r w:rsidR="00BD405F">
        <w:t xml:space="preserve"> </w:t>
      </w:r>
      <w:r w:rsidR="00686C93">
        <w:t>for</w:t>
      </w:r>
      <w:r w:rsidR="00BD405F">
        <w:t xml:space="preserve"> commun</w:t>
      </w:r>
      <w:r w:rsidR="003345E6">
        <w:t>ication with each other</w:t>
      </w:r>
      <w:r w:rsidR="004350B9">
        <w:t>:</w:t>
      </w:r>
      <w:r w:rsidR="003345E6">
        <w:t xml:space="preserve"> </w:t>
      </w:r>
      <w:r w:rsidR="004350B9">
        <w:t>f</w:t>
      </w:r>
      <w:r w:rsidR="000A6AEE">
        <w:t xml:space="preserve">or the category of ‘engineering’ </w:t>
      </w:r>
      <w:r w:rsidR="0082601E">
        <w:t xml:space="preserve">alone, the </w:t>
      </w:r>
      <w:r w:rsidR="00D01DE3">
        <w:t xml:space="preserve">JournalSeek </w:t>
      </w:r>
      <w:r w:rsidR="0082601E">
        <w:t>database list</w:t>
      </w:r>
      <w:r w:rsidR="000A6AEE">
        <w:t>s</w:t>
      </w:r>
      <w:r w:rsidR="0082601E">
        <w:t xml:space="preserve"> </w:t>
      </w:r>
      <w:r w:rsidR="00AC5E78">
        <w:t>over 3000</w:t>
      </w:r>
      <w:r w:rsidR="00D01DE3">
        <w:t xml:space="preserve"> </w:t>
      </w:r>
      <w:r w:rsidR="00D16358">
        <w:t xml:space="preserve">journals </w:t>
      </w:r>
      <w:r w:rsidR="0082601E">
        <w:t>(</w:t>
      </w:r>
      <w:r w:rsidR="000A6AEE">
        <w:t>JournalSeek</w:t>
      </w:r>
      <w:r w:rsidR="0082601E">
        <w:t xml:space="preserve">, 2010). </w:t>
      </w:r>
      <w:r w:rsidR="00A24980">
        <w:t>F</w:t>
      </w:r>
      <w:r w:rsidR="00BD405F">
        <w:t xml:space="preserve">or communication with the wider public, the mass media – </w:t>
      </w:r>
      <w:r w:rsidR="00380A1B">
        <w:t>newspapers, television and radio</w:t>
      </w:r>
      <w:r w:rsidR="00BD405F">
        <w:t xml:space="preserve"> </w:t>
      </w:r>
      <w:r w:rsidR="003345E6">
        <w:t xml:space="preserve">– </w:t>
      </w:r>
      <w:r w:rsidR="0009759A">
        <w:t>o</w:t>
      </w:r>
      <w:r w:rsidR="00BD405F">
        <w:t xml:space="preserve">ffer </w:t>
      </w:r>
      <w:r w:rsidR="00686C93">
        <w:t>researchers</w:t>
      </w:r>
      <w:r w:rsidR="00380A1B">
        <w:t xml:space="preserve"> </w:t>
      </w:r>
      <w:r w:rsidR="00BD405F">
        <w:t xml:space="preserve">a </w:t>
      </w:r>
      <w:r w:rsidR="00380A1B">
        <w:t xml:space="preserve">platform. </w:t>
      </w:r>
      <w:r w:rsidR="00A24980">
        <w:t xml:space="preserve">However, in the main, </w:t>
      </w:r>
      <w:r w:rsidR="00132A03">
        <w:t xml:space="preserve">the information that comes through these media </w:t>
      </w:r>
      <w:r>
        <w:t>arrives</w:t>
      </w:r>
      <w:r w:rsidR="00132A03">
        <w:t xml:space="preserve"> </w:t>
      </w:r>
      <w:r w:rsidR="0009759A">
        <w:t xml:space="preserve">after the fact; </w:t>
      </w:r>
      <w:r w:rsidR="002B1AEF">
        <w:t>whether a newspaper article or a</w:t>
      </w:r>
      <w:r w:rsidR="003574A1">
        <w:t xml:space="preserve"> classic peer-reviewed paper</w:t>
      </w:r>
      <w:r w:rsidR="002B1AEF">
        <w:t>, they are</w:t>
      </w:r>
      <w:r w:rsidR="003574A1">
        <w:t xml:space="preserve"> ‘</w:t>
      </w:r>
      <w:r w:rsidR="003574A1" w:rsidRPr="003D2C2C">
        <w:t xml:space="preserve">effectively just </w:t>
      </w:r>
      <w:r w:rsidR="003574A1">
        <w:t>[a] snapshot</w:t>
      </w:r>
      <w:r w:rsidR="003574A1" w:rsidRPr="003D2C2C">
        <w:t xml:space="preserve"> of what the authors have done and thought at </w:t>
      </w:r>
      <w:r w:rsidR="003574A1">
        <w:t>[one]</w:t>
      </w:r>
      <w:r w:rsidR="003574A1" w:rsidRPr="003D2C2C">
        <w:t xml:space="preserve"> moment in time</w:t>
      </w:r>
      <w:r w:rsidR="003574A1">
        <w:t>’ (Waldrop, 2008). T</w:t>
      </w:r>
      <w:r w:rsidR="002F081C">
        <w:t>he</w:t>
      </w:r>
      <w:r w:rsidR="0009759A">
        <w:t xml:space="preserve"> work published</w:t>
      </w:r>
      <w:r w:rsidR="002F081C">
        <w:t xml:space="preserve"> is </w:t>
      </w:r>
      <w:r w:rsidR="00132A03">
        <w:t xml:space="preserve">finished and </w:t>
      </w:r>
      <w:r w:rsidR="002F081C">
        <w:t>complete</w:t>
      </w:r>
      <w:r w:rsidR="00132A03">
        <w:t>; this leaves</w:t>
      </w:r>
      <w:r w:rsidR="0009759A">
        <w:t xml:space="preserve"> </w:t>
      </w:r>
      <w:r w:rsidR="00A768BE">
        <w:t>what happens while</w:t>
      </w:r>
      <w:r w:rsidR="004911F4">
        <w:t xml:space="preserve"> it </w:t>
      </w:r>
      <w:r w:rsidR="00A768BE">
        <w:t xml:space="preserve">is </w:t>
      </w:r>
      <w:r w:rsidR="002B1AEF">
        <w:t>being carried out</w:t>
      </w:r>
      <w:r w:rsidR="003574A1">
        <w:t xml:space="preserve"> as</w:t>
      </w:r>
      <w:r w:rsidR="004911F4">
        <w:t xml:space="preserve"> </w:t>
      </w:r>
      <w:r w:rsidR="00132A03">
        <w:t>something of</w:t>
      </w:r>
      <w:r w:rsidR="0009382C">
        <w:t xml:space="preserve"> a</w:t>
      </w:r>
      <w:r w:rsidR="0009759A">
        <w:t xml:space="preserve"> mystery to </w:t>
      </w:r>
      <w:r w:rsidR="00132A03">
        <w:t>members of the public</w:t>
      </w:r>
      <w:r w:rsidR="0009759A">
        <w:t xml:space="preserve">. </w:t>
      </w:r>
      <w:r w:rsidR="003574A1">
        <w:t xml:space="preserve">Advocates of Open Access </w:t>
      </w:r>
      <w:r w:rsidR="00B43380">
        <w:t xml:space="preserve">argue that if research is funded from the public purse, access to its results should be </w:t>
      </w:r>
      <w:r w:rsidR="003574A1">
        <w:t>open</w:t>
      </w:r>
      <w:r w:rsidR="00B43380">
        <w:t>:</w:t>
      </w:r>
      <w:r w:rsidR="00B43380" w:rsidRPr="003C71E5">
        <w:t xml:space="preserve"> </w:t>
      </w:r>
      <w:r w:rsidR="00B43380">
        <w:t>‘it is critical that the outputs from publicly-funded research are disseminated and shared with the widest possible audience’ (Poynder, 2008). The requirement to make published outputs available is becoming more widespread. For example, the UK’s Engineering and Physical Sciences Research Council has mandated open access publication (EPSRC, 2010)</w:t>
      </w:r>
      <w:r w:rsidR="006E6B30">
        <w:t>.</w:t>
      </w:r>
      <w:r w:rsidR="002B1AEF">
        <w:t xml:space="preserve"> </w:t>
      </w:r>
      <w:r w:rsidR="00B43380">
        <w:t>Practising Open Science takes this one step further by making not only the results of research but the process of research open.</w:t>
      </w:r>
      <w:r w:rsidR="006E6B30">
        <w:t xml:space="preserve"> </w:t>
      </w:r>
    </w:p>
    <w:p w:rsidR="00C35301" w:rsidRDefault="002D67FC" w:rsidP="003574A1">
      <w:r>
        <w:t>M</w:t>
      </w:r>
      <w:r w:rsidR="00012E54">
        <w:t>otivations</w:t>
      </w:r>
      <w:r w:rsidR="006E6B30">
        <w:t xml:space="preserve"> </w:t>
      </w:r>
      <w:r w:rsidR="002B1AEF">
        <w:t>for</w:t>
      </w:r>
      <w:r w:rsidR="006E6B30">
        <w:t xml:space="preserve"> openness </w:t>
      </w:r>
      <w:r>
        <w:t xml:space="preserve">likewise </w:t>
      </w:r>
      <w:r w:rsidR="002B1AEF">
        <w:t>vary</w:t>
      </w:r>
      <w:r>
        <w:t xml:space="preserve"> in degree and kind</w:t>
      </w:r>
      <w:r w:rsidR="002B1AEF">
        <w:t>. T</w:t>
      </w:r>
      <w:r w:rsidR="006E6B30" w:rsidRPr="006E6B30">
        <w:rPr>
          <w:szCs w:val="20"/>
        </w:rPr>
        <w:t xml:space="preserve">he Symbrion/Replicator projects, which are </w:t>
      </w:r>
      <w:r w:rsidR="00012E54">
        <w:t xml:space="preserve">investigating </w:t>
      </w:r>
      <w:r w:rsidR="006E6B30" w:rsidRPr="00316A4C">
        <w:t>novel principles of adaptation and evolution for symbiotic multi-robot organisms</w:t>
      </w:r>
      <w:r w:rsidR="006E6B30">
        <w:t xml:space="preserve"> maintain</w:t>
      </w:r>
      <w:r w:rsidR="00BE0AF6">
        <w:t>, at least partly as a means to ‘consolidate many interdisciplinary workers’ (Symbrion, 2010),</w:t>
      </w:r>
      <w:r w:rsidR="006E6B30">
        <w:t xml:space="preserve"> an open science discussion section on their website, along with publications and technical descriptions available for download</w:t>
      </w:r>
      <w:r w:rsidR="002B1AEF">
        <w:t>. Widespread and accessible c</w:t>
      </w:r>
      <w:r w:rsidR="00012E54">
        <w:t>ollaboration is central to some projects,</w:t>
      </w:r>
      <w:r w:rsidR="00D90189">
        <w:t xml:space="preserve"> for example, The Open Science P</w:t>
      </w:r>
      <w:r w:rsidR="00012E54">
        <w:t xml:space="preserve">roject, which is </w:t>
      </w:r>
      <w:r w:rsidR="00012E54" w:rsidRPr="00012E54">
        <w:t xml:space="preserve">‘dedicated to writing and releasing free and Open Source software’ </w:t>
      </w:r>
      <w:r w:rsidR="00012E54">
        <w:t>and is made up of a ‘</w:t>
      </w:r>
      <w:r w:rsidR="00012E54" w:rsidRPr="00012E54">
        <w:t xml:space="preserve">group of scientists, mathematicians and engineers who want to encourage a collaborative environment in which science can be pursued by </w:t>
      </w:r>
      <w:r w:rsidR="00012E54" w:rsidRPr="00012E54">
        <w:rPr>
          <w:i/>
        </w:rPr>
        <w:t>anyone</w:t>
      </w:r>
      <w:r w:rsidR="00012E54" w:rsidRPr="00012E54">
        <w:t xml:space="preserve"> who is inspired to discover something new about the natural world’ (Open Science, 2010). </w:t>
      </w:r>
      <w:r w:rsidR="003574A1">
        <w:t xml:space="preserve">The </w:t>
      </w:r>
      <w:r w:rsidR="0074243E" w:rsidRPr="003574A1">
        <w:rPr>
          <w:szCs w:val="20"/>
        </w:rPr>
        <w:t>B</w:t>
      </w:r>
      <w:r w:rsidR="001E2254" w:rsidRPr="003574A1">
        <w:rPr>
          <w:szCs w:val="20"/>
        </w:rPr>
        <w:t>loodhound@un</w:t>
      </w:r>
      <w:r w:rsidR="0009382C">
        <w:t xml:space="preserve">iversity </w:t>
      </w:r>
      <w:r w:rsidR="003574A1">
        <w:t xml:space="preserve">project, </w:t>
      </w:r>
      <w:r w:rsidR="004911F4" w:rsidRPr="003574A1">
        <w:rPr>
          <w:sz w:val="22"/>
          <w:szCs w:val="22"/>
        </w:rPr>
        <w:t xml:space="preserve">part of the </w:t>
      </w:r>
      <w:r w:rsidR="004911F4" w:rsidRPr="0074243E">
        <w:t>Bloodhou</w:t>
      </w:r>
      <w:r w:rsidR="004911F4">
        <w:t>nd supersonic car project</w:t>
      </w:r>
      <w:r w:rsidR="00E73017">
        <w:t>,</w:t>
      </w:r>
      <w:r w:rsidR="001E2254">
        <w:t xml:space="preserve"> </w:t>
      </w:r>
      <w:r w:rsidR="003574A1">
        <w:t>uses openness to support interaction between engineers and university researchers by providing</w:t>
      </w:r>
      <w:r w:rsidR="001E2254">
        <w:t xml:space="preserve"> university staff and students with </w:t>
      </w:r>
      <w:r w:rsidR="00590373">
        <w:t xml:space="preserve">full </w:t>
      </w:r>
      <w:r w:rsidR="001E2254">
        <w:t>information</w:t>
      </w:r>
      <w:r w:rsidR="005E14F0">
        <w:t xml:space="preserve"> from the engineering team</w:t>
      </w:r>
      <w:r w:rsidR="001E2254">
        <w:t xml:space="preserve"> </w:t>
      </w:r>
      <w:r w:rsidR="0074243E">
        <w:t>‘</w:t>
      </w:r>
      <w:r w:rsidR="001E2254" w:rsidRPr="001E2254">
        <w:t xml:space="preserve">about the car, the project, the design challenges and the successes, </w:t>
      </w:r>
      <w:r w:rsidR="0074243E">
        <w:t>[…]</w:t>
      </w:r>
      <w:r w:rsidR="001E2254" w:rsidRPr="001E2254">
        <w:t xml:space="preserve"> current problems and challenges facing the project</w:t>
      </w:r>
      <w:r w:rsidR="00132A03">
        <w:t>’</w:t>
      </w:r>
      <w:r w:rsidR="001E2254" w:rsidRPr="001E2254">
        <w:t xml:space="preserve"> and invite</w:t>
      </w:r>
      <w:r w:rsidR="00132A03">
        <w:t>s</w:t>
      </w:r>
      <w:r w:rsidR="001E2254" w:rsidRPr="001E2254">
        <w:t xml:space="preserve"> </w:t>
      </w:r>
      <w:r w:rsidR="00132A03">
        <w:t>users</w:t>
      </w:r>
      <w:r w:rsidR="001E2254" w:rsidRPr="001E2254">
        <w:t xml:space="preserve"> to contribute to solving these problems if </w:t>
      </w:r>
      <w:r w:rsidR="00132A03">
        <w:t>they</w:t>
      </w:r>
      <w:r w:rsidR="001E2254" w:rsidRPr="001E2254">
        <w:t xml:space="preserve"> are able</w:t>
      </w:r>
      <w:r w:rsidR="0074243E">
        <w:t xml:space="preserve"> (Bloodhound@university, 2010).</w:t>
      </w:r>
    </w:p>
    <w:p w:rsidR="005E14F0" w:rsidRDefault="005E14F0" w:rsidP="003F04DB">
      <w:r>
        <w:t xml:space="preserve">Open Science </w:t>
      </w:r>
      <w:r w:rsidR="003F04DB">
        <w:t xml:space="preserve">has repercussions for components of the research process, such as peer-review. </w:t>
      </w:r>
      <w:r w:rsidR="002B1AEF">
        <w:t>Peer-review is highly-regarded</w:t>
      </w:r>
      <w:r w:rsidR="00AE7B4E">
        <w:t xml:space="preserve"> as the guarantor of quality; the ‘key means to ensure that only high-quality research is funded, published and appropriately rewarded’ (RIN, 2010</w:t>
      </w:r>
      <w:r w:rsidR="008F0D16">
        <w:t>, p.4</w:t>
      </w:r>
      <w:r w:rsidR="00AE7B4E">
        <w:t xml:space="preserve">). </w:t>
      </w:r>
      <w:r>
        <w:t xml:space="preserve">However, </w:t>
      </w:r>
      <w:r w:rsidR="003F04DB">
        <w:t xml:space="preserve">not </w:t>
      </w:r>
      <w:r>
        <w:t xml:space="preserve">even guarantees </w:t>
      </w:r>
      <w:r w:rsidR="003F04DB">
        <w:t xml:space="preserve">are without problems: </w:t>
      </w:r>
      <w:r w:rsidR="008F0D16">
        <w:t xml:space="preserve">for example, </w:t>
      </w:r>
      <w:r w:rsidR="00DE5A93">
        <w:t xml:space="preserve">peer review has had difficulties with </w:t>
      </w:r>
      <w:r>
        <w:t xml:space="preserve">fraud (see for example Vogel, 2006, pp 516–517)), the rejection of otherwise high-quality work that clashes with reviewers’ work and opinions, poor quality of review and </w:t>
      </w:r>
      <w:r w:rsidR="00DE5A93">
        <w:t>instances where</w:t>
      </w:r>
      <w:r>
        <w:t xml:space="preserve"> trans-disciplinary work </w:t>
      </w:r>
      <w:r w:rsidR="00DE5A93">
        <w:t>has been</w:t>
      </w:r>
      <w:r>
        <w:t xml:space="preserve"> reviewed by someone familiar with only part</w:t>
      </w:r>
      <w:r w:rsidR="002B1AEF">
        <w:t xml:space="preserve"> of the field (Gura, 2002</w:t>
      </w:r>
      <w:r>
        <w:t xml:space="preserve">). </w:t>
      </w:r>
      <w:r w:rsidR="00AE7B4E">
        <w:t xml:space="preserve">However, </w:t>
      </w:r>
      <w:r w:rsidR="008F0D16">
        <w:t>despite problems, peer-review is likely to remain an essential co</w:t>
      </w:r>
      <w:r w:rsidR="00BE0AF6">
        <w:t>mponent of the research process;</w:t>
      </w:r>
      <w:r w:rsidR="008F0D16">
        <w:t xml:space="preserve"> </w:t>
      </w:r>
      <w:r w:rsidR="00BE0AF6">
        <w:t>t</w:t>
      </w:r>
      <w:r w:rsidR="008F0D16">
        <w:t xml:space="preserve">he changes and challenges presented by the growth in web-based communication and publication </w:t>
      </w:r>
      <w:r w:rsidR="004965DA">
        <w:t>have led to experiments in new forms. S</w:t>
      </w:r>
      <w:r>
        <w:t xml:space="preserve">ome journals (for example </w:t>
      </w:r>
      <w:r>
        <w:rPr>
          <w:i/>
        </w:rPr>
        <w:t>PLoS ONE</w:t>
      </w:r>
      <w:r>
        <w:t xml:space="preserve">) have experimented with open peer-review, in which papers are deposited on a website for free comment. However, a 2006 experiment in open peer-review by the journal </w:t>
      </w:r>
      <w:r>
        <w:rPr>
          <w:i/>
        </w:rPr>
        <w:t xml:space="preserve">Nature </w:t>
      </w:r>
      <w:r>
        <w:t xml:space="preserve">concluded that despite there being ‘a significant level of </w:t>
      </w:r>
      <w:r>
        <w:lastRenderedPageBreak/>
        <w:t>expressed interest in open peer-review […] there is a marked reluctance among researchers to offer open comments’ (</w:t>
      </w:r>
      <w:r w:rsidRPr="00AE638E">
        <w:rPr>
          <w:i/>
        </w:rPr>
        <w:t>Nature</w:t>
      </w:r>
      <w:r>
        <w:t xml:space="preserve">, 2006). </w:t>
      </w:r>
    </w:p>
    <w:p w:rsidR="00A44093" w:rsidRDefault="00A44093" w:rsidP="004965DA">
      <w:pPr>
        <w:pStyle w:val="Sectionhead"/>
      </w:pPr>
      <w:r>
        <w:t>Public Engagement</w:t>
      </w:r>
      <w:r w:rsidR="005E14F0">
        <w:t xml:space="preserve"> with Science, Technology and Engineering</w:t>
      </w:r>
    </w:p>
    <w:p w:rsidR="00D45FD4" w:rsidRPr="00571419" w:rsidRDefault="00D45FD4" w:rsidP="00C35559">
      <w:r>
        <w:t>Although it has a longer history</w:t>
      </w:r>
      <w:r w:rsidR="00C842BE">
        <w:t xml:space="preserve"> than Open Science</w:t>
      </w:r>
      <w:r>
        <w:t xml:space="preserve">, the </w:t>
      </w:r>
      <w:r w:rsidR="009F37DA">
        <w:t>concept</w:t>
      </w:r>
      <w:r>
        <w:t xml:space="preserve"> of public engagement is </w:t>
      </w:r>
      <w:r w:rsidR="00C842BE">
        <w:t>also</w:t>
      </w:r>
      <w:r w:rsidR="0000336B">
        <w:t xml:space="preserve"> </w:t>
      </w:r>
      <w:r>
        <w:t xml:space="preserve">still </w:t>
      </w:r>
      <w:r w:rsidR="002F081C">
        <w:t>being refined</w:t>
      </w:r>
      <w:r>
        <w:t xml:space="preserve">. </w:t>
      </w:r>
      <w:r w:rsidR="002F081C">
        <w:t>Poliakoff and Webb (2007, p.244) characterise it</w:t>
      </w:r>
      <w:r w:rsidR="003A3245">
        <w:t xml:space="preserve"> as ‘</w:t>
      </w:r>
      <w:r w:rsidR="00034003">
        <w:t>communication that engages an audience outside academia’</w:t>
      </w:r>
      <w:r w:rsidR="002F081C">
        <w:t>,</w:t>
      </w:r>
      <w:r w:rsidR="00245CD4">
        <w:t xml:space="preserve"> although </w:t>
      </w:r>
      <w:r w:rsidR="002F081C">
        <w:t xml:space="preserve">others, for example </w:t>
      </w:r>
      <w:r w:rsidR="004965DA">
        <w:t>Rowe</w:t>
      </w:r>
      <w:r w:rsidR="00245CD4">
        <w:t xml:space="preserve"> et al. </w:t>
      </w:r>
      <w:r w:rsidR="003C748A">
        <w:t>(</w:t>
      </w:r>
      <w:r w:rsidR="00245CD4">
        <w:t xml:space="preserve">2004) </w:t>
      </w:r>
      <w:r w:rsidR="00D4468B">
        <w:t xml:space="preserve">argue </w:t>
      </w:r>
      <w:r w:rsidR="002F081C">
        <w:t xml:space="preserve">that </w:t>
      </w:r>
      <w:r w:rsidR="00245CD4">
        <w:t xml:space="preserve">public participation in </w:t>
      </w:r>
      <w:r w:rsidR="00D4468B">
        <w:t xml:space="preserve">(for example) </w:t>
      </w:r>
      <w:r w:rsidR="00245CD4">
        <w:t>agenda-setting, decision-making or policy-forming, is a necessary element</w:t>
      </w:r>
      <w:r w:rsidR="004965DA">
        <w:t xml:space="preserve"> of engagement</w:t>
      </w:r>
      <w:r w:rsidR="00245CD4">
        <w:t>.</w:t>
      </w:r>
      <w:r w:rsidR="00D4468B">
        <w:t xml:space="preserve"> C</w:t>
      </w:r>
      <w:r w:rsidR="00ED3886">
        <w:t xml:space="preserve">onsidering </w:t>
      </w:r>
      <w:r w:rsidR="00D4468B">
        <w:t>it</w:t>
      </w:r>
      <w:r w:rsidR="00ED3886">
        <w:t xml:space="preserve"> more specifically in terms of public engagement with science, technology and engineering, </w:t>
      </w:r>
      <w:r w:rsidR="008F1E24">
        <w:t>McCaillie et al.</w:t>
      </w:r>
      <w:r w:rsidR="00ED3886">
        <w:t xml:space="preserve"> </w:t>
      </w:r>
      <w:r w:rsidR="00D4468B">
        <w:t xml:space="preserve">argue that public engagement should include </w:t>
      </w:r>
      <w:r>
        <w:t>(</w:t>
      </w:r>
      <w:r w:rsidRPr="00571419">
        <w:t>italics</w:t>
      </w:r>
      <w:r>
        <w:t xml:space="preserve"> added</w:t>
      </w:r>
      <w:r w:rsidRPr="00571419">
        <w:t>):</w:t>
      </w:r>
    </w:p>
    <w:p w:rsidR="00D45FD4" w:rsidRPr="00571419" w:rsidRDefault="00D45FD4" w:rsidP="00C35559">
      <w:pPr>
        <w:pStyle w:val="longquote"/>
      </w:pPr>
      <w:r w:rsidRPr="001700FF">
        <w:rPr>
          <w:i/>
        </w:rPr>
        <w:t>Mutual learning</w:t>
      </w:r>
      <w:r w:rsidRPr="00571419">
        <w:t xml:space="preserve">, allowing everyone who participates to develop new or more nuanced understandings of issues and opportunities; </w:t>
      </w:r>
    </w:p>
    <w:p w:rsidR="00D45FD4" w:rsidRPr="00571419" w:rsidRDefault="00D45FD4" w:rsidP="00C35559">
      <w:pPr>
        <w:pStyle w:val="longquote"/>
      </w:pPr>
      <w:r w:rsidRPr="00ED3886">
        <w:rPr>
          <w:i/>
        </w:rPr>
        <w:t>Empowerment</w:t>
      </w:r>
      <w:r w:rsidRPr="00571419">
        <w:t xml:space="preserve"> and the development of skills for participating in civic activities; </w:t>
      </w:r>
    </w:p>
    <w:p w:rsidR="00D45FD4" w:rsidRPr="00571419" w:rsidRDefault="00D45FD4" w:rsidP="00C35559">
      <w:pPr>
        <w:pStyle w:val="longquote"/>
      </w:pPr>
      <w:r w:rsidRPr="001700FF">
        <w:rPr>
          <w:i/>
        </w:rPr>
        <w:t>Increased awareness of the cultural relevance of science</w:t>
      </w:r>
      <w:r w:rsidRPr="00571419">
        <w:t xml:space="preserve">, science as a cultural practice, and science–society interactions; and </w:t>
      </w:r>
    </w:p>
    <w:p w:rsidR="00D45FD4" w:rsidRPr="00571419" w:rsidRDefault="00D45FD4" w:rsidP="00C35559">
      <w:pPr>
        <w:pStyle w:val="longquote"/>
      </w:pPr>
      <w:r w:rsidRPr="001700FF">
        <w:rPr>
          <w:i/>
        </w:rPr>
        <w:t xml:space="preserve">Recognition of the importance of multiple perspectives </w:t>
      </w:r>
      <w:r w:rsidRPr="00571419">
        <w:t>and domains of knowledge.</w:t>
      </w:r>
      <w:r>
        <w:t xml:space="preserve"> </w:t>
      </w:r>
      <w:r w:rsidRPr="00571419">
        <w:t>(</w:t>
      </w:r>
      <w:r w:rsidR="003540AF">
        <w:t>McCaillie et al</w:t>
      </w:r>
      <w:r w:rsidR="004965DA">
        <w:t>.,</w:t>
      </w:r>
      <w:r>
        <w:t xml:space="preserve"> 2009</w:t>
      </w:r>
      <w:r w:rsidR="0053041A">
        <w:t xml:space="preserve">, </w:t>
      </w:r>
      <w:r w:rsidR="002B1AEF">
        <w:t>p.</w:t>
      </w:r>
      <w:r w:rsidR="0053041A">
        <w:t>12</w:t>
      </w:r>
      <w:r w:rsidRPr="00571419">
        <w:t>)</w:t>
      </w:r>
    </w:p>
    <w:p w:rsidR="002102CF" w:rsidRDefault="002102CF" w:rsidP="00C35559">
      <w:r>
        <w:t>For example, the Walking with Robots project sought to bring together robotics researchers, science communicators and members of the public to ‘increase awareness of where robotics research is heading and how they [</w:t>
      </w:r>
      <w:r>
        <w:rPr>
          <w:i/>
        </w:rPr>
        <w:t>the public</w:t>
      </w:r>
      <w:r>
        <w:t xml:space="preserve">] can contribute either as engineers or as informed citizens’ (Walking with Robots, 2010). </w:t>
      </w:r>
    </w:p>
    <w:p w:rsidR="0071625F" w:rsidRDefault="002102CF" w:rsidP="00C35559">
      <w:r>
        <w:t xml:space="preserve">Both the rhetoric and practice of public engagement with science and engineering are moving towards an ‘upstream’ model (Stilgoe and Wilsdon, 2009, p.1). </w:t>
      </w:r>
      <w:r w:rsidR="00202634">
        <w:t xml:space="preserve">Supporting </w:t>
      </w:r>
      <w:r w:rsidR="00A054F3">
        <w:t>a</w:t>
      </w:r>
      <w:r w:rsidR="00202634">
        <w:t xml:space="preserve"> model of sustained, continuing engagement throughout the process of the </w:t>
      </w:r>
      <w:r w:rsidR="003C748A">
        <w:t>research</w:t>
      </w:r>
      <w:r w:rsidR="00202634">
        <w:t xml:space="preserve"> calls for ‘real openness and genuine open-mindedness’ (Stilgoe and Wilsdon, 2009, p.1)</w:t>
      </w:r>
      <w:r w:rsidR="000229E3">
        <w:t>. Such openness is sought</w:t>
      </w:r>
      <w:r w:rsidR="00202634">
        <w:t xml:space="preserve"> </w:t>
      </w:r>
      <w:r w:rsidR="00A054F3">
        <w:t xml:space="preserve">not only </w:t>
      </w:r>
      <w:r w:rsidR="000229E3">
        <w:t>from</w:t>
      </w:r>
      <w:r w:rsidR="00202634">
        <w:t xml:space="preserve"> </w:t>
      </w:r>
      <w:r w:rsidR="00A054F3">
        <w:t>researchers</w:t>
      </w:r>
      <w:r w:rsidR="00EF1F21">
        <w:t xml:space="preserve"> </w:t>
      </w:r>
      <w:r w:rsidR="00A054F3">
        <w:t xml:space="preserve">but also </w:t>
      </w:r>
      <w:r w:rsidR="000229E3">
        <w:t>from</w:t>
      </w:r>
      <w:r w:rsidR="00A054F3">
        <w:t xml:space="preserve"> members of the public </w:t>
      </w:r>
      <w:r w:rsidR="00EF1F21">
        <w:t>and requires all parties to ‘revise and/or extend their routine practices of science communication to meet the requirements of a more demanding agenda’ (Holliman</w:t>
      </w:r>
      <w:r w:rsidR="00B23A91">
        <w:t xml:space="preserve"> </w:t>
      </w:r>
      <w:r w:rsidR="00A14966" w:rsidRPr="00E0707A">
        <w:t>et al</w:t>
      </w:r>
      <w:r w:rsidR="00E0707A">
        <w:t>.,</w:t>
      </w:r>
      <w:r w:rsidR="00A14966" w:rsidRPr="00E0707A">
        <w:t xml:space="preserve"> </w:t>
      </w:r>
      <w:r w:rsidR="00EF1F21">
        <w:t>20</w:t>
      </w:r>
      <w:r w:rsidR="00A054F3">
        <w:t>09</w:t>
      </w:r>
      <w:r w:rsidR="00EF1F21">
        <w:t>, p.3)</w:t>
      </w:r>
      <w:r w:rsidR="00A054F3">
        <w:t xml:space="preserve">. </w:t>
      </w:r>
      <w:r w:rsidR="00B23A91">
        <w:t xml:space="preserve">To paraphrase Irwin (2008, </w:t>
      </w:r>
      <w:r w:rsidR="002B1AEF">
        <w:t>p.</w:t>
      </w:r>
      <w:r w:rsidR="00F4164D">
        <w:t>208), t</w:t>
      </w:r>
      <w:r w:rsidR="00B23A91">
        <w:t xml:space="preserve">his could be characterised </w:t>
      </w:r>
      <w:r w:rsidR="00F4164D">
        <w:t xml:space="preserve">not just as the requirement to </w:t>
      </w:r>
      <w:r w:rsidR="00B23A91">
        <w:t xml:space="preserve">move from first-order (one-way, top-down, science-focused) thinking to second-order (two-way, bottom-up dialogic, engaged) </w:t>
      </w:r>
      <w:r w:rsidR="00F4164D">
        <w:t>but to</w:t>
      </w:r>
      <w:r w:rsidR="00B23A91">
        <w:t xml:space="preserve"> third-order (multiply-framed, contextual, contended) thinking</w:t>
      </w:r>
      <w:r w:rsidR="00F4164D">
        <w:t xml:space="preserve">. The characteristics of Irwin’s third-order grouping reflect the nature of the research process – </w:t>
      </w:r>
      <w:r w:rsidR="00D63DD7">
        <w:t xml:space="preserve">dynamic, uncertain and </w:t>
      </w:r>
      <w:r w:rsidR="006C69B9">
        <w:t>tentative:</w:t>
      </w:r>
      <w:r w:rsidR="005C2463">
        <w:t xml:space="preserve"> </w:t>
      </w:r>
    </w:p>
    <w:p w:rsidR="0071625F" w:rsidRDefault="0071625F" w:rsidP="00C35559">
      <w:pPr>
        <w:pStyle w:val="longquote"/>
      </w:pPr>
      <w:r>
        <w:t>In this situation, the public communication of science and technology both takes on new significance and faces substantial new challenges […] new possibilities eme</w:t>
      </w:r>
      <w:r w:rsidR="00A44838">
        <w:t xml:space="preserve">rge for forms of communication </w:t>
      </w:r>
      <w:r>
        <w:t>that […] open up fresh interconnections between public, scientific, institutional, political and ethical visions of change in all their heterogeneity, conditionality and disagreement. (Irwin, 2008, p.210)</w:t>
      </w:r>
    </w:p>
    <w:p w:rsidR="002F6585" w:rsidRDefault="002F6585" w:rsidP="002F6585">
      <w:pPr>
        <w:pStyle w:val="subsubsection"/>
      </w:pPr>
      <w:r>
        <w:t>Public participation in research</w:t>
      </w:r>
    </w:p>
    <w:p w:rsidR="002F6585" w:rsidRDefault="002B1AEF" w:rsidP="002F6585">
      <w:r>
        <w:t>Alongside</w:t>
      </w:r>
      <w:r w:rsidR="00B87B75">
        <w:t xml:space="preserve"> a growing number of research groups working under Open Science practices, there exists the allied concept of projects that promote public participation in research, (sometimes called ‘citizen science’), which seek to use </w:t>
      </w:r>
      <w:r w:rsidR="007664BC">
        <w:t>non-professionals as a resource</w:t>
      </w:r>
      <w:r w:rsidR="00B87B75">
        <w:t xml:space="preserve">. </w:t>
      </w:r>
      <w:r w:rsidR="00840404" w:rsidRPr="002521DF">
        <w:t xml:space="preserve">Leadbeater and </w:t>
      </w:r>
      <w:r w:rsidR="00840404" w:rsidRPr="002521DF">
        <w:lastRenderedPageBreak/>
        <w:t>Miller (2004) defined the emergence of a community they called ‘pro-ams’; engaged</w:t>
      </w:r>
      <w:r w:rsidR="00840404">
        <w:t>,</w:t>
      </w:r>
      <w:r w:rsidR="00840404" w:rsidRPr="002521DF">
        <w:t xml:space="preserve"> and intellectually very competent</w:t>
      </w:r>
      <w:r w:rsidR="00840404">
        <w:t>,</w:t>
      </w:r>
      <w:r w:rsidR="00840404" w:rsidRPr="002521DF">
        <w:t xml:space="preserve"> amateurs working to professional standards. </w:t>
      </w:r>
      <w:r w:rsidR="00D4468B">
        <w:t>Pro-ams</w:t>
      </w:r>
      <w:r w:rsidR="00D4468B" w:rsidRPr="002521DF">
        <w:t xml:space="preserve"> </w:t>
      </w:r>
      <w:r w:rsidR="002F6585" w:rsidRPr="002521DF">
        <w:t xml:space="preserve">have long been a valued resource in </w:t>
      </w:r>
      <w:r w:rsidR="002F6585">
        <w:t xml:space="preserve">certain domains, such as ‘astronomy, archaeology and natural history, where skill in observation can be more important than expensive equipment’ (Silvertown, 2009, p.1). </w:t>
      </w:r>
      <w:r w:rsidR="00840404">
        <w:t>Although there are growing</w:t>
      </w:r>
      <w:r w:rsidR="002F6585">
        <w:t xml:space="preserve"> number</w:t>
      </w:r>
      <w:r w:rsidR="00840404">
        <w:t>s</w:t>
      </w:r>
      <w:r w:rsidR="002F6585">
        <w:t xml:space="preserve"> of ‘citizen science’ projects</w:t>
      </w:r>
      <w:r w:rsidR="00840404">
        <w:t xml:space="preserve">, they </w:t>
      </w:r>
      <w:r w:rsidR="00D4468B">
        <w:t xml:space="preserve">still tend to be </w:t>
      </w:r>
      <w:r w:rsidR="007314AA">
        <w:t>concentrate</w:t>
      </w:r>
      <w:r w:rsidR="00D4468B">
        <w:t>d</w:t>
      </w:r>
      <w:r w:rsidR="00840404">
        <w:t xml:space="preserve"> </w:t>
      </w:r>
      <w:r w:rsidR="002F6585">
        <w:t xml:space="preserve">in ecology and the environmental sciences. Silvertown gives a sample of 13 projects </w:t>
      </w:r>
      <w:r w:rsidR="007314AA">
        <w:t xml:space="preserve">(which he believes to be representative of citizen science in general) </w:t>
      </w:r>
      <w:r w:rsidR="002F6585">
        <w:t>from Europe and North America</w:t>
      </w:r>
      <w:r w:rsidR="007314AA">
        <w:t>,</w:t>
      </w:r>
      <w:r w:rsidR="002F6585">
        <w:t xml:space="preserve"> all of which fall within these areas. </w:t>
      </w:r>
    </w:p>
    <w:p w:rsidR="002F6585" w:rsidRDefault="00DE5A93" w:rsidP="002F6585">
      <w:r>
        <w:t>Cohn (2008, p.193) commented that t</w:t>
      </w:r>
      <w:r w:rsidR="002F6585">
        <w:t>ypically</w:t>
      </w:r>
      <w:r w:rsidR="00D4468B">
        <w:t>,</w:t>
      </w:r>
      <w:r w:rsidR="002F6585">
        <w:t xml:space="preserve"> ‘volunteers do not analyze data or write scientific papers but they are essential to gathering the information on which studies are based’</w:t>
      </w:r>
      <w:r>
        <w:t xml:space="preserve">. However, others have made subtler distinctions. </w:t>
      </w:r>
      <w:r w:rsidR="002F6585">
        <w:t>Bonney</w:t>
      </w:r>
      <w:r w:rsidR="00E0707A">
        <w:t>,</w:t>
      </w:r>
      <w:r w:rsidR="002F6585">
        <w:t xml:space="preserve"> </w:t>
      </w:r>
      <w:r w:rsidR="002F6585" w:rsidRPr="00E0707A">
        <w:t>et al</w:t>
      </w:r>
      <w:r w:rsidR="00E0707A">
        <w:t>.</w:t>
      </w:r>
      <w:r w:rsidR="002F6585" w:rsidRPr="00A14966">
        <w:rPr>
          <w:i/>
        </w:rPr>
        <w:t xml:space="preserve"> </w:t>
      </w:r>
      <w:r w:rsidR="004965DA">
        <w:t>(2009</w:t>
      </w:r>
      <w:r w:rsidR="00D4468B">
        <w:t xml:space="preserve">) </w:t>
      </w:r>
      <w:r w:rsidR="002F6585">
        <w:t xml:space="preserve">identified three major categories of projects: </w:t>
      </w:r>
      <w:r w:rsidR="002F6585" w:rsidRPr="00E27657">
        <w:rPr>
          <w:i/>
        </w:rPr>
        <w:t>contributory</w:t>
      </w:r>
      <w:r w:rsidR="002F6585">
        <w:t xml:space="preserve"> – projects designed by scientists to which </w:t>
      </w:r>
      <w:r w:rsidR="00D4468B">
        <w:t>volunteers</w:t>
      </w:r>
      <w:r w:rsidR="002F6585">
        <w:t xml:space="preserve"> primarily contribute data; </w:t>
      </w:r>
      <w:r w:rsidR="002F6585" w:rsidRPr="00E27657">
        <w:rPr>
          <w:i/>
        </w:rPr>
        <w:t>collaborative</w:t>
      </w:r>
      <w:r w:rsidR="002F6585">
        <w:t xml:space="preserve"> – projects in which </w:t>
      </w:r>
      <w:r w:rsidR="00D4468B">
        <w:t>volunteers</w:t>
      </w:r>
      <w:r w:rsidR="002F6585">
        <w:t xml:space="preserve"> help to refine </w:t>
      </w:r>
      <w:r w:rsidR="00D4468B">
        <w:t xml:space="preserve">the </w:t>
      </w:r>
      <w:r w:rsidR="002F6585">
        <w:t xml:space="preserve">design, analyse data or disseminate findings and </w:t>
      </w:r>
      <w:r w:rsidR="002F6585" w:rsidRPr="00E27657">
        <w:rPr>
          <w:i/>
        </w:rPr>
        <w:t>co-created</w:t>
      </w:r>
      <w:r w:rsidR="002F6585">
        <w:t xml:space="preserve"> – projects designed by scientists and </w:t>
      </w:r>
      <w:r w:rsidR="00D4468B">
        <w:t>volunteers</w:t>
      </w:r>
      <w:r w:rsidR="002F6585">
        <w:t xml:space="preserve"> working together, in which the public is actively involved in most or all of the scientific process. </w:t>
      </w:r>
      <w:r w:rsidR="00D4468B">
        <w:t xml:space="preserve">Field and Powell (2001) describe this last </w:t>
      </w:r>
      <w:r w:rsidR="004965DA">
        <w:t xml:space="preserve">type </w:t>
      </w:r>
      <w:r w:rsidR="00D4468B">
        <w:t>as a</w:t>
      </w:r>
      <w:r w:rsidR="004965DA">
        <w:t>n approach</w:t>
      </w:r>
      <w:r w:rsidR="00D4468B">
        <w:t xml:space="preserve"> towards public understanding of </w:t>
      </w:r>
      <w:r w:rsidR="00D4468B" w:rsidRPr="003C7AAB">
        <w:t>research</w:t>
      </w:r>
      <w:r w:rsidR="00D4468B">
        <w:t>, of engagement with a process that is not static.</w:t>
      </w:r>
      <w:r w:rsidR="004965DA">
        <w:t xml:space="preserve"> </w:t>
      </w:r>
    </w:p>
    <w:p w:rsidR="002F6585" w:rsidRDefault="00DE5A93" w:rsidP="004965DA">
      <w:r>
        <w:t>T</w:t>
      </w:r>
      <w:r w:rsidR="004965DA">
        <w:t xml:space="preserve">he </w:t>
      </w:r>
      <w:r>
        <w:t xml:space="preserve">categorisation </w:t>
      </w:r>
      <w:r w:rsidR="004965DA">
        <w:t xml:space="preserve">of a project </w:t>
      </w:r>
      <w:r>
        <w:t xml:space="preserve">is also not </w:t>
      </w:r>
      <w:r w:rsidR="004965DA">
        <w:t xml:space="preserve">necessarily static: </w:t>
      </w:r>
      <w:r w:rsidR="002F6585">
        <w:t xml:space="preserve">Galaxy Zoo </w:t>
      </w:r>
      <w:r w:rsidR="004965DA">
        <w:t>began by using</w:t>
      </w:r>
      <w:r w:rsidR="002F6585">
        <w:t xml:space="preserve"> </w:t>
      </w:r>
      <w:r>
        <w:t>the resource of some</w:t>
      </w:r>
      <w:r w:rsidR="002F6585">
        <w:t xml:space="preserve"> 200,000 volunteers </w:t>
      </w:r>
      <w:r w:rsidR="00B72575">
        <w:t xml:space="preserve">world-wide </w:t>
      </w:r>
      <w:r w:rsidR="002F6585">
        <w:t>to classify images of around a quarter of a million galaxies photographed by the Sloan Digital Sky Survey</w:t>
      </w:r>
      <w:r w:rsidR="003C7AAB">
        <w:t>.</w:t>
      </w:r>
      <w:r w:rsidR="002F6585">
        <w:t xml:space="preserve"> Having tried and failed to analyse these data by computer, the professional astronomers recruited the power of many human brains instead</w:t>
      </w:r>
      <w:r w:rsidR="003C7AAB">
        <w:t xml:space="preserve"> (‘contributory’ in Bonney et al’s classification)</w:t>
      </w:r>
      <w:r w:rsidR="002F6585">
        <w:t xml:space="preserve">. </w:t>
      </w:r>
      <w:r w:rsidR="003C7AAB">
        <w:t>However, n</w:t>
      </w:r>
      <w:r w:rsidR="002F6585">
        <w:t xml:space="preserve">ot only </w:t>
      </w:r>
      <w:r w:rsidR="003C7AAB">
        <w:t>did</w:t>
      </w:r>
      <w:r w:rsidR="002F6585">
        <w:t xml:space="preserve"> these </w:t>
      </w:r>
      <w:r w:rsidR="00642CDA">
        <w:t xml:space="preserve">volunteers </w:t>
      </w:r>
      <w:r w:rsidR="002F6585">
        <w:t>produce a wealth of valuable data that has supported publications (nine in 2008) by the professionals involved but, in July 2009, the first paper inspired and written by a group of the volunteers themselves was accepted by the Monthly Notices of the Royal Astronomical Society</w:t>
      </w:r>
      <w:r w:rsidR="00D4468B">
        <w:t xml:space="preserve"> (Galaxy Zoo, 2009)</w:t>
      </w:r>
      <w:r w:rsidR="003C7AAB">
        <w:t>, making the project c</w:t>
      </w:r>
      <w:r w:rsidR="00C8504D">
        <w:t>ollaborative, even arguably co-created.</w:t>
      </w:r>
      <w:r w:rsidR="002F6585">
        <w:t xml:space="preserve"> </w:t>
      </w:r>
      <w:r w:rsidR="00C8504D">
        <w:t xml:space="preserve">There are </w:t>
      </w:r>
      <w:r>
        <w:t xml:space="preserve">also </w:t>
      </w:r>
      <w:r w:rsidR="00C8504D">
        <w:t xml:space="preserve">examples of projects entirely created by and involving only amateurs: </w:t>
      </w:r>
      <w:r w:rsidR="002F6585" w:rsidRPr="00A001A3">
        <w:t>Diybio.org</w:t>
      </w:r>
      <w:r w:rsidR="002F6585">
        <w:t xml:space="preserve"> aims ‘to help make biology a worthwhile pursuit for citizen scientists, amateur biologists, and DIY biological engineers’ whose </w:t>
      </w:r>
      <w:r w:rsidR="002F6585" w:rsidRPr="00A001A3">
        <w:t xml:space="preserve">‘home laboratories have a worldwide scope via the Web, which serves as a space for the dissemination of projects and the exchange of </w:t>
      </w:r>
      <w:r w:rsidR="002F6585">
        <w:t>knowledge and techniques’</w:t>
      </w:r>
      <w:r w:rsidR="00E0707A">
        <w:t xml:space="preserve"> (DIYbio.org, 2009)</w:t>
      </w:r>
      <w:r w:rsidR="002F6585">
        <w:t xml:space="preserve">. </w:t>
      </w:r>
    </w:p>
    <w:p w:rsidR="002102CF" w:rsidRDefault="002102CF">
      <w:pPr>
        <w:autoSpaceDE/>
        <w:autoSpaceDN/>
        <w:adjustRightInd/>
        <w:spacing w:after="0"/>
        <w:jc w:val="left"/>
        <w:rPr>
          <w:rFonts w:ascii="Cambria" w:eastAsia="Times New Roman" w:hAnsi="Cambria"/>
          <w:b/>
          <w:bCs/>
          <w:color w:val="365F91" w:themeColor="accent1" w:themeShade="BF"/>
          <w:sz w:val="32"/>
          <w:szCs w:val="28"/>
        </w:rPr>
      </w:pPr>
      <w:bookmarkStart w:id="0" w:name="_Toc256357466"/>
      <w:r>
        <w:br w:type="page"/>
      </w:r>
    </w:p>
    <w:p w:rsidR="00BE304F" w:rsidRPr="00D63DD7" w:rsidRDefault="00BE304F" w:rsidP="00C8504D">
      <w:pPr>
        <w:pStyle w:val="Sectionhead"/>
      </w:pPr>
      <w:r>
        <w:lastRenderedPageBreak/>
        <w:t>Research questions</w:t>
      </w:r>
      <w:bookmarkEnd w:id="0"/>
    </w:p>
    <w:p w:rsidR="00B24F5C" w:rsidRDefault="00DB795E" w:rsidP="00C35559">
      <w:r>
        <w:t>T</w:t>
      </w:r>
      <w:r w:rsidR="00AC5E78">
        <w:t>he</w:t>
      </w:r>
      <w:r w:rsidR="00B24F5C">
        <w:t xml:space="preserve"> </w:t>
      </w:r>
      <w:r w:rsidR="004349D3">
        <w:t>research</w:t>
      </w:r>
      <w:r w:rsidR="003C748A">
        <w:t xml:space="preserve"> </w:t>
      </w:r>
      <w:r w:rsidR="00AA7F25">
        <w:t xml:space="preserve">reported in this paper </w:t>
      </w:r>
      <w:r w:rsidR="003C748A">
        <w:t>is informed by two related questions</w:t>
      </w:r>
      <w:r w:rsidR="00B24F5C">
        <w:t>:</w:t>
      </w:r>
    </w:p>
    <w:p w:rsidR="00920F6C" w:rsidRDefault="003C748A" w:rsidP="00C35559">
      <w:pPr>
        <w:pStyle w:val="ListParagraph"/>
        <w:numPr>
          <w:ilvl w:val="0"/>
          <w:numId w:val="1"/>
        </w:numPr>
      </w:pPr>
      <w:r>
        <w:t>What are</w:t>
      </w:r>
      <w:r w:rsidR="008B43D5">
        <w:t xml:space="preserve"> </w:t>
      </w:r>
      <w:r w:rsidR="00046412">
        <w:t>t</w:t>
      </w:r>
      <w:r w:rsidR="008B43D5">
        <w:t xml:space="preserve">he views of </w:t>
      </w:r>
      <w:r>
        <w:t>researchers</w:t>
      </w:r>
      <w:r w:rsidR="008B43D5">
        <w:t>, members of the public and other parties on Open Science</w:t>
      </w:r>
      <w:r w:rsidR="00DB795E">
        <w:t>’s</w:t>
      </w:r>
      <w:r w:rsidR="008B43D5">
        <w:t xml:space="preserve"> </w:t>
      </w:r>
      <w:r w:rsidR="00920F6C">
        <w:t>principles, methods, values and</w:t>
      </w:r>
      <w:r w:rsidR="00DB795E">
        <w:t xml:space="preserve"> benefits</w:t>
      </w:r>
      <w:r w:rsidR="00046412">
        <w:t xml:space="preserve"> and the implications and potential of open science practice for public engagement with science</w:t>
      </w:r>
      <w:r>
        <w:t>, technology and engineering?</w:t>
      </w:r>
    </w:p>
    <w:p w:rsidR="00F4254B" w:rsidRDefault="003C748A" w:rsidP="00C35559">
      <w:pPr>
        <w:pStyle w:val="ListParagraph"/>
        <w:numPr>
          <w:ilvl w:val="0"/>
          <w:numId w:val="1"/>
        </w:numPr>
      </w:pPr>
      <w:r>
        <w:t>H</w:t>
      </w:r>
      <w:r w:rsidR="00920F6C">
        <w:t>ow</w:t>
      </w:r>
      <w:r w:rsidR="00DB795E">
        <w:t xml:space="preserve"> </w:t>
      </w:r>
      <w:r>
        <w:t xml:space="preserve">might </w:t>
      </w:r>
      <w:r w:rsidR="00B24F5C">
        <w:t>Open Science improve</w:t>
      </w:r>
      <w:r w:rsidR="00C15669">
        <w:t xml:space="preserve"> public engagement with science</w:t>
      </w:r>
      <w:r>
        <w:t>, technology and engineering?</w:t>
      </w:r>
    </w:p>
    <w:p w:rsidR="0000336B" w:rsidRDefault="00C8504D" w:rsidP="003C748A">
      <w:pPr>
        <w:pStyle w:val="Subsection"/>
      </w:pPr>
      <w:bookmarkStart w:id="1" w:name="_Toc256357467"/>
      <w:r>
        <w:t>Research m</w:t>
      </w:r>
      <w:r w:rsidR="0000336B">
        <w:t>ethod</w:t>
      </w:r>
      <w:bookmarkEnd w:id="1"/>
    </w:p>
    <w:p w:rsidR="00C35301" w:rsidRDefault="00ED3886">
      <w:r>
        <w:t>The</w:t>
      </w:r>
      <w:r w:rsidR="0000336B">
        <w:t xml:space="preserve"> </w:t>
      </w:r>
      <w:r w:rsidR="00195F48">
        <w:t xml:space="preserve">research </w:t>
      </w:r>
      <w:r>
        <w:t xml:space="preserve">has </w:t>
      </w:r>
      <w:r w:rsidR="00195F48">
        <w:t>follow</w:t>
      </w:r>
      <w:r>
        <w:t>ed</w:t>
      </w:r>
      <w:r w:rsidR="00195F48">
        <w:t xml:space="preserve"> a grounded theory approach</w:t>
      </w:r>
      <w:r w:rsidR="00B72575">
        <w:t xml:space="preserve"> (Strauss and Corbin, 1990)</w:t>
      </w:r>
      <w:r w:rsidR="00195F48">
        <w:t xml:space="preserve">, </w:t>
      </w:r>
      <w:r w:rsidR="00C8504D">
        <w:t>with data collected</w:t>
      </w:r>
      <w:r w:rsidR="00B72575">
        <w:t xml:space="preserve"> from</w:t>
      </w:r>
      <w:r w:rsidR="00195F48">
        <w:t xml:space="preserve"> interviews </w:t>
      </w:r>
      <w:r w:rsidR="007314AA">
        <w:t>and case studies</w:t>
      </w:r>
      <w:r>
        <w:t>. The</w:t>
      </w:r>
      <w:r w:rsidR="007314AA">
        <w:t xml:space="preserve"> </w:t>
      </w:r>
      <w:r w:rsidR="006669B0">
        <w:t xml:space="preserve">early </w:t>
      </w:r>
      <w:r w:rsidR="007314AA">
        <w:t>interviewees</w:t>
      </w:r>
      <w:r w:rsidR="0052020F">
        <w:t xml:space="preserve"> </w:t>
      </w:r>
      <w:r w:rsidR="006669B0">
        <w:t xml:space="preserve">were selected as </w:t>
      </w:r>
      <w:r w:rsidR="0052020F">
        <w:t>represent</w:t>
      </w:r>
      <w:r w:rsidR="006669B0">
        <w:t>ing</w:t>
      </w:r>
      <w:r w:rsidR="0052020F">
        <w:t xml:space="preserve"> fields </w:t>
      </w:r>
      <w:r w:rsidR="006669B0">
        <w:t>likely to offer useful insights</w:t>
      </w:r>
      <w:r w:rsidR="0052020F">
        <w:t xml:space="preserve"> into the research area</w:t>
      </w:r>
      <w:r w:rsidR="006669B0">
        <w:t>;</w:t>
      </w:r>
      <w:r w:rsidR="0052020F">
        <w:t xml:space="preserve"> the analysis of the results of their interviews </w:t>
      </w:r>
      <w:r w:rsidR="006669B0">
        <w:t>enabled</w:t>
      </w:r>
      <w:r w:rsidR="0052020F">
        <w:t xml:space="preserve"> the identification of appropriate future interviewees as gaps in </w:t>
      </w:r>
      <w:r>
        <w:t xml:space="preserve">the </w:t>
      </w:r>
      <w:r w:rsidR="0052020F">
        <w:t xml:space="preserve">data and fruitful avenues for exploration </w:t>
      </w:r>
      <w:r>
        <w:t>bec</w:t>
      </w:r>
      <w:r w:rsidR="006669B0">
        <w:t>a</w:t>
      </w:r>
      <w:r>
        <w:t>me apparent</w:t>
      </w:r>
      <w:r w:rsidR="0052020F">
        <w:t xml:space="preserve">. </w:t>
      </w:r>
      <w:r w:rsidR="007664BC">
        <w:t>Interviewees have been selected through a combination of snowball sampling,</w:t>
      </w:r>
      <w:r w:rsidR="007664BC">
        <w:rPr>
          <w:rStyle w:val="FootnoteReference"/>
        </w:rPr>
        <w:footnoteReference w:id="3"/>
      </w:r>
      <w:r w:rsidR="007664BC">
        <w:t xml:space="preserve"> convenience sampling</w:t>
      </w:r>
      <w:r w:rsidR="007664BC">
        <w:rPr>
          <w:rStyle w:val="FootnoteReference"/>
        </w:rPr>
        <w:footnoteReference w:id="4"/>
      </w:r>
      <w:r w:rsidR="007664BC">
        <w:t xml:space="preserve"> and self-selective sampling. The</w:t>
      </w:r>
      <w:r w:rsidR="00540B7B">
        <w:t xml:space="preserve"> combination of the</w:t>
      </w:r>
      <w:r w:rsidR="007664BC">
        <w:t>se techniques allow</w:t>
      </w:r>
      <w:r w:rsidR="00540B7B">
        <w:t>s</w:t>
      </w:r>
      <w:r w:rsidR="007664BC">
        <w:t xml:space="preserve"> for the best use of the people available and the gathering of authentic views and experience within the constraints of relatively small communities. </w:t>
      </w:r>
      <w:r w:rsidR="0052020F">
        <w:t xml:space="preserve">To date, </w:t>
      </w:r>
      <w:r w:rsidR="00DE5A93">
        <w:t>seven</w:t>
      </w:r>
      <w:r w:rsidR="00D3149A">
        <w:t>teen</w:t>
      </w:r>
      <w:r>
        <w:t xml:space="preserve"> </w:t>
      </w:r>
      <w:r w:rsidR="0052020F">
        <w:t>inter</w:t>
      </w:r>
      <w:r w:rsidR="007664BC">
        <w:t xml:space="preserve">views have been conducted with </w:t>
      </w:r>
      <w:r w:rsidR="0052020F">
        <w:t>self-</w:t>
      </w:r>
      <w:r w:rsidR="007664BC">
        <w:t>identified</w:t>
      </w:r>
      <w:r w:rsidR="0052020F">
        <w:t xml:space="preserve"> open scientists, researchers in public engagement, amateur and professional public engagement practitioners, </w:t>
      </w:r>
      <w:r w:rsidR="00DE5A93">
        <w:t xml:space="preserve">education professionals, </w:t>
      </w:r>
      <w:r w:rsidR="0052020F">
        <w:t>amateur scientists</w:t>
      </w:r>
      <w:r w:rsidR="00D67CB8">
        <w:t>, journalists</w:t>
      </w:r>
      <w:r w:rsidR="00DE5A93">
        <w:t>,</w:t>
      </w:r>
      <w:r w:rsidR="0052020F">
        <w:t xml:space="preserve"> researchers in Open Access</w:t>
      </w:r>
      <w:r w:rsidR="00DE5A93">
        <w:t xml:space="preserve"> and members of the public</w:t>
      </w:r>
      <w:r w:rsidR="00A83958">
        <w:t xml:space="preserve">. </w:t>
      </w:r>
    </w:p>
    <w:p w:rsidR="00240CE5" w:rsidRDefault="007314AA" w:rsidP="00240CE5">
      <w:r>
        <w:t xml:space="preserve">The research protocol </w:t>
      </w:r>
      <w:r w:rsidR="00B16D68">
        <w:t>was</w:t>
      </w:r>
      <w:r>
        <w:t xml:space="preserve"> approved through the </w:t>
      </w:r>
      <w:r w:rsidR="00EE082C">
        <w:t xml:space="preserve">researcher’s </w:t>
      </w:r>
      <w:r>
        <w:t xml:space="preserve">university’s research and governance system. </w:t>
      </w:r>
      <w:r w:rsidR="00B16D68">
        <w:t xml:space="preserve">A point of departure from conventional practice was that, in </w:t>
      </w:r>
      <w:r w:rsidR="00582037">
        <w:t xml:space="preserve">the </w:t>
      </w:r>
      <w:r w:rsidR="007664BC">
        <w:t>spirit</w:t>
      </w:r>
      <w:r w:rsidR="00582037">
        <w:t xml:space="preserve"> of ‘openness’</w:t>
      </w:r>
      <w:r w:rsidR="00B16D68">
        <w:t>, interviewees were given the</w:t>
      </w:r>
      <w:r w:rsidR="00AB6E3B">
        <w:t xml:space="preserve"> </w:t>
      </w:r>
      <w:r w:rsidR="00B16D68">
        <w:t xml:space="preserve">choice </w:t>
      </w:r>
      <w:r w:rsidR="00AA7F25">
        <w:t>of whether to be anonymous or whether to</w:t>
      </w:r>
      <w:r w:rsidR="00B16D68">
        <w:t xml:space="preserve"> </w:t>
      </w:r>
      <w:r w:rsidR="00AA7F25">
        <w:t>allow</w:t>
      </w:r>
      <w:r w:rsidR="00B16D68">
        <w:t xml:space="preserve"> their names </w:t>
      </w:r>
      <w:r w:rsidR="00F93500">
        <w:t xml:space="preserve">and other identifying factors </w:t>
      </w:r>
      <w:r w:rsidR="0000390F">
        <w:t>to</w:t>
      </w:r>
      <w:r w:rsidR="00B16D68">
        <w:t xml:space="preserve"> be disclosed as part of the process of dissemination of information. </w:t>
      </w:r>
      <w:r w:rsidR="00694181">
        <w:t xml:space="preserve">All interviews </w:t>
      </w:r>
      <w:r w:rsidR="00AB6E3B">
        <w:t xml:space="preserve">were </w:t>
      </w:r>
      <w:r w:rsidR="00694181">
        <w:t xml:space="preserve">conducted by </w:t>
      </w:r>
      <w:r w:rsidR="00DF750B">
        <w:t>the researcher</w:t>
      </w:r>
      <w:r w:rsidR="00694181">
        <w:t xml:space="preserve"> either in person or </w:t>
      </w:r>
      <w:r w:rsidR="00AB6E3B">
        <w:t>by tele</w:t>
      </w:r>
      <w:r w:rsidR="00694181">
        <w:t>phone</w:t>
      </w:r>
      <w:r w:rsidR="00AB6E3B">
        <w:t>,</w:t>
      </w:r>
      <w:r w:rsidR="00DF750B">
        <w:t xml:space="preserve"> </w:t>
      </w:r>
      <w:r w:rsidR="00694181">
        <w:t xml:space="preserve">digitally recorded and transcribed. </w:t>
      </w:r>
      <w:r w:rsidR="00AB6E3B">
        <w:t xml:space="preserve">The interviews </w:t>
      </w:r>
      <w:r w:rsidR="00582037">
        <w:t>were</w:t>
      </w:r>
      <w:r w:rsidR="00AB6E3B">
        <w:t xml:space="preserve"> semi-structured and last</w:t>
      </w:r>
      <w:r w:rsidR="00582037">
        <w:t>ed</w:t>
      </w:r>
      <w:r w:rsidR="00AB6E3B">
        <w:t xml:space="preserve"> between 40 and 45 minutes. </w:t>
      </w:r>
      <w:r w:rsidR="00DF750B">
        <w:t xml:space="preserve">An interview guide </w:t>
      </w:r>
      <w:r w:rsidR="00582037">
        <w:t>was</w:t>
      </w:r>
      <w:r w:rsidR="00DF750B">
        <w:t xml:space="preserve"> developed, with variations for </w:t>
      </w:r>
      <w:r w:rsidR="00B16D68">
        <w:t xml:space="preserve">individual </w:t>
      </w:r>
      <w:r w:rsidR="00DF750B">
        <w:t>interviewee</w:t>
      </w:r>
      <w:r w:rsidR="00B16D68">
        <w:t xml:space="preserve">s, according to their area of </w:t>
      </w:r>
      <w:r w:rsidR="00582037">
        <w:t>expertise:</w:t>
      </w:r>
      <w:r w:rsidR="00DF750B">
        <w:t xml:space="preserve"> </w:t>
      </w:r>
      <w:r w:rsidR="00582037">
        <w:t>q</w:t>
      </w:r>
      <w:r w:rsidR="00DF750B">
        <w:t xml:space="preserve">uestions </w:t>
      </w:r>
      <w:r w:rsidR="00582037">
        <w:t>were</w:t>
      </w:r>
      <w:r w:rsidR="00DF750B">
        <w:t xml:space="preserve"> asked about the nature of the work (either voluntary or professional) carried out by the interviewee</w:t>
      </w:r>
      <w:r w:rsidR="0098146B">
        <w:t xml:space="preserve"> or</w:t>
      </w:r>
      <w:r w:rsidR="00DF750B">
        <w:t xml:space="preserve"> the nature of their general interest in science</w:t>
      </w:r>
      <w:r w:rsidR="00582037">
        <w:t xml:space="preserve"> (</w:t>
      </w:r>
      <w:r w:rsidR="0098146B">
        <w:t>as</w:t>
      </w:r>
      <w:r w:rsidR="00582037">
        <w:t xml:space="preserve"> appropriate)</w:t>
      </w:r>
      <w:r w:rsidR="00DF750B">
        <w:t>; their opinions and practice of public engagement; barriers to understanding and engagement; understanding of the concept of Open Science and technologies used in the research process</w:t>
      </w:r>
      <w:r w:rsidR="00AB6E3B">
        <w:t>.</w:t>
      </w:r>
      <w:r w:rsidR="0052020F">
        <w:t xml:space="preserve"> </w:t>
      </w:r>
    </w:p>
    <w:p w:rsidR="006828F2" w:rsidRDefault="009A6AFC" w:rsidP="00C35559">
      <w:r>
        <w:t>Consistent with grounded theory, t</w:t>
      </w:r>
      <w:r w:rsidR="00A83958">
        <w:t>he data analysis was emergent and inductive</w:t>
      </w:r>
      <w:r>
        <w:t>,</w:t>
      </w:r>
      <w:r w:rsidR="00A83958">
        <w:t xml:space="preserve"> </w:t>
      </w:r>
      <w:r>
        <w:t xml:space="preserve">‘developing categories from the data through constant comparative analysis’ (Denzin and Lincoln, 1994, </w:t>
      </w:r>
      <w:r w:rsidR="002B1AEF">
        <w:t>p.</w:t>
      </w:r>
      <w:r>
        <w:t xml:space="preserve">214), </w:t>
      </w:r>
      <w:r w:rsidR="007664BC">
        <w:t xml:space="preserve">rather than determining </w:t>
      </w:r>
      <w:r>
        <w:t>coding categories</w:t>
      </w:r>
      <w:r w:rsidR="007664BC">
        <w:t xml:space="preserve"> before analysis</w:t>
      </w:r>
      <w:r>
        <w:t>.</w:t>
      </w:r>
      <w:r w:rsidR="00A83958">
        <w:t xml:space="preserve"> </w:t>
      </w:r>
      <w:r>
        <w:t>D</w:t>
      </w:r>
      <w:r w:rsidR="00B201E9">
        <w:t xml:space="preserve">ata from the first four interviews </w:t>
      </w:r>
      <w:r w:rsidR="002855F4">
        <w:t>were analysed</w:t>
      </w:r>
      <w:r w:rsidR="0000336B">
        <w:t xml:space="preserve"> manually </w:t>
      </w:r>
      <w:r w:rsidR="00B201E9">
        <w:t xml:space="preserve">to </w:t>
      </w:r>
      <w:r w:rsidR="00A83958">
        <w:t>identify major themes</w:t>
      </w:r>
      <w:r w:rsidR="00B201E9">
        <w:t xml:space="preserve"> and then re-analysed using </w:t>
      </w:r>
      <w:r w:rsidR="00AB6E3B">
        <w:t>a standard software package (Nvivo8)</w:t>
      </w:r>
      <w:r w:rsidR="00CD5DA2">
        <w:t xml:space="preserve">, </w:t>
      </w:r>
      <w:r w:rsidR="00A83958">
        <w:t>to</w:t>
      </w:r>
      <w:r w:rsidR="00CD5DA2">
        <w:t xml:space="preserve"> deepen</w:t>
      </w:r>
      <w:r w:rsidR="00A83958">
        <w:t xml:space="preserve"> </w:t>
      </w:r>
      <w:r w:rsidR="00CD5DA2">
        <w:t>and extend the coding frame</w:t>
      </w:r>
      <w:r w:rsidR="00B201E9">
        <w:t xml:space="preserve">. </w:t>
      </w:r>
      <w:r w:rsidR="006828F2">
        <w:t xml:space="preserve">All subsequent interviews have been analysed shortly after completion. </w:t>
      </w:r>
      <w:r w:rsidR="00AB6E3B">
        <w:t>To increase reliability</w:t>
      </w:r>
      <w:r w:rsidR="006828F2">
        <w:t xml:space="preserve">, a selection of interviews has been re-coded by </w:t>
      </w:r>
      <w:r w:rsidR="00DF750B">
        <w:t>the researcher</w:t>
      </w:r>
      <w:r w:rsidR="006828F2">
        <w:t xml:space="preserve"> and by a colleague unconnected with this research. </w:t>
      </w:r>
    </w:p>
    <w:p w:rsidR="006828F2" w:rsidRDefault="006828F2" w:rsidP="006828F2">
      <w:pPr>
        <w:pStyle w:val="Subsection"/>
      </w:pPr>
      <w:bookmarkStart w:id="2" w:name="_Toc256357482"/>
      <w:r>
        <w:lastRenderedPageBreak/>
        <w:t>Findings</w:t>
      </w:r>
    </w:p>
    <w:p w:rsidR="00E47051" w:rsidRDefault="00E47051" w:rsidP="00582037">
      <w:pPr>
        <w:pStyle w:val="subsubsection"/>
      </w:pPr>
      <w:r>
        <w:t>F</w:t>
      </w:r>
      <w:r w:rsidR="006828F2" w:rsidRPr="00234046">
        <w:t xml:space="preserve">actors </w:t>
      </w:r>
      <w:r>
        <w:t xml:space="preserve">supporting an </w:t>
      </w:r>
      <w:r w:rsidR="009B0DE8">
        <w:t>open approach</w:t>
      </w:r>
    </w:p>
    <w:p w:rsidR="00B85281" w:rsidRDefault="00B85281" w:rsidP="00234046">
      <w:r w:rsidRPr="00571419">
        <w:t>Op</w:t>
      </w:r>
      <w:r w:rsidR="006C4E89">
        <w:t xml:space="preserve">en projects </w:t>
      </w:r>
      <w:r>
        <w:t xml:space="preserve">have </w:t>
      </w:r>
      <w:r w:rsidRPr="00571419">
        <w:t xml:space="preserve">largely </w:t>
      </w:r>
      <w:r w:rsidR="006C4E89">
        <w:t xml:space="preserve">been </w:t>
      </w:r>
      <w:r w:rsidRPr="00571419">
        <w:t xml:space="preserve">designed </w:t>
      </w:r>
      <w:r>
        <w:t>as</w:t>
      </w:r>
      <w:r w:rsidRPr="00571419">
        <w:t xml:space="preserve"> effective ways for </w:t>
      </w:r>
      <w:r>
        <w:t xml:space="preserve">large and multi-national research networks to share methods, information and </w:t>
      </w:r>
      <w:r w:rsidRPr="00571419">
        <w:t>results</w:t>
      </w:r>
      <w:r>
        <w:t xml:space="preserve"> </w:t>
      </w:r>
      <w:r w:rsidR="006C4E89">
        <w:t>and allow new ideas to emerge. However, i</w:t>
      </w:r>
      <w:r>
        <w:t>nterviewees described the</w:t>
      </w:r>
      <w:r w:rsidR="006C4E89">
        <w:t>ir additional</w:t>
      </w:r>
      <w:r>
        <w:t xml:space="preserve"> value </w:t>
      </w:r>
      <w:r w:rsidR="006C4E89">
        <w:t>i</w:t>
      </w:r>
      <w:r>
        <w:t>n bringing researchers together</w:t>
      </w:r>
      <w:r w:rsidR="00F93500">
        <w:t>:</w:t>
      </w:r>
      <w:r>
        <w:t xml:space="preserve"> </w:t>
      </w:r>
    </w:p>
    <w:p w:rsidR="002D3BF7" w:rsidRPr="00761601" w:rsidRDefault="001E2254" w:rsidP="002D3BF7">
      <w:pPr>
        <w:pStyle w:val="longquote"/>
      </w:pPr>
      <w:r w:rsidRPr="001E2254">
        <w:rPr>
          <w:i/>
        </w:rPr>
        <w:t>We have Principal Investigators running at five or six different universities; data sharing is going to be an inevitable issue, so let’s do something where we can all benefit and everyone else can benefit by proxy</w:t>
      </w:r>
      <w:r w:rsidR="002D3BF7" w:rsidRPr="00761601">
        <w:t>.</w:t>
      </w:r>
      <w:r w:rsidR="00F93500" w:rsidRPr="00F93500">
        <w:t xml:space="preserve"> </w:t>
      </w:r>
      <w:r w:rsidR="00F93500">
        <w:t>Beck (open scientist)</w:t>
      </w:r>
    </w:p>
    <w:p w:rsidR="006828F2" w:rsidRPr="00E47051" w:rsidRDefault="00E47051" w:rsidP="00234046">
      <w:r>
        <w:t xml:space="preserve">Although researchers may be used to collaborative working, taking an </w:t>
      </w:r>
      <w:r w:rsidR="006C4E89">
        <w:t xml:space="preserve">open approach </w:t>
      </w:r>
      <w:r w:rsidR="007664BC">
        <w:t>can productively challenge</w:t>
      </w:r>
      <w:r>
        <w:t xml:space="preserve"> established ways of working. However, interviewees recognised that for the approach to flourish</w:t>
      </w:r>
      <w:r w:rsidR="00F76111">
        <w:t xml:space="preserve">, certain factors need to be in place, such </w:t>
      </w:r>
      <w:r w:rsidR="009E280B">
        <w:t xml:space="preserve">as </w:t>
      </w:r>
      <w:r w:rsidR="00F76111">
        <w:t>the need or desire to work collaboratively and</w:t>
      </w:r>
      <w:r w:rsidR="006828F2" w:rsidRPr="00E47051">
        <w:t xml:space="preserve"> </w:t>
      </w:r>
      <w:r w:rsidR="00AB6E3B">
        <w:t xml:space="preserve">the existence of </w:t>
      </w:r>
      <w:r w:rsidR="00F76111">
        <w:t xml:space="preserve">good </w:t>
      </w:r>
      <w:r w:rsidR="006828F2" w:rsidRPr="00E47051">
        <w:t>communication and connexions</w:t>
      </w:r>
      <w:r w:rsidR="00F76111">
        <w:t xml:space="preserve"> among researchers</w:t>
      </w:r>
      <w:r w:rsidR="00F93500">
        <w:t>:</w:t>
      </w:r>
    </w:p>
    <w:p w:rsidR="00234046" w:rsidRPr="00AB6E3B" w:rsidRDefault="0000390F" w:rsidP="00234046">
      <w:pPr>
        <w:pStyle w:val="longquote"/>
        <w:rPr>
          <w:i/>
        </w:rPr>
      </w:pPr>
      <w:r>
        <w:rPr>
          <w:i/>
        </w:rPr>
        <w:t>Y</w:t>
      </w:r>
      <w:r w:rsidR="001E2254" w:rsidRPr="001E2254">
        <w:rPr>
          <w:i/>
        </w:rPr>
        <w:t xml:space="preserve">ou find scientists don’t do things the same way … which is an obvious thing to say but I don’t think even scientists realise it some of the time until they actually sit in a room together and are challenged by their own ways of thinking. </w:t>
      </w:r>
      <w:r w:rsidR="00F93500">
        <w:t>Holliman (public engagement researcher)</w:t>
      </w:r>
    </w:p>
    <w:p w:rsidR="00234046" w:rsidRDefault="001E2254" w:rsidP="00234046">
      <w:pPr>
        <w:pStyle w:val="longquote"/>
      </w:pPr>
      <w:r w:rsidRPr="001E2254">
        <w:rPr>
          <w:i/>
        </w:rPr>
        <w:t>The most tangible benefit of working openly has been finding collaborators who also feel strongly about working openly.  Since people will see all the data it makes it harder to hype results […] keeping people more honest and facilitating collaboration</w:t>
      </w:r>
      <w:r w:rsidR="00234046" w:rsidRPr="00234046">
        <w:t>. </w:t>
      </w:r>
      <w:r w:rsidR="00F93500">
        <w:t>Bradley (open scientist)</w:t>
      </w:r>
    </w:p>
    <w:p w:rsidR="00234046" w:rsidRDefault="009E280B" w:rsidP="008D7117">
      <w:r>
        <w:t>I</w:t>
      </w:r>
      <w:r w:rsidR="00761601">
        <w:t xml:space="preserve">nterviewees recognised </w:t>
      </w:r>
      <w:r w:rsidR="00C0406C">
        <w:t>that as well as the ‘carrot’</w:t>
      </w:r>
      <w:r w:rsidR="00761601">
        <w:t xml:space="preserve"> of improved collaboration and </w:t>
      </w:r>
      <w:r w:rsidR="00C0406C">
        <w:t>communication,</w:t>
      </w:r>
      <w:r w:rsidR="00761601">
        <w:t xml:space="preserve"> there </w:t>
      </w:r>
      <w:r w:rsidR="00452CDC">
        <w:t>can also be a</w:t>
      </w:r>
      <w:r w:rsidR="00761601">
        <w:t xml:space="preserve"> ‘stick’</w:t>
      </w:r>
      <w:r w:rsidR="00452CDC">
        <w:t xml:space="preserve"> in the form of</w:t>
      </w:r>
      <w:r w:rsidR="00761601">
        <w:t xml:space="preserve"> </w:t>
      </w:r>
      <w:r w:rsidR="002D3BF7">
        <w:t>funders’ policies. F</w:t>
      </w:r>
      <w:r w:rsidR="00452CDC">
        <w:t xml:space="preserve">or example, the co-ordinating body for publicly-funded research in the UK, Research Councils UK (RCUK, 2009) is </w:t>
      </w:r>
      <w:r w:rsidR="00452CDC" w:rsidRPr="00E538C7">
        <w:t>‘committed to the guiding principles that publicly funded research must be made available to the public and remain accessible for future generations’</w:t>
      </w:r>
      <w:r w:rsidR="0003666E">
        <w:t xml:space="preserve">. However, </w:t>
      </w:r>
      <w:r w:rsidR="00DE4502">
        <w:t xml:space="preserve">interviewees </w:t>
      </w:r>
      <w:r w:rsidR="0003666E">
        <w:t>did not necessarily see this as punitive but rather as a responsibility on the part of</w:t>
      </w:r>
      <w:r w:rsidR="00DE4502">
        <w:t xml:space="preserve"> publicly-funded researchers </w:t>
      </w:r>
      <w:r w:rsidR="0003666E">
        <w:t xml:space="preserve">to </w:t>
      </w:r>
      <w:r w:rsidR="00DE4502">
        <w:t>share their work with the ultimate providers of those funds:</w:t>
      </w:r>
    </w:p>
    <w:p w:rsidR="00761601" w:rsidRPr="00AB6E3B" w:rsidRDefault="0000390F" w:rsidP="00761601">
      <w:pPr>
        <w:pStyle w:val="longquote"/>
        <w:rPr>
          <w:i/>
        </w:rPr>
      </w:pPr>
      <w:r>
        <w:rPr>
          <w:i/>
        </w:rPr>
        <w:t>I</w:t>
      </w:r>
      <w:r w:rsidR="001E2254" w:rsidRPr="001E2254">
        <w:rPr>
          <w:i/>
        </w:rPr>
        <w:t>f you are receiving public funds, then I think there is an obligation upon you to somehow engage with the public who are funding you</w:t>
      </w:r>
      <w:r w:rsidR="009E280B">
        <w:rPr>
          <w:i/>
        </w:rPr>
        <w:t>.</w:t>
      </w:r>
      <w:r w:rsidR="009E280B">
        <w:t xml:space="preserve"> Murcott (science journalist)</w:t>
      </w:r>
    </w:p>
    <w:p w:rsidR="00C0406C" w:rsidRPr="00AB6E3B" w:rsidRDefault="001E2254" w:rsidP="00C0406C">
      <w:pPr>
        <w:pStyle w:val="longquote"/>
        <w:rPr>
          <w:i/>
        </w:rPr>
      </w:pPr>
      <w:r w:rsidRPr="001E2254">
        <w:rPr>
          <w:i/>
        </w:rPr>
        <w:t>We need to demonstrate impact. We have paymasters; that is, the public …</w:t>
      </w:r>
      <w:r w:rsidR="009E280B" w:rsidRPr="009E280B">
        <w:t xml:space="preserve"> </w:t>
      </w:r>
      <w:r w:rsidR="00EA0AA3">
        <w:t>Beck (open scientist)</w:t>
      </w:r>
    </w:p>
    <w:p w:rsidR="00DE4502" w:rsidRDefault="00DE4502" w:rsidP="00EA0AA3">
      <w:pPr>
        <w:pStyle w:val="subsubsection"/>
      </w:pPr>
      <w:r>
        <w:t>M</w:t>
      </w:r>
      <w:r w:rsidR="006828F2" w:rsidRPr="00C0406C">
        <w:t xml:space="preserve">ethods and tools </w:t>
      </w:r>
      <w:r w:rsidR="0003666E">
        <w:t>supporting open</w:t>
      </w:r>
      <w:r w:rsidR="007664BC">
        <w:t>ness</w:t>
      </w:r>
    </w:p>
    <w:p w:rsidR="009E280B" w:rsidRDefault="00DE4502" w:rsidP="00844F62">
      <w:r>
        <w:t xml:space="preserve">As well as shared practical tools (wikis, repositories, </w:t>
      </w:r>
      <w:r w:rsidR="00C8497B">
        <w:t>data tagging, blogs, social networks, etc</w:t>
      </w:r>
      <w:r>
        <w:t xml:space="preserve">), interviewees noted </w:t>
      </w:r>
      <w:r w:rsidR="00844F62">
        <w:t xml:space="preserve">the need for a shared ethos and </w:t>
      </w:r>
      <w:r w:rsidR="007664BC">
        <w:t>behaviours</w:t>
      </w:r>
      <w:r w:rsidR="009E280B">
        <w:t>:</w:t>
      </w:r>
    </w:p>
    <w:p w:rsidR="009E280B" w:rsidRPr="00AB6E3B" w:rsidRDefault="009E280B" w:rsidP="009E280B">
      <w:pPr>
        <w:pStyle w:val="longquote"/>
        <w:rPr>
          <w:i/>
        </w:rPr>
      </w:pPr>
      <w:r>
        <w:rPr>
          <w:i/>
        </w:rPr>
        <w:t>W</w:t>
      </w:r>
      <w:r w:rsidRPr="001E2254">
        <w:rPr>
          <w:i/>
        </w:rPr>
        <w:t xml:space="preserve">hat you need as well as the technical fix is, of course, all the social practices that sit around it. I think you’re much more likely to get collaborative work across datasets when you’ve got people who already trust each other – have worked together in the past, or know each other. </w:t>
      </w:r>
      <w:r>
        <w:t>Holliman</w:t>
      </w:r>
      <w:r w:rsidR="00EA0AA3">
        <w:t xml:space="preserve"> (public engagement researcher)</w:t>
      </w:r>
    </w:p>
    <w:p w:rsidR="0008178D" w:rsidRDefault="00844F62" w:rsidP="0008178D">
      <w:r>
        <w:t xml:space="preserve">For researchers working in the same office or lab, these </w:t>
      </w:r>
      <w:r w:rsidR="0008178D">
        <w:t xml:space="preserve">social practices </w:t>
      </w:r>
      <w:r>
        <w:t>e</w:t>
      </w:r>
      <w:r w:rsidR="004604FE">
        <w:t>merge by default but for widely-</w:t>
      </w:r>
      <w:r>
        <w:t>separated groups, implementation may have to be more explicit</w:t>
      </w:r>
      <w:r w:rsidR="009E280B">
        <w:t xml:space="preserve">: </w:t>
      </w:r>
      <w:r>
        <w:t xml:space="preserve"> </w:t>
      </w:r>
    </w:p>
    <w:p w:rsidR="00844F62" w:rsidRPr="00AB6E3B" w:rsidRDefault="001E2254" w:rsidP="00844F62">
      <w:pPr>
        <w:pStyle w:val="longquote"/>
        <w:rPr>
          <w:i/>
        </w:rPr>
      </w:pPr>
      <w:r w:rsidRPr="001E2254">
        <w:rPr>
          <w:i/>
        </w:rPr>
        <w:t>Trying to provoke a sense of community among a dispersed group of academics who haven’t met each other is really hard. […] It helped that</w:t>
      </w:r>
      <w:r w:rsidR="009E280B">
        <w:rPr>
          <w:i/>
        </w:rPr>
        <w:t xml:space="preserve"> […</w:t>
      </w:r>
      <w:r w:rsidRPr="001E2254">
        <w:rPr>
          <w:i/>
        </w:rPr>
        <w:t>]</w:t>
      </w:r>
      <w:r w:rsidR="00FE313B">
        <w:rPr>
          <w:i/>
        </w:rPr>
        <w:t xml:space="preserve"> </w:t>
      </w:r>
      <w:r w:rsidRPr="001E2254">
        <w:rPr>
          <w:i/>
        </w:rPr>
        <w:t xml:space="preserve">we’d explicitly </w:t>
      </w:r>
      <w:r w:rsidRPr="001E2254">
        <w:rPr>
          <w:i/>
        </w:rPr>
        <w:lastRenderedPageBreak/>
        <w:t xml:space="preserve">vocalised and talked about was what sort of culture and community we wanted. Not necessarily set any guidelines; just raised the issue and raised the idea that it could go very badly wrong and that we couldn’t afford it to. </w:t>
      </w:r>
      <w:r w:rsidR="009E280B">
        <w:t>Sanderson (public engagement practitioner):</w:t>
      </w:r>
    </w:p>
    <w:p w:rsidR="00A83958" w:rsidRDefault="007C6104" w:rsidP="00C0406C">
      <w:r>
        <w:t>Some interviewees noted that researchers may need to develop new attitudes to their data and results; accepting that research isn’t perfect, merely perfectible:</w:t>
      </w:r>
    </w:p>
    <w:p w:rsidR="007C6104" w:rsidRDefault="001E2254" w:rsidP="00C165FA">
      <w:pPr>
        <w:pStyle w:val="longquote"/>
      </w:pPr>
      <w:r w:rsidRPr="001E2254">
        <w:rPr>
          <w:i/>
        </w:rPr>
        <w:t>You have to accept that reporting science in real time is not always pretty.  Do your best to avoid and correct mistakes as soon as possible but mistakes and ambiguous results will happen on the way to completing any scientific project. […] Don’t wait for the perfect technological solutions before starting to share. </w:t>
      </w:r>
      <w:r w:rsidR="009E280B">
        <w:t>Bradley</w:t>
      </w:r>
      <w:r w:rsidR="00EA0AA3">
        <w:t xml:space="preserve"> (open scientist)</w:t>
      </w:r>
    </w:p>
    <w:p w:rsidR="0008178D" w:rsidRDefault="0008178D" w:rsidP="0008178D">
      <w:r>
        <w:t xml:space="preserve">Open Science offers both scientific and public audiences the opportunity for direct, unmediated access and engagement with science. None the less, almost all the interviewees </w:t>
      </w:r>
      <w:r w:rsidR="00A43300">
        <w:t>suggested</w:t>
      </w:r>
      <w:r>
        <w:t xml:space="preserve"> there would </w:t>
      </w:r>
      <w:r w:rsidR="00A43300">
        <w:t xml:space="preserve">be a need for the development of </w:t>
      </w:r>
      <w:r>
        <w:t xml:space="preserve">a narrative or </w:t>
      </w:r>
      <w:r w:rsidR="00A43300">
        <w:t xml:space="preserve">some form of </w:t>
      </w:r>
      <w:r>
        <w:t>mediation for public audiences of what may be quite complex data:</w:t>
      </w:r>
    </w:p>
    <w:p w:rsidR="0008178D" w:rsidRPr="00311826" w:rsidRDefault="0008178D" w:rsidP="0008178D">
      <w:pPr>
        <w:pStyle w:val="longquote"/>
        <w:rPr>
          <w:i/>
          <w:szCs w:val="20"/>
        </w:rPr>
      </w:pPr>
      <w:r w:rsidRPr="001E2254">
        <w:rPr>
          <w:i/>
          <w:szCs w:val="20"/>
        </w:rPr>
        <w:t>Narrative is utterly, utterly essential. The raw data […] it’s huge numbers of 1s and 0s. You cannot do anything with it. It needs to be processed; it needs to be dealt with. And once it’s processed into a scientific form, it then needs to be contextualised and processed into a form that has the basic content but removes the technicalities that are barriers to comprehension</w:t>
      </w:r>
      <w:r>
        <w:rPr>
          <w:i/>
          <w:szCs w:val="20"/>
        </w:rPr>
        <w:t>.</w:t>
      </w:r>
      <w:r w:rsidRPr="00C95CBA">
        <w:t xml:space="preserve"> </w:t>
      </w:r>
      <w:r w:rsidRPr="00C41492">
        <w:t>Murcott</w:t>
      </w:r>
      <w:r>
        <w:t xml:space="preserve"> (science journalist)</w:t>
      </w:r>
    </w:p>
    <w:p w:rsidR="0008178D" w:rsidRDefault="0008178D" w:rsidP="0008178D">
      <w:pPr>
        <w:pStyle w:val="longquote"/>
        <w:rPr>
          <w:szCs w:val="20"/>
        </w:rPr>
      </w:pPr>
      <w:r w:rsidRPr="001E2254">
        <w:rPr>
          <w:i/>
        </w:rPr>
        <w:t>Y</w:t>
      </w:r>
      <w:r w:rsidRPr="001E2254">
        <w:rPr>
          <w:i/>
          <w:szCs w:val="20"/>
        </w:rPr>
        <w:t>ou do need s</w:t>
      </w:r>
      <w:r w:rsidRPr="001E2254">
        <w:rPr>
          <w:i/>
        </w:rPr>
        <w:t xml:space="preserve">ome level of mediation, I think, </w:t>
      </w:r>
      <w:r w:rsidRPr="001E2254">
        <w:rPr>
          <w:i/>
          <w:szCs w:val="20"/>
        </w:rPr>
        <w:t xml:space="preserve">unless you </w:t>
      </w:r>
      <w:r w:rsidRPr="0000390F">
        <w:rPr>
          <w:szCs w:val="20"/>
        </w:rPr>
        <w:t>[the user]</w:t>
      </w:r>
      <w:r w:rsidRPr="001E2254">
        <w:rPr>
          <w:i/>
          <w:szCs w:val="20"/>
        </w:rPr>
        <w:t xml:space="preserve"> have the skills to sift it yourself. </w:t>
      </w:r>
      <w:r w:rsidRPr="00C41492">
        <w:t>Holliman</w:t>
      </w:r>
      <w:r>
        <w:t xml:space="preserve"> (public engagement researcher)</w:t>
      </w:r>
    </w:p>
    <w:p w:rsidR="0008178D" w:rsidRDefault="0008178D" w:rsidP="0008178D">
      <w:r>
        <w:t xml:space="preserve">However, interviewees </w:t>
      </w:r>
      <w:r w:rsidR="003A7D0D">
        <w:t>recognised</w:t>
      </w:r>
      <w:r>
        <w:t xml:space="preserve"> that the creation of narrative take</w:t>
      </w:r>
      <w:r w:rsidR="003A7D0D">
        <w:t>s</w:t>
      </w:r>
      <w:r>
        <w:t xml:space="preserve"> time on the part of researchers:</w:t>
      </w:r>
    </w:p>
    <w:p w:rsidR="0008178D" w:rsidRPr="00E16CE8" w:rsidRDefault="00A43300" w:rsidP="0008178D">
      <w:pPr>
        <w:pStyle w:val="longquote"/>
      </w:pPr>
      <w:r>
        <w:rPr>
          <w:i/>
        </w:rPr>
        <w:t>It can be</w:t>
      </w:r>
      <w:r w:rsidR="0008178D" w:rsidRPr="001E2254">
        <w:rPr>
          <w:i/>
        </w:rPr>
        <w:t xml:space="preserve"> difficult to persuade people to take time </w:t>
      </w:r>
      <w:r w:rsidR="0008178D" w:rsidRPr="0000390F">
        <w:t>[to write a blog post]</w:t>
      </w:r>
      <w:r w:rsidR="0008178D" w:rsidRPr="001E2254">
        <w:rPr>
          <w:i/>
        </w:rPr>
        <w:t xml:space="preserve"> because you don’t see how it can get built into your standard work pattern</w:t>
      </w:r>
      <w:r w:rsidR="0008178D" w:rsidRPr="00E16CE8">
        <w:t xml:space="preserve">. </w:t>
      </w:r>
      <w:r w:rsidR="0008178D">
        <w:t>Neylon (open scientist)</w:t>
      </w:r>
    </w:p>
    <w:p w:rsidR="00C8497B" w:rsidRDefault="00C8497B" w:rsidP="00AA7F25">
      <w:pPr>
        <w:pStyle w:val="subsubsection"/>
      </w:pPr>
      <w:r w:rsidRPr="00C0406C">
        <w:t xml:space="preserve">Factors mitigating against </w:t>
      </w:r>
      <w:r w:rsidR="0008178D">
        <w:t>openness</w:t>
      </w:r>
    </w:p>
    <w:p w:rsidR="00C8497B" w:rsidRDefault="007664BC" w:rsidP="00C8497B">
      <w:r>
        <w:t>Although some argue that ‘O</w:t>
      </w:r>
      <w:r w:rsidR="00FE313B">
        <w:t>penness is arguably the great strength of the scientific method. Through open examination and critical analysis, models can be refined, improved or rejected’</w:t>
      </w:r>
      <w:r w:rsidRPr="007664BC">
        <w:t xml:space="preserve"> </w:t>
      </w:r>
      <w:r>
        <w:t>(Neylon and Wu, 2009, p.540), o</w:t>
      </w:r>
      <w:r w:rsidR="004B6430">
        <w:t xml:space="preserve">thers </w:t>
      </w:r>
      <w:r w:rsidR="00C8497B">
        <w:t xml:space="preserve">see </w:t>
      </w:r>
      <w:r w:rsidR="009E280B">
        <w:t xml:space="preserve">hazards </w:t>
      </w:r>
      <w:r w:rsidR="00C8497B">
        <w:t>in placing unreviewed, unmediated data in publ</w:t>
      </w:r>
      <w:r>
        <w:t>ic view and open to speculation.</w:t>
      </w:r>
      <w:r w:rsidR="00C8497B">
        <w:t xml:space="preserve"> ‘[</w:t>
      </w:r>
      <w:r>
        <w:t>T</w:t>
      </w:r>
      <w:r w:rsidR="00C8497B">
        <w:t xml:space="preserve">here are] </w:t>
      </w:r>
      <w:r>
        <w:t>d</w:t>
      </w:r>
      <w:r w:rsidR="00C8497B" w:rsidRPr="00571419">
        <w:t xml:space="preserve">angers from </w:t>
      </w:r>
      <w:r w:rsidR="00C8497B">
        <w:t>[</w:t>
      </w:r>
      <w:r w:rsidR="00C8497B" w:rsidRPr="00571419">
        <w:t>…</w:t>
      </w:r>
      <w:r w:rsidR="00C8497B">
        <w:t>]</w:t>
      </w:r>
      <w:r w:rsidR="00C8497B" w:rsidRPr="00571419">
        <w:t xml:space="preserve"> mixing of contexts for discussions among experts and pedagogical discussions with lay people; weakening of the roles of accreditation, reputation and authorship in di</w:t>
      </w:r>
      <w:r w:rsidR="00C8497B">
        <w:t>sciplining scientific discourse’</w:t>
      </w:r>
      <w:r w:rsidR="004604FE" w:rsidRPr="004604FE">
        <w:t xml:space="preserve"> </w:t>
      </w:r>
      <w:r w:rsidR="004604FE">
        <w:t>(Smolin, 2008)</w:t>
      </w:r>
      <w:r w:rsidR="00C8497B">
        <w:t>.</w:t>
      </w:r>
      <w:r w:rsidR="0008178D">
        <w:t xml:space="preserve"> This point was mentioned directly by interviewees:</w:t>
      </w:r>
    </w:p>
    <w:p w:rsidR="009E280B" w:rsidRPr="00DB798B" w:rsidRDefault="009E280B" w:rsidP="009E280B">
      <w:pPr>
        <w:pStyle w:val="longquote"/>
      </w:pPr>
      <w:r w:rsidRPr="001E2254">
        <w:rPr>
          <w:i/>
        </w:rPr>
        <w:t>The balance – if there is a balance to strike – is how do we protect this data; do we take this data away from everybody else so that we don’t give it to the minority who are possibly going to abuse it?</w:t>
      </w:r>
      <w:r w:rsidRPr="00DB798B">
        <w:t xml:space="preserve"> </w:t>
      </w:r>
      <w:r>
        <w:t>Beck</w:t>
      </w:r>
      <w:r w:rsidR="00EA0AA3">
        <w:t xml:space="preserve"> (open scientist)</w:t>
      </w:r>
    </w:p>
    <w:p w:rsidR="00A83958" w:rsidRDefault="00DB798B" w:rsidP="005D48A4">
      <w:r>
        <w:t>C</w:t>
      </w:r>
      <w:r w:rsidR="0006487A">
        <w:t xml:space="preserve">ommercial and legal problems </w:t>
      </w:r>
      <w:r w:rsidR="0008178D">
        <w:t>were</w:t>
      </w:r>
      <w:r w:rsidR="0006487A">
        <w:t xml:space="preserve"> </w:t>
      </w:r>
      <w:r w:rsidR="00C8497B">
        <w:t xml:space="preserve">also </w:t>
      </w:r>
      <w:r w:rsidR="0006487A">
        <w:t>often menti</w:t>
      </w:r>
      <w:r w:rsidR="00AF07F8">
        <w:t xml:space="preserve">oned. </w:t>
      </w:r>
      <w:r w:rsidR="00E455F6">
        <w:t xml:space="preserve">Legal constraints such as </w:t>
      </w:r>
      <w:r w:rsidR="0006487A">
        <w:t xml:space="preserve">patenting and protection </w:t>
      </w:r>
      <w:r w:rsidR="00805859">
        <w:t xml:space="preserve">of intellectual property </w:t>
      </w:r>
      <w:r w:rsidR="0006487A">
        <w:t>are ‘important ways to ensure a fair return […] for investment’</w:t>
      </w:r>
      <w:r w:rsidR="00E455F6">
        <w:t xml:space="preserve"> but they </w:t>
      </w:r>
      <w:r w:rsidR="0006487A">
        <w:t>‘conflict with the principle of the free and ra</w:t>
      </w:r>
      <w:r w:rsidR="00AF07F8">
        <w:t>pid sharing of human knowledge’</w:t>
      </w:r>
      <w:r w:rsidR="00E455F6">
        <w:t xml:space="preserve"> (Cribb and Sari, 2010, p.10). </w:t>
      </w:r>
      <w:r w:rsidR="0008178D">
        <w:t>This perception extends beyond the professional research community:</w:t>
      </w:r>
    </w:p>
    <w:p w:rsidR="00274456" w:rsidRPr="00274456" w:rsidRDefault="001E2254" w:rsidP="00274456">
      <w:pPr>
        <w:pStyle w:val="longquote"/>
      </w:pPr>
      <w:r w:rsidRPr="001E2254">
        <w:rPr>
          <w:i/>
        </w:rPr>
        <w:t xml:space="preserve">Universities and other research institutions often require employees to sign waivers giving up financial rewards that may result from their discoveries. The royalties </w:t>
      </w:r>
      <w:r w:rsidRPr="001E2254">
        <w:rPr>
          <w:i/>
        </w:rPr>
        <w:lastRenderedPageBreak/>
        <w:t>from patents on vaccines for certain communicable disease could conceivably run into the hundreds-of-millions of dollars. […] I do not believe that universities, research institutions, and established scientists will easily move towards the ‘open science’ idea.</w:t>
      </w:r>
      <w:r w:rsidR="00274456" w:rsidRPr="00274456">
        <w:t xml:space="preserve"> </w:t>
      </w:r>
      <w:r w:rsidR="009E280B">
        <w:t>Anonymous 1 (amateur scientist)</w:t>
      </w:r>
    </w:p>
    <w:p w:rsidR="009E280B" w:rsidRDefault="009E280B" w:rsidP="009E280B">
      <w:r>
        <w:t>Researchers can be tied into the paradigm of secrecy, even though an open app</w:t>
      </w:r>
      <w:r w:rsidR="0008178D">
        <w:t>roach may bring greater rewards:</w:t>
      </w:r>
    </w:p>
    <w:p w:rsidR="00274456" w:rsidRDefault="001E2254" w:rsidP="00274456">
      <w:pPr>
        <w:pStyle w:val="longquote"/>
      </w:pPr>
      <w:r w:rsidRPr="001E2254">
        <w:rPr>
          <w:i/>
        </w:rPr>
        <w:t>If you accept the argument that it’s knowledge and information that are key to the knowledge economy – that they are important things, where the innovation’s going to happen – then you have to accept the argument that you will become commercially more competitive by taking an open approach. But there are strong disincentives to that – the strongest one being intellectual property</w:t>
      </w:r>
      <w:r w:rsidR="00274456" w:rsidRPr="00274456">
        <w:t xml:space="preserve">. </w:t>
      </w:r>
      <w:r w:rsidR="009E280B">
        <w:t>Neylon (open scientist)</w:t>
      </w:r>
    </w:p>
    <w:p w:rsidR="00AF07F8" w:rsidRPr="00AF07F8" w:rsidRDefault="009E280B" w:rsidP="00AF07F8">
      <w:r>
        <w:t>While s</w:t>
      </w:r>
      <w:r w:rsidR="00AF07F8">
        <w:t>hared values were seen as important for the practice of open science, the</w:t>
      </w:r>
      <w:r w:rsidR="00AF07F8" w:rsidRPr="00AF07F8">
        <w:t xml:space="preserve"> lack of shared language </w:t>
      </w:r>
      <w:r w:rsidR="00AF07F8">
        <w:t xml:space="preserve">is seen as </w:t>
      </w:r>
      <w:r w:rsidR="00FE313B">
        <w:t>an issue</w:t>
      </w:r>
      <w:r w:rsidR="00AF07F8">
        <w:t>:</w:t>
      </w:r>
    </w:p>
    <w:p w:rsidR="00236B14" w:rsidRPr="00236B14" w:rsidRDefault="00C35301" w:rsidP="00236B14">
      <w:pPr>
        <w:pStyle w:val="longquote"/>
      </w:pPr>
      <w:r>
        <w:rPr>
          <w:i/>
        </w:rPr>
        <w:t>T</w:t>
      </w:r>
      <w:r w:rsidR="001E2254" w:rsidRPr="001E2254">
        <w:rPr>
          <w:i/>
        </w:rPr>
        <w:t xml:space="preserve">he issue of language and jargon </w:t>
      </w:r>
      <w:r w:rsidR="009E280B">
        <w:rPr>
          <w:i/>
        </w:rPr>
        <w:t>[…]</w:t>
      </w:r>
      <w:r w:rsidR="001E2254" w:rsidRPr="001E2254">
        <w:rPr>
          <w:i/>
        </w:rPr>
        <w:t xml:space="preserve"> how you’re going to make sense of a technical area in ways that are understandable to everyone. But technical language – ‘specialised’ language might be an easier way of talking about it – goes both ways</w:t>
      </w:r>
      <w:r w:rsidR="00236B14" w:rsidRPr="00236B14">
        <w:t xml:space="preserve">. </w:t>
      </w:r>
      <w:r>
        <w:t>Holliman</w:t>
      </w:r>
      <w:r w:rsidR="00EA0AA3">
        <w:t xml:space="preserve"> (public engagement researcher)</w:t>
      </w:r>
    </w:p>
    <w:p w:rsidR="00236B14" w:rsidRDefault="00C35301" w:rsidP="00236B14">
      <w:pPr>
        <w:pStyle w:val="longquote"/>
      </w:pPr>
      <w:r>
        <w:rPr>
          <w:i/>
        </w:rPr>
        <w:t>H</w:t>
      </w:r>
      <w:r w:rsidR="001E2254" w:rsidRPr="001E2254">
        <w:rPr>
          <w:i/>
        </w:rPr>
        <w:t>ere is a bunch of people with specific domain knowledge that speak specific sets of dialects and can converse with each other. And there are other people, who speak their own sets … have specific domain knowledge and speak specific dialects. All of them don’t understand each other</w:t>
      </w:r>
      <w:r w:rsidR="00236B14" w:rsidRPr="00236B14">
        <w:t xml:space="preserve">. </w:t>
      </w:r>
      <w:r>
        <w:t>Neylon</w:t>
      </w:r>
      <w:r w:rsidR="00EA0AA3">
        <w:t xml:space="preserve"> (open scientist)</w:t>
      </w:r>
    </w:p>
    <w:p w:rsidR="00C35301" w:rsidRDefault="00C35301" w:rsidP="00C35301">
      <w:r>
        <w:t>For some, lack of shared language may extend into lack of shared understanding:</w:t>
      </w:r>
    </w:p>
    <w:p w:rsidR="00724A7A" w:rsidRPr="00E455F6" w:rsidRDefault="001E2254" w:rsidP="00724A7A">
      <w:pPr>
        <w:pStyle w:val="longquote"/>
        <w:rPr>
          <w:i/>
        </w:rPr>
      </w:pPr>
      <w:r w:rsidRPr="001E2254">
        <w:rPr>
          <w:i/>
        </w:rPr>
        <w:t xml:space="preserve">I can also imagine, for example, reading the </w:t>
      </w:r>
      <w:r w:rsidRPr="0000390F">
        <w:t>[laboratory and experimental]</w:t>
      </w:r>
      <w:r w:rsidRPr="001E2254">
        <w:rPr>
          <w:i/>
        </w:rPr>
        <w:t xml:space="preserve"> notes and not being able to understand them fully because they’d just been written for the person themselves … </w:t>
      </w:r>
      <w:r w:rsidRPr="00C35301">
        <w:rPr>
          <w:iCs/>
        </w:rPr>
        <w:t>I</w:t>
      </w:r>
      <w:r w:rsidRPr="001E2254">
        <w:rPr>
          <w:i/>
        </w:rPr>
        <w:t xml:space="preserve"> understand my notes; who else cares? </w:t>
      </w:r>
      <w:r w:rsidR="00C35301">
        <w:t>Foster (science café organiser)</w:t>
      </w:r>
    </w:p>
    <w:p w:rsidR="00724A7A" w:rsidRDefault="00724A7A" w:rsidP="00724A7A">
      <w:r>
        <w:t>For academic researchers,</w:t>
      </w:r>
      <w:r w:rsidR="00C35301">
        <w:t xml:space="preserve"> </w:t>
      </w:r>
      <w:r>
        <w:t xml:space="preserve">there are worries about </w:t>
      </w:r>
      <w:r w:rsidR="00101CC9">
        <w:t>peer-review, precedence and acknowledgement. For many researchers, anonymous peer-review</w:t>
      </w:r>
      <w:r w:rsidR="0008178D">
        <w:t>ed publication</w:t>
      </w:r>
      <w:r w:rsidR="00101CC9">
        <w:t xml:space="preserve"> is the ‘invisible hand’ that ‘maintains the quality’ of science (Harnad, 2000), while Jasanoff (2003, p.228) </w:t>
      </w:r>
      <w:r w:rsidR="00C35301">
        <w:t>argues that</w:t>
      </w:r>
      <w:r w:rsidR="00101CC9">
        <w:t>: ‘policy-makers, especially in the US, often spoke of [it] as the best means of validating scientific knowledge’.</w:t>
      </w:r>
    </w:p>
    <w:p w:rsidR="00E455F6" w:rsidRDefault="001E2254" w:rsidP="00724A7A">
      <w:pPr>
        <w:pStyle w:val="longquote"/>
      </w:pPr>
      <w:r w:rsidRPr="001E2254">
        <w:rPr>
          <w:i/>
        </w:rPr>
        <w:t xml:space="preserve">There are ethical questions … this is one of those heritage bugbears that are similar to the ones you get asked about doing open science – what happens if someone steals my research and publishes it before me? </w:t>
      </w:r>
      <w:r w:rsidR="00C35301">
        <w:t xml:space="preserve">Beck </w:t>
      </w:r>
      <w:r w:rsidR="00EA0AA3">
        <w:t>(open scientist)</w:t>
      </w:r>
    </w:p>
    <w:p w:rsidR="00724A7A" w:rsidRPr="00724A7A" w:rsidRDefault="001E2254" w:rsidP="00724A7A">
      <w:pPr>
        <w:pStyle w:val="longquote"/>
      </w:pPr>
      <w:r w:rsidRPr="001E2254">
        <w:rPr>
          <w:i/>
        </w:rPr>
        <w:t xml:space="preserve">I think that … certain areas of science would run a mile before they did that </w:t>
      </w:r>
      <w:r w:rsidRPr="00D20658">
        <w:t>[Open Science]</w:t>
      </w:r>
      <w:r w:rsidRPr="001E2254">
        <w:rPr>
          <w:i/>
        </w:rPr>
        <w:t>, they really would – because they’d see their work being compromised or they’d have real concerns about it being used without their permission or without the correct acknowledgements.</w:t>
      </w:r>
      <w:r w:rsidR="00724A7A" w:rsidRPr="00724A7A">
        <w:t xml:space="preserve"> </w:t>
      </w:r>
      <w:r w:rsidR="00C35301">
        <w:t>Holliman</w:t>
      </w:r>
      <w:r w:rsidR="00EA0AA3">
        <w:t xml:space="preserve"> (public engagement researcher)</w:t>
      </w:r>
    </w:p>
    <w:p w:rsidR="00C95CBA" w:rsidRDefault="001126E9" w:rsidP="001126E9">
      <w:r>
        <w:t xml:space="preserve">It’s unsurprising that researchers fear being ‘scooped’, but </w:t>
      </w:r>
      <w:r w:rsidR="0000390F">
        <w:t xml:space="preserve">practitioners argue that </w:t>
      </w:r>
      <w:r>
        <w:t xml:space="preserve">in many ways, Open Science offers greater safeguards than traditional methods. For example, every posting to a wiki is automatically time-stamped, providing rather better protection than a traditional laboratory notebook: </w:t>
      </w:r>
    </w:p>
    <w:p w:rsidR="001126E9" w:rsidRDefault="00C95CBA" w:rsidP="00EA0AA3">
      <w:pPr>
        <w:pStyle w:val="longquote"/>
        <w:ind w:left="1134" w:right="1134"/>
      </w:pPr>
      <w:r>
        <w:t>I</w:t>
      </w:r>
      <w:r w:rsidR="001126E9" w:rsidRPr="006210C0">
        <w:t>f someone actually did try to scoop you, it would be very easy to prove your priority</w:t>
      </w:r>
      <w:r w:rsidR="001126E9">
        <w:t xml:space="preserve"> – and </w:t>
      </w:r>
      <w:r w:rsidR="001126E9" w:rsidRPr="006210C0">
        <w:t xml:space="preserve">to embarrass them. I think that’s really what </w:t>
      </w:r>
      <w:r w:rsidR="001126E9" w:rsidRPr="006210C0">
        <w:lastRenderedPageBreak/>
        <w:t>is going to drive open science: the fear factor. If you wait for the journals, your work won’t appear for another six to nine months. But with open science, your claim to priority is out there right away</w:t>
      </w:r>
      <w:r w:rsidR="001126E9">
        <w:t xml:space="preserve"> (Bradley, cited in Waldrop, 2008).</w:t>
      </w:r>
    </w:p>
    <w:p w:rsidR="006828F2" w:rsidRPr="00C0406C" w:rsidRDefault="006828F2" w:rsidP="00AA7F25">
      <w:pPr>
        <w:pStyle w:val="subsubsection"/>
      </w:pPr>
      <w:r w:rsidRPr="00C0406C">
        <w:t>Open Science as a tool for public engagement</w:t>
      </w:r>
    </w:p>
    <w:p w:rsidR="00311826" w:rsidRDefault="0008178D" w:rsidP="004604FE">
      <w:pPr>
        <w:pStyle w:val="longquote"/>
        <w:ind w:left="0"/>
      </w:pPr>
      <w:r>
        <w:t xml:space="preserve">Although many researchers participate in public engagement activities, for </w:t>
      </w:r>
      <w:r w:rsidR="00C352A3">
        <w:t>members of the public</w:t>
      </w:r>
      <w:r>
        <w:t>, or those outside the professional research community, it can be difficult</w:t>
      </w:r>
      <w:r w:rsidR="00C352A3">
        <w:t xml:space="preserve"> </w:t>
      </w:r>
      <w:r w:rsidR="006431BA">
        <w:t xml:space="preserve">even </w:t>
      </w:r>
      <w:r w:rsidR="00C352A3">
        <w:t xml:space="preserve">to </w:t>
      </w:r>
      <w:r w:rsidR="006431BA">
        <w:t>meet or talk with researchers</w:t>
      </w:r>
      <w:r w:rsidR="00311826">
        <w:t>:</w:t>
      </w:r>
    </w:p>
    <w:p w:rsidR="00311826" w:rsidRPr="006431BA" w:rsidRDefault="001E2254" w:rsidP="00311826">
      <w:pPr>
        <w:pStyle w:val="longquote"/>
      </w:pPr>
      <w:r w:rsidRPr="001E2254">
        <w:rPr>
          <w:i/>
        </w:rPr>
        <w:t>I have tried on various occasions to engage in face to face conversations with the mathematicians, physiologists, philosophers and physicists, but the results have lacked depth and substance. Usually, after I introduce myself and begin discussing my ideas, invariably their first words are, ‘how did someone like you ever get interested in this subject?’</w:t>
      </w:r>
      <w:r w:rsidR="00311826" w:rsidRPr="006431BA">
        <w:t xml:space="preserve">  </w:t>
      </w:r>
      <w:r w:rsidR="00C95CBA">
        <w:t>Anonymous 1</w:t>
      </w:r>
      <w:r w:rsidR="00EA0AA3">
        <w:t xml:space="preserve"> (amateur scientist)</w:t>
      </w:r>
    </w:p>
    <w:p w:rsidR="00A83958" w:rsidRPr="00311826" w:rsidRDefault="001E2254" w:rsidP="004604FE">
      <w:pPr>
        <w:pStyle w:val="longquote"/>
        <w:ind w:left="0"/>
      </w:pPr>
      <w:r w:rsidRPr="001E2254">
        <w:t>Open Science sites</w:t>
      </w:r>
      <w:r w:rsidR="00C95CBA">
        <w:t>,</w:t>
      </w:r>
      <w:r w:rsidRPr="001E2254">
        <w:t xml:space="preserve"> </w:t>
      </w:r>
      <w:r w:rsidR="00311826">
        <w:t xml:space="preserve">because they can </w:t>
      </w:r>
      <w:r w:rsidR="00540B7B">
        <w:t xml:space="preserve">potentially </w:t>
      </w:r>
      <w:r w:rsidR="00311826">
        <w:t xml:space="preserve">be read by anyone, </w:t>
      </w:r>
      <w:r w:rsidR="00B61574">
        <w:t>can</w:t>
      </w:r>
      <w:r w:rsidR="00311826">
        <w:t xml:space="preserve"> promote </w:t>
      </w:r>
      <w:r w:rsidRPr="001E2254">
        <w:t>such interchanges</w:t>
      </w:r>
      <w:r w:rsidR="00C95CBA">
        <w:t>. D</w:t>
      </w:r>
      <w:r w:rsidRPr="001E2254">
        <w:t>e Roure et al. (2008, p.1)</w:t>
      </w:r>
      <w:r w:rsidRPr="001E2254">
        <w:rPr>
          <w:i/>
        </w:rPr>
        <w:t xml:space="preserve"> </w:t>
      </w:r>
      <w:r w:rsidRPr="001E2254">
        <w:t>note that visitor numbers to the</w:t>
      </w:r>
      <w:r w:rsidR="0008178D">
        <w:t>ir</w:t>
      </w:r>
      <w:r w:rsidRPr="001E2254">
        <w:t xml:space="preserve"> </w:t>
      </w:r>
      <w:r w:rsidR="0008178D">
        <w:t>‘</w:t>
      </w:r>
      <w:r w:rsidRPr="001E2254">
        <w:t>myExperiment</w:t>
      </w:r>
      <w:r w:rsidR="0008178D">
        <w:t>’</w:t>
      </w:r>
      <w:r w:rsidRPr="001E2254">
        <w:t xml:space="preserve"> website (8500 between January–July 2008) are much greater than </w:t>
      </w:r>
      <w:r w:rsidR="0008178D">
        <w:t>the number of registered users (1000+</w:t>
      </w:r>
      <w:r w:rsidRPr="001E2254">
        <w:t xml:space="preserve">), which they suggest implies their site has an audience beyond researchers. </w:t>
      </w:r>
      <w:r w:rsidR="00311826">
        <w:t>However, interviewees noted t</w:t>
      </w:r>
      <w:r w:rsidRPr="001E2254">
        <w:t xml:space="preserve">here may be </w:t>
      </w:r>
      <w:r w:rsidR="00311826">
        <w:t>issues of understanding:</w:t>
      </w:r>
    </w:p>
    <w:p w:rsidR="00CA23E9" w:rsidRDefault="00C95CBA" w:rsidP="00CA23E9">
      <w:pPr>
        <w:pStyle w:val="longquote"/>
        <w:rPr>
          <w:szCs w:val="20"/>
        </w:rPr>
      </w:pPr>
      <w:r>
        <w:rPr>
          <w:i/>
        </w:rPr>
        <w:t>T</w:t>
      </w:r>
      <w:r w:rsidR="001E2254" w:rsidRPr="001E2254">
        <w:rPr>
          <w:i/>
        </w:rPr>
        <w:t>he public may sometimes not understand the science they have access to – as access does not guarantee comprehension of what is available.</w:t>
      </w:r>
      <w:r w:rsidR="00CA23E9" w:rsidRPr="00CA23E9">
        <w:t xml:space="preserve"> </w:t>
      </w:r>
      <w:r>
        <w:t>Nason (amateur scientist)</w:t>
      </w:r>
    </w:p>
    <w:p w:rsidR="00C95CBA" w:rsidRDefault="00311826">
      <w:r>
        <w:t>Although</w:t>
      </w:r>
      <w:r w:rsidRPr="00311826">
        <w:t xml:space="preserve"> interviewees noted the potential </w:t>
      </w:r>
      <w:r w:rsidR="00D20658">
        <w:t xml:space="preserve">in </w:t>
      </w:r>
      <w:r w:rsidR="0008178D">
        <w:t xml:space="preserve">open approaches </w:t>
      </w:r>
      <w:r w:rsidRPr="00311826">
        <w:t>for members of the public to contribute to the research process</w:t>
      </w:r>
      <w:r>
        <w:t>,</w:t>
      </w:r>
      <w:r w:rsidRPr="00311826">
        <w:t xml:space="preserve"> for </w:t>
      </w:r>
      <w:r>
        <w:t>it</w:t>
      </w:r>
      <w:r w:rsidRPr="00311826">
        <w:t xml:space="preserve"> to be genuinely rewarding, researchers may have to be willing to relinquish some of</w:t>
      </w:r>
      <w:r w:rsidR="00C95CBA">
        <w:t xml:space="preserve"> their control</w:t>
      </w:r>
      <w:r w:rsidR="0008178D">
        <w:t>, while members of the public may have to come to terms with the unfinished, dynamic nature of research</w:t>
      </w:r>
      <w:r w:rsidR="00C95CBA">
        <w:t>:</w:t>
      </w:r>
    </w:p>
    <w:p w:rsidR="00C95CBA" w:rsidRPr="00311826" w:rsidRDefault="00C95CBA" w:rsidP="00C95CBA">
      <w:pPr>
        <w:pStyle w:val="longquote"/>
        <w:rPr>
          <w:i/>
        </w:rPr>
      </w:pPr>
      <w:r>
        <w:rPr>
          <w:i/>
        </w:rPr>
        <w:t>S</w:t>
      </w:r>
      <w:r w:rsidRPr="001E2254">
        <w:rPr>
          <w:i/>
        </w:rPr>
        <w:t>ome people are going to find that very frustrating because scientists are not suddenly going to relinquish the reins on all their work. And they shouldn’t. Why should they? But they may at some point have to take on board some of the criticisms and concerns of publics</w:t>
      </w:r>
      <w:r>
        <w:rPr>
          <w:i/>
        </w:rPr>
        <w:t>.</w:t>
      </w:r>
      <w:r w:rsidRPr="001E2254">
        <w:rPr>
          <w:i/>
        </w:rPr>
        <w:t xml:space="preserve"> </w:t>
      </w:r>
      <w:r>
        <w:t>Holliman</w:t>
      </w:r>
      <w:r w:rsidR="00EA0AA3">
        <w:t xml:space="preserve"> (public engagement researcher)</w:t>
      </w:r>
    </w:p>
    <w:p w:rsidR="006431BA" w:rsidRPr="00311826" w:rsidRDefault="001E2254" w:rsidP="006431BA">
      <w:pPr>
        <w:pStyle w:val="longquote"/>
        <w:rPr>
          <w:i/>
        </w:rPr>
      </w:pPr>
      <w:r w:rsidRPr="001E2254">
        <w:rPr>
          <w:i/>
        </w:rPr>
        <w:t xml:space="preserve">People have this view of science that it’s all a finished product that’s being read down from on high, when in reality, science is a complex human institution. </w:t>
      </w:r>
      <w:r w:rsidR="00C95CBA">
        <w:t>Raddick (public engagement researcher)</w:t>
      </w:r>
    </w:p>
    <w:bookmarkEnd w:id="2"/>
    <w:p w:rsidR="00C35301" w:rsidRDefault="006A22A9" w:rsidP="006A22A9">
      <w:r>
        <w:t xml:space="preserve">However, even </w:t>
      </w:r>
      <w:r w:rsidR="00AC5E78">
        <w:t>when</w:t>
      </w:r>
      <w:r>
        <w:t xml:space="preserve"> these caveats are taken into account, openness was seen as having the potential to excite, educate and inform and even to change research:</w:t>
      </w:r>
    </w:p>
    <w:p w:rsidR="006A22A9" w:rsidRDefault="006A22A9" w:rsidP="006A22A9">
      <w:pPr>
        <w:pStyle w:val="longquote"/>
      </w:pPr>
      <w:r w:rsidRPr="006A22A9">
        <w:rPr>
          <w:i/>
        </w:rPr>
        <w:t>An educated, scientifically literate public is an empowered public; one best suited to deal with the mounting challenges that technology undeniably thrusts upon us all.</w:t>
      </w:r>
      <w:r>
        <w:t xml:space="preserve"> </w:t>
      </w:r>
      <w:r w:rsidRPr="006A22A9">
        <w:rPr>
          <w:i/>
        </w:rPr>
        <w:t>… It’s a big job but one that will ultimately benefit us all.</w:t>
      </w:r>
      <w:r>
        <w:t xml:space="preserve"> Nason (amateur scientist)</w:t>
      </w:r>
    </w:p>
    <w:p w:rsidR="00F23DB8" w:rsidRPr="00F23DB8" w:rsidRDefault="00F23DB8" w:rsidP="00F23DB8">
      <w:pPr>
        <w:pStyle w:val="longquote"/>
      </w:pPr>
      <w:r w:rsidRPr="00F23DB8">
        <w:rPr>
          <w:i/>
        </w:rPr>
        <w:t>… their number one reason for participating in Galaxy Zoo is they want to make a contribution to science.</w:t>
      </w:r>
      <w:r w:rsidRPr="00F23DB8">
        <w:t xml:space="preserve"> </w:t>
      </w:r>
      <w:r>
        <w:t>Raddick (public engagement researcher)</w:t>
      </w:r>
    </w:p>
    <w:p w:rsidR="006A22A9" w:rsidRPr="006A22A9" w:rsidRDefault="006A22A9" w:rsidP="006A22A9">
      <w:pPr>
        <w:pStyle w:val="longquote"/>
      </w:pPr>
      <w:r w:rsidRPr="006A22A9">
        <w:rPr>
          <w:i/>
        </w:rPr>
        <w:t>… there would be a chance that a member of the public could do the analysis. And if they saw something before the scientists did, that would be a big bonus for everyone.</w:t>
      </w:r>
      <w:r w:rsidRPr="006A22A9">
        <w:t xml:space="preserve"> </w:t>
      </w:r>
      <w:r>
        <w:t>(Anonymous 2, science café participant)</w:t>
      </w:r>
    </w:p>
    <w:p w:rsidR="006A22A9" w:rsidRPr="006A22A9" w:rsidRDefault="006A22A9" w:rsidP="006A22A9">
      <w:pPr>
        <w:widowControl w:val="0"/>
        <w:spacing w:after="0"/>
        <w:jc w:val="left"/>
        <w:rPr>
          <w:rFonts w:ascii="Calibri" w:hAnsi="Calibri" w:cs="Calibri"/>
          <w:color w:val="auto"/>
          <w:sz w:val="20"/>
          <w:szCs w:val="20"/>
        </w:rPr>
      </w:pPr>
    </w:p>
    <w:p w:rsidR="002F6585" w:rsidRDefault="002F6585" w:rsidP="00ED7D7A">
      <w:pPr>
        <w:pStyle w:val="Sectionhead"/>
      </w:pPr>
      <w:r>
        <w:lastRenderedPageBreak/>
        <w:t>Conclusion</w:t>
      </w:r>
    </w:p>
    <w:p w:rsidR="00084233" w:rsidRDefault="00911DB8" w:rsidP="00084233">
      <w:r>
        <w:t xml:space="preserve">Practising </w:t>
      </w:r>
      <w:r w:rsidR="00384504" w:rsidRPr="00C842BE">
        <w:t xml:space="preserve">Open </w:t>
      </w:r>
      <w:r>
        <w:t>Science</w:t>
      </w:r>
      <w:r w:rsidR="00384504">
        <w:t xml:space="preserve"> </w:t>
      </w:r>
      <w:r>
        <w:t xml:space="preserve">can </w:t>
      </w:r>
      <w:r w:rsidR="0021754D">
        <w:t xml:space="preserve">support and sustain </w:t>
      </w:r>
      <w:r>
        <w:t xml:space="preserve">collaboration among researchers in large, even multi-national, networks, encouraging honesty among collaborators and </w:t>
      </w:r>
      <w:r w:rsidR="00AB69F1">
        <w:t>with the wider public</w:t>
      </w:r>
      <w:r w:rsidR="00084233">
        <w:t xml:space="preserve">. </w:t>
      </w:r>
      <w:r w:rsidR="00B61574">
        <w:t xml:space="preserve">Open Science has the potential to be a new model for direct public engagement with science, engineering and technology. </w:t>
      </w:r>
      <w:r w:rsidR="007D2151">
        <w:t xml:space="preserve">Because its systems </w:t>
      </w:r>
      <w:r w:rsidR="00AB69F1">
        <w:t>exist through and depend on the Internet</w:t>
      </w:r>
      <w:r w:rsidR="007D2151">
        <w:t xml:space="preserve">, not only are its access technologies presently innovative but they are likely to remain so. </w:t>
      </w:r>
      <w:r w:rsidR="00E508CC">
        <w:t xml:space="preserve">Our research clearly suggests there are factors supporting an open approach to research, as well as mitigating against it. </w:t>
      </w:r>
      <w:r w:rsidR="00B61574">
        <w:t xml:space="preserve">While researchers </w:t>
      </w:r>
      <w:r w:rsidR="00127F22">
        <w:t xml:space="preserve">have concerns about </w:t>
      </w:r>
      <w:r w:rsidR="00EF0749">
        <w:t xml:space="preserve">the maintenance of </w:t>
      </w:r>
      <w:r w:rsidR="00127F22">
        <w:t xml:space="preserve">reputation, precedence and </w:t>
      </w:r>
      <w:r w:rsidR="00EF0749">
        <w:t>acknowledgement</w:t>
      </w:r>
      <w:r w:rsidR="00805859">
        <w:t xml:space="preserve"> and the prot</w:t>
      </w:r>
      <w:r w:rsidR="00B61574">
        <w:t xml:space="preserve">ection of intellectual property, practising Open Science </w:t>
      </w:r>
      <w:r w:rsidR="00084233">
        <w:t>could enable the development of</w:t>
      </w:r>
      <w:r w:rsidR="0041076A">
        <w:t xml:space="preserve"> shared language</w:t>
      </w:r>
      <w:r w:rsidR="00805859">
        <w:t>, shared social practices</w:t>
      </w:r>
      <w:r w:rsidR="0041076A">
        <w:t xml:space="preserve"> and </w:t>
      </w:r>
      <w:r w:rsidR="00084233">
        <w:t>a shared context for</w:t>
      </w:r>
      <w:r w:rsidR="0041076A">
        <w:t xml:space="preserve"> complex </w:t>
      </w:r>
      <w:r w:rsidR="00AB69F1">
        <w:t>science and engineering</w:t>
      </w:r>
      <w:r w:rsidR="00ED7D7A">
        <w:t xml:space="preserve"> between researchers and members of the public</w:t>
      </w:r>
      <w:r w:rsidR="007D2151">
        <w:t>.</w:t>
      </w:r>
      <w:r w:rsidR="00084233">
        <w:t xml:space="preserve"> </w:t>
      </w:r>
      <w:r w:rsidR="008476CA">
        <w:t xml:space="preserve">While our interviewees were primarily scientists and public engagement researchers, rather than from an engineering background, we consider that our findings apply equally to engineering, especially engineering research. </w:t>
      </w:r>
      <w:r w:rsidR="00B61574">
        <w:t xml:space="preserve">Sustaining public engagement through </w:t>
      </w:r>
      <w:r w:rsidR="00ED7D7A">
        <w:t xml:space="preserve">opening up research to a wide audience has the potential </w:t>
      </w:r>
      <w:r w:rsidR="00084233">
        <w:t xml:space="preserve">to </w:t>
      </w:r>
      <w:r w:rsidR="00ED7D7A">
        <w:t>harness the power of many minds</w:t>
      </w:r>
      <w:r w:rsidR="00B61574">
        <w:t xml:space="preserve"> and to allow</w:t>
      </w:r>
      <w:r w:rsidR="00ED7D7A">
        <w:t xml:space="preserve"> </w:t>
      </w:r>
      <w:r w:rsidR="00023C26">
        <w:t xml:space="preserve">not only </w:t>
      </w:r>
      <w:r w:rsidR="00ED7D7A">
        <w:t xml:space="preserve">researchers </w:t>
      </w:r>
      <w:r w:rsidR="00023C26">
        <w:t xml:space="preserve">but also members of the public </w:t>
      </w:r>
      <w:r w:rsidR="00ED7D7A">
        <w:t>to contribute to the creation of scien</w:t>
      </w:r>
      <w:r w:rsidR="00D20658">
        <w:t>tific</w:t>
      </w:r>
      <w:r w:rsidR="00023C26">
        <w:t xml:space="preserve"> progress</w:t>
      </w:r>
      <w:r w:rsidR="00ED7D7A">
        <w:t>.</w:t>
      </w:r>
    </w:p>
    <w:p w:rsidR="007D2151" w:rsidRDefault="007D2151" w:rsidP="00C35559">
      <w:pPr>
        <w:spacing w:after="200" w:line="276" w:lineRule="auto"/>
      </w:pPr>
    </w:p>
    <w:p w:rsidR="00E508CC" w:rsidRDefault="00E508CC">
      <w:pPr>
        <w:autoSpaceDE/>
        <w:autoSpaceDN/>
        <w:adjustRightInd/>
        <w:spacing w:after="0"/>
        <w:jc w:val="left"/>
        <w:rPr>
          <w:rFonts w:ascii="Cambria" w:eastAsia="Times New Roman" w:hAnsi="Cambria"/>
          <w:b/>
          <w:bCs/>
          <w:color w:val="365F91" w:themeColor="accent1" w:themeShade="BF"/>
          <w:sz w:val="32"/>
          <w:szCs w:val="28"/>
        </w:rPr>
      </w:pPr>
      <w:bookmarkStart w:id="3" w:name="_Toc256357483"/>
      <w:r>
        <w:br w:type="page"/>
      </w:r>
    </w:p>
    <w:p w:rsidR="000F63D7" w:rsidRDefault="000F63D7" w:rsidP="00ED7D7A">
      <w:pPr>
        <w:pStyle w:val="Sectionhead"/>
        <w:numPr>
          <w:ilvl w:val="0"/>
          <w:numId w:val="0"/>
        </w:numPr>
      </w:pPr>
      <w:r>
        <w:lastRenderedPageBreak/>
        <w:t>References</w:t>
      </w:r>
      <w:bookmarkEnd w:id="3"/>
    </w:p>
    <w:p w:rsidR="00840404" w:rsidRPr="00840404" w:rsidRDefault="00840404" w:rsidP="000F63D7">
      <w:pPr>
        <w:pStyle w:val="Bibliography"/>
      </w:pPr>
      <w:r>
        <w:t>Bloodhound@university</w:t>
      </w:r>
      <w:r w:rsidR="004911F4">
        <w:t xml:space="preserve"> (2010)</w:t>
      </w:r>
      <w:r>
        <w:t xml:space="preserve"> </w:t>
      </w:r>
      <w:r>
        <w:rPr>
          <w:i/>
        </w:rPr>
        <w:t>Bloodhound SSC at University</w:t>
      </w:r>
      <w:r>
        <w:t xml:space="preserve"> [online]. Available from </w:t>
      </w:r>
      <w:r w:rsidR="001E2254" w:rsidRPr="001E2254">
        <w:t>http://bloodhoundssc.uwe.ac.uk/RenderPages/RenderHomePage.aspx</w:t>
      </w:r>
      <w:r>
        <w:t xml:space="preserve"> (Accessed June 2010)</w:t>
      </w:r>
    </w:p>
    <w:p w:rsidR="000F63D7" w:rsidRDefault="000F63D7" w:rsidP="000F63D7">
      <w:pPr>
        <w:pStyle w:val="Bibliography"/>
      </w:pPr>
      <w:r>
        <w:t xml:space="preserve">Bonney, R., Ballard, H., Jordan, R., McCallie, E., Philips, T., Shirk, J. and Wilderman, C. (2009) </w:t>
      </w:r>
      <w:r w:rsidRPr="00442EFC">
        <w:rPr>
          <w:i/>
        </w:rPr>
        <w:t>Public participation in scientific research: defining the field and assessing its potential for informal science education. A CAISE Inquiry Group report.</w:t>
      </w:r>
      <w:r>
        <w:t xml:space="preserve"> Washington DC: Center for Advancement of Informal Science Education (CAISE)</w:t>
      </w:r>
    </w:p>
    <w:p w:rsidR="000F63D7" w:rsidRDefault="000F63D7" w:rsidP="000F63D7">
      <w:pPr>
        <w:pStyle w:val="Bibliography"/>
        <w:rPr>
          <w:iCs/>
        </w:rPr>
      </w:pPr>
      <w:r>
        <w:rPr>
          <w:iCs/>
        </w:rPr>
        <w:t xml:space="preserve">Cohn, J. (2008) Citizen science: can volunteers do real research? </w:t>
      </w:r>
      <w:r>
        <w:rPr>
          <w:i/>
          <w:iCs/>
        </w:rPr>
        <w:t>BioScience</w:t>
      </w:r>
      <w:r>
        <w:rPr>
          <w:iCs/>
        </w:rPr>
        <w:t xml:space="preserve"> 58 (3) 192</w:t>
      </w:r>
    </w:p>
    <w:p w:rsidR="00274456" w:rsidRPr="00274456" w:rsidRDefault="00274456" w:rsidP="00274456">
      <w:pPr>
        <w:pStyle w:val="Bibliography"/>
      </w:pPr>
      <w:r>
        <w:t xml:space="preserve">Cribb, J. and Sari, T. (2010) </w:t>
      </w:r>
      <w:r>
        <w:rPr>
          <w:i/>
        </w:rPr>
        <w:t>Open Science: sharing knowledge in the global century</w:t>
      </w:r>
      <w:r>
        <w:t>. Collingwood, Victoria: CSIRO Publishing</w:t>
      </w:r>
    </w:p>
    <w:p w:rsidR="000F63D7" w:rsidRDefault="000F63D7" w:rsidP="000F63D7">
      <w:pPr>
        <w:pStyle w:val="Bibliography"/>
      </w:pPr>
      <w:r>
        <w:t xml:space="preserve">Department for Innovation, Universities and Skills (2008) </w:t>
      </w:r>
      <w:r>
        <w:rPr>
          <w:i/>
        </w:rPr>
        <w:t>A vision for science and society.</w:t>
      </w:r>
      <w:r>
        <w:t xml:space="preserve"> London: DIUS.</w:t>
      </w:r>
    </w:p>
    <w:p w:rsidR="000F63D7" w:rsidRDefault="000F63D7" w:rsidP="000F63D7">
      <w:pPr>
        <w:pStyle w:val="Bibliography"/>
      </w:pPr>
      <w:r>
        <w:t xml:space="preserve">De Roure, D., Goble, C., Bhagat, J., Cruickshank, D., Goderis, A., Michaelides, D. and Newman, D. (2008) myExperiment: Defining the Social Virtual Research Environment. </w:t>
      </w:r>
      <w:r>
        <w:rPr>
          <w:i/>
        </w:rPr>
        <w:t>4</w:t>
      </w:r>
      <w:r w:rsidRPr="003A1055">
        <w:rPr>
          <w:i/>
          <w:vertAlign w:val="superscript"/>
        </w:rPr>
        <w:t>th</w:t>
      </w:r>
      <w:r>
        <w:rPr>
          <w:i/>
        </w:rPr>
        <w:t xml:space="preserve"> IEEE International Conference on e-Science</w:t>
      </w:r>
      <w:r>
        <w:t>, Indianapolis, USA</w:t>
      </w:r>
      <w:r w:rsidRPr="00273AF9">
        <w:t xml:space="preserve"> </w:t>
      </w:r>
    </w:p>
    <w:p w:rsidR="009A6AFC" w:rsidRDefault="009A6AFC" w:rsidP="009A6AFC">
      <w:pPr>
        <w:ind w:left="340" w:hanging="340"/>
      </w:pPr>
      <w:r>
        <w:t xml:space="preserve">Denscombe, M. (2005) </w:t>
      </w:r>
      <w:r>
        <w:rPr>
          <w:i/>
        </w:rPr>
        <w:t>The Good Research Guide for small-scale social research projects (2</w:t>
      </w:r>
      <w:r w:rsidRPr="009E2F33">
        <w:rPr>
          <w:i/>
          <w:vertAlign w:val="superscript"/>
        </w:rPr>
        <w:t>nd</w:t>
      </w:r>
      <w:r>
        <w:rPr>
          <w:i/>
        </w:rPr>
        <w:t xml:space="preserve"> edn)</w:t>
      </w:r>
      <w:r>
        <w:t xml:space="preserve"> Maidenhead: Open University Press</w:t>
      </w:r>
    </w:p>
    <w:p w:rsidR="009A6AFC" w:rsidRPr="007C29BB" w:rsidRDefault="009A6AFC" w:rsidP="009A6AFC">
      <w:pPr>
        <w:pStyle w:val="Bibliography"/>
      </w:pPr>
      <w:r w:rsidRPr="007C29BB">
        <w:t>Denzin, N. and Lincoln,</w:t>
      </w:r>
      <w:r>
        <w:t xml:space="preserve"> Y. (1994) </w:t>
      </w:r>
      <w:r>
        <w:rPr>
          <w:i/>
        </w:rPr>
        <w:t>Handbook of qualitative research</w:t>
      </w:r>
      <w:r>
        <w:t>. Thousand Oaks CA: Sage Publications</w:t>
      </w:r>
    </w:p>
    <w:p w:rsidR="000F63D7" w:rsidRDefault="000F63D7" w:rsidP="000F63D7">
      <w:pPr>
        <w:pStyle w:val="Bibliography"/>
      </w:pPr>
      <w:r>
        <w:t>DIYbio.org</w:t>
      </w:r>
      <w:r w:rsidRPr="00E9141A">
        <w:t>. (</w:t>
      </w:r>
      <w:r>
        <w:t>2009</w:t>
      </w:r>
      <w:r w:rsidRPr="00E9141A">
        <w:t>) </w:t>
      </w:r>
      <w:r>
        <w:rPr>
          <w:i/>
          <w:iCs/>
        </w:rPr>
        <w:t xml:space="preserve">DIYbio </w:t>
      </w:r>
      <w:r w:rsidRPr="00E9141A">
        <w:t xml:space="preserve">[online]. Available from: </w:t>
      </w:r>
      <w:r w:rsidRPr="009D1BD7">
        <w:t>www.</w:t>
      </w:r>
      <w:r w:rsidRPr="002E67A5">
        <w:t>DIYbio.org</w:t>
      </w:r>
      <w:r>
        <w:t xml:space="preserve"> (Accessed May 2009)</w:t>
      </w:r>
    </w:p>
    <w:p w:rsidR="00DB56C7" w:rsidRDefault="00DB56C7" w:rsidP="00DB56C7">
      <w:pPr>
        <w:pStyle w:val="Bibliography"/>
      </w:pPr>
      <w:r>
        <w:rPr>
          <w:i/>
        </w:rPr>
        <w:t>The Economist</w:t>
      </w:r>
      <w:r>
        <w:t xml:space="preserve"> (2009) Leader article: Animal Welfare, Catheter and Mouse. </w:t>
      </w:r>
      <w:r>
        <w:rPr>
          <w:i/>
        </w:rPr>
        <w:t>The Economist</w:t>
      </w:r>
      <w:r>
        <w:t>, May 9</w:t>
      </w:r>
      <w:r w:rsidRPr="009E6177">
        <w:rPr>
          <w:vertAlign w:val="superscript"/>
        </w:rPr>
        <w:t>th</w:t>
      </w:r>
      <w:r>
        <w:t xml:space="preserve"> 2009</w:t>
      </w:r>
    </w:p>
    <w:p w:rsidR="00A61D7B" w:rsidRDefault="00A61D7B" w:rsidP="00A61D7B">
      <w:pPr>
        <w:pStyle w:val="Bibliography"/>
      </w:pPr>
      <w:r>
        <w:t xml:space="preserve">EPSRC (2010) </w:t>
      </w:r>
      <w:r>
        <w:rPr>
          <w:i/>
        </w:rPr>
        <w:t xml:space="preserve">Access to research outputs </w:t>
      </w:r>
      <w:r>
        <w:t>[online]. Available from</w:t>
      </w:r>
      <w:r w:rsidR="00B72575">
        <w:t>:</w:t>
      </w:r>
      <w:r>
        <w:t xml:space="preserve"> </w:t>
      </w:r>
      <w:r w:rsidRPr="00A61D7B">
        <w:t>www.epsrc.ac.uk/about/infoaccess/Pages/roaccess.aspx</w:t>
      </w:r>
      <w:r>
        <w:t xml:space="preserve"> (Accessed July 2010)</w:t>
      </w:r>
    </w:p>
    <w:p w:rsidR="00DB56C7" w:rsidRDefault="00DB56C7" w:rsidP="00DB56C7">
      <w:pPr>
        <w:pStyle w:val="Bibliography"/>
      </w:pPr>
      <w:r>
        <w:t xml:space="preserve">Field, H. and Powell, </w:t>
      </w:r>
      <w:r w:rsidR="002B1AEF">
        <w:t>P.</w:t>
      </w:r>
      <w:r>
        <w:t xml:space="preserve">(2001) Public understanding of science versus public understanding of research. </w:t>
      </w:r>
      <w:r w:rsidRPr="0096382B">
        <w:rPr>
          <w:i/>
        </w:rPr>
        <w:t>Public Understanding of Science</w:t>
      </w:r>
      <w:r>
        <w:t>, 10 (4) 421</w:t>
      </w:r>
    </w:p>
    <w:p w:rsidR="000F63D7" w:rsidRPr="00B05A24" w:rsidRDefault="000F63D7" w:rsidP="000F63D7">
      <w:pPr>
        <w:pStyle w:val="Bibliography"/>
      </w:pPr>
      <w:r>
        <w:t xml:space="preserve">Fry, J., Schroeder, R. and den Besten, M. (2009) Open science in e-science: contingency or policy? </w:t>
      </w:r>
      <w:r>
        <w:rPr>
          <w:i/>
        </w:rPr>
        <w:t>Journal of Documentation</w:t>
      </w:r>
      <w:r>
        <w:t xml:space="preserve"> 65 (1) 6</w:t>
      </w:r>
    </w:p>
    <w:p w:rsidR="00B72575" w:rsidRPr="007005BB" w:rsidRDefault="000F63D7" w:rsidP="00B72575">
      <w:pPr>
        <w:pStyle w:val="Bibliography"/>
        <w:rPr>
          <w:i/>
        </w:rPr>
      </w:pPr>
      <w:r>
        <w:t>Galaxy Zoo</w:t>
      </w:r>
      <w:r w:rsidRPr="00E9141A">
        <w:t xml:space="preserve"> (</w:t>
      </w:r>
      <w:r>
        <w:t>2009</w:t>
      </w:r>
      <w:r w:rsidRPr="00E9141A">
        <w:t>) </w:t>
      </w:r>
      <w:r>
        <w:rPr>
          <w:i/>
          <w:iCs/>
        </w:rPr>
        <w:t xml:space="preserve">Galaxy Zoo blog </w:t>
      </w:r>
      <w:r w:rsidRPr="00E9141A">
        <w:t xml:space="preserve">[online]. Available from: </w:t>
      </w:r>
      <w:r w:rsidRPr="009D1BD7">
        <w:t>www.</w:t>
      </w:r>
      <w:r w:rsidRPr="00410337">
        <w:t xml:space="preserve">galaxyzooblog.org/2009/04/14 </w:t>
      </w:r>
      <w:r>
        <w:t>(</w:t>
      </w:r>
      <w:r w:rsidRPr="00410337">
        <w:t>Accessed May 2009</w:t>
      </w:r>
      <w:r>
        <w:t>)</w:t>
      </w:r>
      <w:r w:rsidR="00B72575">
        <w:t xml:space="preserve">. See also </w:t>
      </w:r>
      <w:r w:rsidR="00B72575" w:rsidRPr="007005BB">
        <w:rPr>
          <w:i/>
        </w:rPr>
        <w:t xml:space="preserve">Galaxy Zoo: a new class of compact extremely star forming galaxies? </w:t>
      </w:r>
      <w:r w:rsidR="00B72575" w:rsidRPr="00B72575">
        <w:t>arXiv:0907.4155v1</w:t>
      </w:r>
    </w:p>
    <w:p w:rsidR="000F63D7" w:rsidRPr="00FB598D" w:rsidRDefault="000F63D7" w:rsidP="000F63D7">
      <w:pPr>
        <w:pStyle w:val="Bibliography"/>
      </w:pPr>
      <w:r>
        <w:t xml:space="preserve">Gura, T. (2002) Scientific publishing: Peer review, unmasked. </w:t>
      </w:r>
      <w:r>
        <w:rPr>
          <w:i/>
        </w:rPr>
        <w:t>Nature</w:t>
      </w:r>
      <w:r>
        <w:t xml:space="preserve"> 416 (6878) 258 doi: 10.1038/416258a</w:t>
      </w:r>
    </w:p>
    <w:p w:rsidR="000F63D7" w:rsidRPr="0096382B" w:rsidRDefault="000F63D7" w:rsidP="000F63D7">
      <w:pPr>
        <w:pStyle w:val="Bibliography"/>
      </w:pPr>
      <w:r w:rsidRPr="0096382B">
        <w:t xml:space="preserve">Harnad, S. (2000) </w:t>
      </w:r>
      <w:r w:rsidRPr="00605992">
        <w:rPr>
          <w:i/>
        </w:rPr>
        <w:t>The Invisible Hand of Peer Review</w:t>
      </w:r>
      <w:r>
        <w:t xml:space="preserve"> [online]</w:t>
      </w:r>
      <w:r w:rsidRPr="0096382B">
        <w:t>.</w:t>
      </w:r>
      <w:r>
        <w:t xml:space="preserve"> Available from:</w:t>
      </w:r>
      <w:r w:rsidRPr="0096382B">
        <w:t xml:space="preserve"> </w:t>
      </w:r>
      <w:r w:rsidRPr="0096382B">
        <w:rPr>
          <w:i/>
        </w:rPr>
        <w:t>Exploit Interactive</w:t>
      </w:r>
      <w:r w:rsidRPr="0096382B">
        <w:t xml:space="preserve"> </w:t>
      </w:r>
      <w:r w:rsidR="00C816A5" w:rsidRPr="00C816A5">
        <w:rPr>
          <w:i/>
        </w:rPr>
        <w:t>5</w:t>
      </w:r>
      <w:r w:rsidRPr="0096382B">
        <w:t xml:space="preserve"> </w:t>
      </w:r>
      <w:r w:rsidRPr="00CF3057">
        <w:t>www.exploit-lib.org/issue5/peer-review</w:t>
      </w:r>
      <w:r w:rsidRPr="0096382B">
        <w:t xml:space="preserve"> </w:t>
      </w:r>
      <w:r>
        <w:t>(</w:t>
      </w:r>
      <w:r w:rsidRPr="0096382B">
        <w:t>Accessed April 2009</w:t>
      </w:r>
      <w:r>
        <w:t>)</w:t>
      </w:r>
    </w:p>
    <w:p w:rsidR="000F63D7" w:rsidRPr="00F2605B" w:rsidRDefault="000F63D7" w:rsidP="000F63D7">
      <w:pPr>
        <w:pStyle w:val="Bibliography"/>
        <w:rPr>
          <w:szCs w:val="21"/>
        </w:rPr>
      </w:pPr>
      <w:r w:rsidRPr="00F2605B">
        <w:rPr>
          <w:szCs w:val="21"/>
        </w:rPr>
        <w:t xml:space="preserve">Holliman, R., Collins, T., Jensen, E. and Taylor, </w:t>
      </w:r>
      <w:r w:rsidR="002B1AEF">
        <w:rPr>
          <w:szCs w:val="21"/>
        </w:rPr>
        <w:t>P.</w:t>
      </w:r>
      <w:r w:rsidRPr="00F2605B">
        <w:rPr>
          <w:szCs w:val="21"/>
        </w:rPr>
        <w:t>(200</w:t>
      </w:r>
      <w:r>
        <w:rPr>
          <w:szCs w:val="21"/>
        </w:rPr>
        <w:t>9)</w:t>
      </w:r>
      <w:r w:rsidRPr="00F2605B">
        <w:rPr>
          <w:szCs w:val="21"/>
        </w:rPr>
        <w:t xml:space="preserve"> </w:t>
      </w:r>
      <w:r w:rsidRPr="00F2605B">
        <w:rPr>
          <w:i/>
        </w:rPr>
        <w:t>ISOTOPE: Informing Science Outreach and Public Engagement. Final Report of the NESTA-funded ISOTOPE Project</w:t>
      </w:r>
      <w:r w:rsidRPr="00F2605B">
        <w:rPr>
          <w:szCs w:val="21"/>
        </w:rPr>
        <w:t>. Milton Keynes</w:t>
      </w:r>
      <w:r w:rsidR="00793171">
        <w:rPr>
          <w:szCs w:val="21"/>
        </w:rPr>
        <w:t>:</w:t>
      </w:r>
      <w:r w:rsidRPr="00F2605B">
        <w:rPr>
          <w:szCs w:val="21"/>
        </w:rPr>
        <w:t xml:space="preserve"> The Open University.</w:t>
      </w:r>
      <w:r>
        <w:rPr>
          <w:szCs w:val="21"/>
        </w:rPr>
        <w:t xml:space="preserve"> Available online from </w:t>
      </w:r>
      <w:r w:rsidRPr="00F2605B">
        <w:rPr>
          <w:szCs w:val="21"/>
        </w:rPr>
        <w:t>http://isotope.open.ac.uk/?q=node/565</w:t>
      </w:r>
      <w:r>
        <w:rPr>
          <w:szCs w:val="21"/>
        </w:rPr>
        <w:t xml:space="preserve"> (accessed January 2010)</w:t>
      </w:r>
    </w:p>
    <w:p w:rsidR="000F63D7" w:rsidRPr="00CD0A94" w:rsidRDefault="000F63D7" w:rsidP="000F63D7">
      <w:pPr>
        <w:pStyle w:val="Bibliography"/>
      </w:pPr>
      <w:r>
        <w:lastRenderedPageBreak/>
        <w:t xml:space="preserve">Irwin, A. (2008) ‘Risk, science and public communication: third-order thinking about scientific culture’ in </w:t>
      </w:r>
      <w:r>
        <w:rPr>
          <w:i/>
        </w:rPr>
        <w:t>Handbook of public communication of science and technology</w:t>
      </w:r>
      <w:r>
        <w:t xml:space="preserve"> M. Bucchi and B. Lewenstein (Eds). London: Routledge</w:t>
      </w:r>
    </w:p>
    <w:p w:rsidR="000F63D7" w:rsidRPr="00485F73" w:rsidRDefault="000F63D7" w:rsidP="000F63D7">
      <w:pPr>
        <w:pStyle w:val="Bibliography"/>
      </w:pPr>
      <w:r>
        <w:t xml:space="preserve">Jasanoff, S. (2003) Technologies of humility: citizen participation in governing science. </w:t>
      </w:r>
      <w:r>
        <w:rPr>
          <w:i/>
        </w:rPr>
        <w:t>Minerva</w:t>
      </w:r>
      <w:r>
        <w:t xml:space="preserve"> 41 (3) 223</w:t>
      </w:r>
    </w:p>
    <w:p w:rsidR="004911F4" w:rsidRPr="004911F4" w:rsidRDefault="004911F4" w:rsidP="000F63D7">
      <w:pPr>
        <w:pStyle w:val="Bibliography"/>
      </w:pPr>
      <w:r>
        <w:t xml:space="preserve">JournalSeek (2010) </w:t>
      </w:r>
      <w:r>
        <w:rPr>
          <w:i/>
        </w:rPr>
        <w:t xml:space="preserve">Genamics JournalSeek </w:t>
      </w:r>
      <w:r>
        <w:t xml:space="preserve">[online]. Available from </w:t>
      </w:r>
      <w:r w:rsidR="001E2254" w:rsidRPr="001E2254">
        <w:t>http://journalseek.net/</w:t>
      </w:r>
      <w:r>
        <w:t xml:space="preserve"> (Accessed July 2010)</w:t>
      </w:r>
    </w:p>
    <w:p w:rsidR="000F63D7" w:rsidRPr="00F01EE2" w:rsidRDefault="000F63D7" w:rsidP="000F63D7">
      <w:pPr>
        <w:pStyle w:val="Bibliography"/>
      </w:pPr>
      <w:r w:rsidRPr="00EB7020">
        <w:t>Leadbe</w:t>
      </w:r>
      <w:r>
        <w:t>a</w:t>
      </w:r>
      <w:r w:rsidRPr="00EB7020">
        <w:t>ter</w:t>
      </w:r>
      <w:r>
        <w:t>, C. and</w:t>
      </w:r>
      <w:r w:rsidRPr="00EB7020">
        <w:t xml:space="preserve"> Miller</w:t>
      </w:r>
      <w:r>
        <w:t xml:space="preserve">, </w:t>
      </w:r>
      <w:r w:rsidR="002B1AEF">
        <w:t>P.</w:t>
      </w:r>
      <w:r w:rsidR="00793171">
        <w:t xml:space="preserve"> </w:t>
      </w:r>
      <w:r>
        <w:t xml:space="preserve">(2004) </w:t>
      </w:r>
      <w:r w:rsidRPr="007B7AAD">
        <w:rPr>
          <w:i/>
        </w:rPr>
        <w:t>The pro-am revolution: how enthusiasts are changing our economy and society.</w:t>
      </w:r>
      <w:r>
        <w:t xml:space="preserve"> London: Demos.</w:t>
      </w:r>
    </w:p>
    <w:p w:rsidR="000F63D7" w:rsidRDefault="000F63D7" w:rsidP="000F63D7">
      <w:pPr>
        <w:pStyle w:val="Bibliography"/>
      </w:pPr>
      <w:r w:rsidRPr="0096382B">
        <w:t xml:space="preserve">McCallie, E., Bell, L., Lohwater, T., Falk, J., Lewenstein, B., Needham, C. and Wiehe, B. (2009) </w:t>
      </w:r>
      <w:r w:rsidRPr="0096382B">
        <w:rPr>
          <w:i/>
        </w:rPr>
        <w:t>Many Experts, Many Audiences: Public Engagement with Science and Informal Science Education. A CAISE Inquiry Group Report</w:t>
      </w:r>
      <w:r w:rsidRPr="0096382B">
        <w:t>. Washington DC: Center for Advancement of Informal Science Education (CAISE)</w:t>
      </w:r>
    </w:p>
    <w:p w:rsidR="000F63D7" w:rsidRPr="00E537D1" w:rsidRDefault="000F63D7" w:rsidP="000F63D7">
      <w:pPr>
        <w:pStyle w:val="Bibliography"/>
      </w:pPr>
      <w:r w:rsidRPr="00580682">
        <w:t>Nature</w:t>
      </w:r>
      <w:r>
        <w:t xml:space="preserve"> </w:t>
      </w:r>
      <w:r w:rsidR="00580682">
        <w:t xml:space="preserve">(2006) Nature’s </w:t>
      </w:r>
      <w:r w:rsidR="00580682">
        <w:rPr>
          <w:i/>
        </w:rPr>
        <w:t xml:space="preserve">trial of open peer </w:t>
      </w:r>
      <w:r w:rsidR="00580682" w:rsidRPr="00580682">
        <w:rPr>
          <w:i/>
        </w:rPr>
        <w:t>review</w:t>
      </w:r>
      <w:r>
        <w:t xml:space="preserve">. </w:t>
      </w:r>
      <w:r w:rsidRPr="00580682">
        <w:t>Nature</w:t>
      </w:r>
      <w:r w:rsidR="00580682">
        <w:t xml:space="preserve"> </w:t>
      </w:r>
      <w:r w:rsidR="00580682" w:rsidRPr="00580682">
        <w:t>doi:10.1038/nature05535</w:t>
      </w:r>
      <w:r w:rsidR="00580682">
        <w:t xml:space="preserve"> [online].</w:t>
      </w:r>
      <w:r w:rsidR="008F1E24">
        <w:t xml:space="preserve"> </w:t>
      </w:r>
      <w:r w:rsidR="00580682">
        <w:t>Available from go.nature.com/N67mFk</w:t>
      </w:r>
      <w:r w:rsidR="008F1E24">
        <w:t xml:space="preserve"> (Accessed December 2009)</w:t>
      </w:r>
    </w:p>
    <w:p w:rsidR="000F63D7" w:rsidRPr="00B05A24" w:rsidRDefault="000F63D7" w:rsidP="000F63D7">
      <w:pPr>
        <w:pStyle w:val="Bibliography"/>
      </w:pPr>
      <w:r>
        <w:t xml:space="preserve">Neilsen, M. (2009) Doing science in the open. </w:t>
      </w:r>
      <w:r>
        <w:rPr>
          <w:i/>
        </w:rPr>
        <w:t>Physics World</w:t>
      </w:r>
      <w:r>
        <w:t xml:space="preserve"> 22 (5) 30</w:t>
      </w:r>
    </w:p>
    <w:p w:rsidR="000F63D7" w:rsidRDefault="000F63D7" w:rsidP="000F63D7">
      <w:pPr>
        <w:pStyle w:val="Bibliography"/>
      </w:pPr>
      <w:r w:rsidRPr="0096382B">
        <w:t xml:space="preserve">Neylon, C. and Wu, S. (2009) Open Science: Tools, Approaches and Implications. </w:t>
      </w:r>
      <w:r w:rsidRPr="0096382B">
        <w:rPr>
          <w:i/>
        </w:rPr>
        <w:t>Pacific Symposium on Biocomputing</w:t>
      </w:r>
      <w:r w:rsidRPr="0096382B">
        <w:t xml:space="preserve"> pp 540-544</w:t>
      </w:r>
    </w:p>
    <w:p w:rsidR="000F63D7" w:rsidRPr="00D55A57" w:rsidRDefault="000F63D7" w:rsidP="000F63D7">
      <w:pPr>
        <w:pStyle w:val="Bibliography"/>
      </w:pPr>
      <w:r>
        <w:t xml:space="preserve">Neylon, C. (2010) </w:t>
      </w:r>
      <w:r>
        <w:rPr>
          <w:i/>
        </w:rPr>
        <w:t xml:space="preserve">What should social software for science look like? </w:t>
      </w:r>
      <w:r>
        <w:t>[online]</w:t>
      </w:r>
      <w:r w:rsidR="008F1E24">
        <w:t>.</w:t>
      </w:r>
      <w:r>
        <w:t xml:space="preserve"> Available from </w:t>
      </w:r>
      <w:r w:rsidRPr="00D55A57">
        <w:t>http://blog.openwetware.org/scienceintheopen</w:t>
      </w:r>
      <w:r>
        <w:rPr>
          <w:rFonts w:eastAsia="Times New Roman"/>
        </w:rPr>
        <w:t>. (Accessed January 2010)</w:t>
      </w:r>
    </w:p>
    <w:p w:rsidR="002001FD" w:rsidRPr="002001FD" w:rsidRDefault="002001FD" w:rsidP="002001FD">
      <w:pPr>
        <w:pStyle w:val="Bibliography"/>
      </w:pPr>
      <w:r>
        <w:t xml:space="preserve">Open Science (2010) </w:t>
      </w:r>
      <w:r>
        <w:rPr>
          <w:i/>
        </w:rPr>
        <w:t xml:space="preserve">The Open Science Project </w:t>
      </w:r>
      <w:r>
        <w:t>[online]</w:t>
      </w:r>
      <w:r w:rsidR="00DB56C7">
        <w:t>.</w:t>
      </w:r>
      <w:r>
        <w:t xml:space="preserve"> Available from </w:t>
      </w:r>
      <w:r w:rsidRPr="002001FD">
        <w:t>www.openscience.org</w:t>
      </w:r>
      <w:r>
        <w:t xml:space="preserve"> (Accessed March 2010)</w:t>
      </w:r>
    </w:p>
    <w:p w:rsidR="00DB56C7" w:rsidRPr="00DB56C7" w:rsidRDefault="00DB56C7" w:rsidP="000F63D7">
      <w:pPr>
        <w:pStyle w:val="Bibliography"/>
      </w:pPr>
      <w:r>
        <w:t xml:space="preserve">OpenWetWare (2010) </w:t>
      </w:r>
      <w:r>
        <w:rPr>
          <w:i/>
        </w:rPr>
        <w:t>OpenWetWare</w:t>
      </w:r>
      <w:r>
        <w:t xml:space="preserve"> [online]. Available from </w:t>
      </w:r>
      <w:r w:rsidR="00D46257" w:rsidRPr="00D46257">
        <w:t>http://openwetware.org/wiki</w:t>
      </w:r>
      <w:r w:rsidR="00D46257">
        <w:t xml:space="preserve"> (Accessed March 2010)</w:t>
      </w:r>
    </w:p>
    <w:p w:rsidR="000F63D7" w:rsidRDefault="000F63D7" w:rsidP="000F63D7">
      <w:pPr>
        <w:pStyle w:val="Bibliography"/>
      </w:pPr>
      <w:r>
        <w:t xml:space="preserve">Poliakoff, E. &amp; Webb, T. (2007) </w:t>
      </w:r>
      <w:r w:rsidRPr="00F01EE2">
        <w:t>What factors predict scientists’ intentions to participate in public engagement activities?</w:t>
      </w:r>
      <w:r>
        <w:t xml:space="preserve"> </w:t>
      </w:r>
      <w:r w:rsidRPr="00F01EE2">
        <w:rPr>
          <w:i/>
        </w:rPr>
        <w:t>Science Communication</w:t>
      </w:r>
      <w:r w:rsidRPr="00273AF9">
        <w:t xml:space="preserve">. </w:t>
      </w:r>
      <w:r w:rsidRPr="00F01EE2">
        <w:t>29</w:t>
      </w:r>
      <w:r>
        <w:t xml:space="preserve"> (2) 242</w:t>
      </w:r>
    </w:p>
    <w:p w:rsidR="000F63D7" w:rsidRDefault="000F63D7" w:rsidP="000F63D7">
      <w:pPr>
        <w:pStyle w:val="Bibliography"/>
      </w:pPr>
      <w:r w:rsidRPr="00532D50">
        <w:t xml:space="preserve">Poynder, R. (2008) </w:t>
      </w:r>
      <w:r w:rsidRPr="00196D61">
        <w:rPr>
          <w:i/>
        </w:rPr>
        <w:t>Open University studies open access to research</w:t>
      </w:r>
      <w:r w:rsidRPr="00532D50">
        <w:t xml:space="preserve">. </w:t>
      </w:r>
      <w:r>
        <w:t xml:space="preserve">[online] </w:t>
      </w:r>
      <w:r w:rsidRPr="00532D50">
        <w:t>Compu</w:t>
      </w:r>
      <w:r>
        <w:t xml:space="preserve">terWeekly.com, 10/3/08. </w:t>
      </w:r>
      <w:r w:rsidRPr="00532D50">
        <w:t>Available from</w:t>
      </w:r>
      <w:r>
        <w:t>:</w:t>
      </w:r>
      <w:r w:rsidRPr="00532D50">
        <w:t xml:space="preserve"> </w:t>
      </w:r>
      <w:r w:rsidRPr="00D145F3">
        <w:t>www.computerweekly.com/Articles/2008/03/10/229777/open-university-studies-open-access-to-research.htm</w:t>
      </w:r>
      <w:r>
        <w:t xml:space="preserve"> (Accessed April 2009)</w:t>
      </w:r>
    </w:p>
    <w:p w:rsidR="00E538C7" w:rsidRDefault="00E538C7" w:rsidP="00E538C7">
      <w:pPr>
        <w:pStyle w:val="Bibliography"/>
      </w:pPr>
      <w:r>
        <w:t xml:space="preserve">Research Councils UK (2009) </w:t>
      </w:r>
      <w:r>
        <w:rPr>
          <w:i/>
        </w:rPr>
        <w:t xml:space="preserve">Access to research outputs </w:t>
      </w:r>
      <w:r>
        <w:t xml:space="preserve">[online]. Available from </w:t>
      </w:r>
      <w:r w:rsidRPr="00E538C7">
        <w:t>www.rcuk.ac.uk/access/default.htm</w:t>
      </w:r>
      <w:r>
        <w:t xml:space="preserve"> (Accessed May 2010)</w:t>
      </w:r>
    </w:p>
    <w:p w:rsidR="003E4AED" w:rsidRPr="003E4AED" w:rsidRDefault="003E4AED" w:rsidP="003E4AED">
      <w:pPr>
        <w:pStyle w:val="Bibliography"/>
      </w:pPr>
      <w:r>
        <w:t xml:space="preserve">Research Information Network (2010) </w:t>
      </w:r>
      <w:r>
        <w:rPr>
          <w:i/>
        </w:rPr>
        <w:t>Peer Review: a guide for researchers</w:t>
      </w:r>
      <w:r>
        <w:t xml:space="preserve"> [online]. Available from </w:t>
      </w:r>
      <w:r w:rsidR="008F0D16" w:rsidRPr="008F0D16">
        <w:t>www.rin.ac.uk/our-work/communicating-and-disseminating-research/peer-review-guide-researchers</w:t>
      </w:r>
      <w:r w:rsidR="008F0D16">
        <w:t xml:space="preserve"> (Accessed March 2010)</w:t>
      </w:r>
    </w:p>
    <w:p w:rsidR="00245CD4" w:rsidRDefault="00245CD4" w:rsidP="00245CD4">
      <w:pPr>
        <w:pStyle w:val="Bibliography"/>
      </w:pPr>
      <w:bookmarkStart w:id="4" w:name="OLE_LINK3"/>
      <w:bookmarkStart w:id="5" w:name="OLE_LINK4"/>
      <w:r>
        <w:t xml:space="preserve">Rowe, G., Marsh, R, and Frewer, L. (2004) Evaluation of a deliberative conference. </w:t>
      </w:r>
      <w:r w:rsidRPr="00245CD4">
        <w:rPr>
          <w:i/>
        </w:rPr>
        <w:t>Science</w:t>
      </w:r>
      <w:r>
        <w:rPr>
          <w:i/>
        </w:rPr>
        <w:t>, Technology and Human Values</w:t>
      </w:r>
      <w:r>
        <w:t>. 29 (1) 88</w:t>
      </w:r>
    </w:p>
    <w:p w:rsidR="0099737C" w:rsidRDefault="0099737C" w:rsidP="0099737C">
      <w:pPr>
        <w:pStyle w:val="Bibliography"/>
      </w:pPr>
      <w:r>
        <w:t>Royal Society, Wellcome Trust and RCUK (2006)</w:t>
      </w:r>
      <w:r>
        <w:rPr>
          <w:i/>
        </w:rPr>
        <w:t xml:space="preserve"> </w:t>
      </w:r>
      <w:r w:rsidRPr="007B7AAD">
        <w:rPr>
          <w:i/>
        </w:rPr>
        <w:t xml:space="preserve">Science </w:t>
      </w:r>
      <w:r>
        <w:rPr>
          <w:i/>
        </w:rPr>
        <w:t>c</w:t>
      </w:r>
      <w:r w:rsidRPr="007B7AAD">
        <w:rPr>
          <w:i/>
        </w:rPr>
        <w:t>ommunication: a survey of factors affecting science communication by scientists and engineers</w:t>
      </w:r>
      <w:r>
        <w:t>. London: Royal Society</w:t>
      </w:r>
    </w:p>
    <w:bookmarkEnd w:id="4"/>
    <w:bookmarkEnd w:id="5"/>
    <w:p w:rsidR="000F63D7" w:rsidRPr="00D45FD4" w:rsidRDefault="000F63D7" w:rsidP="000F63D7">
      <w:pPr>
        <w:pStyle w:val="Bibliography"/>
      </w:pPr>
      <w:r>
        <w:t xml:space="preserve">Science Commons (2008) </w:t>
      </w:r>
      <w:r>
        <w:rPr>
          <w:i/>
        </w:rPr>
        <w:t xml:space="preserve">Principles for open science </w:t>
      </w:r>
      <w:r>
        <w:t xml:space="preserve">[online]. Available from </w:t>
      </w:r>
      <w:r w:rsidRPr="00D45FD4">
        <w:t>www.sciencecommons.org/resources/readingroom/principles-for-open-science</w:t>
      </w:r>
      <w:r>
        <w:t xml:space="preserve"> (Accessed December 2009)</w:t>
      </w:r>
    </w:p>
    <w:p w:rsidR="000F63D7" w:rsidRPr="00E16FE9" w:rsidRDefault="000F63D7" w:rsidP="000F63D7">
      <w:pPr>
        <w:pStyle w:val="Bibliography"/>
      </w:pPr>
      <w:r>
        <w:lastRenderedPageBreak/>
        <w:t xml:space="preserve">Silvertown, J. (2009) A new dawn for citizen science </w:t>
      </w:r>
      <w:r>
        <w:rPr>
          <w:i/>
        </w:rPr>
        <w:t>Trends in ecology and evolution</w:t>
      </w:r>
      <w:r>
        <w:t xml:space="preserve"> 2009.03.017</w:t>
      </w:r>
    </w:p>
    <w:p w:rsidR="000F63D7" w:rsidRDefault="000F63D7" w:rsidP="000F63D7">
      <w:pPr>
        <w:pStyle w:val="Bibliography"/>
      </w:pPr>
      <w:r w:rsidRPr="0096382B">
        <w:t xml:space="preserve">Smolin, L. (2008) </w:t>
      </w:r>
      <w:r w:rsidRPr="0096382B">
        <w:rPr>
          <w:i/>
        </w:rPr>
        <w:t>Perimeter Institute Recorded Archive</w:t>
      </w:r>
      <w:r w:rsidRPr="0096382B">
        <w:t xml:space="preserve"> PIRSA #08090035 </w:t>
      </w:r>
      <w:r>
        <w:t xml:space="preserve">[online]. Available from: </w:t>
      </w:r>
      <w:r w:rsidRPr="00023AF7">
        <w:t xml:space="preserve">http://pirsa.org/08090035 </w:t>
      </w:r>
      <w:r>
        <w:t>(</w:t>
      </w:r>
      <w:r w:rsidRPr="00023AF7">
        <w:t>Accessed April 2009</w:t>
      </w:r>
      <w:r>
        <w:t>)</w:t>
      </w:r>
    </w:p>
    <w:p w:rsidR="000F63D7" w:rsidRPr="00CA08FD" w:rsidRDefault="000F63D7" w:rsidP="000F63D7">
      <w:pPr>
        <w:pStyle w:val="Bibliography"/>
      </w:pPr>
      <w:r>
        <w:t xml:space="preserve">Stilgoe, J. and Wilsdon, R. (2009) ‘The new politics of public engagement with science’ in in </w:t>
      </w:r>
      <w:r>
        <w:rPr>
          <w:i/>
        </w:rPr>
        <w:t>Investigating science communication in the information age</w:t>
      </w:r>
      <w:r>
        <w:t xml:space="preserve"> Holliman </w:t>
      </w:r>
      <w:r w:rsidR="00A14966" w:rsidRPr="00A14966">
        <w:rPr>
          <w:i/>
        </w:rPr>
        <w:t xml:space="preserve">et al </w:t>
      </w:r>
      <w:r>
        <w:t>(Eds). Oxford: Oxford University Press</w:t>
      </w:r>
      <w:r>
        <w:rPr>
          <w:i/>
        </w:rPr>
        <w:t xml:space="preserve"> </w:t>
      </w:r>
    </w:p>
    <w:p w:rsidR="000F63D7" w:rsidRDefault="000F63D7" w:rsidP="000F63D7">
      <w:pPr>
        <w:pStyle w:val="Bibliography"/>
      </w:pPr>
      <w:r>
        <w:t xml:space="preserve">Strauss, A. and Corbin, J. (1990) </w:t>
      </w:r>
      <w:r>
        <w:rPr>
          <w:i/>
        </w:rPr>
        <w:t xml:space="preserve">Basics of qualitative research. </w:t>
      </w:r>
      <w:r>
        <w:t>Newbury Park, CA: Sage</w:t>
      </w:r>
    </w:p>
    <w:p w:rsidR="000F63D7" w:rsidRDefault="000F63D7" w:rsidP="000F63D7">
      <w:pPr>
        <w:pStyle w:val="Bibliography"/>
      </w:pPr>
      <w:r>
        <w:t xml:space="preserve">Suber, </w:t>
      </w:r>
      <w:r w:rsidR="002B1AEF">
        <w:t>P.</w:t>
      </w:r>
      <w:r w:rsidR="00793171">
        <w:t xml:space="preserve"> </w:t>
      </w:r>
      <w:r>
        <w:t xml:space="preserve">(2004) </w:t>
      </w:r>
      <w:r>
        <w:rPr>
          <w:i/>
        </w:rPr>
        <w:t xml:space="preserve">Open Access Overview </w:t>
      </w:r>
      <w:r w:rsidRPr="00196D61">
        <w:t>[online]</w:t>
      </w:r>
      <w:r>
        <w:t xml:space="preserve">. Available from </w:t>
      </w:r>
      <w:r w:rsidRPr="00C819F0">
        <w:t>www.earlham.edu/~peters/fos/overview.htm</w:t>
      </w:r>
      <w:r>
        <w:t>. (Accessed November 2009)</w:t>
      </w:r>
    </w:p>
    <w:p w:rsidR="006E6B30" w:rsidRPr="00012E54" w:rsidRDefault="006E6B30" w:rsidP="00012E54">
      <w:pPr>
        <w:pStyle w:val="Bibliography"/>
      </w:pPr>
      <w:r>
        <w:t>Symbrion/Replicator European Research Community</w:t>
      </w:r>
      <w:r w:rsidR="00012E54">
        <w:t xml:space="preserve"> (2010) </w:t>
      </w:r>
      <w:r w:rsidR="00012E54">
        <w:rPr>
          <w:i/>
        </w:rPr>
        <w:t>Home page</w:t>
      </w:r>
      <w:r w:rsidR="00012E54">
        <w:t xml:space="preserve"> [online]. Available from </w:t>
      </w:r>
      <w:r w:rsidR="00012E54" w:rsidRPr="00012E54">
        <w:t>www.symbrion.eu</w:t>
      </w:r>
      <w:r w:rsidR="00012E54">
        <w:t xml:space="preserve">. (Accessed </w:t>
      </w:r>
      <w:r w:rsidR="003574A1">
        <w:t>June</w:t>
      </w:r>
      <w:r w:rsidR="00012E54">
        <w:t xml:space="preserve"> 2010)</w:t>
      </w:r>
    </w:p>
    <w:p w:rsidR="000F63D7" w:rsidRPr="00DE2661" w:rsidRDefault="000F63D7" w:rsidP="000F63D7">
      <w:pPr>
        <w:pStyle w:val="Bibliography"/>
      </w:pPr>
      <w:r w:rsidRPr="00DE2661">
        <w:t>Vogel G. Picking Up the Pieces After Hwang.</w:t>
      </w:r>
      <w:r w:rsidRPr="00A1444B">
        <w:rPr>
          <w:szCs w:val="17"/>
        </w:rPr>
        <w:t> </w:t>
      </w:r>
      <w:r w:rsidRPr="004C4087">
        <w:rPr>
          <w:i/>
        </w:rPr>
        <w:t>Science</w:t>
      </w:r>
      <w:r w:rsidRPr="00A1444B">
        <w:rPr>
          <w:szCs w:val="17"/>
        </w:rPr>
        <w:t> </w:t>
      </w:r>
      <w:r w:rsidRPr="00DE2661">
        <w:t>[online]. April 28, 2006;</w:t>
      </w:r>
      <w:r w:rsidR="001C41A9">
        <w:t xml:space="preserve"> </w:t>
      </w:r>
      <w:r w:rsidRPr="00DE2661">
        <w:t>312</w:t>
      </w:r>
      <w:r w:rsidR="001C41A9">
        <w:t xml:space="preserve"> (5773) </w:t>
      </w:r>
      <w:r w:rsidRPr="00DE2661">
        <w:t>516-517. Available from: Education Research Complete, Ipswic</w:t>
      </w:r>
      <w:r w:rsidR="00A03D44">
        <w:t>h, MA. (Accessed December 2009)</w:t>
      </w:r>
    </w:p>
    <w:p w:rsidR="000F63D7" w:rsidRDefault="000F63D7" w:rsidP="000F63D7">
      <w:pPr>
        <w:pStyle w:val="Bibliography"/>
      </w:pPr>
      <w:r>
        <w:t xml:space="preserve">Waldrop, M. (2008) Science 2.0 – is Open Access Science the Future? </w:t>
      </w:r>
      <w:r>
        <w:rPr>
          <w:i/>
        </w:rPr>
        <w:t>Scientific American</w:t>
      </w:r>
      <w:r>
        <w:t xml:space="preserve"> (online) April 2008. Available from </w:t>
      </w:r>
      <w:r w:rsidRPr="00BE3CB7">
        <w:t>www.scientificamerican.com/article.cfm?id=science-2-point-0</w:t>
      </w:r>
      <w:r>
        <w:t xml:space="preserve"> </w:t>
      </w:r>
      <w:r w:rsidR="002102CF">
        <w:t>(</w:t>
      </w:r>
      <w:r>
        <w:t>Accessed May 2009</w:t>
      </w:r>
      <w:r w:rsidR="001C41A9">
        <w:t>)</w:t>
      </w:r>
    </w:p>
    <w:p w:rsidR="002102CF" w:rsidRPr="002102CF" w:rsidRDefault="002102CF" w:rsidP="002102CF">
      <w:pPr>
        <w:pStyle w:val="Bibliography"/>
      </w:pPr>
      <w:r>
        <w:t xml:space="preserve">Walking with Robots (2010) </w:t>
      </w:r>
      <w:r>
        <w:rPr>
          <w:i/>
        </w:rPr>
        <w:t>About Walking with Robots</w:t>
      </w:r>
      <w:r>
        <w:t xml:space="preserve"> [online]. Available from </w:t>
      </w:r>
      <w:r w:rsidRPr="002102CF">
        <w:t>www.walkingwithrobots.org/about/index.php</w:t>
      </w:r>
      <w:r>
        <w:t xml:space="preserve"> (Accessed July 2010)</w:t>
      </w:r>
    </w:p>
    <w:sectPr w:rsidR="002102CF" w:rsidRPr="002102CF" w:rsidSect="00A857A9">
      <w:footerReference w:type="default" r:id="rId8"/>
      <w:footerReference w:type="first" r:id="rId9"/>
      <w:footnotePr>
        <w:numFmt w:val="chicago"/>
      </w:footnotePr>
      <w:type w:val="continuous"/>
      <w:pgSz w:w="11906" w:h="16838" w:code="9"/>
      <w:pgMar w:top="1440" w:right="1440" w:bottom="1440"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6F" w:rsidRDefault="0072126F" w:rsidP="00D423F9">
      <w:pPr>
        <w:spacing w:after="0"/>
      </w:pPr>
      <w:r>
        <w:separator/>
      </w:r>
    </w:p>
  </w:endnote>
  <w:endnote w:type="continuationSeparator" w:id="0">
    <w:p w:rsidR="0072126F" w:rsidRDefault="0072126F" w:rsidP="00D423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409"/>
      <w:docPartObj>
        <w:docPartGallery w:val="Page Numbers (Bottom of Page)"/>
        <w:docPartUnique/>
      </w:docPartObj>
    </w:sdtPr>
    <w:sdtContent>
      <w:p w:rsidR="002102CF" w:rsidRDefault="00417B69">
        <w:pPr>
          <w:pStyle w:val="Footer"/>
          <w:jc w:val="center"/>
        </w:pPr>
        <w:fldSimple w:instr=" PAGE   \* MERGEFORMAT ">
          <w:r w:rsidR="00552C85">
            <w:rPr>
              <w:noProof/>
            </w:rPr>
            <w:t>13</w:t>
          </w:r>
        </w:fldSimple>
      </w:p>
    </w:sdtContent>
  </w:sdt>
  <w:p w:rsidR="002102CF" w:rsidRDefault="002102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CF" w:rsidRDefault="002102CF">
    <w:pPr>
      <w:pStyle w:val="Footer"/>
      <w:jc w:val="center"/>
    </w:pPr>
  </w:p>
  <w:p w:rsidR="002102CF" w:rsidRDefault="00210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6F" w:rsidRDefault="0072126F" w:rsidP="00D423F9">
      <w:pPr>
        <w:spacing w:after="0"/>
      </w:pPr>
      <w:r>
        <w:separator/>
      </w:r>
    </w:p>
  </w:footnote>
  <w:footnote w:type="continuationSeparator" w:id="0">
    <w:p w:rsidR="0072126F" w:rsidRDefault="0072126F" w:rsidP="00D423F9">
      <w:pPr>
        <w:spacing w:after="0"/>
      </w:pPr>
      <w:r>
        <w:continuationSeparator/>
      </w:r>
    </w:p>
  </w:footnote>
  <w:footnote w:id="1">
    <w:p w:rsidR="002102CF" w:rsidRDefault="002102CF">
      <w:pPr>
        <w:pStyle w:val="FootnoteText"/>
      </w:pPr>
      <w:r>
        <w:rPr>
          <w:rStyle w:val="FootnoteReference"/>
        </w:rPr>
        <w:footnoteRef/>
      </w:r>
      <w:r>
        <w:t xml:space="preserve"> Science Communication Unit, University of the West of England, Bristol, UK</w:t>
      </w:r>
    </w:p>
  </w:footnote>
  <w:footnote w:id="2">
    <w:p w:rsidR="002102CF" w:rsidRDefault="002102CF">
      <w:pPr>
        <w:pStyle w:val="FootnoteText"/>
      </w:pPr>
      <w:r>
        <w:rPr>
          <w:rStyle w:val="FootnoteReference"/>
        </w:rPr>
        <w:footnoteRef/>
      </w:r>
      <w:r>
        <w:t xml:space="preserve"> Bristol Robotics Laboratory, Bristol, UK</w:t>
      </w:r>
    </w:p>
  </w:footnote>
  <w:footnote w:id="3">
    <w:p w:rsidR="002102CF" w:rsidRPr="009A6AFC" w:rsidRDefault="002102CF" w:rsidP="007664BC">
      <w:pPr>
        <w:pStyle w:val="Footer"/>
      </w:pPr>
      <w:r w:rsidRPr="009A6AFC">
        <w:rPr>
          <w:rStyle w:val="FootnoteReference"/>
          <w:vertAlign w:val="baseline"/>
        </w:rPr>
        <w:footnoteRef/>
      </w:r>
      <w:r w:rsidRPr="009A6AFC">
        <w:t xml:space="preserve"> </w:t>
      </w:r>
      <w:r w:rsidRPr="009A6AFC">
        <w:rPr>
          <w:rStyle w:val="EndnoteReference"/>
          <w:vertAlign w:val="baseline"/>
        </w:rPr>
        <w:t>Targeting one member of a population (often but not always a difficult-to-reach group) and asking them to connect the researcher with another member of the group, then asking that new member to do the same until the sample is complete</w:t>
      </w:r>
      <w:r w:rsidRPr="009A6AFC">
        <w:t xml:space="preserve"> (Denscombe, 2005, </w:t>
      </w:r>
      <w:r>
        <w:t>p.</w:t>
      </w:r>
      <w:r w:rsidRPr="009A6AFC">
        <w:t>16)</w:t>
      </w:r>
    </w:p>
  </w:footnote>
  <w:footnote w:id="4">
    <w:p w:rsidR="002102CF" w:rsidRDefault="002102CF" w:rsidP="007664BC">
      <w:pPr>
        <w:pStyle w:val="Footer"/>
      </w:pPr>
      <w:r w:rsidRPr="009A6AFC">
        <w:rPr>
          <w:rStyle w:val="FootnoteReference"/>
          <w:vertAlign w:val="baseline"/>
        </w:rPr>
        <w:footnoteRef/>
      </w:r>
      <w:r w:rsidRPr="009A6AFC">
        <w:t xml:space="preserve"> </w:t>
      </w:r>
      <w:r w:rsidRPr="009A6AFC">
        <w:rPr>
          <w:rStyle w:val="EndnoteReference"/>
          <w:vertAlign w:val="baseline"/>
        </w:rPr>
        <w:t>Using readily-available participants, such as people already known to the researcher, members of the research team, colleagues, etc</w:t>
      </w:r>
      <w:r w:rsidRPr="009A6AFC">
        <w:t xml:space="preserve">. (Denscombe, 2005, </w:t>
      </w:r>
      <w:r>
        <w:t>p.</w:t>
      </w:r>
      <w:r w:rsidRPr="009A6AFC">
        <w:t>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71A7"/>
    <w:multiLevelType w:val="hybridMultilevel"/>
    <w:tmpl w:val="CF42ADB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C122E33"/>
    <w:multiLevelType w:val="hybridMultilevel"/>
    <w:tmpl w:val="239EA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CC636A"/>
    <w:multiLevelType w:val="hybridMultilevel"/>
    <w:tmpl w:val="4E96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3F5D8E"/>
    <w:multiLevelType w:val="multilevel"/>
    <w:tmpl w:val="491AF74E"/>
    <w:lvl w:ilvl="0">
      <w:start w:val="1"/>
      <w:numFmt w:val="decimal"/>
      <w:pStyle w:val="Sectionhead"/>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19297F38"/>
    <w:multiLevelType w:val="hybridMultilevel"/>
    <w:tmpl w:val="B98C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EB22EC"/>
    <w:multiLevelType w:val="hybridMultilevel"/>
    <w:tmpl w:val="C870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F4A69"/>
    <w:multiLevelType w:val="multilevel"/>
    <w:tmpl w:val="4ED488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169640C"/>
    <w:multiLevelType w:val="hybridMultilevel"/>
    <w:tmpl w:val="DDB29226"/>
    <w:lvl w:ilvl="0" w:tplc="08090001">
      <w:start w:val="1"/>
      <w:numFmt w:val="bullet"/>
      <w:lvlText w:val=""/>
      <w:lvlJc w:val="left"/>
      <w:pPr>
        <w:tabs>
          <w:tab w:val="num" w:pos="720"/>
        </w:tabs>
        <w:ind w:left="720" w:hanging="360"/>
      </w:pPr>
      <w:rPr>
        <w:rFonts w:ascii="Symbol" w:hAnsi="Symbol" w:hint="default"/>
      </w:rPr>
    </w:lvl>
    <w:lvl w:ilvl="1" w:tplc="55D2BA68">
      <w:start w:val="1"/>
      <w:numFmt w:val="bullet"/>
      <w:lvlText w:val="o"/>
      <w:lvlJc w:val="left"/>
      <w:pPr>
        <w:tabs>
          <w:tab w:val="num" w:pos="1647"/>
        </w:tabs>
        <w:ind w:left="1647" w:hanging="567"/>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535485"/>
    <w:multiLevelType w:val="hybridMultilevel"/>
    <w:tmpl w:val="DED07AA2"/>
    <w:lvl w:ilvl="0" w:tplc="08090001">
      <w:start w:val="1"/>
      <w:numFmt w:val="bullet"/>
      <w:lvlText w:val=""/>
      <w:lvlJc w:val="left"/>
      <w:pPr>
        <w:tabs>
          <w:tab w:val="num" w:pos="720"/>
        </w:tabs>
        <w:ind w:left="720" w:hanging="360"/>
      </w:pPr>
      <w:rPr>
        <w:rFonts w:ascii="Symbol" w:hAnsi="Symbol" w:hint="default"/>
      </w:rPr>
    </w:lvl>
    <w:lvl w:ilvl="1" w:tplc="55D2BA68">
      <w:start w:val="1"/>
      <w:numFmt w:val="bullet"/>
      <w:lvlText w:val="o"/>
      <w:lvlJc w:val="left"/>
      <w:pPr>
        <w:tabs>
          <w:tab w:val="num" w:pos="1647"/>
        </w:tabs>
        <w:ind w:left="1647" w:hanging="567"/>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4A1191"/>
    <w:multiLevelType w:val="hybridMultilevel"/>
    <w:tmpl w:val="2FB499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7FE1076"/>
    <w:multiLevelType w:val="hybridMultilevel"/>
    <w:tmpl w:val="6FBC1F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nsid w:val="4B0A7797"/>
    <w:multiLevelType w:val="hybridMultilevel"/>
    <w:tmpl w:val="CC8A5562"/>
    <w:lvl w:ilvl="0" w:tplc="36560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1D5AA7"/>
    <w:multiLevelType w:val="hybridMultilevel"/>
    <w:tmpl w:val="3490FC88"/>
    <w:lvl w:ilvl="0" w:tplc="22DA4F3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5B368D1"/>
    <w:multiLevelType w:val="hybridMultilevel"/>
    <w:tmpl w:val="BFD2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876589"/>
    <w:multiLevelType w:val="hybridMultilevel"/>
    <w:tmpl w:val="B9F6A8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DF41175"/>
    <w:multiLevelType w:val="hybridMultilevel"/>
    <w:tmpl w:val="D6A6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61333"/>
    <w:multiLevelType w:val="hybridMultilevel"/>
    <w:tmpl w:val="93EEA658"/>
    <w:lvl w:ilvl="0" w:tplc="6C06ADF2">
      <w:start w:val="1"/>
      <w:numFmt w:val="decimal"/>
      <w:lvlText w:val="%1.1"/>
      <w:lvlJc w:val="left"/>
      <w:pPr>
        <w:ind w:left="1374" w:hanging="360"/>
      </w:pPr>
      <w:rPr>
        <w:rFonts w:hint="default"/>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17">
    <w:nsid w:val="60160595"/>
    <w:multiLevelType w:val="hybridMultilevel"/>
    <w:tmpl w:val="B31AA1F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nsid w:val="65762811"/>
    <w:multiLevelType w:val="hybridMultilevel"/>
    <w:tmpl w:val="BEC88C5C"/>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9">
    <w:nsid w:val="6A882E3E"/>
    <w:multiLevelType w:val="hybridMultilevel"/>
    <w:tmpl w:val="6A944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04548EA"/>
    <w:multiLevelType w:val="hybridMultilevel"/>
    <w:tmpl w:val="79DA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A93B7C"/>
    <w:multiLevelType w:val="hybridMultilevel"/>
    <w:tmpl w:val="7C4CD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803560A"/>
    <w:multiLevelType w:val="hybridMultilevel"/>
    <w:tmpl w:val="2FB499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96143CB"/>
    <w:multiLevelType w:val="hybridMultilevel"/>
    <w:tmpl w:val="1C40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C3359C"/>
    <w:multiLevelType w:val="multilevel"/>
    <w:tmpl w:val="1EFE51F6"/>
    <w:lvl w:ilvl="0">
      <w:start w:val="1"/>
      <w:numFmt w:val="decimal"/>
      <w:lvlText w:val="%1.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5"/>
  </w:num>
  <w:num w:numId="3">
    <w:abstractNumId w:val="20"/>
  </w:num>
  <w:num w:numId="4">
    <w:abstractNumId w:val="18"/>
  </w:num>
  <w:num w:numId="5">
    <w:abstractNumId w:val="4"/>
  </w:num>
  <w:num w:numId="6">
    <w:abstractNumId w:val="2"/>
  </w:num>
  <w:num w:numId="7">
    <w:abstractNumId w:val="23"/>
  </w:num>
  <w:num w:numId="8">
    <w:abstractNumId w:val="22"/>
  </w:num>
  <w:num w:numId="9">
    <w:abstractNumId w:val="9"/>
  </w:num>
  <w:num w:numId="10">
    <w:abstractNumId w:val="13"/>
  </w:num>
  <w:num w:numId="11">
    <w:abstractNumId w:val="15"/>
  </w:num>
  <w:num w:numId="12">
    <w:abstractNumId w:val="17"/>
  </w:num>
  <w:num w:numId="13">
    <w:abstractNumId w:val="0"/>
  </w:num>
  <w:num w:numId="14">
    <w:abstractNumId w:val="10"/>
  </w:num>
  <w:num w:numId="15">
    <w:abstractNumId w:val="6"/>
  </w:num>
  <w:num w:numId="16">
    <w:abstractNumId w:val="24"/>
  </w:num>
  <w:num w:numId="17">
    <w:abstractNumId w:val="24"/>
    <w:lvlOverride w:ilvl="0">
      <w:startOverride w:val="1"/>
    </w:lvlOverride>
  </w:num>
  <w:num w:numId="18">
    <w:abstractNumId w:val="24"/>
  </w:num>
  <w:num w:numId="19">
    <w:abstractNumId w:val="11"/>
  </w:num>
  <w:num w:numId="20">
    <w:abstractNumId w:val="11"/>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24"/>
    <w:lvlOverride w:ilvl="0">
      <w:startOverride w:val="1"/>
    </w:lvlOverride>
  </w:num>
  <w:num w:numId="2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2"/>
    </w:lvlOverride>
    <w:lvlOverride w:ilvl="1">
      <w:startOverride w:val="3"/>
    </w:lvlOverride>
  </w:num>
  <w:num w:numId="29">
    <w:abstractNumId w:val="24"/>
    <w:lvlOverride w:ilvl="0">
      <w:startOverride w:val="1"/>
    </w:lvlOverride>
    <w:lvlOverride w:ilvl="1">
      <w:startOverride w:val="2"/>
    </w:lvlOverride>
  </w:num>
  <w:num w:numId="30">
    <w:abstractNumId w:val="19"/>
  </w:num>
  <w:num w:numId="31">
    <w:abstractNumId w:val="24"/>
  </w:num>
  <w:num w:numId="32">
    <w:abstractNumId w:val="14"/>
  </w:num>
  <w:num w:numId="33">
    <w:abstractNumId w:val="8"/>
  </w:num>
  <w:num w:numId="34">
    <w:abstractNumId w:val="21"/>
  </w:num>
  <w:num w:numId="35">
    <w:abstractNumId w:val="1"/>
  </w:num>
  <w:num w:numId="36">
    <w:abstractNumId w:val="7"/>
  </w:num>
  <w:num w:numId="37">
    <w:abstractNumId w:val="24"/>
  </w:num>
  <w:num w:numId="38">
    <w:abstractNumId w:val="3"/>
  </w:num>
  <w:num w:numId="39">
    <w:abstractNumId w:val="16"/>
  </w:num>
  <w:num w:numId="40">
    <w:abstractNumId w:val="3"/>
    <w:lvlOverride w:ilvl="0">
      <w:startOverride w:val="1"/>
    </w:lvlOverride>
    <w:lvlOverride w:ilvl="1">
      <w:startOverride w:val="1"/>
    </w:lvlOverride>
  </w:num>
  <w:num w:numId="41">
    <w:abstractNumId w:val="3"/>
    <w:lvlOverride w:ilvl="0">
      <w:startOverride w:val="2"/>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20"/>
  <w:drawingGridHorizontalSpacing w:val="110"/>
  <w:displayHorizontalDrawingGridEvery w:val="2"/>
  <w:characterSpacingControl w:val="doNotCompress"/>
  <w:hdrShapeDefaults>
    <o:shapedefaults v:ext="edit" spidmax="64514"/>
  </w:hdrShapeDefaults>
  <w:footnotePr>
    <w:numFmt w:val="chicago"/>
    <w:footnote w:id="-1"/>
    <w:footnote w:id="0"/>
  </w:footnotePr>
  <w:endnotePr>
    <w:endnote w:id="-1"/>
    <w:endnote w:id="0"/>
  </w:endnotePr>
  <w:compat/>
  <w:rsids>
    <w:rsidRoot w:val="00727AA5"/>
    <w:rsid w:val="000014D4"/>
    <w:rsid w:val="0000160A"/>
    <w:rsid w:val="00002337"/>
    <w:rsid w:val="00002488"/>
    <w:rsid w:val="0000336B"/>
    <w:rsid w:val="0000390F"/>
    <w:rsid w:val="00011329"/>
    <w:rsid w:val="00012E54"/>
    <w:rsid w:val="00013717"/>
    <w:rsid w:val="00013EAA"/>
    <w:rsid w:val="00017E5F"/>
    <w:rsid w:val="00020938"/>
    <w:rsid w:val="000229E3"/>
    <w:rsid w:val="00023AF7"/>
    <w:rsid w:val="00023C26"/>
    <w:rsid w:val="000243AA"/>
    <w:rsid w:val="000244E4"/>
    <w:rsid w:val="00025C01"/>
    <w:rsid w:val="00031ADC"/>
    <w:rsid w:val="00034003"/>
    <w:rsid w:val="00036422"/>
    <w:rsid w:val="0003666E"/>
    <w:rsid w:val="00044094"/>
    <w:rsid w:val="000450C2"/>
    <w:rsid w:val="00046412"/>
    <w:rsid w:val="00046E4A"/>
    <w:rsid w:val="00047B00"/>
    <w:rsid w:val="00050522"/>
    <w:rsid w:val="000509B9"/>
    <w:rsid w:val="0005413A"/>
    <w:rsid w:val="00061BE9"/>
    <w:rsid w:val="000636EA"/>
    <w:rsid w:val="0006487A"/>
    <w:rsid w:val="00074C66"/>
    <w:rsid w:val="0007778F"/>
    <w:rsid w:val="000801DC"/>
    <w:rsid w:val="0008178D"/>
    <w:rsid w:val="00084233"/>
    <w:rsid w:val="00090861"/>
    <w:rsid w:val="00092A3C"/>
    <w:rsid w:val="0009382C"/>
    <w:rsid w:val="00095004"/>
    <w:rsid w:val="000973B8"/>
    <w:rsid w:val="0009759A"/>
    <w:rsid w:val="00097F6F"/>
    <w:rsid w:val="000A1343"/>
    <w:rsid w:val="000A6AEE"/>
    <w:rsid w:val="000B0B3D"/>
    <w:rsid w:val="000B2064"/>
    <w:rsid w:val="000B22C9"/>
    <w:rsid w:val="000B3CBB"/>
    <w:rsid w:val="000B3ED5"/>
    <w:rsid w:val="000B654C"/>
    <w:rsid w:val="000C1C5F"/>
    <w:rsid w:val="000C6E9B"/>
    <w:rsid w:val="000E1657"/>
    <w:rsid w:val="000E612B"/>
    <w:rsid w:val="000E6615"/>
    <w:rsid w:val="000F0140"/>
    <w:rsid w:val="000F06B2"/>
    <w:rsid w:val="000F1D68"/>
    <w:rsid w:val="000F32AB"/>
    <w:rsid w:val="000F3738"/>
    <w:rsid w:val="000F52AE"/>
    <w:rsid w:val="000F63D7"/>
    <w:rsid w:val="000F6A5F"/>
    <w:rsid w:val="00101CC9"/>
    <w:rsid w:val="00102C1B"/>
    <w:rsid w:val="00106C7B"/>
    <w:rsid w:val="00107A01"/>
    <w:rsid w:val="00110DA9"/>
    <w:rsid w:val="001126E9"/>
    <w:rsid w:val="00115A13"/>
    <w:rsid w:val="00120248"/>
    <w:rsid w:val="001205C0"/>
    <w:rsid w:val="00122C64"/>
    <w:rsid w:val="00122D1B"/>
    <w:rsid w:val="00124EA8"/>
    <w:rsid w:val="00127F22"/>
    <w:rsid w:val="00130157"/>
    <w:rsid w:val="00132336"/>
    <w:rsid w:val="00132A03"/>
    <w:rsid w:val="00134102"/>
    <w:rsid w:val="00134861"/>
    <w:rsid w:val="00134CA8"/>
    <w:rsid w:val="0015210E"/>
    <w:rsid w:val="00152B20"/>
    <w:rsid w:val="0015380E"/>
    <w:rsid w:val="001621C0"/>
    <w:rsid w:val="00167D9F"/>
    <w:rsid w:val="001700FF"/>
    <w:rsid w:val="00171A90"/>
    <w:rsid w:val="00177306"/>
    <w:rsid w:val="0017754C"/>
    <w:rsid w:val="00190B33"/>
    <w:rsid w:val="00190FB1"/>
    <w:rsid w:val="0019515F"/>
    <w:rsid w:val="00195F48"/>
    <w:rsid w:val="00196D61"/>
    <w:rsid w:val="001A1075"/>
    <w:rsid w:val="001A4B0C"/>
    <w:rsid w:val="001B1E7F"/>
    <w:rsid w:val="001C193D"/>
    <w:rsid w:val="001C2D23"/>
    <w:rsid w:val="001C3F5A"/>
    <w:rsid w:val="001C41A9"/>
    <w:rsid w:val="001C74BB"/>
    <w:rsid w:val="001D0812"/>
    <w:rsid w:val="001D5A50"/>
    <w:rsid w:val="001D6853"/>
    <w:rsid w:val="001E2254"/>
    <w:rsid w:val="001F02A7"/>
    <w:rsid w:val="001F1C54"/>
    <w:rsid w:val="001F1D68"/>
    <w:rsid w:val="001F26DA"/>
    <w:rsid w:val="001F4682"/>
    <w:rsid w:val="001F5F59"/>
    <w:rsid w:val="002001FD"/>
    <w:rsid w:val="0020023B"/>
    <w:rsid w:val="00202634"/>
    <w:rsid w:val="002038FA"/>
    <w:rsid w:val="002049B2"/>
    <w:rsid w:val="002102CF"/>
    <w:rsid w:val="002115EC"/>
    <w:rsid w:val="00212B2A"/>
    <w:rsid w:val="00213A58"/>
    <w:rsid w:val="002154C1"/>
    <w:rsid w:val="0021754D"/>
    <w:rsid w:val="0022073B"/>
    <w:rsid w:val="00220CE8"/>
    <w:rsid w:val="00221036"/>
    <w:rsid w:val="00221200"/>
    <w:rsid w:val="00223DB5"/>
    <w:rsid w:val="00234046"/>
    <w:rsid w:val="00234371"/>
    <w:rsid w:val="00234EE7"/>
    <w:rsid w:val="00236B14"/>
    <w:rsid w:val="00240CE5"/>
    <w:rsid w:val="00241AAA"/>
    <w:rsid w:val="00244866"/>
    <w:rsid w:val="00245CD4"/>
    <w:rsid w:val="00250658"/>
    <w:rsid w:val="002521DF"/>
    <w:rsid w:val="0026229C"/>
    <w:rsid w:val="0026557A"/>
    <w:rsid w:val="002727BF"/>
    <w:rsid w:val="00274456"/>
    <w:rsid w:val="002818EC"/>
    <w:rsid w:val="00281B49"/>
    <w:rsid w:val="002855F4"/>
    <w:rsid w:val="002906B9"/>
    <w:rsid w:val="00293435"/>
    <w:rsid w:val="00293CF5"/>
    <w:rsid w:val="00294602"/>
    <w:rsid w:val="00294F42"/>
    <w:rsid w:val="002951DB"/>
    <w:rsid w:val="0029612B"/>
    <w:rsid w:val="002A0FB6"/>
    <w:rsid w:val="002A1656"/>
    <w:rsid w:val="002A2442"/>
    <w:rsid w:val="002B1AEF"/>
    <w:rsid w:val="002B1AFE"/>
    <w:rsid w:val="002B60B0"/>
    <w:rsid w:val="002C2BD3"/>
    <w:rsid w:val="002C3DCB"/>
    <w:rsid w:val="002C6804"/>
    <w:rsid w:val="002D3BF7"/>
    <w:rsid w:val="002D4701"/>
    <w:rsid w:val="002D60D8"/>
    <w:rsid w:val="002D67FC"/>
    <w:rsid w:val="002E1DC6"/>
    <w:rsid w:val="002E277B"/>
    <w:rsid w:val="002E547D"/>
    <w:rsid w:val="002E5673"/>
    <w:rsid w:val="002E631D"/>
    <w:rsid w:val="002E63DD"/>
    <w:rsid w:val="002E67A5"/>
    <w:rsid w:val="002F0718"/>
    <w:rsid w:val="002F081C"/>
    <w:rsid w:val="002F4942"/>
    <w:rsid w:val="002F557E"/>
    <w:rsid w:val="002F6585"/>
    <w:rsid w:val="002F7326"/>
    <w:rsid w:val="002F7C92"/>
    <w:rsid w:val="002F7CFB"/>
    <w:rsid w:val="00303738"/>
    <w:rsid w:val="00311826"/>
    <w:rsid w:val="00313FEF"/>
    <w:rsid w:val="00315CC1"/>
    <w:rsid w:val="00316A4C"/>
    <w:rsid w:val="0032154F"/>
    <w:rsid w:val="003218A8"/>
    <w:rsid w:val="003225B7"/>
    <w:rsid w:val="003326F4"/>
    <w:rsid w:val="003333E8"/>
    <w:rsid w:val="003345E6"/>
    <w:rsid w:val="003404A0"/>
    <w:rsid w:val="00345FD7"/>
    <w:rsid w:val="00353006"/>
    <w:rsid w:val="003540AF"/>
    <w:rsid w:val="00354674"/>
    <w:rsid w:val="00355BFC"/>
    <w:rsid w:val="00356707"/>
    <w:rsid w:val="003574A1"/>
    <w:rsid w:val="00357910"/>
    <w:rsid w:val="003616B8"/>
    <w:rsid w:val="0036408E"/>
    <w:rsid w:val="00370D3B"/>
    <w:rsid w:val="003734AE"/>
    <w:rsid w:val="00375E4D"/>
    <w:rsid w:val="00380A1B"/>
    <w:rsid w:val="00381B41"/>
    <w:rsid w:val="00384504"/>
    <w:rsid w:val="0038454C"/>
    <w:rsid w:val="00386585"/>
    <w:rsid w:val="00386705"/>
    <w:rsid w:val="00390CA6"/>
    <w:rsid w:val="003948D6"/>
    <w:rsid w:val="00397D97"/>
    <w:rsid w:val="003A1055"/>
    <w:rsid w:val="003A3245"/>
    <w:rsid w:val="003A65F2"/>
    <w:rsid w:val="003A6B95"/>
    <w:rsid w:val="003A6CD7"/>
    <w:rsid w:val="003A6CEA"/>
    <w:rsid w:val="003A7CF4"/>
    <w:rsid w:val="003A7D0D"/>
    <w:rsid w:val="003B0CC6"/>
    <w:rsid w:val="003B57DE"/>
    <w:rsid w:val="003B65D9"/>
    <w:rsid w:val="003B66AD"/>
    <w:rsid w:val="003C2736"/>
    <w:rsid w:val="003C38A1"/>
    <w:rsid w:val="003C6D1D"/>
    <w:rsid w:val="003C71E5"/>
    <w:rsid w:val="003C748A"/>
    <w:rsid w:val="003C7AAB"/>
    <w:rsid w:val="003D0B65"/>
    <w:rsid w:val="003D20CB"/>
    <w:rsid w:val="003E1635"/>
    <w:rsid w:val="003E1F65"/>
    <w:rsid w:val="003E4AED"/>
    <w:rsid w:val="003E5643"/>
    <w:rsid w:val="003E618E"/>
    <w:rsid w:val="003E6F3C"/>
    <w:rsid w:val="003E7780"/>
    <w:rsid w:val="003F04DB"/>
    <w:rsid w:val="003F3A10"/>
    <w:rsid w:val="003F5553"/>
    <w:rsid w:val="003F616A"/>
    <w:rsid w:val="003F6694"/>
    <w:rsid w:val="00407D1A"/>
    <w:rsid w:val="00410337"/>
    <w:rsid w:val="0041076A"/>
    <w:rsid w:val="00413DA7"/>
    <w:rsid w:val="00415C15"/>
    <w:rsid w:val="00417B69"/>
    <w:rsid w:val="00420F58"/>
    <w:rsid w:val="00423D77"/>
    <w:rsid w:val="004249AD"/>
    <w:rsid w:val="00425D71"/>
    <w:rsid w:val="00432AC8"/>
    <w:rsid w:val="004349D3"/>
    <w:rsid w:val="004350B9"/>
    <w:rsid w:val="00442EFC"/>
    <w:rsid w:val="00443AC5"/>
    <w:rsid w:val="00443BD6"/>
    <w:rsid w:val="00445DFE"/>
    <w:rsid w:val="0044715F"/>
    <w:rsid w:val="00450B10"/>
    <w:rsid w:val="00451CBE"/>
    <w:rsid w:val="00452CDC"/>
    <w:rsid w:val="00453562"/>
    <w:rsid w:val="004604FE"/>
    <w:rsid w:val="00462E38"/>
    <w:rsid w:val="0046416D"/>
    <w:rsid w:val="004645B8"/>
    <w:rsid w:val="00470A6D"/>
    <w:rsid w:val="00471AD1"/>
    <w:rsid w:val="00474137"/>
    <w:rsid w:val="004743DE"/>
    <w:rsid w:val="00484152"/>
    <w:rsid w:val="00485F73"/>
    <w:rsid w:val="004911F4"/>
    <w:rsid w:val="004960B4"/>
    <w:rsid w:val="004965DA"/>
    <w:rsid w:val="004A1B5B"/>
    <w:rsid w:val="004A275F"/>
    <w:rsid w:val="004A2A95"/>
    <w:rsid w:val="004A34E9"/>
    <w:rsid w:val="004A50B9"/>
    <w:rsid w:val="004A6724"/>
    <w:rsid w:val="004A6F48"/>
    <w:rsid w:val="004B418A"/>
    <w:rsid w:val="004B4837"/>
    <w:rsid w:val="004B6430"/>
    <w:rsid w:val="004C0638"/>
    <w:rsid w:val="004C0864"/>
    <w:rsid w:val="004C3338"/>
    <w:rsid w:val="004C4087"/>
    <w:rsid w:val="004C47C8"/>
    <w:rsid w:val="004C4D30"/>
    <w:rsid w:val="004C51DB"/>
    <w:rsid w:val="004C7CE4"/>
    <w:rsid w:val="004D07F4"/>
    <w:rsid w:val="004D18B2"/>
    <w:rsid w:val="004D3F16"/>
    <w:rsid w:val="004D4D35"/>
    <w:rsid w:val="004D59C1"/>
    <w:rsid w:val="004D5D4A"/>
    <w:rsid w:val="004E05E6"/>
    <w:rsid w:val="004E323C"/>
    <w:rsid w:val="004E504F"/>
    <w:rsid w:val="004E5BBC"/>
    <w:rsid w:val="004E7E94"/>
    <w:rsid w:val="004F12BF"/>
    <w:rsid w:val="004F1C76"/>
    <w:rsid w:val="004F2F9E"/>
    <w:rsid w:val="004F33CC"/>
    <w:rsid w:val="00500DE3"/>
    <w:rsid w:val="00500E03"/>
    <w:rsid w:val="00502C56"/>
    <w:rsid w:val="00504C7B"/>
    <w:rsid w:val="00506475"/>
    <w:rsid w:val="0050743A"/>
    <w:rsid w:val="0050754D"/>
    <w:rsid w:val="00512C1A"/>
    <w:rsid w:val="005132E7"/>
    <w:rsid w:val="0051621B"/>
    <w:rsid w:val="0052020F"/>
    <w:rsid w:val="005206CC"/>
    <w:rsid w:val="00521222"/>
    <w:rsid w:val="00525307"/>
    <w:rsid w:val="0053041A"/>
    <w:rsid w:val="00532D50"/>
    <w:rsid w:val="00540B7B"/>
    <w:rsid w:val="00544F51"/>
    <w:rsid w:val="00551239"/>
    <w:rsid w:val="00551A66"/>
    <w:rsid w:val="00551F02"/>
    <w:rsid w:val="00552C85"/>
    <w:rsid w:val="00557185"/>
    <w:rsid w:val="005625D4"/>
    <w:rsid w:val="005632E2"/>
    <w:rsid w:val="005645E0"/>
    <w:rsid w:val="00566B60"/>
    <w:rsid w:val="00571419"/>
    <w:rsid w:val="005805E2"/>
    <w:rsid w:val="00580682"/>
    <w:rsid w:val="00581952"/>
    <w:rsid w:val="00581DC6"/>
    <w:rsid w:val="00582037"/>
    <w:rsid w:val="00583D3B"/>
    <w:rsid w:val="00585006"/>
    <w:rsid w:val="00586A50"/>
    <w:rsid w:val="00590373"/>
    <w:rsid w:val="00591B5F"/>
    <w:rsid w:val="00593C4B"/>
    <w:rsid w:val="005B695E"/>
    <w:rsid w:val="005B69D4"/>
    <w:rsid w:val="005C2463"/>
    <w:rsid w:val="005C27DC"/>
    <w:rsid w:val="005C4A3C"/>
    <w:rsid w:val="005C65BD"/>
    <w:rsid w:val="005C65EA"/>
    <w:rsid w:val="005C7EFF"/>
    <w:rsid w:val="005D17E7"/>
    <w:rsid w:val="005D30CB"/>
    <w:rsid w:val="005D48A4"/>
    <w:rsid w:val="005D4948"/>
    <w:rsid w:val="005D6767"/>
    <w:rsid w:val="005E14F0"/>
    <w:rsid w:val="005E73DE"/>
    <w:rsid w:val="005F6DDD"/>
    <w:rsid w:val="00600483"/>
    <w:rsid w:val="00601969"/>
    <w:rsid w:val="00605992"/>
    <w:rsid w:val="00616D82"/>
    <w:rsid w:val="00617E64"/>
    <w:rsid w:val="0062085C"/>
    <w:rsid w:val="00620A90"/>
    <w:rsid w:val="006210C0"/>
    <w:rsid w:val="006218A7"/>
    <w:rsid w:val="006263F5"/>
    <w:rsid w:val="00626C64"/>
    <w:rsid w:val="006314ED"/>
    <w:rsid w:val="006326D1"/>
    <w:rsid w:val="00636AB8"/>
    <w:rsid w:val="00636E34"/>
    <w:rsid w:val="00641059"/>
    <w:rsid w:val="00642CDA"/>
    <w:rsid w:val="006431BA"/>
    <w:rsid w:val="00644DA3"/>
    <w:rsid w:val="00645855"/>
    <w:rsid w:val="00652FAA"/>
    <w:rsid w:val="00653B68"/>
    <w:rsid w:val="00664081"/>
    <w:rsid w:val="006669B0"/>
    <w:rsid w:val="0067130E"/>
    <w:rsid w:val="00675108"/>
    <w:rsid w:val="006755F0"/>
    <w:rsid w:val="006807AD"/>
    <w:rsid w:val="006828F2"/>
    <w:rsid w:val="00686C93"/>
    <w:rsid w:val="00690147"/>
    <w:rsid w:val="00691749"/>
    <w:rsid w:val="00691C4D"/>
    <w:rsid w:val="00694181"/>
    <w:rsid w:val="00694E3E"/>
    <w:rsid w:val="0069737B"/>
    <w:rsid w:val="006A22A9"/>
    <w:rsid w:val="006A4013"/>
    <w:rsid w:val="006A76DD"/>
    <w:rsid w:val="006B2832"/>
    <w:rsid w:val="006B399E"/>
    <w:rsid w:val="006B4895"/>
    <w:rsid w:val="006B4D6A"/>
    <w:rsid w:val="006B67F9"/>
    <w:rsid w:val="006C26F4"/>
    <w:rsid w:val="006C4E89"/>
    <w:rsid w:val="006C57E3"/>
    <w:rsid w:val="006C5C53"/>
    <w:rsid w:val="006C69B9"/>
    <w:rsid w:val="006D0662"/>
    <w:rsid w:val="006D2086"/>
    <w:rsid w:val="006E4361"/>
    <w:rsid w:val="006E6B30"/>
    <w:rsid w:val="006F1017"/>
    <w:rsid w:val="006F43DE"/>
    <w:rsid w:val="007005BB"/>
    <w:rsid w:val="007044F3"/>
    <w:rsid w:val="00706CAB"/>
    <w:rsid w:val="00706DC6"/>
    <w:rsid w:val="007131B5"/>
    <w:rsid w:val="0071625F"/>
    <w:rsid w:val="0071720C"/>
    <w:rsid w:val="007178A4"/>
    <w:rsid w:val="00717BD9"/>
    <w:rsid w:val="0072126F"/>
    <w:rsid w:val="00724A7A"/>
    <w:rsid w:val="00727AA5"/>
    <w:rsid w:val="00731208"/>
    <w:rsid w:val="007314AA"/>
    <w:rsid w:val="00732A0C"/>
    <w:rsid w:val="007345BC"/>
    <w:rsid w:val="00735992"/>
    <w:rsid w:val="0074094D"/>
    <w:rsid w:val="00740BFE"/>
    <w:rsid w:val="007418D1"/>
    <w:rsid w:val="0074243E"/>
    <w:rsid w:val="00746816"/>
    <w:rsid w:val="00746BB8"/>
    <w:rsid w:val="00760F95"/>
    <w:rsid w:val="00761601"/>
    <w:rsid w:val="007664BC"/>
    <w:rsid w:val="0077100B"/>
    <w:rsid w:val="00776880"/>
    <w:rsid w:val="00782704"/>
    <w:rsid w:val="00783F79"/>
    <w:rsid w:val="00784A3C"/>
    <w:rsid w:val="00787B10"/>
    <w:rsid w:val="00790C3B"/>
    <w:rsid w:val="00790D10"/>
    <w:rsid w:val="00791EA9"/>
    <w:rsid w:val="00793171"/>
    <w:rsid w:val="007B1163"/>
    <w:rsid w:val="007B476E"/>
    <w:rsid w:val="007B69B7"/>
    <w:rsid w:val="007B7AAD"/>
    <w:rsid w:val="007C29BB"/>
    <w:rsid w:val="007C2BF9"/>
    <w:rsid w:val="007C4155"/>
    <w:rsid w:val="007C5600"/>
    <w:rsid w:val="007C6104"/>
    <w:rsid w:val="007C622B"/>
    <w:rsid w:val="007D2151"/>
    <w:rsid w:val="007D2E8E"/>
    <w:rsid w:val="007D79A2"/>
    <w:rsid w:val="007E426A"/>
    <w:rsid w:val="007E5E1F"/>
    <w:rsid w:val="007F0E6A"/>
    <w:rsid w:val="007F1462"/>
    <w:rsid w:val="007F2F7B"/>
    <w:rsid w:val="007F7136"/>
    <w:rsid w:val="00805859"/>
    <w:rsid w:val="00806834"/>
    <w:rsid w:val="00807747"/>
    <w:rsid w:val="008141F7"/>
    <w:rsid w:val="008145E1"/>
    <w:rsid w:val="00815F54"/>
    <w:rsid w:val="00824B3D"/>
    <w:rsid w:val="00825A04"/>
    <w:rsid w:val="0082601E"/>
    <w:rsid w:val="00831DF3"/>
    <w:rsid w:val="00833465"/>
    <w:rsid w:val="00840404"/>
    <w:rsid w:val="00841A21"/>
    <w:rsid w:val="00844F62"/>
    <w:rsid w:val="008476CA"/>
    <w:rsid w:val="00851FDE"/>
    <w:rsid w:val="00853CB7"/>
    <w:rsid w:val="00853CF5"/>
    <w:rsid w:val="00853F2B"/>
    <w:rsid w:val="0085422B"/>
    <w:rsid w:val="008573FF"/>
    <w:rsid w:val="00857ACE"/>
    <w:rsid w:val="00860A64"/>
    <w:rsid w:val="008612EF"/>
    <w:rsid w:val="0086179C"/>
    <w:rsid w:val="008625D3"/>
    <w:rsid w:val="00863165"/>
    <w:rsid w:val="008658BB"/>
    <w:rsid w:val="00866DD4"/>
    <w:rsid w:val="008711C6"/>
    <w:rsid w:val="0087544B"/>
    <w:rsid w:val="008757D2"/>
    <w:rsid w:val="00883999"/>
    <w:rsid w:val="00883CD4"/>
    <w:rsid w:val="0088499C"/>
    <w:rsid w:val="00885BB4"/>
    <w:rsid w:val="008A56BD"/>
    <w:rsid w:val="008A591F"/>
    <w:rsid w:val="008B1108"/>
    <w:rsid w:val="008B144A"/>
    <w:rsid w:val="008B3D3E"/>
    <w:rsid w:val="008B43D5"/>
    <w:rsid w:val="008B5899"/>
    <w:rsid w:val="008B6099"/>
    <w:rsid w:val="008B6CC8"/>
    <w:rsid w:val="008B7517"/>
    <w:rsid w:val="008C05AC"/>
    <w:rsid w:val="008C1ADD"/>
    <w:rsid w:val="008C2CBE"/>
    <w:rsid w:val="008C3A9C"/>
    <w:rsid w:val="008C3ACA"/>
    <w:rsid w:val="008C5532"/>
    <w:rsid w:val="008D113B"/>
    <w:rsid w:val="008D1BD8"/>
    <w:rsid w:val="008D5796"/>
    <w:rsid w:val="008D6126"/>
    <w:rsid w:val="008D69EF"/>
    <w:rsid w:val="008D7117"/>
    <w:rsid w:val="008E2F5D"/>
    <w:rsid w:val="008E4D87"/>
    <w:rsid w:val="008E7382"/>
    <w:rsid w:val="008E7972"/>
    <w:rsid w:val="008F0D16"/>
    <w:rsid w:val="008F1E24"/>
    <w:rsid w:val="008F28C2"/>
    <w:rsid w:val="008F2EEF"/>
    <w:rsid w:val="008F714F"/>
    <w:rsid w:val="00903E9F"/>
    <w:rsid w:val="00906303"/>
    <w:rsid w:val="00911851"/>
    <w:rsid w:val="00911DB8"/>
    <w:rsid w:val="00920F6C"/>
    <w:rsid w:val="00922F34"/>
    <w:rsid w:val="00923372"/>
    <w:rsid w:val="0092388F"/>
    <w:rsid w:val="009313E2"/>
    <w:rsid w:val="00940EFD"/>
    <w:rsid w:val="00941D96"/>
    <w:rsid w:val="00943B13"/>
    <w:rsid w:val="009521E8"/>
    <w:rsid w:val="0096382B"/>
    <w:rsid w:val="009644A0"/>
    <w:rsid w:val="00964B09"/>
    <w:rsid w:val="009675DF"/>
    <w:rsid w:val="009701D2"/>
    <w:rsid w:val="0097536E"/>
    <w:rsid w:val="00975B59"/>
    <w:rsid w:val="0098146B"/>
    <w:rsid w:val="00981685"/>
    <w:rsid w:val="00991C8F"/>
    <w:rsid w:val="00995D52"/>
    <w:rsid w:val="0099737C"/>
    <w:rsid w:val="00997FE9"/>
    <w:rsid w:val="009A0497"/>
    <w:rsid w:val="009A3535"/>
    <w:rsid w:val="009A3B23"/>
    <w:rsid w:val="009A6AFC"/>
    <w:rsid w:val="009B0DE8"/>
    <w:rsid w:val="009B0F9C"/>
    <w:rsid w:val="009B290F"/>
    <w:rsid w:val="009B7A51"/>
    <w:rsid w:val="009B7E59"/>
    <w:rsid w:val="009D14AE"/>
    <w:rsid w:val="009D1BD7"/>
    <w:rsid w:val="009D4760"/>
    <w:rsid w:val="009D582C"/>
    <w:rsid w:val="009E06DF"/>
    <w:rsid w:val="009E1182"/>
    <w:rsid w:val="009E280B"/>
    <w:rsid w:val="009E6177"/>
    <w:rsid w:val="009F01BE"/>
    <w:rsid w:val="009F07AC"/>
    <w:rsid w:val="009F0FFA"/>
    <w:rsid w:val="009F37DA"/>
    <w:rsid w:val="009F4B6F"/>
    <w:rsid w:val="009F5F65"/>
    <w:rsid w:val="009F6BBC"/>
    <w:rsid w:val="00A001A3"/>
    <w:rsid w:val="00A0318B"/>
    <w:rsid w:val="00A03D44"/>
    <w:rsid w:val="00A054F3"/>
    <w:rsid w:val="00A05B5D"/>
    <w:rsid w:val="00A06AAB"/>
    <w:rsid w:val="00A1444B"/>
    <w:rsid w:val="00A14966"/>
    <w:rsid w:val="00A15817"/>
    <w:rsid w:val="00A16D86"/>
    <w:rsid w:val="00A2258C"/>
    <w:rsid w:val="00A24980"/>
    <w:rsid w:val="00A24E1A"/>
    <w:rsid w:val="00A34A13"/>
    <w:rsid w:val="00A35EFE"/>
    <w:rsid w:val="00A43300"/>
    <w:rsid w:val="00A44093"/>
    <w:rsid w:val="00A44838"/>
    <w:rsid w:val="00A4730C"/>
    <w:rsid w:val="00A47674"/>
    <w:rsid w:val="00A47DEE"/>
    <w:rsid w:val="00A6015F"/>
    <w:rsid w:val="00A61D7B"/>
    <w:rsid w:val="00A61FEF"/>
    <w:rsid w:val="00A755E0"/>
    <w:rsid w:val="00A766E7"/>
    <w:rsid w:val="00A768BE"/>
    <w:rsid w:val="00A83958"/>
    <w:rsid w:val="00A839FF"/>
    <w:rsid w:val="00A84F17"/>
    <w:rsid w:val="00A857A9"/>
    <w:rsid w:val="00A90C84"/>
    <w:rsid w:val="00A9102F"/>
    <w:rsid w:val="00A91791"/>
    <w:rsid w:val="00A91B6D"/>
    <w:rsid w:val="00A92F6A"/>
    <w:rsid w:val="00A943B4"/>
    <w:rsid w:val="00AA1D22"/>
    <w:rsid w:val="00AA3306"/>
    <w:rsid w:val="00AA5B33"/>
    <w:rsid w:val="00AA71FE"/>
    <w:rsid w:val="00AA7F25"/>
    <w:rsid w:val="00AB0901"/>
    <w:rsid w:val="00AB5398"/>
    <w:rsid w:val="00AB5E97"/>
    <w:rsid w:val="00AB69F1"/>
    <w:rsid w:val="00AB6E3B"/>
    <w:rsid w:val="00AB727E"/>
    <w:rsid w:val="00AB7EB3"/>
    <w:rsid w:val="00AC1551"/>
    <w:rsid w:val="00AC222E"/>
    <w:rsid w:val="00AC5E78"/>
    <w:rsid w:val="00AD6499"/>
    <w:rsid w:val="00AE22DB"/>
    <w:rsid w:val="00AE28DC"/>
    <w:rsid w:val="00AE638E"/>
    <w:rsid w:val="00AE709C"/>
    <w:rsid w:val="00AE7B4E"/>
    <w:rsid w:val="00AF07F8"/>
    <w:rsid w:val="00AF26E7"/>
    <w:rsid w:val="00AF55C9"/>
    <w:rsid w:val="00B00986"/>
    <w:rsid w:val="00B025D2"/>
    <w:rsid w:val="00B05E5D"/>
    <w:rsid w:val="00B07CF1"/>
    <w:rsid w:val="00B10ACF"/>
    <w:rsid w:val="00B14752"/>
    <w:rsid w:val="00B16D68"/>
    <w:rsid w:val="00B201E9"/>
    <w:rsid w:val="00B23A91"/>
    <w:rsid w:val="00B24F5C"/>
    <w:rsid w:val="00B317D2"/>
    <w:rsid w:val="00B31923"/>
    <w:rsid w:val="00B33600"/>
    <w:rsid w:val="00B34474"/>
    <w:rsid w:val="00B43380"/>
    <w:rsid w:val="00B4441F"/>
    <w:rsid w:val="00B4713E"/>
    <w:rsid w:val="00B50D2B"/>
    <w:rsid w:val="00B5143F"/>
    <w:rsid w:val="00B60A37"/>
    <w:rsid w:val="00B61574"/>
    <w:rsid w:val="00B66A81"/>
    <w:rsid w:val="00B723EA"/>
    <w:rsid w:val="00B72575"/>
    <w:rsid w:val="00B73B1C"/>
    <w:rsid w:val="00B7610E"/>
    <w:rsid w:val="00B81691"/>
    <w:rsid w:val="00B82B53"/>
    <w:rsid w:val="00B84E5B"/>
    <w:rsid w:val="00B85281"/>
    <w:rsid w:val="00B853B4"/>
    <w:rsid w:val="00B85875"/>
    <w:rsid w:val="00B87B75"/>
    <w:rsid w:val="00B90F47"/>
    <w:rsid w:val="00B95B8A"/>
    <w:rsid w:val="00BA4FE4"/>
    <w:rsid w:val="00BB0DAC"/>
    <w:rsid w:val="00BB13EA"/>
    <w:rsid w:val="00BB25AF"/>
    <w:rsid w:val="00BB4721"/>
    <w:rsid w:val="00BB70C3"/>
    <w:rsid w:val="00BC32F2"/>
    <w:rsid w:val="00BC3789"/>
    <w:rsid w:val="00BC5756"/>
    <w:rsid w:val="00BC716B"/>
    <w:rsid w:val="00BC7E1C"/>
    <w:rsid w:val="00BD405F"/>
    <w:rsid w:val="00BE0AF6"/>
    <w:rsid w:val="00BE13B2"/>
    <w:rsid w:val="00BE304F"/>
    <w:rsid w:val="00BE3CB7"/>
    <w:rsid w:val="00BF363E"/>
    <w:rsid w:val="00BF4998"/>
    <w:rsid w:val="00BF5DAC"/>
    <w:rsid w:val="00C0406C"/>
    <w:rsid w:val="00C041D2"/>
    <w:rsid w:val="00C04DE9"/>
    <w:rsid w:val="00C05827"/>
    <w:rsid w:val="00C05988"/>
    <w:rsid w:val="00C12BEF"/>
    <w:rsid w:val="00C136DF"/>
    <w:rsid w:val="00C151AA"/>
    <w:rsid w:val="00C15669"/>
    <w:rsid w:val="00C165FA"/>
    <w:rsid w:val="00C16E86"/>
    <w:rsid w:val="00C3037B"/>
    <w:rsid w:val="00C3487F"/>
    <w:rsid w:val="00C352A3"/>
    <w:rsid w:val="00C35301"/>
    <w:rsid w:val="00C35559"/>
    <w:rsid w:val="00C35600"/>
    <w:rsid w:val="00C41492"/>
    <w:rsid w:val="00C42176"/>
    <w:rsid w:val="00C43C6F"/>
    <w:rsid w:val="00C45C5F"/>
    <w:rsid w:val="00C462D1"/>
    <w:rsid w:val="00C47C78"/>
    <w:rsid w:val="00C47C97"/>
    <w:rsid w:val="00C51519"/>
    <w:rsid w:val="00C51758"/>
    <w:rsid w:val="00C517C7"/>
    <w:rsid w:val="00C5387B"/>
    <w:rsid w:val="00C53D39"/>
    <w:rsid w:val="00C57CD3"/>
    <w:rsid w:val="00C60C16"/>
    <w:rsid w:val="00C60DC5"/>
    <w:rsid w:val="00C65CC9"/>
    <w:rsid w:val="00C80A85"/>
    <w:rsid w:val="00C816A5"/>
    <w:rsid w:val="00C819F0"/>
    <w:rsid w:val="00C842BE"/>
    <w:rsid w:val="00C8497B"/>
    <w:rsid w:val="00C8497C"/>
    <w:rsid w:val="00C84B2C"/>
    <w:rsid w:val="00C8504D"/>
    <w:rsid w:val="00C861CD"/>
    <w:rsid w:val="00C87495"/>
    <w:rsid w:val="00C90C4E"/>
    <w:rsid w:val="00C91810"/>
    <w:rsid w:val="00C95A05"/>
    <w:rsid w:val="00C95CBA"/>
    <w:rsid w:val="00CA08FD"/>
    <w:rsid w:val="00CA23E9"/>
    <w:rsid w:val="00CA4F9F"/>
    <w:rsid w:val="00CA60C1"/>
    <w:rsid w:val="00CB5061"/>
    <w:rsid w:val="00CB54BC"/>
    <w:rsid w:val="00CB66A2"/>
    <w:rsid w:val="00CC1EE4"/>
    <w:rsid w:val="00CC4EF2"/>
    <w:rsid w:val="00CD02A4"/>
    <w:rsid w:val="00CD0A94"/>
    <w:rsid w:val="00CD2D45"/>
    <w:rsid w:val="00CD2DC8"/>
    <w:rsid w:val="00CD5DA2"/>
    <w:rsid w:val="00CE50AC"/>
    <w:rsid w:val="00CE66D3"/>
    <w:rsid w:val="00CF3057"/>
    <w:rsid w:val="00CF5D35"/>
    <w:rsid w:val="00D01B4F"/>
    <w:rsid w:val="00D01DE3"/>
    <w:rsid w:val="00D050CB"/>
    <w:rsid w:val="00D07009"/>
    <w:rsid w:val="00D11904"/>
    <w:rsid w:val="00D12247"/>
    <w:rsid w:val="00D145F3"/>
    <w:rsid w:val="00D16358"/>
    <w:rsid w:val="00D20658"/>
    <w:rsid w:val="00D23FD5"/>
    <w:rsid w:val="00D2650F"/>
    <w:rsid w:val="00D30895"/>
    <w:rsid w:val="00D3149A"/>
    <w:rsid w:val="00D34C5C"/>
    <w:rsid w:val="00D35AD3"/>
    <w:rsid w:val="00D40E53"/>
    <w:rsid w:val="00D423F9"/>
    <w:rsid w:val="00D432E9"/>
    <w:rsid w:val="00D4439F"/>
    <w:rsid w:val="00D4468B"/>
    <w:rsid w:val="00D45021"/>
    <w:rsid w:val="00D45FD4"/>
    <w:rsid w:val="00D46257"/>
    <w:rsid w:val="00D52A51"/>
    <w:rsid w:val="00D560D3"/>
    <w:rsid w:val="00D562B1"/>
    <w:rsid w:val="00D61941"/>
    <w:rsid w:val="00D6222E"/>
    <w:rsid w:val="00D63922"/>
    <w:rsid w:val="00D63DD7"/>
    <w:rsid w:val="00D641E9"/>
    <w:rsid w:val="00D65374"/>
    <w:rsid w:val="00D659C8"/>
    <w:rsid w:val="00D67CB8"/>
    <w:rsid w:val="00D72FBC"/>
    <w:rsid w:val="00D77F59"/>
    <w:rsid w:val="00D82649"/>
    <w:rsid w:val="00D90189"/>
    <w:rsid w:val="00D90D0E"/>
    <w:rsid w:val="00D93318"/>
    <w:rsid w:val="00D94A91"/>
    <w:rsid w:val="00D94D7F"/>
    <w:rsid w:val="00D964E9"/>
    <w:rsid w:val="00DA1553"/>
    <w:rsid w:val="00DA1E74"/>
    <w:rsid w:val="00DA3E60"/>
    <w:rsid w:val="00DA6E28"/>
    <w:rsid w:val="00DA71E7"/>
    <w:rsid w:val="00DB0EE0"/>
    <w:rsid w:val="00DB20DC"/>
    <w:rsid w:val="00DB2424"/>
    <w:rsid w:val="00DB254E"/>
    <w:rsid w:val="00DB56C7"/>
    <w:rsid w:val="00DB795E"/>
    <w:rsid w:val="00DB798B"/>
    <w:rsid w:val="00DC1130"/>
    <w:rsid w:val="00DC13C9"/>
    <w:rsid w:val="00DC2162"/>
    <w:rsid w:val="00DE04BD"/>
    <w:rsid w:val="00DE2661"/>
    <w:rsid w:val="00DE4502"/>
    <w:rsid w:val="00DE5A93"/>
    <w:rsid w:val="00DE5CD4"/>
    <w:rsid w:val="00DF050D"/>
    <w:rsid w:val="00DF1249"/>
    <w:rsid w:val="00DF750B"/>
    <w:rsid w:val="00E000EC"/>
    <w:rsid w:val="00E00A21"/>
    <w:rsid w:val="00E01763"/>
    <w:rsid w:val="00E03235"/>
    <w:rsid w:val="00E0707A"/>
    <w:rsid w:val="00E13681"/>
    <w:rsid w:val="00E154DC"/>
    <w:rsid w:val="00E16A01"/>
    <w:rsid w:val="00E16CE8"/>
    <w:rsid w:val="00E16D9C"/>
    <w:rsid w:val="00E16FE9"/>
    <w:rsid w:val="00E222F9"/>
    <w:rsid w:val="00E2339B"/>
    <w:rsid w:val="00E27264"/>
    <w:rsid w:val="00E27657"/>
    <w:rsid w:val="00E307B3"/>
    <w:rsid w:val="00E3306C"/>
    <w:rsid w:val="00E43983"/>
    <w:rsid w:val="00E441E4"/>
    <w:rsid w:val="00E455F6"/>
    <w:rsid w:val="00E47016"/>
    <w:rsid w:val="00E47051"/>
    <w:rsid w:val="00E508CC"/>
    <w:rsid w:val="00E52F01"/>
    <w:rsid w:val="00E537D1"/>
    <w:rsid w:val="00E538C7"/>
    <w:rsid w:val="00E56254"/>
    <w:rsid w:val="00E61810"/>
    <w:rsid w:val="00E6283E"/>
    <w:rsid w:val="00E659ED"/>
    <w:rsid w:val="00E6608F"/>
    <w:rsid w:val="00E676BE"/>
    <w:rsid w:val="00E73017"/>
    <w:rsid w:val="00E732B2"/>
    <w:rsid w:val="00E73537"/>
    <w:rsid w:val="00E73F29"/>
    <w:rsid w:val="00E745E3"/>
    <w:rsid w:val="00E761EE"/>
    <w:rsid w:val="00E76477"/>
    <w:rsid w:val="00E831DE"/>
    <w:rsid w:val="00E84239"/>
    <w:rsid w:val="00E86DE6"/>
    <w:rsid w:val="00E9141A"/>
    <w:rsid w:val="00E96BED"/>
    <w:rsid w:val="00EA0AA3"/>
    <w:rsid w:val="00EA4DA6"/>
    <w:rsid w:val="00EB0292"/>
    <w:rsid w:val="00EB1B6F"/>
    <w:rsid w:val="00EB3664"/>
    <w:rsid w:val="00EB3F7E"/>
    <w:rsid w:val="00EB6045"/>
    <w:rsid w:val="00EB7020"/>
    <w:rsid w:val="00EC4B78"/>
    <w:rsid w:val="00ED3886"/>
    <w:rsid w:val="00ED5042"/>
    <w:rsid w:val="00ED6835"/>
    <w:rsid w:val="00ED7956"/>
    <w:rsid w:val="00ED7D7A"/>
    <w:rsid w:val="00EE082C"/>
    <w:rsid w:val="00EE4792"/>
    <w:rsid w:val="00EE4AAC"/>
    <w:rsid w:val="00EE70A0"/>
    <w:rsid w:val="00EF037C"/>
    <w:rsid w:val="00EF0749"/>
    <w:rsid w:val="00EF1F21"/>
    <w:rsid w:val="00EF7C63"/>
    <w:rsid w:val="00F010A2"/>
    <w:rsid w:val="00F014DC"/>
    <w:rsid w:val="00F01EE2"/>
    <w:rsid w:val="00F109DB"/>
    <w:rsid w:val="00F13C37"/>
    <w:rsid w:val="00F13F2B"/>
    <w:rsid w:val="00F203FB"/>
    <w:rsid w:val="00F235D8"/>
    <w:rsid w:val="00F23DB8"/>
    <w:rsid w:val="00F25D76"/>
    <w:rsid w:val="00F2605B"/>
    <w:rsid w:val="00F268F8"/>
    <w:rsid w:val="00F326AF"/>
    <w:rsid w:val="00F33354"/>
    <w:rsid w:val="00F34D90"/>
    <w:rsid w:val="00F3618F"/>
    <w:rsid w:val="00F361B8"/>
    <w:rsid w:val="00F36BD0"/>
    <w:rsid w:val="00F36F16"/>
    <w:rsid w:val="00F4164D"/>
    <w:rsid w:val="00F4254B"/>
    <w:rsid w:val="00F55A1C"/>
    <w:rsid w:val="00F5626D"/>
    <w:rsid w:val="00F5753B"/>
    <w:rsid w:val="00F621E6"/>
    <w:rsid w:val="00F64CB6"/>
    <w:rsid w:val="00F67C88"/>
    <w:rsid w:val="00F76111"/>
    <w:rsid w:val="00F90E68"/>
    <w:rsid w:val="00F92952"/>
    <w:rsid w:val="00F93500"/>
    <w:rsid w:val="00F96D0D"/>
    <w:rsid w:val="00FA09D2"/>
    <w:rsid w:val="00FB1F4D"/>
    <w:rsid w:val="00FB28CC"/>
    <w:rsid w:val="00FB598D"/>
    <w:rsid w:val="00FC03E8"/>
    <w:rsid w:val="00FC061A"/>
    <w:rsid w:val="00FC3C8C"/>
    <w:rsid w:val="00FC4B17"/>
    <w:rsid w:val="00FC5273"/>
    <w:rsid w:val="00FD001E"/>
    <w:rsid w:val="00FD213B"/>
    <w:rsid w:val="00FD58FC"/>
    <w:rsid w:val="00FD75A3"/>
    <w:rsid w:val="00FE08C0"/>
    <w:rsid w:val="00FE313B"/>
    <w:rsid w:val="00FF3FD4"/>
    <w:rsid w:val="00FF5A1D"/>
    <w:rsid w:val="00FF69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uiPriority="39" w:qFormat="1"/>
  </w:latentStyles>
  <w:style w:type="paragraph" w:default="1" w:styleId="Normal">
    <w:name w:val="Normal"/>
    <w:qFormat/>
    <w:rsid w:val="002F7326"/>
    <w:pPr>
      <w:autoSpaceDE w:val="0"/>
      <w:autoSpaceDN w:val="0"/>
      <w:adjustRightInd w:val="0"/>
      <w:spacing w:after="120"/>
      <w:jc w:val="both"/>
    </w:pPr>
    <w:rPr>
      <w:rFonts w:ascii="Times New Roman" w:hAnsi="Times New Roman"/>
      <w:color w:val="000000"/>
      <w:sz w:val="24"/>
      <w:szCs w:val="24"/>
    </w:rPr>
  </w:style>
  <w:style w:type="paragraph" w:styleId="Heading1">
    <w:name w:val="heading 1"/>
    <w:basedOn w:val="Normal"/>
    <w:next w:val="Normal"/>
    <w:link w:val="Heading1Char"/>
    <w:uiPriority w:val="99"/>
    <w:qFormat/>
    <w:rsid w:val="00AA7F25"/>
    <w:pPr>
      <w:keepNext/>
      <w:keepLines/>
      <w:spacing w:before="480" w:after="0"/>
      <w:outlineLvl w:val="0"/>
    </w:pPr>
    <w:rPr>
      <w:rFonts w:ascii="Cambria" w:eastAsia="Times New Roman" w:hAnsi="Cambria"/>
      <w:b/>
      <w:bCs/>
      <w:color w:val="365F91"/>
      <w:sz w:val="32"/>
      <w:szCs w:val="28"/>
    </w:rPr>
  </w:style>
  <w:style w:type="paragraph" w:styleId="Heading2">
    <w:name w:val="heading 2"/>
    <w:basedOn w:val="Normal"/>
    <w:next w:val="Normal"/>
    <w:link w:val="Heading2Char"/>
    <w:uiPriority w:val="99"/>
    <w:qFormat/>
    <w:rsid w:val="00B025D2"/>
    <w:pPr>
      <w:keepNext/>
      <w:keepLines/>
      <w:spacing w:before="3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F0E6A"/>
    <w:pPr>
      <w:keepNext/>
      <w:spacing w:before="240" w:after="60"/>
      <w:outlineLvl w:val="2"/>
    </w:pPr>
    <w:rPr>
      <w:rFonts w:ascii="Cambria" w:eastAsia="Times New Roman" w:hAnsi="Cambria" w:cs="Arial"/>
      <w:b/>
      <w:bCs/>
      <w:color w:val="548DD4"/>
      <w:szCs w:val="26"/>
    </w:rPr>
  </w:style>
  <w:style w:type="paragraph" w:styleId="Heading4">
    <w:name w:val="heading 4"/>
    <w:basedOn w:val="Normal"/>
    <w:next w:val="Normal"/>
    <w:link w:val="Heading4Char"/>
    <w:uiPriority w:val="99"/>
    <w:qFormat/>
    <w:rsid w:val="002E631D"/>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F25"/>
    <w:rPr>
      <w:rFonts w:ascii="Cambria" w:eastAsia="Times New Roman" w:hAnsi="Cambria"/>
      <w:b/>
      <w:bCs/>
      <w:color w:val="365F91"/>
      <w:sz w:val="32"/>
      <w:szCs w:val="28"/>
    </w:rPr>
  </w:style>
  <w:style w:type="character" w:customStyle="1" w:styleId="Heading2Char">
    <w:name w:val="Heading 2 Char"/>
    <w:basedOn w:val="DefaultParagraphFont"/>
    <w:link w:val="Heading2"/>
    <w:uiPriority w:val="99"/>
    <w:locked/>
    <w:rsid w:val="00B025D2"/>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9"/>
    <w:locked/>
    <w:rsid w:val="007F0E6A"/>
    <w:rPr>
      <w:rFonts w:ascii="Cambria" w:hAnsi="Cambria" w:cs="Arial"/>
      <w:b/>
      <w:bCs/>
      <w:color w:val="548DD4"/>
      <w:sz w:val="26"/>
      <w:szCs w:val="26"/>
      <w:lang w:eastAsia="en-GB"/>
    </w:rPr>
  </w:style>
  <w:style w:type="character" w:customStyle="1" w:styleId="Heading4Char">
    <w:name w:val="Heading 4 Char"/>
    <w:basedOn w:val="DefaultParagraphFont"/>
    <w:link w:val="Heading4"/>
    <w:uiPriority w:val="99"/>
    <w:locked/>
    <w:rsid w:val="002E631D"/>
    <w:rPr>
      <w:rFonts w:ascii="Cambria" w:hAnsi="Cambria" w:cs="Times New Roman"/>
      <w:b/>
      <w:bCs/>
      <w:i/>
      <w:iCs/>
      <w:color w:val="4F81BD"/>
    </w:rPr>
  </w:style>
  <w:style w:type="paragraph" w:customStyle="1" w:styleId="longquote">
    <w:name w:val="long quote"/>
    <w:basedOn w:val="Normal"/>
    <w:uiPriority w:val="99"/>
    <w:rsid w:val="00EA0AA3"/>
    <w:pPr>
      <w:ind w:left="454" w:right="454"/>
    </w:pPr>
    <w:rPr>
      <w:rFonts w:eastAsia="Times New Roman"/>
    </w:rPr>
  </w:style>
  <w:style w:type="character" w:styleId="CommentReference">
    <w:name w:val="annotation reference"/>
    <w:basedOn w:val="DefaultParagraphFont"/>
    <w:uiPriority w:val="99"/>
    <w:rsid w:val="00D423F9"/>
    <w:rPr>
      <w:rFonts w:cs="Times New Roman"/>
      <w:sz w:val="16"/>
      <w:szCs w:val="16"/>
    </w:rPr>
  </w:style>
  <w:style w:type="paragraph" w:styleId="CommentText">
    <w:name w:val="annotation text"/>
    <w:basedOn w:val="Normal"/>
    <w:link w:val="CommentTextChar"/>
    <w:uiPriority w:val="99"/>
    <w:rsid w:val="00D423F9"/>
    <w:rPr>
      <w:rFonts w:eastAsia="Times New Roman"/>
      <w:sz w:val="20"/>
      <w:szCs w:val="20"/>
    </w:rPr>
  </w:style>
  <w:style w:type="character" w:customStyle="1" w:styleId="CommentTextChar">
    <w:name w:val="Comment Text Char"/>
    <w:basedOn w:val="DefaultParagraphFont"/>
    <w:link w:val="CommentText"/>
    <w:uiPriority w:val="99"/>
    <w:locked/>
    <w:rsid w:val="00D423F9"/>
    <w:rPr>
      <w:rFonts w:ascii="Times New Roman" w:hAnsi="Times New Roman" w:cs="Times New Roman"/>
      <w:sz w:val="20"/>
      <w:szCs w:val="20"/>
      <w:lang w:eastAsia="en-GB"/>
    </w:rPr>
  </w:style>
  <w:style w:type="paragraph" w:styleId="FootnoteText">
    <w:name w:val="footnote text"/>
    <w:basedOn w:val="Normal"/>
    <w:link w:val="FootnoteTextChar"/>
    <w:uiPriority w:val="99"/>
    <w:semiHidden/>
    <w:rsid w:val="00D423F9"/>
    <w:rPr>
      <w:rFonts w:eastAsia="Times New Roman"/>
      <w:sz w:val="20"/>
      <w:szCs w:val="20"/>
    </w:rPr>
  </w:style>
  <w:style w:type="character" w:customStyle="1" w:styleId="FootnoteTextChar">
    <w:name w:val="Footnote Text Char"/>
    <w:basedOn w:val="DefaultParagraphFont"/>
    <w:link w:val="FootnoteText"/>
    <w:uiPriority w:val="99"/>
    <w:semiHidden/>
    <w:locked/>
    <w:rsid w:val="00D423F9"/>
    <w:rPr>
      <w:rFonts w:ascii="Times New Roman" w:hAnsi="Times New Roman" w:cs="Times New Roman"/>
      <w:sz w:val="20"/>
      <w:szCs w:val="20"/>
      <w:lang w:eastAsia="en-GB"/>
    </w:rPr>
  </w:style>
  <w:style w:type="character" w:styleId="Hyperlink">
    <w:name w:val="Hyperlink"/>
    <w:basedOn w:val="DefaultParagraphFont"/>
    <w:uiPriority w:val="99"/>
    <w:rsid w:val="00D423F9"/>
    <w:rPr>
      <w:rFonts w:cs="Times New Roman"/>
      <w:color w:val="0000FF"/>
      <w:u w:val="single"/>
    </w:rPr>
  </w:style>
  <w:style w:type="character" w:styleId="Emphasis">
    <w:name w:val="Emphasis"/>
    <w:basedOn w:val="DefaultParagraphFont"/>
    <w:uiPriority w:val="20"/>
    <w:qFormat/>
    <w:rsid w:val="00D423F9"/>
    <w:rPr>
      <w:rFonts w:cs="Times New Roman"/>
      <w:i/>
      <w:iCs/>
    </w:rPr>
  </w:style>
  <w:style w:type="paragraph" w:styleId="BalloonText">
    <w:name w:val="Balloon Text"/>
    <w:basedOn w:val="Normal"/>
    <w:link w:val="BalloonTextChar"/>
    <w:uiPriority w:val="99"/>
    <w:semiHidden/>
    <w:rsid w:val="00D423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23F9"/>
    <w:rPr>
      <w:rFonts w:ascii="Tahoma" w:hAnsi="Tahoma" w:cs="Tahoma"/>
      <w:sz w:val="16"/>
      <w:szCs w:val="16"/>
    </w:rPr>
  </w:style>
  <w:style w:type="paragraph" w:styleId="EndnoteText">
    <w:name w:val="endnote text"/>
    <w:basedOn w:val="Normal"/>
    <w:link w:val="EndnoteTextChar"/>
    <w:uiPriority w:val="99"/>
    <w:rsid w:val="00BF363E"/>
    <w:rPr>
      <w:rFonts w:eastAsia="Times New Roman"/>
      <w:szCs w:val="20"/>
    </w:rPr>
  </w:style>
  <w:style w:type="character" w:customStyle="1" w:styleId="EndnoteTextChar">
    <w:name w:val="Endnote Text Char"/>
    <w:basedOn w:val="DefaultParagraphFont"/>
    <w:link w:val="EndnoteText"/>
    <w:uiPriority w:val="99"/>
    <w:locked/>
    <w:rsid w:val="00BF363E"/>
    <w:rPr>
      <w:rFonts w:ascii="Times New Roman" w:hAnsi="Times New Roman" w:cs="Times New Roman"/>
      <w:sz w:val="20"/>
      <w:szCs w:val="20"/>
      <w:lang w:eastAsia="en-GB"/>
    </w:rPr>
  </w:style>
  <w:style w:type="character" w:styleId="EndnoteReference">
    <w:name w:val="endnote reference"/>
    <w:basedOn w:val="DefaultParagraphFont"/>
    <w:uiPriority w:val="99"/>
    <w:rsid w:val="00BF363E"/>
    <w:rPr>
      <w:rFonts w:cs="Times New Roman"/>
      <w:vertAlign w:val="superscript"/>
    </w:rPr>
  </w:style>
  <w:style w:type="paragraph" w:styleId="Bibliography">
    <w:name w:val="Bibliography"/>
    <w:basedOn w:val="Normal"/>
    <w:next w:val="Normal"/>
    <w:uiPriority w:val="99"/>
    <w:rsid w:val="00C95CBA"/>
    <w:pPr>
      <w:ind w:left="567" w:hanging="567"/>
      <w:jc w:val="left"/>
    </w:pPr>
  </w:style>
  <w:style w:type="paragraph" w:styleId="ListParagraph">
    <w:name w:val="List Paragraph"/>
    <w:basedOn w:val="Normal"/>
    <w:uiPriority w:val="99"/>
    <w:qFormat/>
    <w:rsid w:val="00092A3C"/>
    <w:pPr>
      <w:ind w:left="720"/>
      <w:contextualSpacing/>
    </w:pPr>
  </w:style>
  <w:style w:type="paragraph" w:styleId="NoSpacing">
    <w:name w:val="No Spacing"/>
    <w:link w:val="NoSpacingChar"/>
    <w:uiPriority w:val="99"/>
    <w:qFormat/>
    <w:rsid w:val="00BF4998"/>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BF4998"/>
    <w:rPr>
      <w:rFonts w:eastAsia="Times New Roman"/>
      <w:sz w:val="22"/>
      <w:szCs w:val="22"/>
      <w:lang w:val="en-US" w:eastAsia="en-US" w:bidi="ar-SA"/>
    </w:rPr>
  </w:style>
  <w:style w:type="character" w:customStyle="1" w:styleId="label1">
    <w:name w:val="label1"/>
    <w:basedOn w:val="DefaultParagraphFont"/>
    <w:rsid w:val="001F5F59"/>
    <w:rPr>
      <w:b/>
      <w:bCs/>
    </w:rPr>
  </w:style>
  <w:style w:type="paragraph" w:styleId="CommentSubject">
    <w:name w:val="annotation subject"/>
    <w:basedOn w:val="CommentText"/>
    <w:next w:val="CommentText"/>
    <w:link w:val="CommentSubjectChar"/>
    <w:uiPriority w:val="99"/>
    <w:semiHidden/>
    <w:unhideWhenUsed/>
    <w:locked/>
    <w:rsid w:val="00AB727E"/>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AB727E"/>
    <w:rPr>
      <w:b/>
      <w:bCs/>
      <w:lang w:eastAsia="en-US"/>
    </w:rPr>
  </w:style>
  <w:style w:type="paragraph" w:styleId="Title">
    <w:name w:val="Title"/>
    <w:basedOn w:val="Normal"/>
    <w:next w:val="Normal"/>
    <w:link w:val="TitleChar"/>
    <w:uiPriority w:val="10"/>
    <w:qFormat/>
    <w:locked/>
    <w:rsid w:val="00B60A3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60A37"/>
    <w:rPr>
      <w:rFonts w:ascii="Cambria" w:eastAsia="Times New Roman" w:hAnsi="Cambria" w:cs="Times New Roman"/>
      <w:color w:val="17365D"/>
      <w:spacing w:val="5"/>
      <w:kern w:val="28"/>
      <w:sz w:val="52"/>
      <w:szCs w:val="52"/>
      <w:lang w:eastAsia="en-US"/>
    </w:rPr>
  </w:style>
  <w:style w:type="character" w:customStyle="1" w:styleId="underline">
    <w:name w:val="underline"/>
    <w:basedOn w:val="DefaultParagraphFont"/>
    <w:rsid w:val="00D145F3"/>
  </w:style>
  <w:style w:type="paragraph" w:styleId="Header">
    <w:name w:val="header"/>
    <w:basedOn w:val="Normal"/>
    <w:link w:val="HeaderChar"/>
    <w:uiPriority w:val="99"/>
    <w:semiHidden/>
    <w:unhideWhenUsed/>
    <w:locked/>
    <w:rsid w:val="00AB5E97"/>
    <w:pPr>
      <w:tabs>
        <w:tab w:val="center" w:pos="4513"/>
        <w:tab w:val="right" w:pos="9026"/>
      </w:tabs>
      <w:spacing w:after="0"/>
    </w:pPr>
  </w:style>
  <w:style w:type="character" w:customStyle="1" w:styleId="HeaderChar">
    <w:name w:val="Header Char"/>
    <w:basedOn w:val="DefaultParagraphFont"/>
    <w:link w:val="Header"/>
    <w:uiPriority w:val="99"/>
    <w:semiHidden/>
    <w:rsid w:val="00AB5E97"/>
    <w:rPr>
      <w:sz w:val="22"/>
      <w:szCs w:val="22"/>
      <w:lang w:eastAsia="en-US"/>
    </w:rPr>
  </w:style>
  <w:style w:type="paragraph" w:styleId="Footer">
    <w:name w:val="footer"/>
    <w:basedOn w:val="Normal"/>
    <w:link w:val="FooterChar"/>
    <w:uiPriority w:val="99"/>
    <w:unhideWhenUsed/>
    <w:locked/>
    <w:rsid w:val="004C0864"/>
    <w:pPr>
      <w:tabs>
        <w:tab w:val="center" w:pos="4513"/>
        <w:tab w:val="right" w:pos="9026"/>
      </w:tabs>
      <w:spacing w:after="0"/>
    </w:pPr>
    <w:rPr>
      <w:sz w:val="16"/>
    </w:rPr>
  </w:style>
  <w:style w:type="character" w:customStyle="1" w:styleId="FooterChar">
    <w:name w:val="Footer Char"/>
    <w:basedOn w:val="DefaultParagraphFont"/>
    <w:link w:val="Footer"/>
    <w:uiPriority w:val="99"/>
    <w:rsid w:val="004C0864"/>
    <w:rPr>
      <w:rFonts w:ascii="Times New Roman" w:hAnsi="Times New Roman"/>
      <w:color w:val="000000"/>
      <w:sz w:val="16"/>
      <w:szCs w:val="24"/>
    </w:rPr>
  </w:style>
  <w:style w:type="character" w:styleId="Strong">
    <w:name w:val="Strong"/>
    <w:basedOn w:val="DefaultParagraphFont"/>
    <w:uiPriority w:val="22"/>
    <w:qFormat/>
    <w:locked/>
    <w:rsid w:val="00AF26E7"/>
    <w:rPr>
      <w:b/>
      <w:bCs/>
    </w:rPr>
  </w:style>
  <w:style w:type="paragraph" w:customStyle="1" w:styleId="Sectionhead">
    <w:name w:val="Section head"/>
    <w:basedOn w:val="Heading1"/>
    <w:next w:val="Normal"/>
    <w:qFormat/>
    <w:rsid w:val="006C69B9"/>
    <w:pPr>
      <w:numPr>
        <w:numId w:val="38"/>
      </w:numPr>
      <w:pBdr>
        <w:bottom w:val="single" w:sz="4" w:space="1" w:color="1F497D" w:themeColor="text2"/>
      </w:pBdr>
      <w:spacing w:before="0" w:after="360"/>
      <w:ind w:left="0" w:firstLine="0"/>
    </w:pPr>
    <w:rPr>
      <w:color w:val="365F91" w:themeColor="accent1" w:themeShade="BF"/>
    </w:rPr>
  </w:style>
  <w:style w:type="paragraph" w:customStyle="1" w:styleId="Subsection">
    <w:name w:val="Subsection"/>
    <w:basedOn w:val="Heading2"/>
    <w:next w:val="Normal"/>
    <w:qFormat/>
    <w:rsid w:val="006C69B9"/>
    <w:rPr>
      <w:color w:val="365F91" w:themeColor="accent1" w:themeShade="BF"/>
      <w:sz w:val="28"/>
    </w:rPr>
  </w:style>
  <w:style w:type="paragraph" w:customStyle="1" w:styleId="subsubsection">
    <w:name w:val="subsubsection"/>
    <w:basedOn w:val="Heading3"/>
    <w:next w:val="Normal"/>
    <w:qFormat/>
    <w:rsid w:val="006C69B9"/>
    <w:rPr>
      <w:color w:val="365F91" w:themeColor="accent1" w:themeShade="BF"/>
    </w:rPr>
  </w:style>
  <w:style w:type="paragraph" w:styleId="TOC1">
    <w:name w:val="toc 1"/>
    <w:basedOn w:val="Normal"/>
    <w:next w:val="Normal"/>
    <w:autoRedefine/>
    <w:uiPriority w:val="39"/>
    <w:unhideWhenUsed/>
    <w:locked/>
    <w:rsid w:val="004A275F"/>
    <w:pPr>
      <w:tabs>
        <w:tab w:val="left" w:pos="440"/>
        <w:tab w:val="right" w:leader="dot" w:pos="9016"/>
      </w:tabs>
      <w:spacing w:after="100"/>
    </w:pPr>
    <w:rPr>
      <w:rFonts w:asciiTheme="majorHAnsi" w:hAnsiTheme="majorHAnsi"/>
    </w:rPr>
  </w:style>
  <w:style w:type="paragraph" w:styleId="TOC2">
    <w:name w:val="toc 2"/>
    <w:basedOn w:val="Normal"/>
    <w:next w:val="Normal"/>
    <w:autoRedefine/>
    <w:uiPriority w:val="39"/>
    <w:unhideWhenUsed/>
    <w:locked/>
    <w:rsid w:val="00C8497C"/>
    <w:pPr>
      <w:tabs>
        <w:tab w:val="left" w:pos="880"/>
        <w:tab w:val="right" w:leader="dot" w:pos="9016"/>
      </w:tabs>
      <w:spacing w:after="100"/>
      <w:ind w:left="220"/>
    </w:pPr>
    <w:rPr>
      <w:rFonts w:asciiTheme="majorHAnsi" w:eastAsiaTheme="minorEastAsia" w:hAnsiTheme="majorHAnsi" w:cstheme="minorBidi"/>
      <w:noProof/>
      <w:sz w:val="22"/>
    </w:rPr>
  </w:style>
  <w:style w:type="paragraph" w:styleId="TOC3">
    <w:name w:val="toc 3"/>
    <w:basedOn w:val="Normal"/>
    <w:next w:val="Normal"/>
    <w:autoRedefine/>
    <w:uiPriority w:val="39"/>
    <w:unhideWhenUsed/>
    <w:locked/>
    <w:rsid w:val="004A275F"/>
    <w:pPr>
      <w:spacing w:after="100"/>
      <w:ind w:left="567"/>
    </w:pPr>
    <w:rPr>
      <w:rFonts w:asciiTheme="majorHAnsi" w:hAnsiTheme="majorHAnsi"/>
      <w:sz w:val="22"/>
    </w:rPr>
  </w:style>
  <w:style w:type="character" w:customStyle="1" w:styleId="apple-style-span">
    <w:name w:val="apple-style-span"/>
    <w:basedOn w:val="DefaultParagraphFont"/>
    <w:rsid w:val="0009382C"/>
  </w:style>
  <w:style w:type="character" w:customStyle="1" w:styleId="apple-converted-space">
    <w:name w:val="apple-converted-space"/>
    <w:basedOn w:val="DefaultParagraphFont"/>
    <w:rsid w:val="0009382C"/>
  </w:style>
  <w:style w:type="character" w:styleId="FootnoteReference">
    <w:name w:val="footnote reference"/>
    <w:basedOn w:val="DefaultParagraphFont"/>
    <w:uiPriority w:val="99"/>
    <w:semiHidden/>
    <w:unhideWhenUsed/>
    <w:locked/>
    <w:rsid w:val="006669B0"/>
    <w:rPr>
      <w:vertAlign w:val="superscript"/>
    </w:rPr>
  </w:style>
  <w:style w:type="paragraph" w:customStyle="1" w:styleId="Normal0">
    <w:name w:val="[Normal]"/>
    <w:uiPriority w:val="99"/>
    <w:rsid w:val="006A22A9"/>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84806745">
      <w:bodyDiv w:val="1"/>
      <w:marLeft w:val="0"/>
      <w:marRight w:val="0"/>
      <w:marTop w:val="0"/>
      <w:marBottom w:val="0"/>
      <w:divBdr>
        <w:top w:val="none" w:sz="0" w:space="0" w:color="auto"/>
        <w:left w:val="none" w:sz="0" w:space="0" w:color="auto"/>
        <w:bottom w:val="none" w:sz="0" w:space="0" w:color="auto"/>
        <w:right w:val="none" w:sz="0" w:space="0" w:color="auto"/>
      </w:divBdr>
    </w:div>
    <w:div w:id="882054849">
      <w:bodyDiv w:val="1"/>
      <w:marLeft w:val="0"/>
      <w:marRight w:val="0"/>
      <w:marTop w:val="0"/>
      <w:marBottom w:val="0"/>
      <w:divBdr>
        <w:top w:val="none" w:sz="0" w:space="0" w:color="auto"/>
        <w:left w:val="none" w:sz="0" w:space="0" w:color="auto"/>
        <w:bottom w:val="none" w:sz="0" w:space="0" w:color="auto"/>
        <w:right w:val="none" w:sz="0" w:space="0" w:color="auto"/>
      </w:divBdr>
    </w:div>
    <w:div w:id="1542865889">
      <w:bodyDiv w:val="1"/>
      <w:marLeft w:val="0"/>
      <w:marRight w:val="0"/>
      <w:marTop w:val="0"/>
      <w:marBottom w:val="0"/>
      <w:divBdr>
        <w:top w:val="none" w:sz="0" w:space="0" w:color="auto"/>
        <w:left w:val="none" w:sz="0" w:space="0" w:color="auto"/>
        <w:bottom w:val="none" w:sz="0" w:space="0" w:color="auto"/>
        <w:right w:val="none" w:sz="0" w:space="0" w:color="auto"/>
      </w:divBdr>
    </w:div>
    <w:div w:id="2011445481">
      <w:bodyDiv w:val="1"/>
      <w:marLeft w:val="0"/>
      <w:marRight w:val="0"/>
      <w:marTop w:val="0"/>
      <w:marBottom w:val="0"/>
      <w:divBdr>
        <w:top w:val="none" w:sz="0" w:space="0" w:color="auto"/>
        <w:left w:val="none" w:sz="0" w:space="0" w:color="auto"/>
        <w:bottom w:val="none" w:sz="0" w:space="0" w:color="auto"/>
        <w:right w:val="none" w:sz="0" w:space="0" w:color="auto"/>
      </w:divBdr>
      <w:divsChild>
        <w:div w:id="1473058487">
          <w:marLeft w:val="0"/>
          <w:marRight w:val="0"/>
          <w:marTop w:val="0"/>
          <w:marBottom w:val="0"/>
          <w:divBdr>
            <w:top w:val="none" w:sz="0" w:space="0" w:color="auto"/>
            <w:left w:val="none" w:sz="0" w:space="0" w:color="auto"/>
            <w:bottom w:val="none" w:sz="0" w:space="0" w:color="auto"/>
            <w:right w:val="none" w:sz="0" w:space="0" w:color="auto"/>
          </w:divBdr>
          <w:divsChild>
            <w:div w:id="1394618480">
              <w:marLeft w:val="0"/>
              <w:marRight w:val="0"/>
              <w:marTop w:val="675"/>
              <w:marBottom w:val="0"/>
              <w:divBdr>
                <w:top w:val="none" w:sz="0" w:space="0" w:color="auto"/>
                <w:left w:val="none" w:sz="0" w:space="0" w:color="auto"/>
                <w:bottom w:val="none" w:sz="0" w:space="0" w:color="auto"/>
                <w:right w:val="none" w:sz="0" w:space="0" w:color="auto"/>
              </w:divBdr>
              <w:divsChild>
                <w:div w:id="1725135295">
                  <w:marLeft w:val="0"/>
                  <w:marRight w:val="0"/>
                  <w:marTop w:val="0"/>
                  <w:marBottom w:val="0"/>
                  <w:divBdr>
                    <w:top w:val="none" w:sz="0" w:space="0" w:color="auto"/>
                    <w:left w:val="none" w:sz="0" w:space="0" w:color="auto"/>
                    <w:bottom w:val="none" w:sz="0" w:space="0" w:color="auto"/>
                    <w:right w:val="none" w:sz="0" w:space="0" w:color="auto"/>
                  </w:divBdr>
                  <w:divsChild>
                    <w:div w:id="318726841">
                      <w:marLeft w:val="0"/>
                      <w:marRight w:val="0"/>
                      <w:marTop w:val="0"/>
                      <w:marBottom w:val="525"/>
                      <w:divBdr>
                        <w:top w:val="none" w:sz="0" w:space="0" w:color="auto"/>
                        <w:left w:val="none" w:sz="0" w:space="0" w:color="auto"/>
                        <w:bottom w:val="none" w:sz="0" w:space="0" w:color="auto"/>
                        <w:right w:val="none" w:sz="0" w:space="0" w:color="auto"/>
                      </w:divBdr>
                      <w:divsChild>
                        <w:div w:id="722289752">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366943">
      <w:bodyDiv w:val="1"/>
      <w:marLeft w:val="0"/>
      <w:marRight w:val="0"/>
      <w:marTop w:val="0"/>
      <w:marBottom w:val="0"/>
      <w:divBdr>
        <w:top w:val="none" w:sz="0" w:space="0" w:color="auto"/>
        <w:left w:val="none" w:sz="0" w:space="0" w:color="auto"/>
        <w:bottom w:val="none" w:sz="0" w:space="0" w:color="auto"/>
        <w:right w:val="none" w:sz="0" w:space="0" w:color="auto"/>
      </w:divBdr>
    </w:div>
    <w:div w:id="2102334912">
      <w:bodyDiv w:val="1"/>
      <w:marLeft w:val="0"/>
      <w:marRight w:val="0"/>
      <w:marTop w:val="0"/>
      <w:marBottom w:val="0"/>
      <w:divBdr>
        <w:top w:val="none" w:sz="0" w:space="0" w:color="auto"/>
        <w:left w:val="none" w:sz="0" w:space="0" w:color="auto"/>
        <w:bottom w:val="none" w:sz="0" w:space="0" w:color="auto"/>
        <w:right w:val="none" w:sz="0" w:space="0" w:color="auto"/>
      </w:divBdr>
      <w:divsChild>
        <w:div w:id="144653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3A99-F3B3-415C-9097-C0A1E0BF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6020</Words>
  <Characters>34318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Open Science and Public Engagement</vt:lpstr>
    </vt:vector>
  </TitlesOfParts>
  <Company>University of the West of England, Bristol</Company>
  <LinksUpToDate>false</LinksUpToDate>
  <CharactersWithSpaces>40258</CharactersWithSpaces>
  <SharedDoc>false</SharedDoc>
  <HLinks>
    <vt:vector size="144" baseType="variant">
      <vt:variant>
        <vt:i4>6619143</vt:i4>
      </vt:variant>
      <vt:variant>
        <vt:i4>141</vt:i4>
      </vt:variant>
      <vt:variant>
        <vt:i4>0</vt:i4>
      </vt:variant>
      <vt:variant>
        <vt:i4>5</vt:i4>
      </vt:variant>
      <vt:variant>
        <vt:lpwstr>http://www.sciencedirect.com/science?_ob=ArticleURL&amp;_udi=B6W63-4S0HC0P-1&amp;_user=8037552&amp;_coverDate=03%2F31%2F2008&amp;_rdoc=1&amp;_fmt=high&amp;_orig=article&amp;_cdi=6587&amp;_sort=v&amp;_docanchor=&amp;view=c&amp;_ct=189&amp;_acct=C000010139&amp;_version=1&amp;_urlVersion=0&amp;_userid=8037552&amp;md5=bd77afe96d776d54bc5d570584ada2cc</vt:lpwstr>
      </vt:variant>
      <vt:variant>
        <vt:lpwstr/>
      </vt:variant>
      <vt:variant>
        <vt:i4>1966132</vt:i4>
      </vt:variant>
      <vt:variant>
        <vt:i4>134</vt:i4>
      </vt:variant>
      <vt:variant>
        <vt:i4>0</vt:i4>
      </vt:variant>
      <vt:variant>
        <vt:i4>5</vt:i4>
      </vt:variant>
      <vt:variant>
        <vt:lpwstr/>
      </vt:variant>
      <vt:variant>
        <vt:lpwstr>_Toc252779322</vt:lpwstr>
      </vt:variant>
      <vt:variant>
        <vt:i4>1966132</vt:i4>
      </vt:variant>
      <vt:variant>
        <vt:i4>128</vt:i4>
      </vt:variant>
      <vt:variant>
        <vt:i4>0</vt:i4>
      </vt:variant>
      <vt:variant>
        <vt:i4>5</vt:i4>
      </vt:variant>
      <vt:variant>
        <vt:lpwstr/>
      </vt:variant>
      <vt:variant>
        <vt:lpwstr>_Toc252779321</vt:lpwstr>
      </vt:variant>
      <vt:variant>
        <vt:i4>1966132</vt:i4>
      </vt:variant>
      <vt:variant>
        <vt:i4>122</vt:i4>
      </vt:variant>
      <vt:variant>
        <vt:i4>0</vt:i4>
      </vt:variant>
      <vt:variant>
        <vt:i4>5</vt:i4>
      </vt:variant>
      <vt:variant>
        <vt:lpwstr/>
      </vt:variant>
      <vt:variant>
        <vt:lpwstr>_Toc252779320</vt:lpwstr>
      </vt:variant>
      <vt:variant>
        <vt:i4>1900596</vt:i4>
      </vt:variant>
      <vt:variant>
        <vt:i4>116</vt:i4>
      </vt:variant>
      <vt:variant>
        <vt:i4>0</vt:i4>
      </vt:variant>
      <vt:variant>
        <vt:i4>5</vt:i4>
      </vt:variant>
      <vt:variant>
        <vt:lpwstr/>
      </vt:variant>
      <vt:variant>
        <vt:lpwstr>_Toc252779319</vt:lpwstr>
      </vt:variant>
      <vt:variant>
        <vt:i4>1900596</vt:i4>
      </vt:variant>
      <vt:variant>
        <vt:i4>110</vt:i4>
      </vt:variant>
      <vt:variant>
        <vt:i4>0</vt:i4>
      </vt:variant>
      <vt:variant>
        <vt:i4>5</vt:i4>
      </vt:variant>
      <vt:variant>
        <vt:lpwstr/>
      </vt:variant>
      <vt:variant>
        <vt:lpwstr>_Toc252779318</vt:lpwstr>
      </vt:variant>
      <vt:variant>
        <vt:i4>1900596</vt:i4>
      </vt:variant>
      <vt:variant>
        <vt:i4>104</vt:i4>
      </vt:variant>
      <vt:variant>
        <vt:i4>0</vt:i4>
      </vt:variant>
      <vt:variant>
        <vt:i4>5</vt:i4>
      </vt:variant>
      <vt:variant>
        <vt:lpwstr/>
      </vt:variant>
      <vt:variant>
        <vt:lpwstr>_Toc252779317</vt:lpwstr>
      </vt:variant>
      <vt:variant>
        <vt:i4>1900596</vt:i4>
      </vt:variant>
      <vt:variant>
        <vt:i4>98</vt:i4>
      </vt:variant>
      <vt:variant>
        <vt:i4>0</vt:i4>
      </vt:variant>
      <vt:variant>
        <vt:i4>5</vt:i4>
      </vt:variant>
      <vt:variant>
        <vt:lpwstr/>
      </vt:variant>
      <vt:variant>
        <vt:lpwstr>_Toc252779316</vt:lpwstr>
      </vt:variant>
      <vt:variant>
        <vt:i4>1900596</vt:i4>
      </vt:variant>
      <vt:variant>
        <vt:i4>92</vt:i4>
      </vt:variant>
      <vt:variant>
        <vt:i4>0</vt:i4>
      </vt:variant>
      <vt:variant>
        <vt:i4>5</vt:i4>
      </vt:variant>
      <vt:variant>
        <vt:lpwstr/>
      </vt:variant>
      <vt:variant>
        <vt:lpwstr>_Toc252779315</vt:lpwstr>
      </vt:variant>
      <vt:variant>
        <vt:i4>1900596</vt:i4>
      </vt:variant>
      <vt:variant>
        <vt:i4>86</vt:i4>
      </vt:variant>
      <vt:variant>
        <vt:i4>0</vt:i4>
      </vt:variant>
      <vt:variant>
        <vt:i4>5</vt:i4>
      </vt:variant>
      <vt:variant>
        <vt:lpwstr/>
      </vt:variant>
      <vt:variant>
        <vt:lpwstr>_Toc252779314</vt:lpwstr>
      </vt:variant>
      <vt:variant>
        <vt:i4>1900596</vt:i4>
      </vt:variant>
      <vt:variant>
        <vt:i4>80</vt:i4>
      </vt:variant>
      <vt:variant>
        <vt:i4>0</vt:i4>
      </vt:variant>
      <vt:variant>
        <vt:i4>5</vt:i4>
      </vt:variant>
      <vt:variant>
        <vt:lpwstr/>
      </vt:variant>
      <vt:variant>
        <vt:lpwstr>_Toc252779313</vt:lpwstr>
      </vt:variant>
      <vt:variant>
        <vt:i4>1900596</vt:i4>
      </vt:variant>
      <vt:variant>
        <vt:i4>74</vt:i4>
      </vt:variant>
      <vt:variant>
        <vt:i4>0</vt:i4>
      </vt:variant>
      <vt:variant>
        <vt:i4>5</vt:i4>
      </vt:variant>
      <vt:variant>
        <vt:lpwstr/>
      </vt:variant>
      <vt:variant>
        <vt:lpwstr>_Toc252779312</vt:lpwstr>
      </vt:variant>
      <vt:variant>
        <vt:i4>1900596</vt:i4>
      </vt:variant>
      <vt:variant>
        <vt:i4>68</vt:i4>
      </vt:variant>
      <vt:variant>
        <vt:i4>0</vt:i4>
      </vt:variant>
      <vt:variant>
        <vt:i4>5</vt:i4>
      </vt:variant>
      <vt:variant>
        <vt:lpwstr/>
      </vt:variant>
      <vt:variant>
        <vt:lpwstr>_Toc252779311</vt:lpwstr>
      </vt:variant>
      <vt:variant>
        <vt:i4>1900596</vt:i4>
      </vt:variant>
      <vt:variant>
        <vt:i4>62</vt:i4>
      </vt:variant>
      <vt:variant>
        <vt:i4>0</vt:i4>
      </vt:variant>
      <vt:variant>
        <vt:i4>5</vt:i4>
      </vt:variant>
      <vt:variant>
        <vt:lpwstr/>
      </vt:variant>
      <vt:variant>
        <vt:lpwstr>_Toc252779310</vt:lpwstr>
      </vt:variant>
      <vt:variant>
        <vt:i4>1835060</vt:i4>
      </vt:variant>
      <vt:variant>
        <vt:i4>56</vt:i4>
      </vt:variant>
      <vt:variant>
        <vt:i4>0</vt:i4>
      </vt:variant>
      <vt:variant>
        <vt:i4>5</vt:i4>
      </vt:variant>
      <vt:variant>
        <vt:lpwstr/>
      </vt:variant>
      <vt:variant>
        <vt:lpwstr>_Toc252779309</vt:lpwstr>
      </vt:variant>
      <vt:variant>
        <vt:i4>1835060</vt:i4>
      </vt:variant>
      <vt:variant>
        <vt:i4>50</vt:i4>
      </vt:variant>
      <vt:variant>
        <vt:i4>0</vt:i4>
      </vt:variant>
      <vt:variant>
        <vt:i4>5</vt:i4>
      </vt:variant>
      <vt:variant>
        <vt:lpwstr/>
      </vt:variant>
      <vt:variant>
        <vt:lpwstr>_Toc252779308</vt:lpwstr>
      </vt:variant>
      <vt:variant>
        <vt:i4>1835060</vt:i4>
      </vt:variant>
      <vt:variant>
        <vt:i4>44</vt:i4>
      </vt:variant>
      <vt:variant>
        <vt:i4>0</vt:i4>
      </vt:variant>
      <vt:variant>
        <vt:i4>5</vt:i4>
      </vt:variant>
      <vt:variant>
        <vt:lpwstr/>
      </vt:variant>
      <vt:variant>
        <vt:lpwstr>_Toc252779307</vt:lpwstr>
      </vt:variant>
      <vt:variant>
        <vt:i4>1835060</vt:i4>
      </vt:variant>
      <vt:variant>
        <vt:i4>38</vt:i4>
      </vt:variant>
      <vt:variant>
        <vt:i4>0</vt:i4>
      </vt:variant>
      <vt:variant>
        <vt:i4>5</vt:i4>
      </vt:variant>
      <vt:variant>
        <vt:lpwstr/>
      </vt:variant>
      <vt:variant>
        <vt:lpwstr>_Toc252779306</vt:lpwstr>
      </vt:variant>
      <vt:variant>
        <vt:i4>1835060</vt:i4>
      </vt:variant>
      <vt:variant>
        <vt:i4>32</vt:i4>
      </vt:variant>
      <vt:variant>
        <vt:i4>0</vt:i4>
      </vt:variant>
      <vt:variant>
        <vt:i4>5</vt:i4>
      </vt:variant>
      <vt:variant>
        <vt:lpwstr/>
      </vt:variant>
      <vt:variant>
        <vt:lpwstr>_Toc252779305</vt:lpwstr>
      </vt:variant>
      <vt:variant>
        <vt:i4>1835060</vt:i4>
      </vt:variant>
      <vt:variant>
        <vt:i4>26</vt:i4>
      </vt:variant>
      <vt:variant>
        <vt:i4>0</vt:i4>
      </vt:variant>
      <vt:variant>
        <vt:i4>5</vt:i4>
      </vt:variant>
      <vt:variant>
        <vt:lpwstr/>
      </vt:variant>
      <vt:variant>
        <vt:lpwstr>_Toc252779304</vt:lpwstr>
      </vt:variant>
      <vt:variant>
        <vt:i4>1835060</vt:i4>
      </vt:variant>
      <vt:variant>
        <vt:i4>20</vt:i4>
      </vt:variant>
      <vt:variant>
        <vt:i4>0</vt:i4>
      </vt:variant>
      <vt:variant>
        <vt:i4>5</vt:i4>
      </vt:variant>
      <vt:variant>
        <vt:lpwstr/>
      </vt:variant>
      <vt:variant>
        <vt:lpwstr>_Toc252779303</vt:lpwstr>
      </vt:variant>
      <vt:variant>
        <vt:i4>1835060</vt:i4>
      </vt:variant>
      <vt:variant>
        <vt:i4>14</vt:i4>
      </vt:variant>
      <vt:variant>
        <vt:i4>0</vt:i4>
      </vt:variant>
      <vt:variant>
        <vt:i4>5</vt:i4>
      </vt:variant>
      <vt:variant>
        <vt:lpwstr/>
      </vt:variant>
      <vt:variant>
        <vt:lpwstr>_Toc252779302</vt:lpwstr>
      </vt:variant>
      <vt:variant>
        <vt:i4>1835060</vt:i4>
      </vt:variant>
      <vt:variant>
        <vt:i4>8</vt:i4>
      </vt:variant>
      <vt:variant>
        <vt:i4>0</vt:i4>
      </vt:variant>
      <vt:variant>
        <vt:i4>5</vt:i4>
      </vt:variant>
      <vt:variant>
        <vt:lpwstr/>
      </vt:variant>
      <vt:variant>
        <vt:lpwstr>_Toc252779301</vt:lpwstr>
      </vt:variant>
      <vt:variant>
        <vt:i4>1835060</vt:i4>
      </vt:variant>
      <vt:variant>
        <vt:i4>2</vt:i4>
      </vt:variant>
      <vt:variant>
        <vt:i4>0</vt:i4>
      </vt:variant>
      <vt:variant>
        <vt:i4>5</vt:i4>
      </vt:variant>
      <vt:variant>
        <vt:lpwstr/>
      </vt:variant>
      <vt:variant>
        <vt:lpwstr>_Toc252779300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Science and Public Engagement</dc:title>
  <dc:subject>Progression Report</dc:subject>
  <dc:creator>Ann Grand</dc:creator>
  <cp:lastModifiedBy>Ann Grand</cp:lastModifiedBy>
  <cp:revision>6</cp:revision>
  <cp:lastPrinted>2010-09-07T12:02:00Z</cp:lastPrinted>
  <dcterms:created xsi:type="dcterms:W3CDTF">2010-08-13T11:23:00Z</dcterms:created>
  <dcterms:modified xsi:type="dcterms:W3CDTF">2010-09-07T12:02:00Z</dcterms:modified>
</cp:coreProperties>
</file>