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EED9" w14:textId="5345E58B" w:rsidR="00C111EE" w:rsidRDefault="00C111EE" w:rsidP="00C111EE">
      <w:pPr>
        <w:jc w:val="center"/>
        <w:rPr>
          <w:b/>
          <w:iCs/>
        </w:rPr>
      </w:pPr>
      <w:bookmarkStart w:id="0" w:name="_GoBack"/>
      <w:r>
        <w:rPr>
          <w:b/>
          <w:iCs/>
        </w:rPr>
        <w:t>UWE REPOSITORY VERSION</w:t>
      </w:r>
    </w:p>
    <w:p w14:paraId="3B83F60A" w14:textId="2CF2EE5A" w:rsidR="00C111EE" w:rsidRPr="00C111EE" w:rsidRDefault="00C111EE" w:rsidP="00C111EE">
      <w:pPr>
        <w:jc w:val="center"/>
        <w:rPr>
          <w:b/>
          <w:i/>
          <w:iCs/>
        </w:rPr>
      </w:pPr>
      <w:r w:rsidRPr="00C111EE">
        <w:rPr>
          <w:b/>
          <w:i/>
          <w:iCs/>
        </w:rPr>
        <w:t xml:space="preserve">INTERNATIONAL </w:t>
      </w:r>
      <w:bookmarkEnd w:id="0"/>
      <w:r w:rsidRPr="00C111EE">
        <w:rPr>
          <w:b/>
          <w:i/>
          <w:iCs/>
        </w:rPr>
        <w:t>JOURNAL OF TRANSGENDER HEALTH</w:t>
      </w:r>
    </w:p>
    <w:p w14:paraId="7FA711A5" w14:textId="77EB7C35" w:rsidR="002C355E" w:rsidRPr="00793614" w:rsidRDefault="002C355E">
      <w:pPr>
        <w:rPr>
          <w:b/>
          <w:i/>
        </w:rPr>
      </w:pPr>
      <w:r>
        <w:rPr>
          <w:b/>
          <w:iCs/>
        </w:rPr>
        <w:t>EDITORIAL</w:t>
      </w:r>
    </w:p>
    <w:p w14:paraId="7E6B3B97" w14:textId="77777777" w:rsidR="00A3668B" w:rsidRPr="00857FAF" w:rsidRDefault="007523F6">
      <w:pPr>
        <w:rPr>
          <w:b/>
        </w:rPr>
      </w:pPr>
      <w:r w:rsidRPr="00857FAF">
        <w:rPr>
          <w:b/>
        </w:rPr>
        <w:t>Towards good practice in thematic analysis</w:t>
      </w:r>
      <w:r w:rsidR="00857FAF" w:rsidRPr="00857FAF">
        <w:rPr>
          <w:b/>
        </w:rPr>
        <w:t>: Avoiding common problems and be</w:t>
      </w:r>
      <w:r w:rsidR="00857FAF">
        <w:rPr>
          <w:b/>
        </w:rPr>
        <w:t>(com)</w:t>
      </w:r>
      <w:r w:rsidR="00857FAF" w:rsidRPr="00857FAF">
        <w:rPr>
          <w:b/>
        </w:rPr>
        <w:t xml:space="preserve">ing a </w:t>
      </w:r>
      <w:r w:rsidR="00857FAF" w:rsidRPr="00857FAF">
        <w:rPr>
          <w:b/>
          <w:i/>
        </w:rPr>
        <w:t>knowing</w:t>
      </w:r>
      <w:r w:rsidR="00857FAF" w:rsidRPr="00857FAF">
        <w:rPr>
          <w:b/>
        </w:rPr>
        <w:t xml:space="preserve"> researcher</w:t>
      </w:r>
    </w:p>
    <w:p w14:paraId="2F3876D5" w14:textId="6C87B172" w:rsidR="00B40A07" w:rsidRDefault="00B138D7">
      <w:r>
        <w:t>I</w:t>
      </w:r>
      <w:r w:rsidR="00857FAF">
        <w:t xml:space="preserve">n response to the increasing use of thematic analysis (TA), and particularly the TA approach we have developed, in qualitative and mixed methods research published in </w:t>
      </w:r>
      <w:r w:rsidR="00857FAF" w:rsidRPr="00857FAF">
        <w:rPr>
          <w:i/>
        </w:rPr>
        <w:t>IJTH</w:t>
      </w:r>
      <w:r w:rsidR="00857FAF">
        <w:t xml:space="preserve">, the editors of the journal have invited us to provide a commentary on good practice and common problems in TA research. The aim of this commentary is to guide </w:t>
      </w:r>
      <w:r w:rsidR="00934D08">
        <w:t xml:space="preserve">researchers </w:t>
      </w:r>
      <w:r w:rsidR="003F7F3E">
        <w:t xml:space="preserve">in producing and reporting methodologically coherent TA </w:t>
      </w:r>
      <w:r w:rsidR="00857FAF">
        <w:t>and reviewers in assessing what constitutes good practice</w:t>
      </w:r>
      <w:r w:rsidR="003F7F3E">
        <w:t>,</w:t>
      </w:r>
      <w:r w:rsidR="00857FAF">
        <w:t xml:space="preserve"> and </w:t>
      </w:r>
      <w:r w:rsidR="003F7F3E">
        <w:t xml:space="preserve">ultimately </w:t>
      </w:r>
      <w:r w:rsidR="00857FAF">
        <w:t xml:space="preserve">to support </w:t>
      </w:r>
      <w:r w:rsidR="00857FAF" w:rsidRPr="008C15AC">
        <w:rPr>
          <w:i/>
        </w:rPr>
        <w:t>IJTH</w:t>
      </w:r>
      <w:r w:rsidR="00857FAF">
        <w:t xml:space="preserve"> in publishing high quality TA.</w:t>
      </w:r>
      <w:r w:rsidR="003F7F3E">
        <w:t xml:space="preserve"> This commentary is based on a review of 20 papers published in </w:t>
      </w:r>
      <w:r w:rsidR="003F7F3E" w:rsidRPr="008C15AC">
        <w:rPr>
          <w:i/>
        </w:rPr>
        <w:t>IJTH</w:t>
      </w:r>
      <w:r w:rsidR="003F7F3E">
        <w:t xml:space="preserve"> citing our work</w:t>
      </w:r>
      <w:r w:rsidR="00B32A02">
        <w:rPr>
          <w:rStyle w:val="FootnoteReference"/>
        </w:rPr>
        <w:footnoteReference w:id="1"/>
      </w:r>
      <w:r w:rsidR="00D67006">
        <w:t xml:space="preserve"> –</w:t>
      </w:r>
      <w:r w:rsidR="003F7F3E">
        <w:t xml:space="preserve"> typically</w:t>
      </w:r>
      <w:r w:rsidR="00D67006">
        <w:t xml:space="preserve"> </w:t>
      </w:r>
      <w:r w:rsidR="003F7F3E">
        <w:t>Braun and Clarke (2006), the paper in which we first outlined our TA approach – with most authors claiming to have “followed” our approach</w:t>
      </w:r>
      <w:r w:rsidR="00B32A02">
        <w:t>, and a minority citing our work but using other approaches</w:t>
      </w:r>
      <w:r w:rsidR="003F7F3E">
        <w:t>.</w:t>
      </w:r>
      <w:r w:rsidR="00311C63">
        <w:t xml:space="preserve"> It’s important to stress that our goal here is not to encourage or enforce strict adherence to the procedures </w:t>
      </w:r>
      <w:r w:rsidR="00311C63" w:rsidRPr="00C12920">
        <w:rPr>
          <w:iCs/>
        </w:rPr>
        <w:t>we</w:t>
      </w:r>
      <w:r w:rsidR="00311C63">
        <w:t xml:space="preserve"> have outlined – </w:t>
      </w:r>
      <w:r w:rsidR="00D67006">
        <w:t xml:space="preserve">or </w:t>
      </w:r>
      <w:r w:rsidR="00311C63">
        <w:t xml:space="preserve">what has been dubbed </w:t>
      </w:r>
      <w:proofErr w:type="spellStart"/>
      <w:r w:rsidR="00311C63">
        <w:t>methodolatry</w:t>
      </w:r>
      <w:proofErr w:type="spellEnd"/>
      <w:r w:rsidR="00311C63">
        <w:t xml:space="preserve"> (Chamberlain, 2000) or proceduralism (King &amp; Brooks, 2008)</w:t>
      </w:r>
      <w:r w:rsidR="00E979A5">
        <w:t>, where procedures are prioritised over reflexivity and theoretical sensitivity</w:t>
      </w:r>
      <w:r w:rsidR="00D67006">
        <w:t xml:space="preserve">. Rather, we want </w:t>
      </w:r>
      <w:r w:rsidR="00E979A5">
        <w:t xml:space="preserve">to encourage what we call </w:t>
      </w:r>
      <w:r w:rsidR="00E979A5" w:rsidRPr="00E979A5">
        <w:rPr>
          <w:i/>
        </w:rPr>
        <w:t>knowing</w:t>
      </w:r>
      <w:r w:rsidR="00E979A5">
        <w:t xml:space="preserve"> practice of TA. A knowing researcher is one who strives to “own” their perspectives (Elliott et al., 1999)</w:t>
      </w:r>
      <w:r w:rsidR="00D67006">
        <w:t>,</w:t>
      </w:r>
      <w:r w:rsidR="00E979A5">
        <w:t xml:space="preserve"> both personal and theoretical</w:t>
      </w:r>
      <w:r w:rsidR="00D67006">
        <w:t xml:space="preserve">, </w:t>
      </w:r>
      <w:r w:rsidR="00E979A5">
        <w:t xml:space="preserve">is deliberative in their </w:t>
      </w:r>
      <w:r w:rsidR="00051C24">
        <w:t>decision-making</w:t>
      </w:r>
      <w:r w:rsidR="00D67006">
        <w:t>,</w:t>
      </w:r>
      <w:r w:rsidR="00E979A5">
        <w:t xml:space="preserve"> and reflexi</w:t>
      </w:r>
      <w:r w:rsidR="00051C24">
        <w:t>ve in their practice of TA.</w:t>
      </w:r>
    </w:p>
    <w:p w14:paraId="3AA0E3AE" w14:textId="587662E3" w:rsidR="00D67006" w:rsidRDefault="008C15AC">
      <w:r>
        <w:t>The 20 papers we reviewed provide a</w:t>
      </w:r>
      <w:r w:rsidR="002617FA">
        <w:t>n interesting</w:t>
      </w:r>
      <w:r>
        <w:t xml:space="preserve"> “snapshot” of TA research in the field of transgender health research</w:t>
      </w:r>
      <w:r w:rsidR="00D67006">
        <w:t>. M</w:t>
      </w:r>
      <w:r>
        <w:t>ost papers reported qualitative studies</w:t>
      </w:r>
      <w:r w:rsidR="00D67006">
        <w:t xml:space="preserve"> –</w:t>
      </w:r>
      <w:r>
        <w:t xml:space="preserve"> with the rest mixed-method designs</w:t>
      </w:r>
      <w:r w:rsidR="00D67006">
        <w:t xml:space="preserve"> – </w:t>
      </w:r>
      <w:r w:rsidR="002617FA">
        <w:t>typically based on interview, focus group or qualitative survey data</w:t>
      </w:r>
      <w:r w:rsidR="00D67006">
        <w:t>. M</w:t>
      </w:r>
      <w:r w:rsidR="002617FA">
        <w:t xml:space="preserve">ost exemplified an experiential orientation to qualitative research, </w:t>
      </w:r>
      <w:r>
        <w:t>with a focus on the lived experience and perspectives of transgender folx (and some interest in the views of others</w:t>
      </w:r>
      <w:r w:rsidR="00D67006">
        <w:t>,</w:t>
      </w:r>
      <w:r>
        <w:t xml:space="preserve"> such of parents of transgender adolescents</w:t>
      </w:r>
      <w:r w:rsidR="002617FA">
        <w:t>)</w:t>
      </w:r>
      <w:r>
        <w:t>, or the factors that influence and contextualise certain behaviour</w:t>
      </w:r>
      <w:r w:rsidR="002617FA">
        <w:t>s</w:t>
      </w:r>
      <w:r>
        <w:t xml:space="preserve"> and choices</w:t>
      </w:r>
      <w:r w:rsidR="002617FA">
        <w:t xml:space="preserve">, underpinned by a realist or critical realist ontology. </w:t>
      </w:r>
      <w:r w:rsidR="006C2E6A">
        <w:t>W</w:t>
      </w:r>
      <w:r w:rsidR="002617FA">
        <w:t xml:space="preserve">e were heartened that some researchers in the field of transgender health are </w:t>
      </w:r>
      <w:r w:rsidR="006C2E6A">
        <w:t xml:space="preserve">also </w:t>
      </w:r>
      <w:r w:rsidR="002617FA">
        <w:t xml:space="preserve">using </w:t>
      </w:r>
      <w:r w:rsidR="00AA478C">
        <w:t xml:space="preserve">TA </w:t>
      </w:r>
      <w:r w:rsidR="002617FA">
        <w:t xml:space="preserve">to </w:t>
      </w:r>
      <w:r w:rsidR="002617FA" w:rsidRPr="00EA5FC7">
        <w:rPr>
          <w:i/>
          <w:iCs/>
        </w:rPr>
        <w:t>interrogate</w:t>
      </w:r>
      <w:r w:rsidR="002617FA">
        <w:t xml:space="preserve"> the social construction of meaning within a critical orientation to qualitative research</w:t>
      </w:r>
      <w:r w:rsidR="006C2E6A">
        <w:t xml:space="preserve"> (for further discussion of the experiential/critical distinction, see Braun &amp; Clarke, 2022</w:t>
      </w:r>
      <w:r w:rsidR="004C2C72">
        <w:t>b</w:t>
      </w:r>
      <w:r w:rsidR="006C2E6A">
        <w:t>)</w:t>
      </w:r>
      <w:r w:rsidR="002617FA">
        <w:t xml:space="preserve">. </w:t>
      </w:r>
      <w:r w:rsidR="00D67006">
        <w:t>The idea that TA – or indeed qualitative research – just offers a window into experience is unfortunately too common, when the full potential is far wider.</w:t>
      </w:r>
    </w:p>
    <w:p w14:paraId="24338FE3" w14:textId="50BC8CC2" w:rsidR="008C15AC" w:rsidRDefault="002617FA">
      <w:r>
        <w:t>In our critical review, we highlight three important issues</w:t>
      </w:r>
      <w:r w:rsidR="00020C2B">
        <w:t xml:space="preserve"> (1)</w:t>
      </w:r>
      <w:r>
        <w:t xml:space="preserve"> the</w:t>
      </w:r>
      <w:r w:rsidR="006C2E6A">
        <w:t>,</w:t>
      </w:r>
      <w:r>
        <w:t xml:space="preserve"> often unacknowledged</w:t>
      </w:r>
      <w:r w:rsidR="006C2E6A">
        <w:t>,</w:t>
      </w:r>
      <w:r>
        <w:t xml:space="preserve"> diversity within TA and many researchers’ tendency to</w:t>
      </w:r>
      <w:r w:rsidR="00020C2B">
        <w:t>, paraphrasing Marecek (2003),</w:t>
      </w:r>
      <w:r>
        <w:t xml:space="preserve"> “swim unknowingly in the waters of positivism”</w:t>
      </w:r>
      <w:r w:rsidR="00020C2B">
        <w:t>;</w:t>
      </w:r>
      <w:r>
        <w:t xml:space="preserve"> </w:t>
      </w:r>
      <w:r w:rsidR="00020C2B">
        <w:t xml:space="preserve">(2) </w:t>
      </w:r>
      <w:r w:rsidR="006C2E6A">
        <w:t>confusing themes-as</w:t>
      </w:r>
      <w:r w:rsidR="00D67006">
        <w:t>-meaning-unified</w:t>
      </w:r>
      <w:r w:rsidR="006C2E6A">
        <w:t>-interpretative-stories with themes-as-topic-summaries</w:t>
      </w:r>
      <w:r w:rsidR="00020C2B">
        <w:t>;</w:t>
      </w:r>
      <w:r w:rsidR="006C2E6A">
        <w:t xml:space="preserve"> and </w:t>
      </w:r>
      <w:r w:rsidR="00020C2B">
        <w:t xml:space="preserve">(3) </w:t>
      </w:r>
      <w:r w:rsidR="006C2E6A">
        <w:t>(not) owning one’s perspective.</w:t>
      </w:r>
    </w:p>
    <w:p w14:paraId="7C01C1B5" w14:textId="77777777" w:rsidR="00625894" w:rsidRDefault="00625894"/>
    <w:p w14:paraId="6923CE61" w14:textId="77777777" w:rsidR="00B40A07" w:rsidRPr="00B40A07" w:rsidRDefault="00B40A07">
      <w:pPr>
        <w:rPr>
          <w:b/>
        </w:rPr>
      </w:pPr>
      <w:r w:rsidRPr="00B40A07">
        <w:rPr>
          <w:b/>
        </w:rPr>
        <w:t>TA is a family of methods, not a singular method – there is no “standardised TA”!</w:t>
      </w:r>
    </w:p>
    <w:p w14:paraId="6CBC3A2A" w14:textId="592E0C1B" w:rsidR="004C2C72" w:rsidRDefault="00051C24">
      <w:r>
        <w:lastRenderedPageBreak/>
        <w:t>An important step on the path to knowing TA practice is appreciating the diversity within TA</w:t>
      </w:r>
      <w:r w:rsidR="00AC4BE4">
        <w:t xml:space="preserve"> and understanding what type of TA you are practising</w:t>
      </w:r>
      <w:r w:rsidR="00D66431">
        <w:t>. S</w:t>
      </w:r>
      <w:r>
        <w:t xml:space="preserve">ome of the papers reviewed implicitly or explicitly presented TA as a singular method (e.g., through references to “standardised TA”), whereas TA is better thought of as a </w:t>
      </w:r>
      <w:r w:rsidRPr="00B32A02">
        <w:rPr>
          <w:i/>
        </w:rPr>
        <w:t>family</w:t>
      </w:r>
      <w:r>
        <w:t xml:space="preserve"> of methods. To capture some of the diversity within the TA family, we have developed a typology of </w:t>
      </w:r>
      <w:r w:rsidR="00D66431">
        <w:t xml:space="preserve">similar approaches, which we designate </w:t>
      </w:r>
      <w:r>
        <w:t>coding reliability, codebook and reflexive TA, and thematic coding (</w:t>
      </w:r>
      <w:r w:rsidR="008D7E91">
        <w:t xml:space="preserve">for our most detailed discussion, </w:t>
      </w:r>
      <w:r>
        <w:t>see Braun &amp; Clarke, 2022</w:t>
      </w:r>
      <w:r w:rsidR="004C2C72">
        <w:t>b</w:t>
      </w:r>
      <w:r>
        <w:t xml:space="preserve">). </w:t>
      </w:r>
      <w:r w:rsidR="00490514">
        <w:t>These approaches have</w:t>
      </w:r>
      <w:r w:rsidR="004C2C72">
        <w:t xml:space="preserve"> some things</w:t>
      </w:r>
      <w:r w:rsidR="00490514">
        <w:t xml:space="preserve"> in common</w:t>
      </w:r>
      <w:r w:rsidR="004C2C72">
        <w:t>:</w:t>
      </w:r>
      <w:r w:rsidR="00490514">
        <w:t xml:space="preserve"> practices of coding and theme development</w:t>
      </w:r>
      <w:r w:rsidR="004C2C72">
        <w:t xml:space="preserve">; </w:t>
      </w:r>
      <w:r w:rsidR="00490514">
        <w:t>the possibility of capturing semantic and/or latent meaning</w:t>
      </w:r>
      <w:r w:rsidR="004C2C72">
        <w:t>,</w:t>
      </w:r>
      <w:r w:rsidR="00490514">
        <w:t xml:space="preserve"> and orienting to data inductively and/or deductively</w:t>
      </w:r>
      <w:r w:rsidR="004C2C72">
        <w:t xml:space="preserve">; </w:t>
      </w:r>
      <w:r w:rsidR="00490514">
        <w:t>and the designation of TA as a theoretically flexible method</w:t>
      </w:r>
      <w:r w:rsidR="004C2C72">
        <w:t>,</w:t>
      </w:r>
      <w:r w:rsidR="006C2E6A">
        <w:rPr>
          <w:rStyle w:val="FootnoteReference"/>
        </w:rPr>
        <w:footnoteReference w:id="2"/>
      </w:r>
      <w:r w:rsidR="00490514">
        <w:t xml:space="preserve"> rather than a theoretically informed and delimited methodology. However, they differ in </w:t>
      </w:r>
      <w:r w:rsidR="00B138D7">
        <w:t>the enactment of coding and theme development</w:t>
      </w:r>
      <w:r w:rsidR="00490514">
        <w:t>, underlying research values, and the conceptualisation of key concepts such as the theme. Procedural differences should not be dismissed as trivial, as they reflect underlying research values.</w:t>
      </w:r>
      <w:r w:rsidR="00B7184E">
        <w:t xml:space="preserve"> We found Kidder and Fine’s (1987) small q/Big Q qualitative distinction useful when developing our typology. </w:t>
      </w:r>
      <w:r w:rsidR="004C2C72">
        <w:t xml:space="preserve">We also like Finlay’s more recent (2021) distinction between scientifically descriptive (small q, positivist) and artfully interpretive (Big Q, non-positivist, reflexive) TA. </w:t>
      </w:r>
    </w:p>
    <w:p w14:paraId="1DB1540E" w14:textId="6AB1CA52" w:rsidR="006621AF" w:rsidRDefault="00B7184E">
      <w:r>
        <w:t xml:space="preserve">Small q qualitative research reflects the use of techniques of qualitative data collection and analysis within a framework of (post)positivism </w:t>
      </w:r>
      <w:r w:rsidR="004C2C72">
        <w:t>–</w:t>
      </w:r>
      <w:r>
        <w:t xml:space="preserve"> in</w:t>
      </w:r>
      <w:r w:rsidR="004C2C72">
        <w:t xml:space="preserve"> </w:t>
      </w:r>
      <w:r>
        <w:t xml:space="preserve">many disciplines, including our discipline of psychology, this is the dominant values framework for research. Coding reliability TA </w:t>
      </w:r>
      <w:r w:rsidR="00001BC7">
        <w:t>is an example of small q or positivist qualitative</w:t>
      </w:r>
      <w:r w:rsidR="00980775">
        <w:t>,</w:t>
      </w:r>
      <w:r w:rsidR="00001BC7">
        <w:t xml:space="preserve"> as it emphasising procedures for ensuring the objectivity, reliability or accuracy of coding and keeping “researcher bias” in check (e.g., such as </w:t>
      </w:r>
      <w:r w:rsidR="00B32A02">
        <w:t xml:space="preserve">through </w:t>
      </w:r>
      <w:r w:rsidR="00001BC7">
        <w:t xml:space="preserve">the use </w:t>
      </w:r>
      <w:r w:rsidR="008D7E91">
        <w:t xml:space="preserve">of </w:t>
      </w:r>
      <w:r w:rsidR="00B40A07">
        <w:t>structured codebooks</w:t>
      </w:r>
      <w:r w:rsidR="008D7E91">
        <w:t>,</w:t>
      </w:r>
      <w:r w:rsidR="00001BC7">
        <w:t xml:space="preserve"> multiple coders who independently code the same data, the calculation of intercoder agreement and consensus coding).</w:t>
      </w:r>
      <w:r w:rsidR="008444EF">
        <w:t xml:space="preserve"> </w:t>
      </w:r>
    </w:p>
    <w:p w14:paraId="36F25762" w14:textId="0A30F5D7" w:rsidR="006621AF" w:rsidRDefault="008444EF">
      <w:r>
        <w:t xml:space="preserve">Big Q </w:t>
      </w:r>
      <w:r w:rsidR="00FD6C5F">
        <w:t xml:space="preserve">qualitative involves the use of techniques of qualitative data </w:t>
      </w:r>
      <w:r w:rsidR="005816C1">
        <w:t>generation</w:t>
      </w:r>
      <w:r w:rsidR="00FD6C5F">
        <w:t xml:space="preserve"> </w:t>
      </w:r>
      <w:r w:rsidR="00FD6C5F" w:rsidRPr="005816C1">
        <w:rPr>
          <w:iCs/>
        </w:rPr>
        <w:t>and</w:t>
      </w:r>
      <w:r w:rsidR="00FD6C5F">
        <w:t xml:space="preserve"> analysis within a non-positivist framework </w:t>
      </w:r>
      <w:r w:rsidR="00980775">
        <w:t xml:space="preserve">informed by </w:t>
      </w:r>
      <w:r w:rsidR="00FD6C5F">
        <w:t>qualitative research values</w:t>
      </w:r>
      <w:r w:rsidR="00980775">
        <w:t>. T</w:t>
      </w:r>
      <w:r w:rsidR="00FD6C5F">
        <w:t xml:space="preserve">here is no </w:t>
      </w:r>
      <w:r w:rsidR="00FD6C5F" w:rsidRPr="00592C5B">
        <w:rPr>
          <w:i/>
          <w:iCs/>
        </w:rPr>
        <w:t>one</w:t>
      </w:r>
      <w:r w:rsidR="00FD6C5F">
        <w:t xml:space="preserve"> set of research values that all qualitative researchers agree on</w:t>
      </w:r>
      <w:r w:rsidR="00980775">
        <w:t xml:space="preserve">, but many </w:t>
      </w:r>
      <w:r w:rsidR="00FD6C5F">
        <w:t>emphasis</w:t>
      </w:r>
      <w:r w:rsidR="00980775">
        <w:t>e</w:t>
      </w:r>
      <w:r w:rsidR="00FD6C5F">
        <w:t xml:space="preserve"> researcher subjectivity as a resource for research</w:t>
      </w:r>
      <w:r w:rsidR="00980775">
        <w:t>,</w:t>
      </w:r>
      <w:r w:rsidR="00FD6C5F">
        <w:t xml:space="preserve"> rather than a threat to be contained</w:t>
      </w:r>
      <w:r w:rsidR="00DD2C32">
        <w:t>,</w:t>
      </w:r>
      <w:r w:rsidR="00FD6C5F">
        <w:t xml:space="preserve"> and meaning and knowledge as contextually situated, partial and provisional</w:t>
      </w:r>
      <w:r w:rsidR="00DD2C32">
        <w:t xml:space="preserve">. </w:t>
      </w:r>
      <w:r w:rsidR="008D7E91">
        <w:t>Big Q</w:t>
      </w:r>
      <w:r w:rsidR="00FD6C5F">
        <w:t xml:space="preserve"> researchers</w:t>
      </w:r>
      <w:r w:rsidR="00DD2C32">
        <w:t xml:space="preserve"> typically conceptualise</w:t>
      </w:r>
      <w:r w:rsidR="00FD6C5F">
        <w:t xml:space="preserve"> mind-</w:t>
      </w:r>
      <w:r w:rsidR="00FD6C5F" w:rsidRPr="008D7E91">
        <w:rPr>
          <w:i/>
        </w:rPr>
        <w:t>dependent</w:t>
      </w:r>
      <w:r w:rsidR="00FD6C5F">
        <w:t xml:space="preserve"> truth</w:t>
      </w:r>
      <w:r w:rsidR="008D7E91">
        <w:t>s</w:t>
      </w:r>
      <w:r w:rsidR="00DD2C32">
        <w:t>,</w:t>
      </w:r>
      <w:r w:rsidR="00FD6C5F">
        <w:t xml:space="preserve"> rather than </w:t>
      </w:r>
      <w:r w:rsidR="006621AF">
        <w:t xml:space="preserve">a </w:t>
      </w:r>
      <w:r w:rsidR="00FD6C5F">
        <w:t>mind-</w:t>
      </w:r>
      <w:r w:rsidR="00FD6C5F" w:rsidRPr="008D7E91">
        <w:rPr>
          <w:i/>
        </w:rPr>
        <w:t>independent</w:t>
      </w:r>
      <w:r w:rsidR="00FD6C5F">
        <w:t xml:space="preserve"> truth</w:t>
      </w:r>
      <w:r w:rsidR="00DD2C32">
        <w:t xml:space="preserve"> (</w:t>
      </w:r>
      <w:proofErr w:type="spellStart"/>
      <w:r w:rsidR="00DD2C32">
        <w:t>Tebes</w:t>
      </w:r>
      <w:proofErr w:type="spellEnd"/>
      <w:r w:rsidR="00592C5B">
        <w:t>, 2005</w:t>
      </w:r>
      <w:r w:rsidR="00DD2C32">
        <w:t>)</w:t>
      </w:r>
      <w:r w:rsidR="00FD6C5F">
        <w:t xml:space="preserve">. Our approach, which we now call </w:t>
      </w:r>
      <w:r w:rsidR="00FD6C5F" w:rsidRPr="008D7E91">
        <w:rPr>
          <w:i/>
        </w:rPr>
        <w:t>reflexive</w:t>
      </w:r>
      <w:r w:rsidR="00FD6C5F">
        <w:t xml:space="preserve"> TA to acknowledge the plurality of TA and better distinguish it from other approaches (see Braun &amp; Clarke, 2019), is an example of a Big Q or non-positivist qualitative approach</w:t>
      </w:r>
      <w:r w:rsidR="00DD2C32">
        <w:t xml:space="preserve"> (other reflexive approaches include </w:t>
      </w:r>
      <w:r w:rsidR="00FD6C5F">
        <w:t>Hayes</w:t>
      </w:r>
      <w:r w:rsidR="00DD2C32">
        <w:t xml:space="preserve"> [</w:t>
      </w:r>
      <w:r w:rsidR="008D7E91">
        <w:t>2000</w:t>
      </w:r>
      <w:r w:rsidR="00DD2C32">
        <w:t xml:space="preserve">] and </w:t>
      </w:r>
      <w:r w:rsidR="00FD6C5F">
        <w:t>Langdridge</w:t>
      </w:r>
      <w:r w:rsidR="00DD2C32">
        <w:t xml:space="preserve"> [</w:t>
      </w:r>
      <w:r w:rsidR="008D7E91">
        <w:t>2004</w:t>
      </w:r>
      <w:r w:rsidR="00DD2C32">
        <w:t>]</w:t>
      </w:r>
      <w:r w:rsidR="00FD6C5F">
        <w:t xml:space="preserve">). Reflexive TA approaches embrace </w:t>
      </w:r>
      <w:r w:rsidR="00DD2C32">
        <w:t xml:space="preserve">researcher </w:t>
      </w:r>
      <w:r w:rsidR="00FD6C5F">
        <w:t>subjectivity as a resource for research</w:t>
      </w:r>
      <w:r w:rsidR="00DD2C32">
        <w:t xml:space="preserve"> (rejecting positivist notions of researcher bias, see Varpio et al., 2020)</w:t>
      </w:r>
      <w:r w:rsidR="00FD6C5F">
        <w:t>, view the practice of TA as inherently subjective, emphasise researcher reflexivity</w:t>
      </w:r>
      <w:r w:rsidR="00DD2C32">
        <w:t>,</w:t>
      </w:r>
      <w:r w:rsidR="00FD6C5F">
        <w:t xml:space="preserve"> and reject the notion that coding can ever be accurate</w:t>
      </w:r>
      <w:r w:rsidR="00DD2C32">
        <w:t xml:space="preserve"> –</w:t>
      </w:r>
      <w:r w:rsidR="00FD6C5F">
        <w:t xml:space="preserve"> as it is an inherently interpretative practice</w:t>
      </w:r>
      <w:r w:rsidR="00DD2C32">
        <w:t>,</w:t>
      </w:r>
      <w:r w:rsidR="008D7E91">
        <w:t xml:space="preserve"> and meaning is not fixed within data</w:t>
      </w:r>
      <w:r w:rsidR="00FD6C5F">
        <w:t xml:space="preserve">. </w:t>
      </w:r>
    </w:p>
    <w:p w14:paraId="0A0F0A38" w14:textId="4202453E" w:rsidR="00857FAF" w:rsidRPr="006621AF" w:rsidRDefault="00FD6C5F">
      <w:pPr>
        <w:rPr>
          <w:rFonts w:cstheme="minorHAnsi"/>
        </w:rPr>
      </w:pPr>
      <w:r>
        <w:lastRenderedPageBreak/>
        <w:t xml:space="preserve">Codebook </w:t>
      </w:r>
      <w:r w:rsidR="00DD2C32">
        <w:t xml:space="preserve">approaches to </w:t>
      </w:r>
      <w:r>
        <w:t>TA – such as framework</w:t>
      </w:r>
      <w:r w:rsidR="006621AF">
        <w:t xml:space="preserve"> (</w:t>
      </w:r>
      <w:r w:rsidR="008D7E91">
        <w:t>Gale et al., 2013</w:t>
      </w:r>
      <w:r w:rsidR="006621AF">
        <w:t>)</w:t>
      </w:r>
      <w:r>
        <w:t xml:space="preserve"> or template </w:t>
      </w:r>
      <w:r w:rsidR="006621AF">
        <w:t>(</w:t>
      </w:r>
      <w:r w:rsidR="008D7E91">
        <w:t>King &amp; Brooks, 2018</w:t>
      </w:r>
      <w:r w:rsidR="006621AF">
        <w:t>)</w:t>
      </w:r>
      <w:r w:rsidR="008D7E91">
        <w:t xml:space="preserve"> </w:t>
      </w:r>
      <w:r>
        <w:t xml:space="preserve">analysis </w:t>
      </w:r>
      <w:r w:rsidR="00DD2C32">
        <w:t>–</w:t>
      </w:r>
      <w:r>
        <w:t xml:space="preserve"> combine</w:t>
      </w:r>
      <w:r w:rsidR="00DD2C32">
        <w:t xml:space="preserve"> </w:t>
      </w:r>
      <w:r w:rsidR="00B40A07">
        <w:t xml:space="preserve">some of the </w:t>
      </w:r>
      <w:r w:rsidR="00BE46BE">
        <w:t xml:space="preserve">more </w:t>
      </w:r>
      <w:r w:rsidR="00B40A07">
        <w:t>structured procedures of</w:t>
      </w:r>
      <w:r>
        <w:t xml:space="preserve"> coding reliability</w:t>
      </w:r>
      <w:r w:rsidR="000F4CF0">
        <w:t xml:space="preserve"> TA</w:t>
      </w:r>
      <w:r w:rsidR="00DD2C32">
        <w:rPr>
          <w:rStyle w:val="FootnoteReference"/>
        </w:rPr>
        <w:footnoteReference w:id="3"/>
      </w:r>
      <w:r>
        <w:t xml:space="preserve"> </w:t>
      </w:r>
      <w:r w:rsidR="00DD2C32">
        <w:t xml:space="preserve">with </w:t>
      </w:r>
      <w:r w:rsidR="00584BD2">
        <w:t xml:space="preserve">some of </w:t>
      </w:r>
      <w:r w:rsidR="00DD2C32">
        <w:t>the qualitative research values of reflexive TA</w:t>
      </w:r>
      <w:r>
        <w:t>.</w:t>
      </w:r>
      <w:r w:rsidR="00B40A07">
        <w:t xml:space="preserve"> Finally, thematic coding involves the use of grounding theory coding procedures to develop themes from data.</w:t>
      </w:r>
      <w:r w:rsidR="006621AF">
        <w:t xml:space="preserve"> Although thematic coding remains in use – including in a few of the papers in our review</w:t>
      </w:r>
      <w:r w:rsidR="0051494A">
        <w:rPr>
          <w:rStyle w:val="FootnoteReference"/>
        </w:rPr>
        <w:footnoteReference w:id="4"/>
      </w:r>
      <w:r w:rsidR="006621AF">
        <w:t xml:space="preserve"> – and discussed in </w:t>
      </w:r>
      <w:r w:rsidR="0039083D">
        <w:t xml:space="preserve">some </w:t>
      </w:r>
      <w:r w:rsidR="006621AF" w:rsidRPr="006621AF">
        <w:rPr>
          <w:rFonts w:cstheme="minorHAnsi"/>
        </w:rPr>
        <w:t xml:space="preserve">methodological texts (e.g., </w:t>
      </w:r>
      <w:r w:rsidR="006621AF" w:rsidRPr="006621AF">
        <w:rPr>
          <w:rFonts w:cstheme="minorHAnsi"/>
          <w:color w:val="242021"/>
        </w:rPr>
        <w:t>Flick, 2018; Rivas, 2018), it was more common before TA was widely recognised as a distinct method.</w:t>
      </w:r>
    </w:p>
    <w:p w14:paraId="7E07C1FC" w14:textId="317C10BE" w:rsidR="00B40A07" w:rsidRDefault="00B40A07">
      <w:r>
        <w:t>Methodological incoherence beckons when researchers seemingly unknowingly mash together</w:t>
      </w:r>
      <w:r w:rsidR="00877A60">
        <w:t xml:space="preserve"> different approaches to TA</w:t>
      </w:r>
      <w:r w:rsidR="0039083D">
        <w:t xml:space="preserve"> (see Braun &amp; Clarke, 2022a). T</w:t>
      </w:r>
      <w:r w:rsidR="00877A60">
        <w:t xml:space="preserve">here </w:t>
      </w:r>
      <w:r w:rsidR="0039083D">
        <w:t xml:space="preserve">were </w:t>
      </w:r>
      <w:r w:rsidR="00877A60">
        <w:t xml:space="preserve">several examples in the papers we reviewed of researchers using </w:t>
      </w:r>
      <w:r w:rsidR="0051494A">
        <w:t xml:space="preserve">Big Q </w:t>
      </w:r>
      <w:r w:rsidR="00877A60">
        <w:t xml:space="preserve">reflexive TA </w:t>
      </w:r>
      <w:r w:rsidR="0039083D">
        <w:t xml:space="preserve">approach and </w:t>
      </w:r>
      <w:r w:rsidR="00877A60">
        <w:t>procedures</w:t>
      </w:r>
      <w:r w:rsidR="0039083D">
        <w:t xml:space="preserve">, with conceptually incoherent additions, such as </w:t>
      </w:r>
      <w:r w:rsidR="0051494A">
        <w:t xml:space="preserve">small q </w:t>
      </w:r>
      <w:r w:rsidR="00877A60">
        <w:t>consensus coding and measuring intercoder agreement</w:t>
      </w:r>
      <w:r w:rsidR="0051494A">
        <w:t>,</w:t>
      </w:r>
      <w:r w:rsidR="00877A60">
        <w:t xml:space="preserve"> </w:t>
      </w:r>
      <w:r w:rsidR="00181C4F">
        <w:t xml:space="preserve">or </w:t>
      </w:r>
      <w:r w:rsidR="00877A60">
        <w:t>adding a codebook development</w:t>
      </w:r>
      <w:r w:rsidR="0039083D">
        <w:t>/</w:t>
      </w:r>
      <w:r w:rsidR="00877A60">
        <w:t xml:space="preserve">recoding the data phase, </w:t>
      </w:r>
      <w:r w:rsidR="0039083D">
        <w:t xml:space="preserve">or </w:t>
      </w:r>
      <w:r w:rsidR="00877A60">
        <w:t xml:space="preserve">referencing both positivist notions of researcher bias and </w:t>
      </w:r>
      <w:r w:rsidR="00181C4F">
        <w:t>Big Q</w:t>
      </w:r>
      <w:r w:rsidR="00877A60">
        <w:t xml:space="preserve"> notions of reflexivity, </w:t>
      </w:r>
      <w:r w:rsidR="0039083D">
        <w:t xml:space="preserve">or </w:t>
      </w:r>
      <w:r w:rsidR="00877A60">
        <w:t xml:space="preserve">expressing concern for the accuracy and objectivity of the coding or the potential for misinterpreting the data (implying that correct interpretation is possible). </w:t>
      </w:r>
      <w:r w:rsidR="00BE46BE">
        <w:t>The</w:t>
      </w:r>
      <w:r w:rsidR="0039083D">
        <w:t xml:space="preserve"> papers evidenced </w:t>
      </w:r>
      <w:r w:rsidR="00BE46BE">
        <w:t>little recognition</w:t>
      </w:r>
      <w:r w:rsidR="00877A60">
        <w:t xml:space="preserve"> of the potential for methodological incoherence when drawing on concepts and procedures from both positivist and </w:t>
      </w:r>
      <w:r w:rsidR="00181C4F">
        <w:t>Big Q</w:t>
      </w:r>
      <w:r w:rsidR="00877A60">
        <w:t xml:space="preserve"> </w:t>
      </w:r>
      <w:r w:rsidR="00BE46BE">
        <w:t>TA/</w:t>
      </w:r>
      <w:r w:rsidR="00877A60">
        <w:t>qualitative research</w:t>
      </w:r>
      <w:r w:rsidR="0039083D">
        <w:t>,</w:t>
      </w:r>
      <w:r w:rsidR="008D7E91">
        <w:t xml:space="preserve"> or any justification</w:t>
      </w:r>
      <w:r w:rsidR="00BE46BE">
        <w:t xml:space="preserve"> or rationale for these “mash-ups”. </w:t>
      </w:r>
      <w:r w:rsidR="0039083D">
        <w:t>In pointing this out, w</w:t>
      </w:r>
      <w:r w:rsidR="00BE46BE">
        <w:t>e’re not arguing that analytic procedures should be followed precisely like baking recipes, and that this is what constitutes good research</w:t>
      </w:r>
      <w:r w:rsidR="0039083D">
        <w:t>. Rather, a</w:t>
      </w:r>
      <w:r w:rsidR="00BE46BE">
        <w:t xml:space="preserve"> </w:t>
      </w:r>
      <w:r w:rsidR="00BE46BE" w:rsidRPr="00BE46BE">
        <w:rPr>
          <w:i/>
        </w:rPr>
        <w:t>knowing</w:t>
      </w:r>
      <w:r w:rsidR="00BE46BE">
        <w:t xml:space="preserve"> TA researcher would acknowledge their divergence from established procedures</w:t>
      </w:r>
      <w:r w:rsidR="0039083D">
        <w:t>, including conceptual incoherence,</w:t>
      </w:r>
      <w:r w:rsidR="00BE46BE">
        <w:t xml:space="preserve"> and provide a </w:t>
      </w:r>
      <w:r w:rsidR="00BE46BE" w:rsidRPr="002E6D8C">
        <w:rPr>
          <w:i/>
          <w:iCs/>
        </w:rPr>
        <w:t>rationale</w:t>
      </w:r>
      <w:r w:rsidR="00BE46BE">
        <w:t xml:space="preserve"> for their innovative approach. It’s not the case that “anything goes” in TA research</w:t>
      </w:r>
      <w:r w:rsidR="0039083D">
        <w:t>, as the procedures have broad paradigmatic and conceptual foundations. R</w:t>
      </w:r>
      <w:r w:rsidR="002A585A">
        <w:t>esearchers can</w:t>
      </w:r>
      <w:r w:rsidR="0039083D">
        <w:t>no</w:t>
      </w:r>
      <w:r w:rsidR="002A585A">
        <w:t xml:space="preserve">t </w:t>
      </w:r>
      <w:r w:rsidR="0051494A">
        <w:t>c</w:t>
      </w:r>
      <w:r w:rsidR="002A585A">
        <w:t xml:space="preserve">oherently </w:t>
      </w:r>
      <w:r w:rsidR="0051494A">
        <w:t xml:space="preserve">be </w:t>
      </w:r>
      <w:r w:rsidR="002A585A">
        <w:t xml:space="preserve">both </w:t>
      </w:r>
      <w:r w:rsidR="000A16CB">
        <w:t xml:space="preserve">a descriptive </w:t>
      </w:r>
      <w:r w:rsidR="002A585A">
        <w:t>scienti</w:t>
      </w:r>
      <w:r w:rsidR="000A16CB">
        <w:t>st and an interpretative</w:t>
      </w:r>
      <w:r w:rsidR="002A585A">
        <w:t xml:space="preserve"> art</w:t>
      </w:r>
      <w:r w:rsidR="000A16CB">
        <w:t>ist</w:t>
      </w:r>
      <w:r w:rsidR="00BE46BE">
        <w:t xml:space="preserve"> </w:t>
      </w:r>
      <w:r w:rsidR="0039083D">
        <w:t>(Finlay, 2021). T</w:t>
      </w:r>
      <w:r w:rsidR="00BE46BE">
        <w:t>he procedures we and other TA methodologists have developed are thought</w:t>
      </w:r>
      <w:r w:rsidR="0039083D">
        <w:t>-through</w:t>
      </w:r>
      <w:r w:rsidR="00BE46BE">
        <w:t xml:space="preserve"> manifestations of underlying research values, </w:t>
      </w:r>
      <w:r w:rsidR="0039083D">
        <w:t xml:space="preserve">meaning </w:t>
      </w:r>
      <w:r w:rsidR="00BE46BE">
        <w:t>divergences and mash-ups should be equally thoughtful.</w:t>
      </w:r>
    </w:p>
    <w:p w14:paraId="57167E49" w14:textId="77777777" w:rsidR="00625894" w:rsidRDefault="00625894"/>
    <w:p w14:paraId="0AA9D0DE" w14:textId="2F93DBEE" w:rsidR="002A585A" w:rsidRPr="008C4815" w:rsidRDefault="002A585A">
      <w:pPr>
        <w:rPr>
          <w:b/>
        </w:rPr>
      </w:pPr>
      <w:r w:rsidRPr="008C4815">
        <w:rPr>
          <w:b/>
        </w:rPr>
        <w:t xml:space="preserve">Telling </w:t>
      </w:r>
      <w:r w:rsidR="00D67006">
        <w:rPr>
          <w:b/>
        </w:rPr>
        <w:t xml:space="preserve">meaning-united </w:t>
      </w:r>
      <w:r w:rsidRPr="008C4815">
        <w:rPr>
          <w:b/>
        </w:rPr>
        <w:t>stories or summarising topics?</w:t>
      </w:r>
    </w:p>
    <w:p w14:paraId="38B3D405" w14:textId="7C840CA0" w:rsidR="00960226" w:rsidRDefault="00BE46BE">
      <w:r>
        <w:t>Another divergence across the TA family of methods relates to the conceptualisation of themes</w:t>
      </w:r>
      <w:r w:rsidR="002A585A">
        <w:t xml:space="preserve"> and whether themes are understood as </w:t>
      </w:r>
      <w:r w:rsidR="005D50F2">
        <w:t xml:space="preserve">a) </w:t>
      </w:r>
      <w:r w:rsidR="002A585A">
        <w:t>summaries of topics or categories</w:t>
      </w:r>
      <w:r w:rsidR="008C4815">
        <w:t xml:space="preserve"> (what is shared and unites the observations in the theme is the topic</w:t>
      </w:r>
      <w:r w:rsidR="00343737">
        <w:t xml:space="preserve">, such as </w:t>
      </w:r>
      <w:r w:rsidR="00AA478C">
        <w:t>“</w:t>
      </w:r>
      <w:r w:rsidR="00343737">
        <w:t xml:space="preserve">good experiences </w:t>
      </w:r>
      <w:r w:rsidR="00421930">
        <w:t>in healthcare</w:t>
      </w:r>
      <w:r w:rsidR="00AA478C">
        <w:t>”</w:t>
      </w:r>
      <w:r w:rsidR="008C4815">
        <w:t>)</w:t>
      </w:r>
      <w:r w:rsidR="002E6D8C">
        <w:t>;</w:t>
      </w:r>
      <w:r w:rsidR="008C4815">
        <w:t xml:space="preserve"> or </w:t>
      </w:r>
      <w:r w:rsidR="005D50F2">
        <w:t>b) a core idea or meaning (what is shared and unites the observations in the theme is meaning), and the telling of an</w:t>
      </w:r>
      <w:r w:rsidR="008C4815">
        <w:t xml:space="preserve"> interpretative stor</w:t>
      </w:r>
      <w:r w:rsidR="005D50F2">
        <w:t>y about it. T</w:t>
      </w:r>
      <w:r w:rsidR="008C4815">
        <w:t xml:space="preserve">his latter type of </w:t>
      </w:r>
      <w:r w:rsidR="0051494A">
        <w:t>theme</w:t>
      </w:r>
      <w:r w:rsidR="008C4815">
        <w:t xml:space="preserve"> </w:t>
      </w:r>
      <w:r w:rsidR="00171A1C">
        <w:t>can</w:t>
      </w:r>
      <w:r w:rsidR="005D50F2">
        <w:t xml:space="preserve"> </w:t>
      </w:r>
      <w:r w:rsidR="008C4815">
        <w:t xml:space="preserve">draw together data </w:t>
      </w:r>
      <w:r w:rsidR="00171A1C">
        <w:t xml:space="preserve">connected to even seemingly unrelated </w:t>
      </w:r>
      <w:r w:rsidR="008C4815">
        <w:t>topics</w:t>
      </w:r>
      <w:r w:rsidR="00171A1C">
        <w:t>, if the core idea or meaning is evident</w:t>
      </w:r>
      <w:r>
        <w:t>.</w:t>
      </w:r>
      <w:r w:rsidR="008C4815">
        <w:t xml:space="preserve"> Topic summaries as themes are common in coding reliability and some codebook TA, and thematic coding</w:t>
      </w:r>
      <w:r w:rsidR="009B38D5">
        <w:t>; t</w:t>
      </w:r>
      <w:r w:rsidR="008C4815">
        <w:t xml:space="preserve">hemes in reflexive, and some codebook, TA are conceptualised as </w:t>
      </w:r>
      <w:r w:rsidR="00171A1C">
        <w:t xml:space="preserve">meaning-based, </w:t>
      </w:r>
      <w:r w:rsidR="008C4815">
        <w:t xml:space="preserve">interpretative stories. </w:t>
      </w:r>
      <w:r w:rsidR="009B38D5">
        <w:t>B</w:t>
      </w:r>
      <w:r w:rsidR="00AC66FA">
        <w:t xml:space="preserve">ut </w:t>
      </w:r>
      <w:r w:rsidR="009B38D5">
        <w:t xml:space="preserve">these conceptualisations </w:t>
      </w:r>
      <w:r w:rsidR="002E6D8C">
        <w:t xml:space="preserve">often </w:t>
      </w:r>
      <w:r w:rsidR="009B38D5">
        <w:t xml:space="preserve">don’t map onto </w:t>
      </w:r>
      <w:r w:rsidR="00AC66FA">
        <w:t xml:space="preserve">what happens </w:t>
      </w:r>
      <w:r w:rsidR="008C4815">
        <w:t>in practice</w:t>
      </w:r>
      <w:r w:rsidR="00AC66FA">
        <w:t>. To</w:t>
      </w:r>
      <w:r w:rsidR="008C4815">
        <w:t xml:space="preserve">pic summary themes are </w:t>
      </w:r>
      <w:r w:rsidR="00AC66FA">
        <w:t xml:space="preserve">so </w:t>
      </w:r>
      <w:r w:rsidR="008C4815">
        <w:t>widely used in reflexive TA</w:t>
      </w:r>
      <w:r w:rsidR="00AC66FA">
        <w:t xml:space="preserve"> that we have identified th</w:t>
      </w:r>
      <w:r w:rsidR="008C4815">
        <w:t xml:space="preserve">is </w:t>
      </w:r>
      <w:r w:rsidR="00AC66FA">
        <w:t>as</w:t>
      </w:r>
      <w:r w:rsidR="008C4815">
        <w:t xml:space="preserve"> the most “common </w:t>
      </w:r>
      <w:r w:rsidR="008C4815">
        <w:lastRenderedPageBreak/>
        <w:t xml:space="preserve">problem” in reflexive TA </w:t>
      </w:r>
      <w:r w:rsidR="00AA1D93">
        <w:t>(see Braun &amp; Clarke, 2021</w:t>
      </w:r>
      <w:r w:rsidR="00846622">
        <w:t>a</w:t>
      </w:r>
      <w:r w:rsidR="00AA1D93">
        <w:t>)</w:t>
      </w:r>
      <w:r w:rsidR="00AC66FA">
        <w:t xml:space="preserve"> –</w:t>
      </w:r>
      <w:r w:rsidR="00AA1D93">
        <w:t xml:space="preserve"> </w:t>
      </w:r>
      <w:r w:rsidR="008C4815">
        <w:t xml:space="preserve">alongside what </w:t>
      </w:r>
      <w:r w:rsidR="00C167EF">
        <w:t>we</w:t>
      </w:r>
      <w:r w:rsidR="008C4815">
        <w:t xml:space="preserve"> call “positivism creep</w:t>
      </w:r>
      <w:r w:rsidR="009B38D5">
        <w:t>”</w:t>
      </w:r>
      <w:r w:rsidR="00AC66FA">
        <w:t>,</w:t>
      </w:r>
      <w:r w:rsidR="008C4815">
        <w:t xml:space="preserve"> where positivism slips unknowingly into reflexive TA (through the use of concepts like researcher bias</w:t>
      </w:r>
      <w:r w:rsidR="00AC66FA">
        <w:t xml:space="preserve">; </w:t>
      </w:r>
      <w:r w:rsidR="008C4815">
        <w:t>see Braun &amp; Clarke, 2022</w:t>
      </w:r>
      <w:r w:rsidR="00AC66FA">
        <w:t>b</w:t>
      </w:r>
      <w:r w:rsidR="008C4815">
        <w:t xml:space="preserve">). </w:t>
      </w:r>
      <w:r w:rsidR="00AA1D93">
        <w:t xml:space="preserve">Both </w:t>
      </w:r>
      <w:r w:rsidR="00960226">
        <w:t xml:space="preserve">problems – </w:t>
      </w:r>
      <w:r w:rsidR="00AA1D93">
        <w:t xml:space="preserve">positivism creep, and the use of topic summary themes in reflexive TA </w:t>
      </w:r>
      <w:r w:rsidR="00960226">
        <w:t xml:space="preserve">– </w:t>
      </w:r>
      <w:r w:rsidR="00AA1D93">
        <w:t xml:space="preserve">were evident in the papers we reviewed. </w:t>
      </w:r>
      <w:r w:rsidR="00960226">
        <w:t xml:space="preserve">For us, the distinction between </w:t>
      </w:r>
      <w:r w:rsidR="009B38D5">
        <w:t>these two “</w:t>
      </w:r>
      <w:r w:rsidR="00960226">
        <w:t>types</w:t>
      </w:r>
      <w:r w:rsidR="009B38D5">
        <w:t>”</w:t>
      </w:r>
      <w:r w:rsidR="00960226">
        <w:t xml:space="preserve"> of theme is very clear, but </w:t>
      </w:r>
      <w:r w:rsidR="008C4815">
        <w:t>we know researchers sometimes struggle with th</w:t>
      </w:r>
      <w:r w:rsidR="00C167EF">
        <w:t xml:space="preserve">e </w:t>
      </w:r>
      <w:r w:rsidR="008C4815">
        <w:t>distinction</w:t>
      </w:r>
      <w:r w:rsidR="00960226">
        <w:t>. So</w:t>
      </w:r>
      <w:r w:rsidR="009B38D5">
        <w:t>,</w:t>
      </w:r>
      <w:r w:rsidR="00960226">
        <w:t xml:space="preserve"> </w:t>
      </w:r>
      <w:r w:rsidR="008C4815">
        <w:t>if you</w:t>
      </w:r>
      <w:r w:rsidR="00C167EF">
        <w:t>’</w:t>
      </w:r>
      <w:r w:rsidR="008C4815">
        <w:t xml:space="preserve">re doing reflexive TA, </w:t>
      </w:r>
      <w:r w:rsidR="009611B9">
        <w:t>how</w:t>
      </w:r>
      <w:r w:rsidR="00960226">
        <w:t xml:space="preserve"> might you check </w:t>
      </w:r>
      <w:r w:rsidR="008C4815">
        <w:t xml:space="preserve">if your theme is a topic summary or a </w:t>
      </w:r>
      <w:r w:rsidR="00960226">
        <w:t xml:space="preserve">meaning-based </w:t>
      </w:r>
      <w:r w:rsidR="008C4815">
        <w:t>interpretive story?</w:t>
      </w:r>
      <w:r w:rsidR="00AA1D93">
        <w:t xml:space="preserve"> If you could conceivably </w:t>
      </w:r>
      <w:r w:rsidR="00960226">
        <w:t xml:space="preserve">have </w:t>
      </w:r>
      <w:r w:rsidR="00AA1D93">
        <w:t xml:space="preserve">developed this theme </w:t>
      </w:r>
      <w:r w:rsidR="00AA1D93" w:rsidRPr="00AA1D93">
        <w:rPr>
          <w:i/>
        </w:rPr>
        <w:t>before</w:t>
      </w:r>
      <w:r w:rsidR="00AA1D93">
        <w:t xml:space="preserve"> analysing your data, or if it maps closely on to a data collection question, then it </w:t>
      </w:r>
      <w:r w:rsidR="00960226">
        <w:t xml:space="preserve">is quite likely to </w:t>
      </w:r>
      <w:r w:rsidR="00AA1D93">
        <w:t xml:space="preserve">be a topic summary. </w:t>
      </w:r>
      <w:r w:rsidR="00960226">
        <w:t>Similarly, i</w:t>
      </w:r>
      <w:r w:rsidR="00AA1D93">
        <w:t xml:space="preserve">f it summarises </w:t>
      </w:r>
      <w:r w:rsidR="00960226">
        <w:t xml:space="preserve">the different or main things </w:t>
      </w:r>
      <w:r w:rsidR="00AA1D93">
        <w:t>participants said</w:t>
      </w:r>
      <w:r w:rsidR="00960226">
        <w:t xml:space="preserve"> about a particular issue or topic. Theme names can suggest a topic summary </w:t>
      </w:r>
      <w:r w:rsidR="00421930">
        <w:t>through, for instance, a</w:t>
      </w:r>
      <w:r w:rsidR="00AA1D93">
        <w:t xml:space="preserve"> one</w:t>
      </w:r>
      <w:r w:rsidR="00614FE4">
        <w:t>-</w:t>
      </w:r>
      <w:r w:rsidR="00AA1D93">
        <w:t xml:space="preserve">word </w:t>
      </w:r>
      <w:r w:rsidR="00421930">
        <w:t xml:space="preserve">name </w:t>
      </w:r>
      <w:r w:rsidR="00AA1D93">
        <w:t>that identifies the topic</w:t>
      </w:r>
      <w:r w:rsidR="00421930">
        <w:t>, such as “Doctors”</w:t>
      </w:r>
      <w:r w:rsidR="00AA1D93">
        <w:t>, or something like “Experiences of…”, “Barriers to…”, “Influences on…”, suggest</w:t>
      </w:r>
      <w:r w:rsidR="00960226">
        <w:t>ing</w:t>
      </w:r>
      <w:r w:rsidR="00AA1D93">
        <w:t xml:space="preserve"> diverse experiences, barriers and influences </w:t>
      </w:r>
      <w:r w:rsidR="00960226">
        <w:t>will</w:t>
      </w:r>
      <w:r w:rsidR="00AA1D93">
        <w:t xml:space="preserve"> be discussed</w:t>
      </w:r>
      <w:r w:rsidR="00960226">
        <w:t xml:space="preserve"> (sometimes </w:t>
      </w:r>
      <w:r w:rsidR="009611B9">
        <w:t xml:space="preserve">meaning-based </w:t>
      </w:r>
      <w:r w:rsidR="00960226">
        <w:t>the</w:t>
      </w:r>
      <w:r w:rsidR="009611B9">
        <w:t>mes</w:t>
      </w:r>
      <w:r w:rsidR="00960226">
        <w:t xml:space="preserve"> may </w:t>
      </w:r>
      <w:r w:rsidR="009611B9">
        <w:t xml:space="preserve">just </w:t>
      </w:r>
      <w:r w:rsidR="00960226">
        <w:t>be badly named, see Braun &amp; Clarke 2022b)</w:t>
      </w:r>
      <w:r w:rsidR="00AA1D93">
        <w:t xml:space="preserve">. </w:t>
      </w:r>
      <w:r w:rsidR="00C167EF">
        <w:t>By contrast</w:t>
      </w:r>
      <w:r w:rsidR="00421930">
        <w:t>,</w:t>
      </w:r>
      <w:r w:rsidR="00C167EF">
        <w:t xml:space="preserve"> themes as interpretative stories</w:t>
      </w:r>
      <w:r w:rsidR="00421930">
        <w:t xml:space="preserve"> built around uniting meaning </w:t>
      </w:r>
      <w:r w:rsidR="00C167EF">
        <w:t>can</w:t>
      </w:r>
      <w:r w:rsidR="00421930">
        <w:t>no</w:t>
      </w:r>
      <w:r w:rsidR="00C167EF">
        <w:t xml:space="preserve">t be developed in advance of analysis. </w:t>
      </w:r>
      <w:r w:rsidR="00421930">
        <w:t xml:space="preserve">They contain diversity, but they have a central idea that unifies the diversity (instead of </w:t>
      </w:r>
      <w:r w:rsidR="00D92A90">
        <w:t>“</w:t>
      </w:r>
      <w:r w:rsidR="00421930">
        <w:t xml:space="preserve">good experiences </w:t>
      </w:r>
      <w:r w:rsidR="00D92A90">
        <w:t>of</w:t>
      </w:r>
      <w:r w:rsidR="00421930">
        <w:t xml:space="preserve"> healthcare</w:t>
      </w:r>
      <w:r w:rsidR="00D92A90">
        <w:t>”</w:t>
      </w:r>
      <w:r w:rsidR="00421930">
        <w:t xml:space="preserve"> you might have </w:t>
      </w:r>
      <w:r w:rsidR="009611B9">
        <w:t>the</w:t>
      </w:r>
      <w:r w:rsidR="00421930">
        <w:t xml:space="preserve"> theme </w:t>
      </w:r>
      <w:r w:rsidR="00D92A90">
        <w:t>“</w:t>
      </w:r>
      <w:r w:rsidR="00421930">
        <w:t xml:space="preserve">validation of </w:t>
      </w:r>
      <w:r w:rsidR="00A17007">
        <w:t xml:space="preserve">my </w:t>
      </w:r>
      <w:r w:rsidR="00421930">
        <w:t>personhood</w:t>
      </w:r>
      <w:r w:rsidR="00D92A90">
        <w:t>”</w:t>
      </w:r>
      <w:r w:rsidR="00421930">
        <w:t>).</w:t>
      </w:r>
    </w:p>
    <w:p w14:paraId="3D16F2AD" w14:textId="70E553DA" w:rsidR="003F79D5" w:rsidRPr="00CE0A7E" w:rsidRDefault="000B2308">
      <w:pPr>
        <w:rPr>
          <w:rFonts w:cstheme="minorHAnsi"/>
        </w:rPr>
      </w:pPr>
      <w:r>
        <w:t xml:space="preserve">Two </w:t>
      </w:r>
      <w:r w:rsidR="00421930">
        <w:t>of</w:t>
      </w:r>
      <w:r>
        <w:t xml:space="preserve"> </w:t>
      </w:r>
      <w:r w:rsidR="00421930">
        <w:t xml:space="preserve">the </w:t>
      </w:r>
      <w:r w:rsidR="00960226">
        <w:t xml:space="preserve">reviewed </w:t>
      </w:r>
      <w:r>
        <w:t>papers</w:t>
      </w:r>
      <w:r w:rsidR="00421930">
        <w:t xml:space="preserve"> provided clear examples of themes as meaning-base</w:t>
      </w:r>
      <w:r w:rsidR="00AA478C">
        <w:t>d</w:t>
      </w:r>
      <w:r w:rsidR="00421930">
        <w:t xml:space="preserve"> interpretative stories</w:t>
      </w:r>
      <w:r>
        <w:t>.</w:t>
      </w:r>
      <w:r w:rsidR="00960226">
        <w:t xml:space="preserve"> </w:t>
      </w:r>
      <w:r w:rsidR="003F79D5">
        <w:t>Fraser et al. (2021</w:t>
      </w:r>
      <w:r w:rsidR="00CE0A7E">
        <w:t>)</w:t>
      </w:r>
      <w:r w:rsidR="002F62DE">
        <w:t xml:space="preserve"> explor</w:t>
      </w:r>
      <w:r w:rsidR="00931C3D">
        <w:t>ed</w:t>
      </w:r>
      <w:r w:rsidR="002F62DE">
        <w:t xml:space="preserve"> transgender adults’ experiences of gender affirming healthcare </w:t>
      </w:r>
      <w:r w:rsidR="00931C3D">
        <w:t xml:space="preserve">readiness assessments </w:t>
      </w:r>
      <w:r w:rsidR="002F62DE">
        <w:t>in New Zealand</w:t>
      </w:r>
      <w:r w:rsidR="00931C3D">
        <w:t>. In contrast to most of the papers reviewed, which report higher numbers of themes and subthemes, Fraser et al. report</w:t>
      </w:r>
      <w:r w:rsidR="00421930">
        <w:t>ed</w:t>
      </w:r>
      <w:r w:rsidR="00931C3D">
        <w:t xml:space="preserve"> two themes: </w:t>
      </w:r>
      <w:r w:rsidR="00931C3D" w:rsidRPr="009611B9">
        <w:rPr>
          <w:i/>
          <w:iCs/>
        </w:rPr>
        <w:t>proving gender</w:t>
      </w:r>
      <w:r w:rsidR="00931C3D">
        <w:t xml:space="preserve"> and </w:t>
      </w:r>
      <w:r w:rsidR="00931C3D" w:rsidRPr="009611B9">
        <w:rPr>
          <w:i/>
          <w:iCs/>
        </w:rPr>
        <w:t>the trans narrative</w:t>
      </w:r>
      <w:r w:rsidR="00931C3D">
        <w:t xml:space="preserve">. </w:t>
      </w:r>
      <w:r w:rsidR="00931C3D" w:rsidRPr="009611B9">
        <w:rPr>
          <w:i/>
          <w:iCs/>
        </w:rPr>
        <w:t>Proving gender</w:t>
      </w:r>
      <w:r w:rsidR="00931C3D">
        <w:t xml:space="preserve"> </w:t>
      </w:r>
      <w:r w:rsidR="00421930">
        <w:t xml:space="preserve">centred around </w:t>
      </w:r>
      <w:r w:rsidR="00931C3D">
        <w:t xml:space="preserve">participants’ experiences of the assessment process as an aversive gatekeeping practice designed to test whether they were adequately or truly trans. </w:t>
      </w:r>
      <w:r w:rsidR="00931C3D" w:rsidRPr="009611B9">
        <w:rPr>
          <w:i/>
          <w:iCs/>
        </w:rPr>
        <w:t>The trans narrative</w:t>
      </w:r>
      <w:r w:rsidR="00931C3D">
        <w:t xml:space="preserve"> </w:t>
      </w:r>
      <w:r w:rsidR="00421930">
        <w:t xml:space="preserve">centred around </w:t>
      </w:r>
      <w:r w:rsidR="00B95C80">
        <w:t xml:space="preserve">the pressure </w:t>
      </w:r>
      <w:r w:rsidR="00931C3D">
        <w:t>participants</w:t>
      </w:r>
      <w:r w:rsidR="00B95C80">
        <w:t xml:space="preserve"> felt – because of the testing if they were “</w:t>
      </w:r>
      <w:r w:rsidR="009611B9">
        <w:t xml:space="preserve">properly </w:t>
      </w:r>
      <w:r w:rsidR="00B95C80">
        <w:t>trans” character of the assessment process – to present their gender in a particular way</w:t>
      </w:r>
      <w:r w:rsidR="00421930">
        <w:t>,</w:t>
      </w:r>
      <w:r w:rsidR="00B95C80">
        <w:t xml:space="preserve"> in order to gain access to gender affirming healthcare. </w:t>
      </w:r>
      <w:r w:rsidR="00B95C80" w:rsidRPr="009611B9">
        <w:rPr>
          <w:i/>
          <w:iCs/>
        </w:rPr>
        <w:t>The trans narrative</w:t>
      </w:r>
      <w:r w:rsidR="00B95C80">
        <w:t xml:space="preserve"> required a binary trans identity, knowing they were trans from a very young age and wanting “full” medical </w:t>
      </w:r>
      <w:r w:rsidR="00B95C80" w:rsidRPr="00B95C80">
        <w:rPr>
          <w:rFonts w:cstheme="minorHAnsi"/>
        </w:rPr>
        <w:t xml:space="preserve">transition. </w:t>
      </w:r>
      <w:proofErr w:type="spellStart"/>
      <w:r w:rsidR="00B95C80" w:rsidRPr="00B95C80">
        <w:rPr>
          <w:rFonts w:cstheme="minorHAnsi"/>
          <w:color w:val="000000"/>
        </w:rPr>
        <w:t>Frohard-Dourlent</w:t>
      </w:r>
      <w:proofErr w:type="spellEnd"/>
      <w:r w:rsidR="00B95C80" w:rsidRPr="00B95C80">
        <w:rPr>
          <w:rFonts w:cstheme="minorHAnsi"/>
          <w:color w:val="000000"/>
        </w:rPr>
        <w:t xml:space="preserve"> et al. (2020) explored experiences of surgical readiness assessments in Canada</w:t>
      </w:r>
      <w:r w:rsidR="00CE0A7E">
        <w:rPr>
          <w:rFonts w:cstheme="minorHAnsi"/>
          <w:color w:val="000000"/>
        </w:rPr>
        <w:t xml:space="preserve"> and </w:t>
      </w:r>
      <w:r w:rsidR="009611B9">
        <w:rPr>
          <w:rFonts w:cstheme="minorHAnsi"/>
          <w:color w:val="000000"/>
        </w:rPr>
        <w:t xml:space="preserve">reported </w:t>
      </w:r>
      <w:r w:rsidR="00CE0A7E">
        <w:rPr>
          <w:rFonts w:cstheme="minorHAnsi"/>
          <w:color w:val="000000"/>
        </w:rPr>
        <w:t>three themes and seven sub-themes</w:t>
      </w:r>
      <w:r w:rsidR="00CE0A7E" w:rsidRPr="00CE0A7E">
        <w:rPr>
          <w:rFonts w:cstheme="minorHAnsi"/>
        </w:rPr>
        <w:t xml:space="preserve"> 1) Assessments as gatekeeping (incorporating three subthemes</w:t>
      </w:r>
      <w:r w:rsidR="003D2BD1">
        <w:rPr>
          <w:rFonts w:cstheme="minorHAnsi"/>
        </w:rPr>
        <w:t xml:space="preserve">: </w:t>
      </w:r>
      <w:r w:rsidR="00CE0A7E" w:rsidRPr="00CE0A7E">
        <w:rPr>
          <w:rFonts w:cstheme="minorHAnsi"/>
        </w:rPr>
        <w:t>assessment</w:t>
      </w:r>
      <w:r w:rsidR="00CE0A7E">
        <w:rPr>
          <w:rFonts w:cstheme="minorHAnsi"/>
        </w:rPr>
        <w:t>s a</w:t>
      </w:r>
      <w:r w:rsidR="00CE0A7E" w:rsidRPr="00CE0A7E">
        <w:rPr>
          <w:rFonts w:cstheme="minorHAnsi"/>
        </w:rPr>
        <w:t>s outdated and irrelevant</w:t>
      </w:r>
      <w:r w:rsidR="003D2BD1">
        <w:rPr>
          <w:rFonts w:cstheme="minorHAnsi"/>
        </w:rPr>
        <w:t>;</w:t>
      </w:r>
      <w:r w:rsidR="00CE0A7E" w:rsidRPr="00CE0A7E">
        <w:rPr>
          <w:rFonts w:cstheme="minorHAnsi"/>
        </w:rPr>
        <w:t xml:space="preserve"> power asymmetry undermining care</w:t>
      </w:r>
      <w:r w:rsidR="003D2BD1">
        <w:rPr>
          <w:rFonts w:cstheme="minorHAnsi"/>
        </w:rPr>
        <w:t>;</w:t>
      </w:r>
      <w:r w:rsidR="003D2BD1" w:rsidRPr="00CE0A7E">
        <w:rPr>
          <w:rFonts w:cstheme="minorHAnsi"/>
        </w:rPr>
        <w:t xml:space="preserve"> </w:t>
      </w:r>
      <w:r w:rsidR="00CE0A7E" w:rsidRPr="00CE0A7E">
        <w:rPr>
          <w:rFonts w:cstheme="minorHAnsi"/>
        </w:rPr>
        <w:t>assessments as discriminatory); 2) Assessments as a barrier to care</w:t>
      </w:r>
      <w:r w:rsidR="00CE0A7E">
        <w:rPr>
          <w:rFonts w:cstheme="minorHAnsi"/>
        </w:rPr>
        <w:t xml:space="preserve"> (</w:t>
      </w:r>
      <w:r w:rsidR="003D2BD1">
        <w:rPr>
          <w:rFonts w:cstheme="minorHAnsi"/>
        </w:rPr>
        <w:t xml:space="preserve">subthemes: </w:t>
      </w:r>
      <w:r w:rsidR="00CE0A7E">
        <w:rPr>
          <w:rFonts w:cstheme="minorHAnsi"/>
        </w:rPr>
        <w:t>assessments as confusing</w:t>
      </w:r>
      <w:r w:rsidR="003D2BD1">
        <w:rPr>
          <w:rFonts w:cstheme="minorHAnsi"/>
        </w:rPr>
        <w:t>;</w:t>
      </w:r>
      <w:r w:rsidR="00CE0A7E">
        <w:rPr>
          <w:rFonts w:cstheme="minorHAnsi"/>
        </w:rPr>
        <w:t xml:space="preserve"> </w:t>
      </w:r>
      <w:r w:rsidR="003D2BD1">
        <w:rPr>
          <w:rFonts w:cstheme="minorHAnsi"/>
        </w:rPr>
        <w:t xml:space="preserve">and </w:t>
      </w:r>
      <w:r w:rsidR="00CE0A7E">
        <w:rPr>
          <w:rFonts w:cstheme="minorHAnsi"/>
        </w:rPr>
        <w:t>inaccessible)</w:t>
      </w:r>
      <w:r w:rsidR="00CE0A7E" w:rsidRPr="00CE0A7E">
        <w:rPr>
          <w:rFonts w:cstheme="minorHAnsi"/>
        </w:rPr>
        <w:t>; and 3) Assessments as useful</w:t>
      </w:r>
      <w:r w:rsidR="00CE0A7E">
        <w:rPr>
          <w:rFonts w:cstheme="minorHAnsi"/>
        </w:rPr>
        <w:t xml:space="preserve"> (</w:t>
      </w:r>
      <w:r w:rsidR="003D2BD1">
        <w:rPr>
          <w:rFonts w:cstheme="minorHAnsi"/>
        </w:rPr>
        <w:t xml:space="preserve">subthemes: </w:t>
      </w:r>
      <w:r w:rsidR="00CE0A7E">
        <w:rPr>
          <w:rFonts w:cstheme="minorHAnsi"/>
        </w:rPr>
        <w:t>assessments as effective and clarifying</w:t>
      </w:r>
      <w:r w:rsidR="003D2BD1">
        <w:rPr>
          <w:rFonts w:cstheme="minorHAnsi"/>
        </w:rPr>
        <w:t>;</w:t>
      </w:r>
      <w:r w:rsidR="00CE0A7E">
        <w:rPr>
          <w:rFonts w:cstheme="minorHAnsi"/>
        </w:rPr>
        <w:t xml:space="preserve"> and affirming)</w:t>
      </w:r>
      <w:r w:rsidR="00B95C80" w:rsidRPr="00CE0A7E">
        <w:rPr>
          <w:rFonts w:cstheme="minorHAnsi"/>
        </w:rPr>
        <w:t>.</w:t>
      </w:r>
      <w:r w:rsidR="00CE0A7E">
        <w:rPr>
          <w:rFonts w:cstheme="minorHAnsi"/>
        </w:rPr>
        <w:t xml:space="preserve"> </w:t>
      </w:r>
      <w:r w:rsidR="003D2BD1">
        <w:rPr>
          <w:rFonts w:cstheme="minorHAnsi"/>
        </w:rPr>
        <w:t>Similar to experiences reported by Fraser et al., participants</w:t>
      </w:r>
      <w:r w:rsidR="001D4D2E">
        <w:rPr>
          <w:rFonts w:cstheme="minorHAnsi"/>
        </w:rPr>
        <w:t xml:space="preserve"> often experienced the assessment process as aversive gatekeeping, with health professionals having the power to deny access to care</w:t>
      </w:r>
      <w:r w:rsidR="00A84EED">
        <w:rPr>
          <w:rFonts w:cstheme="minorHAnsi"/>
        </w:rPr>
        <w:t>, and compel conformity to an archetypal and outdated binary trans narrative</w:t>
      </w:r>
      <w:r w:rsidR="001D4D2E">
        <w:rPr>
          <w:rFonts w:cstheme="minorHAnsi"/>
        </w:rPr>
        <w:t xml:space="preserve">. Assessments were experienced as difficult to access because of </w:t>
      </w:r>
      <w:r w:rsidR="00A84EED">
        <w:rPr>
          <w:rFonts w:cstheme="minorHAnsi"/>
        </w:rPr>
        <w:t xml:space="preserve">opaqueness, </w:t>
      </w:r>
      <w:r w:rsidR="001D4D2E">
        <w:rPr>
          <w:rFonts w:cstheme="minorHAnsi"/>
        </w:rPr>
        <w:t>bureaucra</w:t>
      </w:r>
      <w:r w:rsidR="007B6283">
        <w:rPr>
          <w:rFonts w:cstheme="minorHAnsi"/>
        </w:rPr>
        <w:t>cy</w:t>
      </w:r>
      <w:r w:rsidR="001D4D2E">
        <w:rPr>
          <w:rFonts w:cstheme="minorHAnsi"/>
        </w:rPr>
        <w:t xml:space="preserve"> and </w:t>
      </w:r>
      <w:r w:rsidR="007B6283">
        <w:rPr>
          <w:rFonts w:cstheme="minorHAnsi"/>
        </w:rPr>
        <w:t>a lack of socio-</w:t>
      </w:r>
      <w:r w:rsidR="001D4D2E">
        <w:rPr>
          <w:rFonts w:cstheme="minorHAnsi"/>
        </w:rPr>
        <w:t>economic</w:t>
      </w:r>
      <w:r w:rsidR="007B6283">
        <w:rPr>
          <w:rFonts w:cstheme="minorHAnsi"/>
        </w:rPr>
        <w:t xml:space="preserve"> privilege</w:t>
      </w:r>
      <w:r w:rsidR="001D4D2E">
        <w:rPr>
          <w:rFonts w:cstheme="minorHAnsi"/>
        </w:rPr>
        <w:t xml:space="preserve">. Assessment were also conversely experienced as positive </w:t>
      </w:r>
      <w:r w:rsidR="007B6283">
        <w:rPr>
          <w:rFonts w:cstheme="minorHAnsi"/>
        </w:rPr>
        <w:t>by some</w:t>
      </w:r>
      <w:r w:rsidR="003D2BD1">
        <w:rPr>
          <w:rFonts w:cstheme="minorHAnsi"/>
        </w:rPr>
        <w:t>,</w:t>
      </w:r>
      <w:r w:rsidR="007B6283">
        <w:rPr>
          <w:rFonts w:cstheme="minorHAnsi"/>
        </w:rPr>
        <w:t xml:space="preserve"> with</w:t>
      </w:r>
      <w:r w:rsidR="001D4D2E">
        <w:rPr>
          <w:rFonts w:cstheme="minorHAnsi"/>
        </w:rPr>
        <w:t xml:space="preserve"> </w:t>
      </w:r>
      <w:r w:rsidR="003D2BD1">
        <w:rPr>
          <w:rFonts w:cstheme="minorHAnsi"/>
        </w:rPr>
        <w:t xml:space="preserve">participants </w:t>
      </w:r>
      <w:r w:rsidR="001D4D2E">
        <w:rPr>
          <w:rFonts w:cstheme="minorHAnsi"/>
        </w:rPr>
        <w:t xml:space="preserve">feeling supported by the assessor and prepared for the next steps. </w:t>
      </w:r>
      <w:proofErr w:type="spellStart"/>
      <w:r w:rsidR="00CE0A7E">
        <w:rPr>
          <w:rFonts w:cstheme="minorHAnsi"/>
        </w:rPr>
        <w:t>Frohard-Dourlent</w:t>
      </w:r>
      <w:proofErr w:type="spellEnd"/>
      <w:r w:rsidR="00CE0A7E">
        <w:rPr>
          <w:rFonts w:cstheme="minorHAnsi"/>
        </w:rPr>
        <w:t xml:space="preserve"> et al. </w:t>
      </w:r>
      <w:r w:rsidR="003D2BD1">
        <w:rPr>
          <w:rFonts w:cstheme="minorHAnsi"/>
        </w:rPr>
        <w:t xml:space="preserve">also provide </w:t>
      </w:r>
      <w:r w:rsidR="00CE0A7E">
        <w:rPr>
          <w:rFonts w:cstheme="minorHAnsi"/>
        </w:rPr>
        <w:t>an example of a clear overview of the thematic structure</w:t>
      </w:r>
      <w:r w:rsidR="00C167EF">
        <w:rPr>
          <w:rFonts w:cstheme="minorHAnsi"/>
        </w:rPr>
        <w:t xml:space="preserve"> (in the form of a table)</w:t>
      </w:r>
      <w:r w:rsidR="00CE0A7E">
        <w:rPr>
          <w:rFonts w:cstheme="minorHAnsi"/>
        </w:rPr>
        <w:t>, and a brief but effective account of the authors’ analytic process and engagement with reflexive TA</w:t>
      </w:r>
      <w:r w:rsidR="00C167EF">
        <w:rPr>
          <w:rFonts w:cstheme="minorHAnsi"/>
        </w:rPr>
        <w:t>, both important elements of a high-quality TA report (Braun &amp; Clarke, 2022</w:t>
      </w:r>
      <w:r w:rsidR="00024654">
        <w:rPr>
          <w:rFonts w:cstheme="minorHAnsi"/>
        </w:rPr>
        <w:t>b</w:t>
      </w:r>
      <w:r w:rsidR="00C167EF">
        <w:rPr>
          <w:rFonts w:cstheme="minorHAnsi"/>
        </w:rPr>
        <w:t>)</w:t>
      </w:r>
      <w:r w:rsidR="00CE0A7E">
        <w:rPr>
          <w:rFonts w:cstheme="minorHAnsi"/>
        </w:rPr>
        <w:t>.</w:t>
      </w:r>
    </w:p>
    <w:p w14:paraId="34689E41" w14:textId="710C3072" w:rsidR="00BE46BE" w:rsidRDefault="00AA1D93">
      <w:r>
        <w:t xml:space="preserve">Why does this distinction between topic summary and </w:t>
      </w:r>
      <w:r w:rsidR="00A17007">
        <w:t xml:space="preserve">meaning-based </w:t>
      </w:r>
      <w:r>
        <w:t>interpretive story themes matter</w:t>
      </w:r>
      <w:r w:rsidR="00A17007">
        <w:t>, and w</w:t>
      </w:r>
      <w:r>
        <w:t xml:space="preserve">hy is it a problem if researchers use reflexive TA but produce a set of topic summaries? Simply put, </w:t>
      </w:r>
      <w:r w:rsidR="00A17007">
        <w:t xml:space="preserve">topic summaries make no conceptual sense in reflexive TA, and </w:t>
      </w:r>
      <w:r>
        <w:t xml:space="preserve">the procedures </w:t>
      </w:r>
      <w:r w:rsidR="00A17007">
        <w:t>have been</w:t>
      </w:r>
      <w:r>
        <w:t xml:space="preserve"> designed to </w:t>
      </w:r>
      <w:r w:rsidR="00181C4F">
        <w:t xml:space="preserve">support </w:t>
      </w:r>
      <w:r w:rsidR="00A17007">
        <w:t>the</w:t>
      </w:r>
      <w:r w:rsidR="00181C4F">
        <w:t xml:space="preserve"> develop</w:t>
      </w:r>
      <w:r w:rsidR="00A17007">
        <w:t>ment of deep understanding and the telling of</w:t>
      </w:r>
      <w:r>
        <w:t xml:space="preserve"> interpretative stories</w:t>
      </w:r>
      <w:r w:rsidR="00A17007">
        <w:t xml:space="preserve"> about meanings (sometimes obvious, sometimes subtle) that cut across a dataset and </w:t>
      </w:r>
      <w:r w:rsidR="00A17007">
        <w:lastRenderedPageBreak/>
        <w:t>capture an important aspect of whatever you are trying to understand</w:t>
      </w:r>
      <w:r>
        <w:t>!</w:t>
      </w:r>
      <w:r w:rsidR="001A7923">
        <w:t xml:space="preserve"> The practice requires depth of engagement, thinking creatively and reflexively about the data, an intensive and organic coding process designed to parse out different facets of data meaning</w:t>
      </w:r>
      <w:r w:rsidR="00A17007">
        <w:t>,</w:t>
      </w:r>
      <w:r w:rsidR="001A7923">
        <w:t xml:space="preserve"> and to help the researcher move beyond the most obvious or superficial meanings in the data</w:t>
      </w:r>
      <w:r w:rsidR="004F70EB">
        <w:t xml:space="preserve">. There </w:t>
      </w:r>
      <w:r w:rsidR="00A17007">
        <w:t>is</w:t>
      </w:r>
      <w:r w:rsidR="004F70EB">
        <w:t xml:space="preserve"> little point engaging in this laborious (but hopefully rewarding) process to </w:t>
      </w:r>
      <w:r w:rsidR="00A17007">
        <w:t xml:space="preserve">then </w:t>
      </w:r>
      <w:r w:rsidR="004F70EB">
        <w:t xml:space="preserve">summarise data under headings that could have been determined before beginning the analysis. </w:t>
      </w:r>
      <w:r w:rsidR="00A17007">
        <w:t xml:space="preserve">If your goal </w:t>
      </w:r>
      <w:r w:rsidR="00A17007" w:rsidRPr="00C12920">
        <w:rPr>
          <w:i/>
          <w:iCs/>
        </w:rPr>
        <w:t>is</w:t>
      </w:r>
      <w:r w:rsidR="00A17007">
        <w:t xml:space="preserve"> to develop a set of topic summary type themes, select an approach, determined by your research values, that has th</w:t>
      </w:r>
      <w:r w:rsidR="009611B9">
        <w:t>at</w:t>
      </w:r>
      <w:r w:rsidR="00A17007">
        <w:t xml:space="preserve"> as its analytic purpose. </w:t>
      </w:r>
      <w:r w:rsidR="004F70EB">
        <w:t xml:space="preserve">Both coding reliability and </w:t>
      </w:r>
      <w:r w:rsidR="000B2308">
        <w:t xml:space="preserve">some </w:t>
      </w:r>
      <w:r w:rsidR="004F70EB">
        <w:t>codebook approaches</w:t>
      </w:r>
      <w:r w:rsidR="000B2308">
        <w:t xml:space="preserve"> conceptualise themes as topic summaries (template analysis notably allows for the possibility of developing themes during or from coding)</w:t>
      </w:r>
      <w:r w:rsidR="00A17007">
        <w:t>. They are</w:t>
      </w:r>
      <w:r w:rsidR="000B2308">
        <w:t xml:space="preserve"> developed early in the analytic process, sometimes lifted from data collection questions, and coding is a process </w:t>
      </w:r>
      <w:r w:rsidR="00A17007">
        <w:t xml:space="preserve">for </w:t>
      </w:r>
      <w:r w:rsidR="000B2308">
        <w:t xml:space="preserve">allocating data to these </w:t>
      </w:r>
      <w:r w:rsidR="00A17007">
        <w:t>early/</w:t>
      </w:r>
      <w:r w:rsidR="000B2308">
        <w:t>pre</w:t>
      </w:r>
      <w:r w:rsidR="00A17007">
        <w:t>-</w:t>
      </w:r>
      <w:r w:rsidR="000B2308">
        <w:t xml:space="preserve">determined themes. </w:t>
      </w:r>
    </w:p>
    <w:p w14:paraId="47196103" w14:textId="77777777" w:rsidR="00625894" w:rsidRDefault="00625894"/>
    <w:p w14:paraId="2C8C016D" w14:textId="77777777" w:rsidR="006C2E6A" w:rsidRPr="006C2E6A" w:rsidRDefault="006C2E6A">
      <w:pPr>
        <w:rPr>
          <w:b/>
        </w:rPr>
      </w:pPr>
      <w:r w:rsidRPr="006C2E6A">
        <w:rPr>
          <w:b/>
        </w:rPr>
        <w:t>(Not) owning one’s perspective</w:t>
      </w:r>
    </w:p>
    <w:p w14:paraId="121F75F6" w14:textId="567EB77D" w:rsidR="0077189A" w:rsidRDefault="000256F0">
      <w:r>
        <w:t xml:space="preserve">The papers </w:t>
      </w:r>
      <w:r w:rsidR="0010202F">
        <w:t xml:space="preserve">we </w:t>
      </w:r>
      <w:r>
        <w:t>reviewed exemplified both good and bad practice with regard to researchers striving to own their perspective. All included some kind of statement of the researchers’ personal positioning and/or professional experience with regard to gender identity</w:t>
      </w:r>
      <w:r w:rsidR="00C06160">
        <w:t>, which is particularly important when researching socially minoritized groups and when researchers may</w:t>
      </w:r>
      <w:r w:rsidR="005D78DF">
        <w:t xml:space="preserve"> </w:t>
      </w:r>
      <w:r w:rsidR="00C06160">
        <w:t>be more socially powerful and privileged outsiders</w:t>
      </w:r>
      <w:r>
        <w:t>.</w:t>
      </w:r>
      <w:r w:rsidR="00C06160">
        <w:t xml:space="preserve"> However, reflexivity rarely extended beyond this more personal framing (Wilkinson, 1988)</w:t>
      </w:r>
      <w:r w:rsidR="001C551D">
        <w:t>. Reflexiv</w:t>
      </w:r>
      <w:r w:rsidR="00BA15D7">
        <w:t>e practice</w:t>
      </w:r>
      <w:r w:rsidR="005D78DF">
        <w:t xml:space="preserve">, which goes </w:t>
      </w:r>
      <w:r w:rsidR="005D78DF" w:rsidRPr="00C12920">
        <w:rPr>
          <w:i/>
          <w:iCs/>
        </w:rPr>
        <w:t>beyond</w:t>
      </w:r>
      <w:r w:rsidR="005D78DF">
        <w:t xml:space="preserve"> a </w:t>
      </w:r>
      <w:r w:rsidR="00A00CD2">
        <w:t>“</w:t>
      </w:r>
      <w:r w:rsidR="005D78DF">
        <w:t>shopping list</w:t>
      </w:r>
      <w:r w:rsidR="00A00CD2">
        <w:t>”</w:t>
      </w:r>
      <w:r w:rsidR="005D78DF">
        <w:t xml:space="preserve"> of identities (</w:t>
      </w:r>
      <w:proofErr w:type="spellStart"/>
      <w:r w:rsidR="005D78DF">
        <w:t>Folkes</w:t>
      </w:r>
      <w:proofErr w:type="spellEnd"/>
      <w:r w:rsidR="005D78DF">
        <w:t>, 2022),</w:t>
      </w:r>
      <w:r w:rsidR="001C551D">
        <w:t xml:space="preserve"> is particularly important for </w:t>
      </w:r>
      <w:r w:rsidR="001C551D" w:rsidRPr="00AC799A">
        <w:rPr>
          <w:i/>
        </w:rPr>
        <w:t>reflexive</w:t>
      </w:r>
      <w:r w:rsidR="001C551D">
        <w:t xml:space="preserve"> TA</w:t>
      </w:r>
      <w:r w:rsidR="005D78DF">
        <w:t>. W</w:t>
      </w:r>
      <w:r w:rsidR="001C551D">
        <w:t xml:space="preserve">e </w:t>
      </w:r>
      <w:r w:rsidR="005D78DF">
        <w:t xml:space="preserve">look forward </w:t>
      </w:r>
      <w:r w:rsidR="001C551D">
        <w:t>to read</w:t>
      </w:r>
      <w:r w:rsidR="005D78DF">
        <w:t>ing</w:t>
      </w:r>
      <w:r w:rsidR="001C551D">
        <w:t xml:space="preserve"> more instances of researchers linking their</w:t>
      </w:r>
      <w:r w:rsidR="00BA15D7">
        <w:t xml:space="preserve"> personal positioning to their analytic process and more detailed discussions of </w:t>
      </w:r>
      <w:r w:rsidR="00BA15D7" w:rsidRPr="00C12920">
        <w:rPr>
          <w:i/>
          <w:iCs/>
        </w:rPr>
        <w:t>how</w:t>
      </w:r>
      <w:r w:rsidR="00BA15D7">
        <w:t xml:space="preserve"> researchers engaged in reflexivity</w:t>
      </w:r>
      <w:r w:rsidR="005D78DF">
        <w:t>,</w:t>
      </w:r>
      <w:r w:rsidR="00BA15D7">
        <w:t xml:space="preserve"> and how this shaped the analysis </w:t>
      </w:r>
      <w:r w:rsidR="00AC799A">
        <w:t xml:space="preserve">they produced </w:t>
      </w:r>
      <w:r w:rsidR="00BA15D7">
        <w:t xml:space="preserve">(for excellent examples of this, see Ho et al., 2017; Trainor &amp; </w:t>
      </w:r>
      <w:proofErr w:type="spellStart"/>
      <w:r w:rsidR="00BA15D7">
        <w:t>Bunden</w:t>
      </w:r>
      <w:proofErr w:type="spellEnd"/>
      <w:r w:rsidR="00BA15D7">
        <w:t>, 2021).</w:t>
      </w:r>
      <w:r w:rsidR="00C12504">
        <w:t xml:space="preserve"> </w:t>
      </w:r>
      <w:r w:rsidR="00C1270E">
        <w:t xml:space="preserve">Language around theme development is also important to signal the researcher’s </w:t>
      </w:r>
      <w:r w:rsidR="00C1270E" w:rsidRPr="00C1270E">
        <w:rPr>
          <w:i/>
        </w:rPr>
        <w:t>active</w:t>
      </w:r>
      <w:r w:rsidR="00C1270E">
        <w:t xml:space="preserve"> role in generating their themes (and also to </w:t>
      </w:r>
      <w:r w:rsidR="005D78DF">
        <w:t xml:space="preserve">clearly </w:t>
      </w:r>
      <w:r w:rsidR="00C1270E">
        <w:t xml:space="preserve">signal that themes are not </w:t>
      </w:r>
      <w:r w:rsidR="005D78DF">
        <w:t xml:space="preserve">implicitly conceptualised </w:t>
      </w:r>
      <w:r w:rsidR="00C1270E">
        <w:t>as real things that exist within data prior to analysis). In reflexive TA</w:t>
      </w:r>
      <w:r w:rsidR="0077189A">
        <w:t>,</w:t>
      </w:r>
      <w:r w:rsidR="00C1270E">
        <w:t xml:space="preserve"> themes are generated, created or constructed (for example), they are not identified, found or discovered, </w:t>
      </w:r>
      <w:r w:rsidR="0077189A">
        <w:t>and they definitely don’t just “emerge” from data like a fully-grown Venus arising from the sea and arriving at the shore in Botticelli’s famous painting</w:t>
      </w:r>
      <w:r w:rsidR="005D78DF">
        <w:t xml:space="preserve"> (see Braun &amp; Clarke, 2006; 2016)</w:t>
      </w:r>
      <w:r w:rsidR="0077189A">
        <w:t xml:space="preserve">. </w:t>
      </w:r>
    </w:p>
    <w:p w14:paraId="5BFD1D28" w14:textId="28CECA9B" w:rsidR="00AD5C90" w:rsidRDefault="001F4CF1">
      <w:r>
        <w:t>Reflexivity, personal or otherwise, is one aspect of a researcher striving to own their perspectives</w:t>
      </w:r>
      <w:r w:rsidR="005D78DF">
        <w:t>;</w:t>
      </w:r>
      <w:r>
        <w:t xml:space="preserve"> discussing and coherently enacting their theoretical assumptions is another. Some of the papers we reviewed included a statement of the theoretical assumptions informing the use of TA</w:t>
      </w:r>
      <w:r w:rsidR="0024578C">
        <w:t>. But</w:t>
      </w:r>
      <w:r>
        <w:t xml:space="preserve"> some didn’t. Because TA is better understood as closer to a method than a methodology, and because of its theoretical flexibility, it’s vital that researchers locate the</w:t>
      </w:r>
      <w:r w:rsidR="003872D1">
        <w:t>ir</w:t>
      </w:r>
      <w:r>
        <w:t xml:space="preserve"> use of TA theoretically</w:t>
      </w:r>
      <w:r w:rsidR="0024578C">
        <w:t xml:space="preserve"> (see Braun &amp; Clarke 2022a, 2022b)</w:t>
      </w:r>
      <w:r>
        <w:t>. TA can</w:t>
      </w:r>
      <w:r w:rsidR="0024578C">
        <w:t>no</w:t>
      </w:r>
      <w:r>
        <w:t xml:space="preserve">t be conducted in a theoretical vacuum </w:t>
      </w:r>
      <w:r w:rsidR="0024578C">
        <w:t>–</w:t>
      </w:r>
      <w:r>
        <w:t xml:space="preserve"> researchers inescapably </w:t>
      </w:r>
      <w:r w:rsidR="0024578C">
        <w:t xml:space="preserve">bring in </w:t>
      </w:r>
      <w:r>
        <w:t>assumptions about the nature of reality, about what constitutes meaningful knowledge and knowledge production, and what their data represent or give them access to</w:t>
      </w:r>
      <w:r w:rsidR="0024578C">
        <w:t xml:space="preserve">, even if </w:t>
      </w:r>
      <w:r w:rsidR="002F4DA4">
        <w:t xml:space="preserve">these are </w:t>
      </w:r>
      <w:r w:rsidR="0024578C">
        <w:t>not discussed</w:t>
      </w:r>
      <w:r>
        <w:t xml:space="preserve">. Ideally, the reader should not be left to </w:t>
      </w:r>
      <w:r w:rsidR="0077189A">
        <w:t>detect</w:t>
      </w:r>
      <w:r>
        <w:t xml:space="preserve"> what the researcher’s assumptions are </w:t>
      </w:r>
      <w:r w:rsidR="0024578C">
        <w:t>–</w:t>
      </w:r>
      <w:r>
        <w:t xml:space="preserve"> </w:t>
      </w:r>
      <w:r w:rsidR="0024578C">
        <w:t>they would</w:t>
      </w:r>
      <w:r>
        <w:t xml:space="preserve"> explicitly </w:t>
      </w:r>
      <w:r w:rsidR="0024578C">
        <w:t xml:space="preserve">be discussed </w:t>
      </w:r>
      <w:r>
        <w:t>in the paper. We originally stated that reflexive TA could be underpinned by (simple) realism</w:t>
      </w:r>
      <w:r w:rsidR="0024578C">
        <w:t xml:space="preserve"> (Braun &amp; Clarke 2006)</w:t>
      </w:r>
      <w:r>
        <w:t xml:space="preserve">, </w:t>
      </w:r>
      <w:r w:rsidR="00C1270E">
        <w:t xml:space="preserve">but we now think the Big Q research values of reflexive TA make a </w:t>
      </w:r>
      <w:r w:rsidR="0077189A">
        <w:t>simple</w:t>
      </w:r>
      <w:r w:rsidR="0024578C">
        <w:t xml:space="preserve"> or naive</w:t>
      </w:r>
      <w:r w:rsidR="0077189A">
        <w:t xml:space="preserve"> </w:t>
      </w:r>
      <w:r w:rsidR="00C1270E">
        <w:t>realist reflexive TA a tricky proposition.</w:t>
      </w:r>
      <w:r w:rsidR="0077189A">
        <w:t xml:space="preserve"> This raises questions about whether </w:t>
      </w:r>
      <w:r w:rsidR="0024578C">
        <w:t xml:space="preserve">widely used </w:t>
      </w:r>
      <w:r w:rsidR="0077189A">
        <w:t>realist</w:t>
      </w:r>
      <w:r w:rsidR="009A4B0D">
        <w:t>/positivist</w:t>
      </w:r>
      <w:r w:rsidR="0077189A">
        <w:t xml:space="preserve"> quality practices</w:t>
      </w:r>
      <w:r w:rsidR="0024578C">
        <w:t>,</w:t>
      </w:r>
      <w:r w:rsidR="0077189A">
        <w:t xml:space="preserve"> like</w:t>
      </w:r>
      <w:r w:rsidR="009A4B0D">
        <w:t xml:space="preserve"> saturation,</w:t>
      </w:r>
      <w:r w:rsidR="0077189A">
        <w:t xml:space="preserve"> triangulation and member checking </w:t>
      </w:r>
      <w:r w:rsidR="009A4B0D">
        <w:t>(see Varpio et al., 2017)</w:t>
      </w:r>
      <w:r w:rsidR="00567818">
        <w:t>, all referenced in the reviewed papers and in published</w:t>
      </w:r>
      <w:r w:rsidR="00EE1A84">
        <w:t xml:space="preserve"> TA more broadly,</w:t>
      </w:r>
      <w:r w:rsidR="009A4B0D">
        <w:t xml:space="preserve"> </w:t>
      </w:r>
      <w:r w:rsidR="0077189A">
        <w:t xml:space="preserve">are coherent with reflexive TA. </w:t>
      </w:r>
    </w:p>
    <w:p w14:paraId="71C74EFB" w14:textId="203F7241" w:rsidR="0068006B" w:rsidRDefault="0024578C">
      <w:r>
        <w:lastRenderedPageBreak/>
        <w:t xml:space="preserve">We’ll use </w:t>
      </w:r>
      <w:r w:rsidR="0077189A">
        <w:t xml:space="preserve">member checking </w:t>
      </w:r>
      <w:r w:rsidR="009A4B0D">
        <w:t>or</w:t>
      </w:r>
      <w:r w:rsidR="0077189A">
        <w:t xml:space="preserve"> participant validation of analysis</w:t>
      </w:r>
      <w:r w:rsidR="00EE1A84">
        <w:t xml:space="preserve"> to explore this</w:t>
      </w:r>
      <w:r w:rsidR="0091149F">
        <w:t xml:space="preserve"> – where participants are asked to input on whether an analysis faithfully or fairly represents their experience</w:t>
      </w:r>
      <w:r>
        <w:t>. This</w:t>
      </w:r>
      <w:r w:rsidR="0091149F">
        <w:t xml:space="preserve"> practice </w:t>
      </w:r>
      <w:r>
        <w:t xml:space="preserve">in theory </w:t>
      </w:r>
      <w:r w:rsidR="0091149F">
        <w:t xml:space="preserve">controls for or corrects </w:t>
      </w:r>
      <w:r>
        <w:t xml:space="preserve">any </w:t>
      </w:r>
      <w:r w:rsidR="0091149F">
        <w:t xml:space="preserve">subjective bias </w:t>
      </w:r>
      <w:r>
        <w:t xml:space="preserve">– misinterpretation, misemphasis – </w:t>
      </w:r>
      <w:r w:rsidR="0091149F">
        <w:t>of the researcher (Smith &amp; McGannon, 2018)</w:t>
      </w:r>
      <w:r w:rsidR="0077189A">
        <w:t xml:space="preserve">. Ethically/politically, this </w:t>
      </w:r>
      <w:r w:rsidR="00EE1A84">
        <w:t xml:space="preserve">practice </w:t>
      </w:r>
      <w:r w:rsidR="0077189A">
        <w:t>is unquestionably important when researching and claiming to represent the experience</w:t>
      </w:r>
      <w:r w:rsidR="003427D5">
        <w:t>s</w:t>
      </w:r>
      <w:r w:rsidR="0077189A">
        <w:t xml:space="preserve"> of socially marginalised groups</w:t>
      </w:r>
      <w:r w:rsidR="003427D5">
        <w:t xml:space="preserve">, especially so if the researchers are all </w:t>
      </w:r>
      <w:r w:rsidR="00D4390D">
        <w:t xml:space="preserve">privileged </w:t>
      </w:r>
      <w:r w:rsidR="003427D5">
        <w:t>“outsiders”</w:t>
      </w:r>
      <w:r w:rsidR="00D4390D">
        <w:t xml:space="preserve"> to that group</w:t>
      </w:r>
      <w:r>
        <w:t xml:space="preserve">, </w:t>
      </w:r>
      <w:r w:rsidR="004F0108">
        <w:t>as is often the case for</w:t>
      </w:r>
      <w:r>
        <w:t xml:space="preserve"> trans health</w:t>
      </w:r>
      <w:r w:rsidR="008D7A39">
        <w:t xml:space="preserve"> research</w:t>
      </w:r>
      <w:r w:rsidR="003427D5">
        <w:t xml:space="preserve">. </w:t>
      </w:r>
      <w:r>
        <w:t xml:space="preserve">However, </w:t>
      </w:r>
      <w:r w:rsidR="003427D5">
        <w:t xml:space="preserve">the use of member checking is infused with assumptions </w:t>
      </w:r>
      <w:r w:rsidR="00D4390D">
        <w:t xml:space="preserve">about reality and knowledge production </w:t>
      </w:r>
      <w:r w:rsidR="003427D5">
        <w:t xml:space="preserve">that sit </w:t>
      </w:r>
      <w:r>
        <w:t xml:space="preserve">(conceptually) </w:t>
      </w:r>
      <w:r w:rsidR="003427D5">
        <w:t>uncomfortably with reflexive TA –</w:t>
      </w:r>
      <w:r w:rsidR="00D4390D">
        <w:t xml:space="preserve"> including</w:t>
      </w:r>
      <w:r w:rsidR="003427D5">
        <w:t xml:space="preserve"> that there is a truth of participants’ experiences that we can access</w:t>
      </w:r>
      <w:r w:rsidR="00D4390D">
        <w:t xml:space="preserve"> if we can keep the potentially distorting effects of researcher influence in check</w:t>
      </w:r>
      <w:r w:rsidR="00EE1A84">
        <w:t xml:space="preserve"> (</w:t>
      </w:r>
      <w:r w:rsidR="0091149F">
        <w:t xml:space="preserve">see </w:t>
      </w:r>
      <w:r w:rsidR="00EE1A84">
        <w:t>Smith &amp; McGannon, 2018)</w:t>
      </w:r>
      <w:r w:rsidR="00D4390D">
        <w:t>.</w:t>
      </w:r>
      <w:r w:rsidR="000B577B">
        <w:t xml:space="preserve"> </w:t>
      </w:r>
      <w:r>
        <w:t>R</w:t>
      </w:r>
      <w:r w:rsidR="000B577B">
        <w:t>eflexive TA</w:t>
      </w:r>
      <w:r>
        <w:t xml:space="preserve"> is premised on </w:t>
      </w:r>
      <w:r w:rsidR="000B577B">
        <w:t>the researcher always shap</w:t>
      </w:r>
      <w:r>
        <w:t>ing</w:t>
      </w:r>
      <w:r w:rsidR="000B577B">
        <w:t xml:space="preserve"> their research</w:t>
      </w:r>
      <w:r>
        <w:t>;</w:t>
      </w:r>
      <w:r w:rsidR="000B577B">
        <w:t xml:space="preserve"> it will always be infused with their subjectivity, and </w:t>
      </w:r>
      <w:r>
        <w:t xml:space="preserve">they are never a neutral conduit, simply conveying a directly-accessed </w:t>
      </w:r>
      <w:r w:rsidR="000B577B">
        <w:t>truth of participant</w:t>
      </w:r>
      <w:r w:rsidR="008D7A39">
        <w:t>s’</w:t>
      </w:r>
      <w:r w:rsidR="000B577B">
        <w:t xml:space="preserve"> experience. </w:t>
      </w:r>
      <w:r w:rsidR="0091149F">
        <w:t>Tracy (2010)</w:t>
      </w:r>
      <w:r w:rsidR="000B577B">
        <w:t xml:space="preserve"> highlighted the concept of </w:t>
      </w:r>
      <w:r w:rsidR="000B577B" w:rsidRPr="000B577B">
        <w:rPr>
          <w:i/>
        </w:rPr>
        <w:t>member reflections</w:t>
      </w:r>
      <w:r w:rsidR="000B577B">
        <w:t xml:space="preserve"> as a Big Q alternative to member checking</w:t>
      </w:r>
      <w:r>
        <w:t>, which</w:t>
      </w:r>
      <w:r w:rsidR="00AD5C90">
        <w:t xml:space="preserve"> </w:t>
      </w:r>
      <w:r>
        <w:t>is not about verification, or accessing truth or reality. With this process, participants are invited to reflect on the analysis to offer additional insight and generate further data on the topic at hand</w:t>
      </w:r>
      <w:r w:rsidR="000B577B">
        <w:t>.</w:t>
      </w:r>
      <w:r w:rsidR="000E00C1">
        <w:t xml:space="preserve"> This can mean exploring gaps in understanding,</w:t>
      </w:r>
      <w:r w:rsidR="00AD5C90">
        <w:t xml:space="preserve"> </w:t>
      </w:r>
      <w:r w:rsidR="000E00C1">
        <w:t xml:space="preserve">recognising and </w:t>
      </w:r>
      <w:r w:rsidR="008D7A39">
        <w:t>reflect</w:t>
      </w:r>
      <w:r w:rsidR="000E00C1">
        <w:t xml:space="preserve">ing </w:t>
      </w:r>
      <w:r w:rsidR="008D7A39">
        <w:t xml:space="preserve">on </w:t>
      </w:r>
      <w:r w:rsidR="000E00C1">
        <w:t>contradictions and differences in understanding</w:t>
      </w:r>
      <w:r w:rsidR="00AD5C90">
        <w:t xml:space="preserve">, and </w:t>
      </w:r>
      <w:r w:rsidR="008D7A39">
        <w:t>conside</w:t>
      </w:r>
      <w:r>
        <w:t xml:space="preserve">ring </w:t>
      </w:r>
      <w:r w:rsidR="00AD5C90">
        <w:t>how to acknowledge and present these in the written report</w:t>
      </w:r>
      <w:r w:rsidR="000B577B">
        <w:t xml:space="preserve"> </w:t>
      </w:r>
      <w:r w:rsidR="000E00C1">
        <w:t xml:space="preserve">(see Smith &amp; McGannon, 2018). </w:t>
      </w:r>
      <w:bookmarkStart w:id="1" w:name="_Hlk107935991"/>
      <w:r w:rsidR="00B86F60">
        <w:t xml:space="preserve">Within </w:t>
      </w:r>
      <w:r w:rsidR="006009D1">
        <w:t xml:space="preserve">a wide diversity of </w:t>
      </w:r>
      <w:r w:rsidR="00B86F60">
        <w:t>Indigenous and participatory approaches</w:t>
      </w:r>
      <w:r w:rsidR="005D0D50">
        <w:t xml:space="preserve"> (e.g.</w:t>
      </w:r>
      <w:r w:rsidR="00831D59">
        <w:t>,</w:t>
      </w:r>
      <w:r w:rsidR="005D0D50">
        <w:t xml:space="preserve"> </w:t>
      </w:r>
      <w:proofErr w:type="spellStart"/>
      <w:r w:rsidR="005D0D50">
        <w:t>Barlo</w:t>
      </w:r>
      <w:proofErr w:type="spellEnd"/>
      <w:r w:rsidR="005D0D50">
        <w:t xml:space="preserve"> et al., 2020; Cammock et al., 2021; Fine et al., 2021; Ware et al., 2017)</w:t>
      </w:r>
      <w:r w:rsidR="00B86F60">
        <w:t xml:space="preserve">, differently-conceptualised relationships between “researchers” and “participants,” and/or understandings of (the purpose of) knowledge and the (primary) obligations and purposes of research, also render considerations of “member-checking” quite differently </w:t>
      </w:r>
      <w:r w:rsidR="002F4DA4">
        <w:t xml:space="preserve">from </w:t>
      </w:r>
      <w:r w:rsidR="00B86F60">
        <w:t xml:space="preserve">more conventional western frameworks of (qualitative) knowledge production. </w:t>
      </w:r>
      <w:bookmarkEnd w:id="1"/>
    </w:p>
    <w:p w14:paraId="1854699D" w14:textId="27F75939" w:rsidR="0091149F" w:rsidRDefault="000B577B">
      <w:r>
        <w:t xml:space="preserve">The key </w:t>
      </w:r>
      <w:r w:rsidR="00AD5C90">
        <w:t>to selecting methodologically coherent quality standards and tools</w:t>
      </w:r>
      <w:r>
        <w:t xml:space="preserve"> is </w:t>
      </w:r>
      <w:r w:rsidRPr="00EA479B">
        <w:rPr>
          <w:i/>
        </w:rPr>
        <w:t>knowing</w:t>
      </w:r>
      <w:r>
        <w:t xml:space="preserve"> practice – reasoning through the assumptions embedded in particular concepts and practices</w:t>
      </w:r>
      <w:r w:rsidR="0068006B">
        <w:t>. Luckily,</w:t>
      </w:r>
      <w:r>
        <w:t xml:space="preserve"> qualitative methodologists have </w:t>
      </w:r>
      <w:r w:rsidR="00EA479B">
        <w:t xml:space="preserve">already </w:t>
      </w:r>
      <w:r>
        <w:t xml:space="preserve">done </w:t>
      </w:r>
      <w:r w:rsidR="00AD5C90">
        <w:t xml:space="preserve">a </w:t>
      </w:r>
      <w:r>
        <w:t xml:space="preserve">lot of </w:t>
      </w:r>
      <w:r w:rsidR="00AD5C90">
        <w:t xml:space="preserve">the </w:t>
      </w:r>
      <w:r>
        <w:t>heavy lifting here</w:t>
      </w:r>
      <w:r w:rsidR="00EA479B">
        <w:t xml:space="preserve"> (e.g.</w:t>
      </w:r>
      <w:r w:rsidR="008D7A39">
        <w:t>,</w:t>
      </w:r>
      <w:r w:rsidR="00EA479B">
        <w:t xml:space="preserve"> Braun &amp; Clarke, 2021b, Smith&amp; McGannon, 2018, Varpio et al., 2017, 2021)</w:t>
      </w:r>
      <w:r w:rsidR="0068006B">
        <w:t>, presenting thoughtful considerations of what’s assumed and at stake in various supposedly universal criteria. Your task is to think, and reflect, and</w:t>
      </w:r>
      <w:r w:rsidR="00EA479B">
        <w:t xml:space="preserve"> ensur</w:t>
      </w:r>
      <w:r w:rsidR="0068006B">
        <w:t>e any quality measures you use</w:t>
      </w:r>
      <w:r w:rsidR="00EA479B">
        <w:t xml:space="preserve"> are coherent with </w:t>
      </w:r>
      <w:r w:rsidR="0068006B">
        <w:t xml:space="preserve">your </w:t>
      </w:r>
      <w:r w:rsidR="00EA479B">
        <w:t>approach to TA and</w:t>
      </w:r>
      <w:r w:rsidR="006F575D">
        <w:t xml:space="preserve"> </w:t>
      </w:r>
      <w:r w:rsidR="00EA479B">
        <w:t>underpinning theoretical assumptions.</w:t>
      </w:r>
    </w:p>
    <w:p w14:paraId="1A7B574B" w14:textId="77777777" w:rsidR="00625894" w:rsidRDefault="00625894"/>
    <w:p w14:paraId="1F1AA370" w14:textId="77777777" w:rsidR="00CC399D" w:rsidRPr="00CC399D" w:rsidRDefault="00D4390D">
      <w:pPr>
        <w:rPr>
          <w:b/>
        </w:rPr>
      </w:pPr>
      <w:r>
        <w:rPr>
          <w:b/>
        </w:rPr>
        <w:t>Ten r</w:t>
      </w:r>
      <w:r w:rsidR="00CC399D" w:rsidRPr="00CC399D">
        <w:rPr>
          <w:b/>
        </w:rPr>
        <w:t>ecommendations for producing and reporting methodologically coherent TA</w:t>
      </w:r>
      <w:r w:rsidR="00020C2B">
        <w:rPr>
          <w:b/>
        </w:rPr>
        <w:t xml:space="preserve"> and being a knowing TA </w:t>
      </w:r>
      <w:r>
        <w:rPr>
          <w:b/>
        </w:rPr>
        <w:t>research</w:t>
      </w:r>
      <w:r w:rsidR="00020C2B">
        <w:rPr>
          <w:b/>
        </w:rPr>
        <w:t>er</w:t>
      </w:r>
    </w:p>
    <w:p w14:paraId="0E202A3B" w14:textId="5B30EDFA" w:rsidR="0068006B" w:rsidRDefault="0068006B" w:rsidP="00C12920">
      <w:r>
        <w:t xml:space="preserve">We now distil this commentary into ten snappy recommendations for TA researchers to help with producing and reporting methodologically coherent TA. We encourage </w:t>
      </w:r>
      <w:r w:rsidRPr="00C12920">
        <w:rPr>
          <w:i/>
          <w:iCs/>
        </w:rPr>
        <w:t>reviewers</w:t>
      </w:r>
      <w:r>
        <w:t xml:space="preserve"> to use these recommendations to inform their assessments of TA manuscripts. These should not be treated a checklist in the narrow sense, but as important things to reflect on, and reason through – consider them provocations</w:t>
      </w:r>
      <w:r w:rsidR="00625894">
        <w:t xml:space="preserve"> for knowing practice</w:t>
      </w:r>
      <w:r>
        <w:t xml:space="preserve">. </w:t>
      </w:r>
    </w:p>
    <w:p w14:paraId="5BFCD0D5" w14:textId="1B96192A" w:rsidR="00CC399D" w:rsidRDefault="00F9746A" w:rsidP="00C12920">
      <w:pPr>
        <w:pStyle w:val="ListParagraph"/>
        <w:numPr>
          <w:ilvl w:val="0"/>
          <w:numId w:val="2"/>
        </w:numPr>
      </w:pPr>
      <w:r>
        <w:t>Recognise the plurality of TA</w:t>
      </w:r>
      <w:r w:rsidR="00625894">
        <w:t>;</w:t>
      </w:r>
      <w:r>
        <w:t xml:space="preserve"> d</w:t>
      </w:r>
      <w:r w:rsidR="005B397B">
        <w:t>etermine where your chosen TA approach is located on the scientifically descriptive</w:t>
      </w:r>
      <w:r>
        <w:t xml:space="preserve"> (small q)</w:t>
      </w:r>
      <w:r w:rsidR="00625894">
        <w:t xml:space="preserve"> –– </w:t>
      </w:r>
      <w:r w:rsidR="005B397B">
        <w:t xml:space="preserve">artfully interpretive </w:t>
      </w:r>
      <w:r>
        <w:t xml:space="preserve">(Big Q) </w:t>
      </w:r>
      <w:r w:rsidR="005B397B">
        <w:t>spectrum</w:t>
      </w:r>
      <w:r w:rsidR="003427D5">
        <w:t>.</w:t>
      </w:r>
    </w:p>
    <w:p w14:paraId="0CE470B8" w14:textId="685027BD" w:rsidR="005B397B" w:rsidRDefault="005B397B" w:rsidP="00C12920">
      <w:pPr>
        <w:pStyle w:val="ListParagraph"/>
        <w:numPr>
          <w:ilvl w:val="0"/>
          <w:numId w:val="2"/>
        </w:numPr>
      </w:pPr>
      <w:r>
        <w:t>Determine your underlying research values and philosophical assumptions</w:t>
      </w:r>
      <w:r w:rsidR="00625894">
        <w:t>;</w:t>
      </w:r>
      <w:r w:rsidR="00F9746A">
        <w:t xml:space="preserve"> locate your use of TA theoretically</w:t>
      </w:r>
      <w:r w:rsidR="003427D5">
        <w:t>.</w:t>
      </w:r>
    </w:p>
    <w:p w14:paraId="32C5078E" w14:textId="66116270" w:rsidR="005B397B" w:rsidRDefault="00A3626B" w:rsidP="00C12920">
      <w:pPr>
        <w:pStyle w:val="ListParagraph"/>
        <w:numPr>
          <w:ilvl w:val="0"/>
          <w:numId w:val="2"/>
        </w:numPr>
      </w:pPr>
      <w:r>
        <w:t xml:space="preserve">Consider your analytic </w:t>
      </w:r>
      <w:r w:rsidRPr="00C12920">
        <w:rPr>
          <w:i/>
          <w:iCs/>
        </w:rPr>
        <w:t>practice</w:t>
      </w:r>
      <w:r>
        <w:t>; e</w:t>
      </w:r>
      <w:r w:rsidR="005B397B">
        <w:t>nsure all methodological procedures and concepts cohere with your research values and TA approach</w:t>
      </w:r>
      <w:r w:rsidR="003427D5">
        <w:t>.</w:t>
      </w:r>
    </w:p>
    <w:p w14:paraId="4BBF9BB7" w14:textId="43FA484A" w:rsidR="00F9746A" w:rsidRDefault="00F9746A" w:rsidP="00C12920">
      <w:pPr>
        <w:pStyle w:val="ListParagraph"/>
        <w:numPr>
          <w:ilvl w:val="0"/>
          <w:numId w:val="2"/>
        </w:numPr>
      </w:pPr>
      <w:r>
        <w:lastRenderedPageBreak/>
        <w:t xml:space="preserve">Justify divergences </w:t>
      </w:r>
      <w:r w:rsidR="00020C2B">
        <w:t xml:space="preserve">from established practice </w:t>
      </w:r>
      <w:r>
        <w:t>and “mashups</w:t>
      </w:r>
      <w:r w:rsidR="00A3626B">
        <w:t>;</w:t>
      </w:r>
      <w:r>
        <w:t>” ensure these are theoretically coherent</w:t>
      </w:r>
      <w:r w:rsidR="003427D5">
        <w:t>.</w:t>
      </w:r>
    </w:p>
    <w:p w14:paraId="10C5A01D" w14:textId="73B42468" w:rsidR="003427D5" w:rsidRDefault="003427D5" w:rsidP="00C12920">
      <w:pPr>
        <w:pStyle w:val="ListParagraph"/>
        <w:numPr>
          <w:ilvl w:val="0"/>
          <w:numId w:val="2"/>
        </w:numPr>
      </w:pPr>
      <w:r>
        <w:t>I</w:t>
      </w:r>
      <w:r w:rsidR="00A3626B">
        <w:t>f using</w:t>
      </w:r>
      <w:r>
        <w:t xml:space="preserve"> reflexive TA, link personal reflexivity to your analytic practice</w:t>
      </w:r>
      <w:r w:rsidR="00A3626B">
        <w:t>; don’t mention bias</w:t>
      </w:r>
      <w:r>
        <w:t>.</w:t>
      </w:r>
    </w:p>
    <w:p w14:paraId="089C29D7" w14:textId="572698E0" w:rsidR="00BB5ACF" w:rsidRDefault="00BB5ACF" w:rsidP="00C12920">
      <w:pPr>
        <w:pStyle w:val="ListParagraph"/>
        <w:numPr>
          <w:ilvl w:val="0"/>
          <w:numId w:val="2"/>
        </w:numPr>
      </w:pPr>
      <w:r>
        <w:t xml:space="preserve">Discuss </w:t>
      </w:r>
      <w:r w:rsidRPr="00BB5ACF">
        <w:rPr>
          <w:i/>
        </w:rPr>
        <w:t>how</w:t>
      </w:r>
      <w:r>
        <w:t xml:space="preserve"> exactly you engaged with your chosen approach to produce your analysis</w:t>
      </w:r>
      <w:r w:rsidR="003427D5">
        <w:t>.</w:t>
      </w:r>
    </w:p>
    <w:p w14:paraId="2EAEA874" w14:textId="7F0DF3C6" w:rsidR="00A3626B" w:rsidRDefault="00A3626B" w:rsidP="00A3626B">
      <w:pPr>
        <w:pStyle w:val="ListParagraph"/>
        <w:numPr>
          <w:ilvl w:val="0"/>
          <w:numId w:val="2"/>
        </w:numPr>
      </w:pPr>
      <w:r>
        <w:t>Recognise the differences between topic summary and meaning-based interpretative story conceptualisations of themes; ensure your type of theme is coherent with your TA approach (</w:t>
      </w:r>
      <w:r w:rsidR="008D7A39">
        <w:t xml:space="preserve">and </w:t>
      </w:r>
      <w:r>
        <w:t>justify any divergences).</w:t>
      </w:r>
    </w:p>
    <w:p w14:paraId="69FDE483" w14:textId="55B441B3" w:rsidR="003427D5" w:rsidRDefault="003427D5" w:rsidP="00C12920">
      <w:pPr>
        <w:pStyle w:val="ListParagraph"/>
        <w:numPr>
          <w:ilvl w:val="0"/>
          <w:numId w:val="2"/>
        </w:numPr>
      </w:pPr>
      <w:r>
        <w:t xml:space="preserve">Ensure </w:t>
      </w:r>
      <w:r w:rsidR="00A3626B">
        <w:t xml:space="preserve">your </w:t>
      </w:r>
      <w:r>
        <w:t>language around theme development is coherent with your TA approach.</w:t>
      </w:r>
    </w:p>
    <w:p w14:paraId="4C345366" w14:textId="77777777" w:rsidR="00BB5ACF" w:rsidRDefault="00BB5ACF" w:rsidP="00C12920">
      <w:pPr>
        <w:pStyle w:val="ListParagraph"/>
        <w:numPr>
          <w:ilvl w:val="0"/>
          <w:numId w:val="2"/>
        </w:numPr>
      </w:pPr>
      <w:r>
        <w:t>Provide a clear overview of your themes/thematic structure in the form of a list, table or thematic map</w:t>
      </w:r>
      <w:r w:rsidR="003427D5">
        <w:t>.</w:t>
      </w:r>
    </w:p>
    <w:p w14:paraId="07310C73" w14:textId="77777777" w:rsidR="003427D5" w:rsidRDefault="003427D5" w:rsidP="00C12920">
      <w:pPr>
        <w:pStyle w:val="ListParagraph"/>
        <w:numPr>
          <w:ilvl w:val="0"/>
          <w:numId w:val="2"/>
        </w:numPr>
      </w:pPr>
      <w:r>
        <w:t>Ensure the quality standards and practices used cohere with your TA approach and underlying theoretical assumptions.</w:t>
      </w:r>
    </w:p>
    <w:p w14:paraId="7FB7537E" w14:textId="77777777" w:rsidR="00BB5ACF" w:rsidRDefault="00BB5ACF" w:rsidP="003427D5">
      <w:pPr>
        <w:pStyle w:val="ListParagraph"/>
      </w:pPr>
    </w:p>
    <w:p w14:paraId="370B000F" w14:textId="77777777" w:rsidR="00944034" w:rsidRPr="000256F0" w:rsidRDefault="00944034">
      <w:pPr>
        <w:rPr>
          <w:b/>
        </w:rPr>
      </w:pPr>
      <w:r w:rsidRPr="000256F0">
        <w:rPr>
          <w:b/>
        </w:rPr>
        <w:t>Everything changes…</w:t>
      </w:r>
    </w:p>
    <w:p w14:paraId="3C0E1FE2" w14:textId="20A244A9" w:rsidR="007B6283" w:rsidRDefault="007B6283">
      <w:r>
        <w:t xml:space="preserve">We end with a final recommendation </w:t>
      </w:r>
      <w:r w:rsidR="00A3626B">
        <w:t xml:space="preserve">for </w:t>
      </w:r>
      <w:r>
        <w:t xml:space="preserve">readers wanting to pursue good practice in reflexive TA – read beyond our 2006 paper! </w:t>
      </w:r>
      <w:r w:rsidR="00FA46B7">
        <w:t>Our thinking around TA</w:t>
      </w:r>
      <w:r w:rsidR="00A3626B">
        <w:t xml:space="preserve"> </w:t>
      </w:r>
      <w:r w:rsidR="00FA46B7">
        <w:t xml:space="preserve">has </w:t>
      </w:r>
      <w:r w:rsidR="00CC399D">
        <w:t>evolved</w:t>
      </w:r>
      <w:r w:rsidR="00FA46B7">
        <w:t xml:space="preserve"> since 2006</w:t>
      </w:r>
      <w:r w:rsidR="00A3626B">
        <w:t>, including now using the</w:t>
      </w:r>
      <w:r w:rsidR="0066607E">
        <w:t xml:space="preserve"> specific</w:t>
      </w:r>
      <w:r w:rsidR="00A3626B">
        <w:t xml:space="preserve"> name </w:t>
      </w:r>
      <w:r w:rsidR="00A3626B" w:rsidRPr="00FA46B7">
        <w:rPr>
          <w:i/>
        </w:rPr>
        <w:t>reflexive</w:t>
      </w:r>
      <w:r w:rsidR="00A3626B">
        <w:t xml:space="preserve"> TA (Braun &amp; Clarke, 2019).</w:t>
      </w:r>
      <w:r w:rsidR="00FA46B7">
        <w:t xml:space="preserve"> </w:t>
      </w:r>
      <w:r w:rsidR="00CC399D">
        <w:t xml:space="preserve">Our </w:t>
      </w:r>
      <w:r>
        <w:t xml:space="preserve">recent book </w:t>
      </w:r>
      <w:r w:rsidRPr="007B6283">
        <w:rPr>
          <w:i/>
        </w:rPr>
        <w:t>Thematic analysis: A practical guide</w:t>
      </w:r>
      <w:r>
        <w:t xml:space="preserve"> (Braun &amp; Clarke, 2022</w:t>
      </w:r>
      <w:r w:rsidR="0066607E">
        <w:t>b</w:t>
      </w:r>
      <w:r>
        <w:t>)</w:t>
      </w:r>
      <w:r w:rsidR="00CC399D">
        <w:t xml:space="preserve"> provides the most </w:t>
      </w:r>
      <w:r w:rsidR="0066607E">
        <w:t xml:space="preserve">comprehensive guidance for both </w:t>
      </w:r>
      <w:r w:rsidR="00CC399D">
        <w:t>doing reflexive TA</w:t>
      </w:r>
      <w:r w:rsidR="0066607E">
        <w:t>, and thinking about TA</w:t>
      </w:r>
      <w:r w:rsidR="00CC399D">
        <w:t>. We have developed</w:t>
      </w:r>
      <w:r>
        <w:t xml:space="preserve"> a website – </w:t>
      </w:r>
      <w:hyperlink r:id="rId8" w:history="1">
        <w:r w:rsidRPr="00326954">
          <w:rPr>
            <w:rStyle w:val="Hyperlink"/>
          </w:rPr>
          <w:t>www.thematicanalysis.net</w:t>
        </w:r>
      </w:hyperlink>
      <w:r>
        <w:t xml:space="preserve"> – which links to all of the resources we have produced</w:t>
      </w:r>
      <w:r w:rsidR="00CC399D">
        <w:t xml:space="preserve">. We have published </w:t>
      </w:r>
      <w:r>
        <w:t>numerous papers addressing</w:t>
      </w:r>
      <w:r w:rsidR="000256F0">
        <w:t>,</w:t>
      </w:r>
      <w:r>
        <w:t xml:space="preserve"> </w:t>
      </w:r>
      <w:r w:rsidR="000256F0">
        <w:t xml:space="preserve">among other things, </w:t>
      </w:r>
      <w:r>
        <w:t>misconceptions and confusions around reflexive TA (Braun &amp; Clarke, 2021</w:t>
      </w:r>
      <w:r w:rsidR="00944034">
        <w:t>a</w:t>
      </w:r>
      <w:r>
        <w:t>)</w:t>
      </w:r>
      <w:r w:rsidR="00944034">
        <w:t>, whether saturation is a meaningful concept for reflexive TA (TL</w:t>
      </w:r>
      <w:r w:rsidR="000256F0">
        <w:t xml:space="preserve">; DR no it </w:t>
      </w:r>
      <w:proofErr w:type="gramStart"/>
      <w:r w:rsidR="000256F0">
        <w:t>isn’t!;</w:t>
      </w:r>
      <w:proofErr w:type="gramEnd"/>
      <w:r w:rsidR="000256F0">
        <w:t xml:space="preserve"> Braun &amp; Clarke, 2021b), designing methodologically coherent TA research (Braun &amp; Clarke, </w:t>
      </w:r>
      <w:r w:rsidR="0066607E">
        <w:t>2022a</w:t>
      </w:r>
      <w:r w:rsidR="000256F0">
        <w:t xml:space="preserve">), </w:t>
      </w:r>
      <w:r w:rsidR="00AC4BE4">
        <w:t xml:space="preserve">and </w:t>
      </w:r>
      <w:r w:rsidR="000256F0">
        <w:t>when and why to use reflexive TA (Braun &amp; Clarke, 2021c). We particularly encourage reviewers to read the tool for evaluating TA manuscripts for publication in Braun and Clarke (2021a).</w:t>
      </w:r>
    </w:p>
    <w:p w14:paraId="0C30BA80" w14:textId="299723EF" w:rsidR="002C355E" w:rsidRDefault="002C355E">
      <w:pPr>
        <w:rPr>
          <w:b/>
          <w:bCs/>
        </w:rPr>
      </w:pPr>
      <w:r>
        <w:rPr>
          <w:b/>
          <w:bCs/>
        </w:rPr>
        <w:t>Funding</w:t>
      </w:r>
    </w:p>
    <w:p w14:paraId="264A4378" w14:textId="45BB4F16" w:rsidR="002C355E" w:rsidRDefault="002C355E">
      <w:r>
        <w:t>The authors reported there is no funding associated with the work featured in this editorial.</w:t>
      </w:r>
    </w:p>
    <w:p w14:paraId="3DD5DC21" w14:textId="506AAF5C" w:rsidR="002C355E" w:rsidRPr="00EB1BE0" w:rsidRDefault="002C355E"/>
    <w:p w14:paraId="16162541" w14:textId="0989EFCD" w:rsidR="00EB1BE0" w:rsidRPr="00EB1BE0" w:rsidRDefault="002C355E" w:rsidP="002C355E">
      <w:r w:rsidRPr="00EB1BE0">
        <w:t xml:space="preserve">Virginia Braun, </w:t>
      </w:r>
      <w:r w:rsidR="00EB1BE0" w:rsidRPr="00EB1BE0">
        <w:t>Ph.D.</w:t>
      </w:r>
    </w:p>
    <w:p w14:paraId="06474375" w14:textId="77777777" w:rsidR="00EB1BE0" w:rsidRPr="00C111EE" w:rsidRDefault="002C355E" w:rsidP="002C355E">
      <w:pPr>
        <w:rPr>
          <w:i/>
          <w:iCs/>
        </w:rPr>
      </w:pPr>
      <w:r w:rsidRPr="00C111EE">
        <w:rPr>
          <w:i/>
          <w:iCs/>
        </w:rPr>
        <w:t>School of Psychology, The University of Auckland, Aotearoa/New Zealand</w:t>
      </w:r>
      <w:r w:rsidR="00EB1BE0" w:rsidRPr="00C111EE">
        <w:rPr>
          <w:i/>
          <w:iCs/>
        </w:rPr>
        <w:t xml:space="preserve"> </w:t>
      </w:r>
    </w:p>
    <w:p w14:paraId="0EEB9E15" w14:textId="0B8B69EE" w:rsidR="002C355E" w:rsidRPr="00EB1BE0" w:rsidRDefault="00EB1BE0" w:rsidP="002C355E">
      <w:r w:rsidRPr="00EB1BE0">
        <w:t xml:space="preserve">Email: </w:t>
      </w:r>
      <w:hyperlink r:id="rId9" w:history="1">
        <w:r w:rsidRPr="00C111EE">
          <w:rPr>
            <w:rStyle w:val="Hyperlink"/>
            <w:u w:val="none"/>
          </w:rPr>
          <w:t>V.Braun@auckland.ac.nz</w:t>
        </w:r>
      </w:hyperlink>
    </w:p>
    <w:p w14:paraId="231FA791" w14:textId="7E6B7885" w:rsidR="00EB1BE0" w:rsidRPr="00EB1BE0" w:rsidRDefault="002C355E" w:rsidP="002C355E">
      <w:r w:rsidRPr="00EB1BE0">
        <w:t xml:space="preserve">Victoria Clarke, </w:t>
      </w:r>
      <w:r w:rsidR="00EB1BE0" w:rsidRPr="00EB1BE0">
        <w:t>Ph.D.</w:t>
      </w:r>
    </w:p>
    <w:p w14:paraId="4919FED9" w14:textId="77777777" w:rsidR="00EB1BE0" w:rsidRDefault="002C355E" w:rsidP="002C355E">
      <w:r w:rsidRPr="00C111EE">
        <w:rPr>
          <w:i/>
          <w:iCs/>
        </w:rPr>
        <w:t>Department of Social Sciences, University of the West of England, Bristol, UK</w:t>
      </w:r>
      <w:r w:rsidR="00EB1BE0">
        <w:t xml:space="preserve"> </w:t>
      </w:r>
    </w:p>
    <w:p w14:paraId="001C4BD9" w14:textId="78BE0C95" w:rsidR="002C355E" w:rsidRPr="00EB1BE0" w:rsidRDefault="00EB1BE0" w:rsidP="002C355E">
      <w:r>
        <w:t xml:space="preserve">E-mail: </w:t>
      </w:r>
      <w:r w:rsidR="002C355E" w:rsidRPr="00EB1BE0">
        <w:t>Victoria.Clarke@uwe.ac.uk</w:t>
      </w:r>
    </w:p>
    <w:p w14:paraId="27D6404E" w14:textId="77777777" w:rsidR="002C355E" w:rsidRPr="00EB1BE0" w:rsidRDefault="002C355E"/>
    <w:p w14:paraId="04E9F22E" w14:textId="77777777" w:rsidR="00DD65B7" w:rsidRPr="000B2308" w:rsidRDefault="00DD65B7">
      <w:pPr>
        <w:rPr>
          <w:b/>
        </w:rPr>
      </w:pPr>
      <w:r w:rsidRPr="000B2308">
        <w:rPr>
          <w:b/>
        </w:rPr>
        <w:t>References</w:t>
      </w:r>
    </w:p>
    <w:p w14:paraId="31E8CC05" w14:textId="77777777" w:rsidR="005D0D50" w:rsidRDefault="005D0D50">
      <w:pPr>
        <w:rPr>
          <w:lang w:val="en-NZ"/>
        </w:rPr>
      </w:pPr>
      <w:proofErr w:type="spellStart"/>
      <w:r w:rsidRPr="005D0D50">
        <w:rPr>
          <w:lang w:val="en-NZ"/>
        </w:rPr>
        <w:t>Barlo</w:t>
      </w:r>
      <w:proofErr w:type="spellEnd"/>
      <w:r w:rsidRPr="005D0D50">
        <w:rPr>
          <w:lang w:val="en-NZ"/>
        </w:rPr>
        <w:t xml:space="preserve">, S., Boyd, W. E., </w:t>
      </w:r>
      <w:proofErr w:type="spellStart"/>
      <w:r w:rsidRPr="005D0D50">
        <w:rPr>
          <w:lang w:val="en-NZ"/>
        </w:rPr>
        <w:t>Pelizzon</w:t>
      </w:r>
      <w:proofErr w:type="spellEnd"/>
      <w:r w:rsidRPr="005D0D50">
        <w:rPr>
          <w:lang w:val="en-NZ"/>
        </w:rPr>
        <w:t xml:space="preserve">, A., &amp; Wilson, S. (2020). YARNING AS PROTECTED SPACE: principles and protocols. </w:t>
      </w:r>
      <w:proofErr w:type="spellStart"/>
      <w:r w:rsidRPr="005D0D50">
        <w:rPr>
          <w:i/>
          <w:iCs/>
          <w:lang w:val="en-NZ"/>
        </w:rPr>
        <w:t>AlterNative</w:t>
      </w:r>
      <w:proofErr w:type="spellEnd"/>
      <w:r w:rsidRPr="005D0D50">
        <w:rPr>
          <w:i/>
          <w:iCs/>
          <w:lang w:val="en-NZ"/>
        </w:rPr>
        <w:t>: An International Journal of Indigenous Peoples, 16</w:t>
      </w:r>
      <w:r w:rsidRPr="005D0D50">
        <w:rPr>
          <w:lang w:val="en-NZ"/>
        </w:rPr>
        <w:t xml:space="preserve">(2), 90-98. </w:t>
      </w:r>
      <w:hyperlink r:id="rId10" w:history="1">
        <w:r w:rsidRPr="005D0D50">
          <w:rPr>
            <w:rStyle w:val="Hyperlink"/>
            <w:lang w:val="en-NZ"/>
          </w:rPr>
          <w:t>https://doi.org/10.1177/1177180120917480</w:t>
        </w:r>
      </w:hyperlink>
      <w:r w:rsidRPr="005D0D50">
        <w:rPr>
          <w:lang w:val="en-NZ"/>
        </w:rPr>
        <w:t xml:space="preserve"> </w:t>
      </w:r>
    </w:p>
    <w:p w14:paraId="1DFC705B" w14:textId="42BB98FC" w:rsidR="00171DCB" w:rsidRDefault="00171DCB">
      <w:pPr>
        <w:rPr>
          <w:rStyle w:val="doilink"/>
        </w:rPr>
      </w:pPr>
      <w:r>
        <w:rPr>
          <w:lang w:val="en-US"/>
        </w:rPr>
        <w:lastRenderedPageBreak/>
        <w:t xml:space="preserve">Braun, V., &amp; Clarke, V. (2006). Using thematic analysis in psychology. </w:t>
      </w:r>
      <w:r>
        <w:rPr>
          <w:i/>
          <w:lang w:val="en-US"/>
        </w:rPr>
        <w:t>Qualitative Research in Psychology</w:t>
      </w:r>
      <w:r>
        <w:rPr>
          <w:lang w:val="en-US"/>
        </w:rPr>
        <w:t xml:space="preserve">, </w:t>
      </w:r>
      <w:r>
        <w:rPr>
          <w:i/>
          <w:lang w:val="en-US"/>
        </w:rPr>
        <w:t>3</w:t>
      </w:r>
      <w:r>
        <w:rPr>
          <w:lang w:val="en-US"/>
        </w:rPr>
        <w:t xml:space="preserve">(2), 77-101. </w:t>
      </w:r>
      <w:r>
        <w:rPr>
          <w:rStyle w:val="doilink"/>
        </w:rPr>
        <w:t>10.1191/1478088706qp063oa</w:t>
      </w:r>
      <w:r w:rsidR="005D78DF">
        <w:rPr>
          <w:rStyle w:val="doilink"/>
        </w:rPr>
        <w:t xml:space="preserve"> </w:t>
      </w:r>
    </w:p>
    <w:p w14:paraId="41557952" w14:textId="77777777" w:rsidR="005D78DF" w:rsidRDefault="005D78DF" w:rsidP="00171DCB">
      <w:pPr>
        <w:rPr>
          <w:rFonts w:cstheme="minorHAnsi"/>
          <w:lang w:val="en-NZ"/>
        </w:rPr>
      </w:pPr>
      <w:r w:rsidRPr="005D78DF">
        <w:rPr>
          <w:rFonts w:cstheme="minorHAnsi"/>
          <w:lang w:val="en-NZ"/>
        </w:rPr>
        <w:t xml:space="preserve">Braun, V., &amp; Clarke, V. (2016). (Mis)conceptualising themes, thematic analysis, and other problems with Fugard and Potts’ (2015) sample-size tool for thematic analysis. </w:t>
      </w:r>
      <w:r w:rsidRPr="005D78DF">
        <w:rPr>
          <w:rFonts w:cstheme="minorHAnsi"/>
          <w:i/>
          <w:iCs/>
          <w:lang w:val="en-NZ"/>
        </w:rPr>
        <w:t>International Journal of Social Research Methodology, 19</w:t>
      </w:r>
      <w:r w:rsidRPr="005D78DF">
        <w:rPr>
          <w:rFonts w:cstheme="minorHAnsi"/>
          <w:lang w:val="en-NZ"/>
        </w:rPr>
        <w:t xml:space="preserve">(6), 739-743. </w:t>
      </w:r>
      <w:hyperlink r:id="rId11" w:history="1">
        <w:r w:rsidRPr="005D78DF">
          <w:rPr>
            <w:rStyle w:val="Hyperlink"/>
            <w:rFonts w:cstheme="minorHAnsi"/>
            <w:lang w:val="en-NZ"/>
          </w:rPr>
          <w:t>https://doi.org/10.1080/13645579.2016.1195588</w:t>
        </w:r>
      </w:hyperlink>
      <w:r w:rsidRPr="005D78DF">
        <w:rPr>
          <w:rFonts w:cstheme="minorHAnsi"/>
          <w:lang w:val="en-NZ"/>
        </w:rPr>
        <w:t xml:space="preserve"> </w:t>
      </w:r>
    </w:p>
    <w:p w14:paraId="786F1BE3" w14:textId="279CB195" w:rsidR="00171DCB" w:rsidRDefault="00171DCB" w:rsidP="00171DCB">
      <w:r>
        <w:rPr>
          <w:rFonts w:cstheme="minorHAnsi"/>
        </w:rPr>
        <w:t xml:space="preserve">Braun, V., &amp; Clarke, V. (2019). Reflecting on reflexive thematic analysis. </w:t>
      </w:r>
      <w:r>
        <w:rPr>
          <w:rFonts w:cstheme="minorHAnsi"/>
          <w:i/>
          <w:iCs/>
        </w:rPr>
        <w:t>Qualitative Research in Sport, Exercise &amp; Health</w:t>
      </w:r>
      <w:r>
        <w:rPr>
          <w:rFonts w:cstheme="minorHAnsi"/>
        </w:rPr>
        <w:t xml:space="preserve">, </w:t>
      </w:r>
      <w:r>
        <w:rPr>
          <w:rFonts w:cstheme="minorHAnsi"/>
          <w:i/>
          <w:iCs/>
        </w:rPr>
        <w:t>11</w:t>
      </w:r>
      <w:r>
        <w:rPr>
          <w:rFonts w:cstheme="minorHAnsi"/>
        </w:rPr>
        <w:t xml:space="preserve">(4), 589-597. </w:t>
      </w:r>
      <w:hyperlink r:id="rId12" w:history="1">
        <w:r>
          <w:rPr>
            <w:rStyle w:val="Hyperlink"/>
            <w:rFonts w:cstheme="minorHAnsi"/>
            <w:bCs/>
          </w:rPr>
          <w:t>https://doi.org/10.1080/2159676X.2019.16 28806</w:t>
        </w:r>
      </w:hyperlink>
    </w:p>
    <w:p w14:paraId="598DC295" w14:textId="77777777" w:rsidR="00171DCB" w:rsidRDefault="00171DCB" w:rsidP="00171DCB">
      <w:pPr>
        <w:spacing w:before="120" w:after="120" w:line="276" w:lineRule="auto"/>
        <w:rPr>
          <w:rStyle w:val="Hyperlink"/>
          <w:rFonts w:cstheme="minorHAnsi"/>
          <w:color w:val="auto"/>
          <w:shd w:val="clear" w:color="auto" w:fill="FFFFFF"/>
        </w:rPr>
      </w:pPr>
      <w:r>
        <w:rPr>
          <w:rFonts w:cstheme="minorHAnsi"/>
          <w:bCs/>
          <w:lang w:val="en-NZ"/>
        </w:rPr>
        <w:t xml:space="preserve">Braun, V., &amp; Clarke, V. (2021a). </w:t>
      </w:r>
      <w:r>
        <w:rPr>
          <w:rFonts w:cstheme="minorHAnsi"/>
          <w:bCs/>
        </w:rPr>
        <w:t xml:space="preserve">One size </w:t>
      </w:r>
      <w:proofErr w:type="gramStart"/>
      <w:r>
        <w:rPr>
          <w:rFonts w:cstheme="minorHAnsi"/>
          <w:bCs/>
        </w:rPr>
        <w:t>fits</w:t>
      </w:r>
      <w:proofErr w:type="gramEnd"/>
      <w:r>
        <w:rPr>
          <w:rFonts w:cstheme="minorHAnsi"/>
          <w:bCs/>
        </w:rPr>
        <w:t xml:space="preserve"> all? What counts as quality practice in (reflexive) thematic analysis? </w:t>
      </w:r>
      <w:r>
        <w:rPr>
          <w:rFonts w:cstheme="minorHAnsi"/>
          <w:bCs/>
          <w:i/>
        </w:rPr>
        <w:t>Qualitative Research in Psychology, 18</w:t>
      </w:r>
      <w:r>
        <w:rPr>
          <w:rFonts w:cstheme="minorHAnsi"/>
          <w:bCs/>
        </w:rPr>
        <w:t>(3), 328-352</w:t>
      </w:r>
      <w:r>
        <w:rPr>
          <w:rFonts w:cstheme="minorHAnsi"/>
          <w:bCs/>
          <w:i/>
        </w:rPr>
        <w:t>.</w:t>
      </w:r>
      <w:r>
        <w:rPr>
          <w:rFonts w:cstheme="minorHAnsi"/>
          <w:bCs/>
        </w:rPr>
        <w:t xml:space="preserve"> </w:t>
      </w:r>
      <w:hyperlink r:id="rId13" w:history="1">
        <w:r>
          <w:rPr>
            <w:rStyle w:val="Hyperlink"/>
            <w:rFonts w:cstheme="minorHAnsi"/>
            <w:bCs/>
          </w:rPr>
          <w:t>https://doi.org/</w:t>
        </w:r>
      </w:hyperlink>
      <w:hyperlink r:id="rId14" w:history="1">
        <w:r>
          <w:rPr>
            <w:rStyle w:val="Hyperlink"/>
            <w:rFonts w:cstheme="minorHAnsi"/>
            <w:shd w:val="clear" w:color="auto" w:fill="FFFFFF"/>
          </w:rPr>
          <w:t>10.1080/14780887.2020.1769238</w:t>
        </w:r>
      </w:hyperlink>
    </w:p>
    <w:p w14:paraId="2E6EB65B" w14:textId="77777777" w:rsidR="00171DCB" w:rsidRDefault="00171DCB" w:rsidP="00171DCB">
      <w:pPr>
        <w:pStyle w:val="dx-doi"/>
        <w:spacing w:before="120" w:beforeAutospacing="0" w:after="120" w:afterAutospacing="0" w:line="276" w:lineRule="auto"/>
        <w:rPr>
          <w:rFonts w:asciiTheme="minorHAnsi" w:hAnsiTheme="minorHAnsi"/>
          <w:sz w:val="22"/>
          <w:szCs w:val="22"/>
        </w:rPr>
      </w:pPr>
      <w:r>
        <w:rPr>
          <w:rFonts w:asciiTheme="minorHAnsi" w:hAnsiTheme="minorHAnsi" w:cstheme="minorHAnsi"/>
          <w:bCs/>
          <w:sz w:val="22"/>
          <w:szCs w:val="22"/>
          <w:lang w:val="en-NZ"/>
        </w:rPr>
        <w:t xml:space="preserve">Braun, V., &amp; Clarke, V. (2021b). </w:t>
      </w:r>
      <w:r>
        <w:rPr>
          <w:rFonts w:asciiTheme="minorHAnsi" w:hAnsiTheme="minorHAnsi" w:cstheme="minorHAnsi"/>
          <w:sz w:val="22"/>
          <w:szCs w:val="22"/>
        </w:rPr>
        <w:t>To saturate or not to saturate? Questioning data saturation as a useful concept for thematic analysis and sample-size rationales.</w:t>
      </w:r>
      <w:r>
        <w:rPr>
          <w:rFonts w:asciiTheme="minorHAnsi" w:hAnsiTheme="minorHAnsi" w:cstheme="minorHAnsi"/>
          <w:bCs/>
          <w:i/>
          <w:iCs/>
          <w:sz w:val="22"/>
          <w:szCs w:val="22"/>
        </w:rPr>
        <w:t xml:space="preserve"> Qualitative Research in Sport, Exercise &amp; Health</w:t>
      </w:r>
      <w:r>
        <w:rPr>
          <w:rFonts w:asciiTheme="minorHAnsi" w:hAnsiTheme="minorHAnsi" w:cstheme="minorHAnsi"/>
          <w:bCs/>
          <w:iCs/>
          <w:sz w:val="22"/>
          <w:szCs w:val="22"/>
        </w:rPr>
        <w:t xml:space="preserve">, </w:t>
      </w:r>
      <w:r>
        <w:rPr>
          <w:rFonts w:asciiTheme="minorHAnsi" w:hAnsiTheme="minorHAnsi" w:cstheme="minorHAnsi"/>
          <w:bCs/>
          <w:i/>
          <w:iCs/>
          <w:sz w:val="22"/>
          <w:szCs w:val="22"/>
        </w:rPr>
        <w:t>13</w:t>
      </w:r>
      <w:r>
        <w:rPr>
          <w:rFonts w:asciiTheme="minorHAnsi" w:hAnsiTheme="minorHAnsi" w:cstheme="minorHAnsi"/>
          <w:bCs/>
          <w:iCs/>
          <w:sz w:val="22"/>
          <w:szCs w:val="22"/>
        </w:rPr>
        <w:t>(2), 201-216</w:t>
      </w:r>
      <w:r>
        <w:rPr>
          <w:rFonts w:asciiTheme="minorHAnsi" w:hAnsiTheme="minorHAnsi" w:cstheme="minorHAnsi"/>
          <w:bCs/>
          <w:i/>
          <w:iCs/>
          <w:sz w:val="22"/>
          <w:szCs w:val="22"/>
        </w:rPr>
        <w:t xml:space="preserve">. </w:t>
      </w:r>
      <w:hyperlink r:id="rId15" w:history="1">
        <w:r>
          <w:rPr>
            <w:rStyle w:val="Hyperlink"/>
            <w:rFonts w:asciiTheme="minorHAnsi" w:hAnsiTheme="minorHAnsi" w:cstheme="minorHAnsi"/>
            <w:sz w:val="22"/>
            <w:szCs w:val="22"/>
          </w:rPr>
          <w:t>https://doi.org/10.1080/2159676X.2019.1704846</w:t>
        </w:r>
      </w:hyperlink>
    </w:p>
    <w:p w14:paraId="68568DEF" w14:textId="77777777" w:rsidR="00171DCB" w:rsidRDefault="00171DCB" w:rsidP="00171DCB">
      <w:pPr>
        <w:spacing w:before="120" w:after="120" w:line="276" w:lineRule="auto"/>
        <w:rPr>
          <w:rFonts w:cstheme="minorHAnsi"/>
          <w:bCs/>
          <w:iCs/>
        </w:rPr>
      </w:pPr>
      <w:r>
        <w:rPr>
          <w:rFonts w:cstheme="minorHAnsi"/>
        </w:rPr>
        <w:t xml:space="preserve">Braun, V., &amp; Clarke, V. (2021c). Can I use TA? Should I use TA? Should I not use TA? Comparing reflexive thematic analysis and other pattern‐based qualitative analytic approaches. </w:t>
      </w:r>
      <w:r>
        <w:rPr>
          <w:rFonts w:cstheme="minorHAnsi"/>
          <w:i/>
        </w:rPr>
        <w:t>Counselling and Psychotherapy Research</w:t>
      </w:r>
      <w:r>
        <w:rPr>
          <w:rFonts w:cstheme="minorHAnsi"/>
        </w:rPr>
        <w:t xml:space="preserve">, </w:t>
      </w:r>
      <w:r>
        <w:rPr>
          <w:rFonts w:cstheme="minorHAnsi"/>
          <w:i/>
        </w:rPr>
        <w:t>21</w:t>
      </w:r>
      <w:r>
        <w:rPr>
          <w:rFonts w:cstheme="minorHAnsi"/>
        </w:rPr>
        <w:t xml:space="preserve">(1), 37-47. </w:t>
      </w:r>
      <w:hyperlink r:id="rId16" w:tgtFrame="_blank" w:history="1">
        <w:r>
          <w:rPr>
            <w:rStyle w:val="Hyperlink"/>
            <w:rFonts w:cstheme="minorHAnsi"/>
          </w:rPr>
          <w:t>https://doi.org/10.1002/capr.12360</w:t>
        </w:r>
      </w:hyperlink>
    </w:p>
    <w:p w14:paraId="5B8FF199" w14:textId="313F73A5" w:rsidR="00171DCB" w:rsidRPr="00846622" w:rsidRDefault="00171DCB" w:rsidP="00171DCB">
      <w:pPr>
        <w:pStyle w:val="BodyText"/>
        <w:spacing w:before="120" w:line="276" w:lineRule="auto"/>
        <w:rPr>
          <w:rStyle w:val="Hyperlink"/>
          <w:rFonts w:cstheme="minorHAnsi"/>
          <w:color w:val="auto"/>
          <w:shd w:val="clear" w:color="auto" w:fill="FFFFFF"/>
        </w:rPr>
      </w:pPr>
      <w:r w:rsidRPr="00846622">
        <w:rPr>
          <w:rFonts w:cstheme="minorHAnsi"/>
          <w:bCs/>
          <w:lang w:val="en-NZ"/>
        </w:rPr>
        <w:t>Braun, V.</w:t>
      </w:r>
      <w:r w:rsidRPr="00846622">
        <w:rPr>
          <w:rFonts w:cstheme="minorHAnsi"/>
        </w:rPr>
        <w:t>, &amp; Clarke, V. (</w:t>
      </w:r>
      <w:r w:rsidR="004C2C72" w:rsidRPr="00846622">
        <w:rPr>
          <w:rFonts w:cstheme="minorHAnsi"/>
        </w:rPr>
        <w:t>202</w:t>
      </w:r>
      <w:r w:rsidR="004C2C72">
        <w:rPr>
          <w:rFonts w:cstheme="minorHAnsi"/>
        </w:rPr>
        <w:t>2a</w:t>
      </w:r>
      <w:r w:rsidRPr="00846622">
        <w:rPr>
          <w:rFonts w:cstheme="minorHAnsi"/>
        </w:rPr>
        <w:t xml:space="preserve">). Conceptual and design thinking for thematic analysis. </w:t>
      </w:r>
      <w:r w:rsidRPr="00846622">
        <w:rPr>
          <w:rFonts w:cstheme="minorHAnsi"/>
          <w:i/>
        </w:rPr>
        <w:t>Qualitative Psychology</w:t>
      </w:r>
      <w:r w:rsidR="00024654">
        <w:rPr>
          <w:rFonts w:cstheme="minorHAnsi"/>
          <w:i/>
        </w:rPr>
        <w:t>,</w:t>
      </w:r>
      <w:r w:rsidR="00024654" w:rsidRPr="00024654">
        <w:rPr>
          <w:rFonts w:cstheme="minorHAnsi"/>
          <w:i/>
          <w:iCs/>
          <w:lang w:val="en-NZ"/>
        </w:rPr>
        <w:t xml:space="preserve"> 9</w:t>
      </w:r>
      <w:r w:rsidR="00024654" w:rsidRPr="00024654">
        <w:rPr>
          <w:rFonts w:cstheme="minorHAnsi"/>
          <w:lang w:val="en-NZ"/>
        </w:rPr>
        <w:t xml:space="preserve">(1), 3–26. </w:t>
      </w:r>
      <w:hyperlink r:id="rId17" w:history="1">
        <w:r w:rsidR="00024654" w:rsidRPr="00024654">
          <w:rPr>
            <w:rStyle w:val="Hyperlink"/>
            <w:rFonts w:cstheme="minorHAnsi"/>
            <w:lang w:val="en-NZ"/>
          </w:rPr>
          <w:t>https://doi.org/https://doi.org/10.1037/qup0000196</w:t>
        </w:r>
      </w:hyperlink>
    </w:p>
    <w:p w14:paraId="3C346A60" w14:textId="3D337258" w:rsidR="00171DCB" w:rsidRPr="00846622" w:rsidRDefault="00171DCB" w:rsidP="00171DCB">
      <w:pPr>
        <w:pStyle w:val="dx-doi"/>
        <w:spacing w:before="120" w:beforeAutospacing="0" w:after="120" w:afterAutospacing="0" w:line="276" w:lineRule="auto"/>
        <w:rPr>
          <w:rStyle w:val="Hyperlink"/>
          <w:rFonts w:asciiTheme="minorHAnsi" w:hAnsiTheme="minorHAnsi" w:cstheme="minorHAnsi"/>
          <w:bCs/>
          <w:sz w:val="22"/>
          <w:szCs w:val="22"/>
        </w:rPr>
      </w:pPr>
      <w:r w:rsidRPr="00846622">
        <w:rPr>
          <w:rFonts w:asciiTheme="minorHAnsi" w:hAnsiTheme="minorHAnsi" w:cstheme="minorHAnsi"/>
          <w:sz w:val="22"/>
          <w:szCs w:val="22"/>
        </w:rPr>
        <w:t>Braun, V., &amp; Clarke, V. (2022</w:t>
      </w:r>
      <w:r w:rsidR="004C2C72">
        <w:rPr>
          <w:rFonts w:asciiTheme="minorHAnsi" w:hAnsiTheme="minorHAnsi" w:cstheme="minorHAnsi"/>
          <w:sz w:val="22"/>
          <w:szCs w:val="22"/>
        </w:rPr>
        <w:t>b</w:t>
      </w:r>
      <w:r w:rsidRPr="00846622">
        <w:rPr>
          <w:rFonts w:asciiTheme="minorHAnsi" w:hAnsiTheme="minorHAnsi" w:cstheme="minorHAnsi"/>
          <w:sz w:val="22"/>
          <w:szCs w:val="22"/>
        </w:rPr>
        <w:t xml:space="preserve">). </w:t>
      </w:r>
      <w:r w:rsidRPr="00846622">
        <w:rPr>
          <w:rFonts w:asciiTheme="minorHAnsi" w:hAnsiTheme="minorHAnsi" w:cstheme="minorHAnsi"/>
          <w:i/>
          <w:sz w:val="22"/>
          <w:szCs w:val="22"/>
        </w:rPr>
        <w:t>Thematic analysis: A practical guide</w:t>
      </w:r>
      <w:r w:rsidRPr="00846622">
        <w:rPr>
          <w:rFonts w:asciiTheme="minorHAnsi" w:hAnsiTheme="minorHAnsi" w:cstheme="minorHAnsi"/>
          <w:sz w:val="22"/>
          <w:szCs w:val="22"/>
        </w:rPr>
        <w:t>. Sage.</w:t>
      </w:r>
      <w:r w:rsidRPr="00846622">
        <w:rPr>
          <w:rStyle w:val="Hyperlink"/>
          <w:rFonts w:asciiTheme="minorHAnsi" w:hAnsiTheme="minorHAnsi" w:cstheme="minorHAnsi"/>
          <w:bCs/>
          <w:sz w:val="22"/>
          <w:szCs w:val="22"/>
        </w:rPr>
        <w:t xml:space="preserve"> </w:t>
      </w:r>
    </w:p>
    <w:p w14:paraId="22873A5C" w14:textId="77777777" w:rsidR="005D0D50" w:rsidRDefault="005D0D50" w:rsidP="00E979A5">
      <w:pPr>
        <w:spacing w:before="120" w:after="120" w:line="276" w:lineRule="auto"/>
        <w:rPr>
          <w:rFonts w:cstheme="minorHAnsi"/>
          <w:color w:val="242021"/>
          <w:lang w:val="en-NZ"/>
        </w:rPr>
      </w:pPr>
      <w:r w:rsidRPr="005D0D50">
        <w:rPr>
          <w:rFonts w:cstheme="minorHAnsi"/>
          <w:color w:val="242021"/>
          <w:lang w:val="en-NZ"/>
        </w:rPr>
        <w:t xml:space="preserve">Cammock, R., Conn, C., &amp; </w:t>
      </w:r>
      <w:proofErr w:type="spellStart"/>
      <w:r w:rsidRPr="005D0D50">
        <w:rPr>
          <w:rFonts w:cstheme="minorHAnsi"/>
          <w:color w:val="242021"/>
          <w:lang w:val="en-NZ"/>
        </w:rPr>
        <w:t>Nayar</w:t>
      </w:r>
      <w:proofErr w:type="spellEnd"/>
      <w:r w:rsidRPr="005D0D50">
        <w:rPr>
          <w:rFonts w:cstheme="minorHAnsi"/>
          <w:color w:val="242021"/>
          <w:lang w:val="en-NZ"/>
        </w:rPr>
        <w:t xml:space="preserve">, S. (2021). Strengthening Pacific voices through </w:t>
      </w:r>
      <w:proofErr w:type="spellStart"/>
      <w:r w:rsidRPr="005D0D50">
        <w:rPr>
          <w:rFonts w:cstheme="minorHAnsi"/>
          <w:color w:val="242021"/>
          <w:lang w:val="en-NZ"/>
        </w:rPr>
        <w:t>Talanoa</w:t>
      </w:r>
      <w:proofErr w:type="spellEnd"/>
      <w:r w:rsidRPr="005D0D50">
        <w:rPr>
          <w:rFonts w:cstheme="minorHAnsi"/>
          <w:color w:val="242021"/>
          <w:lang w:val="en-NZ"/>
        </w:rPr>
        <w:t xml:space="preserve"> participatory action research. </w:t>
      </w:r>
      <w:proofErr w:type="spellStart"/>
      <w:r w:rsidRPr="005D0D50">
        <w:rPr>
          <w:rFonts w:cstheme="minorHAnsi"/>
          <w:i/>
          <w:iCs/>
          <w:color w:val="242021"/>
          <w:lang w:val="en-NZ"/>
        </w:rPr>
        <w:t>AlterNative</w:t>
      </w:r>
      <w:proofErr w:type="spellEnd"/>
      <w:r w:rsidRPr="005D0D50">
        <w:rPr>
          <w:rFonts w:cstheme="minorHAnsi"/>
          <w:i/>
          <w:iCs/>
          <w:color w:val="242021"/>
          <w:lang w:val="en-NZ"/>
        </w:rPr>
        <w:t>: An International Journal of Indigenous Peoples, 17</w:t>
      </w:r>
      <w:r w:rsidRPr="005D0D50">
        <w:rPr>
          <w:rFonts w:cstheme="minorHAnsi"/>
          <w:color w:val="242021"/>
          <w:lang w:val="en-NZ"/>
        </w:rPr>
        <w:t xml:space="preserve">(1), 120-129. </w:t>
      </w:r>
      <w:hyperlink r:id="rId18" w:history="1">
        <w:r w:rsidRPr="005D0D50">
          <w:rPr>
            <w:rStyle w:val="Hyperlink"/>
            <w:rFonts w:cstheme="minorHAnsi"/>
            <w:lang w:val="en-NZ"/>
          </w:rPr>
          <w:t>https://doi.org/10.1177/1177180121996321</w:t>
        </w:r>
      </w:hyperlink>
      <w:r w:rsidRPr="005D0D50">
        <w:rPr>
          <w:rFonts w:cstheme="minorHAnsi"/>
          <w:color w:val="242021"/>
          <w:lang w:val="en-NZ"/>
        </w:rPr>
        <w:t xml:space="preserve"> </w:t>
      </w:r>
    </w:p>
    <w:p w14:paraId="41E1BF04" w14:textId="29D66FAE" w:rsidR="00E979A5" w:rsidRPr="00846622" w:rsidRDefault="00E979A5" w:rsidP="00E979A5">
      <w:pPr>
        <w:spacing w:before="120" w:after="120" w:line="276" w:lineRule="auto"/>
        <w:rPr>
          <w:rStyle w:val="fontstyle01"/>
          <w:rFonts w:asciiTheme="minorHAnsi" w:hAnsiTheme="minorHAnsi" w:cstheme="minorHAnsi"/>
          <w:sz w:val="22"/>
          <w:szCs w:val="22"/>
        </w:rPr>
      </w:pPr>
      <w:r w:rsidRPr="00846622">
        <w:rPr>
          <w:rStyle w:val="fontstyle01"/>
          <w:rFonts w:asciiTheme="minorHAnsi" w:hAnsiTheme="minorHAnsi" w:cstheme="minorHAnsi"/>
          <w:sz w:val="22"/>
          <w:szCs w:val="22"/>
        </w:rPr>
        <w:t xml:space="preserve">Chamberlain, K. (2000). </w:t>
      </w:r>
      <w:proofErr w:type="spellStart"/>
      <w:r w:rsidRPr="00846622">
        <w:rPr>
          <w:rStyle w:val="fontstyle01"/>
          <w:rFonts w:asciiTheme="minorHAnsi" w:hAnsiTheme="minorHAnsi" w:cstheme="minorHAnsi"/>
          <w:sz w:val="22"/>
          <w:szCs w:val="22"/>
        </w:rPr>
        <w:t>Methodolatry</w:t>
      </w:r>
      <w:proofErr w:type="spellEnd"/>
      <w:r w:rsidRPr="00846622">
        <w:rPr>
          <w:rStyle w:val="fontstyle01"/>
          <w:rFonts w:asciiTheme="minorHAnsi" w:hAnsiTheme="minorHAnsi" w:cstheme="minorHAnsi"/>
          <w:sz w:val="22"/>
          <w:szCs w:val="22"/>
        </w:rPr>
        <w:t xml:space="preserve"> and qualitative health research. </w:t>
      </w:r>
      <w:r w:rsidRPr="00846622">
        <w:rPr>
          <w:rStyle w:val="fontstyle21"/>
          <w:rFonts w:asciiTheme="minorHAnsi" w:hAnsiTheme="minorHAnsi" w:cstheme="minorHAnsi"/>
          <w:sz w:val="22"/>
          <w:szCs w:val="22"/>
        </w:rPr>
        <w:t>Journal of Health Psychology</w:t>
      </w:r>
      <w:r w:rsidRPr="00846622">
        <w:rPr>
          <w:rStyle w:val="fontstyle01"/>
          <w:rFonts w:asciiTheme="minorHAnsi" w:hAnsiTheme="minorHAnsi" w:cstheme="minorHAnsi"/>
          <w:sz w:val="22"/>
          <w:szCs w:val="22"/>
        </w:rPr>
        <w:t xml:space="preserve">, </w:t>
      </w:r>
      <w:r w:rsidRPr="00846622">
        <w:rPr>
          <w:rStyle w:val="fontstyle21"/>
          <w:rFonts w:asciiTheme="minorHAnsi" w:hAnsiTheme="minorHAnsi" w:cstheme="minorHAnsi"/>
          <w:sz w:val="22"/>
          <w:szCs w:val="22"/>
        </w:rPr>
        <w:t>5</w:t>
      </w:r>
      <w:r w:rsidRPr="00846622">
        <w:rPr>
          <w:rStyle w:val="fontstyle01"/>
          <w:rFonts w:asciiTheme="minorHAnsi" w:hAnsiTheme="minorHAnsi" w:cstheme="minorHAnsi"/>
          <w:sz w:val="22"/>
          <w:szCs w:val="22"/>
        </w:rPr>
        <w:t>(3), 285–296.</w:t>
      </w:r>
    </w:p>
    <w:p w14:paraId="0C69C3A3" w14:textId="66526404" w:rsidR="00846622" w:rsidRDefault="00846622" w:rsidP="00E979A5">
      <w:pPr>
        <w:spacing w:before="120" w:after="120" w:line="276" w:lineRule="auto"/>
        <w:rPr>
          <w:rStyle w:val="fontstyle01"/>
          <w:rFonts w:asciiTheme="minorHAnsi" w:hAnsiTheme="minorHAnsi" w:cstheme="minorHAnsi"/>
          <w:sz w:val="22"/>
          <w:szCs w:val="22"/>
        </w:rPr>
      </w:pPr>
      <w:r w:rsidRPr="00846622">
        <w:rPr>
          <w:rStyle w:val="fontstyle01"/>
          <w:rFonts w:asciiTheme="minorHAnsi" w:hAnsiTheme="minorHAnsi" w:cstheme="minorHAnsi"/>
          <w:sz w:val="22"/>
          <w:szCs w:val="22"/>
        </w:rPr>
        <w:t xml:space="preserve">Elliott, R., Fischer, C. T., &amp; Rennie, D. L. (1999). Evolving guidelines for publication of qualitative research studies in psychology and related fields. </w:t>
      </w:r>
      <w:r w:rsidRPr="00846622">
        <w:rPr>
          <w:rStyle w:val="fontstyle21"/>
          <w:rFonts w:asciiTheme="minorHAnsi" w:hAnsiTheme="minorHAnsi" w:cstheme="minorHAnsi"/>
          <w:sz w:val="22"/>
          <w:szCs w:val="22"/>
        </w:rPr>
        <w:t>British Journal of Clinical Psychology</w:t>
      </w:r>
      <w:r w:rsidRPr="00846622">
        <w:rPr>
          <w:rStyle w:val="fontstyle01"/>
          <w:rFonts w:asciiTheme="minorHAnsi" w:hAnsiTheme="minorHAnsi" w:cstheme="minorHAnsi"/>
          <w:sz w:val="22"/>
          <w:szCs w:val="22"/>
        </w:rPr>
        <w:t xml:space="preserve">, </w:t>
      </w:r>
      <w:r w:rsidRPr="00846622">
        <w:rPr>
          <w:rStyle w:val="fontstyle21"/>
          <w:rFonts w:asciiTheme="minorHAnsi" w:hAnsiTheme="minorHAnsi" w:cstheme="minorHAnsi"/>
          <w:sz w:val="22"/>
          <w:szCs w:val="22"/>
        </w:rPr>
        <w:t>38</w:t>
      </w:r>
      <w:r w:rsidRPr="00846622">
        <w:rPr>
          <w:rStyle w:val="fontstyle01"/>
          <w:rFonts w:asciiTheme="minorHAnsi" w:hAnsiTheme="minorHAnsi" w:cstheme="minorHAnsi"/>
          <w:sz w:val="22"/>
          <w:szCs w:val="22"/>
        </w:rPr>
        <w:t>(3), 215–229.</w:t>
      </w:r>
    </w:p>
    <w:p w14:paraId="01D3DEC0" w14:textId="4FACA074" w:rsidR="005D0D50" w:rsidRPr="00846622" w:rsidRDefault="005D0D50" w:rsidP="00E979A5">
      <w:pPr>
        <w:spacing w:before="120" w:after="120" w:line="276" w:lineRule="auto"/>
        <w:rPr>
          <w:rFonts w:cstheme="minorHAnsi"/>
        </w:rPr>
      </w:pPr>
      <w:r w:rsidRPr="005D0D50">
        <w:rPr>
          <w:rFonts w:cstheme="minorHAnsi"/>
          <w:lang w:val="en-NZ"/>
        </w:rPr>
        <w:t xml:space="preserve">Fine, M., Torre, M. E., Oswald, A. G., &amp; </w:t>
      </w:r>
      <w:proofErr w:type="spellStart"/>
      <w:r w:rsidRPr="005D0D50">
        <w:rPr>
          <w:rFonts w:cstheme="minorHAnsi"/>
          <w:lang w:val="en-NZ"/>
        </w:rPr>
        <w:t>Avory</w:t>
      </w:r>
      <w:proofErr w:type="spellEnd"/>
      <w:r w:rsidRPr="005D0D50">
        <w:rPr>
          <w:rFonts w:cstheme="minorHAnsi"/>
          <w:lang w:val="en-NZ"/>
        </w:rPr>
        <w:t xml:space="preserve">, S. (2021). Critical participatory action research: Methods and praxis for intersectional knowledge production. </w:t>
      </w:r>
      <w:r w:rsidRPr="005D0D50">
        <w:rPr>
          <w:rFonts w:cstheme="minorHAnsi"/>
          <w:i/>
          <w:iCs/>
          <w:lang w:val="en-NZ"/>
        </w:rPr>
        <w:t xml:space="preserve">Journal of </w:t>
      </w:r>
      <w:r w:rsidR="002C355E">
        <w:rPr>
          <w:rFonts w:cstheme="minorHAnsi"/>
          <w:i/>
          <w:iCs/>
          <w:lang w:val="en-NZ"/>
        </w:rPr>
        <w:t>C</w:t>
      </w:r>
      <w:r w:rsidRPr="005D0D50">
        <w:rPr>
          <w:rFonts w:cstheme="minorHAnsi"/>
          <w:i/>
          <w:iCs/>
          <w:lang w:val="en-NZ"/>
        </w:rPr>
        <w:t xml:space="preserve">ounseling </w:t>
      </w:r>
      <w:r w:rsidR="002C355E">
        <w:rPr>
          <w:rFonts w:cstheme="minorHAnsi"/>
          <w:i/>
          <w:iCs/>
          <w:lang w:val="en-NZ"/>
        </w:rPr>
        <w:t>P</w:t>
      </w:r>
      <w:r w:rsidRPr="005D0D50">
        <w:rPr>
          <w:rFonts w:cstheme="minorHAnsi"/>
          <w:i/>
          <w:iCs/>
          <w:lang w:val="en-NZ"/>
        </w:rPr>
        <w:t>sychology, 68</w:t>
      </w:r>
      <w:r w:rsidRPr="005D0D50">
        <w:rPr>
          <w:rFonts w:cstheme="minorHAnsi"/>
          <w:lang w:val="en-NZ"/>
        </w:rPr>
        <w:t xml:space="preserve">(3), 344-356. </w:t>
      </w:r>
      <w:hyperlink r:id="rId19" w:history="1">
        <w:r w:rsidRPr="005D0D50">
          <w:rPr>
            <w:rStyle w:val="Hyperlink"/>
            <w:rFonts w:cstheme="minorHAnsi"/>
            <w:lang w:val="en-NZ"/>
          </w:rPr>
          <w:t>https://doi.org/10.1037/cou0000445</w:t>
        </w:r>
      </w:hyperlink>
    </w:p>
    <w:p w14:paraId="50830D1F" w14:textId="77777777" w:rsidR="00171DCB" w:rsidRDefault="00171DCB" w:rsidP="00171DCB">
      <w:pPr>
        <w:pStyle w:val="dx-doi"/>
        <w:spacing w:before="120" w:beforeAutospacing="0" w:after="120" w:afterAutospacing="0" w:line="276" w:lineRule="auto"/>
        <w:rPr>
          <w:rFonts w:asciiTheme="minorHAnsi" w:hAnsiTheme="minorHAnsi" w:cstheme="minorHAnsi"/>
          <w:sz w:val="22"/>
          <w:szCs w:val="22"/>
          <w:lang w:val="en-NZ"/>
        </w:rPr>
      </w:pPr>
      <w:r w:rsidRPr="00846622">
        <w:rPr>
          <w:rFonts w:asciiTheme="minorHAnsi" w:hAnsiTheme="minorHAnsi" w:cstheme="minorHAnsi"/>
          <w:sz w:val="22"/>
          <w:szCs w:val="22"/>
          <w:lang w:val="en-NZ"/>
        </w:rPr>
        <w:t xml:space="preserve">Finlay, L. (2021). Thematic analysis: The ‘good’, the ‘bad’ and the ‘ugly’. </w:t>
      </w:r>
      <w:r w:rsidRPr="00846622">
        <w:rPr>
          <w:rFonts w:asciiTheme="minorHAnsi" w:hAnsiTheme="minorHAnsi" w:cstheme="minorHAnsi"/>
          <w:i/>
          <w:iCs/>
          <w:sz w:val="22"/>
          <w:szCs w:val="22"/>
          <w:lang w:val="en-NZ"/>
        </w:rPr>
        <w:t>European Journal for Qualitative Research in Psychotherapy, 11</w:t>
      </w:r>
      <w:r w:rsidRPr="00846622">
        <w:rPr>
          <w:rFonts w:asciiTheme="minorHAnsi" w:hAnsiTheme="minorHAnsi" w:cstheme="minorHAnsi"/>
          <w:sz w:val="22"/>
          <w:szCs w:val="22"/>
          <w:lang w:val="en-NZ"/>
        </w:rPr>
        <w:t>, 103-116.</w:t>
      </w:r>
    </w:p>
    <w:p w14:paraId="4E9B2DFC" w14:textId="77777777" w:rsidR="006621AF" w:rsidRPr="0051494A" w:rsidRDefault="006621AF" w:rsidP="00171DCB">
      <w:pPr>
        <w:pStyle w:val="dx-doi"/>
        <w:spacing w:before="120" w:beforeAutospacing="0" w:after="120" w:afterAutospacing="0" w:line="276" w:lineRule="auto"/>
        <w:rPr>
          <w:rFonts w:asciiTheme="minorHAnsi" w:hAnsiTheme="minorHAnsi" w:cstheme="minorHAnsi"/>
          <w:sz w:val="22"/>
          <w:szCs w:val="22"/>
          <w:lang w:val="en-NZ"/>
        </w:rPr>
      </w:pPr>
      <w:r w:rsidRPr="0051494A">
        <w:rPr>
          <w:rStyle w:val="fontstyle01"/>
          <w:rFonts w:asciiTheme="minorHAnsi" w:hAnsiTheme="minorHAnsi" w:cstheme="minorHAnsi"/>
          <w:sz w:val="22"/>
          <w:szCs w:val="22"/>
        </w:rPr>
        <w:t xml:space="preserve">Flick, U. (2018). </w:t>
      </w:r>
      <w:r w:rsidRPr="0051494A">
        <w:rPr>
          <w:rStyle w:val="fontstyle21"/>
          <w:rFonts w:asciiTheme="minorHAnsi" w:hAnsiTheme="minorHAnsi" w:cstheme="minorHAnsi"/>
          <w:sz w:val="22"/>
          <w:szCs w:val="22"/>
        </w:rPr>
        <w:t xml:space="preserve">An introduction to qualitative research </w:t>
      </w:r>
      <w:r w:rsidRPr="0051494A">
        <w:rPr>
          <w:rStyle w:val="fontstyle01"/>
          <w:rFonts w:asciiTheme="minorHAnsi" w:hAnsiTheme="minorHAnsi" w:cstheme="minorHAnsi"/>
          <w:sz w:val="22"/>
          <w:szCs w:val="22"/>
        </w:rPr>
        <w:t>(6th ed.). Sage.</w:t>
      </w:r>
    </w:p>
    <w:p w14:paraId="60746854" w14:textId="6A4451A3" w:rsidR="005D78DF" w:rsidRDefault="005D78DF">
      <w:pPr>
        <w:rPr>
          <w:rFonts w:cstheme="minorHAnsi"/>
          <w:color w:val="333333"/>
          <w:shd w:val="clear" w:color="auto" w:fill="FFFFFF"/>
          <w:lang w:val="en-NZ"/>
        </w:rPr>
      </w:pPr>
      <w:proofErr w:type="spellStart"/>
      <w:r w:rsidRPr="005D78DF">
        <w:rPr>
          <w:rFonts w:cstheme="minorHAnsi"/>
          <w:color w:val="333333"/>
          <w:shd w:val="clear" w:color="auto" w:fill="FFFFFF"/>
          <w:lang w:val="en-NZ"/>
        </w:rPr>
        <w:t>Folkes</w:t>
      </w:r>
      <w:proofErr w:type="spellEnd"/>
      <w:r w:rsidRPr="005D78DF">
        <w:rPr>
          <w:rFonts w:cstheme="minorHAnsi"/>
          <w:color w:val="333333"/>
          <w:shd w:val="clear" w:color="auto" w:fill="FFFFFF"/>
          <w:lang w:val="en-NZ"/>
        </w:rPr>
        <w:t xml:space="preserve">, L. (2022). Moving beyond ‘shopping list’ positionality: Using kitchen table reflexivity and in/visible tools to develop reflexive qualitative research. </w:t>
      </w:r>
      <w:r w:rsidRPr="005D78DF">
        <w:rPr>
          <w:rFonts w:cstheme="minorHAnsi"/>
          <w:i/>
          <w:iCs/>
          <w:color w:val="333333"/>
          <w:shd w:val="clear" w:color="auto" w:fill="FFFFFF"/>
          <w:lang w:val="en-NZ"/>
        </w:rPr>
        <w:t>Qualitative Research</w:t>
      </w:r>
      <w:r w:rsidRPr="005D78DF">
        <w:rPr>
          <w:rFonts w:cstheme="minorHAnsi"/>
          <w:color w:val="333333"/>
          <w:shd w:val="clear" w:color="auto" w:fill="FFFFFF"/>
          <w:lang w:val="en-NZ"/>
        </w:rPr>
        <w:t xml:space="preserve">. </w:t>
      </w:r>
      <w:hyperlink r:id="rId20" w:history="1">
        <w:r w:rsidRPr="005D78DF">
          <w:rPr>
            <w:rStyle w:val="Hyperlink"/>
            <w:rFonts w:cstheme="minorHAnsi"/>
            <w:shd w:val="clear" w:color="auto" w:fill="FFFFFF"/>
            <w:lang w:val="en-NZ"/>
          </w:rPr>
          <w:t>https://doi.org/10.1177/14687941221098922</w:t>
        </w:r>
      </w:hyperlink>
      <w:r w:rsidRPr="005D78DF">
        <w:rPr>
          <w:rFonts w:cstheme="minorHAnsi"/>
          <w:color w:val="333333"/>
          <w:shd w:val="clear" w:color="auto" w:fill="FFFFFF"/>
          <w:lang w:val="en-NZ"/>
        </w:rPr>
        <w:t xml:space="preserve"> </w:t>
      </w:r>
    </w:p>
    <w:p w14:paraId="32400094" w14:textId="7609269D" w:rsidR="00171DCB" w:rsidRPr="00846622" w:rsidRDefault="00171DCB">
      <w:pPr>
        <w:rPr>
          <w:rFonts w:cstheme="minorHAnsi"/>
        </w:rPr>
      </w:pPr>
      <w:r w:rsidRPr="00846622">
        <w:rPr>
          <w:rStyle w:val="authors"/>
          <w:rFonts w:cstheme="minorHAnsi"/>
          <w:color w:val="333333"/>
          <w:shd w:val="clear" w:color="auto" w:fill="FFFFFF"/>
        </w:rPr>
        <w:t xml:space="preserve">Fraser, G., Brady, A., &amp; Wilson, M. S. </w:t>
      </w:r>
      <w:r w:rsidRPr="00846622">
        <w:rPr>
          <w:rStyle w:val="Date1"/>
          <w:rFonts w:cstheme="minorHAnsi"/>
          <w:color w:val="333333"/>
          <w:shd w:val="clear" w:color="auto" w:fill="FFFFFF"/>
        </w:rPr>
        <w:t xml:space="preserve">(2021). </w:t>
      </w:r>
      <w:r w:rsidRPr="00846622">
        <w:rPr>
          <w:rStyle w:val="arttitle"/>
          <w:rFonts w:cstheme="minorHAnsi"/>
          <w:color w:val="333333"/>
          <w:shd w:val="clear" w:color="auto" w:fill="FFFFFF"/>
        </w:rPr>
        <w:t xml:space="preserve">“What if I’m not trans enough? What if I’m not man enough?”: Transgender young adults’ experiences of gender-affirming healthcare readiness </w:t>
      </w:r>
      <w:r w:rsidRPr="00846622">
        <w:rPr>
          <w:rStyle w:val="arttitle"/>
          <w:rFonts w:cstheme="minorHAnsi"/>
          <w:color w:val="333333"/>
          <w:shd w:val="clear" w:color="auto" w:fill="FFFFFF"/>
        </w:rPr>
        <w:lastRenderedPageBreak/>
        <w:t xml:space="preserve">assessments in Aotearoa New Zealand. </w:t>
      </w:r>
      <w:r w:rsidRPr="00C111EE">
        <w:rPr>
          <w:rStyle w:val="serialtitle"/>
          <w:rFonts w:cstheme="minorHAnsi"/>
          <w:i/>
          <w:iCs/>
          <w:color w:val="333333"/>
          <w:shd w:val="clear" w:color="auto" w:fill="FFFFFF"/>
        </w:rPr>
        <w:t>International Journal of Transgender Health</w:t>
      </w:r>
      <w:r w:rsidRPr="00846622">
        <w:rPr>
          <w:rStyle w:val="serialtitle"/>
          <w:rFonts w:cstheme="minorHAnsi"/>
          <w:color w:val="333333"/>
          <w:shd w:val="clear" w:color="auto" w:fill="FFFFFF"/>
        </w:rPr>
        <w:t>,</w:t>
      </w:r>
      <w:r w:rsidR="002C355E">
        <w:rPr>
          <w:rStyle w:val="serialtitle"/>
          <w:rFonts w:cstheme="minorHAnsi"/>
          <w:color w:val="333333"/>
          <w:shd w:val="clear" w:color="auto" w:fill="FFFFFF"/>
        </w:rPr>
        <w:t xml:space="preserve"> </w:t>
      </w:r>
      <w:r w:rsidRPr="00C111EE">
        <w:rPr>
          <w:rStyle w:val="volumeissue"/>
          <w:rFonts w:cstheme="minorHAnsi"/>
          <w:i/>
          <w:iCs/>
          <w:color w:val="333333"/>
          <w:shd w:val="clear" w:color="auto" w:fill="FFFFFF"/>
        </w:rPr>
        <w:t>22</w:t>
      </w:r>
      <w:r w:rsidRPr="00846622">
        <w:rPr>
          <w:rStyle w:val="volumeissue"/>
          <w:rFonts w:cstheme="minorHAnsi"/>
          <w:color w:val="333333"/>
          <w:shd w:val="clear" w:color="auto" w:fill="FFFFFF"/>
        </w:rPr>
        <w:t xml:space="preserve">(4), </w:t>
      </w:r>
      <w:r w:rsidRPr="00846622">
        <w:rPr>
          <w:rStyle w:val="pagerange"/>
          <w:rFonts w:cstheme="minorHAnsi"/>
          <w:color w:val="333333"/>
          <w:shd w:val="clear" w:color="auto" w:fill="FFFFFF"/>
        </w:rPr>
        <w:t>454-467. https://doi.org/</w:t>
      </w:r>
      <w:hyperlink r:id="rId21" w:history="1">
        <w:r w:rsidRPr="00846622">
          <w:rPr>
            <w:rStyle w:val="Hyperlink"/>
            <w:rFonts w:cstheme="minorHAnsi"/>
            <w:color w:val="333333"/>
            <w:shd w:val="clear" w:color="auto" w:fill="FFFFFF"/>
          </w:rPr>
          <w:t>10.1080/26895269.2021.1933669</w:t>
        </w:r>
      </w:hyperlink>
    </w:p>
    <w:p w14:paraId="5C62F40C" w14:textId="795CC855" w:rsidR="00DD65B7" w:rsidRPr="00846622" w:rsidRDefault="00DD65B7">
      <w:pPr>
        <w:rPr>
          <w:rStyle w:val="Hyperlink"/>
          <w:rFonts w:cstheme="minorHAnsi"/>
          <w:shd w:val="clear" w:color="auto" w:fill="FFFFFF"/>
        </w:rPr>
      </w:pPr>
      <w:proofErr w:type="spellStart"/>
      <w:r w:rsidRPr="00846622">
        <w:rPr>
          <w:rFonts w:cstheme="minorHAnsi"/>
          <w:color w:val="212121"/>
          <w:shd w:val="clear" w:color="auto" w:fill="FFFFFF"/>
        </w:rPr>
        <w:t>Frohard-Dourlent</w:t>
      </w:r>
      <w:proofErr w:type="spellEnd"/>
      <w:r w:rsidRPr="00846622">
        <w:rPr>
          <w:rFonts w:cstheme="minorHAnsi"/>
          <w:color w:val="212121"/>
          <w:shd w:val="clear" w:color="auto" w:fill="FFFFFF"/>
        </w:rPr>
        <w:t>, H., MacAulay, M., &amp; Shannon, M. (2020). Experiences of surgery readiness assessments in British Columbia.</w:t>
      </w:r>
      <w:r w:rsidR="00171DCB" w:rsidRPr="00846622">
        <w:rPr>
          <w:rFonts w:cstheme="minorHAnsi"/>
          <w:color w:val="212121"/>
          <w:shd w:val="clear" w:color="auto" w:fill="FFFFFF"/>
        </w:rPr>
        <w:t xml:space="preserve"> </w:t>
      </w:r>
      <w:r w:rsidRPr="00846622">
        <w:rPr>
          <w:rFonts w:cstheme="minorHAnsi"/>
          <w:i/>
          <w:iCs/>
          <w:color w:val="212121"/>
          <w:shd w:val="clear" w:color="auto" w:fill="FFFFFF"/>
        </w:rPr>
        <w:t xml:space="preserve">International </w:t>
      </w:r>
      <w:r w:rsidR="002C355E">
        <w:rPr>
          <w:rFonts w:cstheme="minorHAnsi"/>
          <w:i/>
          <w:iCs/>
          <w:color w:val="212121"/>
          <w:shd w:val="clear" w:color="auto" w:fill="FFFFFF"/>
        </w:rPr>
        <w:t>J</w:t>
      </w:r>
      <w:r w:rsidRPr="00846622">
        <w:rPr>
          <w:rFonts w:cstheme="minorHAnsi"/>
          <w:i/>
          <w:iCs/>
          <w:color w:val="212121"/>
          <w:shd w:val="clear" w:color="auto" w:fill="FFFFFF"/>
        </w:rPr>
        <w:t xml:space="preserve">ournal of </w:t>
      </w:r>
      <w:r w:rsidR="002C355E">
        <w:rPr>
          <w:rFonts w:cstheme="minorHAnsi"/>
          <w:i/>
          <w:iCs/>
          <w:color w:val="212121"/>
          <w:shd w:val="clear" w:color="auto" w:fill="FFFFFF"/>
        </w:rPr>
        <w:t>T</w:t>
      </w:r>
      <w:r w:rsidRPr="00846622">
        <w:rPr>
          <w:rFonts w:cstheme="minorHAnsi"/>
          <w:i/>
          <w:iCs/>
          <w:color w:val="212121"/>
          <w:shd w:val="clear" w:color="auto" w:fill="FFFFFF"/>
        </w:rPr>
        <w:t xml:space="preserve">ransgender </w:t>
      </w:r>
      <w:r w:rsidR="002C355E">
        <w:rPr>
          <w:rFonts w:cstheme="minorHAnsi"/>
          <w:i/>
          <w:iCs/>
          <w:color w:val="212121"/>
          <w:shd w:val="clear" w:color="auto" w:fill="FFFFFF"/>
        </w:rPr>
        <w:t>H</w:t>
      </w:r>
      <w:r w:rsidRPr="00846622">
        <w:rPr>
          <w:rFonts w:cstheme="minorHAnsi"/>
          <w:i/>
          <w:iCs/>
          <w:color w:val="212121"/>
          <w:shd w:val="clear" w:color="auto" w:fill="FFFFFF"/>
        </w:rPr>
        <w:t>ealth</w:t>
      </w:r>
      <w:r w:rsidRPr="00846622">
        <w:rPr>
          <w:rFonts w:cstheme="minorHAnsi"/>
          <w:color w:val="212121"/>
          <w:shd w:val="clear" w:color="auto" w:fill="FFFFFF"/>
        </w:rPr>
        <w:t>,</w:t>
      </w:r>
      <w:r w:rsidR="00171DCB" w:rsidRPr="00846622">
        <w:rPr>
          <w:rFonts w:cstheme="minorHAnsi"/>
          <w:color w:val="212121"/>
          <w:shd w:val="clear" w:color="auto" w:fill="FFFFFF"/>
        </w:rPr>
        <w:t xml:space="preserve"> </w:t>
      </w:r>
      <w:r w:rsidRPr="00846622">
        <w:rPr>
          <w:rFonts w:cstheme="minorHAnsi"/>
          <w:i/>
          <w:iCs/>
          <w:color w:val="212121"/>
          <w:shd w:val="clear" w:color="auto" w:fill="FFFFFF"/>
        </w:rPr>
        <w:t>21</w:t>
      </w:r>
      <w:r w:rsidRPr="00846622">
        <w:rPr>
          <w:rFonts w:cstheme="minorHAnsi"/>
          <w:color w:val="212121"/>
          <w:shd w:val="clear" w:color="auto" w:fill="FFFFFF"/>
        </w:rPr>
        <w:t xml:space="preserve">(2), 147–162. </w:t>
      </w:r>
      <w:hyperlink r:id="rId22" w:history="1">
        <w:r w:rsidR="00171DCB" w:rsidRPr="00846622">
          <w:rPr>
            <w:rStyle w:val="Hyperlink"/>
            <w:rFonts w:cstheme="minorHAnsi"/>
            <w:shd w:val="clear" w:color="auto" w:fill="FFFFFF"/>
          </w:rPr>
          <w:t>https://doi.org/10.1080/26895269.2020.1742842</w:t>
        </w:r>
      </w:hyperlink>
    </w:p>
    <w:p w14:paraId="5B3958BC" w14:textId="77777777" w:rsidR="0051494A" w:rsidRPr="0051494A" w:rsidRDefault="0051494A" w:rsidP="0051494A">
      <w:pPr>
        <w:pStyle w:val="dx-doi"/>
        <w:spacing w:before="120" w:beforeAutospacing="0" w:after="120" w:afterAutospacing="0" w:line="276" w:lineRule="auto"/>
        <w:rPr>
          <w:rFonts w:asciiTheme="minorHAnsi" w:hAnsiTheme="minorHAnsi" w:cstheme="minorHAnsi"/>
          <w:sz w:val="22"/>
          <w:szCs w:val="22"/>
          <w:lang w:val="en-NZ"/>
        </w:rPr>
      </w:pPr>
      <w:r w:rsidRPr="00846622">
        <w:rPr>
          <w:rStyle w:val="fontstyle01"/>
          <w:rFonts w:asciiTheme="minorHAnsi" w:hAnsiTheme="minorHAnsi" w:cstheme="minorHAnsi"/>
          <w:sz w:val="22"/>
          <w:szCs w:val="22"/>
        </w:rPr>
        <w:t xml:space="preserve">Gale, N. K., Heath, G., Cameron, E., Rashid, S., &amp; Redwood, S. (2013). Using the framework method for the analysis of qualitative data in multi-disciplinary health research. </w:t>
      </w:r>
      <w:r w:rsidRPr="00846622">
        <w:rPr>
          <w:rStyle w:val="fontstyle21"/>
          <w:rFonts w:asciiTheme="minorHAnsi" w:hAnsiTheme="minorHAnsi" w:cstheme="minorHAnsi"/>
          <w:sz w:val="22"/>
          <w:szCs w:val="22"/>
        </w:rPr>
        <w:t>BMC Medical Research Methodology</w:t>
      </w:r>
      <w:r w:rsidRPr="00846622">
        <w:rPr>
          <w:rStyle w:val="fontstyle01"/>
          <w:rFonts w:asciiTheme="minorHAnsi" w:hAnsiTheme="minorHAnsi" w:cstheme="minorHAnsi"/>
          <w:sz w:val="22"/>
          <w:szCs w:val="22"/>
        </w:rPr>
        <w:t xml:space="preserve">, </w:t>
      </w:r>
      <w:r w:rsidRPr="00846622">
        <w:rPr>
          <w:rStyle w:val="fontstyle21"/>
          <w:rFonts w:asciiTheme="minorHAnsi" w:hAnsiTheme="minorHAnsi" w:cstheme="minorHAnsi"/>
          <w:sz w:val="22"/>
          <w:szCs w:val="22"/>
        </w:rPr>
        <w:t>13</w:t>
      </w:r>
      <w:r w:rsidRPr="00846622">
        <w:rPr>
          <w:rStyle w:val="fontstyle01"/>
          <w:rFonts w:asciiTheme="minorHAnsi" w:hAnsiTheme="minorHAnsi" w:cstheme="minorHAnsi"/>
          <w:sz w:val="22"/>
          <w:szCs w:val="22"/>
        </w:rPr>
        <w:t>(1), 117</w:t>
      </w:r>
      <w:r w:rsidRPr="0051494A">
        <w:rPr>
          <w:rStyle w:val="fontstyle01"/>
          <w:rFonts w:asciiTheme="minorHAnsi" w:hAnsiTheme="minorHAnsi" w:cstheme="minorHAnsi"/>
          <w:sz w:val="22"/>
          <w:szCs w:val="22"/>
        </w:rPr>
        <w:t xml:space="preserve">. </w:t>
      </w:r>
      <w:r w:rsidRPr="0051494A">
        <w:rPr>
          <w:rFonts w:asciiTheme="minorHAnsi" w:hAnsiTheme="minorHAnsi" w:cstheme="minorHAnsi"/>
          <w:color w:val="212121"/>
          <w:sz w:val="22"/>
          <w:szCs w:val="22"/>
          <w:shd w:val="clear" w:color="auto" w:fill="FFFFFF"/>
        </w:rPr>
        <w:t>https://doi.org/10.1186/1471-2288-13-117</w:t>
      </w:r>
    </w:p>
    <w:p w14:paraId="420DFF1C" w14:textId="77777777" w:rsidR="008D7E91" w:rsidRDefault="008D7E91">
      <w:pPr>
        <w:rPr>
          <w:rStyle w:val="fontstyle01"/>
          <w:rFonts w:asciiTheme="minorHAnsi" w:hAnsiTheme="minorHAnsi" w:cstheme="minorHAnsi"/>
          <w:sz w:val="22"/>
          <w:szCs w:val="22"/>
        </w:rPr>
      </w:pPr>
      <w:r w:rsidRPr="00846622">
        <w:rPr>
          <w:rStyle w:val="fontstyle01"/>
          <w:rFonts w:asciiTheme="minorHAnsi" w:hAnsiTheme="minorHAnsi" w:cstheme="minorHAnsi"/>
          <w:sz w:val="22"/>
          <w:szCs w:val="22"/>
        </w:rPr>
        <w:t xml:space="preserve">Hayes, N. (2000). </w:t>
      </w:r>
      <w:r w:rsidRPr="00846622">
        <w:rPr>
          <w:rStyle w:val="fontstyle21"/>
          <w:rFonts w:asciiTheme="minorHAnsi" w:hAnsiTheme="minorHAnsi" w:cstheme="minorHAnsi"/>
          <w:sz w:val="22"/>
          <w:szCs w:val="22"/>
        </w:rPr>
        <w:t xml:space="preserve">Doing psychological research: Gathering and </w:t>
      </w:r>
      <w:proofErr w:type="spellStart"/>
      <w:r w:rsidRPr="00846622">
        <w:rPr>
          <w:rStyle w:val="fontstyle21"/>
          <w:rFonts w:asciiTheme="minorHAnsi" w:hAnsiTheme="minorHAnsi" w:cstheme="minorHAnsi"/>
          <w:sz w:val="22"/>
          <w:szCs w:val="22"/>
        </w:rPr>
        <w:t>analyzing</w:t>
      </w:r>
      <w:proofErr w:type="spellEnd"/>
      <w:r w:rsidRPr="00846622">
        <w:rPr>
          <w:rStyle w:val="fontstyle21"/>
          <w:rFonts w:asciiTheme="minorHAnsi" w:hAnsiTheme="minorHAnsi" w:cstheme="minorHAnsi"/>
          <w:sz w:val="22"/>
          <w:szCs w:val="22"/>
        </w:rPr>
        <w:t xml:space="preserve"> data</w:t>
      </w:r>
      <w:r w:rsidRPr="00846622">
        <w:rPr>
          <w:rStyle w:val="fontstyle01"/>
          <w:rFonts w:asciiTheme="minorHAnsi" w:hAnsiTheme="minorHAnsi" w:cstheme="minorHAnsi"/>
          <w:sz w:val="22"/>
          <w:szCs w:val="22"/>
        </w:rPr>
        <w:t>. Open University Press.</w:t>
      </w:r>
    </w:p>
    <w:p w14:paraId="2E00B4B5" w14:textId="77777777" w:rsidR="00BA15D7" w:rsidRPr="00BA15D7" w:rsidRDefault="00BA15D7" w:rsidP="00BA15D7">
      <w:pPr>
        <w:autoSpaceDE w:val="0"/>
        <w:autoSpaceDN w:val="0"/>
        <w:adjustRightInd w:val="0"/>
        <w:spacing w:after="120" w:line="240" w:lineRule="auto"/>
        <w:rPr>
          <w:rFonts w:cstheme="minorHAnsi"/>
        </w:rPr>
      </w:pPr>
      <w:r w:rsidRPr="00BA15D7">
        <w:rPr>
          <w:rFonts w:cstheme="minorHAnsi"/>
        </w:rPr>
        <w:t xml:space="preserve">Ho, K. H. M., Chiang, V. C. L., &amp; Leung, D. (2017). Hermeneutic phenomenological analysis: The ‘possibility’ beyond ‘actuality’ in thematic analysis. </w:t>
      </w:r>
      <w:r w:rsidRPr="00BA15D7">
        <w:rPr>
          <w:rFonts w:cstheme="minorHAnsi"/>
          <w:i/>
        </w:rPr>
        <w:t>Journal of Advanced Nursing</w:t>
      </w:r>
      <w:r w:rsidRPr="00BA15D7">
        <w:rPr>
          <w:rFonts w:cstheme="minorHAnsi"/>
        </w:rPr>
        <w:t xml:space="preserve">, </w:t>
      </w:r>
      <w:r w:rsidRPr="00BA15D7">
        <w:rPr>
          <w:rFonts w:cstheme="minorHAnsi"/>
          <w:i/>
        </w:rPr>
        <w:t>73</w:t>
      </w:r>
      <w:r w:rsidRPr="00BA15D7">
        <w:rPr>
          <w:rFonts w:cstheme="minorHAnsi"/>
        </w:rPr>
        <w:t xml:space="preserve">(7), 1757–1766. </w:t>
      </w:r>
    </w:p>
    <w:p w14:paraId="6C214DEE" w14:textId="77777777" w:rsidR="00171DCB" w:rsidRPr="00846622" w:rsidRDefault="00171DCB" w:rsidP="00171DCB">
      <w:pPr>
        <w:spacing w:before="120" w:after="120" w:line="276" w:lineRule="auto"/>
        <w:rPr>
          <w:rFonts w:cstheme="minorHAnsi"/>
        </w:rPr>
      </w:pPr>
      <w:r w:rsidRPr="00846622">
        <w:rPr>
          <w:rFonts w:cstheme="minorHAnsi"/>
        </w:rPr>
        <w:t xml:space="preserve">Kidder, L. H., &amp; Fine, M. (1987). Qualitative and quantitative methods: When stories converge. In M. M. Mark &amp; L. </w:t>
      </w:r>
      <w:proofErr w:type="spellStart"/>
      <w:r w:rsidRPr="00846622">
        <w:rPr>
          <w:rFonts w:cstheme="minorHAnsi"/>
        </w:rPr>
        <w:t>Shotland</w:t>
      </w:r>
      <w:proofErr w:type="spellEnd"/>
      <w:r w:rsidRPr="00846622">
        <w:rPr>
          <w:rFonts w:cstheme="minorHAnsi"/>
        </w:rPr>
        <w:t xml:space="preserve"> (Eds.), </w:t>
      </w:r>
      <w:r w:rsidRPr="00846622">
        <w:rPr>
          <w:rFonts w:cstheme="minorHAnsi"/>
          <w:i/>
          <w:iCs/>
        </w:rPr>
        <w:t>New directions for program evaluation</w:t>
      </w:r>
      <w:r w:rsidRPr="00846622">
        <w:rPr>
          <w:rFonts w:cstheme="minorHAnsi"/>
        </w:rPr>
        <w:t xml:space="preserve"> (pp. 57-75). Jossey-Bass.</w:t>
      </w:r>
    </w:p>
    <w:p w14:paraId="54B79CEB" w14:textId="77777777" w:rsidR="00E979A5" w:rsidRPr="00846622" w:rsidRDefault="00E979A5" w:rsidP="00171DCB">
      <w:pPr>
        <w:spacing w:before="120" w:after="120" w:line="276" w:lineRule="auto"/>
        <w:rPr>
          <w:rStyle w:val="fontstyle01"/>
          <w:rFonts w:asciiTheme="minorHAnsi" w:hAnsiTheme="minorHAnsi" w:cstheme="minorHAnsi"/>
          <w:sz w:val="22"/>
          <w:szCs w:val="22"/>
        </w:rPr>
      </w:pPr>
      <w:r w:rsidRPr="00846622">
        <w:rPr>
          <w:rStyle w:val="fontstyle01"/>
          <w:rFonts w:asciiTheme="minorHAnsi" w:hAnsiTheme="minorHAnsi" w:cstheme="minorHAnsi"/>
          <w:sz w:val="22"/>
          <w:szCs w:val="22"/>
        </w:rPr>
        <w:t xml:space="preserve">King, N., &amp; Brooks, J. M. (2018). Thematic analysis in organisational research. In C. Cassell, A. L. Cunliffe &amp; G. Grandy (Eds.), </w:t>
      </w:r>
      <w:r w:rsidRPr="00846622">
        <w:rPr>
          <w:rStyle w:val="fontstyle21"/>
          <w:rFonts w:asciiTheme="minorHAnsi" w:hAnsiTheme="minorHAnsi" w:cstheme="minorHAnsi"/>
          <w:sz w:val="22"/>
          <w:szCs w:val="22"/>
        </w:rPr>
        <w:t xml:space="preserve">The SAGE handbook of qualitative business management research methods: Methods and challenges </w:t>
      </w:r>
      <w:r w:rsidRPr="00846622">
        <w:rPr>
          <w:rStyle w:val="fontstyle01"/>
          <w:rFonts w:asciiTheme="minorHAnsi" w:hAnsiTheme="minorHAnsi" w:cstheme="minorHAnsi"/>
          <w:sz w:val="22"/>
          <w:szCs w:val="22"/>
        </w:rPr>
        <w:t>(pp. 219–236). Sage.</w:t>
      </w:r>
    </w:p>
    <w:p w14:paraId="230BCE25" w14:textId="77777777" w:rsidR="008D7E91" w:rsidRDefault="008D7E91" w:rsidP="00171DCB">
      <w:pPr>
        <w:spacing w:before="120" w:after="120" w:line="276" w:lineRule="auto"/>
        <w:rPr>
          <w:rStyle w:val="fontstyle01"/>
          <w:rFonts w:asciiTheme="minorHAnsi" w:hAnsiTheme="minorHAnsi" w:cstheme="minorHAnsi"/>
          <w:sz w:val="22"/>
          <w:szCs w:val="22"/>
        </w:rPr>
      </w:pPr>
      <w:r w:rsidRPr="00846622">
        <w:rPr>
          <w:rStyle w:val="fontstyle01"/>
          <w:rFonts w:asciiTheme="minorHAnsi" w:hAnsiTheme="minorHAnsi" w:cstheme="minorHAnsi"/>
          <w:sz w:val="22"/>
          <w:szCs w:val="22"/>
        </w:rPr>
        <w:t>Langdridge, D. (2004). Introduction to research methods and data analysis in psychology. Pearson Education.</w:t>
      </w:r>
    </w:p>
    <w:p w14:paraId="16F03510" w14:textId="77777777" w:rsidR="006C2E6A" w:rsidRDefault="006C2E6A" w:rsidP="006C2E6A">
      <w:pPr>
        <w:rPr>
          <w:rStyle w:val="Hyperlink"/>
          <w:rFonts w:cstheme="minorHAnsi"/>
          <w:color w:val="auto"/>
        </w:rPr>
      </w:pPr>
      <w:r w:rsidRPr="003F6BF7">
        <w:rPr>
          <w:rFonts w:cstheme="minorHAnsi"/>
        </w:rPr>
        <w:t xml:space="preserve">Marecek, J. (2003). Dancing through minefields: Toward a qualitative stance in psychology. In P. M. </w:t>
      </w:r>
      <w:proofErr w:type="spellStart"/>
      <w:r w:rsidRPr="003F6BF7">
        <w:rPr>
          <w:rFonts w:cstheme="minorHAnsi"/>
        </w:rPr>
        <w:t>Camic</w:t>
      </w:r>
      <w:proofErr w:type="spellEnd"/>
      <w:r w:rsidRPr="003F6BF7">
        <w:rPr>
          <w:rFonts w:cstheme="minorHAnsi"/>
        </w:rPr>
        <w:t>, J. E. Rhodes, &amp; L. Yardley (Eds.),</w:t>
      </w:r>
      <w:r>
        <w:rPr>
          <w:rFonts w:cstheme="minorHAnsi"/>
        </w:rPr>
        <w:t xml:space="preserve"> </w:t>
      </w:r>
      <w:r w:rsidRPr="003F6BF7">
        <w:rPr>
          <w:rStyle w:val="Emphasis"/>
          <w:rFonts w:cstheme="minorHAnsi"/>
        </w:rPr>
        <w:t>Qualitative research in psychology: Expanding perspectives in methodology and design</w:t>
      </w:r>
      <w:r>
        <w:rPr>
          <w:rStyle w:val="Emphasis"/>
          <w:rFonts w:cstheme="minorHAnsi"/>
        </w:rPr>
        <w:t xml:space="preserve"> </w:t>
      </w:r>
      <w:r w:rsidRPr="003F6BF7">
        <w:rPr>
          <w:rFonts w:cstheme="minorHAnsi"/>
        </w:rPr>
        <w:t>(pp. 49–69). American Psychological Association.</w:t>
      </w:r>
      <w:r>
        <w:rPr>
          <w:rFonts w:cstheme="minorHAnsi"/>
        </w:rPr>
        <w:t xml:space="preserve"> </w:t>
      </w:r>
      <w:hyperlink r:id="rId23" w:history="1">
        <w:r w:rsidR="006621AF" w:rsidRPr="00326954">
          <w:rPr>
            <w:rStyle w:val="Hyperlink"/>
            <w:rFonts w:cstheme="minorHAnsi"/>
          </w:rPr>
          <w:t>https://doi.org/10.1037/10595-004</w:t>
        </w:r>
      </w:hyperlink>
    </w:p>
    <w:p w14:paraId="18307591" w14:textId="77777777" w:rsidR="006621AF" w:rsidRDefault="006621AF" w:rsidP="006C2E6A">
      <w:pPr>
        <w:rPr>
          <w:rStyle w:val="fontstyle01"/>
          <w:rFonts w:asciiTheme="minorHAnsi" w:hAnsiTheme="minorHAnsi" w:cstheme="minorHAnsi"/>
          <w:sz w:val="22"/>
          <w:szCs w:val="22"/>
        </w:rPr>
      </w:pPr>
      <w:r w:rsidRPr="006621AF">
        <w:rPr>
          <w:rStyle w:val="fontstyle01"/>
          <w:rFonts w:asciiTheme="minorHAnsi" w:hAnsiTheme="minorHAnsi" w:cstheme="minorHAnsi"/>
          <w:sz w:val="22"/>
          <w:szCs w:val="22"/>
        </w:rPr>
        <w:t xml:space="preserve">Rivas, C. (2018). Finding themes in qualitative data. In C. Seale (Ed.), </w:t>
      </w:r>
      <w:r w:rsidRPr="006621AF">
        <w:rPr>
          <w:rStyle w:val="fontstyle21"/>
          <w:rFonts w:asciiTheme="minorHAnsi" w:hAnsiTheme="minorHAnsi" w:cstheme="minorHAnsi"/>
          <w:sz w:val="22"/>
          <w:szCs w:val="22"/>
        </w:rPr>
        <w:t xml:space="preserve">Researching society and culture </w:t>
      </w:r>
      <w:r w:rsidRPr="006621AF">
        <w:rPr>
          <w:rStyle w:val="fontstyle01"/>
          <w:rFonts w:asciiTheme="minorHAnsi" w:hAnsiTheme="minorHAnsi" w:cstheme="minorHAnsi"/>
          <w:sz w:val="22"/>
          <w:szCs w:val="22"/>
        </w:rPr>
        <w:t>(4th ed., pp. 429–453). Sage.</w:t>
      </w:r>
    </w:p>
    <w:p w14:paraId="161AEB7C" w14:textId="53943901" w:rsidR="00EE1A84" w:rsidRDefault="00EE1A84" w:rsidP="006C2E6A">
      <w:pPr>
        <w:rPr>
          <w:rStyle w:val="Hyperlink"/>
          <w:rFonts w:cstheme="minorHAnsi"/>
          <w:shd w:val="clear" w:color="auto" w:fill="FFFFFF"/>
        </w:rPr>
      </w:pPr>
      <w:r w:rsidRPr="00EE1A84">
        <w:rPr>
          <w:rFonts w:cstheme="minorHAnsi"/>
          <w:bCs/>
          <w:shd w:val="clear" w:color="auto" w:fill="FFFFFF"/>
        </w:rPr>
        <w:t>Smith</w:t>
      </w:r>
      <w:r w:rsidRPr="00EE1A84">
        <w:rPr>
          <w:rFonts w:cstheme="minorHAnsi"/>
          <w:shd w:val="clear" w:color="auto" w:fill="FFFFFF"/>
        </w:rPr>
        <w:t>, B.</w:t>
      </w:r>
      <w:r>
        <w:rPr>
          <w:rFonts w:cstheme="minorHAnsi"/>
          <w:shd w:val="clear" w:color="auto" w:fill="FFFFFF"/>
        </w:rPr>
        <w:t>,</w:t>
      </w:r>
      <w:r w:rsidRPr="00EE1A84">
        <w:rPr>
          <w:rFonts w:cstheme="minorHAnsi"/>
          <w:shd w:val="clear" w:color="auto" w:fill="FFFFFF"/>
        </w:rPr>
        <w:t xml:space="preserve"> &amp; McGannon, K.</w:t>
      </w:r>
      <w:r>
        <w:rPr>
          <w:rFonts w:cstheme="minorHAnsi"/>
          <w:shd w:val="clear" w:color="auto" w:fill="FFFFFF"/>
        </w:rPr>
        <w:t xml:space="preserve"> </w:t>
      </w:r>
      <w:r w:rsidRPr="00EE1A84">
        <w:rPr>
          <w:rFonts w:cstheme="minorHAnsi"/>
          <w:shd w:val="clear" w:color="auto" w:fill="FFFFFF"/>
        </w:rPr>
        <w:t>R. (2018).</w:t>
      </w:r>
      <w:r>
        <w:rPr>
          <w:rFonts w:cstheme="minorHAnsi"/>
          <w:shd w:val="clear" w:color="auto" w:fill="FFFFFF"/>
        </w:rPr>
        <w:t xml:space="preserve"> </w:t>
      </w:r>
      <w:r w:rsidRPr="00EE1A84">
        <w:rPr>
          <w:rFonts w:cstheme="minorHAnsi"/>
          <w:bCs/>
          <w:shd w:val="clear" w:color="auto" w:fill="FFFFFF"/>
        </w:rPr>
        <w:t>Developing</w:t>
      </w:r>
      <w:r>
        <w:rPr>
          <w:rFonts w:cstheme="minorHAnsi"/>
          <w:bCs/>
          <w:shd w:val="clear" w:color="auto" w:fill="FFFFFF"/>
        </w:rPr>
        <w:t xml:space="preserve"> </w:t>
      </w:r>
      <w:r w:rsidRPr="00EE1A84">
        <w:rPr>
          <w:rFonts w:cstheme="minorHAnsi"/>
          <w:bCs/>
          <w:shd w:val="clear" w:color="auto" w:fill="FFFFFF"/>
        </w:rPr>
        <w:t>rigor</w:t>
      </w:r>
      <w:r>
        <w:rPr>
          <w:rFonts w:cstheme="minorHAnsi"/>
          <w:bCs/>
          <w:shd w:val="clear" w:color="auto" w:fill="FFFFFF"/>
        </w:rPr>
        <w:t xml:space="preserve"> </w:t>
      </w:r>
      <w:r w:rsidRPr="00EE1A84">
        <w:rPr>
          <w:rFonts w:cstheme="minorHAnsi"/>
          <w:shd w:val="clear" w:color="auto" w:fill="FFFFFF"/>
        </w:rPr>
        <w:t>in</w:t>
      </w:r>
      <w:r>
        <w:rPr>
          <w:rFonts w:cstheme="minorHAnsi"/>
          <w:shd w:val="clear" w:color="auto" w:fill="FFFFFF"/>
        </w:rPr>
        <w:t xml:space="preserve"> </w:t>
      </w:r>
      <w:r w:rsidRPr="00EE1A84">
        <w:rPr>
          <w:rFonts w:cstheme="minorHAnsi"/>
          <w:bCs/>
          <w:shd w:val="clear" w:color="auto" w:fill="FFFFFF"/>
        </w:rPr>
        <w:t>qualitative</w:t>
      </w:r>
      <w:r>
        <w:rPr>
          <w:rFonts w:cstheme="minorHAnsi"/>
          <w:bCs/>
          <w:shd w:val="clear" w:color="auto" w:fill="FFFFFF"/>
        </w:rPr>
        <w:t xml:space="preserve"> </w:t>
      </w:r>
      <w:r w:rsidRPr="00EE1A84">
        <w:rPr>
          <w:rFonts w:cstheme="minorHAnsi"/>
          <w:shd w:val="clear" w:color="auto" w:fill="FFFFFF"/>
        </w:rPr>
        <w:t xml:space="preserve">research: </w:t>
      </w:r>
      <w:r>
        <w:rPr>
          <w:rFonts w:cstheme="minorHAnsi"/>
          <w:shd w:val="clear" w:color="auto" w:fill="FFFFFF"/>
        </w:rPr>
        <w:t>P</w:t>
      </w:r>
      <w:r w:rsidRPr="00EE1A84">
        <w:rPr>
          <w:rFonts w:cstheme="minorHAnsi"/>
          <w:shd w:val="clear" w:color="auto" w:fill="FFFFFF"/>
        </w:rPr>
        <w:t xml:space="preserve">roblems and opportunities within sport and exercise psychology. </w:t>
      </w:r>
      <w:r w:rsidRPr="00EE1A84">
        <w:rPr>
          <w:rFonts w:cstheme="minorHAnsi"/>
          <w:i/>
          <w:shd w:val="clear" w:color="auto" w:fill="FFFFFF"/>
        </w:rPr>
        <w:t>International Review of Sport and Exercise Psychology</w:t>
      </w:r>
      <w:r>
        <w:rPr>
          <w:rFonts w:cstheme="minorHAnsi"/>
          <w:i/>
          <w:shd w:val="clear" w:color="auto" w:fill="FFFFFF"/>
        </w:rPr>
        <w:t>,</w:t>
      </w:r>
      <w:r w:rsidRPr="00EE1A84">
        <w:rPr>
          <w:rFonts w:cstheme="minorHAnsi"/>
          <w:shd w:val="clear" w:color="auto" w:fill="FFFFFF"/>
        </w:rPr>
        <w:t xml:space="preserve"> 11(1)</w:t>
      </w:r>
      <w:r>
        <w:rPr>
          <w:rFonts w:cstheme="minorHAnsi"/>
          <w:shd w:val="clear" w:color="auto" w:fill="FFFFFF"/>
        </w:rPr>
        <w:t>,</w:t>
      </w:r>
      <w:r w:rsidRPr="00EE1A84">
        <w:rPr>
          <w:rFonts w:cstheme="minorHAnsi"/>
          <w:shd w:val="clear" w:color="auto" w:fill="FFFFFF"/>
        </w:rPr>
        <w:t xml:space="preserve"> 101-121.</w:t>
      </w:r>
      <w:r>
        <w:rPr>
          <w:rFonts w:cstheme="minorHAnsi"/>
          <w:shd w:val="clear" w:color="auto" w:fill="FFFFFF"/>
        </w:rPr>
        <w:t xml:space="preserve"> </w:t>
      </w:r>
      <w:hyperlink r:id="rId24" w:history="1">
        <w:r w:rsidR="0091149F" w:rsidRPr="00066CD2">
          <w:rPr>
            <w:rStyle w:val="Hyperlink"/>
            <w:rFonts w:cstheme="minorHAnsi"/>
            <w:shd w:val="clear" w:color="auto" w:fill="FFFFFF"/>
          </w:rPr>
          <w:t>https://doi.org/10.1080/1750984X.1317357</w:t>
        </w:r>
      </w:hyperlink>
    </w:p>
    <w:p w14:paraId="785BAC95" w14:textId="5DA3B47A" w:rsidR="00592C5B" w:rsidRDefault="00592C5B" w:rsidP="006C2E6A">
      <w:pPr>
        <w:rPr>
          <w:rFonts w:cstheme="minorHAnsi"/>
          <w:shd w:val="clear" w:color="auto" w:fill="FFFFFF"/>
        </w:rPr>
      </w:pPr>
      <w:r w:rsidRPr="00F337C4">
        <w:rPr>
          <w:rFonts w:cs="Calibri"/>
          <w:noProof/>
        </w:rPr>
        <w:t>Tebes, J</w:t>
      </w:r>
      <w:r>
        <w:rPr>
          <w:rFonts w:cs="Calibri"/>
          <w:noProof/>
        </w:rPr>
        <w:t>.</w:t>
      </w:r>
      <w:r w:rsidRPr="00F337C4">
        <w:rPr>
          <w:rFonts w:cs="Calibri"/>
          <w:noProof/>
        </w:rPr>
        <w:t xml:space="preserve"> K. (2005). Community science, philosophy of science, and the practice of research. </w:t>
      </w:r>
      <w:r w:rsidRPr="00F337C4">
        <w:rPr>
          <w:rFonts w:cs="Calibri"/>
          <w:i/>
          <w:noProof/>
        </w:rPr>
        <w:t>American Journal of Community Psychology, 35</w:t>
      </w:r>
      <w:r w:rsidRPr="00F337C4">
        <w:rPr>
          <w:rFonts w:cs="Calibri"/>
          <w:noProof/>
        </w:rPr>
        <w:t>(3/4), 213-230.</w:t>
      </w:r>
    </w:p>
    <w:p w14:paraId="21C8A32E" w14:textId="77777777" w:rsidR="0091149F" w:rsidRPr="0091149F" w:rsidRDefault="0091149F" w:rsidP="0091149F">
      <w:pPr>
        <w:rPr>
          <w:rFonts w:cstheme="minorHAnsi"/>
        </w:rPr>
      </w:pPr>
      <w:r w:rsidRPr="0091149F">
        <w:rPr>
          <w:rFonts w:cstheme="minorHAnsi"/>
        </w:rPr>
        <w:t xml:space="preserve">Tracy, S. J. (2010). Qualitative quality: Eight “big-tent” criteria for excellent qualitative research. </w:t>
      </w:r>
      <w:r w:rsidRPr="0091149F">
        <w:rPr>
          <w:rFonts w:cstheme="minorHAnsi"/>
          <w:i/>
          <w:iCs/>
        </w:rPr>
        <w:t>Qualitative Inquiry</w:t>
      </w:r>
      <w:r w:rsidRPr="0091149F">
        <w:rPr>
          <w:rFonts w:cstheme="minorHAnsi"/>
        </w:rPr>
        <w:t xml:space="preserve">, </w:t>
      </w:r>
      <w:r w:rsidRPr="0091149F">
        <w:rPr>
          <w:rFonts w:cstheme="minorHAnsi"/>
          <w:i/>
          <w:iCs/>
        </w:rPr>
        <w:t>16</w:t>
      </w:r>
      <w:r w:rsidRPr="0091149F">
        <w:rPr>
          <w:rFonts w:cstheme="minorHAnsi"/>
        </w:rPr>
        <w:t>(10), 837–851.</w:t>
      </w:r>
    </w:p>
    <w:p w14:paraId="2928D8DB" w14:textId="77777777" w:rsidR="00BA15D7" w:rsidRPr="00BA15D7" w:rsidRDefault="00BA15D7" w:rsidP="0091149F">
      <w:pPr>
        <w:rPr>
          <w:rFonts w:cstheme="minorHAnsi"/>
        </w:rPr>
      </w:pPr>
      <w:r w:rsidRPr="00BA15D7">
        <w:rPr>
          <w:rFonts w:cstheme="minorHAnsi"/>
        </w:rPr>
        <w:t xml:space="preserve">Trainor, L. R., &amp; </w:t>
      </w:r>
      <w:proofErr w:type="spellStart"/>
      <w:r w:rsidRPr="00BA15D7">
        <w:rPr>
          <w:rFonts w:cstheme="minorHAnsi"/>
        </w:rPr>
        <w:t>Bundon</w:t>
      </w:r>
      <w:proofErr w:type="spellEnd"/>
      <w:r w:rsidRPr="00BA15D7">
        <w:rPr>
          <w:rFonts w:cstheme="minorHAnsi"/>
        </w:rPr>
        <w:t xml:space="preserve">, A. (2021). Developing the craft: Reflexive accounts of doing reflexive thematic analysis. </w:t>
      </w:r>
      <w:r w:rsidRPr="00BA15D7">
        <w:rPr>
          <w:rFonts w:cstheme="minorHAnsi"/>
          <w:i/>
          <w:iCs/>
        </w:rPr>
        <w:t>Qualitative Research in Sport, Exercise and Health</w:t>
      </w:r>
      <w:r w:rsidRPr="00BA15D7">
        <w:rPr>
          <w:rStyle w:val="serialtitle"/>
          <w:rFonts w:cstheme="minorHAnsi"/>
        </w:rPr>
        <w:t>,</w:t>
      </w:r>
      <w:r w:rsidRPr="00BA15D7">
        <w:rPr>
          <w:rFonts w:cstheme="minorHAnsi"/>
          <w:i/>
          <w:iCs/>
        </w:rPr>
        <w:t xml:space="preserve"> </w:t>
      </w:r>
      <w:r w:rsidRPr="00BA15D7">
        <w:rPr>
          <w:rStyle w:val="volumeissue"/>
          <w:rFonts w:cstheme="minorHAnsi"/>
          <w:i/>
          <w:iCs/>
        </w:rPr>
        <w:t>13</w:t>
      </w:r>
      <w:r w:rsidRPr="00BA15D7">
        <w:rPr>
          <w:rStyle w:val="volumeissue"/>
          <w:rFonts w:cstheme="minorHAnsi"/>
        </w:rPr>
        <w:t>(5),</w:t>
      </w:r>
      <w:r w:rsidRPr="00BA15D7">
        <w:rPr>
          <w:rFonts w:cstheme="minorHAnsi"/>
        </w:rPr>
        <w:t xml:space="preserve"> </w:t>
      </w:r>
      <w:r w:rsidRPr="00BA15D7">
        <w:rPr>
          <w:rStyle w:val="pagerange"/>
          <w:rFonts w:cstheme="minorHAnsi"/>
        </w:rPr>
        <w:t>705-726</w:t>
      </w:r>
      <w:r w:rsidRPr="00BA15D7">
        <w:rPr>
          <w:rFonts w:cstheme="minorHAnsi"/>
        </w:rPr>
        <w:t xml:space="preserve">. </w:t>
      </w:r>
      <w:hyperlink r:id="rId25" w:history="1">
        <w:r w:rsidRPr="00BA15D7">
          <w:rPr>
            <w:rStyle w:val="Hyperlink"/>
            <w:rFonts w:cstheme="minorHAnsi"/>
          </w:rPr>
          <w:t>https://doi.org/10.1080/2159676X.2020.1840423</w:t>
        </w:r>
      </w:hyperlink>
    </w:p>
    <w:p w14:paraId="1F14056E" w14:textId="777E5C3D" w:rsidR="009A4B0D" w:rsidRPr="009A4B0D" w:rsidRDefault="009A4B0D" w:rsidP="009A4B0D">
      <w:pPr>
        <w:spacing w:before="120" w:after="120" w:line="240" w:lineRule="auto"/>
        <w:rPr>
          <w:rFonts w:cstheme="minorHAnsi"/>
          <w:color w:val="212121"/>
          <w:shd w:val="clear" w:color="auto" w:fill="FFFFFF"/>
        </w:rPr>
      </w:pPr>
      <w:r w:rsidRPr="009A4B0D">
        <w:rPr>
          <w:rFonts w:cstheme="minorHAnsi"/>
          <w:color w:val="212121"/>
          <w:shd w:val="clear" w:color="auto" w:fill="FFFFFF"/>
        </w:rPr>
        <w:t xml:space="preserve">Varpio, L., </w:t>
      </w:r>
      <w:proofErr w:type="spellStart"/>
      <w:r w:rsidRPr="009A4B0D">
        <w:rPr>
          <w:rFonts w:cstheme="minorHAnsi"/>
          <w:color w:val="212121"/>
          <w:shd w:val="clear" w:color="auto" w:fill="FFFFFF"/>
        </w:rPr>
        <w:t>Ajjawi</w:t>
      </w:r>
      <w:proofErr w:type="spellEnd"/>
      <w:r w:rsidRPr="009A4B0D">
        <w:rPr>
          <w:rFonts w:cstheme="minorHAnsi"/>
          <w:color w:val="212121"/>
          <w:shd w:val="clear" w:color="auto" w:fill="FFFFFF"/>
        </w:rPr>
        <w:t xml:space="preserve">, R., </w:t>
      </w:r>
      <w:proofErr w:type="spellStart"/>
      <w:r w:rsidRPr="009A4B0D">
        <w:rPr>
          <w:rFonts w:cstheme="minorHAnsi"/>
          <w:color w:val="212121"/>
          <w:shd w:val="clear" w:color="auto" w:fill="FFFFFF"/>
        </w:rPr>
        <w:t>Monrouxe</w:t>
      </w:r>
      <w:proofErr w:type="spellEnd"/>
      <w:r w:rsidRPr="009A4B0D">
        <w:rPr>
          <w:rFonts w:cstheme="minorHAnsi"/>
          <w:color w:val="212121"/>
          <w:shd w:val="clear" w:color="auto" w:fill="FFFFFF"/>
        </w:rPr>
        <w:t>, L. V., O'Brien, B. C., &amp; Rees, C. E. (2017). Shedding the cobra effect: problematising thematic emergence, triangulation, saturation and member checking.</w:t>
      </w:r>
      <w:r>
        <w:rPr>
          <w:rFonts w:cstheme="minorHAnsi"/>
          <w:color w:val="212121"/>
          <w:shd w:val="clear" w:color="auto" w:fill="FFFFFF"/>
        </w:rPr>
        <w:t xml:space="preserve"> </w:t>
      </w:r>
      <w:r w:rsidRPr="009A4B0D">
        <w:rPr>
          <w:rFonts w:cstheme="minorHAnsi"/>
          <w:i/>
          <w:iCs/>
          <w:color w:val="212121"/>
          <w:shd w:val="clear" w:color="auto" w:fill="FFFFFF"/>
        </w:rPr>
        <w:t xml:space="preserve">Medical </w:t>
      </w:r>
      <w:r w:rsidR="00EB1BE0">
        <w:rPr>
          <w:rFonts w:cstheme="minorHAnsi"/>
          <w:i/>
          <w:iCs/>
          <w:color w:val="212121"/>
          <w:shd w:val="clear" w:color="auto" w:fill="FFFFFF"/>
        </w:rPr>
        <w:t>E</w:t>
      </w:r>
      <w:r w:rsidRPr="009A4B0D">
        <w:rPr>
          <w:rFonts w:cstheme="minorHAnsi"/>
          <w:i/>
          <w:iCs/>
          <w:color w:val="212121"/>
          <w:shd w:val="clear" w:color="auto" w:fill="FFFFFF"/>
        </w:rPr>
        <w:t>ducation</w:t>
      </w:r>
      <w:r w:rsidRPr="009A4B0D">
        <w:rPr>
          <w:rFonts w:cstheme="minorHAnsi"/>
          <w:color w:val="212121"/>
          <w:shd w:val="clear" w:color="auto" w:fill="FFFFFF"/>
        </w:rPr>
        <w:t>,</w:t>
      </w:r>
      <w:r>
        <w:rPr>
          <w:rFonts w:cstheme="minorHAnsi"/>
          <w:color w:val="212121"/>
          <w:shd w:val="clear" w:color="auto" w:fill="FFFFFF"/>
        </w:rPr>
        <w:t xml:space="preserve"> </w:t>
      </w:r>
      <w:r w:rsidRPr="009A4B0D">
        <w:rPr>
          <w:rFonts w:cstheme="minorHAnsi"/>
          <w:i/>
          <w:iCs/>
          <w:color w:val="212121"/>
          <w:shd w:val="clear" w:color="auto" w:fill="FFFFFF"/>
        </w:rPr>
        <w:t>51</w:t>
      </w:r>
      <w:r w:rsidRPr="009A4B0D">
        <w:rPr>
          <w:rFonts w:cstheme="minorHAnsi"/>
          <w:color w:val="212121"/>
          <w:shd w:val="clear" w:color="auto" w:fill="FFFFFF"/>
        </w:rPr>
        <w:t xml:space="preserve">(1), 40–50. </w:t>
      </w:r>
      <w:hyperlink r:id="rId26" w:history="1">
        <w:r w:rsidRPr="009A4B0D">
          <w:rPr>
            <w:rStyle w:val="Hyperlink"/>
            <w:rFonts w:cstheme="minorHAnsi"/>
            <w:shd w:val="clear" w:color="auto" w:fill="FFFFFF"/>
          </w:rPr>
          <w:t>https://doi.org/10.1111/medu.13124</w:t>
        </w:r>
      </w:hyperlink>
    </w:p>
    <w:p w14:paraId="5E210575" w14:textId="45A577A3" w:rsidR="00171DCB" w:rsidRDefault="008D7E91">
      <w:pPr>
        <w:rPr>
          <w:rStyle w:val="Hyperlink"/>
          <w:rFonts w:cstheme="minorHAnsi"/>
          <w:shd w:val="clear" w:color="auto" w:fill="FFFFFF"/>
        </w:rPr>
      </w:pPr>
      <w:r w:rsidRPr="00846622">
        <w:rPr>
          <w:rFonts w:cstheme="minorHAnsi"/>
          <w:color w:val="212121"/>
          <w:shd w:val="clear" w:color="auto" w:fill="FFFFFF"/>
        </w:rPr>
        <w:lastRenderedPageBreak/>
        <w:t xml:space="preserve">Varpio, L., O'Brien, B., Rees, C. E., </w:t>
      </w:r>
      <w:proofErr w:type="spellStart"/>
      <w:r w:rsidRPr="00846622">
        <w:rPr>
          <w:rFonts w:cstheme="minorHAnsi"/>
          <w:color w:val="212121"/>
          <w:shd w:val="clear" w:color="auto" w:fill="FFFFFF"/>
        </w:rPr>
        <w:t>Monrouxe</w:t>
      </w:r>
      <w:proofErr w:type="spellEnd"/>
      <w:r w:rsidRPr="00846622">
        <w:rPr>
          <w:rFonts w:cstheme="minorHAnsi"/>
          <w:color w:val="212121"/>
          <w:shd w:val="clear" w:color="auto" w:fill="FFFFFF"/>
        </w:rPr>
        <w:t xml:space="preserve">, L., </w:t>
      </w:r>
      <w:proofErr w:type="spellStart"/>
      <w:r w:rsidRPr="00846622">
        <w:rPr>
          <w:rFonts w:cstheme="minorHAnsi"/>
          <w:color w:val="212121"/>
          <w:shd w:val="clear" w:color="auto" w:fill="FFFFFF"/>
        </w:rPr>
        <w:t>Ajjawi</w:t>
      </w:r>
      <w:proofErr w:type="spellEnd"/>
      <w:r w:rsidRPr="00846622">
        <w:rPr>
          <w:rFonts w:cstheme="minorHAnsi"/>
          <w:color w:val="212121"/>
          <w:shd w:val="clear" w:color="auto" w:fill="FFFFFF"/>
        </w:rPr>
        <w:t xml:space="preserve">, R., &amp; Paradis, E. (2021). The applicability of generalisability and bias to health professions education's research. </w:t>
      </w:r>
      <w:r w:rsidRPr="00846622">
        <w:rPr>
          <w:rFonts w:cstheme="minorHAnsi"/>
          <w:i/>
          <w:iCs/>
          <w:color w:val="212121"/>
          <w:shd w:val="clear" w:color="auto" w:fill="FFFFFF"/>
        </w:rPr>
        <w:t xml:space="preserve">Medical </w:t>
      </w:r>
      <w:r w:rsidR="00EB1BE0">
        <w:rPr>
          <w:rFonts w:cstheme="minorHAnsi"/>
          <w:i/>
          <w:iCs/>
          <w:color w:val="212121"/>
          <w:shd w:val="clear" w:color="auto" w:fill="FFFFFF"/>
        </w:rPr>
        <w:t>E</w:t>
      </w:r>
      <w:r w:rsidRPr="00846622">
        <w:rPr>
          <w:rFonts w:cstheme="minorHAnsi"/>
          <w:i/>
          <w:iCs/>
          <w:color w:val="212121"/>
          <w:shd w:val="clear" w:color="auto" w:fill="FFFFFF"/>
        </w:rPr>
        <w:t>ducation</w:t>
      </w:r>
      <w:r w:rsidRPr="00846622">
        <w:rPr>
          <w:rFonts w:cstheme="minorHAnsi"/>
          <w:color w:val="212121"/>
          <w:shd w:val="clear" w:color="auto" w:fill="FFFFFF"/>
        </w:rPr>
        <w:t>,</w:t>
      </w:r>
      <w:r w:rsidR="009A4B0D">
        <w:rPr>
          <w:rFonts w:cstheme="minorHAnsi"/>
          <w:color w:val="212121"/>
          <w:shd w:val="clear" w:color="auto" w:fill="FFFFFF"/>
        </w:rPr>
        <w:t xml:space="preserve"> </w:t>
      </w:r>
      <w:r w:rsidRPr="00846622">
        <w:rPr>
          <w:rFonts w:cstheme="minorHAnsi"/>
          <w:i/>
          <w:iCs/>
          <w:color w:val="212121"/>
          <w:shd w:val="clear" w:color="auto" w:fill="FFFFFF"/>
        </w:rPr>
        <w:t>55</w:t>
      </w:r>
      <w:r w:rsidRPr="00846622">
        <w:rPr>
          <w:rFonts w:cstheme="minorHAnsi"/>
          <w:color w:val="212121"/>
          <w:shd w:val="clear" w:color="auto" w:fill="FFFFFF"/>
        </w:rPr>
        <w:t xml:space="preserve">(2), 167–173. </w:t>
      </w:r>
      <w:hyperlink r:id="rId27" w:history="1">
        <w:r w:rsidR="00C06160" w:rsidRPr="00326954">
          <w:rPr>
            <w:rStyle w:val="Hyperlink"/>
            <w:rFonts w:cstheme="minorHAnsi"/>
            <w:shd w:val="clear" w:color="auto" w:fill="FFFFFF"/>
          </w:rPr>
          <w:t>https://doi.org/10.1111/medu.14348</w:t>
        </w:r>
      </w:hyperlink>
    </w:p>
    <w:p w14:paraId="3CB41F96" w14:textId="77777777" w:rsidR="005D0D50" w:rsidRDefault="005D0D50" w:rsidP="00C06160">
      <w:pPr>
        <w:spacing w:before="120" w:after="120" w:line="240" w:lineRule="auto"/>
        <w:rPr>
          <w:rFonts w:cstheme="minorHAnsi"/>
          <w:lang w:val="en-NZ"/>
        </w:rPr>
      </w:pPr>
      <w:r w:rsidRPr="005D0D50">
        <w:rPr>
          <w:rFonts w:cstheme="minorHAnsi"/>
          <w:lang w:val="en-NZ"/>
        </w:rPr>
        <w:t xml:space="preserve">Ware, F., </w:t>
      </w:r>
      <w:proofErr w:type="spellStart"/>
      <w:r w:rsidRPr="005D0D50">
        <w:rPr>
          <w:rFonts w:cstheme="minorHAnsi"/>
          <w:lang w:val="en-NZ"/>
        </w:rPr>
        <w:t>Breheny</w:t>
      </w:r>
      <w:proofErr w:type="spellEnd"/>
      <w:r w:rsidRPr="005D0D50">
        <w:rPr>
          <w:rFonts w:cstheme="minorHAnsi"/>
          <w:lang w:val="en-NZ"/>
        </w:rPr>
        <w:t xml:space="preserve">, M., &amp; Forster, M. (2017). </w:t>
      </w:r>
      <w:proofErr w:type="spellStart"/>
      <w:r w:rsidRPr="005D0D50">
        <w:rPr>
          <w:rFonts w:cstheme="minorHAnsi"/>
          <w:lang w:val="en-NZ"/>
        </w:rPr>
        <w:t>Kaupapa</w:t>
      </w:r>
      <w:proofErr w:type="spellEnd"/>
      <w:r w:rsidRPr="005D0D50">
        <w:rPr>
          <w:rFonts w:cstheme="minorHAnsi"/>
          <w:lang w:val="en-NZ"/>
        </w:rPr>
        <w:t xml:space="preserve"> </w:t>
      </w:r>
      <w:proofErr w:type="spellStart"/>
      <w:r w:rsidRPr="005D0D50">
        <w:rPr>
          <w:rFonts w:cstheme="minorHAnsi"/>
          <w:lang w:val="en-NZ"/>
        </w:rPr>
        <w:t>Kōrero</w:t>
      </w:r>
      <w:proofErr w:type="spellEnd"/>
      <w:r w:rsidRPr="005D0D50">
        <w:rPr>
          <w:rFonts w:cstheme="minorHAnsi"/>
          <w:lang w:val="en-NZ"/>
        </w:rPr>
        <w:t xml:space="preserve">: a Māori cultural approach to narrative inquiry. </w:t>
      </w:r>
      <w:proofErr w:type="spellStart"/>
      <w:r w:rsidRPr="005D0D50">
        <w:rPr>
          <w:rFonts w:cstheme="minorHAnsi"/>
          <w:i/>
          <w:iCs/>
          <w:lang w:val="en-NZ"/>
        </w:rPr>
        <w:t>AlterNative</w:t>
      </w:r>
      <w:proofErr w:type="spellEnd"/>
      <w:r w:rsidRPr="005D0D50">
        <w:rPr>
          <w:rFonts w:cstheme="minorHAnsi"/>
          <w:i/>
          <w:iCs/>
          <w:lang w:val="en-NZ"/>
        </w:rPr>
        <w:t>: An International Journal of Indigenous Peoples, 14</w:t>
      </w:r>
      <w:r w:rsidRPr="005D0D50">
        <w:rPr>
          <w:rFonts w:cstheme="minorHAnsi"/>
          <w:lang w:val="en-NZ"/>
        </w:rPr>
        <w:t xml:space="preserve">(1), 45-53. </w:t>
      </w:r>
      <w:hyperlink r:id="rId28" w:history="1">
        <w:r w:rsidRPr="005D0D50">
          <w:rPr>
            <w:rStyle w:val="Hyperlink"/>
            <w:rFonts w:cstheme="minorHAnsi"/>
            <w:lang w:val="en-NZ"/>
          </w:rPr>
          <w:t>https://doi.org/10.1177/1177180117744810</w:t>
        </w:r>
      </w:hyperlink>
      <w:r w:rsidRPr="005D0D50">
        <w:rPr>
          <w:rFonts w:cstheme="minorHAnsi"/>
          <w:lang w:val="en-NZ"/>
        </w:rPr>
        <w:t xml:space="preserve"> </w:t>
      </w:r>
    </w:p>
    <w:p w14:paraId="33DB31B2" w14:textId="6740D18E" w:rsidR="00C06160" w:rsidRPr="007A5CD1" w:rsidRDefault="00C06160" w:rsidP="00C06160">
      <w:pPr>
        <w:spacing w:before="120" w:after="120" w:line="240" w:lineRule="auto"/>
        <w:rPr>
          <w:rFonts w:cstheme="minorHAnsi"/>
          <w:lang w:val="en-US"/>
        </w:rPr>
      </w:pPr>
      <w:r w:rsidRPr="007A5CD1">
        <w:rPr>
          <w:rFonts w:cstheme="minorHAnsi"/>
          <w:lang w:val="en-US"/>
        </w:rPr>
        <w:t xml:space="preserve">Wilkinson, S. (1988). The role of reflexivity in feminist psychology. </w:t>
      </w:r>
      <w:r w:rsidRPr="007A5CD1">
        <w:rPr>
          <w:rFonts w:cstheme="minorHAnsi"/>
          <w:i/>
          <w:lang w:val="en-US"/>
        </w:rPr>
        <w:t>Women’s Studies International Forum</w:t>
      </w:r>
      <w:r w:rsidRPr="007A5CD1">
        <w:rPr>
          <w:rFonts w:cstheme="minorHAnsi"/>
          <w:lang w:val="en-US"/>
        </w:rPr>
        <w:t xml:space="preserve">, </w:t>
      </w:r>
      <w:r w:rsidRPr="007A5CD1">
        <w:rPr>
          <w:rFonts w:cstheme="minorHAnsi"/>
          <w:i/>
          <w:lang w:val="en-US"/>
        </w:rPr>
        <w:t>11</w:t>
      </w:r>
      <w:r w:rsidRPr="007A5CD1">
        <w:rPr>
          <w:rFonts w:cstheme="minorHAnsi"/>
          <w:lang w:val="en-US"/>
        </w:rPr>
        <w:t xml:space="preserve">(5), 493-502. </w:t>
      </w:r>
      <w:hyperlink r:id="rId29" w:tgtFrame="_blank" w:tooltip="Persistent link using digital object identifier" w:history="1">
        <w:r w:rsidRPr="007A5CD1">
          <w:rPr>
            <w:rStyle w:val="Hyperlink"/>
            <w:rFonts w:cstheme="minorHAnsi"/>
            <w:lang w:val="en-US"/>
          </w:rPr>
          <w:t>https://doi.org/10.1016/0277-5395(88)90024-6</w:t>
        </w:r>
      </w:hyperlink>
    </w:p>
    <w:p w14:paraId="7B0E4B7C" w14:textId="77777777" w:rsidR="00C06160" w:rsidRPr="00846622" w:rsidRDefault="00C06160">
      <w:pPr>
        <w:rPr>
          <w:rFonts w:cstheme="minorHAnsi"/>
        </w:rPr>
      </w:pPr>
    </w:p>
    <w:sectPr w:rsidR="00C06160" w:rsidRPr="008466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24DE" w14:textId="77777777" w:rsidR="00810493" w:rsidRDefault="00810493" w:rsidP="006C2E6A">
      <w:pPr>
        <w:spacing w:after="0" w:line="240" w:lineRule="auto"/>
      </w:pPr>
      <w:r>
        <w:separator/>
      </w:r>
    </w:p>
  </w:endnote>
  <w:endnote w:type="continuationSeparator" w:id="0">
    <w:p w14:paraId="27E273B9" w14:textId="77777777" w:rsidR="00810493" w:rsidRDefault="00810493" w:rsidP="006C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toneSerifStd-Medium">
    <w:altName w:val="Cambria"/>
    <w:panose1 w:val="00000000000000000000"/>
    <w:charset w:val="00"/>
    <w:family w:val="roman"/>
    <w:notTrueType/>
    <w:pitch w:val="default"/>
  </w:font>
  <w:font w:name="StoneSerifStd-MediumItalic">
    <w:altName w:val="Cambria"/>
    <w:panose1 w:val="00000000000000000000"/>
    <w:charset w:val="00"/>
    <w:family w:val="roman"/>
    <w:notTrueType/>
    <w:pitch w:val="default"/>
  </w:font>
  <w:font w:name="AdvOTd0125be5.BI+2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7731" w14:textId="77777777" w:rsidR="00810493" w:rsidRDefault="00810493" w:rsidP="006C2E6A">
      <w:pPr>
        <w:spacing w:after="0" w:line="240" w:lineRule="auto"/>
      </w:pPr>
      <w:r>
        <w:separator/>
      </w:r>
    </w:p>
  </w:footnote>
  <w:footnote w:type="continuationSeparator" w:id="0">
    <w:p w14:paraId="2B0B03A7" w14:textId="77777777" w:rsidR="00810493" w:rsidRDefault="00810493" w:rsidP="006C2E6A">
      <w:pPr>
        <w:spacing w:after="0" w:line="240" w:lineRule="auto"/>
      </w:pPr>
      <w:r>
        <w:continuationSeparator/>
      </w:r>
    </w:p>
  </w:footnote>
  <w:footnote w:id="1">
    <w:p w14:paraId="6B5A60D6" w14:textId="6397D16A" w:rsidR="00B32A02" w:rsidRPr="00EA5FC7" w:rsidRDefault="00B32A02">
      <w:pPr>
        <w:pStyle w:val="FootnoteText"/>
        <w:rPr>
          <w:sz w:val="22"/>
          <w:szCs w:val="22"/>
          <w:lang w:val="en-NZ"/>
        </w:rPr>
      </w:pPr>
      <w:r w:rsidRPr="00C12920">
        <w:rPr>
          <w:rStyle w:val="FootnoteReference"/>
          <w:sz w:val="22"/>
          <w:szCs w:val="22"/>
        </w:rPr>
        <w:footnoteRef/>
      </w:r>
      <w:r w:rsidRPr="00C12920">
        <w:rPr>
          <w:sz w:val="22"/>
          <w:szCs w:val="22"/>
        </w:rPr>
        <w:t xml:space="preserve"> </w:t>
      </w:r>
      <w:r w:rsidRPr="00EA5FC7">
        <w:rPr>
          <w:sz w:val="22"/>
          <w:szCs w:val="22"/>
        </w:rPr>
        <w:t>As we are discussing bad practice and have no wish to “name and shame” authors</w:t>
      </w:r>
      <w:r w:rsidR="00934D08" w:rsidRPr="00EA5FC7">
        <w:rPr>
          <w:sz w:val="22"/>
          <w:szCs w:val="22"/>
        </w:rPr>
        <w:t>,</w:t>
      </w:r>
      <w:r w:rsidRPr="00EA5FC7">
        <w:rPr>
          <w:sz w:val="22"/>
          <w:szCs w:val="22"/>
        </w:rPr>
        <w:t xml:space="preserve"> we have chosen not to include a list of papers reviewed and only reference examples of bad practice in general terms. However, as we also recognise the value of concrete examples, we do identify the authors of two papers that exemplify good practice in various ways.</w:t>
      </w:r>
    </w:p>
  </w:footnote>
  <w:footnote w:id="2">
    <w:p w14:paraId="0541F4C2" w14:textId="73084C7C" w:rsidR="006C2E6A" w:rsidRPr="00592C5B" w:rsidRDefault="006C2E6A">
      <w:pPr>
        <w:pStyle w:val="FootnoteText"/>
        <w:rPr>
          <w:sz w:val="22"/>
          <w:szCs w:val="22"/>
        </w:rPr>
      </w:pPr>
      <w:r w:rsidRPr="00C12920">
        <w:rPr>
          <w:rStyle w:val="FootnoteReference"/>
          <w:sz w:val="22"/>
          <w:szCs w:val="22"/>
        </w:rPr>
        <w:footnoteRef/>
      </w:r>
      <w:r w:rsidRPr="00C12920">
        <w:rPr>
          <w:sz w:val="22"/>
          <w:szCs w:val="22"/>
        </w:rPr>
        <w:t xml:space="preserve"> TA was occasionally described as a </w:t>
      </w:r>
      <w:r w:rsidRPr="00592C5B">
        <w:rPr>
          <w:sz w:val="22"/>
          <w:szCs w:val="22"/>
        </w:rPr>
        <w:t xml:space="preserve">methodology in the papers reviewed – we don’t think it fulfils </w:t>
      </w:r>
      <w:r w:rsidR="00592C5B">
        <w:rPr>
          <w:sz w:val="22"/>
          <w:szCs w:val="22"/>
        </w:rPr>
        <w:t xml:space="preserve">all of </w:t>
      </w:r>
      <w:r w:rsidRPr="00592C5B">
        <w:rPr>
          <w:sz w:val="22"/>
          <w:szCs w:val="22"/>
        </w:rPr>
        <w:t>the requirements of</w:t>
      </w:r>
      <w:r w:rsidR="00EA5FC7">
        <w:rPr>
          <w:sz w:val="22"/>
          <w:szCs w:val="22"/>
        </w:rPr>
        <w:t xml:space="preserve"> a</w:t>
      </w:r>
      <w:r w:rsidRPr="00592C5B">
        <w:rPr>
          <w:sz w:val="22"/>
          <w:szCs w:val="22"/>
        </w:rPr>
        <w:t xml:space="preserve"> methodology </w:t>
      </w:r>
      <w:r w:rsidR="00C273CB" w:rsidRPr="00592C5B">
        <w:rPr>
          <w:sz w:val="22"/>
          <w:szCs w:val="22"/>
        </w:rPr>
        <w:t>because</w:t>
      </w:r>
      <w:r w:rsidRPr="00592C5B">
        <w:rPr>
          <w:sz w:val="22"/>
          <w:szCs w:val="22"/>
        </w:rPr>
        <w:t xml:space="preserve"> it doesn’t </w:t>
      </w:r>
      <w:r w:rsidR="00EA5FC7">
        <w:rPr>
          <w:sz w:val="22"/>
          <w:szCs w:val="22"/>
        </w:rPr>
        <w:t xml:space="preserve">inherently </w:t>
      </w:r>
      <w:r w:rsidRPr="00592C5B">
        <w:rPr>
          <w:sz w:val="22"/>
          <w:szCs w:val="22"/>
        </w:rPr>
        <w:t>provide researchers with a theoretically</w:t>
      </w:r>
      <w:r w:rsidR="00C273CB" w:rsidRPr="00592C5B">
        <w:rPr>
          <w:sz w:val="22"/>
          <w:szCs w:val="22"/>
        </w:rPr>
        <w:t>-</w:t>
      </w:r>
      <w:r w:rsidRPr="00592C5B">
        <w:rPr>
          <w:sz w:val="22"/>
          <w:szCs w:val="22"/>
        </w:rPr>
        <w:t>informed framework for research</w:t>
      </w:r>
      <w:r w:rsidR="00C273CB" w:rsidRPr="00592C5B">
        <w:rPr>
          <w:sz w:val="22"/>
          <w:szCs w:val="22"/>
        </w:rPr>
        <w:t>. Unlike methodologies such as grounded theory or discourse analysis, TA offers few directives around philosophical and theoretical positioning, appropriate research questions, data collection methods, or the size or constitution of the participant group/dataset (see Braun &amp; Clarke, 2021c, 202</w:t>
      </w:r>
      <w:r w:rsidR="00024654">
        <w:rPr>
          <w:sz w:val="22"/>
          <w:szCs w:val="22"/>
        </w:rPr>
        <w:t>2a</w:t>
      </w:r>
      <w:r w:rsidR="00C273CB" w:rsidRPr="00592C5B">
        <w:rPr>
          <w:sz w:val="22"/>
          <w:szCs w:val="22"/>
        </w:rPr>
        <w:t xml:space="preserve">). Therefore, we think TA is better understood as </w:t>
      </w:r>
      <w:r w:rsidR="00592C5B">
        <w:rPr>
          <w:sz w:val="22"/>
          <w:szCs w:val="22"/>
        </w:rPr>
        <w:t xml:space="preserve">closer to </w:t>
      </w:r>
      <w:r w:rsidR="00C273CB" w:rsidRPr="00592C5B">
        <w:rPr>
          <w:sz w:val="22"/>
          <w:szCs w:val="22"/>
        </w:rPr>
        <w:t>a method</w:t>
      </w:r>
      <w:r w:rsidR="00592C5B">
        <w:rPr>
          <w:sz w:val="22"/>
          <w:szCs w:val="22"/>
        </w:rPr>
        <w:t xml:space="preserve">. We say </w:t>
      </w:r>
      <w:r w:rsidR="00592C5B" w:rsidRPr="00592C5B">
        <w:rPr>
          <w:i/>
          <w:sz w:val="22"/>
          <w:szCs w:val="22"/>
        </w:rPr>
        <w:t>closer to</w:t>
      </w:r>
      <w:r w:rsidR="00592C5B">
        <w:rPr>
          <w:sz w:val="22"/>
          <w:szCs w:val="22"/>
        </w:rPr>
        <w:t xml:space="preserve"> because</w:t>
      </w:r>
      <w:r w:rsidR="00C273CB" w:rsidRPr="00592C5B">
        <w:rPr>
          <w:sz w:val="22"/>
          <w:szCs w:val="22"/>
        </w:rPr>
        <w:t xml:space="preserve"> the procedures and conceptualisations of key concepts associated with different iterations of TA reflect particular underlying paradigmatic assumptions or research values.</w:t>
      </w:r>
    </w:p>
  </w:footnote>
  <w:footnote w:id="3">
    <w:p w14:paraId="097801EC" w14:textId="5F1B66BE" w:rsidR="00DD2C32" w:rsidRPr="002E6D8C" w:rsidRDefault="00DD2C32">
      <w:pPr>
        <w:pStyle w:val="FootnoteText"/>
        <w:rPr>
          <w:sz w:val="22"/>
          <w:szCs w:val="22"/>
          <w:lang w:val="en-NZ"/>
        </w:rPr>
      </w:pPr>
      <w:r w:rsidRPr="002E6D8C">
        <w:rPr>
          <w:rStyle w:val="FootnoteReference"/>
          <w:sz w:val="22"/>
          <w:szCs w:val="22"/>
        </w:rPr>
        <w:footnoteRef/>
      </w:r>
      <w:r w:rsidRPr="002E6D8C">
        <w:rPr>
          <w:sz w:val="22"/>
          <w:szCs w:val="22"/>
        </w:rPr>
        <w:t xml:space="preserve"> In line with qualitative values, codebooks are more used to chart the developing analysis, instead of being a tool to measure whether coding is reliable.</w:t>
      </w:r>
    </w:p>
  </w:footnote>
  <w:footnote w:id="4">
    <w:p w14:paraId="4E576DD9" w14:textId="19578F3F" w:rsidR="0051494A" w:rsidRPr="002E6D8C" w:rsidRDefault="0051494A">
      <w:pPr>
        <w:pStyle w:val="FootnoteText"/>
        <w:rPr>
          <w:sz w:val="22"/>
          <w:szCs w:val="22"/>
        </w:rPr>
      </w:pPr>
      <w:r w:rsidRPr="002E6D8C">
        <w:rPr>
          <w:rStyle w:val="FootnoteReference"/>
          <w:sz w:val="22"/>
          <w:szCs w:val="22"/>
        </w:rPr>
        <w:footnoteRef/>
      </w:r>
      <w:r w:rsidRPr="002E6D8C">
        <w:rPr>
          <w:sz w:val="22"/>
          <w:szCs w:val="22"/>
        </w:rPr>
        <w:t xml:space="preserve"> One paper justified the use of grounded theory coding techniques to do TA on the grounds that Braun and Clarke (2006) don't provide a plan for doing TA. Given that th</w:t>
      </w:r>
      <w:r w:rsidR="00343737">
        <w:rPr>
          <w:sz w:val="22"/>
          <w:szCs w:val="22"/>
        </w:rPr>
        <w:t>e purpose of our 2006 paper was precisely to do that, and it was the first place we</w:t>
      </w:r>
      <w:r w:rsidRPr="002E6D8C">
        <w:rPr>
          <w:sz w:val="22"/>
          <w:szCs w:val="22"/>
        </w:rPr>
        <w:t xml:space="preserve"> outlined </w:t>
      </w:r>
      <w:r w:rsidR="00343737">
        <w:rPr>
          <w:sz w:val="22"/>
          <w:szCs w:val="22"/>
        </w:rPr>
        <w:t>a clear</w:t>
      </w:r>
      <w:r w:rsidR="00343737" w:rsidRPr="002E6D8C">
        <w:rPr>
          <w:sz w:val="22"/>
          <w:szCs w:val="22"/>
        </w:rPr>
        <w:t xml:space="preserve"> </w:t>
      </w:r>
      <w:r w:rsidRPr="002E6D8C">
        <w:rPr>
          <w:sz w:val="22"/>
          <w:szCs w:val="22"/>
        </w:rPr>
        <w:t>six-phase approach to reflexive TA</w:t>
      </w:r>
      <w:r w:rsidR="00343737">
        <w:rPr>
          <w:sz w:val="22"/>
          <w:szCs w:val="22"/>
        </w:rPr>
        <w:t xml:space="preserve"> –</w:t>
      </w:r>
      <w:r w:rsidRPr="002E6D8C">
        <w:rPr>
          <w:sz w:val="22"/>
          <w:szCs w:val="22"/>
        </w:rPr>
        <w:t xml:space="preserve"> and critiqued the use of grounded theory techniques to do TA</w:t>
      </w:r>
      <w:r w:rsidR="00343737">
        <w:rPr>
          <w:sz w:val="22"/>
          <w:szCs w:val="22"/>
        </w:rPr>
        <w:t xml:space="preserve"> – this stands as one of the many spurious claims that exist about TA (see Braun &amp; Clarke, 2021a). We are troubled how such basically incorrect information </w:t>
      </w:r>
      <w:r w:rsidRPr="002E6D8C">
        <w:rPr>
          <w:sz w:val="22"/>
          <w:szCs w:val="22"/>
        </w:rPr>
        <w:t>survive</w:t>
      </w:r>
      <w:r w:rsidR="00343737">
        <w:rPr>
          <w:sz w:val="22"/>
          <w:szCs w:val="22"/>
        </w:rPr>
        <w:t>s</w:t>
      </w:r>
      <w:r w:rsidRPr="002E6D8C">
        <w:rPr>
          <w:sz w:val="22"/>
          <w:szCs w:val="22"/>
        </w:rPr>
        <w:t xml:space="preserve"> the peer review and editorial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F97"/>
    <w:multiLevelType w:val="hybridMultilevel"/>
    <w:tmpl w:val="9BA2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57DBD"/>
    <w:multiLevelType w:val="hybridMultilevel"/>
    <w:tmpl w:val="06B221C6"/>
    <w:lvl w:ilvl="0" w:tplc="1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3F3789-0EB1-409A-9C64-BF918D285A27}"/>
    <w:docVar w:name="dgnword-eventsink" w:val="608510440"/>
  </w:docVars>
  <w:rsids>
    <w:rsidRoot w:val="00A3668B"/>
    <w:rsid w:val="00001BC7"/>
    <w:rsid w:val="00020C2B"/>
    <w:rsid w:val="00024654"/>
    <w:rsid w:val="000256F0"/>
    <w:rsid w:val="00051C24"/>
    <w:rsid w:val="000A16CB"/>
    <w:rsid w:val="000B2308"/>
    <w:rsid w:val="000B577B"/>
    <w:rsid w:val="000E00C1"/>
    <w:rsid w:val="000F4CF0"/>
    <w:rsid w:val="0010202F"/>
    <w:rsid w:val="00134C0C"/>
    <w:rsid w:val="00171A1C"/>
    <w:rsid w:val="00171DCB"/>
    <w:rsid w:val="00181C4F"/>
    <w:rsid w:val="00192376"/>
    <w:rsid w:val="001A7923"/>
    <w:rsid w:val="001C551D"/>
    <w:rsid w:val="001D4D2E"/>
    <w:rsid w:val="001F4CF1"/>
    <w:rsid w:val="0024578C"/>
    <w:rsid w:val="002617FA"/>
    <w:rsid w:val="002A585A"/>
    <w:rsid w:val="002A7A2D"/>
    <w:rsid w:val="002B17CF"/>
    <w:rsid w:val="002C355E"/>
    <w:rsid w:val="002E6D8C"/>
    <w:rsid w:val="002F4DA4"/>
    <w:rsid w:val="002F62DE"/>
    <w:rsid w:val="00311C63"/>
    <w:rsid w:val="003427D5"/>
    <w:rsid w:val="00343737"/>
    <w:rsid w:val="003872D1"/>
    <w:rsid w:val="0039083D"/>
    <w:rsid w:val="003D2BD1"/>
    <w:rsid w:val="003F79D5"/>
    <w:rsid w:val="003F7F3E"/>
    <w:rsid w:val="00421930"/>
    <w:rsid w:val="004276FB"/>
    <w:rsid w:val="00490514"/>
    <w:rsid w:val="004C2C72"/>
    <w:rsid w:val="004F0108"/>
    <w:rsid w:val="004F70EB"/>
    <w:rsid w:val="0051494A"/>
    <w:rsid w:val="00531DC0"/>
    <w:rsid w:val="00567818"/>
    <w:rsid w:val="005816C1"/>
    <w:rsid w:val="00584BD2"/>
    <w:rsid w:val="005854F8"/>
    <w:rsid w:val="00592C5B"/>
    <w:rsid w:val="005B397B"/>
    <w:rsid w:val="005D0D50"/>
    <w:rsid w:val="005D1904"/>
    <w:rsid w:val="005D50F2"/>
    <w:rsid w:val="005D78DF"/>
    <w:rsid w:val="006009D1"/>
    <w:rsid w:val="00614FE4"/>
    <w:rsid w:val="00616AD0"/>
    <w:rsid w:val="00625894"/>
    <w:rsid w:val="006602E5"/>
    <w:rsid w:val="006620E3"/>
    <w:rsid w:val="006621AF"/>
    <w:rsid w:val="0066607E"/>
    <w:rsid w:val="0068006B"/>
    <w:rsid w:val="006B667E"/>
    <w:rsid w:val="006C2E6A"/>
    <w:rsid w:val="006F575D"/>
    <w:rsid w:val="00716C2F"/>
    <w:rsid w:val="007523F6"/>
    <w:rsid w:val="0077189A"/>
    <w:rsid w:val="007828AA"/>
    <w:rsid w:val="00787786"/>
    <w:rsid w:val="00793614"/>
    <w:rsid w:val="007B6283"/>
    <w:rsid w:val="00810493"/>
    <w:rsid w:val="00815F8B"/>
    <w:rsid w:val="00831D59"/>
    <w:rsid w:val="00831DC0"/>
    <w:rsid w:val="008444EF"/>
    <w:rsid w:val="00846622"/>
    <w:rsid w:val="00857FAF"/>
    <w:rsid w:val="00877A60"/>
    <w:rsid w:val="008815C7"/>
    <w:rsid w:val="008C15AC"/>
    <w:rsid w:val="008C386A"/>
    <w:rsid w:val="008C4815"/>
    <w:rsid w:val="008D7A39"/>
    <w:rsid w:val="008D7E91"/>
    <w:rsid w:val="00902C4D"/>
    <w:rsid w:val="0091149F"/>
    <w:rsid w:val="00931C3D"/>
    <w:rsid w:val="00934D08"/>
    <w:rsid w:val="00944034"/>
    <w:rsid w:val="00960226"/>
    <w:rsid w:val="009611B9"/>
    <w:rsid w:val="009675FB"/>
    <w:rsid w:val="00980775"/>
    <w:rsid w:val="009A4B0D"/>
    <w:rsid w:val="009B38D5"/>
    <w:rsid w:val="00A00CD2"/>
    <w:rsid w:val="00A06E6D"/>
    <w:rsid w:val="00A17007"/>
    <w:rsid w:val="00A3626B"/>
    <w:rsid w:val="00A3668B"/>
    <w:rsid w:val="00A53B7E"/>
    <w:rsid w:val="00A84EED"/>
    <w:rsid w:val="00AA1D93"/>
    <w:rsid w:val="00AA478C"/>
    <w:rsid w:val="00AC4BE4"/>
    <w:rsid w:val="00AC66FA"/>
    <w:rsid w:val="00AC799A"/>
    <w:rsid w:val="00AD5C90"/>
    <w:rsid w:val="00B138D7"/>
    <w:rsid w:val="00B161F6"/>
    <w:rsid w:val="00B32A02"/>
    <w:rsid w:val="00B40A07"/>
    <w:rsid w:val="00B7184E"/>
    <w:rsid w:val="00B86F60"/>
    <w:rsid w:val="00B95C80"/>
    <w:rsid w:val="00BA15D7"/>
    <w:rsid w:val="00BB5ACF"/>
    <w:rsid w:val="00BE46BE"/>
    <w:rsid w:val="00C06160"/>
    <w:rsid w:val="00C111EE"/>
    <w:rsid w:val="00C12504"/>
    <w:rsid w:val="00C1270E"/>
    <w:rsid w:val="00C12920"/>
    <w:rsid w:val="00C167EF"/>
    <w:rsid w:val="00C273CB"/>
    <w:rsid w:val="00C37BF9"/>
    <w:rsid w:val="00CC399D"/>
    <w:rsid w:val="00CE0A7E"/>
    <w:rsid w:val="00D4390D"/>
    <w:rsid w:val="00D50E50"/>
    <w:rsid w:val="00D66431"/>
    <w:rsid w:val="00D67006"/>
    <w:rsid w:val="00D92A90"/>
    <w:rsid w:val="00DD2C32"/>
    <w:rsid w:val="00DD65B7"/>
    <w:rsid w:val="00DD757F"/>
    <w:rsid w:val="00E147C5"/>
    <w:rsid w:val="00E16A71"/>
    <w:rsid w:val="00E517A7"/>
    <w:rsid w:val="00E979A5"/>
    <w:rsid w:val="00EA479B"/>
    <w:rsid w:val="00EA5FC7"/>
    <w:rsid w:val="00EB1BE0"/>
    <w:rsid w:val="00EE1A84"/>
    <w:rsid w:val="00F313D4"/>
    <w:rsid w:val="00F56D07"/>
    <w:rsid w:val="00F714E4"/>
    <w:rsid w:val="00F9746A"/>
    <w:rsid w:val="00FA46B7"/>
    <w:rsid w:val="00FD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171DCB"/>
  </w:style>
  <w:style w:type="character" w:customStyle="1" w:styleId="Date1">
    <w:name w:val="Date1"/>
    <w:basedOn w:val="DefaultParagraphFont"/>
    <w:rsid w:val="00171DCB"/>
  </w:style>
  <w:style w:type="character" w:customStyle="1" w:styleId="arttitle">
    <w:name w:val="art_title"/>
    <w:basedOn w:val="DefaultParagraphFont"/>
    <w:rsid w:val="00171DCB"/>
  </w:style>
  <w:style w:type="character" w:customStyle="1" w:styleId="serialtitle">
    <w:name w:val="serial_title"/>
    <w:basedOn w:val="DefaultParagraphFont"/>
    <w:rsid w:val="00171DCB"/>
  </w:style>
  <w:style w:type="character" w:customStyle="1" w:styleId="volumeissue">
    <w:name w:val="volume_issue"/>
    <w:basedOn w:val="DefaultParagraphFont"/>
    <w:rsid w:val="00171DCB"/>
  </w:style>
  <w:style w:type="character" w:customStyle="1" w:styleId="pagerange">
    <w:name w:val="page_range"/>
    <w:basedOn w:val="DefaultParagraphFont"/>
    <w:rsid w:val="00171DCB"/>
  </w:style>
  <w:style w:type="character" w:customStyle="1" w:styleId="doilink">
    <w:name w:val="doi_link"/>
    <w:basedOn w:val="DefaultParagraphFont"/>
    <w:rsid w:val="00171DCB"/>
  </w:style>
  <w:style w:type="character" w:styleId="Hyperlink">
    <w:name w:val="Hyperlink"/>
    <w:basedOn w:val="DefaultParagraphFont"/>
    <w:unhideWhenUsed/>
    <w:rsid w:val="00171DCB"/>
    <w:rPr>
      <w:color w:val="0000FF"/>
      <w:u w:val="single"/>
    </w:rPr>
  </w:style>
  <w:style w:type="paragraph" w:styleId="BodyText">
    <w:name w:val="Body Text"/>
    <w:basedOn w:val="Normal"/>
    <w:link w:val="BodyTextChar"/>
    <w:uiPriority w:val="99"/>
    <w:semiHidden/>
    <w:unhideWhenUsed/>
    <w:rsid w:val="00171DCB"/>
    <w:pPr>
      <w:spacing w:after="120" w:line="256" w:lineRule="auto"/>
    </w:pPr>
  </w:style>
  <w:style w:type="character" w:customStyle="1" w:styleId="BodyTextChar">
    <w:name w:val="Body Text Char"/>
    <w:basedOn w:val="DefaultParagraphFont"/>
    <w:link w:val="BodyText"/>
    <w:uiPriority w:val="99"/>
    <w:semiHidden/>
    <w:rsid w:val="00171DCB"/>
  </w:style>
  <w:style w:type="paragraph" w:customStyle="1" w:styleId="dx-doi">
    <w:name w:val="dx-doi"/>
    <w:basedOn w:val="Normal"/>
    <w:rsid w:val="00171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71DCB"/>
    <w:rPr>
      <w:color w:val="605E5C"/>
      <w:shd w:val="clear" w:color="auto" w:fill="E1DFDD"/>
    </w:rPr>
  </w:style>
  <w:style w:type="character" w:customStyle="1" w:styleId="fontstyle01">
    <w:name w:val="fontstyle01"/>
    <w:basedOn w:val="DefaultParagraphFont"/>
    <w:rsid w:val="00E979A5"/>
    <w:rPr>
      <w:rFonts w:ascii="StoneSerifStd-Medium" w:hAnsi="StoneSerifStd-Medium" w:hint="default"/>
      <w:b w:val="0"/>
      <w:bCs w:val="0"/>
      <w:i w:val="0"/>
      <w:iCs w:val="0"/>
      <w:color w:val="242021"/>
      <w:sz w:val="18"/>
      <w:szCs w:val="18"/>
    </w:rPr>
  </w:style>
  <w:style w:type="character" w:customStyle="1" w:styleId="fontstyle21">
    <w:name w:val="fontstyle21"/>
    <w:basedOn w:val="DefaultParagraphFont"/>
    <w:rsid w:val="00E979A5"/>
    <w:rPr>
      <w:rFonts w:ascii="StoneSerifStd-MediumItalic" w:hAnsi="StoneSerifStd-MediumItalic" w:hint="default"/>
      <w:b w:val="0"/>
      <w:bCs w:val="0"/>
      <w:i/>
      <w:iCs/>
      <w:color w:val="242021"/>
      <w:sz w:val="18"/>
      <w:szCs w:val="18"/>
    </w:rPr>
  </w:style>
  <w:style w:type="character" w:customStyle="1" w:styleId="fontstyle11">
    <w:name w:val="fontstyle11"/>
    <w:basedOn w:val="DefaultParagraphFont"/>
    <w:rsid w:val="00CE0A7E"/>
    <w:rPr>
      <w:rFonts w:ascii="AdvOTd0125be5.BI+20" w:hAnsi="AdvOTd0125be5.BI+20" w:hint="default"/>
      <w:b w:val="0"/>
      <w:bCs w:val="0"/>
      <w:i w:val="0"/>
      <w:iCs w:val="0"/>
      <w:color w:val="10157E"/>
      <w:sz w:val="22"/>
      <w:szCs w:val="22"/>
    </w:rPr>
  </w:style>
  <w:style w:type="character" w:styleId="Emphasis">
    <w:name w:val="Emphasis"/>
    <w:basedOn w:val="DefaultParagraphFont"/>
    <w:uiPriority w:val="20"/>
    <w:qFormat/>
    <w:rsid w:val="006C2E6A"/>
    <w:rPr>
      <w:i/>
      <w:iCs/>
    </w:rPr>
  </w:style>
  <w:style w:type="paragraph" w:styleId="FootnoteText">
    <w:name w:val="footnote text"/>
    <w:basedOn w:val="Normal"/>
    <w:link w:val="FootnoteTextChar"/>
    <w:uiPriority w:val="99"/>
    <w:semiHidden/>
    <w:unhideWhenUsed/>
    <w:rsid w:val="006C2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E6A"/>
    <w:rPr>
      <w:sz w:val="20"/>
      <w:szCs w:val="20"/>
    </w:rPr>
  </w:style>
  <w:style w:type="character" w:styleId="FootnoteReference">
    <w:name w:val="footnote reference"/>
    <w:basedOn w:val="DefaultParagraphFont"/>
    <w:uiPriority w:val="99"/>
    <w:semiHidden/>
    <w:unhideWhenUsed/>
    <w:rsid w:val="006C2E6A"/>
    <w:rPr>
      <w:vertAlign w:val="superscript"/>
    </w:rPr>
  </w:style>
  <w:style w:type="paragraph" w:styleId="ListParagraph">
    <w:name w:val="List Paragraph"/>
    <w:basedOn w:val="Normal"/>
    <w:uiPriority w:val="34"/>
    <w:qFormat/>
    <w:rsid w:val="00CC399D"/>
    <w:pPr>
      <w:ind w:left="720"/>
      <w:contextualSpacing/>
    </w:pPr>
  </w:style>
  <w:style w:type="character" w:styleId="CommentReference">
    <w:name w:val="annotation reference"/>
    <w:basedOn w:val="DefaultParagraphFont"/>
    <w:uiPriority w:val="99"/>
    <w:semiHidden/>
    <w:unhideWhenUsed/>
    <w:rsid w:val="00D67006"/>
    <w:rPr>
      <w:sz w:val="16"/>
      <w:szCs w:val="16"/>
    </w:rPr>
  </w:style>
  <w:style w:type="paragraph" w:styleId="CommentText">
    <w:name w:val="annotation text"/>
    <w:basedOn w:val="Normal"/>
    <w:link w:val="CommentTextChar"/>
    <w:uiPriority w:val="99"/>
    <w:semiHidden/>
    <w:unhideWhenUsed/>
    <w:rsid w:val="00D67006"/>
    <w:pPr>
      <w:spacing w:line="240" w:lineRule="auto"/>
    </w:pPr>
    <w:rPr>
      <w:sz w:val="20"/>
      <w:szCs w:val="20"/>
    </w:rPr>
  </w:style>
  <w:style w:type="character" w:customStyle="1" w:styleId="CommentTextChar">
    <w:name w:val="Comment Text Char"/>
    <w:basedOn w:val="DefaultParagraphFont"/>
    <w:link w:val="CommentText"/>
    <w:uiPriority w:val="99"/>
    <w:semiHidden/>
    <w:rsid w:val="00D67006"/>
    <w:rPr>
      <w:sz w:val="20"/>
      <w:szCs w:val="20"/>
    </w:rPr>
  </w:style>
  <w:style w:type="paragraph" w:styleId="CommentSubject">
    <w:name w:val="annotation subject"/>
    <w:basedOn w:val="CommentText"/>
    <w:next w:val="CommentText"/>
    <w:link w:val="CommentSubjectChar"/>
    <w:uiPriority w:val="99"/>
    <w:semiHidden/>
    <w:unhideWhenUsed/>
    <w:rsid w:val="00D67006"/>
    <w:rPr>
      <w:b/>
      <w:bCs/>
    </w:rPr>
  </w:style>
  <w:style w:type="character" w:customStyle="1" w:styleId="CommentSubjectChar">
    <w:name w:val="Comment Subject Char"/>
    <w:basedOn w:val="CommentTextChar"/>
    <w:link w:val="CommentSubject"/>
    <w:uiPriority w:val="99"/>
    <w:semiHidden/>
    <w:rsid w:val="00D67006"/>
    <w:rPr>
      <w:b/>
      <w:bCs/>
      <w:sz w:val="20"/>
      <w:szCs w:val="20"/>
    </w:rPr>
  </w:style>
  <w:style w:type="paragraph" w:styleId="BalloonText">
    <w:name w:val="Balloon Text"/>
    <w:basedOn w:val="Normal"/>
    <w:link w:val="BalloonTextChar"/>
    <w:uiPriority w:val="99"/>
    <w:semiHidden/>
    <w:unhideWhenUsed/>
    <w:rsid w:val="00EA5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C7"/>
    <w:rPr>
      <w:rFonts w:ascii="Segoe UI" w:hAnsi="Segoe UI" w:cs="Segoe UI"/>
      <w:sz w:val="18"/>
      <w:szCs w:val="18"/>
    </w:rPr>
  </w:style>
  <w:style w:type="character" w:styleId="FollowedHyperlink">
    <w:name w:val="FollowedHyperlink"/>
    <w:basedOn w:val="DefaultParagraphFont"/>
    <w:uiPriority w:val="99"/>
    <w:semiHidden/>
    <w:unhideWhenUsed/>
    <w:rsid w:val="00EB1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8419">
      <w:bodyDiv w:val="1"/>
      <w:marLeft w:val="0"/>
      <w:marRight w:val="0"/>
      <w:marTop w:val="0"/>
      <w:marBottom w:val="0"/>
      <w:divBdr>
        <w:top w:val="none" w:sz="0" w:space="0" w:color="auto"/>
        <w:left w:val="none" w:sz="0" w:space="0" w:color="auto"/>
        <w:bottom w:val="none" w:sz="0" w:space="0" w:color="auto"/>
        <w:right w:val="none" w:sz="0" w:space="0" w:color="auto"/>
      </w:divBdr>
    </w:div>
    <w:div w:id="488254003">
      <w:bodyDiv w:val="1"/>
      <w:marLeft w:val="0"/>
      <w:marRight w:val="0"/>
      <w:marTop w:val="0"/>
      <w:marBottom w:val="0"/>
      <w:divBdr>
        <w:top w:val="none" w:sz="0" w:space="0" w:color="auto"/>
        <w:left w:val="none" w:sz="0" w:space="0" w:color="auto"/>
        <w:bottom w:val="none" w:sz="0" w:space="0" w:color="auto"/>
        <w:right w:val="none" w:sz="0" w:space="0" w:color="auto"/>
      </w:divBdr>
    </w:div>
    <w:div w:id="936909833">
      <w:bodyDiv w:val="1"/>
      <w:marLeft w:val="0"/>
      <w:marRight w:val="0"/>
      <w:marTop w:val="0"/>
      <w:marBottom w:val="0"/>
      <w:divBdr>
        <w:top w:val="none" w:sz="0" w:space="0" w:color="auto"/>
        <w:left w:val="none" w:sz="0" w:space="0" w:color="auto"/>
        <w:bottom w:val="none" w:sz="0" w:space="0" w:color="auto"/>
        <w:right w:val="none" w:sz="0" w:space="0" w:color="auto"/>
      </w:divBdr>
    </w:div>
    <w:div w:id="14237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ticanalysis.net" TargetMode="External"/><Relationship Id="rId13" Type="http://schemas.openxmlformats.org/officeDocument/2006/relationships/hyperlink" Target="https://doi.org/" TargetMode="External"/><Relationship Id="rId18" Type="http://schemas.openxmlformats.org/officeDocument/2006/relationships/hyperlink" Target="https://doi.org/10.1177/1177180121996321" TargetMode="External"/><Relationship Id="rId26" Type="http://schemas.openxmlformats.org/officeDocument/2006/relationships/hyperlink" Target="https://doi.org/10.1111/medu.13124" TargetMode="External"/><Relationship Id="rId3" Type="http://schemas.openxmlformats.org/officeDocument/2006/relationships/styles" Target="styles.xml"/><Relationship Id="rId21" Type="http://schemas.openxmlformats.org/officeDocument/2006/relationships/hyperlink" Target="https://doi.org/10.1080/26895269.2021.1933669" TargetMode="External"/><Relationship Id="rId7" Type="http://schemas.openxmlformats.org/officeDocument/2006/relationships/endnotes" Target="endnotes.xml"/><Relationship Id="rId12" Type="http://schemas.openxmlformats.org/officeDocument/2006/relationships/hyperlink" Target="https://doi.org/10.1080/2159676X.2019.16%2028806" TargetMode="External"/><Relationship Id="rId17" Type="http://schemas.openxmlformats.org/officeDocument/2006/relationships/hyperlink" Target="https://doi.org/https://doi.org/10.1037/qup0000196" TargetMode="External"/><Relationship Id="rId25" Type="http://schemas.openxmlformats.org/officeDocument/2006/relationships/hyperlink" Target="https://doi.org/10.1080/2159676X.2020.1840423" TargetMode="External"/><Relationship Id="rId2" Type="http://schemas.openxmlformats.org/officeDocument/2006/relationships/numbering" Target="numbering.xml"/><Relationship Id="rId16" Type="http://schemas.openxmlformats.org/officeDocument/2006/relationships/hyperlink" Target="https://doi.org/10.1002/capr.12360" TargetMode="External"/><Relationship Id="rId20" Type="http://schemas.openxmlformats.org/officeDocument/2006/relationships/hyperlink" Target="https://doi.org/10.1177/14687941221098922" TargetMode="External"/><Relationship Id="rId29" Type="http://schemas.openxmlformats.org/officeDocument/2006/relationships/hyperlink" Target="https://doi.org/10.1016/0277-5395(88)900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45579.2016.1195588" TargetMode="External"/><Relationship Id="rId24" Type="http://schemas.openxmlformats.org/officeDocument/2006/relationships/hyperlink" Target="https://doi.org/10.1080/1750984X.1317357" TargetMode="External"/><Relationship Id="rId5" Type="http://schemas.openxmlformats.org/officeDocument/2006/relationships/webSettings" Target="webSettings.xml"/><Relationship Id="rId15" Type="http://schemas.openxmlformats.org/officeDocument/2006/relationships/hyperlink" Target="https://doi.org/10.1080/2159676X.2019.1704846" TargetMode="External"/><Relationship Id="rId23" Type="http://schemas.openxmlformats.org/officeDocument/2006/relationships/hyperlink" Target="https://doi.org/10.1037/10595-004" TargetMode="External"/><Relationship Id="rId28" Type="http://schemas.openxmlformats.org/officeDocument/2006/relationships/hyperlink" Target="https://doi.org/10.1177/1177180117744810" TargetMode="External"/><Relationship Id="rId10" Type="http://schemas.openxmlformats.org/officeDocument/2006/relationships/hyperlink" Target="https://doi.org/10.1177/1177180120917480" TargetMode="External"/><Relationship Id="rId19" Type="http://schemas.openxmlformats.org/officeDocument/2006/relationships/hyperlink" Target="https://doi.org/10.1037/cou000044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Braun@auckland.ac.nz" TargetMode="External"/><Relationship Id="rId14" Type="http://schemas.openxmlformats.org/officeDocument/2006/relationships/hyperlink" Target="https://doi.org/10.1080/14780887.2020.1769238" TargetMode="External"/><Relationship Id="rId22" Type="http://schemas.openxmlformats.org/officeDocument/2006/relationships/hyperlink" Target="https://doi.org/10.1080/26895269.2020.1742842" TargetMode="External"/><Relationship Id="rId27" Type="http://schemas.openxmlformats.org/officeDocument/2006/relationships/hyperlink" Target="https://doi.org/10.1111/medu.1434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80A2-E9A8-4A3B-9A3E-1BDA2857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2022-07-23T07:15:00Z</dcterms:created>
  <dcterms:modified xsi:type="dcterms:W3CDTF">2022-07-23T07:16:00Z</dcterms:modified>
</cp:coreProperties>
</file>