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A1976" w:rsidRPr="00F414E0" w:rsidRDefault="001A1976" w:rsidP="001A1976">
      <w:pPr>
        <w:spacing w:after="240"/>
        <w:rPr>
          <w:rFonts w:eastAsia="Times New Roman"/>
          <w:b/>
          <w:kern w:val="0"/>
          <w:sz w:val="32"/>
          <w:szCs w:val="32"/>
          <w:lang w:eastAsia="en-US"/>
        </w:rPr>
      </w:pPr>
      <w:r w:rsidRPr="00F414E0">
        <w:rPr>
          <w:rFonts w:eastAsia="Times New Roman"/>
          <w:b/>
          <w:kern w:val="0"/>
          <w:sz w:val="32"/>
          <w:szCs w:val="32"/>
          <w:lang w:eastAsia="en-US"/>
        </w:rPr>
        <w:t>Determination of Urban Sustainability Compliance with National Indicators</w:t>
      </w:r>
    </w:p>
    <w:p w:rsidR="00157A21" w:rsidRPr="00F414E0" w:rsidRDefault="00157A21" w:rsidP="00F414E0">
      <w:pPr>
        <w:pStyle w:val="PaperAuthor"/>
      </w:pPr>
      <w:r w:rsidRPr="00F414E0">
        <w:t>L. Mahdjoubi, M. Horswell and R. Akplotsyi</w:t>
      </w:r>
    </w:p>
    <w:p w:rsidR="00157A21" w:rsidRPr="00F414E0" w:rsidRDefault="00157A21" w:rsidP="00F414E0">
      <w:pPr>
        <w:widowControl/>
        <w:suppressAutoHyphens w:val="0"/>
        <w:jc w:val="both"/>
        <w:rPr>
          <w:rFonts w:eastAsia="Times New Roman"/>
          <w:i/>
          <w:kern w:val="0"/>
          <w:sz w:val="20"/>
          <w:szCs w:val="32"/>
          <w:lang w:eastAsia="en-US"/>
        </w:rPr>
      </w:pPr>
      <w:r w:rsidRPr="00F414E0">
        <w:rPr>
          <w:rFonts w:eastAsia="Times New Roman"/>
          <w:i/>
          <w:kern w:val="0"/>
          <w:sz w:val="20"/>
          <w:szCs w:val="32"/>
          <w:lang w:eastAsia="en-US"/>
        </w:rPr>
        <w:t>Faculty of Environment and Technology</w:t>
      </w:r>
    </w:p>
    <w:p w:rsidR="00157A21" w:rsidRPr="00F414E0" w:rsidRDefault="00157A21" w:rsidP="00F414E0">
      <w:pPr>
        <w:widowControl/>
        <w:suppressAutoHyphens w:val="0"/>
        <w:jc w:val="both"/>
        <w:rPr>
          <w:rFonts w:eastAsia="Times New Roman"/>
          <w:i/>
          <w:kern w:val="0"/>
          <w:sz w:val="20"/>
          <w:szCs w:val="32"/>
          <w:lang w:eastAsia="en-US"/>
        </w:rPr>
      </w:pPr>
      <w:proofErr w:type="gramStart"/>
      <w:r w:rsidRPr="00F414E0">
        <w:rPr>
          <w:rFonts w:eastAsia="Times New Roman"/>
          <w:i/>
          <w:kern w:val="0"/>
          <w:sz w:val="20"/>
          <w:szCs w:val="32"/>
          <w:lang w:eastAsia="en-US"/>
        </w:rPr>
        <w:t>University of the West of England, U.K.</w:t>
      </w:r>
      <w:proofErr w:type="gramEnd"/>
    </w:p>
    <w:p w:rsidR="00157A21" w:rsidRPr="00F414E0" w:rsidRDefault="00157A21" w:rsidP="00F414E0">
      <w:pPr>
        <w:widowControl/>
        <w:suppressAutoHyphens w:val="0"/>
        <w:jc w:val="both"/>
        <w:rPr>
          <w:rFonts w:eastAsia="Times New Roman"/>
          <w:i/>
          <w:kern w:val="0"/>
          <w:sz w:val="20"/>
          <w:szCs w:val="32"/>
          <w:lang w:eastAsia="en-US"/>
        </w:rPr>
      </w:pPr>
    </w:p>
    <w:p w:rsidR="00157A21" w:rsidRDefault="00157A21" w:rsidP="00F414E0">
      <w:pPr>
        <w:spacing w:before="480"/>
        <w:rPr>
          <w:b/>
          <w:szCs w:val="20"/>
        </w:rPr>
      </w:pPr>
      <w:r w:rsidRPr="002F63C0">
        <w:rPr>
          <w:b/>
          <w:szCs w:val="20"/>
        </w:rPr>
        <w:t>Abstract</w:t>
      </w:r>
    </w:p>
    <w:p w:rsidR="00157A21" w:rsidRPr="00C949F6" w:rsidRDefault="00157A21" w:rsidP="00F414E0">
      <w:pPr>
        <w:pStyle w:val="AbstractText"/>
      </w:pPr>
      <w:r w:rsidRPr="00412001">
        <w:t xml:space="preserve">Improvements in methodologies for measuring and capturing data for the UK’s sustainability indicators </w:t>
      </w:r>
      <w:r w:rsidR="00BF233A">
        <w:t>(</w:t>
      </w:r>
      <w:r w:rsidR="00BF233A" w:rsidRPr="00412001">
        <w:t>soc</w:t>
      </w:r>
      <w:r w:rsidR="00BF233A">
        <w:t xml:space="preserve">ial, economic and environmental) </w:t>
      </w:r>
      <w:r w:rsidRPr="00412001">
        <w:t>means there is now a wealth of accurate and reliable approaches to assess sustainability levels. However the majority of these indicators focus on one aspect of sustainability</w:t>
      </w:r>
      <w:r w:rsidR="00BF233A">
        <w:t xml:space="preserve"> at a time</w:t>
      </w:r>
      <w:r w:rsidRPr="00412001">
        <w:t xml:space="preserve">. An understanding of these issues in a unified approach is required. </w:t>
      </w:r>
      <w:r>
        <w:t xml:space="preserve">This research </w:t>
      </w:r>
      <w:r w:rsidRPr="00412001">
        <w:t xml:space="preserve">draws on the power of </w:t>
      </w:r>
      <w:r>
        <w:t>geographical information systems</w:t>
      </w:r>
      <w:r w:rsidRPr="00412001">
        <w:t xml:space="preserve"> to investigate the multiple sustainability indictor datasets. </w:t>
      </w:r>
      <w:r>
        <w:t>It</w:t>
      </w:r>
      <w:r w:rsidRPr="00412001">
        <w:t xml:space="preserve"> pull</w:t>
      </w:r>
      <w:r>
        <w:t>s</w:t>
      </w:r>
      <w:r w:rsidRPr="00412001">
        <w:t xml:space="preserve"> together the datasets into a unified interactive system</w:t>
      </w:r>
      <w:r>
        <w:t>, which enabled</w:t>
      </w:r>
      <w:r w:rsidRPr="00412001">
        <w:t xml:space="preserve"> </w:t>
      </w:r>
      <w:r>
        <w:t>the examination of</w:t>
      </w:r>
      <w:r w:rsidRPr="00412001">
        <w:t xml:space="preserve"> </w:t>
      </w:r>
      <w:r w:rsidRPr="00E244D0">
        <w:t>the complex interconnectedness between urban physical characteristics, growing diversity of lifestyles and NI, across scales</w:t>
      </w:r>
      <w:r>
        <w:t xml:space="preserve">.  </w:t>
      </w:r>
      <w:r w:rsidR="00BF233A">
        <w:t xml:space="preserve">At </w:t>
      </w:r>
      <w:r w:rsidR="00DD03C5">
        <w:t>a smaller scale</w:t>
      </w:r>
      <w:r w:rsidR="00BF233A">
        <w:t xml:space="preserve">, the research demonstrated that successful places work as system of interconnected sets of activities.  The </w:t>
      </w:r>
      <w:r w:rsidR="00327E84">
        <w:t>larger scale</w:t>
      </w:r>
      <w:r w:rsidR="00BF233A">
        <w:t xml:space="preserve"> analysis consisted of an examination of the relationship between active travel and road network, as well as three measures of centrality (straightness, closeness and </w:t>
      </w:r>
      <w:proofErr w:type="spellStart"/>
      <w:r w:rsidR="00BF233A">
        <w:t>betweeness</w:t>
      </w:r>
      <w:proofErr w:type="spellEnd"/>
      <w:r w:rsidR="00BF233A">
        <w:t xml:space="preserve">).  The </w:t>
      </w:r>
      <w:r w:rsidR="00DD03C5">
        <w:t>findings</w:t>
      </w:r>
      <w:r w:rsidR="00BF233A">
        <w:t xml:space="preserve"> revealed that activity </w:t>
      </w:r>
      <w:r w:rsidR="00BF233A" w:rsidRPr="00BF233A">
        <w:t>network</w:t>
      </w:r>
      <w:r w:rsidR="00BF233A">
        <w:t>s</w:t>
      </w:r>
      <w:r w:rsidR="00BF233A" w:rsidRPr="00BF233A">
        <w:t xml:space="preserve"> </w:t>
      </w:r>
      <w:r w:rsidR="00BF233A">
        <w:t>are</w:t>
      </w:r>
      <w:r w:rsidR="00BF233A" w:rsidRPr="00BF233A">
        <w:t xml:space="preserve"> </w:t>
      </w:r>
      <w:r w:rsidR="00BF233A">
        <w:t>more complex than is depic</w:t>
      </w:r>
      <w:r w:rsidR="00BF233A" w:rsidRPr="00BF233A">
        <w:t>t</w:t>
      </w:r>
      <w:r w:rsidR="00BF233A">
        <w:t>ed in t</w:t>
      </w:r>
      <w:r w:rsidR="00BF233A" w:rsidRPr="00BF233A">
        <w:t xml:space="preserve">raditional </w:t>
      </w:r>
      <w:r w:rsidR="00BF233A">
        <w:t>spatial planning</w:t>
      </w:r>
      <w:r w:rsidR="00BF233A" w:rsidRPr="00BF233A">
        <w:t xml:space="preserve"> networks</w:t>
      </w:r>
      <w:r w:rsidR="00DD03C5">
        <w:t>.  These results have important implications on determining natural</w:t>
      </w:r>
      <w:r w:rsidR="00DD03C5" w:rsidRPr="00E3795A">
        <w:t xml:space="preserve"> strategies of urban planning</w:t>
      </w:r>
      <w:r w:rsidR="00DD03C5">
        <w:t xml:space="preserve"> and design.</w:t>
      </w:r>
    </w:p>
    <w:p w:rsidR="002E2898" w:rsidRPr="00F414E0" w:rsidRDefault="00157A21" w:rsidP="00F414E0">
      <w:pPr>
        <w:pStyle w:val="Keywords"/>
      </w:pPr>
      <w:r w:rsidRPr="00682201">
        <w:t xml:space="preserve">Keywords: </w:t>
      </w:r>
      <w:r>
        <w:t xml:space="preserve">Sustainable environments, </w:t>
      </w:r>
      <w:r w:rsidR="00BF233A">
        <w:t xml:space="preserve">National Indicators, </w:t>
      </w:r>
      <w:r>
        <w:t xml:space="preserve">GIS, </w:t>
      </w:r>
      <w:r w:rsidR="00BF233A">
        <w:t>centrality</w:t>
      </w:r>
      <w:r w:rsidR="00704C88">
        <w:t xml:space="preserve">, </w:t>
      </w:r>
      <w:r>
        <w:t>lifestyles.</w:t>
      </w:r>
    </w:p>
    <w:p w:rsidR="00B122CC" w:rsidRDefault="00B122CC" w:rsidP="00CE1AA0">
      <w:pPr>
        <w:pStyle w:val="Heading1"/>
        <w:numPr>
          <w:ilvl w:val="0"/>
          <w:numId w:val="9"/>
        </w:numPr>
        <w:spacing w:after="120"/>
        <w:ind w:left="357" w:hanging="357"/>
      </w:pPr>
      <w:r w:rsidRPr="00355E8B">
        <w:t>Background</w:t>
      </w:r>
    </w:p>
    <w:p w:rsidR="001A1976" w:rsidRPr="001A1976" w:rsidRDefault="001A1976" w:rsidP="00412001">
      <w:pPr>
        <w:jc w:val="both"/>
        <w:rPr>
          <w:sz w:val="20"/>
          <w:szCs w:val="20"/>
        </w:rPr>
      </w:pPr>
      <w:r w:rsidRPr="001A1976">
        <w:rPr>
          <w:sz w:val="20"/>
          <w:szCs w:val="20"/>
        </w:rPr>
        <w:t>What needs to be done to ensure that current and future urban environments are better planned and designed to meet the requirements of the three pillars of sustainability; social, economic and environmental.  This issue remains one of the biggest challenges facing urban designers, planners, city developers, and policy makers in the 21st century</w:t>
      </w:r>
      <w:r w:rsidR="003C5646">
        <w:rPr>
          <w:sz w:val="20"/>
          <w:szCs w:val="20"/>
        </w:rPr>
        <w:t xml:space="preserve"> [1]</w:t>
      </w:r>
      <w:r w:rsidRPr="001A1976">
        <w:rPr>
          <w:sz w:val="20"/>
          <w:szCs w:val="20"/>
        </w:rPr>
        <w:t>.  This research proposes transformational changes to the way we measure the performance of cities against the national indicators of sustainable; a subset of 15 ‘headline’ indicators, used to summarise the achievement and to determine the ‘quality of life for everyone, now and for future generations to come’</w:t>
      </w:r>
      <w:r w:rsidR="00D535FC">
        <w:rPr>
          <w:sz w:val="20"/>
          <w:szCs w:val="20"/>
        </w:rPr>
        <w:t xml:space="preserve"> [2]</w:t>
      </w:r>
      <w:r w:rsidRPr="001A1976">
        <w:rPr>
          <w:sz w:val="20"/>
          <w:szCs w:val="20"/>
        </w:rPr>
        <w:t xml:space="preserve">.  </w:t>
      </w:r>
    </w:p>
    <w:p w:rsidR="001A1976" w:rsidRPr="001A1976" w:rsidRDefault="001A1976" w:rsidP="001A1976">
      <w:pPr>
        <w:ind w:firstLine="284"/>
        <w:jc w:val="both"/>
        <w:rPr>
          <w:sz w:val="20"/>
          <w:szCs w:val="20"/>
        </w:rPr>
      </w:pPr>
      <w:r w:rsidRPr="001A1976">
        <w:rPr>
          <w:sz w:val="20"/>
          <w:szCs w:val="20"/>
        </w:rPr>
        <w:t xml:space="preserve">A radical new approach is proposed, which uses expertise and methods at the forefront of thinking in </w:t>
      </w:r>
      <w:r w:rsidR="00157A21">
        <w:rPr>
          <w:sz w:val="20"/>
          <w:szCs w:val="20"/>
        </w:rPr>
        <w:t>geographical information systems (GIS)</w:t>
      </w:r>
      <w:r w:rsidRPr="001A1976">
        <w:rPr>
          <w:sz w:val="20"/>
          <w:szCs w:val="20"/>
        </w:rPr>
        <w:t xml:space="preserve"> to analyse communities’ changing and diverse lifestyle trends in relation to mobility, land-</w:t>
      </w:r>
      <w:r w:rsidRPr="001A1976">
        <w:rPr>
          <w:sz w:val="20"/>
          <w:szCs w:val="20"/>
        </w:rPr>
        <w:lastRenderedPageBreak/>
        <w:t>use patterns and structures, density, safety, and amenities and facilities.  Lifestyles are understood as sets of individual responses to the physical and social environment</w:t>
      </w:r>
      <w:r w:rsidR="00E0494F">
        <w:rPr>
          <w:sz w:val="20"/>
          <w:szCs w:val="20"/>
        </w:rPr>
        <w:t xml:space="preserve"> [3]</w:t>
      </w:r>
      <w:r w:rsidRPr="001A1976">
        <w:rPr>
          <w:sz w:val="20"/>
          <w:szCs w:val="20"/>
        </w:rPr>
        <w:t>.  This study develops a modelling framework and tools within which the contribution of lifestyle trends and patterns to urban sustainability is assessed.  The aim is to provide an informed basis for planning urban environments that are socially, economically and environmentally more sustainable.   These issues are of critical importance to the Government's strategy and long-term programme of action for delivering sustainable urban environments agenda, especially in the context of Eco-towns, World class places, Retrofitting existing urban environments, Healthy towns, and Sustainable communities: Building for the future</w:t>
      </w:r>
      <w:r w:rsidR="00E0494F">
        <w:rPr>
          <w:sz w:val="20"/>
          <w:szCs w:val="20"/>
        </w:rPr>
        <w:t xml:space="preserve"> [4]</w:t>
      </w:r>
      <w:r w:rsidRPr="001A1976">
        <w:rPr>
          <w:sz w:val="20"/>
          <w:szCs w:val="20"/>
        </w:rPr>
        <w:t xml:space="preserve">. </w:t>
      </w:r>
    </w:p>
    <w:p w:rsidR="001A1976" w:rsidRPr="001A1976" w:rsidRDefault="001A1976" w:rsidP="001A1976">
      <w:pPr>
        <w:ind w:firstLine="284"/>
        <w:jc w:val="both"/>
        <w:rPr>
          <w:sz w:val="20"/>
          <w:szCs w:val="20"/>
        </w:rPr>
      </w:pPr>
      <w:r w:rsidRPr="001A1976">
        <w:rPr>
          <w:sz w:val="20"/>
          <w:szCs w:val="20"/>
        </w:rPr>
        <w:t>It is increasingly widely recognised that there are essential ‘ingredients’ missing from modern urban environments, leading to the production of areas that meet the basic requirements for shelter, work and leisure, but are generally dull, as well as socially, economically, and environmentally unsustainable.  These problems could affect the Communities and Local Government’s ideal ‘to foster prosperous and cohesive communities, offering a safe, healthy and sustainable environment for all’</w:t>
      </w:r>
      <w:r w:rsidR="00E0494F">
        <w:rPr>
          <w:sz w:val="20"/>
          <w:szCs w:val="20"/>
        </w:rPr>
        <w:t xml:space="preserve"> [5]</w:t>
      </w:r>
      <w:r w:rsidRPr="001A1976">
        <w:rPr>
          <w:sz w:val="20"/>
          <w:szCs w:val="20"/>
        </w:rPr>
        <w:t xml:space="preserve">.  To address these challenges, city developers have sought to determine the ‘essential principles’ and their expression in the forms and structures of modern urban environments.  The solutions have been heavily inspired from historical urban environments, and largely consist of a compact, higher density urban fabric, and mixed uses with shops; businesses and other facilities that are intermingled with dwellings.  </w:t>
      </w:r>
    </w:p>
    <w:p w:rsidR="001A1976" w:rsidRPr="001A1976" w:rsidRDefault="001A1976" w:rsidP="001A1976">
      <w:pPr>
        <w:ind w:firstLine="284"/>
        <w:jc w:val="both"/>
        <w:rPr>
          <w:sz w:val="20"/>
          <w:szCs w:val="20"/>
        </w:rPr>
      </w:pPr>
      <w:r w:rsidRPr="001A1976">
        <w:rPr>
          <w:sz w:val="20"/>
          <w:szCs w:val="20"/>
        </w:rPr>
        <w:t>The move towards sustainable development in the UK (and Europe and USA) is predominantly focused around the creation of more compact, higher density, mixed use urban environments</w:t>
      </w:r>
      <w:r w:rsidR="00E0494F">
        <w:rPr>
          <w:sz w:val="20"/>
          <w:szCs w:val="20"/>
        </w:rPr>
        <w:t xml:space="preserve"> [6</w:t>
      </w:r>
      <w:r w:rsidR="00FA4493">
        <w:rPr>
          <w:sz w:val="20"/>
          <w:szCs w:val="20"/>
        </w:rPr>
        <w:t>]</w:t>
      </w:r>
      <w:r w:rsidRPr="001A1976">
        <w:rPr>
          <w:sz w:val="20"/>
          <w:szCs w:val="20"/>
        </w:rPr>
        <w:t xml:space="preserve">. At the urban level, much of this policy is currently focused on promoting vibrant, </w:t>
      </w:r>
      <w:proofErr w:type="spellStart"/>
      <w:r w:rsidRPr="001A1976">
        <w:rPr>
          <w:sz w:val="20"/>
          <w:szCs w:val="20"/>
        </w:rPr>
        <w:t>walkable</w:t>
      </w:r>
      <w:proofErr w:type="spellEnd"/>
      <w:r w:rsidRPr="001A1976">
        <w:rPr>
          <w:sz w:val="20"/>
          <w:szCs w:val="20"/>
        </w:rPr>
        <w:t xml:space="preserve">, high density neighbourhoods. The assumption being that through enabling multi-functionality through integration of land uses, </w:t>
      </w:r>
      <w:proofErr w:type="spellStart"/>
      <w:r w:rsidRPr="001A1976">
        <w:rPr>
          <w:sz w:val="20"/>
          <w:szCs w:val="20"/>
        </w:rPr>
        <w:t>walkable</w:t>
      </w:r>
      <w:proofErr w:type="spellEnd"/>
      <w:r w:rsidRPr="001A1976">
        <w:rPr>
          <w:sz w:val="20"/>
          <w:szCs w:val="20"/>
        </w:rPr>
        <w:t xml:space="preserve"> access to local facilities such as schools, shops, and employment, there would be a reduction in car use and hence climate change emissions. The increase in walking would promote healthier lifestyles, reducing obesity and health problems, and the increase vibrancy of local areas helps with social capital, reduces isolation and helps with a number mental illnesses.</w:t>
      </w:r>
    </w:p>
    <w:p w:rsidR="00400214" w:rsidRDefault="001A1976" w:rsidP="007F02EB">
      <w:pPr>
        <w:ind w:firstLine="284"/>
        <w:jc w:val="both"/>
        <w:rPr>
          <w:sz w:val="20"/>
          <w:szCs w:val="20"/>
        </w:rPr>
      </w:pPr>
      <w:r w:rsidRPr="001A1976">
        <w:rPr>
          <w:sz w:val="20"/>
          <w:szCs w:val="20"/>
        </w:rPr>
        <w:t xml:space="preserve">Despite these efforts, modern developments that have been planned and designed, following ‘sustainability principles’, are still failing to match the liveliness and economic vitality of historic environments.  A criticism of prevailing urban planning and design approaches is that they have considered cities as an artefact, so even if planned environments are designed for growth and change, it is often assumed that each phase as a rationally planned unit, taking place, within a predetermined timescale, within the ordering framework of the large city system.  This approach has often meant that the nature, size and location of amenities and facilities often comply with concepts of rationally organised communities, and a hierarchically ordered relationship within a city system.  However, emerging evidence confirms that the notion that the patterns of resource use and standards of liveability are not only determined by a neighbourhood's catchment area, geographical location, and the level of social </w:t>
      </w:r>
      <w:r w:rsidRPr="001A1976">
        <w:rPr>
          <w:sz w:val="20"/>
          <w:szCs w:val="20"/>
        </w:rPr>
        <w:lastRenderedPageBreak/>
        <w:t xml:space="preserve">cohesion and self-governance experienced within the community.  It seems that there are variables at work that transcend the reach </w:t>
      </w:r>
      <w:r w:rsidR="00400214">
        <w:rPr>
          <w:sz w:val="20"/>
          <w:szCs w:val="20"/>
        </w:rPr>
        <w:t xml:space="preserve">of physical and social planning.  </w:t>
      </w:r>
    </w:p>
    <w:p w:rsidR="007F02EB" w:rsidRDefault="00400214" w:rsidP="007F02EB">
      <w:pPr>
        <w:ind w:firstLine="284"/>
        <w:jc w:val="both"/>
        <w:rPr>
          <w:sz w:val="20"/>
          <w:szCs w:val="20"/>
        </w:rPr>
      </w:pPr>
      <w:r>
        <w:rPr>
          <w:sz w:val="20"/>
          <w:szCs w:val="20"/>
        </w:rPr>
        <w:t xml:space="preserve">In </w:t>
      </w:r>
      <w:r w:rsidR="00F60465">
        <w:rPr>
          <w:sz w:val="20"/>
          <w:szCs w:val="20"/>
        </w:rPr>
        <w:t>the</w:t>
      </w:r>
      <w:r>
        <w:rPr>
          <w:sz w:val="20"/>
          <w:szCs w:val="20"/>
        </w:rPr>
        <w:t xml:space="preserve"> quest to discover the </w:t>
      </w:r>
      <w:r w:rsidR="00F60465">
        <w:rPr>
          <w:sz w:val="20"/>
          <w:szCs w:val="20"/>
        </w:rPr>
        <w:t>properties</w:t>
      </w:r>
      <w:r>
        <w:rPr>
          <w:sz w:val="20"/>
          <w:szCs w:val="20"/>
        </w:rPr>
        <w:t xml:space="preserve"> of old towns, which gave them life, </w:t>
      </w:r>
      <w:r w:rsidR="00F60465">
        <w:rPr>
          <w:sz w:val="20"/>
          <w:szCs w:val="20"/>
        </w:rPr>
        <w:t xml:space="preserve">some sought to rediscover the </w:t>
      </w:r>
      <w:r w:rsidR="00F60465" w:rsidRPr="00F60465">
        <w:rPr>
          <w:sz w:val="20"/>
          <w:szCs w:val="20"/>
        </w:rPr>
        <w:t>hidden order that supports the formation of `spontaneous' and organic cities</w:t>
      </w:r>
      <w:r w:rsidR="00F60465">
        <w:rPr>
          <w:sz w:val="20"/>
          <w:szCs w:val="20"/>
        </w:rPr>
        <w:t xml:space="preserve"> [8]. </w:t>
      </w:r>
      <w:r w:rsidR="001606DD">
        <w:rPr>
          <w:sz w:val="20"/>
          <w:szCs w:val="20"/>
        </w:rPr>
        <w:t>Christopher Alexander [</w:t>
      </w:r>
      <w:r w:rsidR="00F60465">
        <w:rPr>
          <w:sz w:val="20"/>
          <w:szCs w:val="20"/>
        </w:rPr>
        <w:t>9</w:t>
      </w:r>
      <w:r w:rsidR="007F02EB">
        <w:rPr>
          <w:sz w:val="20"/>
          <w:szCs w:val="20"/>
        </w:rPr>
        <w:t>] challenged the</w:t>
      </w:r>
      <w:r>
        <w:rPr>
          <w:sz w:val="20"/>
          <w:szCs w:val="20"/>
        </w:rPr>
        <w:t xml:space="preserve"> simplistic modern conception of cities as tree structures, which made hindered interconnection between the social, economic and physical components of city life.  Instead, he proposed the principle of semi-lattice, which consists of </w:t>
      </w:r>
      <w:r w:rsidR="000259FC">
        <w:rPr>
          <w:sz w:val="20"/>
          <w:szCs w:val="20"/>
        </w:rPr>
        <w:t xml:space="preserve">complex overlapping sets.  It is the overlap between social and economic activities, and the physical spaces that support them that provide city vitality.  </w:t>
      </w:r>
      <w:r>
        <w:rPr>
          <w:sz w:val="20"/>
          <w:szCs w:val="20"/>
        </w:rPr>
        <w:t xml:space="preserve"> </w:t>
      </w:r>
    </w:p>
    <w:p w:rsidR="001A1976" w:rsidRPr="001A1976" w:rsidRDefault="001A1976" w:rsidP="001A1976">
      <w:pPr>
        <w:ind w:firstLine="284"/>
        <w:jc w:val="both"/>
        <w:rPr>
          <w:sz w:val="20"/>
          <w:szCs w:val="20"/>
        </w:rPr>
      </w:pPr>
      <w:r w:rsidRPr="001A1976">
        <w:rPr>
          <w:sz w:val="20"/>
          <w:szCs w:val="20"/>
        </w:rPr>
        <w:t>Consequently, blueprint models often do not fully reflect communities’ behavioural patterns within the community and with other communities, travel demand, as well as attitudinal responses to the provision of resources or infrastructure</w:t>
      </w:r>
      <w:r w:rsidR="00BD1230">
        <w:rPr>
          <w:sz w:val="20"/>
          <w:szCs w:val="20"/>
        </w:rPr>
        <w:t xml:space="preserve"> [</w:t>
      </w:r>
      <w:r w:rsidR="00F60465">
        <w:rPr>
          <w:sz w:val="20"/>
          <w:szCs w:val="20"/>
        </w:rPr>
        <w:t>10</w:t>
      </w:r>
      <w:r w:rsidR="00BD1230">
        <w:rPr>
          <w:sz w:val="20"/>
          <w:szCs w:val="20"/>
        </w:rPr>
        <w:t>], [1</w:t>
      </w:r>
      <w:r w:rsidR="00F60465">
        <w:rPr>
          <w:sz w:val="20"/>
          <w:szCs w:val="20"/>
        </w:rPr>
        <w:t>1</w:t>
      </w:r>
      <w:r w:rsidR="00BD1230">
        <w:rPr>
          <w:sz w:val="20"/>
          <w:szCs w:val="20"/>
        </w:rPr>
        <w:t>], [1</w:t>
      </w:r>
      <w:r w:rsidR="00F60465">
        <w:rPr>
          <w:sz w:val="20"/>
          <w:szCs w:val="20"/>
        </w:rPr>
        <w:t>2</w:t>
      </w:r>
      <w:r w:rsidR="00BD1230">
        <w:rPr>
          <w:sz w:val="20"/>
          <w:szCs w:val="20"/>
        </w:rPr>
        <w:t>]</w:t>
      </w:r>
      <w:r w:rsidRPr="001A1976">
        <w:rPr>
          <w:sz w:val="20"/>
          <w:szCs w:val="20"/>
        </w:rPr>
        <w:t>.   The sustainability issue is not fully understood as a result of individual and collective human behaviour.  Another limitation of the current approach is that city plans are often devised independently of other key stakeholders that actually build, manage, or use them.  This represents a challenge in its own right as it leads to unsustainable solutions because the essential learning process has not been understood.</w:t>
      </w:r>
    </w:p>
    <w:p w:rsidR="001A1976" w:rsidRDefault="001A1976" w:rsidP="001A1976">
      <w:pPr>
        <w:ind w:firstLine="284"/>
        <w:jc w:val="both"/>
        <w:rPr>
          <w:sz w:val="20"/>
          <w:szCs w:val="20"/>
        </w:rPr>
      </w:pPr>
      <w:r w:rsidRPr="001A1976">
        <w:rPr>
          <w:sz w:val="20"/>
          <w:szCs w:val="20"/>
        </w:rPr>
        <w:t xml:space="preserve">At present there is much rhetoric towards sustainable development, yet it has been difficult to provide ‘evidence’ of its sustainable performance against sustainability indicators.   The creation and refinement of a rigorous and objective examination of development will be a powerful medium for those involved with procuring sustainable development. </w:t>
      </w:r>
    </w:p>
    <w:p w:rsidR="0010693C" w:rsidRDefault="0010693C" w:rsidP="0010693C">
      <w:r>
        <w:rPr>
          <w:rFonts w:ascii="Arial" w:hAnsi="Arial" w:cs="Arial"/>
          <w:noProof/>
          <w:color w:val="2200C1"/>
          <w:sz w:val="27"/>
          <w:szCs w:val="27"/>
        </w:rPr>
        <w:drawing>
          <wp:inline distT="0" distB="0" distL="0" distR="0">
            <wp:extent cx="981534" cy="1836000"/>
            <wp:effectExtent l="19050" t="0" r="9066" b="0"/>
            <wp:docPr id="30" name="rg_hi" descr="http://t2.gstatic.com/images?q=tbn:ANd9GcTavb8P-9LWpOySZKcuiRwwH8qoUDnA3sxNYGQd3W-b0pMV8OeF">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2.gstatic.com/images?q=tbn:ANd9GcTavb8P-9LWpOySZKcuiRwwH8qoUDnA3sxNYGQd3W-b0pMV8OeF">
                      <a:hlinkClick r:id="rId8"/>
                    </pic:cNvPr>
                    <pic:cNvPicPr>
                      <a:picLocks noChangeAspect="1" noChangeArrowheads="1"/>
                    </pic:cNvPicPr>
                  </pic:nvPicPr>
                  <pic:blipFill>
                    <a:blip r:embed="rId9" cstate="print">
                      <a:lum bright="60000"/>
                    </a:blip>
                    <a:srcRect/>
                    <a:stretch>
                      <a:fillRect/>
                    </a:stretch>
                  </pic:blipFill>
                  <pic:spPr bwMode="auto">
                    <a:xfrm>
                      <a:off x="0" y="0"/>
                      <a:ext cx="981534" cy="1836000"/>
                    </a:xfrm>
                    <a:prstGeom prst="rect">
                      <a:avLst/>
                    </a:prstGeom>
                    <a:noFill/>
                    <a:ln w="9525">
                      <a:noFill/>
                      <a:miter lim="800000"/>
                      <a:headEnd/>
                      <a:tailEnd/>
                    </a:ln>
                  </pic:spPr>
                </pic:pic>
              </a:graphicData>
            </a:graphic>
          </wp:inline>
        </w:drawing>
      </w:r>
      <w:r>
        <w:rPr>
          <w:rFonts w:ascii="Arial" w:hAnsi="Arial" w:cs="Arial"/>
          <w:noProof/>
          <w:color w:val="2200C1"/>
          <w:sz w:val="27"/>
          <w:szCs w:val="27"/>
        </w:rPr>
        <w:drawing>
          <wp:inline distT="0" distB="0" distL="0" distR="0">
            <wp:extent cx="1059331" cy="1836000"/>
            <wp:effectExtent l="19050" t="0" r="7469" b="0"/>
            <wp:docPr id="31" name="rg_hi" descr="http://t1.gstatic.com/images?q=tbn:ANd9GcRn3dZBfw2_dJ1lNfoiPDjAZt5WDwnddwbZuiAef4P6VmPpeE1i">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1.gstatic.com/images?q=tbn:ANd9GcRn3dZBfw2_dJ1lNfoiPDjAZt5WDwnddwbZuiAef4P6VmPpeE1i">
                      <a:hlinkClick r:id="rId10"/>
                    </pic:cNvPr>
                    <pic:cNvPicPr>
                      <a:picLocks noChangeAspect="1" noChangeArrowheads="1"/>
                    </pic:cNvPicPr>
                  </pic:nvPicPr>
                  <pic:blipFill>
                    <a:blip r:embed="rId11" cstate="print">
                      <a:lum bright="60000"/>
                    </a:blip>
                    <a:srcRect/>
                    <a:stretch>
                      <a:fillRect/>
                    </a:stretch>
                  </pic:blipFill>
                  <pic:spPr bwMode="auto">
                    <a:xfrm>
                      <a:off x="0" y="0"/>
                      <a:ext cx="1059331" cy="1836000"/>
                    </a:xfrm>
                    <a:prstGeom prst="rect">
                      <a:avLst/>
                    </a:prstGeom>
                    <a:noFill/>
                    <a:ln w="9525">
                      <a:noFill/>
                      <a:miter lim="800000"/>
                      <a:headEnd/>
                      <a:tailEnd/>
                    </a:ln>
                  </pic:spPr>
                </pic:pic>
              </a:graphicData>
            </a:graphic>
          </wp:inline>
        </w:drawing>
      </w:r>
    </w:p>
    <w:p w:rsidR="00F60465" w:rsidRDefault="00F60465" w:rsidP="001A1976">
      <w:pPr>
        <w:jc w:val="both"/>
        <w:rPr>
          <w:b/>
          <w:iCs/>
          <w:sz w:val="20"/>
          <w:szCs w:val="20"/>
        </w:rPr>
      </w:pPr>
      <w:r>
        <w:rPr>
          <w:sz w:val="20"/>
          <w:szCs w:val="20"/>
        </w:rPr>
        <w:t xml:space="preserve">Figure 1: </w:t>
      </w:r>
      <w:r w:rsidR="007C7928">
        <w:rPr>
          <w:sz w:val="20"/>
          <w:szCs w:val="20"/>
        </w:rPr>
        <w:t xml:space="preserve">The City is not a tree </w:t>
      </w:r>
      <w:r>
        <w:rPr>
          <w:sz w:val="20"/>
          <w:szCs w:val="20"/>
        </w:rPr>
        <w:t>[9]</w:t>
      </w:r>
    </w:p>
    <w:p w:rsidR="00F60465" w:rsidRPr="00F60465" w:rsidRDefault="00F60465" w:rsidP="001A1976">
      <w:pPr>
        <w:jc w:val="both"/>
        <w:rPr>
          <w:sz w:val="20"/>
          <w:szCs w:val="20"/>
        </w:rPr>
      </w:pPr>
    </w:p>
    <w:p w:rsidR="00F60465" w:rsidRPr="00F60465" w:rsidRDefault="00F60465" w:rsidP="00E8794A">
      <w:pPr>
        <w:ind w:firstLine="284"/>
        <w:jc w:val="both"/>
        <w:rPr>
          <w:sz w:val="20"/>
          <w:szCs w:val="20"/>
        </w:rPr>
      </w:pPr>
      <w:r w:rsidRPr="00F60465">
        <w:rPr>
          <w:sz w:val="20"/>
          <w:szCs w:val="20"/>
        </w:rPr>
        <w:t xml:space="preserve">Recent </w:t>
      </w:r>
      <w:r>
        <w:rPr>
          <w:sz w:val="20"/>
          <w:szCs w:val="20"/>
        </w:rPr>
        <w:t xml:space="preserve">research efforts </w:t>
      </w:r>
      <w:r w:rsidR="00AC1598">
        <w:rPr>
          <w:sz w:val="20"/>
          <w:szCs w:val="20"/>
        </w:rPr>
        <w:t xml:space="preserve">have concentrated on </w:t>
      </w:r>
      <w:r w:rsidR="00E3795A">
        <w:rPr>
          <w:sz w:val="20"/>
          <w:szCs w:val="20"/>
        </w:rPr>
        <w:t>determining natural</w:t>
      </w:r>
      <w:r w:rsidR="00E3795A" w:rsidRPr="00E3795A">
        <w:rPr>
          <w:sz w:val="20"/>
          <w:szCs w:val="20"/>
        </w:rPr>
        <w:t xml:space="preserve"> strategies of urban planning beyond the modernistic heritage</w:t>
      </w:r>
      <w:r w:rsidR="00E3795A">
        <w:rPr>
          <w:sz w:val="20"/>
          <w:szCs w:val="20"/>
        </w:rPr>
        <w:t xml:space="preserve"> [13]</w:t>
      </w:r>
      <w:r w:rsidR="00E3795A" w:rsidRPr="00E3795A">
        <w:rPr>
          <w:sz w:val="20"/>
          <w:szCs w:val="20"/>
        </w:rPr>
        <w:t>.</w:t>
      </w:r>
      <w:r w:rsidR="00E3795A">
        <w:rPr>
          <w:sz w:val="20"/>
          <w:szCs w:val="20"/>
        </w:rPr>
        <w:t xml:space="preserve">  C</w:t>
      </w:r>
      <w:r w:rsidR="00AC1598">
        <w:rPr>
          <w:sz w:val="20"/>
          <w:szCs w:val="20"/>
        </w:rPr>
        <w:t xml:space="preserve">oncepts such as centrality </w:t>
      </w:r>
      <w:r w:rsidR="00E3795A">
        <w:rPr>
          <w:sz w:val="20"/>
          <w:szCs w:val="20"/>
        </w:rPr>
        <w:t xml:space="preserve">were proposed as key to explaining how urban environments work and cities develop.  It was claimed that central places have the necessary </w:t>
      </w:r>
      <w:r w:rsidR="007243CE">
        <w:rPr>
          <w:sz w:val="20"/>
          <w:szCs w:val="20"/>
        </w:rPr>
        <w:t>properties</w:t>
      </w:r>
      <w:r w:rsidR="00AC1598">
        <w:rPr>
          <w:sz w:val="20"/>
          <w:szCs w:val="20"/>
        </w:rPr>
        <w:t xml:space="preserve"> </w:t>
      </w:r>
      <w:r w:rsidR="007243CE">
        <w:rPr>
          <w:sz w:val="20"/>
          <w:szCs w:val="20"/>
        </w:rPr>
        <w:t>that allow them t</w:t>
      </w:r>
      <w:r w:rsidR="00AC1598" w:rsidRPr="00AC1598">
        <w:rPr>
          <w:sz w:val="20"/>
          <w:szCs w:val="20"/>
        </w:rPr>
        <w:t>o attract more customers and ha</w:t>
      </w:r>
      <w:r w:rsidR="007243CE">
        <w:rPr>
          <w:sz w:val="20"/>
          <w:szCs w:val="20"/>
        </w:rPr>
        <w:t>ve</w:t>
      </w:r>
      <w:r w:rsidR="00AC1598" w:rsidRPr="00AC1598">
        <w:rPr>
          <w:sz w:val="20"/>
          <w:szCs w:val="20"/>
        </w:rPr>
        <w:t xml:space="preserve"> a greater potential to </w:t>
      </w:r>
      <w:r w:rsidR="007243CE">
        <w:rPr>
          <w:sz w:val="20"/>
          <w:szCs w:val="20"/>
        </w:rPr>
        <w:t xml:space="preserve">become </w:t>
      </w:r>
      <w:r w:rsidR="00EF33F8">
        <w:rPr>
          <w:sz w:val="20"/>
          <w:szCs w:val="20"/>
        </w:rPr>
        <w:t>social hub</w:t>
      </w:r>
      <w:r w:rsidR="007243CE">
        <w:rPr>
          <w:sz w:val="20"/>
          <w:szCs w:val="20"/>
        </w:rPr>
        <w:t>s</w:t>
      </w:r>
      <w:r w:rsidR="00EF33F8">
        <w:rPr>
          <w:sz w:val="20"/>
          <w:szCs w:val="20"/>
        </w:rPr>
        <w:t xml:space="preserve"> [13].</w:t>
      </w:r>
      <w:r w:rsidR="00AC1598">
        <w:rPr>
          <w:sz w:val="20"/>
          <w:szCs w:val="20"/>
        </w:rPr>
        <w:t xml:space="preserve"> </w:t>
      </w:r>
      <w:r w:rsidR="00AC1598" w:rsidRPr="00AC1598">
        <w:rPr>
          <w:sz w:val="20"/>
          <w:szCs w:val="20"/>
        </w:rPr>
        <w:t xml:space="preserve"> </w:t>
      </w:r>
    </w:p>
    <w:p w:rsidR="001A1976" w:rsidRPr="001A1976" w:rsidRDefault="008C4225" w:rsidP="00E8794A">
      <w:pPr>
        <w:spacing w:before="120" w:after="120"/>
        <w:jc w:val="both"/>
        <w:rPr>
          <w:b/>
          <w:iCs/>
          <w:sz w:val="20"/>
          <w:szCs w:val="20"/>
        </w:rPr>
      </w:pPr>
      <w:r w:rsidRPr="001A1976">
        <w:rPr>
          <w:b/>
          <w:iCs/>
          <w:sz w:val="20"/>
          <w:szCs w:val="20"/>
        </w:rPr>
        <w:lastRenderedPageBreak/>
        <w:t>1.1</w:t>
      </w:r>
      <w:r w:rsidR="00F85554" w:rsidRPr="001A1976">
        <w:rPr>
          <w:b/>
          <w:iCs/>
          <w:sz w:val="20"/>
          <w:szCs w:val="20"/>
        </w:rPr>
        <w:t xml:space="preserve"> </w:t>
      </w:r>
      <w:r w:rsidR="001A1976" w:rsidRPr="001A1976">
        <w:rPr>
          <w:b/>
          <w:iCs/>
          <w:sz w:val="20"/>
          <w:szCs w:val="20"/>
        </w:rPr>
        <w:t>Aims and objectives</w:t>
      </w:r>
    </w:p>
    <w:p w:rsidR="00A33505" w:rsidRDefault="00EF33F8" w:rsidP="007A6978">
      <w:pPr>
        <w:jc w:val="both"/>
        <w:rPr>
          <w:sz w:val="20"/>
          <w:szCs w:val="20"/>
        </w:rPr>
      </w:pPr>
      <w:r>
        <w:rPr>
          <w:sz w:val="20"/>
          <w:szCs w:val="20"/>
        </w:rPr>
        <w:t>The focus of the research is</w:t>
      </w:r>
      <w:r w:rsidR="00412001" w:rsidRPr="00412001">
        <w:rPr>
          <w:sz w:val="20"/>
          <w:szCs w:val="20"/>
        </w:rPr>
        <w:t xml:space="preserve"> to address the limitations of prevailing planning and urban design methods and instruments, and develop instead new ways of examining the congruence between the planning and design of urban environments, and patterns of urban living in order to elaborate appropriate solutions to support sustainability practices.  This understanding should be based on the social, economic and physical realities of the communities and the environment in which they live, as well as the interaction with other communities, and the city as a whole.  </w:t>
      </w:r>
      <w:r w:rsidR="00A33505">
        <w:rPr>
          <w:sz w:val="20"/>
          <w:szCs w:val="20"/>
        </w:rPr>
        <w:t xml:space="preserve">The contention of this study </w:t>
      </w:r>
      <w:r w:rsidR="00A33505" w:rsidRPr="00A33505">
        <w:rPr>
          <w:sz w:val="20"/>
          <w:szCs w:val="20"/>
        </w:rPr>
        <w:t>is that</w:t>
      </w:r>
      <w:r w:rsidR="00A33505">
        <w:rPr>
          <w:sz w:val="20"/>
          <w:szCs w:val="20"/>
        </w:rPr>
        <w:t xml:space="preserve"> </w:t>
      </w:r>
      <w:r w:rsidR="00106F5A">
        <w:rPr>
          <w:sz w:val="20"/>
          <w:szCs w:val="20"/>
        </w:rPr>
        <w:t>an improved understanding of the</w:t>
      </w:r>
      <w:r w:rsidR="007C7928">
        <w:rPr>
          <w:sz w:val="20"/>
          <w:szCs w:val="20"/>
        </w:rPr>
        <w:t xml:space="preserve"> interaction between urban spaces and </w:t>
      </w:r>
      <w:r w:rsidR="00A33505">
        <w:rPr>
          <w:sz w:val="20"/>
          <w:szCs w:val="20"/>
        </w:rPr>
        <w:t>activities and lifestyles</w:t>
      </w:r>
      <w:r w:rsidR="00A33505" w:rsidRPr="00A33505">
        <w:rPr>
          <w:sz w:val="20"/>
          <w:szCs w:val="20"/>
        </w:rPr>
        <w:t xml:space="preserve"> </w:t>
      </w:r>
      <w:r w:rsidR="00106F5A">
        <w:rPr>
          <w:sz w:val="20"/>
          <w:szCs w:val="20"/>
        </w:rPr>
        <w:t>provides a better insight</w:t>
      </w:r>
      <w:r w:rsidR="00A33505" w:rsidRPr="00A33505">
        <w:rPr>
          <w:sz w:val="20"/>
          <w:szCs w:val="20"/>
        </w:rPr>
        <w:t xml:space="preserve"> </w:t>
      </w:r>
      <w:r w:rsidR="00106F5A">
        <w:rPr>
          <w:sz w:val="20"/>
          <w:szCs w:val="20"/>
        </w:rPr>
        <w:t xml:space="preserve">into the </w:t>
      </w:r>
      <w:r w:rsidR="00A33505" w:rsidRPr="00A33505">
        <w:rPr>
          <w:sz w:val="20"/>
          <w:szCs w:val="20"/>
        </w:rPr>
        <w:t xml:space="preserve">essence of </w:t>
      </w:r>
      <w:r w:rsidR="00106F5A">
        <w:rPr>
          <w:sz w:val="20"/>
          <w:szCs w:val="20"/>
        </w:rPr>
        <w:t>urban sustainability.</w:t>
      </w:r>
    </w:p>
    <w:p w:rsidR="00412001" w:rsidRPr="00412001" w:rsidRDefault="00412001" w:rsidP="00412001">
      <w:pPr>
        <w:ind w:firstLine="284"/>
        <w:jc w:val="both"/>
        <w:rPr>
          <w:sz w:val="20"/>
          <w:szCs w:val="20"/>
        </w:rPr>
      </w:pPr>
      <w:r w:rsidRPr="00412001">
        <w:rPr>
          <w:sz w:val="20"/>
          <w:szCs w:val="20"/>
        </w:rPr>
        <w:t xml:space="preserve">Harnessing the power of </w:t>
      </w:r>
      <w:r w:rsidR="00157A21">
        <w:rPr>
          <w:sz w:val="20"/>
          <w:szCs w:val="20"/>
        </w:rPr>
        <w:t>GIS</w:t>
      </w:r>
      <w:r w:rsidRPr="00412001">
        <w:rPr>
          <w:sz w:val="20"/>
          <w:szCs w:val="20"/>
        </w:rPr>
        <w:t>, this research proposes a paradigm shift in the process of understanding cities away from fixed blueprints towards complex systems of interactive networks that work at different scales. This project seeks to push forward the state of the art in the measurement of urban sustainability against NI, by meeting the following objectives:</w:t>
      </w:r>
    </w:p>
    <w:p w:rsidR="00412001" w:rsidRPr="00412001" w:rsidRDefault="00412001" w:rsidP="00412001">
      <w:pPr>
        <w:pStyle w:val="ListParagraph"/>
        <w:numPr>
          <w:ilvl w:val="0"/>
          <w:numId w:val="17"/>
        </w:numPr>
        <w:ind w:left="284" w:hanging="284"/>
        <w:jc w:val="both"/>
        <w:rPr>
          <w:sz w:val="20"/>
          <w:szCs w:val="20"/>
        </w:rPr>
      </w:pPr>
      <w:r w:rsidRPr="00412001">
        <w:rPr>
          <w:sz w:val="20"/>
          <w:szCs w:val="20"/>
        </w:rPr>
        <w:t>evaluat</w:t>
      </w:r>
      <w:r w:rsidR="00EF33F8">
        <w:rPr>
          <w:sz w:val="20"/>
          <w:szCs w:val="20"/>
        </w:rPr>
        <w:t>e</w:t>
      </w:r>
      <w:r w:rsidRPr="00412001">
        <w:rPr>
          <w:sz w:val="20"/>
          <w:szCs w:val="20"/>
        </w:rPr>
        <w:t xml:space="preserve"> evidence on the association between lifestyles and urban environments;</w:t>
      </w:r>
    </w:p>
    <w:p w:rsidR="00412001" w:rsidRPr="00412001" w:rsidRDefault="00412001" w:rsidP="00412001">
      <w:pPr>
        <w:pStyle w:val="ListParagraph"/>
        <w:numPr>
          <w:ilvl w:val="0"/>
          <w:numId w:val="17"/>
        </w:numPr>
        <w:ind w:left="284" w:hanging="284"/>
        <w:jc w:val="both"/>
        <w:rPr>
          <w:sz w:val="20"/>
          <w:szCs w:val="20"/>
        </w:rPr>
      </w:pPr>
      <w:r w:rsidRPr="00412001">
        <w:rPr>
          <w:sz w:val="20"/>
          <w:szCs w:val="20"/>
        </w:rPr>
        <w:t>produc</w:t>
      </w:r>
      <w:r w:rsidR="00EF33F8">
        <w:rPr>
          <w:sz w:val="20"/>
          <w:szCs w:val="20"/>
        </w:rPr>
        <w:t>e</w:t>
      </w:r>
      <w:r w:rsidRPr="00412001">
        <w:rPr>
          <w:sz w:val="20"/>
          <w:szCs w:val="20"/>
        </w:rPr>
        <w:t xml:space="preserve"> analysis tools, which integrate lifestyle trends and urban environment characteristics;</w:t>
      </w:r>
    </w:p>
    <w:p w:rsidR="00412001" w:rsidRPr="00412001" w:rsidRDefault="00412001" w:rsidP="00412001">
      <w:pPr>
        <w:pStyle w:val="ListParagraph"/>
        <w:numPr>
          <w:ilvl w:val="0"/>
          <w:numId w:val="17"/>
        </w:numPr>
        <w:ind w:left="284" w:hanging="284"/>
        <w:jc w:val="both"/>
        <w:rPr>
          <w:sz w:val="20"/>
          <w:szCs w:val="20"/>
        </w:rPr>
      </w:pPr>
      <w:r w:rsidRPr="00412001">
        <w:rPr>
          <w:sz w:val="20"/>
          <w:szCs w:val="20"/>
        </w:rPr>
        <w:t xml:space="preserve">develop </w:t>
      </w:r>
      <w:r w:rsidR="00EF33F8">
        <w:rPr>
          <w:sz w:val="20"/>
          <w:szCs w:val="20"/>
        </w:rPr>
        <w:t>evidence based approach</w:t>
      </w:r>
      <w:r w:rsidRPr="00412001">
        <w:rPr>
          <w:sz w:val="20"/>
          <w:szCs w:val="20"/>
        </w:rPr>
        <w:t xml:space="preserve"> for determining urban sustainability compliance with NI;</w:t>
      </w:r>
    </w:p>
    <w:p w:rsidR="00412001" w:rsidRPr="00E8794A" w:rsidRDefault="00412001" w:rsidP="00B122CC">
      <w:pPr>
        <w:pStyle w:val="ListParagraph"/>
        <w:numPr>
          <w:ilvl w:val="0"/>
          <w:numId w:val="17"/>
        </w:numPr>
        <w:ind w:left="284" w:hanging="284"/>
        <w:jc w:val="both"/>
        <w:rPr>
          <w:sz w:val="20"/>
          <w:szCs w:val="20"/>
        </w:rPr>
      </w:pPr>
      <w:proofErr w:type="gramStart"/>
      <w:r w:rsidRPr="00412001">
        <w:rPr>
          <w:sz w:val="20"/>
          <w:szCs w:val="20"/>
        </w:rPr>
        <w:t>validat</w:t>
      </w:r>
      <w:r w:rsidR="00EF33F8">
        <w:rPr>
          <w:sz w:val="20"/>
          <w:szCs w:val="20"/>
        </w:rPr>
        <w:t>e</w:t>
      </w:r>
      <w:proofErr w:type="gramEnd"/>
      <w:r w:rsidRPr="00412001">
        <w:rPr>
          <w:sz w:val="20"/>
          <w:szCs w:val="20"/>
        </w:rPr>
        <w:t xml:space="preserve"> the proposed </w:t>
      </w:r>
      <w:r w:rsidR="00EF33F8">
        <w:rPr>
          <w:sz w:val="20"/>
          <w:szCs w:val="20"/>
        </w:rPr>
        <w:t>approach</w:t>
      </w:r>
      <w:r w:rsidRPr="00412001">
        <w:rPr>
          <w:sz w:val="20"/>
          <w:szCs w:val="20"/>
        </w:rPr>
        <w:t xml:space="preserve"> in real-life situations.</w:t>
      </w:r>
    </w:p>
    <w:p w:rsidR="00B122CC" w:rsidRDefault="00B122CC" w:rsidP="00CE1AA0">
      <w:pPr>
        <w:pStyle w:val="Heading1"/>
        <w:numPr>
          <w:ilvl w:val="0"/>
          <w:numId w:val="9"/>
        </w:numPr>
        <w:spacing w:after="120"/>
        <w:ind w:left="357" w:hanging="357"/>
      </w:pPr>
      <w:r w:rsidRPr="00CE6156">
        <w:t>Methodology</w:t>
      </w:r>
    </w:p>
    <w:p w:rsidR="007A6978" w:rsidRDefault="007838AA" w:rsidP="00E8794A">
      <w:pPr>
        <w:jc w:val="both"/>
        <w:rPr>
          <w:sz w:val="20"/>
          <w:szCs w:val="20"/>
        </w:rPr>
      </w:pPr>
      <w:r w:rsidRPr="007838AA">
        <w:rPr>
          <w:sz w:val="20"/>
          <w:szCs w:val="20"/>
        </w:rPr>
        <w:t>The three pillars of social, economic and environmental sustainability have recently att</w:t>
      </w:r>
      <w:r w:rsidR="00210C2B">
        <w:rPr>
          <w:sz w:val="20"/>
          <w:szCs w:val="20"/>
        </w:rPr>
        <w:t>racted a great deal of research</w:t>
      </w:r>
      <w:r w:rsidR="00106F5A">
        <w:rPr>
          <w:sz w:val="20"/>
          <w:szCs w:val="20"/>
        </w:rPr>
        <w:t xml:space="preserve">, </w:t>
      </w:r>
      <w:r w:rsidRPr="007838AA">
        <w:rPr>
          <w:sz w:val="20"/>
          <w:szCs w:val="20"/>
        </w:rPr>
        <w:t xml:space="preserve">and have, as a result, become better understood. Improvements in methodologies for measuring and capturing data for the UK’s sustainability indicators means there is now a wealth of accurate and reliable approaches to assess sustainability levels. However the majority of these indicators focus on one aspect of sustainability at a time, for example transport, energy use or carbon emissions. An understanding of these issues in a unified approach is required. This has proven difficult to achieve in practice, as many researchers might be experts in their field, but not all of the different fields. These sustainability systems are too complex to be understood by individual professionals.  Clearly, decision making in situations of a considerable complexity is often difficult to make by a single mental act.  This raises the problem of planners and urban designers’ ability to solve the intricacies of communities’ lifestyles and urban environments interactions by intuitive means or conventional instruments.  </w:t>
      </w:r>
    </w:p>
    <w:p w:rsidR="006C5F82" w:rsidRDefault="007838AA" w:rsidP="007A6978">
      <w:pPr>
        <w:ind w:firstLine="284"/>
        <w:jc w:val="both"/>
        <w:rPr>
          <w:sz w:val="20"/>
          <w:szCs w:val="20"/>
        </w:rPr>
      </w:pPr>
      <w:r w:rsidRPr="007838AA">
        <w:rPr>
          <w:sz w:val="20"/>
          <w:szCs w:val="20"/>
        </w:rPr>
        <w:t xml:space="preserve">One of the key objectives of the research </w:t>
      </w:r>
      <w:r w:rsidR="007A6978">
        <w:rPr>
          <w:sz w:val="20"/>
          <w:szCs w:val="20"/>
        </w:rPr>
        <w:t>is</w:t>
      </w:r>
      <w:r w:rsidRPr="007838AA">
        <w:rPr>
          <w:sz w:val="20"/>
          <w:szCs w:val="20"/>
        </w:rPr>
        <w:t xml:space="preserve"> to evaluate and co-ordinate the multiple sustainability indicators into a unified and transparent system for assessing sustainability.  The research proposes a series of analytical methods and tools to shed light on how </w:t>
      </w:r>
      <w:r w:rsidR="00187073">
        <w:rPr>
          <w:sz w:val="20"/>
          <w:szCs w:val="20"/>
        </w:rPr>
        <w:t xml:space="preserve">activities and </w:t>
      </w:r>
      <w:r w:rsidRPr="007838AA">
        <w:rPr>
          <w:sz w:val="20"/>
          <w:szCs w:val="20"/>
        </w:rPr>
        <w:t xml:space="preserve">lifestyle trends and patterns manifest in urban sustainability.  </w:t>
      </w:r>
      <w:r w:rsidR="00E175CF">
        <w:rPr>
          <w:sz w:val="20"/>
          <w:szCs w:val="20"/>
        </w:rPr>
        <w:t xml:space="preserve"> </w:t>
      </w:r>
      <w:r w:rsidR="007D4331" w:rsidRPr="007838AA">
        <w:rPr>
          <w:sz w:val="20"/>
          <w:szCs w:val="20"/>
        </w:rPr>
        <w:t xml:space="preserve">The approach </w:t>
      </w:r>
      <w:r w:rsidR="007D4331">
        <w:rPr>
          <w:sz w:val="20"/>
          <w:szCs w:val="20"/>
        </w:rPr>
        <w:t>is</w:t>
      </w:r>
      <w:r w:rsidR="007D4331" w:rsidRPr="007838AA">
        <w:rPr>
          <w:sz w:val="20"/>
          <w:szCs w:val="20"/>
        </w:rPr>
        <w:t xml:space="preserve"> demonstrated through </w:t>
      </w:r>
      <w:r w:rsidR="007D4331">
        <w:rPr>
          <w:sz w:val="20"/>
          <w:szCs w:val="20"/>
        </w:rPr>
        <w:t>two</w:t>
      </w:r>
      <w:r w:rsidR="007D4331" w:rsidRPr="007838AA">
        <w:rPr>
          <w:sz w:val="20"/>
          <w:szCs w:val="20"/>
        </w:rPr>
        <w:t xml:space="preserve"> </w:t>
      </w:r>
      <w:r w:rsidR="004216F3">
        <w:rPr>
          <w:sz w:val="20"/>
          <w:szCs w:val="20"/>
        </w:rPr>
        <w:t>study</w:t>
      </w:r>
      <w:r w:rsidR="007D4331" w:rsidRPr="007838AA">
        <w:rPr>
          <w:sz w:val="20"/>
          <w:szCs w:val="20"/>
        </w:rPr>
        <w:t xml:space="preserve"> </w:t>
      </w:r>
      <w:r w:rsidR="004216F3">
        <w:rPr>
          <w:sz w:val="20"/>
          <w:szCs w:val="20"/>
        </w:rPr>
        <w:t xml:space="preserve">areas </w:t>
      </w:r>
      <w:r w:rsidR="004216F3">
        <w:rPr>
          <w:sz w:val="20"/>
          <w:szCs w:val="20"/>
        </w:rPr>
        <w:lastRenderedPageBreak/>
        <w:t xml:space="preserve">at </w:t>
      </w:r>
      <w:r w:rsidR="00327E84">
        <w:rPr>
          <w:sz w:val="20"/>
          <w:szCs w:val="20"/>
        </w:rPr>
        <w:t>smaller and larger scales</w:t>
      </w:r>
      <w:r w:rsidR="004216F3">
        <w:rPr>
          <w:sz w:val="20"/>
          <w:szCs w:val="20"/>
        </w:rPr>
        <w:t xml:space="preserve">.  </w:t>
      </w:r>
      <w:r w:rsidR="007D4331">
        <w:rPr>
          <w:sz w:val="20"/>
          <w:szCs w:val="20"/>
        </w:rPr>
        <w:t xml:space="preserve"> </w:t>
      </w:r>
      <w:r w:rsidR="004216F3">
        <w:rPr>
          <w:sz w:val="20"/>
          <w:szCs w:val="20"/>
        </w:rPr>
        <w:t>At</w:t>
      </w:r>
      <w:r w:rsidR="00327E84">
        <w:rPr>
          <w:sz w:val="20"/>
          <w:szCs w:val="20"/>
        </w:rPr>
        <w:t xml:space="preserve"> a</w:t>
      </w:r>
      <w:r w:rsidR="004216F3">
        <w:rPr>
          <w:sz w:val="20"/>
          <w:szCs w:val="20"/>
        </w:rPr>
        <w:t xml:space="preserve"> </w:t>
      </w:r>
      <w:r w:rsidR="00327E84">
        <w:rPr>
          <w:sz w:val="20"/>
          <w:szCs w:val="20"/>
        </w:rPr>
        <w:t>larger scale</w:t>
      </w:r>
      <w:r w:rsidR="004216F3">
        <w:rPr>
          <w:sz w:val="20"/>
          <w:szCs w:val="20"/>
        </w:rPr>
        <w:t>,</w:t>
      </w:r>
      <w:r w:rsidR="006559A8">
        <w:rPr>
          <w:sz w:val="20"/>
          <w:szCs w:val="20"/>
        </w:rPr>
        <w:t xml:space="preserve"> the ancient town of </w:t>
      </w:r>
      <w:proofErr w:type="spellStart"/>
      <w:r w:rsidR="006559A8">
        <w:rPr>
          <w:sz w:val="20"/>
          <w:szCs w:val="20"/>
        </w:rPr>
        <w:t>Thornbury</w:t>
      </w:r>
      <w:proofErr w:type="spellEnd"/>
      <w:r w:rsidR="006559A8">
        <w:rPr>
          <w:sz w:val="20"/>
          <w:szCs w:val="20"/>
        </w:rPr>
        <w:t xml:space="preserve"> provides </w:t>
      </w:r>
      <w:r w:rsidR="006559A8" w:rsidRPr="007838AA">
        <w:rPr>
          <w:sz w:val="20"/>
          <w:szCs w:val="20"/>
        </w:rPr>
        <w:t>an</w:t>
      </w:r>
      <w:r w:rsidR="006559A8">
        <w:rPr>
          <w:sz w:val="20"/>
          <w:szCs w:val="20"/>
        </w:rPr>
        <w:t xml:space="preserve"> </w:t>
      </w:r>
      <w:r w:rsidR="006559A8" w:rsidRPr="007838AA">
        <w:rPr>
          <w:sz w:val="20"/>
          <w:szCs w:val="20"/>
        </w:rPr>
        <w:t xml:space="preserve">example of a variety of communities’ lifestyle and models of land-use patterns and structures, which evolved </w:t>
      </w:r>
      <w:r w:rsidR="006559A8">
        <w:rPr>
          <w:sz w:val="20"/>
          <w:szCs w:val="20"/>
        </w:rPr>
        <w:t>over long period of time</w:t>
      </w:r>
      <w:r w:rsidR="006559A8" w:rsidRPr="007838AA">
        <w:rPr>
          <w:sz w:val="20"/>
          <w:szCs w:val="20"/>
        </w:rPr>
        <w:t>.</w:t>
      </w:r>
      <w:r w:rsidR="006559A8">
        <w:rPr>
          <w:sz w:val="20"/>
          <w:szCs w:val="20"/>
        </w:rPr>
        <w:t xml:space="preserve">  This </w:t>
      </w:r>
      <w:r w:rsidR="00DF00D1" w:rsidRPr="00DF00D1">
        <w:rPr>
          <w:sz w:val="20"/>
          <w:szCs w:val="20"/>
        </w:rPr>
        <w:t xml:space="preserve">small market town </w:t>
      </w:r>
      <w:r w:rsidR="006559A8">
        <w:rPr>
          <w:sz w:val="20"/>
          <w:szCs w:val="20"/>
        </w:rPr>
        <w:t xml:space="preserve">is situated </w:t>
      </w:r>
      <w:r w:rsidR="00DF00D1" w:rsidRPr="00DF00D1">
        <w:rPr>
          <w:sz w:val="20"/>
          <w:szCs w:val="20"/>
        </w:rPr>
        <w:t xml:space="preserve">about 11 miles north of Bristol.  </w:t>
      </w:r>
      <w:r w:rsidR="006559A8">
        <w:rPr>
          <w:sz w:val="20"/>
          <w:szCs w:val="20"/>
        </w:rPr>
        <w:t>It</w:t>
      </w:r>
      <w:r w:rsidR="00DF00D1" w:rsidRPr="00DF00D1">
        <w:rPr>
          <w:sz w:val="20"/>
          <w:szCs w:val="20"/>
        </w:rPr>
        <w:t xml:space="preserve"> is home to around 12,000 residents. </w:t>
      </w:r>
      <w:r w:rsidR="006559A8">
        <w:rPr>
          <w:sz w:val="20"/>
          <w:szCs w:val="20"/>
        </w:rPr>
        <w:t xml:space="preserve"> </w:t>
      </w:r>
    </w:p>
    <w:p w:rsidR="008803A7" w:rsidRDefault="002C0D28" w:rsidP="008803A7">
      <w:pPr>
        <w:ind w:firstLine="284"/>
        <w:jc w:val="both"/>
        <w:rPr>
          <w:sz w:val="20"/>
          <w:szCs w:val="20"/>
        </w:rPr>
      </w:pPr>
      <w:r>
        <w:rPr>
          <w:sz w:val="20"/>
          <w:szCs w:val="20"/>
        </w:rPr>
        <w:t>The analysis consists</w:t>
      </w:r>
      <w:r w:rsidR="007A6978">
        <w:rPr>
          <w:sz w:val="20"/>
          <w:szCs w:val="20"/>
        </w:rPr>
        <w:t xml:space="preserve"> of an examination of the relationship between active travel and </w:t>
      </w:r>
      <w:r>
        <w:rPr>
          <w:sz w:val="20"/>
          <w:szCs w:val="20"/>
        </w:rPr>
        <w:t xml:space="preserve">road network, as well as three measures of centrality. </w:t>
      </w:r>
      <w:r w:rsidR="006C5F82" w:rsidRPr="006C5F82">
        <w:rPr>
          <w:sz w:val="20"/>
          <w:szCs w:val="20"/>
        </w:rPr>
        <w:t xml:space="preserve">Network straightness </w:t>
      </w:r>
      <w:r w:rsidR="006C5F82">
        <w:rPr>
          <w:sz w:val="20"/>
          <w:szCs w:val="20"/>
        </w:rPr>
        <w:t xml:space="preserve">was the first measure of centrality used to </w:t>
      </w:r>
      <w:r w:rsidR="006C5F82" w:rsidRPr="006C5F82">
        <w:rPr>
          <w:sz w:val="20"/>
          <w:szCs w:val="20"/>
        </w:rPr>
        <w:t>measure how closely a route between two points approximates a hypothetical straight line between the same two points.</w:t>
      </w:r>
      <w:r w:rsidR="006C5F82">
        <w:rPr>
          <w:sz w:val="20"/>
          <w:szCs w:val="20"/>
        </w:rPr>
        <w:t xml:space="preserve">  </w:t>
      </w:r>
      <w:r w:rsidR="008803A7" w:rsidRPr="008803A7">
        <w:rPr>
          <w:sz w:val="20"/>
          <w:szCs w:val="20"/>
        </w:rPr>
        <w:t xml:space="preserve">Derivation of all the network metrics presented is based on the work presented by </w:t>
      </w:r>
      <w:proofErr w:type="spellStart"/>
      <w:r w:rsidR="008803A7" w:rsidRPr="008803A7">
        <w:rPr>
          <w:sz w:val="20"/>
          <w:szCs w:val="20"/>
        </w:rPr>
        <w:t>Porta</w:t>
      </w:r>
      <w:proofErr w:type="spellEnd"/>
      <w:r w:rsidR="008803A7" w:rsidRPr="008803A7">
        <w:rPr>
          <w:sz w:val="20"/>
          <w:szCs w:val="20"/>
        </w:rPr>
        <w:t xml:space="preserve"> et al. (2009) [3].  Closeness is probably the most intuitive centrality measure.  Closeness is the inverse of the average distance from a node to all other nodes in a network. The higher the value</w:t>
      </w:r>
      <w:r w:rsidR="008803A7">
        <w:rPr>
          <w:sz w:val="20"/>
          <w:szCs w:val="20"/>
        </w:rPr>
        <w:t xml:space="preserve"> of closeness is</w:t>
      </w:r>
      <w:r w:rsidR="008803A7" w:rsidRPr="008803A7">
        <w:rPr>
          <w:sz w:val="20"/>
          <w:szCs w:val="20"/>
        </w:rPr>
        <w:t xml:space="preserve"> the mo</w:t>
      </w:r>
      <w:r w:rsidR="008803A7">
        <w:rPr>
          <w:sz w:val="20"/>
          <w:szCs w:val="20"/>
        </w:rPr>
        <w:t>re accessible the road segment and adjacent facilities</w:t>
      </w:r>
      <w:r w:rsidR="008803A7" w:rsidRPr="008803A7">
        <w:rPr>
          <w:sz w:val="20"/>
          <w:szCs w:val="20"/>
        </w:rPr>
        <w:t xml:space="preserve">. </w:t>
      </w:r>
      <w:r w:rsidR="008803A7">
        <w:rPr>
          <w:sz w:val="20"/>
          <w:szCs w:val="20"/>
        </w:rPr>
        <w:t xml:space="preserve">  The third measure of centrality is </w:t>
      </w:r>
      <w:proofErr w:type="spellStart"/>
      <w:r w:rsidR="008803A7">
        <w:rPr>
          <w:sz w:val="20"/>
          <w:szCs w:val="20"/>
        </w:rPr>
        <w:t>b</w:t>
      </w:r>
      <w:r w:rsidR="008803A7" w:rsidRPr="008803A7">
        <w:rPr>
          <w:sz w:val="20"/>
          <w:szCs w:val="20"/>
        </w:rPr>
        <w:t>etweenness</w:t>
      </w:r>
      <w:proofErr w:type="spellEnd"/>
      <w:r w:rsidR="008803A7">
        <w:rPr>
          <w:sz w:val="20"/>
          <w:szCs w:val="20"/>
        </w:rPr>
        <w:t>.  This measure</w:t>
      </w:r>
      <w:r w:rsidR="008803A7" w:rsidRPr="008803A7">
        <w:rPr>
          <w:sz w:val="20"/>
          <w:szCs w:val="20"/>
        </w:rPr>
        <w:t xml:space="preserve"> shows the importance of an arc in moving through the network. The higher the score the more times the arc is traversed across the shortest distance paths from all nodes to all other nodes in the network.</w:t>
      </w:r>
      <w:r w:rsidR="00743CD7">
        <w:rPr>
          <w:sz w:val="20"/>
          <w:szCs w:val="20"/>
        </w:rPr>
        <w:t xml:space="preserve">  The data was analysed by </w:t>
      </w:r>
      <w:r w:rsidR="00743CD7" w:rsidRPr="00743CD7">
        <w:rPr>
          <w:sz w:val="20"/>
          <w:szCs w:val="20"/>
        </w:rPr>
        <w:t xml:space="preserve">ESRI </w:t>
      </w:r>
      <w:proofErr w:type="spellStart"/>
      <w:r w:rsidR="00743CD7" w:rsidRPr="00743CD7">
        <w:rPr>
          <w:sz w:val="20"/>
          <w:szCs w:val="20"/>
        </w:rPr>
        <w:t>ArcGIS</w:t>
      </w:r>
      <w:proofErr w:type="spellEnd"/>
      <w:r w:rsidR="00743CD7">
        <w:rPr>
          <w:sz w:val="20"/>
          <w:szCs w:val="20"/>
        </w:rPr>
        <w:t>.</w:t>
      </w:r>
      <w:r w:rsidR="007A6978" w:rsidRPr="007A6978">
        <w:rPr>
          <w:sz w:val="20"/>
          <w:szCs w:val="20"/>
        </w:rPr>
        <w:t xml:space="preserve"> </w:t>
      </w:r>
      <w:r w:rsidR="009C35B0">
        <w:rPr>
          <w:sz w:val="20"/>
          <w:szCs w:val="20"/>
        </w:rPr>
        <w:t xml:space="preserve">  </w:t>
      </w:r>
      <w:proofErr w:type="spellStart"/>
      <w:r w:rsidR="007A6978">
        <w:rPr>
          <w:sz w:val="20"/>
          <w:szCs w:val="20"/>
        </w:rPr>
        <w:t>Hengrove</w:t>
      </w:r>
      <w:proofErr w:type="spellEnd"/>
      <w:r w:rsidR="007A6978">
        <w:rPr>
          <w:sz w:val="20"/>
          <w:szCs w:val="20"/>
        </w:rPr>
        <w:t xml:space="preserve"> leisure park cinema </w:t>
      </w:r>
      <w:r w:rsidR="00BF233A">
        <w:rPr>
          <w:sz w:val="20"/>
          <w:szCs w:val="20"/>
        </w:rPr>
        <w:t xml:space="preserve">case study </w:t>
      </w:r>
      <w:r w:rsidR="007A6978">
        <w:rPr>
          <w:sz w:val="20"/>
          <w:szCs w:val="20"/>
        </w:rPr>
        <w:t xml:space="preserve">demonstrates how, at a </w:t>
      </w:r>
      <w:r w:rsidR="00327E84">
        <w:rPr>
          <w:sz w:val="20"/>
          <w:szCs w:val="20"/>
        </w:rPr>
        <w:t>smaller scale</w:t>
      </w:r>
      <w:r w:rsidR="007A6978">
        <w:rPr>
          <w:sz w:val="20"/>
          <w:szCs w:val="20"/>
        </w:rPr>
        <w:t xml:space="preserve">, several units of activity can work together to form a thriving interconnected system.   </w:t>
      </w:r>
    </w:p>
    <w:p w:rsidR="00D16F6B" w:rsidRDefault="00E175CF" w:rsidP="00CE1AA0">
      <w:pPr>
        <w:pStyle w:val="Heading1"/>
        <w:numPr>
          <w:ilvl w:val="0"/>
          <w:numId w:val="9"/>
        </w:numPr>
        <w:spacing w:after="120"/>
        <w:ind w:left="357" w:hanging="357"/>
      </w:pPr>
      <w:r>
        <w:t>Results</w:t>
      </w:r>
    </w:p>
    <w:p w:rsidR="002C0D28" w:rsidRDefault="00743CD7" w:rsidP="00E8794A">
      <w:pPr>
        <w:jc w:val="both"/>
        <w:rPr>
          <w:sz w:val="20"/>
          <w:szCs w:val="20"/>
        </w:rPr>
      </w:pPr>
      <w:r>
        <w:rPr>
          <w:sz w:val="20"/>
          <w:szCs w:val="20"/>
        </w:rPr>
        <w:t xml:space="preserve">This section presents the results and discussion in relation to </w:t>
      </w:r>
      <w:r w:rsidR="002C0D28">
        <w:rPr>
          <w:sz w:val="20"/>
          <w:szCs w:val="20"/>
        </w:rPr>
        <w:t xml:space="preserve">active travel and road network, </w:t>
      </w:r>
      <w:r>
        <w:rPr>
          <w:sz w:val="20"/>
          <w:szCs w:val="20"/>
        </w:rPr>
        <w:t xml:space="preserve">measures of centrality, </w:t>
      </w:r>
      <w:r w:rsidR="002C0D28">
        <w:rPr>
          <w:sz w:val="20"/>
          <w:szCs w:val="20"/>
        </w:rPr>
        <w:t>and system of activities.</w:t>
      </w:r>
      <w:r>
        <w:rPr>
          <w:sz w:val="20"/>
          <w:szCs w:val="20"/>
        </w:rPr>
        <w:t xml:space="preserve"> </w:t>
      </w:r>
    </w:p>
    <w:p w:rsidR="002C0D28" w:rsidRDefault="002C0D28" w:rsidP="00E8794A">
      <w:pPr>
        <w:spacing w:before="120" w:after="120"/>
        <w:jc w:val="both"/>
        <w:rPr>
          <w:b/>
          <w:sz w:val="20"/>
          <w:szCs w:val="20"/>
        </w:rPr>
      </w:pPr>
      <w:r w:rsidRPr="002C0D28">
        <w:rPr>
          <w:b/>
          <w:sz w:val="20"/>
          <w:szCs w:val="20"/>
        </w:rPr>
        <w:t xml:space="preserve">3.1 Road </w:t>
      </w:r>
      <w:r w:rsidRPr="002C0D28">
        <w:rPr>
          <w:b/>
          <w:iCs/>
          <w:sz w:val="20"/>
          <w:szCs w:val="20"/>
        </w:rPr>
        <w:t>network</w:t>
      </w:r>
      <w:r w:rsidRPr="002C0D28">
        <w:rPr>
          <w:b/>
          <w:sz w:val="20"/>
          <w:szCs w:val="20"/>
        </w:rPr>
        <w:t xml:space="preserve"> and </w:t>
      </w:r>
      <w:r w:rsidRPr="00E8794A">
        <w:rPr>
          <w:b/>
          <w:iCs/>
          <w:sz w:val="20"/>
          <w:szCs w:val="20"/>
        </w:rPr>
        <w:t>active</w:t>
      </w:r>
      <w:r w:rsidRPr="002C0D28">
        <w:rPr>
          <w:b/>
          <w:sz w:val="20"/>
          <w:szCs w:val="20"/>
        </w:rPr>
        <w:t xml:space="preserve"> travel</w:t>
      </w:r>
    </w:p>
    <w:p w:rsidR="00C771F4" w:rsidRDefault="00C771F4" w:rsidP="00C771F4">
      <w:r>
        <w:rPr>
          <w:noProof/>
          <w:sz w:val="20"/>
          <w:szCs w:val="20"/>
        </w:rPr>
        <w:drawing>
          <wp:anchor distT="0" distB="0" distL="114300" distR="114300" simplePos="0" relativeHeight="251671552" behindDoc="0" locked="0" layoutInCell="1" allowOverlap="1">
            <wp:simplePos x="0" y="0"/>
            <wp:positionH relativeFrom="column">
              <wp:posOffset>2033270</wp:posOffset>
            </wp:positionH>
            <wp:positionV relativeFrom="paragraph">
              <wp:posOffset>1654175</wp:posOffset>
            </wp:positionV>
            <wp:extent cx="984885" cy="1076325"/>
            <wp:effectExtent l="19050" t="0" r="5715" b="0"/>
            <wp:wrapNone/>
            <wp:docPr id="17" name="Picture 5" descr="thornbury_facilt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thornbury_facilties.jpg"/>
                    <pic:cNvPicPr>
                      <a:picLocks noChangeAspect="1"/>
                    </pic:cNvPicPr>
                  </pic:nvPicPr>
                  <pic:blipFill>
                    <a:blip r:embed="rId12" cstate="print"/>
                    <a:srcRect l="1730" t="77705" r="74163" b="2787"/>
                    <a:stretch>
                      <a:fillRect/>
                    </a:stretch>
                  </pic:blipFill>
                  <pic:spPr>
                    <a:xfrm>
                      <a:off x="0" y="0"/>
                      <a:ext cx="984885" cy="1076325"/>
                    </a:xfrm>
                    <a:prstGeom prst="rect">
                      <a:avLst/>
                    </a:prstGeom>
                  </pic:spPr>
                </pic:pic>
              </a:graphicData>
            </a:graphic>
          </wp:anchor>
        </w:drawing>
      </w:r>
      <w:r>
        <w:rPr>
          <w:noProof/>
          <w:sz w:val="20"/>
          <w:szCs w:val="20"/>
        </w:rPr>
        <w:drawing>
          <wp:anchor distT="0" distB="0" distL="114300" distR="114300" simplePos="0" relativeHeight="251672576" behindDoc="0" locked="0" layoutInCell="1" allowOverlap="1">
            <wp:simplePos x="0" y="0"/>
            <wp:positionH relativeFrom="column">
              <wp:posOffset>52070</wp:posOffset>
            </wp:positionH>
            <wp:positionV relativeFrom="paragraph">
              <wp:posOffset>1654175</wp:posOffset>
            </wp:positionV>
            <wp:extent cx="1066800" cy="1076325"/>
            <wp:effectExtent l="19050" t="0" r="0" b="0"/>
            <wp:wrapNone/>
            <wp:docPr id="19" name="Picture 3" descr="active trav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ctive travel.jpg"/>
                    <pic:cNvPicPr>
                      <a:picLocks noChangeAspect="1"/>
                    </pic:cNvPicPr>
                  </pic:nvPicPr>
                  <pic:blipFill>
                    <a:blip r:embed="rId13" cstate="print"/>
                    <a:srcRect l="1766" t="77213" r="70427" b="2623"/>
                    <a:stretch>
                      <a:fillRect/>
                    </a:stretch>
                  </pic:blipFill>
                  <pic:spPr>
                    <a:xfrm>
                      <a:off x="0" y="0"/>
                      <a:ext cx="1066800" cy="1076325"/>
                    </a:xfrm>
                    <a:prstGeom prst="rect">
                      <a:avLst/>
                    </a:prstGeom>
                  </pic:spPr>
                </pic:pic>
              </a:graphicData>
            </a:graphic>
          </wp:anchor>
        </w:drawing>
      </w:r>
      <w:r w:rsidR="0010693C" w:rsidRPr="004D2553">
        <w:rPr>
          <w:sz w:val="20"/>
          <w:szCs w:val="20"/>
        </w:rPr>
        <w:t xml:space="preserve"> </w:t>
      </w:r>
      <w:r w:rsidR="00CA5544" w:rsidRPr="00CA5544">
        <w:rPr>
          <w:sz w:val="20"/>
          <w:szCs w:val="20"/>
        </w:rPr>
        <w:drawing>
          <wp:inline distT="0" distB="0" distL="0" distR="0">
            <wp:extent cx="1967440" cy="2736000"/>
            <wp:effectExtent l="19050" t="0" r="0" b="0"/>
            <wp:docPr id="3" name="Picture 3" descr="active trav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ctive travel.jpg"/>
                    <pic:cNvPicPr>
                      <a:picLocks noChangeAspect="1"/>
                    </pic:cNvPicPr>
                  </pic:nvPicPr>
                  <pic:blipFill>
                    <a:blip r:embed="rId13" cstate="print"/>
                    <a:stretch>
                      <a:fillRect/>
                    </a:stretch>
                  </pic:blipFill>
                  <pic:spPr>
                    <a:xfrm>
                      <a:off x="0" y="0"/>
                      <a:ext cx="1967440" cy="2736000"/>
                    </a:xfrm>
                    <a:prstGeom prst="rect">
                      <a:avLst/>
                    </a:prstGeom>
                  </pic:spPr>
                </pic:pic>
              </a:graphicData>
            </a:graphic>
          </wp:inline>
        </w:drawing>
      </w:r>
      <w:r w:rsidRPr="00807C66">
        <w:rPr>
          <w:szCs w:val="22"/>
        </w:rPr>
        <w:drawing>
          <wp:inline distT="0" distB="0" distL="0" distR="0">
            <wp:extent cx="1995322" cy="2736000"/>
            <wp:effectExtent l="19050" t="0" r="4928" b="0"/>
            <wp:docPr id="18" name="Picture 5" descr="thornbury_facilt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thornbury_facilties.jpg"/>
                    <pic:cNvPicPr>
                      <a:picLocks noChangeAspect="1"/>
                    </pic:cNvPicPr>
                  </pic:nvPicPr>
                  <pic:blipFill>
                    <a:blip r:embed="rId12" cstate="print"/>
                    <a:stretch>
                      <a:fillRect/>
                    </a:stretch>
                  </pic:blipFill>
                  <pic:spPr>
                    <a:xfrm>
                      <a:off x="0" y="0"/>
                      <a:ext cx="1995322" cy="2736000"/>
                    </a:xfrm>
                    <a:prstGeom prst="rect">
                      <a:avLst/>
                    </a:prstGeom>
                  </pic:spPr>
                </pic:pic>
              </a:graphicData>
            </a:graphic>
          </wp:inline>
        </w:drawing>
      </w:r>
    </w:p>
    <w:p w:rsidR="0010693C" w:rsidRPr="00FC6A55" w:rsidRDefault="0010693C" w:rsidP="0010693C">
      <w:pPr>
        <w:tabs>
          <w:tab w:val="left" w:pos="3261"/>
        </w:tabs>
        <w:ind w:left="3260" w:hanging="3260"/>
        <w:jc w:val="both"/>
        <w:rPr>
          <w:sz w:val="20"/>
          <w:szCs w:val="20"/>
        </w:rPr>
      </w:pPr>
      <w:r>
        <w:rPr>
          <w:sz w:val="20"/>
          <w:szCs w:val="20"/>
        </w:rPr>
        <w:t xml:space="preserve">Figure 2: Road network &amp; active travel </w:t>
      </w:r>
      <w:r>
        <w:rPr>
          <w:sz w:val="20"/>
          <w:szCs w:val="20"/>
        </w:rPr>
        <w:tab/>
        <w:t xml:space="preserve">Figure 3: </w:t>
      </w:r>
      <w:r w:rsidRPr="004D2553">
        <w:rPr>
          <w:sz w:val="20"/>
          <w:szCs w:val="20"/>
        </w:rPr>
        <w:t xml:space="preserve">distribution of the facilities </w:t>
      </w:r>
    </w:p>
    <w:p w:rsidR="00CF23DA" w:rsidRPr="0010693C" w:rsidRDefault="004D2553" w:rsidP="00CF23DA">
      <w:pPr>
        <w:jc w:val="both"/>
        <w:rPr>
          <w:sz w:val="20"/>
          <w:szCs w:val="20"/>
        </w:rPr>
      </w:pPr>
      <w:r w:rsidRPr="004D2553">
        <w:rPr>
          <w:sz w:val="20"/>
          <w:szCs w:val="20"/>
        </w:rPr>
        <w:lastRenderedPageBreak/>
        <w:t xml:space="preserve"> </w:t>
      </w:r>
      <w:r w:rsidR="0010693C">
        <w:rPr>
          <w:sz w:val="20"/>
          <w:szCs w:val="20"/>
        </w:rPr>
        <w:tab/>
      </w:r>
      <w:r w:rsidR="002C0D28" w:rsidRPr="0009245B">
        <w:rPr>
          <w:sz w:val="20"/>
          <w:szCs w:val="20"/>
        </w:rPr>
        <w:t>Figure 2 shows the proportion of trips from all respondent origins that were undertaken using active travel modes (walking and cycling).</w:t>
      </w:r>
      <w:r w:rsidR="0009245B" w:rsidRPr="0009245B">
        <w:rPr>
          <w:sz w:val="20"/>
          <w:szCs w:val="20"/>
        </w:rPr>
        <w:t xml:space="preserve"> </w:t>
      </w:r>
      <w:r w:rsidR="0009245B">
        <w:rPr>
          <w:sz w:val="20"/>
          <w:szCs w:val="20"/>
        </w:rPr>
        <w:t xml:space="preserve"> </w:t>
      </w:r>
      <w:r>
        <w:rPr>
          <w:sz w:val="20"/>
          <w:szCs w:val="20"/>
        </w:rPr>
        <w:t xml:space="preserve">Figure 3 illustrates </w:t>
      </w:r>
      <w:r w:rsidR="00CF23DA">
        <w:rPr>
          <w:sz w:val="20"/>
          <w:szCs w:val="20"/>
        </w:rPr>
        <w:t xml:space="preserve">the distribution of facilities visited by respondents.  </w:t>
      </w:r>
      <w:r w:rsidR="0009245B" w:rsidRPr="0009245B">
        <w:rPr>
          <w:sz w:val="20"/>
          <w:szCs w:val="20"/>
        </w:rPr>
        <w:t>It is worth noting that although the pattern appears quite dispersed, the values exhibit a very high degree of spatial autocorrelation (with a probability &lt; 0.01 that the pattern arose by random chance). The data represents a total of 1382 trips.</w:t>
      </w:r>
      <w:r w:rsidR="0009245B">
        <w:rPr>
          <w:sz w:val="20"/>
          <w:szCs w:val="20"/>
        </w:rPr>
        <w:t xml:space="preserve">  </w:t>
      </w:r>
      <w:r w:rsidR="0009245B" w:rsidRPr="0009245B">
        <w:rPr>
          <w:sz w:val="20"/>
          <w:szCs w:val="20"/>
        </w:rPr>
        <w:t xml:space="preserve">Outliers have been removed from the view and the analysis (respondents outside of the town urbanised extent). </w:t>
      </w:r>
    </w:p>
    <w:p w:rsidR="00CF23DA" w:rsidRDefault="00CF23DA" w:rsidP="00E8794A">
      <w:pPr>
        <w:spacing w:before="120" w:after="120"/>
        <w:jc w:val="both"/>
        <w:rPr>
          <w:b/>
          <w:sz w:val="20"/>
          <w:szCs w:val="20"/>
        </w:rPr>
      </w:pPr>
      <w:r w:rsidRPr="00CF23DA">
        <w:rPr>
          <w:b/>
          <w:sz w:val="20"/>
          <w:szCs w:val="20"/>
        </w:rPr>
        <w:t>3.2</w:t>
      </w:r>
      <w:r w:rsidR="00790C0E">
        <w:rPr>
          <w:b/>
          <w:sz w:val="20"/>
          <w:szCs w:val="20"/>
        </w:rPr>
        <w:t xml:space="preserve"> </w:t>
      </w:r>
      <w:r w:rsidRPr="00CF23DA">
        <w:rPr>
          <w:b/>
          <w:sz w:val="20"/>
          <w:szCs w:val="20"/>
        </w:rPr>
        <w:t>Network straightness</w:t>
      </w:r>
    </w:p>
    <w:p w:rsidR="00790449" w:rsidRPr="001B6226" w:rsidRDefault="00790449" w:rsidP="00790449">
      <w:pPr>
        <w:jc w:val="both"/>
        <w:rPr>
          <w:sz w:val="20"/>
          <w:szCs w:val="20"/>
          <w:lang w:val="en-US"/>
        </w:rPr>
      </w:pPr>
      <w:r>
        <w:rPr>
          <w:sz w:val="20"/>
          <w:szCs w:val="20"/>
        </w:rPr>
        <w:t>Figure 4</w:t>
      </w:r>
      <w:r w:rsidRPr="001B6226">
        <w:rPr>
          <w:sz w:val="20"/>
          <w:szCs w:val="20"/>
        </w:rPr>
        <w:t xml:space="preserve"> shows the </w:t>
      </w:r>
      <w:proofErr w:type="spellStart"/>
      <w:r w:rsidRPr="001B6226">
        <w:rPr>
          <w:sz w:val="20"/>
          <w:szCs w:val="20"/>
        </w:rPr>
        <w:t>scatterplot</w:t>
      </w:r>
      <w:proofErr w:type="spellEnd"/>
      <w:r w:rsidRPr="001B6226">
        <w:rPr>
          <w:sz w:val="20"/>
          <w:szCs w:val="20"/>
        </w:rPr>
        <w:t xml:space="preserve"> of the proportion of active travel and the straightness score (normalised to 100) of the road segment on which the trips in question started. A trend line has been included.</w:t>
      </w:r>
      <w:r w:rsidRPr="001B6226">
        <w:rPr>
          <w:sz w:val="20"/>
          <w:szCs w:val="20"/>
          <w:lang w:val="en-US"/>
        </w:rPr>
        <w:t xml:space="preserve"> </w:t>
      </w:r>
    </w:p>
    <w:p w:rsidR="001B6226" w:rsidRPr="00CF23DA" w:rsidRDefault="009C35B0" w:rsidP="00CF23DA">
      <w:pPr>
        <w:jc w:val="both"/>
        <w:rPr>
          <w:b/>
          <w:sz w:val="20"/>
          <w:szCs w:val="20"/>
        </w:rPr>
      </w:pPr>
      <w:r>
        <w:rPr>
          <w:b/>
          <w:noProof/>
          <w:sz w:val="20"/>
          <w:szCs w:val="20"/>
        </w:rPr>
        <w:drawing>
          <wp:anchor distT="0" distB="0" distL="114300" distR="114300" simplePos="0" relativeHeight="251664384" behindDoc="0" locked="0" layoutInCell="1" allowOverlap="1">
            <wp:simplePos x="0" y="0"/>
            <wp:positionH relativeFrom="column">
              <wp:posOffset>15875</wp:posOffset>
            </wp:positionH>
            <wp:positionV relativeFrom="paragraph">
              <wp:posOffset>146685</wp:posOffset>
            </wp:positionV>
            <wp:extent cx="1697990" cy="2735580"/>
            <wp:effectExtent l="19050" t="0" r="0" b="0"/>
            <wp:wrapSquare wrapText="bothSides"/>
            <wp:docPr id="6" name="Picture 6" descr="straightness.jpg"/>
            <wp:cNvGraphicFramePr/>
            <a:graphic xmlns:a="http://schemas.openxmlformats.org/drawingml/2006/main">
              <a:graphicData uri="http://schemas.openxmlformats.org/drawingml/2006/picture">
                <pic:pic xmlns:pic="http://schemas.openxmlformats.org/drawingml/2006/picture">
                  <pic:nvPicPr>
                    <pic:cNvPr id="2" name="Picture 1" descr="straightness.jpg"/>
                    <pic:cNvPicPr>
                      <a:picLocks noChangeAspect="1"/>
                    </pic:cNvPicPr>
                  </pic:nvPicPr>
                  <pic:blipFill>
                    <a:blip r:embed="rId14" cstate="print"/>
                    <a:stretch>
                      <a:fillRect/>
                    </a:stretch>
                  </pic:blipFill>
                  <pic:spPr>
                    <a:xfrm>
                      <a:off x="0" y="0"/>
                      <a:ext cx="1697990" cy="2735580"/>
                    </a:xfrm>
                    <a:prstGeom prst="rect">
                      <a:avLst/>
                    </a:prstGeom>
                  </pic:spPr>
                </pic:pic>
              </a:graphicData>
            </a:graphic>
          </wp:anchor>
        </w:drawing>
      </w:r>
    </w:p>
    <w:p w:rsidR="00CF23DA" w:rsidRDefault="00790C0E" w:rsidP="00CF23DA">
      <w:pPr>
        <w:jc w:val="both"/>
        <w:rPr>
          <w:sz w:val="20"/>
          <w:szCs w:val="20"/>
        </w:rPr>
      </w:pPr>
      <w:r w:rsidRPr="00790C0E">
        <w:rPr>
          <w:noProof/>
          <w:sz w:val="20"/>
          <w:szCs w:val="20"/>
        </w:rPr>
        <w:drawing>
          <wp:inline distT="0" distB="0" distL="0" distR="0">
            <wp:extent cx="2437806" cy="1485900"/>
            <wp:effectExtent l="19050" t="0" r="594" b="0"/>
            <wp:docPr id="10" name="Picture 1" descr="straightn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aightness.jpg"/>
                    <pic:cNvPicPr/>
                  </pic:nvPicPr>
                  <pic:blipFill>
                    <a:blip r:embed="rId15" cstate="print"/>
                    <a:srcRect l="1561" r="37815" b="40875"/>
                    <a:stretch>
                      <a:fillRect/>
                    </a:stretch>
                  </pic:blipFill>
                  <pic:spPr>
                    <a:xfrm>
                      <a:off x="0" y="0"/>
                      <a:ext cx="2439153" cy="1486721"/>
                    </a:xfrm>
                    <a:prstGeom prst="rect">
                      <a:avLst/>
                    </a:prstGeom>
                  </pic:spPr>
                </pic:pic>
              </a:graphicData>
            </a:graphic>
          </wp:inline>
        </w:drawing>
      </w:r>
    </w:p>
    <w:p w:rsidR="00CF23DA" w:rsidRDefault="00CF23DA" w:rsidP="00CF23DA">
      <w:pPr>
        <w:jc w:val="both"/>
        <w:rPr>
          <w:sz w:val="20"/>
          <w:szCs w:val="20"/>
        </w:rPr>
      </w:pPr>
    </w:p>
    <w:p w:rsidR="001B6226" w:rsidRDefault="00586881" w:rsidP="001B6226">
      <w:pPr>
        <w:jc w:val="both"/>
        <w:rPr>
          <w:sz w:val="20"/>
          <w:szCs w:val="20"/>
        </w:rPr>
      </w:pPr>
      <w:r>
        <w:rPr>
          <w:noProof/>
          <w:sz w:val="20"/>
          <w:szCs w:val="20"/>
        </w:rPr>
        <w:drawing>
          <wp:anchor distT="0" distB="0" distL="114300" distR="114300" simplePos="0" relativeHeight="251674624" behindDoc="0" locked="0" layoutInCell="1" allowOverlap="1">
            <wp:simplePos x="0" y="0"/>
            <wp:positionH relativeFrom="column">
              <wp:posOffset>-1861820</wp:posOffset>
            </wp:positionH>
            <wp:positionV relativeFrom="paragraph">
              <wp:posOffset>24765</wp:posOffset>
            </wp:positionV>
            <wp:extent cx="828675" cy="1076325"/>
            <wp:effectExtent l="19050" t="0" r="9525" b="0"/>
            <wp:wrapNone/>
            <wp:docPr id="32" name="Picture 6" descr="straightn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straightness.jpg"/>
                    <pic:cNvPicPr>
                      <a:picLocks noChangeAspect="1"/>
                    </pic:cNvPicPr>
                  </pic:nvPicPr>
                  <pic:blipFill>
                    <a:blip r:embed="rId14" cstate="print"/>
                    <a:srcRect l="1510" t="79508" r="76800" b="2787"/>
                    <a:stretch>
                      <a:fillRect/>
                    </a:stretch>
                  </pic:blipFill>
                  <pic:spPr>
                    <a:xfrm>
                      <a:off x="0" y="0"/>
                      <a:ext cx="828675" cy="1076325"/>
                    </a:xfrm>
                    <a:prstGeom prst="rect">
                      <a:avLst/>
                    </a:prstGeom>
                  </pic:spPr>
                </pic:pic>
              </a:graphicData>
            </a:graphic>
          </wp:anchor>
        </w:drawing>
      </w:r>
    </w:p>
    <w:p w:rsidR="006457A4" w:rsidRPr="006457A4" w:rsidRDefault="006457A4" w:rsidP="001B6226">
      <w:pPr>
        <w:jc w:val="both"/>
        <w:rPr>
          <w:sz w:val="20"/>
          <w:szCs w:val="20"/>
        </w:rPr>
      </w:pPr>
      <w:r w:rsidRPr="006457A4">
        <w:rPr>
          <w:sz w:val="20"/>
          <w:szCs w:val="20"/>
        </w:rPr>
        <w:t>Figure 4: Network straightness</w:t>
      </w:r>
    </w:p>
    <w:p w:rsidR="006457A4" w:rsidRDefault="006457A4" w:rsidP="001B6226">
      <w:pPr>
        <w:jc w:val="both"/>
        <w:rPr>
          <w:b/>
          <w:sz w:val="20"/>
          <w:szCs w:val="20"/>
        </w:rPr>
      </w:pPr>
    </w:p>
    <w:p w:rsidR="00790449" w:rsidRDefault="00790449" w:rsidP="001B6226">
      <w:pPr>
        <w:jc w:val="both"/>
        <w:rPr>
          <w:b/>
          <w:sz w:val="20"/>
          <w:szCs w:val="20"/>
        </w:rPr>
      </w:pPr>
    </w:p>
    <w:p w:rsidR="00790449" w:rsidRDefault="00790449" w:rsidP="001B6226">
      <w:pPr>
        <w:jc w:val="both"/>
        <w:rPr>
          <w:b/>
          <w:sz w:val="20"/>
          <w:szCs w:val="20"/>
        </w:rPr>
      </w:pPr>
    </w:p>
    <w:p w:rsidR="00790449" w:rsidRDefault="00790449" w:rsidP="001B6226">
      <w:pPr>
        <w:jc w:val="both"/>
        <w:rPr>
          <w:b/>
          <w:sz w:val="20"/>
          <w:szCs w:val="20"/>
        </w:rPr>
      </w:pPr>
    </w:p>
    <w:p w:rsidR="009C35B0" w:rsidRDefault="009C35B0" w:rsidP="001B6226">
      <w:pPr>
        <w:jc w:val="both"/>
        <w:rPr>
          <w:b/>
          <w:sz w:val="20"/>
          <w:szCs w:val="20"/>
        </w:rPr>
      </w:pPr>
    </w:p>
    <w:p w:rsidR="009C35B0" w:rsidRDefault="009C35B0" w:rsidP="001B6226">
      <w:pPr>
        <w:jc w:val="both"/>
        <w:rPr>
          <w:b/>
          <w:sz w:val="20"/>
          <w:szCs w:val="20"/>
        </w:rPr>
      </w:pPr>
    </w:p>
    <w:p w:rsidR="001B6226" w:rsidRDefault="00790C0E" w:rsidP="001B6226">
      <w:pPr>
        <w:jc w:val="both"/>
        <w:rPr>
          <w:b/>
          <w:sz w:val="20"/>
          <w:szCs w:val="20"/>
        </w:rPr>
      </w:pPr>
      <w:r w:rsidRPr="00790C0E">
        <w:rPr>
          <w:b/>
          <w:sz w:val="20"/>
          <w:szCs w:val="20"/>
        </w:rPr>
        <w:t>3.3 Network closeness</w:t>
      </w:r>
    </w:p>
    <w:p w:rsidR="00E219F8" w:rsidRDefault="00E219F8" w:rsidP="00E219F8">
      <w:pPr>
        <w:jc w:val="both"/>
        <w:rPr>
          <w:sz w:val="20"/>
          <w:szCs w:val="20"/>
        </w:rPr>
      </w:pPr>
      <w:r>
        <w:rPr>
          <w:noProof/>
          <w:sz w:val="20"/>
          <w:szCs w:val="20"/>
          <w:lang w:val="en-US" w:eastAsia="en-US"/>
        </w:rPr>
        <w:t>Figure 5</w:t>
      </w:r>
      <w:r w:rsidRPr="006457A4">
        <w:rPr>
          <w:sz w:val="20"/>
          <w:szCs w:val="20"/>
        </w:rPr>
        <w:t xml:space="preserve"> shows the </w:t>
      </w:r>
      <w:proofErr w:type="spellStart"/>
      <w:r w:rsidRPr="006457A4">
        <w:rPr>
          <w:sz w:val="20"/>
          <w:szCs w:val="20"/>
        </w:rPr>
        <w:t>scatterplot</w:t>
      </w:r>
      <w:proofErr w:type="spellEnd"/>
      <w:r w:rsidRPr="006457A4">
        <w:rPr>
          <w:sz w:val="20"/>
          <w:szCs w:val="20"/>
        </w:rPr>
        <w:t xml:space="preserve"> of proportion of active travel trips and the closeness score of the roads on which they started.</w:t>
      </w:r>
    </w:p>
    <w:p w:rsidR="00E219F8" w:rsidRDefault="00E219F8" w:rsidP="001B6226">
      <w:pPr>
        <w:jc w:val="both"/>
        <w:rPr>
          <w:b/>
          <w:sz w:val="20"/>
          <w:szCs w:val="20"/>
        </w:rPr>
      </w:pPr>
    </w:p>
    <w:p w:rsidR="00247DEE" w:rsidRDefault="00586881" w:rsidP="00247DEE">
      <w:pPr>
        <w:jc w:val="both"/>
        <w:rPr>
          <w:sz w:val="20"/>
          <w:szCs w:val="20"/>
          <w:lang w:val="en-US"/>
        </w:rPr>
      </w:pPr>
      <w:r w:rsidRPr="00586881">
        <w:rPr>
          <w:noProof/>
          <w:sz w:val="20"/>
          <w:szCs w:val="20"/>
          <w:lang w:val="en-US" w:eastAsia="en-US"/>
        </w:rPr>
        <w:lastRenderedPageBreak/>
        <w:drawing>
          <wp:anchor distT="0" distB="0" distL="114300" distR="114300" simplePos="0" relativeHeight="251675648" behindDoc="0" locked="0" layoutInCell="1" allowOverlap="1">
            <wp:simplePos x="0" y="0"/>
            <wp:positionH relativeFrom="column">
              <wp:posOffset>23495</wp:posOffset>
            </wp:positionH>
            <wp:positionV relativeFrom="paragraph">
              <wp:posOffset>1657350</wp:posOffset>
            </wp:positionV>
            <wp:extent cx="600075" cy="1076325"/>
            <wp:effectExtent l="19050" t="0" r="9525" b="0"/>
            <wp:wrapNone/>
            <wp:docPr id="34" name="Picture 2" descr="closen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closeness.jpg"/>
                    <pic:cNvPicPr>
                      <a:picLocks noChangeAspect="1"/>
                    </pic:cNvPicPr>
                  </pic:nvPicPr>
                  <pic:blipFill>
                    <a:blip r:embed="rId16" cstate="print"/>
                    <a:srcRect l="1782" t="79508" r="82432" b="2787"/>
                    <a:stretch>
                      <a:fillRect/>
                    </a:stretch>
                  </pic:blipFill>
                  <pic:spPr>
                    <a:xfrm>
                      <a:off x="0" y="0"/>
                      <a:ext cx="600075" cy="1076325"/>
                    </a:xfrm>
                    <a:prstGeom prst="rect">
                      <a:avLst/>
                    </a:prstGeom>
                  </pic:spPr>
                </pic:pic>
              </a:graphicData>
            </a:graphic>
          </wp:anchor>
        </w:drawing>
      </w:r>
      <w:r w:rsidR="00C771F4" w:rsidRPr="00C771F4">
        <w:rPr>
          <w:noProof/>
          <w:sz w:val="20"/>
          <w:szCs w:val="20"/>
          <w:lang w:val="en-US" w:eastAsia="en-US"/>
        </w:rPr>
        <w:drawing>
          <wp:inline distT="0" distB="0" distL="0" distR="0">
            <wp:extent cx="1697990" cy="2733040"/>
            <wp:effectExtent l="19050" t="0" r="0" b="0"/>
            <wp:docPr id="26" name="Picture 2" descr="closeness.jpg"/>
            <wp:cNvGraphicFramePr/>
            <a:graphic xmlns:a="http://schemas.openxmlformats.org/drawingml/2006/main">
              <a:graphicData uri="http://schemas.openxmlformats.org/drawingml/2006/picture">
                <pic:pic xmlns:pic="http://schemas.openxmlformats.org/drawingml/2006/picture">
                  <pic:nvPicPr>
                    <pic:cNvPr id="2" name="Picture 1" descr="closeness.jpg"/>
                    <pic:cNvPicPr>
                      <a:picLocks noChangeAspect="1"/>
                    </pic:cNvPicPr>
                  </pic:nvPicPr>
                  <pic:blipFill>
                    <a:blip r:embed="rId16" cstate="print"/>
                    <a:stretch>
                      <a:fillRect/>
                    </a:stretch>
                  </pic:blipFill>
                  <pic:spPr>
                    <a:xfrm>
                      <a:off x="0" y="0"/>
                      <a:ext cx="1697990" cy="2733040"/>
                    </a:xfrm>
                    <a:prstGeom prst="rect">
                      <a:avLst/>
                    </a:prstGeom>
                  </pic:spPr>
                </pic:pic>
              </a:graphicData>
            </a:graphic>
          </wp:inline>
        </w:drawing>
      </w:r>
      <w:r w:rsidR="007A45B6">
        <w:rPr>
          <w:noProof/>
          <w:sz w:val="20"/>
          <w:szCs w:val="20"/>
        </w:rPr>
        <w:drawing>
          <wp:inline distT="0" distB="0" distL="0" distR="0">
            <wp:extent cx="2324100" cy="1362379"/>
            <wp:effectExtent l="19050" t="0" r="0" b="0"/>
            <wp:docPr id="16" name="Picture 12" descr="straightn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aightness.jpg"/>
                    <pic:cNvPicPr/>
                  </pic:nvPicPr>
                  <pic:blipFill>
                    <a:blip r:embed="rId17" cstate="print"/>
                    <a:srcRect r="37815" b="41799"/>
                    <a:stretch>
                      <a:fillRect/>
                    </a:stretch>
                  </pic:blipFill>
                  <pic:spPr>
                    <a:xfrm>
                      <a:off x="0" y="0"/>
                      <a:ext cx="2324100" cy="1362379"/>
                    </a:xfrm>
                    <a:prstGeom prst="rect">
                      <a:avLst/>
                    </a:prstGeom>
                  </pic:spPr>
                </pic:pic>
              </a:graphicData>
            </a:graphic>
          </wp:inline>
        </w:drawing>
      </w:r>
      <w:r w:rsidR="00247DEE" w:rsidRPr="00247DEE">
        <w:rPr>
          <w:sz w:val="20"/>
          <w:szCs w:val="20"/>
          <w:lang w:val="en-US"/>
        </w:rPr>
        <w:t xml:space="preserve"> </w:t>
      </w:r>
      <w:r w:rsidR="00247DEE">
        <w:rPr>
          <w:sz w:val="20"/>
          <w:szCs w:val="20"/>
          <w:lang w:val="en-US"/>
        </w:rPr>
        <w:t>Figure 5: Network closeness</w:t>
      </w:r>
    </w:p>
    <w:p w:rsidR="00E23062" w:rsidRDefault="00E23062" w:rsidP="00CE1AA0">
      <w:pPr>
        <w:pStyle w:val="Heading1"/>
        <w:numPr>
          <w:ilvl w:val="0"/>
          <w:numId w:val="9"/>
        </w:numPr>
        <w:spacing w:after="120"/>
        <w:ind w:left="357" w:hanging="357"/>
      </w:pPr>
      <w:r w:rsidRPr="00F513FF">
        <w:t>Analysis of results</w:t>
      </w:r>
    </w:p>
    <w:p w:rsidR="009C35B0" w:rsidRPr="009C35B0" w:rsidRDefault="009C35B0" w:rsidP="009C35B0">
      <w:pPr>
        <w:jc w:val="both"/>
        <w:rPr>
          <w:sz w:val="20"/>
          <w:szCs w:val="20"/>
          <w:lang w:val="en-US"/>
        </w:rPr>
      </w:pPr>
      <w:r w:rsidRPr="009C35B0">
        <w:rPr>
          <w:sz w:val="20"/>
          <w:szCs w:val="20"/>
        </w:rPr>
        <w:t>Table 1: Relationship between active travel characteristics of network</w:t>
      </w:r>
    </w:p>
    <w:p w:rsidR="007A45B6" w:rsidRDefault="007A45B6" w:rsidP="001B6226">
      <w:pPr>
        <w:jc w:val="both"/>
        <w:rPr>
          <w:sz w:val="20"/>
          <w:szCs w:val="20"/>
          <w:lang w:val="en-US"/>
        </w:rPr>
      </w:pPr>
      <w:r>
        <w:rPr>
          <w:noProof/>
          <w:sz w:val="20"/>
          <w:szCs w:val="20"/>
        </w:rPr>
        <w:drawing>
          <wp:inline distT="0" distB="0" distL="0" distR="0">
            <wp:extent cx="1831340" cy="2777490"/>
            <wp:effectExtent l="19050" t="0" r="0" b="0"/>
            <wp:docPr id="13" name="Picture 16" descr="straightn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aightness.jpg"/>
                    <pic:cNvPicPr/>
                  </pic:nvPicPr>
                  <pic:blipFill>
                    <a:blip r:embed="rId18" cstate="print"/>
                    <a:srcRect r="55426"/>
                    <a:stretch>
                      <a:fillRect/>
                    </a:stretch>
                  </pic:blipFill>
                  <pic:spPr>
                    <a:xfrm>
                      <a:off x="0" y="0"/>
                      <a:ext cx="1831340" cy="2777490"/>
                    </a:xfrm>
                    <a:prstGeom prst="rect">
                      <a:avLst/>
                    </a:prstGeom>
                  </pic:spPr>
                </pic:pic>
              </a:graphicData>
            </a:graphic>
          </wp:inline>
        </w:drawing>
      </w:r>
    </w:p>
    <w:p w:rsidR="008125C1" w:rsidRDefault="008125C1" w:rsidP="007A45B6">
      <w:pPr>
        <w:jc w:val="both"/>
        <w:rPr>
          <w:sz w:val="20"/>
          <w:szCs w:val="20"/>
        </w:rPr>
      </w:pPr>
    </w:p>
    <w:p w:rsidR="007A45B6" w:rsidRDefault="00E23062" w:rsidP="007A45B6">
      <w:pPr>
        <w:jc w:val="both"/>
        <w:rPr>
          <w:sz w:val="20"/>
          <w:szCs w:val="20"/>
        </w:rPr>
      </w:pPr>
      <w:r>
        <w:rPr>
          <w:sz w:val="20"/>
          <w:szCs w:val="20"/>
        </w:rPr>
        <w:t>Table 1</w:t>
      </w:r>
      <w:r w:rsidR="006457A4" w:rsidRPr="006457A4">
        <w:rPr>
          <w:sz w:val="20"/>
          <w:szCs w:val="20"/>
        </w:rPr>
        <w:t xml:space="preserve"> </w:t>
      </w:r>
      <w:r w:rsidR="008125C1">
        <w:rPr>
          <w:sz w:val="20"/>
          <w:szCs w:val="20"/>
        </w:rPr>
        <w:t>confirms</w:t>
      </w:r>
      <w:r w:rsidR="006457A4" w:rsidRPr="006457A4">
        <w:rPr>
          <w:sz w:val="20"/>
          <w:szCs w:val="20"/>
        </w:rPr>
        <w:t xml:space="preserve"> the correlation between the proportion of active travel and the characteristics of the network segment on which they start (essentially the street location of the respondent).</w:t>
      </w:r>
      <w:r w:rsidR="007A45B6">
        <w:rPr>
          <w:sz w:val="20"/>
          <w:szCs w:val="20"/>
        </w:rPr>
        <w:t xml:space="preserve">  </w:t>
      </w:r>
    </w:p>
    <w:p w:rsidR="006457A4" w:rsidRDefault="006457A4" w:rsidP="007A45B6">
      <w:pPr>
        <w:ind w:firstLine="284"/>
        <w:jc w:val="both"/>
        <w:rPr>
          <w:sz w:val="20"/>
          <w:szCs w:val="20"/>
        </w:rPr>
      </w:pPr>
      <w:r w:rsidRPr="006457A4">
        <w:rPr>
          <w:sz w:val="20"/>
          <w:szCs w:val="20"/>
        </w:rPr>
        <w:lastRenderedPageBreak/>
        <w:t>Three of the factors investigated show statistically significant relationships (** = correlation is significant at the 0.01 level [2-tailed]). These are straightness, in other words, trips originating from a place relatively ‘directly’ accessible to other locations, and closeness, being centrally located in an intuitive (distance based) sense of the word – not too far away from everywhere else. These measures consider the respondent location and the network characteristics only– not the relationship between the locations of respondents and the facilities they use. The closer and more directly accessible a trip origin is to other places, the greater the proportion of trips undertaken using active travel modes.</w:t>
      </w:r>
    </w:p>
    <w:p w:rsidR="007A45B6" w:rsidRDefault="007A45B6" w:rsidP="007A45B6">
      <w:pPr>
        <w:ind w:firstLine="284"/>
        <w:jc w:val="both"/>
        <w:rPr>
          <w:sz w:val="20"/>
          <w:szCs w:val="20"/>
        </w:rPr>
      </w:pPr>
      <w:r w:rsidRPr="006457A4">
        <w:rPr>
          <w:sz w:val="20"/>
          <w:szCs w:val="20"/>
        </w:rPr>
        <w:t>The third significant relationship is to the average distance from origins and all fac</w:t>
      </w:r>
      <w:r>
        <w:rPr>
          <w:sz w:val="20"/>
          <w:szCs w:val="20"/>
        </w:rPr>
        <w:t>ilities</w:t>
      </w:r>
      <w:r w:rsidRPr="006457A4">
        <w:rPr>
          <w:sz w:val="20"/>
          <w:szCs w:val="20"/>
        </w:rPr>
        <w:t>. This was added as a spec</w:t>
      </w:r>
      <w:r>
        <w:rPr>
          <w:sz w:val="20"/>
          <w:szCs w:val="20"/>
        </w:rPr>
        <w:t xml:space="preserve">ific measure beyond the network </w:t>
      </w:r>
      <w:r w:rsidRPr="006457A4">
        <w:rPr>
          <w:sz w:val="20"/>
          <w:szCs w:val="20"/>
        </w:rPr>
        <w:t>characteristics, and considers the spatial arrangement of respondents and facilities specifically. The closer a trip origin to a set of destination facilities, the greater the proportion of active travel trips originating from that origin</w:t>
      </w:r>
      <w:r>
        <w:rPr>
          <w:sz w:val="20"/>
          <w:szCs w:val="20"/>
        </w:rPr>
        <w:t>.</w:t>
      </w:r>
      <w:r w:rsidRPr="006457A4">
        <w:rPr>
          <w:sz w:val="20"/>
          <w:szCs w:val="20"/>
        </w:rPr>
        <w:t xml:space="preserve"> </w:t>
      </w:r>
      <w:r>
        <w:rPr>
          <w:sz w:val="20"/>
          <w:szCs w:val="20"/>
        </w:rPr>
        <w:t xml:space="preserve"> </w:t>
      </w:r>
      <w:r w:rsidRPr="009D1378">
        <w:rPr>
          <w:sz w:val="20"/>
          <w:szCs w:val="20"/>
        </w:rPr>
        <w:t>As with a lot of pedestrian related analyses, there are a few caveats related to the results.</w:t>
      </w:r>
      <w:r>
        <w:rPr>
          <w:sz w:val="20"/>
          <w:szCs w:val="20"/>
        </w:rPr>
        <w:t xml:space="preserve">  </w:t>
      </w:r>
      <w:r w:rsidRPr="009D1378">
        <w:rPr>
          <w:sz w:val="20"/>
          <w:szCs w:val="20"/>
        </w:rPr>
        <w:t xml:space="preserve">The pedestrian mobility network is a richer, more extensive network than is depicted in traditional transport networks – which have until recently overlooked active travel routes. The quality of the walking environment is also not adequately represented. This map shows the pavement and pedestrian path network in </w:t>
      </w:r>
      <w:proofErr w:type="spellStart"/>
      <w:r w:rsidRPr="009D1378">
        <w:rPr>
          <w:sz w:val="20"/>
          <w:szCs w:val="20"/>
        </w:rPr>
        <w:t>Thornbury</w:t>
      </w:r>
      <w:proofErr w:type="spellEnd"/>
      <w:r w:rsidR="00EA7EE0">
        <w:rPr>
          <w:sz w:val="20"/>
          <w:szCs w:val="20"/>
        </w:rPr>
        <w:t>,</w:t>
      </w:r>
      <w:r w:rsidRPr="009D1378">
        <w:rPr>
          <w:sz w:val="20"/>
          <w:szCs w:val="20"/>
        </w:rPr>
        <w:t xml:space="preserve"> which would be useful inclusions in analysis such as this, and would go </w:t>
      </w:r>
      <w:proofErr w:type="spellStart"/>
      <w:r w:rsidRPr="009D1378">
        <w:rPr>
          <w:sz w:val="20"/>
          <w:szCs w:val="20"/>
        </w:rPr>
        <w:t>someway</w:t>
      </w:r>
      <w:proofErr w:type="spellEnd"/>
      <w:r w:rsidRPr="009D1378">
        <w:rPr>
          <w:sz w:val="20"/>
          <w:szCs w:val="20"/>
        </w:rPr>
        <w:t xml:space="preserve"> to addressing the problem.  </w:t>
      </w:r>
    </w:p>
    <w:p w:rsidR="0010693C" w:rsidRDefault="0010693C" w:rsidP="007A45B6">
      <w:pPr>
        <w:ind w:firstLine="284"/>
        <w:jc w:val="both"/>
        <w:rPr>
          <w:sz w:val="20"/>
          <w:szCs w:val="20"/>
        </w:rPr>
      </w:pPr>
    </w:p>
    <w:p w:rsidR="00DD03C5" w:rsidRDefault="00586881" w:rsidP="00DD03C5">
      <w:pPr>
        <w:ind w:firstLine="284"/>
        <w:jc w:val="both"/>
        <w:rPr>
          <w:sz w:val="20"/>
          <w:szCs w:val="20"/>
        </w:rPr>
      </w:pPr>
      <w:r>
        <w:rPr>
          <w:noProof/>
          <w:sz w:val="20"/>
          <w:szCs w:val="20"/>
        </w:rPr>
        <w:drawing>
          <wp:anchor distT="0" distB="0" distL="114300" distR="114300" simplePos="0" relativeHeight="251676672" behindDoc="0" locked="0" layoutInCell="1" allowOverlap="1">
            <wp:simplePos x="0" y="0"/>
            <wp:positionH relativeFrom="column">
              <wp:posOffset>194945</wp:posOffset>
            </wp:positionH>
            <wp:positionV relativeFrom="paragraph">
              <wp:posOffset>2058670</wp:posOffset>
            </wp:positionV>
            <wp:extent cx="776605" cy="676275"/>
            <wp:effectExtent l="19050" t="0" r="4445" b="0"/>
            <wp:wrapNone/>
            <wp:docPr id="35" name="Picture 5" descr="pedestrian_en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pedestrian_env.jpg"/>
                    <pic:cNvPicPr>
                      <a:picLocks noChangeAspect="1"/>
                    </pic:cNvPicPr>
                  </pic:nvPicPr>
                  <pic:blipFill>
                    <a:blip r:embed="rId19" cstate="print"/>
                    <a:srcRect l="2046" t="87377" r="79736" b="2787"/>
                    <a:stretch>
                      <a:fillRect/>
                    </a:stretch>
                  </pic:blipFill>
                  <pic:spPr>
                    <a:xfrm>
                      <a:off x="0" y="0"/>
                      <a:ext cx="776605" cy="676275"/>
                    </a:xfrm>
                    <a:prstGeom prst="rect">
                      <a:avLst/>
                    </a:prstGeom>
                  </pic:spPr>
                </pic:pic>
              </a:graphicData>
            </a:graphic>
          </wp:anchor>
        </w:drawing>
      </w:r>
      <w:r w:rsidR="00692188">
        <w:rPr>
          <w:noProof/>
          <w:sz w:val="20"/>
          <w:szCs w:val="20"/>
        </w:rPr>
        <w:drawing>
          <wp:inline distT="0" distB="0" distL="0" distR="0">
            <wp:extent cx="1697990" cy="2736000"/>
            <wp:effectExtent l="19050" t="0" r="0" b="0"/>
            <wp:docPr id="25" name="Picture 5" descr="pedestrian_env.jpg"/>
            <wp:cNvGraphicFramePr/>
            <a:graphic xmlns:a="http://schemas.openxmlformats.org/drawingml/2006/main">
              <a:graphicData uri="http://schemas.openxmlformats.org/drawingml/2006/picture">
                <pic:pic xmlns:pic="http://schemas.openxmlformats.org/drawingml/2006/picture">
                  <pic:nvPicPr>
                    <pic:cNvPr id="2" name="Picture 1" descr="pedestrian_env.jpg"/>
                    <pic:cNvPicPr>
                      <a:picLocks noChangeAspect="1"/>
                    </pic:cNvPicPr>
                  </pic:nvPicPr>
                  <pic:blipFill>
                    <a:blip r:embed="rId19" cstate="print"/>
                    <a:stretch>
                      <a:fillRect/>
                    </a:stretch>
                  </pic:blipFill>
                  <pic:spPr>
                    <a:xfrm>
                      <a:off x="0" y="0"/>
                      <a:ext cx="1697990" cy="2736000"/>
                    </a:xfrm>
                    <a:prstGeom prst="rect">
                      <a:avLst/>
                    </a:prstGeom>
                  </pic:spPr>
                </pic:pic>
              </a:graphicData>
            </a:graphic>
          </wp:inline>
        </w:drawing>
      </w:r>
      <w:r w:rsidR="009D1378" w:rsidRPr="009D1378">
        <w:rPr>
          <w:sz w:val="20"/>
          <w:szCs w:val="20"/>
        </w:rPr>
        <w:t xml:space="preserve"> </w:t>
      </w:r>
    </w:p>
    <w:p w:rsidR="00692188" w:rsidRDefault="00692188" w:rsidP="00DD03C5">
      <w:pPr>
        <w:jc w:val="both"/>
        <w:rPr>
          <w:sz w:val="20"/>
          <w:szCs w:val="20"/>
        </w:rPr>
      </w:pPr>
      <w:r>
        <w:rPr>
          <w:sz w:val="20"/>
          <w:szCs w:val="20"/>
        </w:rPr>
        <w:t>Figure 6: Pedestrian network</w:t>
      </w:r>
      <w:r w:rsidRPr="009D1378">
        <w:rPr>
          <w:sz w:val="20"/>
          <w:szCs w:val="20"/>
        </w:rPr>
        <w:t xml:space="preserve"> </w:t>
      </w:r>
    </w:p>
    <w:p w:rsidR="009D1378" w:rsidRPr="0010693C" w:rsidRDefault="009D1378" w:rsidP="0010693C">
      <w:pPr>
        <w:ind w:firstLine="720"/>
        <w:jc w:val="both"/>
        <w:rPr>
          <w:sz w:val="20"/>
          <w:szCs w:val="20"/>
        </w:rPr>
      </w:pPr>
      <w:r w:rsidRPr="009D1378">
        <w:rPr>
          <w:sz w:val="20"/>
          <w:szCs w:val="20"/>
        </w:rPr>
        <w:t>Unfortunately, there it is not in a ‘network friendly format’ and is difficult to include at the moment</w:t>
      </w:r>
      <w:r w:rsidR="00503684">
        <w:rPr>
          <w:sz w:val="20"/>
          <w:szCs w:val="20"/>
        </w:rPr>
        <w:t xml:space="preserve">. </w:t>
      </w:r>
      <w:r w:rsidRPr="009D1378">
        <w:rPr>
          <w:sz w:val="20"/>
          <w:szCs w:val="20"/>
        </w:rPr>
        <w:t>The other assumption is that pedestrians are distance rationalists, and will always take the shortest route</w:t>
      </w:r>
      <w:r w:rsidR="008125C1">
        <w:rPr>
          <w:sz w:val="20"/>
          <w:szCs w:val="20"/>
        </w:rPr>
        <w:t xml:space="preserve"> (Figure 6)</w:t>
      </w:r>
      <w:r w:rsidRPr="009D1378">
        <w:rPr>
          <w:sz w:val="20"/>
          <w:szCs w:val="20"/>
        </w:rPr>
        <w:t xml:space="preserve">. </w:t>
      </w:r>
    </w:p>
    <w:p w:rsidR="001B6226" w:rsidRDefault="00F513FF" w:rsidP="00CE1AA0">
      <w:pPr>
        <w:spacing w:after="120"/>
        <w:jc w:val="both"/>
        <w:rPr>
          <w:b/>
          <w:sz w:val="20"/>
          <w:szCs w:val="20"/>
        </w:rPr>
      </w:pPr>
      <w:r>
        <w:rPr>
          <w:b/>
          <w:sz w:val="20"/>
          <w:szCs w:val="20"/>
        </w:rPr>
        <w:t>4.1</w:t>
      </w:r>
      <w:r w:rsidR="001B6226" w:rsidRPr="00790C0E">
        <w:rPr>
          <w:b/>
          <w:sz w:val="20"/>
          <w:szCs w:val="20"/>
        </w:rPr>
        <w:t xml:space="preserve"> Activity sets as a system</w:t>
      </w:r>
    </w:p>
    <w:p w:rsidR="00E8794A" w:rsidRDefault="00E8794A" w:rsidP="008125C1">
      <w:pPr>
        <w:jc w:val="both"/>
        <w:rPr>
          <w:sz w:val="20"/>
          <w:szCs w:val="20"/>
        </w:rPr>
      </w:pPr>
      <w:r>
        <w:rPr>
          <w:sz w:val="20"/>
          <w:szCs w:val="20"/>
        </w:rPr>
        <w:lastRenderedPageBreak/>
        <w:t xml:space="preserve">At a smaller scale, the connection between nodes could be illustrated by </w:t>
      </w:r>
      <w:proofErr w:type="spellStart"/>
      <w:r>
        <w:rPr>
          <w:sz w:val="20"/>
          <w:szCs w:val="20"/>
        </w:rPr>
        <w:t>H</w:t>
      </w:r>
      <w:r w:rsidRPr="009E4959">
        <w:rPr>
          <w:sz w:val="20"/>
          <w:szCs w:val="20"/>
        </w:rPr>
        <w:t>engrove</w:t>
      </w:r>
      <w:proofErr w:type="spellEnd"/>
      <w:r w:rsidRPr="009E4959">
        <w:rPr>
          <w:sz w:val="20"/>
          <w:szCs w:val="20"/>
        </w:rPr>
        <w:t xml:space="preserve"> leisure park cinema</w:t>
      </w:r>
      <w:r>
        <w:rPr>
          <w:sz w:val="20"/>
          <w:szCs w:val="20"/>
        </w:rPr>
        <w:t xml:space="preserve">.  This leisure park consists of </w:t>
      </w:r>
      <w:proofErr w:type="spellStart"/>
      <w:r>
        <w:rPr>
          <w:sz w:val="20"/>
          <w:szCs w:val="20"/>
        </w:rPr>
        <w:t>Cineworld</w:t>
      </w:r>
      <w:proofErr w:type="spellEnd"/>
      <w:r>
        <w:rPr>
          <w:sz w:val="20"/>
          <w:szCs w:val="20"/>
        </w:rPr>
        <w:t xml:space="preserve"> cinema, a variety of restaurants, and a play park. </w:t>
      </w:r>
      <w:proofErr w:type="spellStart"/>
      <w:r w:rsidRPr="004E0F42">
        <w:rPr>
          <w:sz w:val="20"/>
          <w:szCs w:val="20"/>
        </w:rPr>
        <w:t>Hengrove</w:t>
      </w:r>
      <w:proofErr w:type="spellEnd"/>
      <w:r w:rsidRPr="004E0F42">
        <w:rPr>
          <w:sz w:val="20"/>
          <w:szCs w:val="20"/>
        </w:rPr>
        <w:t xml:space="preserve"> Play Park include; 12 metre high dome housing a jungle play experience, Sand and water play for younger children, Large wheels park for skateboarders, in-line skaters and BMX riders, </w:t>
      </w:r>
      <w:r>
        <w:rPr>
          <w:sz w:val="20"/>
          <w:szCs w:val="20"/>
        </w:rPr>
        <w:t>d</w:t>
      </w:r>
      <w:r w:rsidRPr="004E0F42">
        <w:rPr>
          <w:sz w:val="20"/>
          <w:szCs w:val="20"/>
        </w:rPr>
        <w:t xml:space="preserve">istinct zones with activity equipment, </w:t>
      </w:r>
      <w:r>
        <w:rPr>
          <w:sz w:val="20"/>
          <w:szCs w:val="20"/>
        </w:rPr>
        <w:t>l</w:t>
      </w:r>
      <w:r w:rsidRPr="004E0F42">
        <w:rPr>
          <w:sz w:val="20"/>
          <w:szCs w:val="20"/>
        </w:rPr>
        <w:t xml:space="preserve">arge central grassed space </w:t>
      </w:r>
      <w:r>
        <w:rPr>
          <w:sz w:val="20"/>
          <w:szCs w:val="20"/>
        </w:rPr>
        <w:t>for</w:t>
      </w:r>
      <w:r w:rsidRPr="004E0F42">
        <w:rPr>
          <w:sz w:val="20"/>
          <w:szCs w:val="20"/>
        </w:rPr>
        <w:t xml:space="preserve">, </w:t>
      </w:r>
      <w:r>
        <w:rPr>
          <w:sz w:val="20"/>
          <w:szCs w:val="20"/>
        </w:rPr>
        <w:t>c</w:t>
      </w:r>
      <w:r w:rsidRPr="004E0F42">
        <w:rPr>
          <w:sz w:val="20"/>
          <w:szCs w:val="20"/>
        </w:rPr>
        <w:t xml:space="preserve">afé, </w:t>
      </w:r>
      <w:r>
        <w:rPr>
          <w:sz w:val="20"/>
          <w:szCs w:val="20"/>
        </w:rPr>
        <w:t>t</w:t>
      </w:r>
      <w:r w:rsidRPr="004E0F42">
        <w:rPr>
          <w:sz w:val="20"/>
          <w:szCs w:val="20"/>
        </w:rPr>
        <w:t xml:space="preserve">oilets </w:t>
      </w:r>
      <w:r>
        <w:rPr>
          <w:sz w:val="20"/>
          <w:szCs w:val="20"/>
        </w:rPr>
        <w:t>and</w:t>
      </w:r>
      <w:r w:rsidRPr="004E0F42">
        <w:rPr>
          <w:sz w:val="20"/>
          <w:szCs w:val="20"/>
        </w:rPr>
        <w:t xml:space="preserve"> </w:t>
      </w:r>
      <w:r>
        <w:rPr>
          <w:sz w:val="20"/>
          <w:szCs w:val="20"/>
        </w:rPr>
        <w:t>s</w:t>
      </w:r>
      <w:r w:rsidRPr="004E0F42">
        <w:rPr>
          <w:sz w:val="20"/>
          <w:szCs w:val="20"/>
        </w:rPr>
        <w:t>eating</w:t>
      </w:r>
      <w:r>
        <w:rPr>
          <w:sz w:val="20"/>
          <w:szCs w:val="20"/>
        </w:rPr>
        <w:t>.</w:t>
      </w:r>
    </w:p>
    <w:p w:rsidR="009C35B0" w:rsidRDefault="009C35B0" w:rsidP="009C35B0">
      <w:pPr>
        <w:ind w:firstLine="284"/>
        <w:jc w:val="both"/>
        <w:rPr>
          <w:sz w:val="20"/>
          <w:szCs w:val="20"/>
        </w:rPr>
      </w:pPr>
      <w:r>
        <w:rPr>
          <w:sz w:val="20"/>
          <w:szCs w:val="20"/>
        </w:rPr>
        <w:t xml:space="preserve">The integration between the cinema complex, restaurants and the play areas is central to the success of the place as a support for intergeneration mixed uses.  For instance, </w:t>
      </w:r>
      <w:r w:rsidRPr="005D086E">
        <w:rPr>
          <w:sz w:val="20"/>
          <w:szCs w:val="20"/>
        </w:rPr>
        <w:t>older children</w:t>
      </w:r>
      <w:r>
        <w:rPr>
          <w:sz w:val="20"/>
          <w:szCs w:val="20"/>
        </w:rPr>
        <w:t xml:space="preserve"> come </w:t>
      </w:r>
      <w:r w:rsidRPr="005D086E">
        <w:rPr>
          <w:sz w:val="20"/>
          <w:szCs w:val="20"/>
        </w:rPr>
        <w:t xml:space="preserve">to see a film </w:t>
      </w:r>
      <w:r>
        <w:rPr>
          <w:sz w:val="20"/>
          <w:szCs w:val="20"/>
        </w:rPr>
        <w:t xml:space="preserve">on their own or accompanied by adults </w:t>
      </w:r>
      <w:r w:rsidRPr="005D086E">
        <w:rPr>
          <w:sz w:val="20"/>
          <w:szCs w:val="20"/>
        </w:rPr>
        <w:t xml:space="preserve">at </w:t>
      </w:r>
      <w:proofErr w:type="spellStart"/>
      <w:r w:rsidRPr="005D086E">
        <w:rPr>
          <w:sz w:val="20"/>
          <w:szCs w:val="20"/>
        </w:rPr>
        <w:t>Cineworld</w:t>
      </w:r>
      <w:proofErr w:type="spellEnd"/>
      <w:r>
        <w:rPr>
          <w:sz w:val="20"/>
          <w:szCs w:val="20"/>
        </w:rPr>
        <w:t>,</w:t>
      </w:r>
      <w:r w:rsidRPr="005D086E">
        <w:rPr>
          <w:sz w:val="20"/>
          <w:szCs w:val="20"/>
        </w:rPr>
        <w:t xml:space="preserve"> then lunch</w:t>
      </w:r>
      <w:r>
        <w:rPr>
          <w:sz w:val="20"/>
          <w:szCs w:val="20"/>
        </w:rPr>
        <w:t xml:space="preserve"> in the local restaurants.  This is often followed by </w:t>
      </w:r>
      <w:r w:rsidRPr="005D086E">
        <w:rPr>
          <w:sz w:val="20"/>
          <w:szCs w:val="20"/>
        </w:rPr>
        <w:t>play in the park</w:t>
      </w:r>
      <w:r>
        <w:rPr>
          <w:sz w:val="20"/>
          <w:szCs w:val="20"/>
        </w:rPr>
        <w:t>,</w:t>
      </w:r>
      <w:r w:rsidRPr="005D086E">
        <w:rPr>
          <w:sz w:val="20"/>
          <w:szCs w:val="20"/>
        </w:rPr>
        <w:t xml:space="preserve"> while </w:t>
      </w:r>
      <w:r>
        <w:rPr>
          <w:sz w:val="20"/>
          <w:szCs w:val="20"/>
        </w:rPr>
        <w:t>adults</w:t>
      </w:r>
      <w:r w:rsidRPr="005D086E">
        <w:rPr>
          <w:sz w:val="20"/>
          <w:szCs w:val="20"/>
        </w:rPr>
        <w:t xml:space="preserve"> </w:t>
      </w:r>
      <w:r>
        <w:rPr>
          <w:sz w:val="20"/>
          <w:szCs w:val="20"/>
        </w:rPr>
        <w:t>enjoy</w:t>
      </w:r>
      <w:r w:rsidRPr="005D086E">
        <w:rPr>
          <w:sz w:val="20"/>
          <w:szCs w:val="20"/>
        </w:rPr>
        <w:t xml:space="preserve"> </w:t>
      </w:r>
      <w:r>
        <w:rPr>
          <w:sz w:val="20"/>
          <w:szCs w:val="20"/>
        </w:rPr>
        <w:t>teas and</w:t>
      </w:r>
      <w:r w:rsidRPr="005D086E">
        <w:rPr>
          <w:sz w:val="20"/>
          <w:szCs w:val="20"/>
        </w:rPr>
        <w:t xml:space="preserve"> coffees from the cafe</w:t>
      </w:r>
      <w:r>
        <w:rPr>
          <w:sz w:val="20"/>
          <w:szCs w:val="20"/>
        </w:rPr>
        <w:t xml:space="preserve">.  From the cafe adults can keep an eye on their children, while socialising with friends and relatives (Figure 8).  </w:t>
      </w:r>
      <w:r w:rsidRPr="00D47181">
        <w:rPr>
          <w:sz w:val="20"/>
          <w:szCs w:val="20"/>
        </w:rPr>
        <w:t>The cinema complex, the cafe and the playground w</w:t>
      </w:r>
      <w:r>
        <w:rPr>
          <w:sz w:val="20"/>
          <w:szCs w:val="20"/>
        </w:rPr>
        <w:t>ork</w:t>
      </w:r>
      <w:r w:rsidRPr="00D47181">
        <w:rPr>
          <w:sz w:val="20"/>
          <w:szCs w:val="20"/>
        </w:rPr>
        <w:t xml:space="preserve"> as </w:t>
      </w:r>
      <w:r>
        <w:rPr>
          <w:sz w:val="20"/>
          <w:szCs w:val="20"/>
        </w:rPr>
        <w:t>an integrated system.  This system</w:t>
      </w:r>
      <w:r w:rsidRPr="00D47181">
        <w:rPr>
          <w:sz w:val="20"/>
          <w:szCs w:val="20"/>
        </w:rPr>
        <w:t xml:space="preserve"> </w:t>
      </w:r>
      <w:r>
        <w:rPr>
          <w:sz w:val="20"/>
          <w:szCs w:val="20"/>
        </w:rPr>
        <w:t>attracts a variety of users, which not only contributes to the economic viability of the leisure park, but also makes it a thriving social hub</w:t>
      </w:r>
      <w:r w:rsidRPr="00D47181">
        <w:rPr>
          <w:sz w:val="20"/>
          <w:szCs w:val="20"/>
        </w:rPr>
        <w:t xml:space="preserve">.  </w:t>
      </w:r>
    </w:p>
    <w:p w:rsidR="00E8794A" w:rsidRDefault="00E8794A" w:rsidP="00E8794A">
      <w:r w:rsidRPr="000017A8">
        <w:rPr>
          <w:noProof/>
          <w:szCs w:val="22"/>
        </w:rPr>
        <w:drawing>
          <wp:inline distT="0" distB="0" distL="0" distR="0">
            <wp:extent cx="2806176" cy="2098040"/>
            <wp:effectExtent l="19050" t="0" r="0" b="0"/>
            <wp:docPr id="20" name="Picture 22" descr="straightn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aightness.jpg"/>
                    <pic:cNvPicPr/>
                  </pic:nvPicPr>
                  <pic:blipFill>
                    <a:blip r:embed="rId20" cstate="print"/>
                    <a:srcRect t="15914" r="57303" b="36344"/>
                    <a:stretch>
                      <a:fillRect/>
                    </a:stretch>
                  </pic:blipFill>
                  <pic:spPr>
                    <a:xfrm>
                      <a:off x="0" y="0"/>
                      <a:ext cx="2808437" cy="2099731"/>
                    </a:xfrm>
                    <a:prstGeom prst="rect">
                      <a:avLst/>
                    </a:prstGeom>
                  </pic:spPr>
                </pic:pic>
              </a:graphicData>
            </a:graphic>
          </wp:inline>
        </w:drawing>
      </w:r>
      <w:r>
        <w:rPr>
          <w:noProof/>
        </w:rPr>
        <w:drawing>
          <wp:inline distT="0" distB="0" distL="0" distR="0">
            <wp:extent cx="1259205" cy="1642110"/>
            <wp:effectExtent l="19050" t="0" r="0" b="0"/>
            <wp:docPr id="21" name="Picture 1" descr="Hengrove Play Park ca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ngrove Play Park cafe"/>
                    <pic:cNvPicPr>
                      <a:picLocks noChangeAspect="1" noChangeArrowheads="1"/>
                    </pic:cNvPicPr>
                  </pic:nvPicPr>
                  <pic:blipFill>
                    <a:blip r:embed="rId21" cstate="print">
                      <a:lum bright="25000"/>
                    </a:blip>
                    <a:srcRect/>
                    <a:stretch>
                      <a:fillRect/>
                    </a:stretch>
                  </pic:blipFill>
                  <pic:spPr bwMode="auto">
                    <a:xfrm>
                      <a:off x="0" y="0"/>
                      <a:ext cx="1259205" cy="1642110"/>
                    </a:xfrm>
                    <a:prstGeom prst="rect">
                      <a:avLst/>
                    </a:prstGeom>
                    <a:noFill/>
                    <a:ln w="9525">
                      <a:noFill/>
                      <a:miter lim="800000"/>
                      <a:headEnd/>
                      <a:tailEnd/>
                    </a:ln>
                  </pic:spPr>
                </pic:pic>
              </a:graphicData>
            </a:graphic>
          </wp:inline>
        </w:drawing>
      </w:r>
    </w:p>
    <w:p w:rsidR="00E8794A" w:rsidRDefault="007A45B6" w:rsidP="00CE1AA0">
      <w:pPr>
        <w:ind w:left="4395" w:hanging="4253"/>
        <w:rPr>
          <w:sz w:val="20"/>
          <w:szCs w:val="20"/>
        </w:rPr>
      </w:pPr>
      <w:r w:rsidRPr="005D086E">
        <w:rPr>
          <w:sz w:val="20"/>
          <w:lang w:val="en-US"/>
        </w:rPr>
        <w:t xml:space="preserve">Figure </w:t>
      </w:r>
      <w:r>
        <w:rPr>
          <w:sz w:val="20"/>
          <w:lang w:val="en-US"/>
        </w:rPr>
        <w:t xml:space="preserve">7: </w:t>
      </w:r>
      <w:proofErr w:type="spellStart"/>
      <w:r>
        <w:rPr>
          <w:sz w:val="20"/>
          <w:lang w:val="en-US"/>
        </w:rPr>
        <w:t>Hengrove</w:t>
      </w:r>
      <w:proofErr w:type="spellEnd"/>
      <w:r>
        <w:rPr>
          <w:sz w:val="20"/>
          <w:lang w:val="en-US"/>
        </w:rPr>
        <w:t xml:space="preserve"> leisure park cinema</w:t>
      </w:r>
      <w:r w:rsidR="00E8794A">
        <w:rPr>
          <w:sz w:val="20"/>
          <w:lang w:val="en-US"/>
        </w:rPr>
        <w:t xml:space="preserve">  </w:t>
      </w:r>
      <w:r w:rsidR="00E8794A">
        <w:rPr>
          <w:sz w:val="20"/>
          <w:lang w:val="en-US"/>
        </w:rPr>
        <w:tab/>
        <w:t>Figure 8:</w:t>
      </w:r>
      <w:r w:rsidR="00E8794A" w:rsidRPr="00E8794A">
        <w:rPr>
          <w:sz w:val="20"/>
          <w:szCs w:val="20"/>
        </w:rPr>
        <w:t xml:space="preserve"> </w:t>
      </w:r>
      <w:r w:rsidR="00E8794A" w:rsidRPr="00503684">
        <w:rPr>
          <w:sz w:val="20"/>
          <w:szCs w:val="20"/>
        </w:rPr>
        <w:t>Café overlooking the play area</w:t>
      </w:r>
    </w:p>
    <w:p w:rsidR="00B122CC" w:rsidRDefault="00B122CC" w:rsidP="00CE1AA0">
      <w:pPr>
        <w:pStyle w:val="Heading1"/>
        <w:numPr>
          <w:ilvl w:val="0"/>
          <w:numId w:val="9"/>
        </w:numPr>
        <w:spacing w:after="120"/>
        <w:ind w:left="357" w:hanging="357"/>
      </w:pPr>
      <w:r w:rsidRPr="00C949F6">
        <w:t>Conclusion</w:t>
      </w:r>
    </w:p>
    <w:p w:rsidR="00E219F8" w:rsidRDefault="00DE6632" w:rsidP="00247DEE">
      <w:pPr>
        <w:jc w:val="both"/>
        <w:rPr>
          <w:sz w:val="20"/>
          <w:szCs w:val="20"/>
        </w:rPr>
      </w:pPr>
      <w:r>
        <w:rPr>
          <w:sz w:val="20"/>
          <w:szCs w:val="20"/>
        </w:rPr>
        <w:t>This research</w:t>
      </w:r>
      <w:r w:rsidRPr="007838AA">
        <w:rPr>
          <w:sz w:val="20"/>
          <w:szCs w:val="20"/>
        </w:rPr>
        <w:t xml:space="preserve"> </w:t>
      </w:r>
      <w:r>
        <w:rPr>
          <w:sz w:val="20"/>
          <w:szCs w:val="20"/>
        </w:rPr>
        <w:t>sought</w:t>
      </w:r>
      <w:r w:rsidRPr="007838AA">
        <w:rPr>
          <w:sz w:val="20"/>
          <w:szCs w:val="20"/>
        </w:rPr>
        <w:t xml:space="preserve"> to determine </w:t>
      </w:r>
      <w:r>
        <w:rPr>
          <w:sz w:val="20"/>
          <w:szCs w:val="20"/>
        </w:rPr>
        <w:t>aspects of the</w:t>
      </w:r>
      <w:r w:rsidRPr="007838AA">
        <w:rPr>
          <w:sz w:val="20"/>
          <w:szCs w:val="20"/>
        </w:rPr>
        <w:t xml:space="preserve"> essence </w:t>
      </w:r>
      <w:r>
        <w:rPr>
          <w:sz w:val="20"/>
          <w:szCs w:val="20"/>
        </w:rPr>
        <w:t>of sustainable urban environments.</w:t>
      </w:r>
      <w:r w:rsidRPr="007838AA">
        <w:rPr>
          <w:sz w:val="20"/>
          <w:szCs w:val="20"/>
        </w:rPr>
        <w:t xml:space="preserve"> </w:t>
      </w:r>
      <w:r>
        <w:rPr>
          <w:sz w:val="20"/>
          <w:szCs w:val="20"/>
        </w:rPr>
        <w:t xml:space="preserve">It </w:t>
      </w:r>
      <w:r w:rsidRPr="007838AA">
        <w:rPr>
          <w:sz w:val="20"/>
          <w:szCs w:val="20"/>
        </w:rPr>
        <w:t>develop</w:t>
      </w:r>
      <w:r>
        <w:rPr>
          <w:sz w:val="20"/>
          <w:szCs w:val="20"/>
        </w:rPr>
        <w:t>ed</w:t>
      </w:r>
      <w:r w:rsidRPr="007838AA">
        <w:rPr>
          <w:sz w:val="20"/>
          <w:szCs w:val="20"/>
        </w:rPr>
        <w:t xml:space="preserve"> a modelling framework within which the interactions and overlap between trends in communities’ lifestyles</w:t>
      </w:r>
      <w:r>
        <w:rPr>
          <w:sz w:val="20"/>
          <w:szCs w:val="20"/>
        </w:rPr>
        <w:t xml:space="preserve"> and behaviours</w:t>
      </w:r>
      <w:r w:rsidRPr="007838AA">
        <w:rPr>
          <w:sz w:val="20"/>
          <w:szCs w:val="20"/>
        </w:rPr>
        <w:t xml:space="preserve"> in cities are assessed.  A number of computational models have been presented with which to study and/or exploit aggregate behaviour and self-organisation from a number of interacting components.</w:t>
      </w:r>
      <w:r>
        <w:rPr>
          <w:sz w:val="20"/>
          <w:szCs w:val="20"/>
        </w:rPr>
        <w:t xml:space="preserve">  The relationship between l</w:t>
      </w:r>
      <w:r w:rsidRPr="00692188">
        <w:rPr>
          <w:sz w:val="20"/>
          <w:szCs w:val="20"/>
        </w:rPr>
        <w:t xml:space="preserve">ifestyle patterns </w:t>
      </w:r>
      <w:r>
        <w:rPr>
          <w:sz w:val="20"/>
          <w:szCs w:val="20"/>
        </w:rPr>
        <w:t xml:space="preserve">and spatial characteristics has been analysed, at a larger scale level, using </w:t>
      </w:r>
      <w:r w:rsidRPr="00692188">
        <w:rPr>
          <w:sz w:val="20"/>
          <w:szCs w:val="20"/>
        </w:rPr>
        <w:t xml:space="preserve">measures such as closeness, </w:t>
      </w:r>
      <w:proofErr w:type="spellStart"/>
      <w:r w:rsidRPr="00692188">
        <w:rPr>
          <w:sz w:val="20"/>
          <w:szCs w:val="20"/>
        </w:rPr>
        <w:t>betweenness</w:t>
      </w:r>
      <w:proofErr w:type="spellEnd"/>
      <w:r w:rsidRPr="00692188">
        <w:rPr>
          <w:sz w:val="20"/>
          <w:szCs w:val="20"/>
        </w:rPr>
        <w:t>, and straightness.</w:t>
      </w:r>
      <w:r w:rsidR="00CE1AA0">
        <w:rPr>
          <w:sz w:val="20"/>
          <w:szCs w:val="20"/>
        </w:rPr>
        <w:t xml:space="preserve">  </w:t>
      </w:r>
      <w:r>
        <w:rPr>
          <w:sz w:val="20"/>
          <w:szCs w:val="20"/>
        </w:rPr>
        <w:t xml:space="preserve">The findings revealed that the complexity of activity patterns is not fully represented in traditional spatial networks.  For instance, </w:t>
      </w:r>
      <w:r w:rsidRPr="009D1378">
        <w:rPr>
          <w:sz w:val="20"/>
          <w:szCs w:val="20"/>
        </w:rPr>
        <w:t xml:space="preserve">pedestrian mobility network is </w:t>
      </w:r>
      <w:r>
        <w:rPr>
          <w:sz w:val="20"/>
          <w:szCs w:val="20"/>
        </w:rPr>
        <w:t xml:space="preserve">more </w:t>
      </w:r>
      <w:r>
        <w:rPr>
          <w:sz w:val="20"/>
          <w:szCs w:val="20"/>
        </w:rPr>
        <w:lastRenderedPageBreak/>
        <w:t xml:space="preserve">complex </w:t>
      </w:r>
      <w:r w:rsidRPr="009D1378">
        <w:rPr>
          <w:sz w:val="20"/>
          <w:szCs w:val="20"/>
        </w:rPr>
        <w:t>than is depicted in</w:t>
      </w:r>
      <w:r>
        <w:rPr>
          <w:sz w:val="20"/>
          <w:szCs w:val="20"/>
        </w:rPr>
        <w:t xml:space="preserve"> traditional transport networks.  At a smaller scale, the analysis showed that successful places work as systems made of overlapping sets of activities.</w:t>
      </w:r>
      <w:r w:rsidR="00247DEE">
        <w:rPr>
          <w:sz w:val="20"/>
          <w:szCs w:val="20"/>
        </w:rPr>
        <w:t xml:space="preserve"> </w:t>
      </w:r>
    </w:p>
    <w:p w:rsidR="00DE6632" w:rsidRPr="007838AA" w:rsidRDefault="00DE6632" w:rsidP="00247DEE">
      <w:pPr>
        <w:jc w:val="both"/>
        <w:rPr>
          <w:sz w:val="20"/>
          <w:szCs w:val="20"/>
        </w:rPr>
      </w:pPr>
      <w:r>
        <w:rPr>
          <w:sz w:val="20"/>
          <w:szCs w:val="20"/>
        </w:rPr>
        <w:t>T</w:t>
      </w:r>
      <w:r w:rsidRPr="007838AA">
        <w:rPr>
          <w:sz w:val="20"/>
          <w:szCs w:val="20"/>
        </w:rPr>
        <w:t>he novelty of the proposed research lies in the following:</w:t>
      </w:r>
    </w:p>
    <w:p w:rsidR="00DE6632" w:rsidRPr="00E244D0" w:rsidRDefault="00DE6632" w:rsidP="00DE6632">
      <w:pPr>
        <w:pStyle w:val="ListParagraph"/>
        <w:numPr>
          <w:ilvl w:val="0"/>
          <w:numId w:val="20"/>
        </w:numPr>
        <w:ind w:left="284" w:hanging="284"/>
        <w:jc w:val="both"/>
        <w:rPr>
          <w:sz w:val="20"/>
          <w:szCs w:val="20"/>
        </w:rPr>
      </w:pPr>
      <w:r w:rsidRPr="00E244D0">
        <w:rPr>
          <w:sz w:val="20"/>
          <w:szCs w:val="20"/>
        </w:rPr>
        <w:t xml:space="preserve">Making explicit and integrating substantive knowledge, and decision-making procedures, from various sources and across scales, </w:t>
      </w:r>
      <w:r>
        <w:rPr>
          <w:sz w:val="20"/>
          <w:szCs w:val="20"/>
        </w:rPr>
        <w:t>help to</w:t>
      </w:r>
      <w:r w:rsidRPr="00E244D0">
        <w:rPr>
          <w:sz w:val="20"/>
          <w:szCs w:val="20"/>
        </w:rPr>
        <w:t xml:space="preserve"> shed light on new paths to urban sustainability. </w:t>
      </w:r>
    </w:p>
    <w:p w:rsidR="00DE6632" w:rsidRPr="00E244D0" w:rsidRDefault="00DE6632" w:rsidP="00DE6632">
      <w:pPr>
        <w:pStyle w:val="ListParagraph"/>
        <w:numPr>
          <w:ilvl w:val="0"/>
          <w:numId w:val="20"/>
        </w:numPr>
        <w:ind w:left="284" w:hanging="284"/>
        <w:jc w:val="both"/>
        <w:rPr>
          <w:sz w:val="20"/>
          <w:szCs w:val="20"/>
        </w:rPr>
      </w:pPr>
      <w:r w:rsidRPr="00E244D0">
        <w:rPr>
          <w:sz w:val="20"/>
          <w:szCs w:val="20"/>
        </w:rPr>
        <w:t>Using methods and tools, which are commonly used for modelling complex systems, to break down a city into small, organic and interactive parts, and analyse the interaction between these parts in the context of the whole city.</w:t>
      </w:r>
    </w:p>
    <w:p w:rsidR="00DE6632" w:rsidRPr="0010693C" w:rsidRDefault="00DE6632" w:rsidP="001D00DB">
      <w:pPr>
        <w:pStyle w:val="ListParagraph"/>
        <w:numPr>
          <w:ilvl w:val="0"/>
          <w:numId w:val="20"/>
        </w:numPr>
        <w:ind w:left="284" w:hanging="284"/>
        <w:jc w:val="both"/>
        <w:rPr>
          <w:sz w:val="20"/>
          <w:szCs w:val="20"/>
        </w:rPr>
      </w:pPr>
      <w:r w:rsidRPr="00E244D0">
        <w:rPr>
          <w:sz w:val="20"/>
          <w:szCs w:val="20"/>
        </w:rPr>
        <w:t xml:space="preserve">Examining the complex interconnectedness between urban physical characteristics, growing diversity of lifestyles and NI, across scales, will generate a new understanding of priorities for future urban sustainability trends, and their implications on decision-making and policymaking. </w:t>
      </w:r>
    </w:p>
    <w:p w:rsidR="00B122CC" w:rsidRDefault="00B122CC" w:rsidP="00CE1AA0">
      <w:pPr>
        <w:pStyle w:val="Heading1"/>
        <w:spacing w:before="120" w:after="120"/>
        <w:ind w:firstLine="0"/>
      </w:pPr>
      <w:r w:rsidRPr="00C949F6">
        <w:t>References</w:t>
      </w:r>
    </w:p>
    <w:p w:rsidR="00FA4493" w:rsidRPr="007243CE" w:rsidRDefault="007243CE" w:rsidP="005845FA">
      <w:pPr>
        <w:pStyle w:val="ListParagraph"/>
        <w:numPr>
          <w:ilvl w:val="0"/>
          <w:numId w:val="4"/>
        </w:numPr>
        <w:jc w:val="both"/>
        <w:rPr>
          <w:rFonts w:asciiTheme="majorHAnsi" w:hAnsiTheme="majorHAnsi" w:cstheme="majorHAnsi"/>
          <w:sz w:val="20"/>
          <w:szCs w:val="20"/>
        </w:rPr>
      </w:pPr>
      <w:r w:rsidRPr="007243CE">
        <w:rPr>
          <w:rFonts w:asciiTheme="majorHAnsi" w:hAnsiTheme="majorHAnsi" w:cstheme="majorHAnsi"/>
          <w:sz w:val="20"/>
          <w:szCs w:val="20"/>
        </w:rPr>
        <w:t xml:space="preserve">Adams, </w:t>
      </w:r>
      <w:r w:rsidR="00F60465" w:rsidRPr="007243CE">
        <w:rPr>
          <w:rFonts w:asciiTheme="majorHAnsi" w:hAnsiTheme="majorHAnsi" w:cstheme="majorHAnsi"/>
          <w:sz w:val="20"/>
          <w:szCs w:val="20"/>
        </w:rPr>
        <w:t>W.</w:t>
      </w:r>
      <w:r w:rsidRPr="007243CE">
        <w:rPr>
          <w:rFonts w:asciiTheme="majorHAnsi" w:hAnsiTheme="majorHAnsi" w:cstheme="majorHAnsi"/>
          <w:sz w:val="20"/>
          <w:szCs w:val="20"/>
        </w:rPr>
        <w:t xml:space="preserve"> </w:t>
      </w:r>
      <w:r w:rsidR="00F60465" w:rsidRPr="007243CE">
        <w:rPr>
          <w:rFonts w:asciiTheme="majorHAnsi" w:hAnsiTheme="majorHAnsi" w:cstheme="majorHAnsi"/>
          <w:sz w:val="20"/>
          <w:szCs w:val="20"/>
        </w:rPr>
        <w:t>M. (2006)</w:t>
      </w:r>
      <w:r w:rsidR="00FA4493" w:rsidRPr="007243CE">
        <w:rPr>
          <w:rFonts w:asciiTheme="majorHAnsi" w:hAnsiTheme="majorHAnsi" w:cstheme="majorHAnsi"/>
          <w:sz w:val="20"/>
          <w:szCs w:val="20"/>
        </w:rPr>
        <w:t xml:space="preserve"> </w:t>
      </w:r>
      <w:hyperlink r:id="rId22" w:history="1">
        <w:r w:rsidR="00FA4493" w:rsidRPr="007243CE">
          <w:rPr>
            <w:rFonts w:asciiTheme="majorHAnsi" w:hAnsiTheme="majorHAnsi" w:cstheme="majorHAnsi"/>
            <w:sz w:val="20"/>
            <w:szCs w:val="20"/>
          </w:rPr>
          <w:t xml:space="preserve">"The Future of Sustainability: Re-thinking Environment and Development in the </w:t>
        </w:r>
        <w:r w:rsidR="00586881">
          <w:rPr>
            <w:rFonts w:asciiTheme="majorHAnsi" w:hAnsiTheme="majorHAnsi" w:cstheme="majorHAnsi"/>
            <w:sz w:val="20"/>
            <w:szCs w:val="20"/>
          </w:rPr>
          <w:t>21</w:t>
        </w:r>
        <w:r w:rsidR="00586881" w:rsidRPr="00586881">
          <w:rPr>
            <w:rFonts w:asciiTheme="majorHAnsi" w:hAnsiTheme="majorHAnsi" w:cstheme="majorHAnsi"/>
            <w:sz w:val="20"/>
            <w:szCs w:val="20"/>
            <w:vertAlign w:val="superscript"/>
          </w:rPr>
          <w:t>st</w:t>
        </w:r>
        <w:r w:rsidR="00586881">
          <w:rPr>
            <w:rFonts w:asciiTheme="majorHAnsi" w:hAnsiTheme="majorHAnsi" w:cstheme="majorHAnsi"/>
            <w:sz w:val="20"/>
            <w:szCs w:val="20"/>
          </w:rPr>
          <w:t xml:space="preserve"> Century</w:t>
        </w:r>
        <w:r w:rsidR="00FA4493" w:rsidRPr="007243CE">
          <w:rPr>
            <w:rFonts w:asciiTheme="majorHAnsi" w:hAnsiTheme="majorHAnsi" w:cstheme="majorHAnsi"/>
            <w:sz w:val="20"/>
            <w:szCs w:val="20"/>
          </w:rPr>
          <w:t>."</w:t>
        </w:r>
      </w:hyperlink>
      <w:r w:rsidR="00FA4493" w:rsidRPr="007243CE">
        <w:rPr>
          <w:rFonts w:asciiTheme="majorHAnsi" w:hAnsiTheme="majorHAnsi" w:cstheme="majorHAnsi"/>
          <w:sz w:val="20"/>
          <w:szCs w:val="20"/>
        </w:rPr>
        <w:t xml:space="preserve"> Report of the IUCN R</w:t>
      </w:r>
      <w:r w:rsidR="00CE1AA0">
        <w:rPr>
          <w:rFonts w:asciiTheme="majorHAnsi" w:hAnsiTheme="majorHAnsi" w:cstheme="majorHAnsi"/>
          <w:sz w:val="20"/>
          <w:szCs w:val="20"/>
        </w:rPr>
        <w:t>enowned Thinkers Meeting, 29–31/</w:t>
      </w:r>
      <w:r w:rsidR="00586881">
        <w:rPr>
          <w:rFonts w:asciiTheme="majorHAnsi" w:hAnsiTheme="majorHAnsi" w:cstheme="majorHAnsi"/>
          <w:sz w:val="20"/>
          <w:szCs w:val="20"/>
        </w:rPr>
        <w:t>01/</w:t>
      </w:r>
      <w:r w:rsidR="00FA4493" w:rsidRPr="007243CE">
        <w:rPr>
          <w:rFonts w:asciiTheme="majorHAnsi" w:hAnsiTheme="majorHAnsi" w:cstheme="majorHAnsi"/>
          <w:sz w:val="20"/>
          <w:szCs w:val="20"/>
        </w:rPr>
        <w:t>2006. Retrieved on:</w:t>
      </w:r>
      <w:r w:rsidRPr="007243CE">
        <w:rPr>
          <w:rFonts w:asciiTheme="majorHAnsi" w:hAnsiTheme="majorHAnsi" w:cstheme="majorHAnsi"/>
          <w:sz w:val="20"/>
          <w:szCs w:val="20"/>
        </w:rPr>
        <w:t xml:space="preserve"> 16-02-2010</w:t>
      </w:r>
    </w:p>
    <w:p w:rsidR="00D535FC" w:rsidRPr="00247DEE" w:rsidRDefault="00D535FC" w:rsidP="00247DEE">
      <w:pPr>
        <w:pStyle w:val="ListParagraph"/>
        <w:numPr>
          <w:ilvl w:val="0"/>
          <w:numId w:val="4"/>
        </w:numPr>
        <w:jc w:val="both"/>
        <w:rPr>
          <w:rFonts w:asciiTheme="majorHAnsi" w:hAnsiTheme="majorHAnsi" w:cstheme="majorHAnsi"/>
          <w:sz w:val="20"/>
          <w:szCs w:val="20"/>
        </w:rPr>
      </w:pPr>
      <w:proofErr w:type="spellStart"/>
      <w:r w:rsidRPr="007243CE">
        <w:rPr>
          <w:rFonts w:asciiTheme="majorHAnsi" w:hAnsiTheme="majorHAnsi" w:cstheme="majorHAnsi"/>
          <w:sz w:val="20"/>
          <w:szCs w:val="20"/>
        </w:rPr>
        <w:t>Valentin</w:t>
      </w:r>
      <w:proofErr w:type="spellEnd"/>
      <w:r w:rsidRPr="007243CE">
        <w:rPr>
          <w:rFonts w:asciiTheme="majorHAnsi" w:hAnsiTheme="majorHAnsi" w:cstheme="majorHAnsi"/>
          <w:sz w:val="20"/>
          <w:szCs w:val="20"/>
        </w:rPr>
        <w:t xml:space="preserve">, A., and </w:t>
      </w:r>
      <w:proofErr w:type="spellStart"/>
      <w:r w:rsidRPr="007243CE">
        <w:rPr>
          <w:rFonts w:asciiTheme="majorHAnsi" w:hAnsiTheme="majorHAnsi" w:cstheme="majorHAnsi"/>
          <w:sz w:val="20"/>
          <w:szCs w:val="20"/>
        </w:rPr>
        <w:t>Spangenberg</w:t>
      </w:r>
      <w:proofErr w:type="spellEnd"/>
      <w:r w:rsidRPr="007243CE">
        <w:rPr>
          <w:rFonts w:asciiTheme="majorHAnsi" w:hAnsiTheme="majorHAnsi" w:cstheme="majorHAnsi"/>
          <w:sz w:val="20"/>
          <w:szCs w:val="20"/>
        </w:rPr>
        <w:t>, J. H. (2000) A guide to community sustainability indicators</w:t>
      </w:r>
      <w:r w:rsidR="00247DEE">
        <w:rPr>
          <w:rFonts w:asciiTheme="majorHAnsi" w:hAnsiTheme="majorHAnsi" w:cstheme="majorHAnsi"/>
          <w:sz w:val="20"/>
          <w:szCs w:val="20"/>
        </w:rPr>
        <w:t>, Environmental Impact Assess.</w:t>
      </w:r>
      <w:r w:rsidRPr="007243CE">
        <w:rPr>
          <w:rFonts w:asciiTheme="majorHAnsi" w:hAnsiTheme="majorHAnsi" w:cstheme="majorHAnsi"/>
          <w:sz w:val="20"/>
          <w:szCs w:val="20"/>
        </w:rPr>
        <w:t xml:space="preserve"> Review</w:t>
      </w:r>
      <w:r w:rsidR="00247DEE">
        <w:rPr>
          <w:rFonts w:asciiTheme="majorHAnsi" w:hAnsiTheme="majorHAnsi" w:cstheme="majorHAnsi"/>
          <w:sz w:val="20"/>
          <w:szCs w:val="20"/>
        </w:rPr>
        <w:t xml:space="preserve"> </w:t>
      </w:r>
      <w:r w:rsidRPr="00247DEE">
        <w:rPr>
          <w:rFonts w:asciiTheme="majorHAnsi" w:hAnsiTheme="majorHAnsi" w:cstheme="majorHAnsi"/>
          <w:sz w:val="20"/>
          <w:szCs w:val="20"/>
        </w:rPr>
        <w:t>20 381–392</w:t>
      </w:r>
    </w:p>
    <w:p w:rsidR="00E0494F" w:rsidRPr="007243CE" w:rsidRDefault="00E0494F" w:rsidP="00E0494F">
      <w:pPr>
        <w:pStyle w:val="ListParagraph"/>
        <w:numPr>
          <w:ilvl w:val="0"/>
          <w:numId w:val="4"/>
        </w:numPr>
        <w:jc w:val="both"/>
        <w:rPr>
          <w:rFonts w:asciiTheme="majorHAnsi" w:hAnsiTheme="majorHAnsi" w:cstheme="majorHAnsi"/>
          <w:sz w:val="20"/>
          <w:szCs w:val="20"/>
        </w:rPr>
      </w:pPr>
      <w:r w:rsidRPr="007243CE">
        <w:rPr>
          <w:rFonts w:asciiTheme="majorHAnsi" w:hAnsiTheme="majorHAnsi" w:cstheme="majorHAnsi"/>
          <w:sz w:val="20"/>
          <w:szCs w:val="20"/>
        </w:rPr>
        <w:t>Christensen</w:t>
      </w:r>
      <w:r w:rsidR="00F60465" w:rsidRPr="007243CE">
        <w:rPr>
          <w:rFonts w:asciiTheme="majorHAnsi" w:hAnsiTheme="majorHAnsi" w:cstheme="majorHAnsi"/>
          <w:sz w:val="20"/>
          <w:szCs w:val="20"/>
        </w:rPr>
        <w:t>,</w:t>
      </w:r>
      <w:r w:rsidRPr="007243CE">
        <w:rPr>
          <w:rFonts w:asciiTheme="majorHAnsi" w:hAnsiTheme="majorHAnsi" w:cstheme="majorHAnsi"/>
          <w:sz w:val="20"/>
          <w:szCs w:val="20"/>
        </w:rPr>
        <w:t xml:space="preserve"> P. (1997) Different Lifestyles and Their Impact on the Environment. Sustainable Development, </w:t>
      </w:r>
      <w:proofErr w:type="spellStart"/>
      <w:r w:rsidRPr="007243CE">
        <w:rPr>
          <w:rFonts w:asciiTheme="majorHAnsi" w:hAnsiTheme="majorHAnsi" w:cstheme="majorHAnsi"/>
          <w:sz w:val="20"/>
          <w:szCs w:val="20"/>
        </w:rPr>
        <w:t>Vol</w:t>
      </w:r>
      <w:proofErr w:type="spellEnd"/>
      <w:r w:rsidRPr="007243CE">
        <w:rPr>
          <w:rFonts w:asciiTheme="majorHAnsi" w:hAnsiTheme="majorHAnsi" w:cstheme="majorHAnsi"/>
          <w:sz w:val="20"/>
          <w:szCs w:val="20"/>
        </w:rPr>
        <w:t xml:space="preserve"> 5, </w:t>
      </w:r>
      <w:r w:rsidR="00247DEE">
        <w:rPr>
          <w:rFonts w:asciiTheme="majorHAnsi" w:hAnsiTheme="majorHAnsi" w:cstheme="majorHAnsi"/>
          <w:sz w:val="20"/>
          <w:szCs w:val="20"/>
        </w:rPr>
        <w:t>p</w:t>
      </w:r>
      <w:r w:rsidRPr="007243CE">
        <w:rPr>
          <w:rFonts w:asciiTheme="majorHAnsi" w:hAnsiTheme="majorHAnsi" w:cstheme="majorHAnsi"/>
          <w:sz w:val="20"/>
          <w:szCs w:val="20"/>
        </w:rPr>
        <w:t>p. 30-35</w:t>
      </w:r>
    </w:p>
    <w:p w:rsidR="001606DD" w:rsidRPr="007243CE" w:rsidRDefault="00E0494F" w:rsidP="00247DEE">
      <w:pPr>
        <w:pStyle w:val="ListParagraph"/>
        <w:numPr>
          <w:ilvl w:val="0"/>
          <w:numId w:val="4"/>
        </w:numPr>
        <w:jc w:val="both"/>
        <w:rPr>
          <w:rFonts w:asciiTheme="majorHAnsi" w:hAnsiTheme="majorHAnsi" w:cstheme="majorHAnsi"/>
          <w:sz w:val="20"/>
          <w:szCs w:val="20"/>
        </w:rPr>
      </w:pPr>
      <w:r w:rsidRPr="007243CE">
        <w:rPr>
          <w:rFonts w:asciiTheme="majorHAnsi" w:hAnsiTheme="majorHAnsi" w:cstheme="majorHAnsi"/>
          <w:sz w:val="20"/>
          <w:szCs w:val="20"/>
        </w:rPr>
        <w:t xml:space="preserve">Communities and Local Government, (2003) Sustainable Communities: Building for the Future, 5 February 2003, </w:t>
      </w:r>
      <w:proofErr w:type="gramStart"/>
      <w:r w:rsidRPr="007243CE">
        <w:rPr>
          <w:rFonts w:asciiTheme="majorHAnsi" w:hAnsiTheme="majorHAnsi" w:cstheme="majorHAnsi"/>
          <w:sz w:val="20"/>
          <w:szCs w:val="20"/>
        </w:rPr>
        <w:t>Online</w:t>
      </w:r>
      <w:proofErr w:type="gramEnd"/>
      <w:r w:rsidRPr="007243CE">
        <w:rPr>
          <w:rFonts w:asciiTheme="majorHAnsi" w:hAnsiTheme="majorHAnsi" w:cstheme="majorHAnsi"/>
          <w:sz w:val="20"/>
          <w:szCs w:val="20"/>
        </w:rPr>
        <w:t xml:space="preserve"> </w:t>
      </w:r>
      <w:hyperlink r:id="rId23" w:history="1">
        <w:r w:rsidRPr="00247DEE">
          <w:rPr>
            <w:rFonts w:asciiTheme="majorHAnsi" w:hAnsiTheme="majorHAnsi" w:cstheme="majorHAnsi"/>
            <w:sz w:val="20"/>
            <w:szCs w:val="20"/>
          </w:rPr>
          <w:t>http://www.communities.gov.uk/publications/communities/sustainablecommunitiesbuilding</w:t>
        </w:r>
      </w:hyperlink>
      <w:r w:rsidR="00F60465" w:rsidRPr="007243CE">
        <w:rPr>
          <w:rFonts w:asciiTheme="majorHAnsi" w:hAnsiTheme="majorHAnsi" w:cstheme="majorHAnsi"/>
          <w:sz w:val="20"/>
          <w:szCs w:val="20"/>
        </w:rPr>
        <w:t>. Retrieved on: 20-06-2011.</w:t>
      </w:r>
    </w:p>
    <w:p w:rsidR="00F60465" w:rsidRPr="00247DEE" w:rsidRDefault="00E0494F" w:rsidP="00247DEE">
      <w:pPr>
        <w:pStyle w:val="ListParagraph"/>
        <w:numPr>
          <w:ilvl w:val="0"/>
          <w:numId w:val="4"/>
        </w:numPr>
        <w:jc w:val="both"/>
        <w:rPr>
          <w:rFonts w:asciiTheme="majorHAnsi" w:hAnsiTheme="majorHAnsi" w:cstheme="majorHAnsi"/>
          <w:sz w:val="20"/>
          <w:szCs w:val="20"/>
        </w:rPr>
      </w:pPr>
      <w:r w:rsidRPr="007243CE">
        <w:rPr>
          <w:rFonts w:asciiTheme="majorHAnsi" w:hAnsiTheme="majorHAnsi" w:cstheme="majorHAnsi"/>
          <w:sz w:val="20"/>
          <w:szCs w:val="20"/>
        </w:rPr>
        <w:t>C</w:t>
      </w:r>
      <w:r w:rsidR="007243CE" w:rsidRPr="007243CE">
        <w:rPr>
          <w:rFonts w:asciiTheme="majorHAnsi" w:hAnsiTheme="majorHAnsi" w:cstheme="majorHAnsi"/>
          <w:sz w:val="20"/>
          <w:szCs w:val="20"/>
        </w:rPr>
        <w:t>ommunities and Local Government.</w:t>
      </w:r>
      <w:r w:rsidRPr="007243CE">
        <w:rPr>
          <w:rFonts w:asciiTheme="majorHAnsi" w:hAnsiTheme="majorHAnsi" w:cstheme="majorHAnsi"/>
          <w:sz w:val="20"/>
          <w:szCs w:val="20"/>
        </w:rPr>
        <w:t xml:space="preserve"> (200</w:t>
      </w:r>
      <w:r w:rsidR="001606DD" w:rsidRPr="007243CE">
        <w:rPr>
          <w:rFonts w:asciiTheme="majorHAnsi" w:hAnsiTheme="majorHAnsi" w:cstheme="majorHAnsi"/>
          <w:sz w:val="20"/>
          <w:szCs w:val="20"/>
        </w:rPr>
        <w:t>8</w:t>
      </w:r>
      <w:r w:rsidRPr="007243CE">
        <w:rPr>
          <w:rFonts w:asciiTheme="majorHAnsi" w:hAnsiTheme="majorHAnsi" w:cstheme="majorHAnsi"/>
          <w:sz w:val="20"/>
          <w:szCs w:val="20"/>
        </w:rPr>
        <w:t xml:space="preserve">) </w:t>
      </w:r>
      <w:hyperlink r:id="rId24" w:history="1">
        <w:r w:rsidRPr="007243CE">
          <w:rPr>
            <w:rFonts w:asciiTheme="majorHAnsi" w:hAnsiTheme="majorHAnsi" w:cstheme="majorHAnsi"/>
            <w:sz w:val="20"/>
            <w:szCs w:val="20"/>
          </w:rPr>
          <w:t>Thames Gateway Eco-region: a prospectus</w:t>
        </w:r>
      </w:hyperlink>
      <w:r w:rsidR="001606DD" w:rsidRPr="007243CE">
        <w:rPr>
          <w:rFonts w:asciiTheme="majorHAnsi" w:hAnsiTheme="majorHAnsi" w:cstheme="majorHAnsi"/>
          <w:sz w:val="20"/>
          <w:szCs w:val="20"/>
        </w:rPr>
        <w:t>.</w:t>
      </w:r>
      <w:r w:rsidR="00247DEE">
        <w:rPr>
          <w:rFonts w:asciiTheme="majorHAnsi" w:hAnsiTheme="majorHAnsi" w:cstheme="majorHAnsi"/>
          <w:sz w:val="20"/>
          <w:szCs w:val="20"/>
        </w:rPr>
        <w:t xml:space="preserve"> </w:t>
      </w:r>
      <w:r w:rsidR="001606DD" w:rsidRPr="00247DEE">
        <w:rPr>
          <w:rFonts w:asciiTheme="majorHAnsi" w:hAnsiTheme="majorHAnsi" w:cstheme="majorHAnsi"/>
          <w:sz w:val="20"/>
          <w:szCs w:val="20"/>
        </w:rPr>
        <w:t>Online</w:t>
      </w:r>
      <w:r w:rsidR="00247DEE" w:rsidRPr="00247DEE">
        <w:rPr>
          <w:rFonts w:asciiTheme="majorHAnsi" w:hAnsiTheme="majorHAnsi" w:cstheme="majorHAnsi"/>
          <w:sz w:val="20"/>
          <w:szCs w:val="20"/>
        </w:rPr>
        <w:t xml:space="preserve"> </w:t>
      </w:r>
      <w:r w:rsidR="00247DEE" w:rsidRPr="007243CE">
        <w:rPr>
          <w:rFonts w:asciiTheme="majorHAnsi" w:hAnsiTheme="majorHAnsi" w:cstheme="majorHAnsi"/>
          <w:sz w:val="20"/>
          <w:szCs w:val="20"/>
        </w:rPr>
        <w:t>Retrieved on:  16-06-</w:t>
      </w:r>
      <w:r w:rsidR="00247DEE">
        <w:rPr>
          <w:rFonts w:asciiTheme="majorHAnsi" w:hAnsiTheme="majorHAnsi" w:cstheme="majorHAnsi"/>
          <w:sz w:val="20"/>
          <w:szCs w:val="20"/>
        </w:rPr>
        <w:t>2011</w:t>
      </w:r>
      <w:r w:rsidR="00247DEE" w:rsidRPr="00247DEE">
        <w:rPr>
          <w:rFonts w:asciiTheme="majorHAnsi" w:hAnsiTheme="majorHAnsi" w:cstheme="majorHAnsi"/>
          <w:sz w:val="20"/>
          <w:szCs w:val="20"/>
        </w:rPr>
        <w:t xml:space="preserve"> http://www.communities.gov.uk/documents/regeneration/pdf/1074037.pdf</w:t>
      </w:r>
      <w:r w:rsidR="00F60465" w:rsidRPr="00247DEE">
        <w:rPr>
          <w:rFonts w:asciiTheme="majorHAnsi" w:hAnsiTheme="majorHAnsi" w:cstheme="majorHAnsi"/>
          <w:sz w:val="20"/>
          <w:szCs w:val="20"/>
        </w:rPr>
        <w:t xml:space="preserve">, </w:t>
      </w:r>
    </w:p>
    <w:p w:rsidR="00F60465" w:rsidRPr="007243CE" w:rsidRDefault="00FA4493" w:rsidP="001606DD">
      <w:pPr>
        <w:pStyle w:val="ListParagraph"/>
        <w:numPr>
          <w:ilvl w:val="0"/>
          <w:numId w:val="4"/>
        </w:numPr>
        <w:jc w:val="both"/>
        <w:rPr>
          <w:rFonts w:asciiTheme="majorHAnsi" w:hAnsiTheme="majorHAnsi" w:cstheme="majorHAnsi"/>
          <w:sz w:val="20"/>
          <w:szCs w:val="20"/>
        </w:rPr>
      </w:pPr>
      <w:r w:rsidRPr="007243CE">
        <w:rPr>
          <w:rFonts w:asciiTheme="majorHAnsi" w:hAnsiTheme="majorHAnsi" w:cstheme="majorHAnsi"/>
          <w:sz w:val="20"/>
          <w:szCs w:val="20"/>
        </w:rPr>
        <w:t>Jenks, M., Burton, E. and Williams, K. (Ed</w:t>
      </w:r>
      <w:r w:rsidR="00F60465" w:rsidRPr="007243CE">
        <w:rPr>
          <w:rFonts w:asciiTheme="majorHAnsi" w:hAnsiTheme="majorHAnsi" w:cstheme="majorHAnsi"/>
          <w:sz w:val="20"/>
          <w:szCs w:val="20"/>
        </w:rPr>
        <w:t>s.</w:t>
      </w:r>
      <w:r w:rsidRPr="007243CE">
        <w:rPr>
          <w:rFonts w:asciiTheme="majorHAnsi" w:hAnsiTheme="majorHAnsi" w:cstheme="majorHAnsi"/>
          <w:sz w:val="20"/>
          <w:szCs w:val="20"/>
        </w:rPr>
        <w:t xml:space="preserve">), </w:t>
      </w:r>
      <w:r w:rsidR="00F60465" w:rsidRPr="007243CE">
        <w:rPr>
          <w:rFonts w:asciiTheme="majorHAnsi" w:hAnsiTheme="majorHAnsi" w:cstheme="majorHAnsi"/>
          <w:sz w:val="20"/>
          <w:szCs w:val="20"/>
        </w:rPr>
        <w:t>(</w:t>
      </w:r>
      <w:r w:rsidRPr="007243CE">
        <w:rPr>
          <w:rFonts w:asciiTheme="majorHAnsi" w:hAnsiTheme="majorHAnsi" w:cstheme="majorHAnsi"/>
          <w:sz w:val="20"/>
          <w:szCs w:val="20"/>
        </w:rPr>
        <w:t>1996</w:t>
      </w:r>
      <w:r w:rsidR="00F60465" w:rsidRPr="007243CE">
        <w:rPr>
          <w:rFonts w:asciiTheme="majorHAnsi" w:hAnsiTheme="majorHAnsi" w:cstheme="majorHAnsi"/>
          <w:sz w:val="20"/>
          <w:szCs w:val="20"/>
        </w:rPr>
        <w:t>)</w:t>
      </w:r>
      <w:r w:rsidRPr="007243CE">
        <w:rPr>
          <w:rFonts w:asciiTheme="majorHAnsi" w:hAnsiTheme="majorHAnsi" w:cstheme="majorHAnsi"/>
          <w:sz w:val="20"/>
          <w:szCs w:val="20"/>
        </w:rPr>
        <w:t xml:space="preserve"> The Compact City: A Sustainable Urban Form?, </w:t>
      </w:r>
      <w:proofErr w:type="spellStart"/>
      <w:r w:rsidRPr="007243CE">
        <w:rPr>
          <w:rFonts w:asciiTheme="majorHAnsi" w:hAnsiTheme="majorHAnsi" w:cstheme="majorHAnsi"/>
          <w:sz w:val="20"/>
          <w:szCs w:val="20"/>
        </w:rPr>
        <w:t>Spon</w:t>
      </w:r>
      <w:proofErr w:type="spellEnd"/>
      <w:r w:rsidRPr="007243CE">
        <w:rPr>
          <w:rFonts w:asciiTheme="majorHAnsi" w:hAnsiTheme="majorHAnsi" w:cstheme="majorHAnsi"/>
          <w:sz w:val="20"/>
          <w:szCs w:val="20"/>
        </w:rPr>
        <w:t xml:space="preserve"> Press</w:t>
      </w:r>
      <w:r w:rsidR="001606DD" w:rsidRPr="007243CE">
        <w:rPr>
          <w:rFonts w:asciiTheme="majorHAnsi" w:hAnsiTheme="majorHAnsi" w:cstheme="majorHAnsi"/>
          <w:sz w:val="20"/>
          <w:szCs w:val="20"/>
        </w:rPr>
        <w:t xml:space="preserve"> </w:t>
      </w:r>
    </w:p>
    <w:p w:rsidR="00F60465" w:rsidRPr="007243CE" w:rsidRDefault="00F60465" w:rsidP="00F60465">
      <w:pPr>
        <w:pStyle w:val="ListParagraph"/>
        <w:numPr>
          <w:ilvl w:val="0"/>
          <w:numId w:val="4"/>
        </w:numPr>
        <w:jc w:val="both"/>
        <w:rPr>
          <w:rFonts w:asciiTheme="majorHAnsi" w:hAnsiTheme="majorHAnsi" w:cstheme="majorHAnsi"/>
          <w:sz w:val="20"/>
          <w:szCs w:val="20"/>
        </w:rPr>
      </w:pPr>
      <w:r w:rsidRPr="007243CE">
        <w:rPr>
          <w:rFonts w:asciiTheme="majorHAnsi" w:hAnsiTheme="majorHAnsi" w:cstheme="majorHAnsi"/>
          <w:sz w:val="20"/>
          <w:szCs w:val="20"/>
        </w:rPr>
        <w:t>Jacobs, J. (1961</w:t>
      </w:r>
      <w:r w:rsidR="007243CE" w:rsidRPr="007243CE">
        <w:rPr>
          <w:rFonts w:asciiTheme="majorHAnsi" w:hAnsiTheme="majorHAnsi" w:cstheme="majorHAnsi"/>
          <w:sz w:val="20"/>
          <w:szCs w:val="20"/>
        </w:rPr>
        <w:t xml:space="preserve">) </w:t>
      </w:r>
      <w:proofErr w:type="gramStart"/>
      <w:r w:rsidRPr="007243CE">
        <w:rPr>
          <w:rFonts w:asciiTheme="majorHAnsi" w:hAnsiTheme="majorHAnsi" w:cstheme="majorHAnsi"/>
          <w:sz w:val="20"/>
          <w:szCs w:val="20"/>
        </w:rPr>
        <w:t>The</w:t>
      </w:r>
      <w:proofErr w:type="gramEnd"/>
      <w:r w:rsidRPr="007243CE">
        <w:rPr>
          <w:rFonts w:asciiTheme="majorHAnsi" w:hAnsiTheme="majorHAnsi" w:cstheme="majorHAnsi"/>
          <w:sz w:val="20"/>
          <w:szCs w:val="20"/>
        </w:rPr>
        <w:t xml:space="preserve"> Death and Life of Great American Cities. Random House, New York.</w:t>
      </w:r>
    </w:p>
    <w:p w:rsidR="001606DD" w:rsidRPr="007243CE" w:rsidRDefault="001606DD" w:rsidP="001606DD">
      <w:pPr>
        <w:pStyle w:val="ListParagraph"/>
        <w:numPr>
          <w:ilvl w:val="0"/>
          <w:numId w:val="4"/>
        </w:numPr>
        <w:jc w:val="both"/>
        <w:rPr>
          <w:rFonts w:asciiTheme="majorHAnsi" w:hAnsiTheme="majorHAnsi" w:cstheme="majorHAnsi"/>
          <w:sz w:val="20"/>
          <w:szCs w:val="20"/>
        </w:rPr>
      </w:pPr>
      <w:r w:rsidRPr="007243CE">
        <w:rPr>
          <w:rFonts w:asciiTheme="majorHAnsi" w:hAnsiTheme="majorHAnsi" w:cstheme="majorHAnsi"/>
          <w:sz w:val="20"/>
          <w:szCs w:val="20"/>
        </w:rPr>
        <w:t>Alexander, C. (1966). A</w:t>
      </w:r>
      <w:r w:rsidRPr="00247DEE">
        <w:rPr>
          <w:rFonts w:asciiTheme="majorHAnsi" w:hAnsiTheme="majorHAnsi" w:cstheme="majorHAnsi"/>
          <w:sz w:val="20"/>
          <w:szCs w:val="20"/>
        </w:rPr>
        <w:t xml:space="preserve"> city is not a tree. In Legates, R. and Stout, F. (Eds.). The City </w:t>
      </w:r>
      <w:proofErr w:type="gramStart"/>
      <w:r w:rsidRPr="007243CE">
        <w:rPr>
          <w:rFonts w:asciiTheme="majorHAnsi" w:hAnsiTheme="majorHAnsi" w:cstheme="majorHAnsi"/>
          <w:sz w:val="20"/>
          <w:szCs w:val="20"/>
        </w:rPr>
        <w:t>Reader .</w:t>
      </w:r>
      <w:proofErr w:type="gramEnd"/>
      <w:r w:rsidRPr="007243CE">
        <w:rPr>
          <w:rFonts w:asciiTheme="majorHAnsi" w:hAnsiTheme="majorHAnsi" w:cstheme="majorHAnsi"/>
          <w:sz w:val="20"/>
          <w:szCs w:val="20"/>
        </w:rPr>
        <w:t xml:space="preserve"> London: </w:t>
      </w:r>
      <w:proofErr w:type="spellStart"/>
      <w:r w:rsidRPr="007243CE">
        <w:rPr>
          <w:rFonts w:asciiTheme="majorHAnsi" w:hAnsiTheme="majorHAnsi" w:cstheme="majorHAnsi"/>
          <w:sz w:val="20"/>
          <w:szCs w:val="20"/>
        </w:rPr>
        <w:t>Routledge</w:t>
      </w:r>
      <w:proofErr w:type="spellEnd"/>
      <w:r w:rsidRPr="007243CE">
        <w:rPr>
          <w:rFonts w:asciiTheme="majorHAnsi" w:hAnsiTheme="majorHAnsi" w:cstheme="majorHAnsi"/>
          <w:sz w:val="20"/>
          <w:szCs w:val="20"/>
        </w:rPr>
        <w:t xml:space="preserve">. </w:t>
      </w:r>
      <w:r w:rsidR="00CE1AA0">
        <w:rPr>
          <w:rFonts w:asciiTheme="majorHAnsi" w:hAnsiTheme="majorHAnsi" w:cstheme="majorHAnsi"/>
          <w:sz w:val="20"/>
          <w:szCs w:val="20"/>
        </w:rPr>
        <w:t xml:space="preserve">pp. </w:t>
      </w:r>
      <w:r w:rsidRPr="007243CE">
        <w:rPr>
          <w:rFonts w:asciiTheme="majorHAnsi" w:hAnsiTheme="majorHAnsi" w:cstheme="majorHAnsi"/>
          <w:sz w:val="20"/>
          <w:szCs w:val="20"/>
        </w:rPr>
        <w:t>118-131.</w:t>
      </w:r>
    </w:p>
    <w:p w:rsidR="00BD1230" w:rsidRPr="007243CE" w:rsidRDefault="00BD1230" w:rsidP="00BD1230">
      <w:pPr>
        <w:pStyle w:val="ListParagraph"/>
        <w:numPr>
          <w:ilvl w:val="0"/>
          <w:numId w:val="4"/>
        </w:numPr>
        <w:jc w:val="both"/>
        <w:rPr>
          <w:rFonts w:asciiTheme="majorHAnsi" w:hAnsiTheme="majorHAnsi" w:cstheme="majorHAnsi"/>
          <w:sz w:val="20"/>
          <w:szCs w:val="20"/>
        </w:rPr>
      </w:pPr>
      <w:r w:rsidRPr="007243CE">
        <w:rPr>
          <w:rFonts w:asciiTheme="majorHAnsi" w:hAnsiTheme="majorHAnsi" w:cstheme="majorHAnsi"/>
          <w:sz w:val="20"/>
          <w:szCs w:val="20"/>
        </w:rPr>
        <w:t xml:space="preserve">Jones, P., Marshall, S. and </w:t>
      </w:r>
      <w:proofErr w:type="spellStart"/>
      <w:r w:rsidRPr="007243CE">
        <w:rPr>
          <w:rFonts w:asciiTheme="majorHAnsi" w:hAnsiTheme="majorHAnsi" w:cstheme="majorHAnsi"/>
          <w:sz w:val="20"/>
          <w:szCs w:val="20"/>
        </w:rPr>
        <w:t>Boujenko</w:t>
      </w:r>
      <w:proofErr w:type="spellEnd"/>
      <w:r w:rsidRPr="007243CE">
        <w:rPr>
          <w:rFonts w:asciiTheme="majorHAnsi" w:hAnsiTheme="majorHAnsi" w:cstheme="majorHAnsi"/>
          <w:sz w:val="20"/>
          <w:szCs w:val="20"/>
        </w:rPr>
        <w:t>, N. (2008) Creating more people-friendly urban streets through ‘Link and Place’, Journal of the International Association of Traffic and Safety Sciences, 32 (1) 14–25.</w:t>
      </w:r>
    </w:p>
    <w:p w:rsidR="005845FA" w:rsidRPr="007243CE" w:rsidRDefault="005845FA" w:rsidP="005845FA">
      <w:pPr>
        <w:pStyle w:val="ListParagraph"/>
        <w:numPr>
          <w:ilvl w:val="0"/>
          <w:numId w:val="4"/>
        </w:numPr>
        <w:jc w:val="both"/>
        <w:rPr>
          <w:rFonts w:asciiTheme="majorHAnsi" w:hAnsiTheme="majorHAnsi" w:cstheme="majorHAnsi"/>
          <w:bCs/>
          <w:iCs/>
          <w:sz w:val="20"/>
          <w:szCs w:val="20"/>
        </w:rPr>
      </w:pPr>
      <w:proofErr w:type="spellStart"/>
      <w:r w:rsidRPr="007243CE">
        <w:rPr>
          <w:rFonts w:asciiTheme="majorHAnsi" w:hAnsiTheme="majorHAnsi" w:cstheme="majorHAnsi"/>
          <w:bCs/>
          <w:iCs/>
          <w:sz w:val="20"/>
          <w:szCs w:val="20"/>
        </w:rPr>
        <w:t>Gehl</w:t>
      </w:r>
      <w:proofErr w:type="spellEnd"/>
      <w:r w:rsidRPr="007243CE">
        <w:rPr>
          <w:rFonts w:asciiTheme="majorHAnsi" w:hAnsiTheme="majorHAnsi" w:cstheme="majorHAnsi"/>
          <w:bCs/>
          <w:iCs/>
          <w:sz w:val="20"/>
          <w:szCs w:val="20"/>
        </w:rPr>
        <w:t xml:space="preserve"> J, </w:t>
      </w:r>
      <w:proofErr w:type="spellStart"/>
      <w:r w:rsidRPr="007243CE">
        <w:rPr>
          <w:rFonts w:asciiTheme="majorHAnsi" w:hAnsiTheme="majorHAnsi" w:cstheme="majorHAnsi"/>
          <w:bCs/>
          <w:iCs/>
          <w:sz w:val="20"/>
          <w:szCs w:val="20"/>
        </w:rPr>
        <w:t>Gemzøe</w:t>
      </w:r>
      <w:proofErr w:type="spellEnd"/>
      <w:r w:rsidRPr="007243CE">
        <w:rPr>
          <w:rFonts w:asciiTheme="majorHAnsi" w:hAnsiTheme="majorHAnsi" w:cstheme="majorHAnsi"/>
          <w:bCs/>
          <w:iCs/>
          <w:sz w:val="20"/>
          <w:szCs w:val="20"/>
        </w:rPr>
        <w:t xml:space="preserve"> L</w:t>
      </w:r>
      <w:r w:rsidR="007243CE" w:rsidRPr="007243CE">
        <w:rPr>
          <w:rFonts w:asciiTheme="majorHAnsi" w:hAnsiTheme="majorHAnsi" w:cstheme="majorHAnsi"/>
          <w:bCs/>
          <w:iCs/>
          <w:sz w:val="20"/>
          <w:szCs w:val="20"/>
        </w:rPr>
        <w:t>.</w:t>
      </w:r>
      <w:r w:rsidRPr="007243CE">
        <w:rPr>
          <w:rFonts w:asciiTheme="majorHAnsi" w:hAnsiTheme="majorHAnsi" w:cstheme="majorHAnsi"/>
          <w:bCs/>
          <w:iCs/>
          <w:sz w:val="20"/>
          <w:szCs w:val="20"/>
        </w:rPr>
        <w:t xml:space="preserve"> (1996) Public Spaces Public Life. Copenhagen, Denmark</w:t>
      </w:r>
    </w:p>
    <w:p w:rsidR="005845FA" w:rsidRPr="007243CE" w:rsidRDefault="005845FA" w:rsidP="00BD1230">
      <w:pPr>
        <w:pStyle w:val="ListParagraph"/>
        <w:numPr>
          <w:ilvl w:val="0"/>
          <w:numId w:val="4"/>
        </w:numPr>
        <w:jc w:val="both"/>
        <w:rPr>
          <w:rFonts w:asciiTheme="majorHAnsi" w:hAnsiTheme="majorHAnsi" w:cstheme="majorHAnsi"/>
          <w:bCs/>
          <w:iCs/>
          <w:sz w:val="20"/>
          <w:szCs w:val="20"/>
        </w:rPr>
      </w:pPr>
      <w:r w:rsidRPr="007243CE">
        <w:rPr>
          <w:rFonts w:asciiTheme="majorHAnsi" w:hAnsiTheme="majorHAnsi" w:cstheme="majorHAnsi"/>
          <w:bCs/>
          <w:iCs/>
          <w:sz w:val="20"/>
          <w:szCs w:val="20"/>
        </w:rPr>
        <w:t>Lennard, S.</w:t>
      </w:r>
      <w:r w:rsidR="00340BCD" w:rsidRPr="007243CE">
        <w:rPr>
          <w:rFonts w:asciiTheme="majorHAnsi" w:hAnsiTheme="majorHAnsi" w:cstheme="majorHAnsi"/>
          <w:bCs/>
          <w:iCs/>
          <w:sz w:val="20"/>
          <w:szCs w:val="20"/>
        </w:rPr>
        <w:t xml:space="preserve"> </w:t>
      </w:r>
      <w:r w:rsidR="00247DEE">
        <w:rPr>
          <w:rFonts w:asciiTheme="majorHAnsi" w:hAnsiTheme="majorHAnsi" w:cstheme="majorHAnsi"/>
          <w:bCs/>
          <w:iCs/>
          <w:sz w:val="20"/>
          <w:szCs w:val="20"/>
        </w:rPr>
        <w:t xml:space="preserve">and </w:t>
      </w:r>
      <w:proofErr w:type="spellStart"/>
      <w:r w:rsidRPr="007243CE">
        <w:rPr>
          <w:rFonts w:asciiTheme="majorHAnsi" w:hAnsiTheme="majorHAnsi" w:cstheme="majorHAnsi"/>
          <w:bCs/>
          <w:iCs/>
          <w:sz w:val="20"/>
          <w:szCs w:val="20"/>
        </w:rPr>
        <w:t>Lennard</w:t>
      </w:r>
      <w:proofErr w:type="spellEnd"/>
      <w:r w:rsidR="0067688A" w:rsidRPr="007243CE">
        <w:rPr>
          <w:rFonts w:asciiTheme="majorHAnsi" w:hAnsiTheme="majorHAnsi" w:cstheme="majorHAnsi"/>
          <w:bCs/>
          <w:iCs/>
          <w:sz w:val="20"/>
          <w:szCs w:val="20"/>
        </w:rPr>
        <w:t>, H</w:t>
      </w:r>
      <w:r w:rsidRPr="007243CE">
        <w:rPr>
          <w:rFonts w:asciiTheme="majorHAnsi" w:hAnsiTheme="majorHAnsi" w:cstheme="majorHAnsi"/>
          <w:bCs/>
          <w:iCs/>
          <w:sz w:val="20"/>
          <w:szCs w:val="20"/>
        </w:rPr>
        <w:t xml:space="preserve">. (1987). </w:t>
      </w:r>
      <w:proofErr w:type="spellStart"/>
      <w:r w:rsidRPr="007243CE">
        <w:rPr>
          <w:rFonts w:asciiTheme="majorHAnsi" w:hAnsiTheme="majorHAnsi" w:cstheme="majorHAnsi"/>
          <w:bCs/>
          <w:iCs/>
          <w:sz w:val="20"/>
          <w:szCs w:val="20"/>
        </w:rPr>
        <w:t>Livable</w:t>
      </w:r>
      <w:proofErr w:type="spellEnd"/>
      <w:r w:rsidRPr="007243CE">
        <w:rPr>
          <w:rFonts w:asciiTheme="majorHAnsi" w:hAnsiTheme="majorHAnsi" w:cstheme="majorHAnsi"/>
          <w:bCs/>
          <w:iCs/>
          <w:sz w:val="20"/>
          <w:szCs w:val="20"/>
        </w:rPr>
        <w:t xml:space="preserve"> Cities - People and Places: Social and Design Principles for the Future of the City. Southampton: Gondolier Press</w:t>
      </w:r>
    </w:p>
    <w:p w:rsidR="0035371E" w:rsidRPr="00CE1AA0" w:rsidRDefault="007243CE" w:rsidP="00CE1AA0">
      <w:pPr>
        <w:pStyle w:val="ListParagraph"/>
        <w:numPr>
          <w:ilvl w:val="0"/>
          <w:numId w:val="4"/>
        </w:numPr>
        <w:jc w:val="both"/>
        <w:rPr>
          <w:rFonts w:asciiTheme="majorHAnsi" w:hAnsiTheme="majorHAnsi" w:cstheme="majorHAnsi"/>
          <w:bCs/>
          <w:iCs/>
          <w:sz w:val="20"/>
          <w:szCs w:val="20"/>
        </w:rPr>
      </w:pPr>
      <w:proofErr w:type="spellStart"/>
      <w:r w:rsidRPr="00CE1AA0">
        <w:rPr>
          <w:rFonts w:asciiTheme="majorHAnsi" w:hAnsiTheme="majorHAnsi" w:cstheme="majorHAnsi"/>
          <w:bCs/>
          <w:iCs/>
          <w:sz w:val="20"/>
          <w:szCs w:val="20"/>
        </w:rPr>
        <w:t>Porta</w:t>
      </w:r>
      <w:proofErr w:type="spellEnd"/>
      <w:r w:rsidRPr="00CE1AA0">
        <w:rPr>
          <w:rFonts w:asciiTheme="majorHAnsi" w:hAnsiTheme="majorHAnsi" w:cstheme="majorHAnsi"/>
          <w:bCs/>
          <w:iCs/>
          <w:sz w:val="20"/>
          <w:szCs w:val="20"/>
        </w:rPr>
        <w:t xml:space="preserve">, S. et al. (2009) Street centrality and densities of retail and services in Bologna. Environment and </w:t>
      </w:r>
      <w:r w:rsidR="00403FA2" w:rsidRPr="00CE1AA0">
        <w:rPr>
          <w:rFonts w:asciiTheme="majorHAnsi" w:hAnsiTheme="majorHAnsi" w:cstheme="majorHAnsi"/>
          <w:bCs/>
          <w:iCs/>
          <w:sz w:val="20"/>
          <w:szCs w:val="20"/>
        </w:rPr>
        <w:t>Planning B: Planning and De</w:t>
      </w:r>
      <w:r w:rsidR="00CE1AA0" w:rsidRPr="00CE1AA0">
        <w:rPr>
          <w:rFonts w:asciiTheme="majorHAnsi" w:hAnsiTheme="majorHAnsi" w:cstheme="majorHAnsi"/>
          <w:bCs/>
          <w:iCs/>
          <w:sz w:val="20"/>
          <w:szCs w:val="20"/>
        </w:rPr>
        <w:t>s</w:t>
      </w:r>
      <w:r w:rsidR="00E219F8">
        <w:rPr>
          <w:rFonts w:asciiTheme="majorHAnsi" w:hAnsiTheme="majorHAnsi" w:cstheme="majorHAnsi"/>
          <w:bCs/>
          <w:iCs/>
          <w:sz w:val="20"/>
          <w:szCs w:val="20"/>
        </w:rPr>
        <w:t>ign</w:t>
      </w:r>
      <w:r w:rsidRPr="00CE1AA0">
        <w:rPr>
          <w:rFonts w:asciiTheme="majorHAnsi" w:hAnsiTheme="majorHAnsi" w:cstheme="majorHAnsi"/>
          <w:bCs/>
          <w:iCs/>
          <w:sz w:val="20"/>
          <w:szCs w:val="20"/>
        </w:rPr>
        <w:t xml:space="preserve">, 36, </w:t>
      </w:r>
      <w:r w:rsidR="00CE1AA0" w:rsidRPr="00CE1AA0">
        <w:rPr>
          <w:rFonts w:asciiTheme="majorHAnsi" w:hAnsiTheme="majorHAnsi" w:cstheme="majorHAnsi"/>
          <w:bCs/>
          <w:iCs/>
          <w:sz w:val="20"/>
          <w:szCs w:val="20"/>
        </w:rPr>
        <w:t>pp.</w:t>
      </w:r>
      <w:r w:rsidRPr="00CE1AA0">
        <w:rPr>
          <w:rFonts w:asciiTheme="majorHAnsi" w:hAnsiTheme="majorHAnsi" w:cstheme="majorHAnsi"/>
          <w:bCs/>
          <w:iCs/>
          <w:sz w:val="20"/>
          <w:szCs w:val="20"/>
        </w:rPr>
        <w:t xml:space="preserve"> 450-465</w:t>
      </w:r>
      <w:r w:rsidR="00403FA2" w:rsidRPr="00CE1AA0">
        <w:rPr>
          <w:rFonts w:asciiTheme="majorHAnsi" w:hAnsiTheme="majorHAnsi" w:cstheme="majorHAnsi"/>
          <w:bCs/>
          <w:iCs/>
          <w:sz w:val="20"/>
          <w:szCs w:val="20"/>
        </w:rPr>
        <w:t>.</w:t>
      </w:r>
      <w:r w:rsidR="00157A21" w:rsidRPr="00CE1AA0">
        <w:rPr>
          <w:iCs/>
          <w:sz w:val="20"/>
          <w:szCs w:val="20"/>
        </w:rPr>
        <w:t xml:space="preserve"> </w:t>
      </w:r>
    </w:p>
    <w:sectPr w:rsidR="0035371E" w:rsidRPr="00CE1AA0" w:rsidSect="00F414E0">
      <w:pgSz w:w="11906" w:h="16838" w:code="9"/>
      <w:pgMar w:top="3033" w:right="2693" w:bottom="2977" w:left="2693" w:header="0" w:footer="0" w:gutter="0"/>
      <w:cols w:space="708"/>
      <w:vAlign w:val="cen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97107" w:rsidRDefault="00297107" w:rsidP="00CB62EB">
      <w:r>
        <w:separator/>
      </w:r>
    </w:p>
  </w:endnote>
  <w:endnote w:type="continuationSeparator" w:id="0">
    <w:p w:rsidR="00297107" w:rsidRDefault="00297107" w:rsidP="00CB62E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97107" w:rsidRDefault="00297107" w:rsidP="00CB62EB">
      <w:r>
        <w:separator/>
      </w:r>
    </w:p>
  </w:footnote>
  <w:footnote w:type="continuationSeparator" w:id="0">
    <w:p w:rsidR="00297107" w:rsidRDefault="00297107" w:rsidP="00CB62E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in;height:3in" o:bullet="t"/>
    </w:pict>
  </w:numPicBullet>
  <w:numPicBullet w:numPicBulletId="1">
    <w:pict>
      <v:shape id="_x0000_i1027" type="#_x0000_t75" style="width:3in;height:3in" o:bullet="t"/>
    </w:pict>
  </w:numPicBullet>
  <w:abstractNum w:abstractNumId="0">
    <w:nsid w:val="005A2355"/>
    <w:multiLevelType w:val="multilevel"/>
    <w:tmpl w:val="C10675A4"/>
    <w:lvl w:ilvl="0">
      <w:start w:val="1"/>
      <w:numFmt w:val="decimal"/>
      <w:lvlText w:val="%1"/>
      <w:lvlJc w:val="left"/>
      <w:pPr>
        <w:ind w:left="360" w:hanging="360"/>
      </w:pPr>
      <w:rPr>
        <w:rFonts w:ascii="Times New Roman" w:hAnsi="Times New Roman" w:hint="default"/>
        <w:b/>
        <w:i w:val="0"/>
        <w:sz w:val="24"/>
      </w:rPr>
    </w:lvl>
    <w:lvl w:ilvl="1">
      <w:start w:val="1"/>
      <w:numFmt w:val="decimal"/>
      <w:lvlText w:val="4.%2"/>
      <w:lvlJc w:val="left"/>
      <w:pPr>
        <w:ind w:left="360" w:hanging="360"/>
      </w:pPr>
      <w:rPr>
        <w:rFonts w:ascii="Times New Roman" w:hAnsi="Times New Roman" w:hint="default"/>
        <w:b/>
        <w:i w:val="0"/>
        <w:sz w:val="20"/>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
    <w:nsid w:val="06D6617D"/>
    <w:multiLevelType w:val="hybridMultilevel"/>
    <w:tmpl w:val="8D289A48"/>
    <w:lvl w:ilvl="0" w:tplc="0C6E51FE">
      <w:start w:val="1"/>
      <w:numFmt w:val="decimal"/>
      <w:lvlText w:val="%1"/>
      <w:lvlJc w:val="left"/>
      <w:pPr>
        <w:ind w:left="720" w:hanging="360"/>
      </w:pPr>
      <w:rPr>
        <w:rFonts w:ascii="Times New Roman" w:hAnsi="Times New Roman" w:hint="default"/>
        <w:b/>
        <w:i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15E47D34"/>
    <w:multiLevelType w:val="multilevel"/>
    <w:tmpl w:val="34EA70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6212AE3"/>
    <w:multiLevelType w:val="hybridMultilevel"/>
    <w:tmpl w:val="E6749666"/>
    <w:lvl w:ilvl="0" w:tplc="61288FE6">
      <w:start w:val="1"/>
      <w:numFmt w:val="decimal"/>
      <w:lvlText w:val="3.%1"/>
      <w:lvlJc w:val="left"/>
      <w:pPr>
        <w:ind w:left="360" w:hanging="360"/>
      </w:pPr>
      <w:rPr>
        <w:rFonts w:ascii="Times New Roman" w:hAnsi="Times New Roman" w:hint="default"/>
        <w:b/>
        <w:i w:val="0"/>
        <w:sz w:val="2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nsid w:val="18D31BC3"/>
    <w:multiLevelType w:val="hybridMultilevel"/>
    <w:tmpl w:val="AC863312"/>
    <w:lvl w:ilvl="0" w:tplc="C8421100">
      <w:start w:val="1"/>
      <w:numFmt w:val="decimal"/>
      <w:lvlText w:val="[%1]"/>
      <w:lvlJc w:val="left"/>
      <w:pPr>
        <w:ind w:left="720" w:hanging="360"/>
      </w:pPr>
      <w:rPr>
        <w:rFonts w:ascii="Times New Roman" w:hAnsi="Times New Roman" w:hint="default"/>
        <w:b w:val="0"/>
        <w:i w:val="0"/>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1B6B7F0D"/>
    <w:multiLevelType w:val="hybridMultilevel"/>
    <w:tmpl w:val="77CC6572"/>
    <w:lvl w:ilvl="0" w:tplc="1B96CC36">
      <w:start w:val="1"/>
      <w:numFmt w:val="decimal"/>
      <w:lvlText w:val="%1"/>
      <w:lvlJc w:val="left"/>
      <w:pPr>
        <w:ind w:left="360" w:hanging="360"/>
      </w:pPr>
      <w:rPr>
        <w:rFonts w:ascii="Times New Roman" w:hAnsi="Times New Roman" w:hint="default"/>
        <w:b w:val="0"/>
        <w:i w:val="0"/>
        <w:sz w:val="20"/>
        <w:szCs w:val="18"/>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nsid w:val="1C4C43CF"/>
    <w:multiLevelType w:val="hybridMultilevel"/>
    <w:tmpl w:val="52DADC2C"/>
    <w:lvl w:ilvl="0" w:tplc="C7466B34">
      <w:start w:val="1"/>
      <w:numFmt w:val="decimal"/>
      <w:lvlText w:val="%1"/>
      <w:lvlJc w:val="right"/>
      <w:pPr>
        <w:ind w:left="502" w:hanging="360"/>
      </w:pPr>
      <w:rPr>
        <w:rFonts w:ascii="Times New Roman" w:hAnsi="Times New Roman" w:hint="default"/>
        <w:b w:val="0"/>
        <w:i w:val="0"/>
        <w:sz w:val="24"/>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nsid w:val="1E071AB4"/>
    <w:multiLevelType w:val="hybridMultilevel"/>
    <w:tmpl w:val="5AF0FF40"/>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8">
    <w:nsid w:val="1E777EA4"/>
    <w:multiLevelType w:val="hybridMultilevel"/>
    <w:tmpl w:val="64848A2A"/>
    <w:lvl w:ilvl="0" w:tplc="C7466B34">
      <w:start w:val="1"/>
      <w:numFmt w:val="decimal"/>
      <w:lvlText w:val="%1"/>
      <w:lvlJc w:val="right"/>
      <w:pPr>
        <w:ind w:left="502" w:hanging="360"/>
      </w:pPr>
      <w:rPr>
        <w:rFonts w:ascii="Times New Roman" w:hAnsi="Times New Roman" w:hint="default"/>
        <w:b w:val="0"/>
        <w:i w:val="0"/>
        <w:sz w:val="24"/>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9">
    <w:nsid w:val="20AD4CFB"/>
    <w:multiLevelType w:val="hybridMultilevel"/>
    <w:tmpl w:val="50121BD8"/>
    <w:lvl w:ilvl="0" w:tplc="C1FC7FD2">
      <w:start w:val="1"/>
      <w:numFmt w:val="decimal"/>
      <w:lvlText w:val="3.%1"/>
      <w:lvlJc w:val="left"/>
      <w:pPr>
        <w:ind w:left="360" w:hanging="360"/>
      </w:pPr>
      <w:rPr>
        <w:rFonts w:ascii="Times New Roman" w:hAnsi="Times New Roman" w:hint="default"/>
        <w:b/>
        <w:i w:val="0"/>
        <w:sz w:val="2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nsid w:val="2913782B"/>
    <w:multiLevelType w:val="hybridMultilevel"/>
    <w:tmpl w:val="C1FA4452"/>
    <w:lvl w:ilvl="0" w:tplc="0809000F">
      <w:start w:val="1"/>
      <w:numFmt w:val="decimal"/>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11">
    <w:nsid w:val="29902C09"/>
    <w:multiLevelType w:val="hybridMultilevel"/>
    <w:tmpl w:val="FE16182C"/>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2">
    <w:nsid w:val="2E8B54DF"/>
    <w:multiLevelType w:val="hybridMultilevel"/>
    <w:tmpl w:val="33E2D0E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start w:val="1"/>
      <w:numFmt w:val="bullet"/>
      <w:lvlText w:val=""/>
      <w:lvlJc w:val="left"/>
      <w:pPr>
        <w:ind w:left="36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nsid w:val="2F30106C"/>
    <w:multiLevelType w:val="hybridMultilevel"/>
    <w:tmpl w:val="68945DB2"/>
    <w:lvl w:ilvl="0" w:tplc="C7466B34">
      <w:start w:val="1"/>
      <w:numFmt w:val="decimal"/>
      <w:lvlText w:val="%1"/>
      <w:lvlJc w:val="right"/>
      <w:pPr>
        <w:ind w:left="502" w:hanging="360"/>
      </w:pPr>
      <w:rPr>
        <w:rFonts w:ascii="Times New Roman" w:hAnsi="Times New Roman" w:hint="default"/>
        <w:b w:val="0"/>
        <w:i w:val="0"/>
        <w:sz w:val="24"/>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14">
    <w:nsid w:val="36232116"/>
    <w:multiLevelType w:val="hybridMultilevel"/>
    <w:tmpl w:val="042EC3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39AF233A"/>
    <w:multiLevelType w:val="hybridMultilevel"/>
    <w:tmpl w:val="238617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42D76369"/>
    <w:multiLevelType w:val="hybridMultilevel"/>
    <w:tmpl w:val="4C20B62A"/>
    <w:lvl w:ilvl="0" w:tplc="C8421100">
      <w:start w:val="1"/>
      <w:numFmt w:val="decimal"/>
      <w:lvlText w:val="[%1]"/>
      <w:lvlJc w:val="left"/>
      <w:pPr>
        <w:ind w:left="360" w:hanging="360"/>
      </w:pPr>
      <w:rPr>
        <w:rFonts w:ascii="Times New Roman" w:hAnsi="Times New Roman" w:hint="default"/>
        <w:b w:val="0"/>
        <w:i w:val="0"/>
        <w:sz w:val="2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nsid w:val="44163443"/>
    <w:multiLevelType w:val="hybridMultilevel"/>
    <w:tmpl w:val="7F66D69E"/>
    <w:lvl w:ilvl="0" w:tplc="E6784ACA">
      <w:start w:val="1"/>
      <w:numFmt w:val="decimal"/>
      <w:lvlText w:val="3.%1"/>
      <w:lvlJc w:val="left"/>
      <w:pPr>
        <w:ind w:left="720" w:hanging="360"/>
      </w:pPr>
      <w:rPr>
        <w:rFonts w:ascii="Times New Roman" w:hAnsi="Times New Roman" w:hint="default"/>
        <w:b w:val="0"/>
        <w:i w:val="0"/>
        <w:sz w:val="24"/>
      </w:rPr>
    </w:lvl>
    <w:lvl w:ilvl="1" w:tplc="E318ABC0">
      <w:start w:val="1"/>
      <w:numFmt w:val="decimal"/>
      <w:lvlText w:val="3.%2"/>
      <w:lvlJc w:val="left"/>
      <w:pPr>
        <w:ind w:left="360" w:hanging="360"/>
      </w:pPr>
      <w:rPr>
        <w:rFonts w:ascii="Times New Roman" w:hAnsi="Times New Roman" w:hint="default"/>
        <w:b/>
        <w:i w:val="0"/>
        <w:sz w:val="20"/>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546C6B05"/>
    <w:multiLevelType w:val="hybridMultilevel"/>
    <w:tmpl w:val="D2768050"/>
    <w:lvl w:ilvl="0" w:tplc="08090011">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9">
    <w:nsid w:val="61291DE6"/>
    <w:multiLevelType w:val="multilevel"/>
    <w:tmpl w:val="7C7C35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D115549"/>
    <w:multiLevelType w:val="hybridMultilevel"/>
    <w:tmpl w:val="562AEE6A"/>
    <w:lvl w:ilvl="0" w:tplc="08D63EB0">
      <w:start w:val="1"/>
      <w:numFmt w:val="decimal"/>
      <w:lvlText w:val="3.%1"/>
      <w:lvlJc w:val="left"/>
      <w:pPr>
        <w:ind w:left="360" w:hanging="360"/>
      </w:pPr>
      <w:rPr>
        <w:rFonts w:ascii="Times New Roman" w:hAnsi="Times New Roman" w:hint="default"/>
        <w:b/>
        <w:i w:val="0"/>
        <w:sz w:val="22"/>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nsid w:val="7E77755D"/>
    <w:multiLevelType w:val="hybridMultilevel"/>
    <w:tmpl w:val="7E88B0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1"/>
  </w:num>
  <w:num w:numId="2">
    <w:abstractNumId w:val="6"/>
  </w:num>
  <w:num w:numId="3">
    <w:abstractNumId w:val="15"/>
  </w:num>
  <w:num w:numId="4">
    <w:abstractNumId w:val="16"/>
  </w:num>
  <w:num w:numId="5">
    <w:abstractNumId w:val="4"/>
  </w:num>
  <w:num w:numId="6">
    <w:abstractNumId w:val="8"/>
  </w:num>
  <w:num w:numId="7">
    <w:abstractNumId w:val="13"/>
  </w:num>
  <w:num w:numId="8">
    <w:abstractNumId w:val="5"/>
  </w:num>
  <w:num w:numId="9">
    <w:abstractNumId w:val="0"/>
  </w:num>
  <w:num w:numId="10">
    <w:abstractNumId w:val="12"/>
  </w:num>
  <w:num w:numId="11">
    <w:abstractNumId w:val="17"/>
  </w:num>
  <w:num w:numId="12">
    <w:abstractNumId w:val="3"/>
  </w:num>
  <w:num w:numId="13">
    <w:abstractNumId w:val="20"/>
  </w:num>
  <w:num w:numId="14">
    <w:abstractNumId w:val="9"/>
  </w:num>
  <w:num w:numId="15">
    <w:abstractNumId w:val="1"/>
  </w:num>
  <w:num w:numId="16">
    <w:abstractNumId w:val="18"/>
  </w:num>
  <w:num w:numId="17">
    <w:abstractNumId w:val="10"/>
  </w:num>
  <w:num w:numId="18">
    <w:abstractNumId w:val="14"/>
  </w:num>
  <w:num w:numId="19">
    <w:abstractNumId w:val="11"/>
  </w:num>
  <w:num w:numId="20">
    <w:abstractNumId w:val="7"/>
  </w:num>
  <w:num w:numId="21">
    <w:abstractNumId w:val="2"/>
  </w:num>
  <w:num w:numId="22">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20"/>
  <w:displayHorizontalDrawingGridEvery w:val="2"/>
  <w:characterSpacingControl w:val="doNotCompress"/>
  <w:footnotePr>
    <w:footnote w:id="-1"/>
    <w:footnote w:id="0"/>
  </w:footnotePr>
  <w:endnotePr>
    <w:endnote w:id="-1"/>
    <w:endnote w:id="0"/>
  </w:endnotePr>
  <w:compat/>
  <w:rsids>
    <w:rsidRoot w:val="00B122CC"/>
    <w:rsid w:val="00022F0A"/>
    <w:rsid w:val="000259FC"/>
    <w:rsid w:val="000416E0"/>
    <w:rsid w:val="000523A1"/>
    <w:rsid w:val="00054A0C"/>
    <w:rsid w:val="0007416C"/>
    <w:rsid w:val="00086F3B"/>
    <w:rsid w:val="0009245B"/>
    <w:rsid w:val="000C2DF7"/>
    <w:rsid w:val="0010693C"/>
    <w:rsid w:val="00106F5A"/>
    <w:rsid w:val="00112F7E"/>
    <w:rsid w:val="00136855"/>
    <w:rsid w:val="00157A21"/>
    <w:rsid w:val="001606DD"/>
    <w:rsid w:val="001624EC"/>
    <w:rsid w:val="0016617D"/>
    <w:rsid w:val="00187073"/>
    <w:rsid w:val="001A1976"/>
    <w:rsid w:val="001B6226"/>
    <w:rsid w:val="001D00DB"/>
    <w:rsid w:val="001D498F"/>
    <w:rsid w:val="001D52AD"/>
    <w:rsid w:val="001E4CAC"/>
    <w:rsid w:val="00210C2B"/>
    <w:rsid w:val="002407E0"/>
    <w:rsid w:val="00247DEE"/>
    <w:rsid w:val="00297107"/>
    <w:rsid w:val="00297DC9"/>
    <w:rsid w:val="002A216D"/>
    <w:rsid w:val="002A6F35"/>
    <w:rsid w:val="002C0BD1"/>
    <w:rsid w:val="002C0D28"/>
    <w:rsid w:val="002E2898"/>
    <w:rsid w:val="002F63C0"/>
    <w:rsid w:val="00300762"/>
    <w:rsid w:val="00302D66"/>
    <w:rsid w:val="00305526"/>
    <w:rsid w:val="00327E84"/>
    <w:rsid w:val="00340BCD"/>
    <w:rsid w:val="00341A74"/>
    <w:rsid w:val="00343B67"/>
    <w:rsid w:val="0035371E"/>
    <w:rsid w:val="00355E8B"/>
    <w:rsid w:val="003A2C4D"/>
    <w:rsid w:val="003A7099"/>
    <w:rsid w:val="003B044F"/>
    <w:rsid w:val="003C5646"/>
    <w:rsid w:val="003D3D43"/>
    <w:rsid w:val="003D6AFE"/>
    <w:rsid w:val="00400214"/>
    <w:rsid w:val="00403FA2"/>
    <w:rsid w:val="00412001"/>
    <w:rsid w:val="004216F3"/>
    <w:rsid w:val="00421806"/>
    <w:rsid w:val="00444FB0"/>
    <w:rsid w:val="00445D27"/>
    <w:rsid w:val="004709F9"/>
    <w:rsid w:val="00494E4F"/>
    <w:rsid w:val="004C425C"/>
    <w:rsid w:val="004D2553"/>
    <w:rsid w:val="004E0F42"/>
    <w:rsid w:val="004E6C12"/>
    <w:rsid w:val="004F6D40"/>
    <w:rsid w:val="00503684"/>
    <w:rsid w:val="00506B0D"/>
    <w:rsid w:val="005774C4"/>
    <w:rsid w:val="005845FA"/>
    <w:rsid w:val="005847AA"/>
    <w:rsid w:val="00586881"/>
    <w:rsid w:val="005D086E"/>
    <w:rsid w:val="005E6B80"/>
    <w:rsid w:val="0060739D"/>
    <w:rsid w:val="00634E42"/>
    <w:rsid w:val="006457A4"/>
    <w:rsid w:val="006559A8"/>
    <w:rsid w:val="0067688A"/>
    <w:rsid w:val="0068096E"/>
    <w:rsid w:val="00682201"/>
    <w:rsid w:val="00687E88"/>
    <w:rsid w:val="00692188"/>
    <w:rsid w:val="006A0951"/>
    <w:rsid w:val="006B0F30"/>
    <w:rsid w:val="006C5F82"/>
    <w:rsid w:val="006F333C"/>
    <w:rsid w:val="00704C88"/>
    <w:rsid w:val="007204B7"/>
    <w:rsid w:val="007243CE"/>
    <w:rsid w:val="007400C3"/>
    <w:rsid w:val="00743CD7"/>
    <w:rsid w:val="00750B4C"/>
    <w:rsid w:val="007731F1"/>
    <w:rsid w:val="0077453A"/>
    <w:rsid w:val="00776643"/>
    <w:rsid w:val="0078063B"/>
    <w:rsid w:val="007838AA"/>
    <w:rsid w:val="00790449"/>
    <w:rsid w:val="00790C0E"/>
    <w:rsid w:val="007A45B6"/>
    <w:rsid w:val="007A6978"/>
    <w:rsid w:val="007C7928"/>
    <w:rsid w:val="007D4331"/>
    <w:rsid w:val="007E571A"/>
    <w:rsid w:val="007E7E0C"/>
    <w:rsid w:val="007F02EB"/>
    <w:rsid w:val="007F7369"/>
    <w:rsid w:val="008125C1"/>
    <w:rsid w:val="00847643"/>
    <w:rsid w:val="008724A0"/>
    <w:rsid w:val="008803A7"/>
    <w:rsid w:val="008C4166"/>
    <w:rsid w:val="008C4225"/>
    <w:rsid w:val="008D49BD"/>
    <w:rsid w:val="008E3F36"/>
    <w:rsid w:val="008E465A"/>
    <w:rsid w:val="00916079"/>
    <w:rsid w:val="00920175"/>
    <w:rsid w:val="0092090A"/>
    <w:rsid w:val="009376B6"/>
    <w:rsid w:val="00954DAB"/>
    <w:rsid w:val="00971FDC"/>
    <w:rsid w:val="00994AA9"/>
    <w:rsid w:val="009B758A"/>
    <w:rsid w:val="009C0956"/>
    <w:rsid w:val="009C35B0"/>
    <w:rsid w:val="009D1378"/>
    <w:rsid w:val="009E4959"/>
    <w:rsid w:val="009F50C4"/>
    <w:rsid w:val="009F5F10"/>
    <w:rsid w:val="00A33505"/>
    <w:rsid w:val="00A855E2"/>
    <w:rsid w:val="00A87D8E"/>
    <w:rsid w:val="00A90713"/>
    <w:rsid w:val="00A91C2A"/>
    <w:rsid w:val="00A94237"/>
    <w:rsid w:val="00AB65E5"/>
    <w:rsid w:val="00AB6DBD"/>
    <w:rsid w:val="00AC1598"/>
    <w:rsid w:val="00AF2169"/>
    <w:rsid w:val="00AF542E"/>
    <w:rsid w:val="00B122CC"/>
    <w:rsid w:val="00B524FE"/>
    <w:rsid w:val="00B82FF8"/>
    <w:rsid w:val="00B84971"/>
    <w:rsid w:val="00BC2EB9"/>
    <w:rsid w:val="00BD1230"/>
    <w:rsid w:val="00BE40D2"/>
    <w:rsid w:val="00BF12AE"/>
    <w:rsid w:val="00BF233A"/>
    <w:rsid w:val="00BF5C9A"/>
    <w:rsid w:val="00C133CD"/>
    <w:rsid w:val="00C17FC7"/>
    <w:rsid w:val="00C32F7C"/>
    <w:rsid w:val="00C4446C"/>
    <w:rsid w:val="00C53B18"/>
    <w:rsid w:val="00C6498B"/>
    <w:rsid w:val="00C771F4"/>
    <w:rsid w:val="00C968CB"/>
    <w:rsid w:val="00C970E8"/>
    <w:rsid w:val="00CA5544"/>
    <w:rsid w:val="00CB62EB"/>
    <w:rsid w:val="00CC16DC"/>
    <w:rsid w:val="00CC1F77"/>
    <w:rsid w:val="00CC607A"/>
    <w:rsid w:val="00CD37EA"/>
    <w:rsid w:val="00CE1AA0"/>
    <w:rsid w:val="00CE258A"/>
    <w:rsid w:val="00CE3301"/>
    <w:rsid w:val="00CE6156"/>
    <w:rsid w:val="00CF23DA"/>
    <w:rsid w:val="00CF434E"/>
    <w:rsid w:val="00D05B47"/>
    <w:rsid w:val="00D12214"/>
    <w:rsid w:val="00D16F6B"/>
    <w:rsid w:val="00D252B3"/>
    <w:rsid w:val="00D47181"/>
    <w:rsid w:val="00D51CA8"/>
    <w:rsid w:val="00D535FC"/>
    <w:rsid w:val="00D669A8"/>
    <w:rsid w:val="00D83082"/>
    <w:rsid w:val="00D93826"/>
    <w:rsid w:val="00DB68FB"/>
    <w:rsid w:val="00DD03C5"/>
    <w:rsid w:val="00DE6632"/>
    <w:rsid w:val="00DF00D1"/>
    <w:rsid w:val="00DF0C19"/>
    <w:rsid w:val="00E02C7E"/>
    <w:rsid w:val="00E0494F"/>
    <w:rsid w:val="00E175CF"/>
    <w:rsid w:val="00E219F8"/>
    <w:rsid w:val="00E23062"/>
    <w:rsid w:val="00E244D0"/>
    <w:rsid w:val="00E3795A"/>
    <w:rsid w:val="00E715EE"/>
    <w:rsid w:val="00E8567C"/>
    <w:rsid w:val="00E8794A"/>
    <w:rsid w:val="00E91012"/>
    <w:rsid w:val="00E93B88"/>
    <w:rsid w:val="00E95E56"/>
    <w:rsid w:val="00E9602B"/>
    <w:rsid w:val="00EA7EE0"/>
    <w:rsid w:val="00EC3BC6"/>
    <w:rsid w:val="00EC5B40"/>
    <w:rsid w:val="00EC7EAA"/>
    <w:rsid w:val="00EE2B94"/>
    <w:rsid w:val="00EF33F8"/>
    <w:rsid w:val="00EF71F1"/>
    <w:rsid w:val="00F00E3B"/>
    <w:rsid w:val="00F06BF0"/>
    <w:rsid w:val="00F14E8F"/>
    <w:rsid w:val="00F1642D"/>
    <w:rsid w:val="00F240FC"/>
    <w:rsid w:val="00F2794E"/>
    <w:rsid w:val="00F40340"/>
    <w:rsid w:val="00F414E0"/>
    <w:rsid w:val="00F513FF"/>
    <w:rsid w:val="00F60465"/>
    <w:rsid w:val="00F61BB3"/>
    <w:rsid w:val="00F62966"/>
    <w:rsid w:val="00F7433F"/>
    <w:rsid w:val="00F85554"/>
    <w:rsid w:val="00FA4493"/>
    <w:rsid w:val="00FA4B11"/>
    <w:rsid w:val="00FB08A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122CC"/>
    <w:pPr>
      <w:widowControl w:val="0"/>
      <w:suppressAutoHyphens/>
      <w:spacing w:after="0" w:line="240" w:lineRule="auto"/>
    </w:pPr>
    <w:rPr>
      <w:rFonts w:ascii="Times New Roman" w:eastAsia="Lucida Sans Unicode" w:hAnsi="Times New Roman" w:cs="Times New Roman"/>
      <w:kern w:val="1"/>
      <w:sz w:val="24"/>
      <w:szCs w:val="24"/>
      <w:lang w:eastAsia="en-GB"/>
    </w:rPr>
  </w:style>
  <w:style w:type="paragraph" w:styleId="Heading1">
    <w:name w:val="heading 1"/>
    <w:basedOn w:val="Normal"/>
    <w:next w:val="Normal"/>
    <w:link w:val="Heading1Char"/>
    <w:uiPriority w:val="9"/>
    <w:qFormat/>
    <w:rsid w:val="00CE6156"/>
    <w:pPr>
      <w:keepNext/>
      <w:keepLines/>
      <w:spacing w:before="240" w:after="240"/>
      <w:ind w:firstLine="170"/>
      <w:outlineLvl w:val="0"/>
    </w:pPr>
    <w:rPr>
      <w:rFonts w:eastAsiaTheme="majorEastAsia" w:cstheme="majorBidi"/>
      <w:b/>
      <w:bCs/>
      <w:szCs w:val="28"/>
    </w:rPr>
  </w:style>
  <w:style w:type="paragraph" w:styleId="Heading2">
    <w:name w:val="heading 2"/>
    <w:basedOn w:val="Normal"/>
    <w:next w:val="Normal"/>
    <w:link w:val="Heading2Char"/>
    <w:uiPriority w:val="9"/>
    <w:unhideWhenUsed/>
    <w:qFormat/>
    <w:rsid w:val="00CE6156"/>
    <w:pPr>
      <w:keepNext/>
      <w:keepLines/>
      <w:spacing w:before="200"/>
      <w:outlineLvl w:val="1"/>
    </w:pPr>
    <w:rPr>
      <w:rFonts w:asciiTheme="majorHAnsi" w:eastAsiaTheme="majorEastAsia" w:hAnsiTheme="majorHAnsi" w:cstheme="majorBidi"/>
      <w:b/>
      <w:bCs/>
      <w:sz w:val="20"/>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122CC"/>
    <w:rPr>
      <w:color w:val="0000FF" w:themeColor="hyperlink"/>
      <w:u w:val="single"/>
    </w:rPr>
  </w:style>
  <w:style w:type="paragraph" w:styleId="ListParagraph">
    <w:name w:val="List Paragraph"/>
    <w:basedOn w:val="Normal"/>
    <w:uiPriority w:val="99"/>
    <w:qFormat/>
    <w:rsid w:val="00B122CC"/>
    <w:pPr>
      <w:ind w:left="720"/>
      <w:contextualSpacing/>
    </w:pPr>
  </w:style>
  <w:style w:type="paragraph" w:styleId="BalloonText">
    <w:name w:val="Balloon Text"/>
    <w:basedOn w:val="Normal"/>
    <w:link w:val="BalloonTextChar"/>
    <w:uiPriority w:val="99"/>
    <w:semiHidden/>
    <w:unhideWhenUsed/>
    <w:rsid w:val="00B122CC"/>
    <w:rPr>
      <w:rFonts w:ascii="Tahoma" w:hAnsi="Tahoma" w:cs="Tahoma"/>
      <w:sz w:val="16"/>
      <w:szCs w:val="16"/>
    </w:rPr>
  </w:style>
  <w:style w:type="character" w:customStyle="1" w:styleId="BalloonTextChar">
    <w:name w:val="Balloon Text Char"/>
    <w:basedOn w:val="DefaultParagraphFont"/>
    <w:link w:val="BalloonText"/>
    <w:uiPriority w:val="99"/>
    <w:semiHidden/>
    <w:rsid w:val="00B122CC"/>
    <w:rPr>
      <w:rFonts w:ascii="Tahoma" w:eastAsia="Lucida Sans Unicode" w:hAnsi="Tahoma" w:cs="Tahoma"/>
      <w:kern w:val="1"/>
      <w:sz w:val="16"/>
      <w:szCs w:val="16"/>
      <w:lang w:eastAsia="en-GB"/>
    </w:rPr>
  </w:style>
  <w:style w:type="character" w:customStyle="1" w:styleId="Heading1Char">
    <w:name w:val="Heading 1 Char"/>
    <w:basedOn w:val="DefaultParagraphFont"/>
    <w:link w:val="Heading1"/>
    <w:uiPriority w:val="9"/>
    <w:rsid w:val="00CE6156"/>
    <w:rPr>
      <w:rFonts w:ascii="Times New Roman" w:eastAsiaTheme="majorEastAsia" w:hAnsi="Times New Roman" w:cstheme="majorBidi"/>
      <w:b/>
      <w:bCs/>
      <w:kern w:val="1"/>
      <w:sz w:val="24"/>
      <w:szCs w:val="28"/>
      <w:lang w:eastAsia="en-GB"/>
    </w:rPr>
  </w:style>
  <w:style w:type="paragraph" w:styleId="Header">
    <w:name w:val="header"/>
    <w:basedOn w:val="Normal"/>
    <w:link w:val="HeaderChar"/>
    <w:uiPriority w:val="99"/>
    <w:semiHidden/>
    <w:unhideWhenUsed/>
    <w:rsid w:val="00CB62EB"/>
    <w:pPr>
      <w:tabs>
        <w:tab w:val="center" w:pos="4513"/>
        <w:tab w:val="right" w:pos="9026"/>
      </w:tabs>
    </w:pPr>
  </w:style>
  <w:style w:type="character" w:customStyle="1" w:styleId="HeaderChar">
    <w:name w:val="Header Char"/>
    <w:basedOn w:val="DefaultParagraphFont"/>
    <w:link w:val="Header"/>
    <w:uiPriority w:val="99"/>
    <w:semiHidden/>
    <w:rsid w:val="00CB62EB"/>
    <w:rPr>
      <w:rFonts w:ascii="Times New Roman" w:eastAsia="Lucida Sans Unicode" w:hAnsi="Times New Roman" w:cs="Times New Roman"/>
      <w:kern w:val="1"/>
      <w:sz w:val="24"/>
      <w:szCs w:val="24"/>
      <w:lang w:eastAsia="en-GB"/>
    </w:rPr>
  </w:style>
  <w:style w:type="paragraph" w:styleId="Footer">
    <w:name w:val="footer"/>
    <w:basedOn w:val="Normal"/>
    <w:link w:val="FooterChar"/>
    <w:uiPriority w:val="99"/>
    <w:semiHidden/>
    <w:unhideWhenUsed/>
    <w:rsid w:val="00CB62EB"/>
    <w:pPr>
      <w:tabs>
        <w:tab w:val="center" w:pos="4513"/>
        <w:tab w:val="right" w:pos="9026"/>
      </w:tabs>
    </w:pPr>
  </w:style>
  <w:style w:type="character" w:customStyle="1" w:styleId="FooterChar">
    <w:name w:val="Footer Char"/>
    <w:basedOn w:val="DefaultParagraphFont"/>
    <w:link w:val="Footer"/>
    <w:uiPriority w:val="99"/>
    <w:semiHidden/>
    <w:rsid w:val="00CB62EB"/>
    <w:rPr>
      <w:rFonts w:ascii="Times New Roman" w:eastAsia="Lucida Sans Unicode" w:hAnsi="Times New Roman" w:cs="Times New Roman"/>
      <w:kern w:val="1"/>
      <w:sz w:val="24"/>
      <w:szCs w:val="24"/>
      <w:lang w:eastAsia="en-GB"/>
    </w:rPr>
  </w:style>
  <w:style w:type="character" w:customStyle="1" w:styleId="Heading2Char">
    <w:name w:val="Heading 2 Char"/>
    <w:basedOn w:val="DefaultParagraphFont"/>
    <w:link w:val="Heading2"/>
    <w:uiPriority w:val="9"/>
    <w:rsid w:val="00CE6156"/>
    <w:rPr>
      <w:rFonts w:asciiTheme="majorHAnsi" w:eastAsiaTheme="majorEastAsia" w:hAnsiTheme="majorHAnsi" w:cstheme="majorBidi"/>
      <w:b/>
      <w:bCs/>
      <w:kern w:val="1"/>
      <w:sz w:val="20"/>
      <w:szCs w:val="26"/>
      <w:lang w:eastAsia="en-GB"/>
    </w:rPr>
  </w:style>
  <w:style w:type="character" w:styleId="FollowedHyperlink">
    <w:name w:val="FollowedHyperlink"/>
    <w:basedOn w:val="DefaultParagraphFont"/>
    <w:uiPriority w:val="99"/>
    <w:semiHidden/>
    <w:unhideWhenUsed/>
    <w:rsid w:val="00494E4F"/>
    <w:rPr>
      <w:color w:val="800080" w:themeColor="followedHyperlink"/>
      <w:u w:val="single"/>
    </w:rPr>
  </w:style>
  <w:style w:type="paragraph" w:styleId="NormalWeb">
    <w:name w:val="Normal (Web)"/>
    <w:basedOn w:val="Normal"/>
    <w:uiPriority w:val="99"/>
    <w:unhideWhenUsed/>
    <w:rsid w:val="00E91012"/>
    <w:pPr>
      <w:widowControl/>
      <w:suppressAutoHyphens w:val="0"/>
      <w:spacing w:before="100" w:beforeAutospacing="1" w:after="100" w:afterAutospacing="1" w:line="336" w:lineRule="auto"/>
    </w:pPr>
    <w:rPr>
      <w:rFonts w:eastAsia="Times New Roman"/>
      <w:kern w:val="0"/>
      <w:sz w:val="16"/>
      <w:szCs w:val="16"/>
      <w:lang w:val="en-US" w:eastAsia="en-US"/>
    </w:rPr>
  </w:style>
  <w:style w:type="character" w:customStyle="1" w:styleId="googqs-tidbit1">
    <w:name w:val="goog_qs-tidbit1"/>
    <w:basedOn w:val="DefaultParagraphFont"/>
    <w:rsid w:val="00DF00D1"/>
    <w:rPr>
      <w:vanish w:val="0"/>
      <w:webHidden w:val="0"/>
      <w:specVanish w:val="0"/>
    </w:rPr>
  </w:style>
  <w:style w:type="paragraph" w:customStyle="1" w:styleId="PaperAuthor">
    <w:name w:val="Paper Author"/>
    <w:next w:val="Normal"/>
    <w:rsid w:val="00F414E0"/>
    <w:pPr>
      <w:widowControl w:val="0"/>
      <w:spacing w:before="320" w:after="0" w:line="240" w:lineRule="auto"/>
      <w:outlineLvl w:val="1"/>
    </w:pPr>
    <w:rPr>
      <w:rFonts w:ascii="Times New Roman" w:eastAsia="Times New Roman" w:hAnsi="Times New Roman" w:cs="Times New Roman"/>
      <w:sz w:val="24"/>
      <w:szCs w:val="20"/>
    </w:rPr>
  </w:style>
  <w:style w:type="paragraph" w:customStyle="1" w:styleId="AbstractText">
    <w:name w:val="Abstract Text"/>
    <w:next w:val="Normal"/>
    <w:rsid w:val="00F414E0"/>
    <w:pPr>
      <w:widowControl w:val="0"/>
      <w:spacing w:before="240" w:after="0" w:line="240" w:lineRule="auto"/>
      <w:jc w:val="both"/>
      <w:outlineLvl w:val="1"/>
    </w:pPr>
    <w:rPr>
      <w:rFonts w:ascii="Times New Roman" w:eastAsia="Times New Roman" w:hAnsi="Times New Roman" w:cs="Times New Roman"/>
      <w:sz w:val="20"/>
      <w:szCs w:val="20"/>
    </w:rPr>
  </w:style>
  <w:style w:type="paragraph" w:customStyle="1" w:styleId="Keywords">
    <w:name w:val="Keywords"/>
    <w:basedOn w:val="AbstractText"/>
    <w:next w:val="Heading1"/>
    <w:rsid w:val="00F414E0"/>
    <w:pPr>
      <w:spacing w:before="40"/>
    </w:pPr>
    <w:rPr>
      <w:i/>
    </w:rPr>
  </w:style>
</w:styles>
</file>

<file path=word/webSettings.xml><?xml version="1.0" encoding="utf-8"?>
<w:webSettings xmlns:r="http://schemas.openxmlformats.org/officeDocument/2006/relationships" xmlns:w="http://schemas.openxmlformats.org/wordprocessingml/2006/main">
  <w:divs>
    <w:div w:id="7872284">
      <w:bodyDiv w:val="1"/>
      <w:marLeft w:val="0"/>
      <w:marRight w:val="0"/>
      <w:marTop w:val="0"/>
      <w:marBottom w:val="0"/>
      <w:divBdr>
        <w:top w:val="none" w:sz="0" w:space="0" w:color="auto"/>
        <w:left w:val="none" w:sz="0" w:space="0" w:color="auto"/>
        <w:bottom w:val="none" w:sz="0" w:space="0" w:color="auto"/>
        <w:right w:val="none" w:sz="0" w:space="0" w:color="auto"/>
      </w:divBdr>
      <w:divsChild>
        <w:div w:id="1468932075">
          <w:marLeft w:val="0"/>
          <w:marRight w:val="0"/>
          <w:marTop w:val="0"/>
          <w:marBottom w:val="0"/>
          <w:divBdr>
            <w:top w:val="none" w:sz="0" w:space="0" w:color="auto"/>
            <w:left w:val="none" w:sz="0" w:space="0" w:color="auto"/>
            <w:bottom w:val="none" w:sz="0" w:space="0" w:color="auto"/>
            <w:right w:val="none" w:sz="0" w:space="0" w:color="auto"/>
          </w:divBdr>
          <w:divsChild>
            <w:div w:id="775446483">
              <w:marLeft w:val="0"/>
              <w:marRight w:val="0"/>
              <w:marTop w:val="0"/>
              <w:marBottom w:val="0"/>
              <w:divBdr>
                <w:top w:val="none" w:sz="0" w:space="0" w:color="auto"/>
                <w:left w:val="none" w:sz="0" w:space="0" w:color="auto"/>
                <w:bottom w:val="none" w:sz="0" w:space="0" w:color="auto"/>
                <w:right w:val="none" w:sz="0" w:space="0" w:color="auto"/>
              </w:divBdr>
              <w:divsChild>
                <w:div w:id="934897068">
                  <w:marLeft w:val="0"/>
                  <w:marRight w:val="0"/>
                  <w:marTop w:val="0"/>
                  <w:marBottom w:val="0"/>
                  <w:divBdr>
                    <w:top w:val="none" w:sz="0" w:space="0" w:color="auto"/>
                    <w:left w:val="none" w:sz="0" w:space="0" w:color="auto"/>
                    <w:bottom w:val="none" w:sz="0" w:space="0" w:color="auto"/>
                    <w:right w:val="none" w:sz="0" w:space="0" w:color="auto"/>
                  </w:divBdr>
                  <w:divsChild>
                    <w:div w:id="1208489873">
                      <w:marLeft w:val="0"/>
                      <w:marRight w:val="-2024"/>
                      <w:marTop w:val="0"/>
                      <w:marBottom w:val="0"/>
                      <w:divBdr>
                        <w:top w:val="none" w:sz="0" w:space="0" w:color="auto"/>
                        <w:left w:val="none" w:sz="0" w:space="0" w:color="auto"/>
                        <w:bottom w:val="none" w:sz="0" w:space="0" w:color="auto"/>
                        <w:right w:val="none" w:sz="0" w:space="0" w:color="auto"/>
                      </w:divBdr>
                      <w:divsChild>
                        <w:div w:id="438185809">
                          <w:marLeft w:val="1704"/>
                          <w:marRight w:val="2024"/>
                          <w:marTop w:val="0"/>
                          <w:marBottom w:val="0"/>
                          <w:divBdr>
                            <w:top w:val="none" w:sz="0" w:space="0" w:color="auto"/>
                            <w:left w:val="none" w:sz="0" w:space="0" w:color="auto"/>
                            <w:bottom w:val="none" w:sz="0" w:space="0" w:color="auto"/>
                            <w:right w:val="none" w:sz="0" w:space="0" w:color="auto"/>
                          </w:divBdr>
                          <w:divsChild>
                            <w:div w:id="73207356">
                              <w:marLeft w:val="188"/>
                              <w:marRight w:val="188"/>
                              <w:marTop w:val="188"/>
                              <w:marBottom w:val="188"/>
                              <w:divBdr>
                                <w:top w:val="none" w:sz="0" w:space="0" w:color="auto"/>
                                <w:left w:val="none" w:sz="0" w:space="0" w:color="auto"/>
                                <w:bottom w:val="dotted" w:sz="4" w:space="9" w:color="009999"/>
                                <w:right w:val="none" w:sz="0" w:space="0" w:color="auto"/>
                              </w:divBdr>
                            </w:div>
                          </w:divsChild>
                        </w:div>
                      </w:divsChild>
                    </w:div>
                  </w:divsChild>
                </w:div>
              </w:divsChild>
            </w:div>
          </w:divsChild>
        </w:div>
      </w:divsChild>
    </w:div>
    <w:div w:id="36206487">
      <w:bodyDiv w:val="1"/>
      <w:marLeft w:val="0"/>
      <w:marRight w:val="0"/>
      <w:marTop w:val="0"/>
      <w:marBottom w:val="0"/>
      <w:divBdr>
        <w:top w:val="none" w:sz="0" w:space="0" w:color="auto"/>
        <w:left w:val="none" w:sz="0" w:space="0" w:color="auto"/>
        <w:bottom w:val="none" w:sz="0" w:space="0" w:color="auto"/>
        <w:right w:val="none" w:sz="0" w:space="0" w:color="auto"/>
      </w:divBdr>
    </w:div>
    <w:div w:id="99111435">
      <w:bodyDiv w:val="1"/>
      <w:marLeft w:val="0"/>
      <w:marRight w:val="0"/>
      <w:marTop w:val="0"/>
      <w:marBottom w:val="0"/>
      <w:divBdr>
        <w:top w:val="none" w:sz="0" w:space="0" w:color="auto"/>
        <w:left w:val="none" w:sz="0" w:space="0" w:color="auto"/>
        <w:bottom w:val="none" w:sz="0" w:space="0" w:color="auto"/>
        <w:right w:val="none" w:sz="0" w:space="0" w:color="auto"/>
      </w:divBdr>
    </w:div>
    <w:div w:id="637958314">
      <w:bodyDiv w:val="1"/>
      <w:marLeft w:val="0"/>
      <w:marRight w:val="0"/>
      <w:marTop w:val="0"/>
      <w:marBottom w:val="0"/>
      <w:divBdr>
        <w:top w:val="none" w:sz="0" w:space="0" w:color="auto"/>
        <w:left w:val="none" w:sz="0" w:space="0" w:color="auto"/>
        <w:bottom w:val="none" w:sz="0" w:space="0" w:color="auto"/>
        <w:right w:val="none" w:sz="0" w:space="0" w:color="auto"/>
      </w:divBdr>
    </w:div>
    <w:div w:id="638456526">
      <w:bodyDiv w:val="1"/>
      <w:marLeft w:val="0"/>
      <w:marRight w:val="0"/>
      <w:marTop w:val="0"/>
      <w:marBottom w:val="0"/>
      <w:divBdr>
        <w:top w:val="none" w:sz="0" w:space="0" w:color="auto"/>
        <w:left w:val="none" w:sz="0" w:space="0" w:color="auto"/>
        <w:bottom w:val="none" w:sz="0" w:space="0" w:color="auto"/>
        <w:right w:val="none" w:sz="0" w:space="0" w:color="auto"/>
      </w:divBdr>
      <w:divsChild>
        <w:div w:id="1786921636">
          <w:marLeft w:val="0"/>
          <w:marRight w:val="0"/>
          <w:marTop w:val="0"/>
          <w:marBottom w:val="0"/>
          <w:divBdr>
            <w:top w:val="none" w:sz="0" w:space="0" w:color="auto"/>
            <w:left w:val="none" w:sz="0" w:space="0" w:color="auto"/>
            <w:bottom w:val="none" w:sz="0" w:space="0" w:color="auto"/>
            <w:right w:val="none" w:sz="0" w:space="0" w:color="auto"/>
          </w:divBdr>
          <w:divsChild>
            <w:div w:id="1353606237">
              <w:marLeft w:val="0"/>
              <w:marRight w:val="0"/>
              <w:marTop w:val="0"/>
              <w:marBottom w:val="0"/>
              <w:divBdr>
                <w:top w:val="none" w:sz="0" w:space="0" w:color="auto"/>
                <w:left w:val="none" w:sz="0" w:space="0" w:color="auto"/>
                <w:bottom w:val="none" w:sz="0" w:space="0" w:color="auto"/>
                <w:right w:val="none" w:sz="0" w:space="0" w:color="auto"/>
              </w:divBdr>
              <w:divsChild>
                <w:div w:id="2104447627">
                  <w:marLeft w:val="0"/>
                  <w:marRight w:val="0"/>
                  <w:marTop w:val="0"/>
                  <w:marBottom w:val="0"/>
                  <w:divBdr>
                    <w:top w:val="none" w:sz="0" w:space="0" w:color="auto"/>
                    <w:left w:val="none" w:sz="0" w:space="0" w:color="auto"/>
                    <w:bottom w:val="none" w:sz="0" w:space="0" w:color="auto"/>
                    <w:right w:val="none" w:sz="0" w:space="0" w:color="auto"/>
                  </w:divBdr>
                  <w:divsChild>
                    <w:div w:id="1818918881">
                      <w:marLeft w:val="0"/>
                      <w:marRight w:val="-2150"/>
                      <w:marTop w:val="0"/>
                      <w:marBottom w:val="0"/>
                      <w:divBdr>
                        <w:top w:val="none" w:sz="0" w:space="0" w:color="auto"/>
                        <w:left w:val="none" w:sz="0" w:space="0" w:color="auto"/>
                        <w:bottom w:val="none" w:sz="0" w:space="0" w:color="auto"/>
                        <w:right w:val="none" w:sz="0" w:space="0" w:color="auto"/>
                      </w:divBdr>
                      <w:divsChild>
                        <w:div w:id="1843885290">
                          <w:marLeft w:val="1810"/>
                          <w:marRight w:val="2150"/>
                          <w:marTop w:val="0"/>
                          <w:marBottom w:val="0"/>
                          <w:divBdr>
                            <w:top w:val="none" w:sz="0" w:space="0" w:color="auto"/>
                            <w:left w:val="none" w:sz="0" w:space="0" w:color="auto"/>
                            <w:bottom w:val="none" w:sz="0" w:space="0" w:color="auto"/>
                            <w:right w:val="none" w:sz="0" w:space="0" w:color="auto"/>
                          </w:divBdr>
                          <w:divsChild>
                            <w:div w:id="314070819">
                              <w:marLeft w:val="200"/>
                              <w:marRight w:val="200"/>
                              <w:marTop w:val="200"/>
                              <w:marBottom w:val="200"/>
                              <w:divBdr>
                                <w:top w:val="none" w:sz="0" w:space="0" w:color="auto"/>
                                <w:left w:val="none" w:sz="0" w:space="0" w:color="auto"/>
                                <w:bottom w:val="dotted" w:sz="4" w:space="10" w:color="CC6600"/>
                                <w:right w:val="none" w:sz="0" w:space="0" w:color="auto"/>
                              </w:divBdr>
                              <w:divsChild>
                                <w:div w:id="1418747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82582007">
      <w:bodyDiv w:val="1"/>
      <w:marLeft w:val="0"/>
      <w:marRight w:val="0"/>
      <w:marTop w:val="0"/>
      <w:marBottom w:val="0"/>
      <w:divBdr>
        <w:top w:val="none" w:sz="0" w:space="0" w:color="auto"/>
        <w:left w:val="none" w:sz="0" w:space="0" w:color="auto"/>
        <w:bottom w:val="none" w:sz="0" w:space="0" w:color="auto"/>
        <w:right w:val="none" w:sz="0" w:space="0" w:color="auto"/>
      </w:divBdr>
    </w:div>
    <w:div w:id="1236009253">
      <w:bodyDiv w:val="1"/>
      <w:marLeft w:val="0"/>
      <w:marRight w:val="0"/>
      <w:marTop w:val="0"/>
      <w:marBottom w:val="0"/>
      <w:divBdr>
        <w:top w:val="none" w:sz="0" w:space="0" w:color="auto"/>
        <w:left w:val="none" w:sz="0" w:space="0" w:color="auto"/>
        <w:bottom w:val="none" w:sz="0" w:space="0" w:color="auto"/>
        <w:right w:val="none" w:sz="0" w:space="0" w:color="auto"/>
      </w:divBdr>
    </w:div>
    <w:div w:id="1314407239">
      <w:bodyDiv w:val="1"/>
      <w:marLeft w:val="0"/>
      <w:marRight w:val="0"/>
      <w:marTop w:val="0"/>
      <w:marBottom w:val="0"/>
      <w:divBdr>
        <w:top w:val="none" w:sz="0" w:space="0" w:color="auto"/>
        <w:left w:val="none" w:sz="0" w:space="0" w:color="auto"/>
        <w:bottom w:val="none" w:sz="0" w:space="0" w:color="auto"/>
        <w:right w:val="none" w:sz="0" w:space="0" w:color="auto"/>
      </w:divBdr>
    </w:div>
    <w:div w:id="1527060348">
      <w:bodyDiv w:val="1"/>
      <w:marLeft w:val="0"/>
      <w:marRight w:val="0"/>
      <w:marTop w:val="0"/>
      <w:marBottom w:val="0"/>
      <w:divBdr>
        <w:top w:val="none" w:sz="0" w:space="0" w:color="auto"/>
        <w:left w:val="none" w:sz="0" w:space="0" w:color="auto"/>
        <w:bottom w:val="none" w:sz="0" w:space="0" w:color="auto"/>
        <w:right w:val="none" w:sz="0" w:space="0" w:color="auto"/>
      </w:divBdr>
    </w:div>
    <w:div w:id="1543588350">
      <w:bodyDiv w:val="1"/>
      <w:marLeft w:val="0"/>
      <w:marRight w:val="0"/>
      <w:marTop w:val="0"/>
      <w:marBottom w:val="0"/>
      <w:divBdr>
        <w:top w:val="none" w:sz="0" w:space="0" w:color="auto"/>
        <w:left w:val="none" w:sz="0" w:space="0" w:color="auto"/>
        <w:bottom w:val="none" w:sz="0" w:space="0" w:color="auto"/>
        <w:right w:val="none" w:sz="0" w:space="0" w:color="auto"/>
      </w:divBdr>
    </w:div>
    <w:div w:id="1647078219">
      <w:bodyDiv w:val="1"/>
      <w:marLeft w:val="0"/>
      <w:marRight w:val="0"/>
      <w:marTop w:val="0"/>
      <w:marBottom w:val="0"/>
      <w:divBdr>
        <w:top w:val="none" w:sz="0" w:space="0" w:color="auto"/>
        <w:left w:val="none" w:sz="0" w:space="0" w:color="auto"/>
        <w:bottom w:val="none" w:sz="0" w:space="0" w:color="auto"/>
        <w:right w:val="none" w:sz="0" w:space="0" w:color="auto"/>
      </w:divBdr>
      <w:divsChild>
        <w:div w:id="1757248316">
          <w:marLeft w:val="0"/>
          <w:marRight w:val="0"/>
          <w:marTop w:val="107"/>
          <w:marBottom w:val="107"/>
          <w:divBdr>
            <w:top w:val="none" w:sz="0" w:space="0" w:color="auto"/>
            <w:left w:val="none" w:sz="0" w:space="0" w:color="auto"/>
            <w:bottom w:val="none" w:sz="0" w:space="0" w:color="auto"/>
            <w:right w:val="none" w:sz="0" w:space="0" w:color="auto"/>
          </w:divBdr>
          <w:divsChild>
            <w:div w:id="761072880">
              <w:marLeft w:val="0"/>
              <w:marRight w:val="0"/>
              <w:marTop w:val="0"/>
              <w:marBottom w:val="0"/>
              <w:divBdr>
                <w:top w:val="none" w:sz="0" w:space="0" w:color="auto"/>
                <w:left w:val="none" w:sz="0" w:space="0" w:color="auto"/>
                <w:bottom w:val="none" w:sz="0" w:space="0" w:color="auto"/>
                <w:right w:val="none" w:sz="0" w:space="0" w:color="auto"/>
              </w:divBdr>
              <w:divsChild>
                <w:div w:id="987978476">
                  <w:marLeft w:val="0"/>
                  <w:marRight w:val="0"/>
                  <w:marTop w:val="0"/>
                  <w:marBottom w:val="0"/>
                  <w:divBdr>
                    <w:top w:val="none" w:sz="0" w:space="0" w:color="auto"/>
                    <w:left w:val="none" w:sz="0" w:space="0" w:color="auto"/>
                    <w:bottom w:val="none" w:sz="0" w:space="0" w:color="auto"/>
                    <w:right w:val="none" w:sz="0" w:space="0" w:color="auto"/>
                  </w:divBdr>
                  <w:divsChild>
                    <w:div w:id="1621960328">
                      <w:marLeft w:val="0"/>
                      <w:marRight w:val="0"/>
                      <w:marTop w:val="0"/>
                      <w:marBottom w:val="107"/>
                      <w:divBdr>
                        <w:top w:val="none" w:sz="0" w:space="0" w:color="auto"/>
                        <w:left w:val="none" w:sz="0" w:space="0" w:color="auto"/>
                        <w:bottom w:val="dashed" w:sz="4" w:space="5" w:color="AAAAAA"/>
                        <w:right w:val="none" w:sz="0" w:space="0" w:color="auto"/>
                      </w:divBdr>
                      <w:divsChild>
                        <w:div w:id="1023285359">
                          <w:marLeft w:val="0"/>
                          <w:marRight w:val="0"/>
                          <w:marTop w:val="0"/>
                          <w:marBottom w:val="107"/>
                          <w:divBdr>
                            <w:top w:val="none" w:sz="0" w:space="0" w:color="auto"/>
                            <w:left w:val="none" w:sz="0" w:space="0" w:color="auto"/>
                            <w:bottom w:val="none" w:sz="0" w:space="0" w:color="auto"/>
                            <w:right w:val="none" w:sz="0" w:space="0" w:color="auto"/>
                          </w:divBdr>
                          <w:divsChild>
                            <w:div w:id="1800756132">
                              <w:blockQuote w:val="1"/>
                              <w:marLeft w:val="480"/>
                              <w:marRight w:val="480"/>
                              <w:marTop w:val="240"/>
                              <w:marBottom w:val="240"/>
                              <w:divBdr>
                                <w:top w:val="none" w:sz="0" w:space="0" w:color="auto"/>
                                <w:left w:val="none" w:sz="0" w:space="0" w:color="auto"/>
                                <w:bottom w:val="none" w:sz="0" w:space="0" w:color="auto"/>
                                <w:right w:val="none" w:sz="0" w:space="0" w:color="auto"/>
                              </w:divBdr>
                              <w:divsChild>
                                <w:div w:id="1825778323">
                                  <w:marLeft w:val="0"/>
                                  <w:marRight w:val="0"/>
                                  <w:marTop w:val="0"/>
                                  <w:marBottom w:val="0"/>
                                  <w:divBdr>
                                    <w:top w:val="none" w:sz="0" w:space="0" w:color="auto"/>
                                    <w:left w:val="none" w:sz="0" w:space="0" w:color="auto"/>
                                    <w:bottom w:val="none" w:sz="0" w:space="0" w:color="auto"/>
                                    <w:right w:val="none" w:sz="0" w:space="0" w:color="auto"/>
                                  </w:divBdr>
                                  <w:divsChild>
                                    <w:div w:id="1231113925">
                                      <w:marLeft w:val="0"/>
                                      <w:marRight w:val="0"/>
                                      <w:marTop w:val="0"/>
                                      <w:marBottom w:val="0"/>
                                      <w:divBdr>
                                        <w:top w:val="none" w:sz="0" w:space="0" w:color="auto"/>
                                        <w:left w:val="none" w:sz="0" w:space="0" w:color="auto"/>
                                        <w:bottom w:val="none" w:sz="0" w:space="0" w:color="auto"/>
                                        <w:right w:val="none" w:sz="0" w:space="0" w:color="auto"/>
                                      </w:divBdr>
                                      <w:divsChild>
                                        <w:div w:id="8025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85790498">
      <w:bodyDiv w:val="1"/>
      <w:marLeft w:val="0"/>
      <w:marRight w:val="0"/>
      <w:marTop w:val="0"/>
      <w:marBottom w:val="0"/>
      <w:divBdr>
        <w:top w:val="none" w:sz="0" w:space="0" w:color="auto"/>
        <w:left w:val="none" w:sz="0" w:space="0" w:color="auto"/>
        <w:bottom w:val="none" w:sz="0" w:space="0" w:color="auto"/>
        <w:right w:val="none" w:sz="0" w:space="0" w:color="auto"/>
      </w:divBdr>
    </w:div>
    <w:div w:id="1836339707">
      <w:bodyDiv w:val="1"/>
      <w:marLeft w:val="0"/>
      <w:marRight w:val="0"/>
      <w:marTop w:val="0"/>
      <w:marBottom w:val="0"/>
      <w:divBdr>
        <w:top w:val="none" w:sz="0" w:space="0" w:color="auto"/>
        <w:left w:val="none" w:sz="0" w:space="0" w:color="auto"/>
        <w:bottom w:val="none" w:sz="0" w:space="0" w:color="auto"/>
        <w:right w:val="none" w:sz="0" w:space="0" w:color="auto"/>
      </w:divBdr>
    </w:div>
    <w:div w:id="1870290949">
      <w:bodyDiv w:val="1"/>
      <w:marLeft w:val="0"/>
      <w:marRight w:val="0"/>
      <w:marTop w:val="0"/>
      <w:marBottom w:val="0"/>
      <w:divBdr>
        <w:top w:val="none" w:sz="0" w:space="0" w:color="auto"/>
        <w:left w:val="none" w:sz="0" w:space="0" w:color="auto"/>
        <w:bottom w:val="none" w:sz="0" w:space="0" w:color="auto"/>
        <w:right w:val="none" w:sz="0" w:space="0" w:color="auto"/>
      </w:divBdr>
    </w:div>
    <w:div w:id="1993749402">
      <w:bodyDiv w:val="1"/>
      <w:marLeft w:val="0"/>
      <w:marRight w:val="0"/>
      <w:marTop w:val="0"/>
      <w:marBottom w:val="0"/>
      <w:divBdr>
        <w:top w:val="none" w:sz="0" w:space="0" w:color="auto"/>
        <w:left w:val="none" w:sz="0" w:space="0" w:color="auto"/>
        <w:bottom w:val="none" w:sz="0" w:space="0" w:color="auto"/>
        <w:right w:val="none" w:sz="0" w:space="0" w:color="auto"/>
      </w:divBdr>
    </w:div>
    <w:div w:id="2002925372">
      <w:bodyDiv w:val="1"/>
      <w:marLeft w:val="0"/>
      <w:marRight w:val="0"/>
      <w:marTop w:val="0"/>
      <w:marBottom w:val="0"/>
      <w:divBdr>
        <w:top w:val="none" w:sz="0" w:space="0" w:color="auto"/>
        <w:left w:val="none" w:sz="0" w:space="0" w:color="auto"/>
        <w:bottom w:val="none" w:sz="0" w:space="0" w:color="auto"/>
        <w:right w:val="none" w:sz="0" w:space="0" w:color="auto"/>
      </w:divBdr>
      <w:divsChild>
        <w:div w:id="1416173179">
          <w:marLeft w:val="0"/>
          <w:marRight w:val="0"/>
          <w:marTop w:val="0"/>
          <w:marBottom w:val="0"/>
          <w:divBdr>
            <w:top w:val="none" w:sz="0" w:space="0" w:color="auto"/>
            <w:left w:val="none" w:sz="0" w:space="0" w:color="auto"/>
            <w:bottom w:val="none" w:sz="0" w:space="0" w:color="auto"/>
            <w:right w:val="none" w:sz="0" w:space="0" w:color="auto"/>
          </w:divBdr>
          <w:divsChild>
            <w:div w:id="1389568451">
              <w:marLeft w:val="0"/>
              <w:marRight w:val="0"/>
              <w:marTop w:val="0"/>
              <w:marBottom w:val="0"/>
              <w:divBdr>
                <w:top w:val="none" w:sz="0" w:space="0" w:color="auto"/>
                <w:left w:val="none" w:sz="0" w:space="0" w:color="auto"/>
                <w:bottom w:val="none" w:sz="0" w:space="0" w:color="auto"/>
                <w:right w:val="none" w:sz="0" w:space="0" w:color="auto"/>
              </w:divBdr>
              <w:divsChild>
                <w:div w:id="2101753265">
                  <w:marLeft w:val="0"/>
                  <w:marRight w:val="0"/>
                  <w:marTop w:val="0"/>
                  <w:marBottom w:val="0"/>
                  <w:divBdr>
                    <w:top w:val="none" w:sz="0" w:space="0" w:color="auto"/>
                    <w:left w:val="none" w:sz="0" w:space="0" w:color="auto"/>
                    <w:bottom w:val="none" w:sz="0" w:space="0" w:color="auto"/>
                    <w:right w:val="none" w:sz="0" w:space="0" w:color="auto"/>
                  </w:divBdr>
                  <w:divsChild>
                    <w:div w:id="1957563406">
                      <w:marLeft w:val="0"/>
                      <w:marRight w:val="-1790"/>
                      <w:marTop w:val="0"/>
                      <w:marBottom w:val="0"/>
                      <w:divBdr>
                        <w:top w:val="none" w:sz="0" w:space="0" w:color="auto"/>
                        <w:left w:val="none" w:sz="0" w:space="0" w:color="auto"/>
                        <w:bottom w:val="none" w:sz="0" w:space="0" w:color="auto"/>
                        <w:right w:val="none" w:sz="0" w:space="0" w:color="auto"/>
                      </w:divBdr>
                      <w:divsChild>
                        <w:div w:id="1285771379">
                          <w:marLeft w:val="1507"/>
                          <w:marRight w:val="1790"/>
                          <w:marTop w:val="0"/>
                          <w:marBottom w:val="0"/>
                          <w:divBdr>
                            <w:top w:val="none" w:sz="0" w:space="0" w:color="auto"/>
                            <w:left w:val="none" w:sz="0" w:space="0" w:color="auto"/>
                            <w:bottom w:val="none" w:sz="0" w:space="0" w:color="auto"/>
                            <w:right w:val="none" w:sz="0" w:space="0" w:color="auto"/>
                          </w:divBdr>
                          <w:divsChild>
                            <w:div w:id="1220215660">
                              <w:marLeft w:val="166"/>
                              <w:marRight w:val="166"/>
                              <w:marTop w:val="166"/>
                              <w:marBottom w:val="166"/>
                              <w:divBdr>
                                <w:top w:val="none" w:sz="0" w:space="0" w:color="auto"/>
                                <w:left w:val="none" w:sz="0" w:space="0" w:color="auto"/>
                                <w:bottom w:val="dotted" w:sz="2" w:space="8" w:color="009999"/>
                                <w:right w:val="none" w:sz="0" w:space="0" w:color="auto"/>
                              </w:divBdr>
                            </w:div>
                          </w:divsChild>
                        </w:div>
                      </w:divsChild>
                    </w:div>
                  </w:divsChild>
                </w:div>
              </w:divsChild>
            </w:div>
          </w:divsChild>
        </w:div>
      </w:divsChild>
    </w:div>
    <w:div w:id="2017999875">
      <w:bodyDiv w:val="1"/>
      <w:marLeft w:val="0"/>
      <w:marRight w:val="0"/>
      <w:marTop w:val="0"/>
      <w:marBottom w:val="0"/>
      <w:divBdr>
        <w:top w:val="none" w:sz="0" w:space="0" w:color="auto"/>
        <w:left w:val="none" w:sz="0" w:space="0" w:color="auto"/>
        <w:bottom w:val="none" w:sz="0" w:space="0" w:color="auto"/>
        <w:right w:val="none" w:sz="0" w:space="0" w:color="auto"/>
      </w:divBdr>
    </w:div>
    <w:div w:id="20824855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google.co.uk/imgres?q=christopher+alexander+the+city+is+not+a+tree+diagram&amp;hl=en&amp;rlz=1T4WZPA_enGB439GB439&amp;biw=1024&amp;bih=470&amp;tbm=isch&amp;tbnid=30N-8DaUoC02CM:&amp;imgrefurl=http://dmedia.ucsc.edu/FDM171d/Winter2005/alexander-tree1.html&amp;docid=zNR6Wu9DBYxdQM&amp;w=300&amp;h=560&amp;ei=dHNXTujbCNO38gOE67mgDA&amp;zoom=1" TargetMode="Externa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yperlink" Target="http://www.communities.gov.uk/publications/thamesgateway/ecoregion" TargetMode="Externa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http://www.communities.gov.uk/publications/communities/sustainablecommunitiesbuilding" TargetMode="External"/><Relationship Id="rId10" Type="http://schemas.openxmlformats.org/officeDocument/2006/relationships/hyperlink" Target="http://www.google.co.uk/imgres?q=christopher+alexander+the+city+is+not+a+tree+diagram&amp;hl=en&amp;rlz=1T4WZPA_enGB439GB439&amp;biw=1024&amp;bih=470&amp;tbm=isch&amp;tbnid=no3V7O66C_uvIM:&amp;imgrefurl=http://dmedia.ucsc.edu/FDM171d/Winter2005/alexander-tree1.html&amp;docid=zNR6Wu9DBYxdQM&amp;w=150&amp;h=260&amp;ei=dHNXTujbCNO38gOE67mgDA&amp;zoom=1" TargetMode="External"/><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hyperlink" Target="http://cmsdata.iucn.org/downloads/iucn_future_of_sustanability.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ustom 1">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6D2F7861-742D-4C20-BB76-82C1C16D2B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3200</Words>
  <Characters>18245</Characters>
  <Application>Microsoft Office Word</Application>
  <DocSecurity>0</DocSecurity>
  <Lines>152</Lines>
  <Paragraphs>42</Paragraphs>
  <ScaleCrop>false</ScaleCrop>
  <HeadingPairs>
    <vt:vector size="2" baseType="variant">
      <vt:variant>
        <vt:lpstr>Title</vt:lpstr>
      </vt:variant>
      <vt:variant>
        <vt:i4>1</vt:i4>
      </vt:variant>
    </vt:vector>
  </HeadingPairs>
  <TitlesOfParts>
    <vt:vector size="1" baseType="lpstr">
      <vt:lpstr/>
    </vt:vector>
  </TitlesOfParts>
  <Company>University of the West of England</Company>
  <LinksUpToDate>false</LinksUpToDate>
  <CharactersWithSpaces>21403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Lamine Mahdjoubi</dc:creator>
  <cp:lastModifiedBy>Lamine Mahdjoubi</cp:lastModifiedBy>
  <cp:revision>2</cp:revision>
  <dcterms:created xsi:type="dcterms:W3CDTF">2011-08-30T12:43:00Z</dcterms:created>
  <dcterms:modified xsi:type="dcterms:W3CDTF">2011-08-30T12:43:00Z</dcterms:modified>
</cp:coreProperties>
</file>