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609" w14:textId="77777777" w:rsidR="00BE0A85" w:rsidRPr="001609F7" w:rsidRDefault="00BE0A85" w:rsidP="00BE0A85">
      <w:pPr>
        <w:spacing w:before="240" w:line="240" w:lineRule="auto"/>
        <w:rPr>
          <w:rFonts w:cstheme="minorHAnsi"/>
          <w:b/>
          <w:sz w:val="36"/>
          <w:szCs w:val="36"/>
        </w:rPr>
      </w:pPr>
      <w:bookmarkStart w:id="0" w:name="_Hlk82415491"/>
      <w:bookmarkEnd w:id="0"/>
      <w:r w:rsidRPr="001609F7">
        <w:rPr>
          <w:rFonts w:cstheme="minorHAnsi"/>
          <w:b/>
          <w:bCs/>
          <w:sz w:val="36"/>
          <w:szCs w:val="36"/>
        </w:rPr>
        <w:t xml:space="preserve">Understanding the effects of spatial planning on the deployment of </w:t>
      </w:r>
      <w:proofErr w:type="gramStart"/>
      <w:r w:rsidRPr="001609F7">
        <w:rPr>
          <w:rFonts w:cstheme="minorHAnsi"/>
          <w:b/>
          <w:bCs/>
          <w:sz w:val="36"/>
          <w:szCs w:val="36"/>
        </w:rPr>
        <w:t>on-shore</w:t>
      </w:r>
      <w:proofErr w:type="gramEnd"/>
      <w:r w:rsidRPr="001609F7">
        <w:rPr>
          <w:rFonts w:cstheme="minorHAnsi"/>
          <w:b/>
          <w:bCs/>
          <w:sz w:val="36"/>
          <w:szCs w:val="36"/>
        </w:rPr>
        <w:t xml:space="preserve"> wind power: insights from Italy</w:t>
      </w:r>
      <w:r w:rsidR="001520F2" w:rsidRPr="001609F7">
        <w:rPr>
          <w:rFonts w:cstheme="minorHAnsi"/>
          <w:b/>
          <w:bCs/>
          <w:sz w:val="36"/>
          <w:szCs w:val="36"/>
        </w:rPr>
        <w:t xml:space="preserve"> and the</w:t>
      </w:r>
      <w:r w:rsidRPr="001609F7">
        <w:rPr>
          <w:rFonts w:cstheme="minorHAnsi"/>
          <w:b/>
          <w:bCs/>
          <w:sz w:val="36"/>
          <w:szCs w:val="36"/>
        </w:rPr>
        <w:t xml:space="preserve"> UK</w:t>
      </w:r>
    </w:p>
    <w:p w14:paraId="14B70A4C" w14:textId="77777777" w:rsidR="00BE0A85" w:rsidRPr="008C057B" w:rsidRDefault="00BE0A85" w:rsidP="00BE0A85">
      <w:pPr>
        <w:rPr>
          <w:sz w:val="28"/>
          <w:szCs w:val="28"/>
        </w:rPr>
      </w:pPr>
    </w:p>
    <w:p w14:paraId="1192A47C" w14:textId="3634D52F" w:rsidR="001609F7" w:rsidRPr="001609F7" w:rsidRDefault="001609F7" w:rsidP="00BE0A85">
      <w:pPr>
        <w:rPr>
          <w:sz w:val="24"/>
          <w:szCs w:val="24"/>
        </w:rPr>
      </w:pPr>
      <w:r w:rsidRPr="001609F7">
        <w:rPr>
          <w:sz w:val="24"/>
          <w:szCs w:val="24"/>
        </w:rPr>
        <w:t xml:space="preserve">Pre-publication version; accepted for publication in the </w:t>
      </w:r>
      <w:r w:rsidRPr="001609F7">
        <w:rPr>
          <w:i/>
          <w:iCs/>
          <w:sz w:val="24"/>
          <w:szCs w:val="24"/>
        </w:rPr>
        <w:t>Journal of Environmental Planning and Management</w:t>
      </w:r>
      <w:r w:rsidRPr="001609F7">
        <w:rPr>
          <w:sz w:val="24"/>
          <w:szCs w:val="24"/>
        </w:rPr>
        <w:t>, 07.09.21</w:t>
      </w:r>
    </w:p>
    <w:p w14:paraId="083EF182" w14:textId="77777777" w:rsidR="001609F7" w:rsidRPr="008C057B" w:rsidRDefault="001609F7" w:rsidP="00BE0A85">
      <w:pPr>
        <w:rPr>
          <w:sz w:val="32"/>
          <w:szCs w:val="32"/>
        </w:rPr>
      </w:pPr>
    </w:p>
    <w:p w14:paraId="6655847E" w14:textId="04C10FAC" w:rsidR="00BE0A85" w:rsidRPr="008C057B" w:rsidRDefault="00BE0A85" w:rsidP="00BE0A85">
      <w:pPr>
        <w:rPr>
          <w:b/>
          <w:sz w:val="32"/>
          <w:szCs w:val="32"/>
        </w:rPr>
      </w:pPr>
      <w:r w:rsidRPr="008C057B">
        <w:rPr>
          <w:b/>
          <w:sz w:val="32"/>
          <w:szCs w:val="32"/>
        </w:rPr>
        <w:t xml:space="preserve">Richard </w:t>
      </w:r>
      <w:proofErr w:type="spellStart"/>
      <w:r w:rsidR="002B4405" w:rsidRPr="008C057B">
        <w:rPr>
          <w:b/>
          <w:sz w:val="32"/>
          <w:szCs w:val="32"/>
        </w:rPr>
        <w:t>Cowell</w:t>
      </w:r>
      <w:r w:rsidR="002B4405">
        <w:rPr>
          <w:b/>
          <w:sz w:val="32"/>
          <w:szCs w:val="32"/>
          <w:vertAlign w:val="superscript"/>
        </w:rPr>
        <w:t>a</w:t>
      </w:r>
      <w:proofErr w:type="spellEnd"/>
      <w:r w:rsidRPr="008C057B">
        <w:rPr>
          <w:b/>
          <w:sz w:val="32"/>
          <w:szCs w:val="32"/>
        </w:rPr>
        <w:t xml:space="preserve"> and Carla </w:t>
      </w:r>
      <w:r w:rsidR="0028214B">
        <w:rPr>
          <w:b/>
          <w:sz w:val="32"/>
          <w:szCs w:val="32"/>
        </w:rPr>
        <w:t>D</w:t>
      </w:r>
      <w:r w:rsidRPr="008C057B">
        <w:rPr>
          <w:b/>
          <w:sz w:val="32"/>
          <w:szCs w:val="32"/>
        </w:rPr>
        <w:t xml:space="preserve">e </w:t>
      </w:r>
      <w:proofErr w:type="spellStart"/>
      <w:r w:rsidR="002B4405" w:rsidRPr="008C057B">
        <w:rPr>
          <w:b/>
          <w:sz w:val="32"/>
          <w:szCs w:val="32"/>
        </w:rPr>
        <w:t>Laurenti</w:t>
      </w:r>
      <w:r w:rsidR="002B4405">
        <w:rPr>
          <w:b/>
          <w:sz w:val="32"/>
          <w:szCs w:val="32"/>
        </w:rPr>
        <w:t>s</w:t>
      </w:r>
      <w:r w:rsidR="002B4405">
        <w:rPr>
          <w:b/>
          <w:sz w:val="32"/>
          <w:szCs w:val="32"/>
          <w:vertAlign w:val="superscript"/>
        </w:rPr>
        <w:t>b</w:t>
      </w:r>
      <w:proofErr w:type="spellEnd"/>
    </w:p>
    <w:p w14:paraId="79C8C81C" w14:textId="77777777" w:rsidR="00BE0A85" w:rsidRPr="008C057B" w:rsidRDefault="00BE0A85" w:rsidP="00BE0A85">
      <w:pPr>
        <w:rPr>
          <w:sz w:val="28"/>
          <w:szCs w:val="28"/>
        </w:rPr>
      </w:pPr>
    </w:p>
    <w:p w14:paraId="11219A78" w14:textId="5A43288E" w:rsidR="0043448C" w:rsidRPr="001609F7" w:rsidRDefault="00FE5E31" w:rsidP="007E35A4">
      <w:pPr>
        <w:spacing w:line="240" w:lineRule="auto"/>
        <w:rPr>
          <w:sz w:val="24"/>
          <w:szCs w:val="24"/>
        </w:rPr>
      </w:pPr>
      <w:r w:rsidRPr="001609F7">
        <w:rPr>
          <w:sz w:val="24"/>
          <w:szCs w:val="24"/>
          <w:vertAlign w:val="superscript"/>
          <w:lang w:val="en-US"/>
        </w:rPr>
        <w:t>a</w:t>
      </w:r>
      <w:r w:rsidR="00BE0A85" w:rsidRPr="001609F7">
        <w:rPr>
          <w:sz w:val="24"/>
          <w:szCs w:val="24"/>
          <w:lang w:val="en-US"/>
        </w:rPr>
        <w:t>School of Geography and Planning</w:t>
      </w:r>
      <w:r w:rsidRPr="001609F7">
        <w:rPr>
          <w:sz w:val="24"/>
          <w:szCs w:val="24"/>
          <w:lang w:val="en-US"/>
        </w:rPr>
        <w:t xml:space="preserve">, </w:t>
      </w:r>
      <w:r w:rsidR="00BE0A85" w:rsidRPr="001609F7">
        <w:rPr>
          <w:sz w:val="24"/>
          <w:szCs w:val="24"/>
          <w:lang w:val="en-US"/>
        </w:rPr>
        <w:t>Cardiff University</w:t>
      </w:r>
      <w:r w:rsidR="00356FE9" w:rsidRPr="001609F7">
        <w:rPr>
          <w:sz w:val="24"/>
          <w:szCs w:val="24"/>
          <w:lang w:val="en-US"/>
        </w:rPr>
        <w:t xml:space="preserve">, </w:t>
      </w:r>
      <w:r w:rsidR="007E35A4" w:rsidRPr="001609F7">
        <w:rPr>
          <w:sz w:val="24"/>
          <w:szCs w:val="24"/>
          <w:lang w:val="en-US"/>
        </w:rPr>
        <w:t xml:space="preserve">Glamorgan Building, </w:t>
      </w:r>
      <w:r w:rsidR="00BE0A85" w:rsidRPr="001609F7">
        <w:rPr>
          <w:sz w:val="24"/>
          <w:szCs w:val="24"/>
          <w:lang w:val="en-US"/>
        </w:rPr>
        <w:t>Cardiff</w:t>
      </w:r>
      <w:r w:rsidR="00356FE9" w:rsidRPr="001609F7">
        <w:rPr>
          <w:sz w:val="24"/>
          <w:szCs w:val="24"/>
          <w:lang w:val="en-US"/>
        </w:rPr>
        <w:t xml:space="preserve">, </w:t>
      </w:r>
      <w:r w:rsidR="00BE0A85" w:rsidRPr="001609F7">
        <w:rPr>
          <w:sz w:val="24"/>
          <w:szCs w:val="24"/>
          <w:lang w:val="en-US"/>
        </w:rPr>
        <w:t>CF10 3</w:t>
      </w:r>
      <w:r w:rsidR="007E35A4" w:rsidRPr="001609F7">
        <w:rPr>
          <w:sz w:val="24"/>
          <w:szCs w:val="24"/>
          <w:lang w:val="en-US"/>
        </w:rPr>
        <w:t xml:space="preserve">WA; </w:t>
      </w:r>
      <w:r w:rsidR="0043448C" w:rsidRPr="001609F7">
        <w:rPr>
          <w:sz w:val="24"/>
          <w:szCs w:val="24"/>
        </w:rPr>
        <w:t xml:space="preserve">Tel: +44 (0)29 20876684, Email: </w:t>
      </w:r>
      <w:hyperlink r:id="rId10" w:history="1">
        <w:r w:rsidR="0043448C" w:rsidRPr="001609F7">
          <w:rPr>
            <w:rStyle w:val="Hyperlink"/>
            <w:sz w:val="24"/>
            <w:szCs w:val="24"/>
          </w:rPr>
          <w:t>cowellrj@cardiff.ac.uk</w:t>
        </w:r>
      </w:hyperlink>
    </w:p>
    <w:p w14:paraId="512FA3D7" w14:textId="77777777" w:rsidR="00BE0A85" w:rsidRPr="001609F7" w:rsidRDefault="00BE0A85" w:rsidP="00BE0A85">
      <w:pPr>
        <w:spacing w:line="240" w:lineRule="auto"/>
        <w:rPr>
          <w:sz w:val="24"/>
          <w:szCs w:val="24"/>
          <w:lang w:val="en-US"/>
        </w:rPr>
      </w:pPr>
    </w:p>
    <w:p w14:paraId="2BAD5C6D" w14:textId="77777777" w:rsidR="00BE0A85" w:rsidRPr="001609F7" w:rsidRDefault="00585F73" w:rsidP="00BE0A85">
      <w:pPr>
        <w:rPr>
          <w:sz w:val="24"/>
          <w:szCs w:val="24"/>
          <w:lang w:val="en-US"/>
        </w:rPr>
      </w:pPr>
      <w:r w:rsidRPr="001609F7">
        <w:rPr>
          <w:sz w:val="24"/>
          <w:szCs w:val="24"/>
          <w:vertAlign w:val="superscript"/>
        </w:rPr>
        <w:t>b</w:t>
      </w:r>
      <w:r w:rsidR="00566583" w:rsidRPr="001609F7">
        <w:rPr>
          <w:sz w:val="24"/>
          <w:szCs w:val="24"/>
          <w:lang w:val="en-US"/>
        </w:rPr>
        <w:t>S</w:t>
      </w:r>
      <w:r w:rsidRPr="001609F7">
        <w:rPr>
          <w:sz w:val="24"/>
          <w:szCs w:val="24"/>
          <w:lang w:val="en-US"/>
        </w:rPr>
        <w:t xml:space="preserve">chool of Management, </w:t>
      </w:r>
      <w:r w:rsidR="00454B2B" w:rsidRPr="001609F7">
        <w:rPr>
          <w:sz w:val="24"/>
          <w:szCs w:val="24"/>
          <w:lang w:val="en-US"/>
        </w:rPr>
        <w:t>Cardiff Metropolitan University, Llandaff Campus, Western Avenue</w:t>
      </w:r>
      <w:r w:rsidR="0043448C" w:rsidRPr="001609F7">
        <w:rPr>
          <w:sz w:val="24"/>
          <w:szCs w:val="24"/>
          <w:lang w:val="en-US"/>
        </w:rPr>
        <w:t>, Cardiff, CF5 2YB</w:t>
      </w:r>
      <w:r w:rsidR="0085790B" w:rsidRPr="001609F7">
        <w:rPr>
          <w:sz w:val="24"/>
          <w:szCs w:val="24"/>
          <w:lang w:val="en-US"/>
        </w:rPr>
        <w:t>, E</w:t>
      </w:r>
      <w:r w:rsidR="0043448C" w:rsidRPr="001609F7">
        <w:rPr>
          <w:sz w:val="24"/>
          <w:szCs w:val="24"/>
          <w:lang w:val="en-US"/>
        </w:rPr>
        <w:t>mail: cdelaurentis@cardiffmet.ac.uk</w:t>
      </w:r>
    </w:p>
    <w:p w14:paraId="34BF9BF6" w14:textId="77777777" w:rsidR="0043448C" w:rsidRPr="00585F73" w:rsidRDefault="0043448C" w:rsidP="00BE0A85">
      <w:pPr>
        <w:rPr>
          <w:sz w:val="28"/>
          <w:szCs w:val="28"/>
        </w:rPr>
      </w:pPr>
    </w:p>
    <w:p w14:paraId="35CF0874" w14:textId="77777777" w:rsidR="00BE0A85" w:rsidRDefault="00BE0A85" w:rsidP="00BE0A85">
      <w:pPr>
        <w:rPr>
          <w:sz w:val="28"/>
          <w:szCs w:val="28"/>
        </w:rPr>
      </w:pPr>
    </w:p>
    <w:p w14:paraId="03C0F636" w14:textId="77777777" w:rsidR="004F3750" w:rsidRPr="007225BA" w:rsidRDefault="004F3750" w:rsidP="007225BA">
      <w:pPr>
        <w:pStyle w:val="Heading1"/>
        <w:spacing w:line="240" w:lineRule="auto"/>
        <w:rPr>
          <w:rFonts w:asciiTheme="minorHAnsi" w:hAnsiTheme="minorHAnsi" w:cstheme="minorHAnsi"/>
          <w:b/>
          <w:color w:val="auto"/>
          <w:sz w:val="24"/>
          <w:szCs w:val="24"/>
        </w:rPr>
      </w:pPr>
      <w:r w:rsidRPr="007225BA">
        <w:rPr>
          <w:rFonts w:asciiTheme="minorHAnsi" w:hAnsiTheme="minorHAnsi" w:cstheme="minorHAnsi"/>
          <w:b/>
          <w:color w:val="auto"/>
          <w:sz w:val="24"/>
          <w:szCs w:val="24"/>
        </w:rPr>
        <w:t>Abstract</w:t>
      </w:r>
    </w:p>
    <w:p w14:paraId="1CB228B9" w14:textId="74F4C167" w:rsidR="004F3750" w:rsidRDefault="00EC1B35" w:rsidP="007225BA">
      <w:pPr>
        <w:spacing w:before="240" w:line="240" w:lineRule="auto"/>
        <w:rPr>
          <w:rFonts w:cstheme="minorHAnsi"/>
          <w:sz w:val="24"/>
          <w:szCs w:val="24"/>
        </w:rPr>
      </w:pPr>
      <w:r>
        <w:rPr>
          <w:rFonts w:eastAsiaTheme="majorEastAsia" w:cstheme="minorHAnsi"/>
          <w:sz w:val="24"/>
          <w:szCs w:val="24"/>
        </w:rPr>
        <w:t xml:space="preserve">Despite sustained interest in </w:t>
      </w:r>
      <w:r w:rsidR="004F3750" w:rsidRPr="007225BA">
        <w:rPr>
          <w:rFonts w:eastAsiaTheme="majorEastAsia" w:cstheme="minorHAnsi"/>
          <w:sz w:val="24"/>
          <w:szCs w:val="24"/>
        </w:rPr>
        <w:t xml:space="preserve">spatial planning approaches for </w:t>
      </w:r>
      <w:r>
        <w:rPr>
          <w:rFonts w:eastAsiaTheme="majorEastAsia" w:cstheme="minorHAnsi"/>
          <w:sz w:val="24"/>
          <w:szCs w:val="24"/>
        </w:rPr>
        <w:t xml:space="preserve">steering </w:t>
      </w:r>
      <w:r w:rsidR="004F3750" w:rsidRPr="007225BA">
        <w:rPr>
          <w:rFonts w:eastAsiaTheme="majorEastAsia" w:cstheme="minorHAnsi"/>
          <w:sz w:val="24"/>
          <w:szCs w:val="24"/>
        </w:rPr>
        <w:t>renewable energy</w:t>
      </w:r>
      <w:r>
        <w:rPr>
          <w:rFonts w:eastAsiaTheme="majorEastAsia" w:cstheme="minorHAnsi"/>
          <w:sz w:val="24"/>
          <w:szCs w:val="24"/>
        </w:rPr>
        <w:t xml:space="preserve"> development, </w:t>
      </w:r>
      <w:r w:rsidR="007E35A4">
        <w:rPr>
          <w:rFonts w:eastAsiaTheme="majorEastAsia" w:cstheme="minorHAnsi"/>
          <w:sz w:val="24"/>
          <w:szCs w:val="24"/>
        </w:rPr>
        <w:t xml:space="preserve">the effect of these practices remains poorly </w:t>
      </w:r>
      <w:r w:rsidR="00651F05">
        <w:rPr>
          <w:rFonts w:eastAsiaTheme="majorEastAsia" w:cstheme="minorHAnsi"/>
          <w:sz w:val="24"/>
          <w:szCs w:val="24"/>
        </w:rPr>
        <w:t>underst</w:t>
      </w:r>
      <w:r w:rsidR="007E35A4">
        <w:rPr>
          <w:rFonts w:eastAsiaTheme="majorEastAsia" w:cstheme="minorHAnsi"/>
          <w:sz w:val="24"/>
          <w:szCs w:val="24"/>
        </w:rPr>
        <w:t>ood</w:t>
      </w:r>
      <w:r w:rsidR="004F3750" w:rsidRPr="007225BA">
        <w:rPr>
          <w:rFonts w:eastAsiaTheme="majorEastAsia" w:cstheme="minorHAnsi"/>
          <w:sz w:val="24"/>
          <w:szCs w:val="24"/>
        </w:rPr>
        <w:t xml:space="preserve">. This paper addresses this knowledge deficit through comparative analysis of </w:t>
      </w:r>
      <w:r w:rsidR="00DB365A">
        <w:rPr>
          <w:rStyle w:val="CommentReference"/>
          <w:rFonts w:cstheme="minorHAnsi"/>
          <w:sz w:val="24"/>
          <w:szCs w:val="24"/>
        </w:rPr>
        <w:t>the effects</w:t>
      </w:r>
      <w:r>
        <w:rPr>
          <w:rStyle w:val="CommentReference"/>
          <w:rFonts w:cstheme="minorHAnsi"/>
          <w:sz w:val="24"/>
          <w:szCs w:val="24"/>
        </w:rPr>
        <w:t xml:space="preserve"> of </w:t>
      </w:r>
      <w:r w:rsidR="004F3750" w:rsidRPr="007225BA">
        <w:rPr>
          <w:rFonts w:eastAsiaTheme="majorEastAsia" w:cstheme="minorHAnsi"/>
          <w:sz w:val="24"/>
          <w:szCs w:val="24"/>
        </w:rPr>
        <w:t xml:space="preserve">spatial planning approaches </w:t>
      </w:r>
      <w:r w:rsidR="00DB365A">
        <w:rPr>
          <w:rFonts w:eastAsiaTheme="majorEastAsia" w:cstheme="minorHAnsi"/>
          <w:sz w:val="24"/>
          <w:szCs w:val="24"/>
        </w:rPr>
        <w:t>on</w:t>
      </w:r>
      <w:r w:rsidR="005E7958">
        <w:rPr>
          <w:rFonts w:eastAsiaTheme="majorEastAsia" w:cstheme="minorHAnsi"/>
          <w:sz w:val="24"/>
          <w:szCs w:val="24"/>
        </w:rPr>
        <w:t xml:space="preserve"> </w:t>
      </w:r>
      <w:r>
        <w:rPr>
          <w:rFonts w:eastAsiaTheme="majorEastAsia" w:cstheme="minorHAnsi"/>
          <w:sz w:val="24"/>
          <w:szCs w:val="24"/>
        </w:rPr>
        <w:t xml:space="preserve">wind </w:t>
      </w:r>
      <w:r w:rsidR="00DB365A">
        <w:rPr>
          <w:rFonts w:eastAsiaTheme="majorEastAsia" w:cstheme="minorHAnsi"/>
          <w:sz w:val="24"/>
          <w:szCs w:val="24"/>
        </w:rPr>
        <w:t xml:space="preserve">energy deployment </w:t>
      </w:r>
      <w:r>
        <w:rPr>
          <w:rFonts w:eastAsiaTheme="majorEastAsia" w:cstheme="minorHAnsi"/>
          <w:sz w:val="24"/>
          <w:szCs w:val="24"/>
        </w:rPr>
        <w:t>in Italy and the UK. Our approach</w:t>
      </w:r>
      <w:r w:rsidR="004F3750" w:rsidRPr="007225BA">
        <w:rPr>
          <w:rFonts w:eastAsiaTheme="majorEastAsia" w:cstheme="minorHAnsi"/>
          <w:sz w:val="24"/>
          <w:szCs w:val="24"/>
        </w:rPr>
        <w:t xml:space="preserve"> elucidate</w:t>
      </w:r>
      <w:r>
        <w:rPr>
          <w:rFonts w:eastAsiaTheme="majorEastAsia" w:cstheme="minorHAnsi"/>
          <w:sz w:val="24"/>
          <w:szCs w:val="24"/>
        </w:rPr>
        <w:t>s</w:t>
      </w:r>
      <w:r w:rsidR="004F3750" w:rsidRPr="007225BA">
        <w:rPr>
          <w:rFonts w:eastAsiaTheme="majorEastAsia" w:cstheme="minorHAnsi"/>
          <w:sz w:val="24"/>
          <w:szCs w:val="24"/>
        </w:rPr>
        <w:t xml:space="preserve"> the different roles that spatial planning approaches can perform using </w:t>
      </w:r>
      <w:r w:rsidR="00953E1A">
        <w:rPr>
          <w:rFonts w:eastAsiaTheme="majorEastAsia" w:cstheme="minorHAnsi"/>
          <w:sz w:val="24"/>
          <w:szCs w:val="24"/>
        </w:rPr>
        <w:t>a ‘modes of governing</w:t>
      </w:r>
      <w:r w:rsidR="00735E90">
        <w:rPr>
          <w:rFonts w:eastAsiaTheme="majorEastAsia" w:cstheme="minorHAnsi"/>
          <w:sz w:val="24"/>
          <w:szCs w:val="24"/>
        </w:rPr>
        <w:t>’ framework</w:t>
      </w:r>
      <w:r w:rsidR="004F3750" w:rsidRPr="007225BA">
        <w:rPr>
          <w:rFonts w:eastAsiaTheme="majorEastAsia" w:cstheme="minorHAnsi"/>
          <w:sz w:val="24"/>
          <w:szCs w:val="24"/>
        </w:rPr>
        <w:t xml:space="preserve"> that, innovatively, recognises the unavoidable compromises involved in their construction. Several distinctive findings emerge. </w:t>
      </w:r>
      <w:r w:rsidR="004F3750" w:rsidRPr="007225BA">
        <w:rPr>
          <w:rFonts w:cstheme="minorHAnsi"/>
          <w:sz w:val="24"/>
          <w:szCs w:val="24"/>
          <w:lang w:eastAsia="en-GB"/>
        </w:rPr>
        <w:t xml:space="preserve"> First, governments deploy spatial planning approaches wit</w:t>
      </w:r>
      <w:r w:rsidR="009E7C9D">
        <w:rPr>
          <w:rFonts w:cstheme="minorHAnsi"/>
          <w:sz w:val="24"/>
          <w:szCs w:val="24"/>
          <w:lang w:eastAsia="en-GB"/>
        </w:rPr>
        <w:t>h</w:t>
      </w:r>
      <w:r w:rsidR="004F3750" w:rsidRPr="007225BA">
        <w:rPr>
          <w:rFonts w:cstheme="minorHAnsi"/>
          <w:sz w:val="24"/>
          <w:szCs w:val="24"/>
          <w:lang w:eastAsia="en-GB"/>
        </w:rPr>
        <w:t xml:space="preserve"> different</w:t>
      </w:r>
      <w:r w:rsidR="005E7958">
        <w:rPr>
          <w:rFonts w:cstheme="minorHAnsi"/>
          <w:sz w:val="24"/>
          <w:szCs w:val="24"/>
          <w:lang w:eastAsia="en-GB"/>
        </w:rPr>
        <w:t xml:space="preserve"> </w:t>
      </w:r>
      <w:r w:rsidR="00DB365A">
        <w:rPr>
          <w:rFonts w:cstheme="minorHAnsi"/>
          <w:sz w:val="24"/>
          <w:szCs w:val="24"/>
          <w:lang w:eastAsia="en-GB"/>
        </w:rPr>
        <w:t>governance purposes</w:t>
      </w:r>
      <w:r>
        <w:rPr>
          <w:rFonts w:cstheme="minorHAnsi"/>
          <w:sz w:val="24"/>
          <w:szCs w:val="24"/>
          <w:lang w:eastAsia="en-GB"/>
        </w:rPr>
        <w:t xml:space="preserve">, </w:t>
      </w:r>
      <w:r w:rsidR="001520F2">
        <w:rPr>
          <w:rFonts w:cstheme="minorHAnsi"/>
          <w:sz w:val="24"/>
          <w:szCs w:val="24"/>
          <w:lang w:eastAsia="en-GB"/>
        </w:rPr>
        <w:t xml:space="preserve">thus </w:t>
      </w:r>
      <w:r>
        <w:rPr>
          <w:rFonts w:cstheme="minorHAnsi"/>
          <w:sz w:val="24"/>
          <w:szCs w:val="24"/>
          <w:lang w:eastAsia="en-GB"/>
        </w:rPr>
        <w:t>explaining</w:t>
      </w:r>
      <w:r w:rsidR="004F3750" w:rsidRPr="007225BA">
        <w:rPr>
          <w:rFonts w:cstheme="minorHAnsi"/>
          <w:sz w:val="24"/>
          <w:szCs w:val="24"/>
          <w:lang w:eastAsia="en-GB"/>
        </w:rPr>
        <w:t xml:space="preserve"> why the effects on RE outcomes can be ambiguous.</w:t>
      </w:r>
      <w:r>
        <w:rPr>
          <w:rFonts w:cstheme="minorHAnsi"/>
          <w:sz w:val="24"/>
          <w:szCs w:val="24"/>
          <w:lang w:eastAsia="en-GB"/>
        </w:rPr>
        <w:t xml:space="preserve"> Second,</w:t>
      </w:r>
      <w:r w:rsidR="004F3750" w:rsidRPr="007225BA">
        <w:rPr>
          <w:rFonts w:cstheme="minorHAnsi"/>
          <w:sz w:val="24"/>
          <w:szCs w:val="24"/>
        </w:rPr>
        <w:t xml:space="preserve"> many of the challenges that beset spatial</w:t>
      </w:r>
      <w:r>
        <w:rPr>
          <w:rFonts w:cstheme="minorHAnsi"/>
          <w:sz w:val="24"/>
          <w:szCs w:val="24"/>
        </w:rPr>
        <w:t xml:space="preserve"> planning approaches</w:t>
      </w:r>
      <w:r w:rsidR="004F3750" w:rsidRPr="007225BA">
        <w:rPr>
          <w:rFonts w:cstheme="minorHAnsi"/>
          <w:sz w:val="24"/>
          <w:szCs w:val="24"/>
        </w:rPr>
        <w:t xml:space="preserve"> arise not from technical-methodological issues but from difficult-to-resolve governance challeng</w:t>
      </w:r>
      <w:r>
        <w:rPr>
          <w:rFonts w:cstheme="minorHAnsi"/>
          <w:sz w:val="24"/>
          <w:szCs w:val="24"/>
        </w:rPr>
        <w:t xml:space="preserve">es of </w:t>
      </w:r>
      <w:r w:rsidR="00735E90">
        <w:rPr>
          <w:rFonts w:cstheme="minorHAnsi"/>
          <w:sz w:val="24"/>
          <w:szCs w:val="24"/>
        </w:rPr>
        <w:t>cross-scalar coordination</w:t>
      </w:r>
      <w:r w:rsidR="004F3750" w:rsidRPr="007225BA">
        <w:rPr>
          <w:rFonts w:cstheme="minorHAnsi"/>
          <w:sz w:val="24"/>
          <w:szCs w:val="24"/>
        </w:rPr>
        <w:t>. Third, we show</w:t>
      </w:r>
      <w:r w:rsidR="005E7958">
        <w:rPr>
          <w:rFonts w:cstheme="minorHAnsi"/>
          <w:sz w:val="24"/>
          <w:szCs w:val="24"/>
        </w:rPr>
        <w:t xml:space="preserve"> </w:t>
      </w:r>
      <w:r w:rsidR="00735E90">
        <w:rPr>
          <w:rFonts w:cstheme="minorHAnsi"/>
          <w:sz w:val="24"/>
          <w:szCs w:val="24"/>
        </w:rPr>
        <w:t>that</w:t>
      </w:r>
      <w:r w:rsidR="004F3750" w:rsidRPr="007225BA">
        <w:rPr>
          <w:rFonts w:cstheme="minorHAnsi"/>
          <w:sz w:val="24"/>
          <w:szCs w:val="24"/>
        </w:rPr>
        <w:t xml:space="preserve"> the efficacy of spatial pl</w:t>
      </w:r>
      <w:r w:rsidR="00735E90">
        <w:rPr>
          <w:rFonts w:cstheme="minorHAnsi"/>
          <w:sz w:val="24"/>
          <w:szCs w:val="24"/>
        </w:rPr>
        <w:t>anning approaches</w:t>
      </w:r>
      <w:r w:rsidR="00DB365A">
        <w:rPr>
          <w:rFonts w:cstheme="minorHAnsi"/>
          <w:sz w:val="24"/>
          <w:szCs w:val="24"/>
        </w:rPr>
        <w:t xml:space="preserve"> in shaping</w:t>
      </w:r>
      <w:r w:rsidR="00766A9C">
        <w:rPr>
          <w:rFonts w:cstheme="minorHAnsi"/>
          <w:sz w:val="24"/>
          <w:szCs w:val="24"/>
        </w:rPr>
        <w:t xml:space="preserve"> RE deployment</w:t>
      </w:r>
      <w:r w:rsidR="00735E90">
        <w:rPr>
          <w:rFonts w:cstheme="minorHAnsi"/>
          <w:sz w:val="24"/>
          <w:szCs w:val="24"/>
        </w:rPr>
        <w:t xml:space="preserve"> is</w:t>
      </w:r>
      <w:r>
        <w:rPr>
          <w:rFonts w:cstheme="minorHAnsi"/>
          <w:sz w:val="24"/>
          <w:szCs w:val="24"/>
        </w:rPr>
        <w:t xml:space="preserve"> contextual in nature, reflecting</w:t>
      </w:r>
      <w:r w:rsidR="005E7958">
        <w:rPr>
          <w:rFonts w:cstheme="minorHAnsi"/>
          <w:sz w:val="24"/>
          <w:szCs w:val="24"/>
        </w:rPr>
        <w:t xml:space="preserve"> </w:t>
      </w:r>
      <w:r w:rsidR="00735E90">
        <w:rPr>
          <w:rFonts w:cstheme="minorHAnsi"/>
          <w:sz w:val="24"/>
          <w:szCs w:val="24"/>
        </w:rPr>
        <w:t>how far</w:t>
      </w:r>
      <w:r>
        <w:rPr>
          <w:rFonts w:cstheme="minorHAnsi"/>
          <w:sz w:val="24"/>
          <w:szCs w:val="24"/>
        </w:rPr>
        <w:t xml:space="preserve"> the</w:t>
      </w:r>
      <w:r w:rsidR="00766A9C">
        <w:rPr>
          <w:rFonts w:cstheme="minorHAnsi"/>
          <w:sz w:val="24"/>
          <w:szCs w:val="24"/>
        </w:rPr>
        <w:t>ir</w:t>
      </w:r>
      <w:r w:rsidR="005E7958">
        <w:rPr>
          <w:rFonts w:cstheme="minorHAnsi"/>
          <w:sz w:val="24"/>
          <w:szCs w:val="24"/>
        </w:rPr>
        <w:t xml:space="preserve"> </w:t>
      </w:r>
      <w:r w:rsidR="00766A9C">
        <w:rPr>
          <w:rFonts w:cstheme="minorHAnsi"/>
          <w:sz w:val="24"/>
          <w:szCs w:val="24"/>
        </w:rPr>
        <w:t xml:space="preserve">inherent </w:t>
      </w:r>
      <w:r>
        <w:rPr>
          <w:rFonts w:cstheme="minorHAnsi"/>
          <w:sz w:val="24"/>
          <w:szCs w:val="24"/>
        </w:rPr>
        <w:t>compromises</w:t>
      </w:r>
      <w:r w:rsidR="004F3750" w:rsidRPr="007225BA">
        <w:rPr>
          <w:rFonts w:cstheme="minorHAnsi"/>
          <w:sz w:val="24"/>
          <w:szCs w:val="24"/>
        </w:rPr>
        <w:t xml:space="preserve"> are accepted by</w:t>
      </w:r>
      <w:r w:rsidR="00735E90">
        <w:rPr>
          <w:rFonts w:cstheme="minorHAnsi"/>
          <w:sz w:val="24"/>
          <w:szCs w:val="24"/>
        </w:rPr>
        <w:t xml:space="preserve"> key actors</w:t>
      </w:r>
      <w:r w:rsidR="004F3750" w:rsidRPr="007225BA">
        <w:rPr>
          <w:rFonts w:cstheme="minorHAnsi"/>
          <w:sz w:val="24"/>
          <w:szCs w:val="24"/>
        </w:rPr>
        <w:t>.</w:t>
      </w:r>
    </w:p>
    <w:p w14:paraId="79D0F009" w14:textId="77777777" w:rsidR="005F4CAE" w:rsidRDefault="005F4CAE" w:rsidP="007225BA">
      <w:pPr>
        <w:spacing w:before="240" w:line="240" w:lineRule="auto"/>
        <w:rPr>
          <w:rFonts w:cstheme="minorHAnsi"/>
          <w:sz w:val="24"/>
          <w:szCs w:val="24"/>
        </w:rPr>
      </w:pPr>
    </w:p>
    <w:p w14:paraId="5F957743" w14:textId="77777777" w:rsidR="005F4CAE" w:rsidRDefault="005F4CAE" w:rsidP="007225BA">
      <w:pPr>
        <w:spacing w:before="240" w:line="240" w:lineRule="auto"/>
        <w:rPr>
          <w:rFonts w:cstheme="minorHAnsi"/>
          <w:sz w:val="24"/>
          <w:szCs w:val="24"/>
        </w:rPr>
      </w:pPr>
      <w:r w:rsidRPr="006A7FE9">
        <w:rPr>
          <w:rFonts w:cstheme="minorHAnsi"/>
          <w:b/>
          <w:sz w:val="24"/>
          <w:szCs w:val="24"/>
        </w:rPr>
        <w:t>Key words:</w:t>
      </w:r>
      <w:r w:rsidR="006A7FE9">
        <w:rPr>
          <w:rFonts w:cstheme="minorHAnsi"/>
          <w:sz w:val="24"/>
          <w:szCs w:val="24"/>
        </w:rPr>
        <w:t xml:space="preserve"> renewable energy; spatial planning; wind energy; governance; devolution; siting</w:t>
      </w:r>
    </w:p>
    <w:p w14:paraId="040D380F" w14:textId="77777777" w:rsidR="004F3750" w:rsidRPr="007225BA" w:rsidRDefault="004F3750" w:rsidP="007225BA">
      <w:pPr>
        <w:spacing w:before="240" w:line="240" w:lineRule="auto"/>
        <w:rPr>
          <w:rFonts w:eastAsiaTheme="majorEastAsia" w:cstheme="minorHAnsi"/>
          <w:b/>
          <w:sz w:val="24"/>
          <w:szCs w:val="24"/>
        </w:rPr>
      </w:pPr>
      <w:r w:rsidRPr="007225BA">
        <w:rPr>
          <w:rFonts w:cstheme="minorHAnsi"/>
          <w:b/>
          <w:sz w:val="24"/>
          <w:szCs w:val="24"/>
        </w:rPr>
        <w:br w:type="page"/>
      </w:r>
    </w:p>
    <w:p w14:paraId="0A2C4E73" w14:textId="77777777" w:rsidR="004F3750" w:rsidRPr="007225BA" w:rsidRDefault="004F3750" w:rsidP="00735E90">
      <w:pPr>
        <w:pStyle w:val="Heading1"/>
        <w:spacing w:before="0" w:line="240" w:lineRule="auto"/>
        <w:rPr>
          <w:rFonts w:asciiTheme="minorHAnsi" w:hAnsiTheme="minorHAnsi" w:cstheme="minorHAnsi"/>
          <w:b/>
          <w:color w:val="auto"/>
          <w:sz w:val="24"/>
          <w:szCs w:val="24"/>
        </w:rPr>
      </w:pPr>
      <w:r w:rsidRPr="007225BA">
        <w:rPr>
          <w:rFonts w:asciiTheme="minorHAnsi" w:hAnsiTheme="minorHAnsi" w:cstheme="minorHAnsi"/>
          <w:b/>
          <w:color w:val="auto"/>
          <w:sz w:val="24"/>
          <w:szCs w:val="24"/>
        </w:rPr>
        <w:lastRenderedPageBreak/>
        <w:t>Introduction</w:t>
      </w:r>
    </w:p>
    <w:p w14:paraId="60CA51B1" w14:textId="77777777" w:rsidR="004F3750" w:rsidRPr="007225BA" w:rsidRDefault="004F3750" w:rsidP="00735E90">
      <w:pPr>
        <w:spacing w:line="240" w:lineRule="auto"/>
        <w:jc w:val="both"/>
        <w:rPr>
          <w:rFonts w:cstheme="minorHAnsi"/>
          <w:sz w:val="24"/>
          <w:szCs w:val="24"/>
        </w:rPr>
      </w:pPr>
    </w:p>
    <w:p w14:paraId="4CACCAD1" w14:textId="7D82EA2F" w:rsidR="004F3750" w:rsidRPr="007225BA" w:rsidRDefault="004F3750" w:rsidP="00735E90">
      <w:pPr>
        <w:spacing w:line="240" w:lineRule="auto"/>
        <w:jc w:val="both"/>
        <w:rPr>
          <w:rFonts w:cstheme="minorHAnsi"/>
          <w:sz w:val="24"/>
          <w:szCs w:val="24"/>
          <w:lang w:eastAsia="en-GB"/>
        </w:rPr>
      </w:pPr>
      <w:r w:rsidRPr="007225BA">
        <w:rPr>
          <w:rFonts w:cstheme="minorHAnsi"/>
          <w:sz w:val="24"/>
          <w:szCs w:val="24"/>
        </w:rPr>
        <w:t xml:space="preserve">In the global challenge to expand renewable energy (hereafter RE), finding sites for generation facilities is an enduring concern that is unlikely to diminish soon. Countries worldwide continue to set ambitious targets for RE, </w:t>
      </w:r>
      <w:r w:rsidR="00735E90">
        <w:rPr>
          <w:rFonts w:cstheme="minorHAnsi"/>
          <w:sz w:val="24"/>
          <w:szCs w:val="24"/>
        </w:rPr>
        <w:t>driven by</w:t>
      </w:r>
      <w:r w:rsidRPr="007225BA">
        <w:rPr>
          <w:rFonts w:cstheme="minorHAnsi"/>
          <w:sz w:val="24"/>
          <w:szCs w:val="24"/>
        </w:rPr>
        <w:t xml:space="preserve"> the growing urgency of decarbonising energy systems </w:t>
      </w:r>
      <w:r w:rsidRPr="007225BA">
        <w:rPr>
          <w:rFonts w:cstheme="minorHAnsi"/>
          <w:noProof/>
          <w:sz w:val="24"/>
          <w:szCs w:val="24"/>
        </w:rPr>
        <w:t>(IPCC, 2019)</w:t>
      </w:r>
      <w:r w:rsidRPr="007225BA">
        <w:rPr>
          <w:rFonts w:cstheme="minorHAnsi"/>
          <w:sz w:val="24"/>
          <w:szCs w:val="24"/>
        </w:rPr>
        <w:t xml:space="preserve">. </w:t>
      </w:r>
      <w:r w:rsidR="005F4CAE">
        <w:rPr>
          <w:rFonts w:cstheme="minorHAnsi"/>
          <w:sz w:val="24"/>
          <w:szCs w:val="24"/>
        </w:rPr>
        <w:t>A</w:t>
      </w:r>
      <w:r w:rsidRPr="007225BA">
        <w:rPr>
          <w:rFonts w:cstheme="minorHAnsi"/>
          <w:sz w:val="24"/>
          <w:szCs w:val="24"/>
        </w:rPr>
        <w:t>chiev</w:t>
      </w:r>
      <w:r w:rsidR="00735E90">
        <w:rPr>
          <w:rFonts w:cstheme="minorHAnsi"/>
          <w:sz w:val="24"/>
          <w:szCs w:val="24"/>
        </w:rPr>
        <w:t>ing</w:t>
      </w:r>
      <w:r w:rsidRPr="007225BA">
        <w:rPr>
          <w:rFonts w:cstheme="minorHAnsi"/>
          <w:sz w:val="24"/>
          <w:szCs w:val="24"/>
        </w:rPr>
        <w:t xml:space="preserve"> these targets will depend significantly upon </w:t>
      </w:r>
      <w:r w:rsidR="009E7C9D">
        <w:rPr>
          <w:rFonts w:cstheme="minorHAnsi"/>
          <w:sz w:val="24"/>
          <w:szCs w:val="24"/>
        </w:rPr>
        <w:t xml:space="preserve">the dynamics of siting decisions, not least because falling costs mean that the availability of market support becomes a less </w:t>
      </w:r>
      <w:r w:rsidR="007E35A4">
        <w:rPr>
          <w:rFonts w:cstheme="minorHAnsi"/>
          <w:sz w:val="24"/>
          <w:szCs w:val="24"/>
        </w:rPr>
        <w:t>decisive</w:t>
      </w:r>
      <w:r w:rsidR="009E7C9D">
        <w:rPr>
          <w:rFonts w:cstheme="minorHAnsi"/>
          <w:sz w:val="24"/>
          <w:szCs w:val="24"/>
        </w:rPr>
        <w:t xml:space="preserve"> factor. </w:t>
      </w:r>
      <w:r w:rsidRPr="007225BA">
        <w:rPr>
          <w:rFonts w:cstheme="minorHAnsi"/>
          <w:sz w:val="24"/>
          <w:szCs w:val="24"/>
          <w:lang w:eastAsia="en-GB"/>
        </w:rPr>
        <w:t xml:space="preserve">Furthermore, the </w:t>
      </w:r>
      <w:r w:rsidR="002B4405" w:rsidRPr="007225BA">
        <w:rPr>
          <w:rFonts w:cstheme="minorHAnsi"/>
          <w:sz w:val="24"/>
          <w:szCs w:val="24"/>
          <w:lang w:eastAsia="en-GB"/>
        </w:rPr>
        <w:t>spatially extensive</w:t>
      </w:r>
      <w:r w:rsidRPr="007225BA">
        <w:rPr>
          <w:rFonts w:cstheme="minorHAnsi"/>
          <w:sz w:val="24"/>
          <w:szCs w:val="24"/>
          <w:lang w:eastAsia="en-GB"/>
        </w:rPr>
        <w:t xml:space="preserve"> nature of many RE technologies such as wind and solar has long been recognised as creating challenges in reconciling them with other land uses </w:t>
      </w:r>
      <w:r w:rsidRPr="007225BA">
        <w:rPr>
          <w:rFonts w:cstheme="minorHAnsi"/>
          <w:noProof/>
          <w:sz w:val="24"/>
          <w:szCs w:val="24"/>
          <w:lang w:eastAsia="en-GB"/>
        </w:rPr>
        <w:t>(</w:t>
      </w:r>
      <w:r w:rsidR="009E7C9D">
        <w:rPr>
          <w:rFonts w:cstheme="minorHAnsi"/>
          <w:noProof/>
          <w:sz w:val="24"/>
          <w:szCs w:val="24"/>
          <w:lang w:eastAsia="en-GB"/>
        </w:rPr>
        <w:t xml:space="preserve">e.g. </w:t>
      </w:r>
      <w:r w:rsidRPr="007225BA">
        <w:rPr>
          <w:rFonts w:cstheme="minorHAnsi"/>
          <w:noProof/>
          <w:sz w:val="24"/>
          <w:szCs w:val="24"/>
          <w:lang w:eastAsia="en-GB"/>
        </w:rPr>
        <w:t>Walker, 1995)</w:t>
      </w:r>
      <w:r w:rsidRPr="007225BA">
        <w:rPr>
          <w:rFonts w:cstheme="minorHAnsi"/>
          <w:sz w:val="24"/>
          <w:szCs w:val="24"/>
          <w:lang w:eastAsia="en-GB"/>
        </w:rPr>
        <w:t>.</w:t>
      </w:r>
    </w:p>
    <w:p w14:paraId="1BED93C3" w14:textId="77777777" w:rsidR="004F3750" w:rsidRPr="007225BA" w:rsidRDefault="004F3750" w:rsidP="00735E90">
      <w:pPr>
        <w:spacing w:line="240" w:lineRule="auto"/>
        <w:jc w:val="both"/>
        <w:rPr>
          <w:rFonts w:cstheme="minorHAnsi"/>
          <w:sz w:val="24"/>
          <w:szCs w:val="24"/>
        </w:rPr>
      </w:pPr>
    </w:p>
    <w:p w14:paraId="044A5F88" w14:textId="573D3A68" w:rsidR="004F3750" w:rsidRPr="007225BA" w:rsidRDefault="004F3750" w:rsidP="00735E90">
      <w:pPr>
        <w:spacing w:line="240" w:lineRule="auto"/>
        <w:jc w:val="both"/>
        <w:rPr>
          <w:rFonts w:cstheme="minorHAnsi"/>
          <w:sz w:val="24"/>
          <w:szCs w:val="24"/>
          <w:lang w:eastAsia="en-GB"/>
        </w:rPr>
      </w:pPr>
      <w:r w:rsidRPr="007225BA">
        <w:rPr>
          <w:rFonts w:cstheme="minorHAnsi"/>
          <w:sz w:val="24"/>
          <w:szCs w:val="24"/>
        </w:rPr>
        <w:t xml:space="preserve">Given this situation, land use planning and project consenting </w:t>
      </w:r>
      <w:r w:rsidR="005F4CAE">
        <w:rPr>
          <w:rFonts w:cstheme="minorHAnsi"/>
          <w:sz w:val="24"/>
          <w:szCs w:val="24"/>
        </w:rPr>
        <w:t>become</w:t>
      </w:r>
      <w:r w:rsidRPr="007225BA">
        <w:rPr>
          <w:rFonts w:cstheme="minorHAnsi"/>
          <w:sz w:val="24"/>
          <w:szCs w:val="24"/>
        </w:rPr>
        <w:t xml:space="preserve"> critical institutions shaping RE deployment, and </w:t>
      </w:r>
      <w:r w:rsidRPr="007225BA">
        <w:rPr>
          <w:rFonts w:cstheme="minorHAnsi"/>
          <w:sz w:val="24"/>
          <w:szCs w:val="24"/>
          <w:lang w:eastAsia="en-GB"/>
        </w:rPr>
        <w:t xml:space="preserve">numerous commentators have </w:t>
      </w:r>
      <w:r w:rsidR="007D27B4">
        <w:rPr>
          <w:rFonts w:cstheme="minorHAnsi"/>
          <w:sz w:val="24"/>
          <w:szCs w:val="24"/>
          <w:lang w:eastAsia="en-GB"/>
        </w:rPr>
        <w:t>advocat</w:t>
      </w:r>
      <w:r w:rsidRPr="007225BA">
        <w:rPr>
          <w:rFonts w:cstheme="minorHAnsi"/>
          <w:sz w:val="24"/>
          <w:szCs w:val="24"/>
          <w:lang w:eastAsia="en-GB"/>
        </w:rPr>
        <w:t xml:space="preserve">ed some form of spatial planning as a valuable policy mechanism to help expand RE and manage the potential disruption to existing </w:t>
      </w:r>
      <w:r w:rsidR="00735E90">
        <w:rPr>
          <w:rFonts w:cstheme="minorHAnsi"/>
          <w:sz w:val="24"/>
          <w:szCs w:val="24"/>
          <w:lang w:eastAsia="en-GB"/>
        </w:rPr>
        <w:t>environments</w:t>
      </w:r>
      <w:r w:rsidRPr="007225BA">
        <w:rPr>
          <w:rFonts w:cstheme="minorHAnsi"/>
          <w:sz w:val="24"/>
          <w:szCs w:val="24"/>
          <w:lang w:eastAsia="en-GB"/>
        </w:rPr>
        <w:t xml:space="preserve"> (e.g. Warren and Birnie 2009; IEEP 2009; </w:t>
      </w:r>
      <w:r w:rsidRPr="007225BA">
        <w:rPr>
          <w:rFonts w:cstheme="minorHAnsi"/>
          <w:noProof/>
          <w:sz w:val="24"/>
          <w:szCs w:val="24"/>
          <w:lang w:eastAsia="en-GB"/>
        </w:rPr>
        <w:t>Frantál et al. 2018)</w:t>
      </w:r>
      <w:r w:rsidRPr="007225BA">
        <w:rPr>
          <w:rFonts w:cstheme="minorHAnsi"/>
          <w:sz w:val="24"/>
          <w:szCs w:val="24"/>
          <w:lang w:eastAsia="en-GB"/>
        </w:rPr>
        <w:t>. Kenworthy (2010, 2) neatly encapsulates the claims often made:</w:t>
      </w:r>
    </w:p>
    <w:p w14:paraId="343FA705" w14:textId="77777777" w:rsidR="004F3750" w:rsidRPr="007225BA" w:rsidRDefault="004F3750" w:rsidP="00515325">
      <w:pPr>
        <w:spacing w:line="240" w:lineRule="auto"/>
        <w:jc w:val="both"/>
        <w:rPr>
          <w:rFonts w:cstheme="minorHAnsi"/>
          <w:sz w:val="24"/>
          <w:szCs w:val="24"/>
        </w:rPr>
      </w:pPr>
    </w:p>
    <w:p w14:paraId="08F730A7" w14:textId="77777777" w:rsidR="004F3750" w:rsidRPr="007225BA" w:rsidRDefault="004F3750" w:rsidP="00515325">
      <w:pPr>
        <w:spacing w:line="240" w:lineRule="auto"/>
        <w:ind w:left="567"/>
        <w:jc w:val="both"/>
        <w:rPr>
          <w:rFonts w:cstheme="minorHAnsi"/>
          <w:sz w:val="24"/>
          <w:szCs w:val="24"/>
          <w:lang w:eastAsia="en-GB"/>
        </w:rPr>
      </w:pPr>
      <w:r w:rsidRPr="007225BA">
        <w:rPr>
          <w:rFonts w:cstheme="minorHAnsi"/>
          <w:sz w:val="24"/>
          <w:szCs w:val="24"/>
          <w:lang w:eastAsia="en-GB"/>
        </w:rPr>
        <w:t>‘(S)mart and resourceful land use policies could help accelerate the growth of clean renewable energy … and still protect treasured public lands and wildlife’.</w:t>
      </w:r>
    </w:p>
    <w:p w14:paraId="0E12353D" w14:textId="77777777" w:rsidR="004F3750" w:rsidRPr="007225BA" w:rsidRDefault="004F3750" w:rsidP="00515325">
      <w:pPr>
        <w:spacing w:line="240" w:lineRule="auto"/>
        <w:jc w:val="both"/>
        <w:rPr>
          <w:rFonts w:cstheme="minorHAnsi"/>
          <w:sz w:val="24"/>
          <w:szCs w:val="24"/>
        </w:rPr>
      </w:pPr>
    </w:p>
    <w:p w14:paraId="6B910BF8" w14:textId="2544E908" w:rsidR="004F3750" w:rsidRPr="007225BA" w:rsidRDefault="004F3750" w:rsidP="00515325">
      <w:pPr>
        <w:spacing w:line="240" w:lineRule="auto"/>
        <w:jc w:val="both"/>
        <w:rPr>
          <w:rFonts w:cstheme="minorHAnsi"/>
          <w:sz w:val="24"/>
          <w:szCs w:val="24"/>
        </w:rPr>
      </w:pPr>
      <w:r w:rsidRPr="007225BA">
        <w:rPr>
          <w:rFonts w:cstheme="minorHAnsi"/>
          <w:sz w:val="24"/>
          <w:szCs w:val="24"/>
        </w:rPr>
        <w:t>By ‘spatial planning’, we mean some form of policy framework that is created to steer siting process</w:t>
      </w:r>
      <w:r w:rsidR="00735E90">
        <w:rPr>
          <w:rFonts w:cstheme="minorHAnsi"/>
          <w:sz w:val="24"/>
          <w:szCs w:val="24"/>
        </w:rPr>
        <w:t>es</w:t>
      </w:r>
      <w:r w:rsidRPr="007225BA">
        <w:rPr>
          <w:rFonts w:cstheme="minorHAnsi"/>
          <w:sz w:val="24"/>
          <w:szCs w:val="24"/>
        </w:rPr>
        <w:t xml:space="preserve">. </w:t>
      </w:r>
      <w:r w:rsidRPr="007225BA">
        <w:rPr>
          <w:rFonts w:cstheme="minorHAnsi"/>
          <w:sz w:val="24"/>
          <w:szCs w:val="24"/>
          <w:lang w:eastAsia="en-GB"/>
        </w:rPr>
        <w:t>Viewed simply, spatial planning approaches often entail some form of analytical exercise, centred on the construction of maps which assess an area’s potential RE resources against environmental and social constraints, and use this to inform policy development and/or guide projects towards preferable, less</w:t>
      </w:r>
      <w:r w:rsidR="007E35A4">
        <w:rPr>
          <w:rFonts w:cstheme="minorHAnsi"/>
          <w:sz w:val="24"/>
          <w:szCs w:val="24"/>
          <w:lang w:eastAsia="en-GB"/>
        </w:rPr>
        <w:t>-</w:t>
      </w:r>
      <w:r w:rsidRPr="007225BA">
        <w:rPr>
          <w:rFonts w:cstheme="minorHAnsi"/>
          <w:sz w:val="24"/>
          <w:szCs w:val="24"/>
          <w:lang w:eastAsia="en-GB"/>
        </w:rPr>
        <w:t>sensitive locations (see also Nada</w:t>
      </w:r>
      <w:r w:rsidR="00623F2D">
        <w:rPr>
          <w:rFonts w:cstheme="minorHAnsi"/>
          <w:sz w:val="24"/>
          <w:szCs w:val="24"/>
          <w:lang w:eastAsia="en-GB"/>
        </w:rPr>
        <w:t>ï</w:t>
      </w:r>
      <w:r w:rsidRPr="007225BA">
        <w:rPr>
          <w:rFonts w:cstheme="minorHAnsi"/>
          <w:sz w:val="24"/>
          <w:szCs w:val="24"/>
          <w:lang w:eastAsia="en-GB"/>
        </w:rPr>
        <w:t xml:space="preserve">, 2007). </w:t>
      </w:r>
      <w:r w:rsidRPr="007225BA">
        <w:rPr>
          <w:rFonts w:cstheme="minorHAnsi"/>
          <w:sz w:val="24"/>
          <w:szCs w:val="24"/>
        </w:rPr>
        <w:t xml:space="preserve">A further defining feature is that spatial planning approaches work </w:t>
      </w:r>
      <w:r w:rsidRPr="007225BA">
        <w:rPr>
          <w:rFonts w:cstheme="minorHAnsi"/>
          <w:i/>
          <w:sz w:val="24"/>
          <w:szCs w:val="24"/>
        </w:rPr>
        <w:t>ex ante</w:t>
      </w:r>
      <w:r w:rsidRPr="007225BA">
        <w:rPr>
          <w:rFonts w:cstheme="minorHAnsi"/>
          <w:sz w:val="24"/>
          <w:szCs w:val="24"/>
        </w:rPr>
        <w:t xml:space="preserve"> of individual project decisions, and thus do some of the ‘political work’ </w:t>
      </w:r>
      <w:r w:rsidR="009E7C9D">
        <w:rPr>
          <w:rFonts w:cstheme="minorHAnsi"/>
          <w:sz w:val="24"/>
          <w:szCs w:val="24"/>
        </w:rPr>
        <w:t xml:space="preserve">of </w:t>
      </w:r>
      <w:r w:rsidRPr="007225BA">
        <w:rPr>
          <w:rFonts w:cstheme="minorHAnsi"/>
          <w:sz w:val="24"/>
          <w:szCs w:val="24"/>
        </w:rPr>
        <w:t>reconciling multiple objectives.</w:t>
      </w:r>
    </w:p>
    <w:p w14:paraId="36852CBE" w14:textId="77777777" w:rsidR="004F3750" w:rsidRPr="007225BA" w:rsidRDefault="004F3750" w:rsidP="00515325">
      <w:pPr>
        <w:spacing w:line="240" w:lineRule="auto"/>
        <w:jc w:val="both"/>
        <w:rPr>
          <w:rFonts w:cstheme="minorHAnsi"/>
          <w:bCs/>
          <w:noProof/>
          <w:sz w:val="24"/>
          <w:szCs w:val="24"/>
        </w:rPr>
      </w:pPr>
    </w:p>
    <w:p w14:paraId="2E125469" w14:textId="020BC959" w:rsidR="004F3750" w:rsidRPr="007225BA" w:rsidRDefault="004F3750" w:rsidP="00515325">
      <w:pPr>
        <w:spacing w:line="240" w:lineRule="auto"/>
        <w:jc w:val="both"/>
        <w:rPr>
          <w:rFonts w:cstheme="minorHAnsi"/>
          <w:sz w:val="24"/>
          <w:szCs w:val="24"/>
          <w:lang w:eastAsia="en-GB"/>
        </w:rPr>
      </w:pPr>
      <w:r w:rsidRPr="007225BA">
        <w:rPr>
          <w:rFonts w:cstheme="minorHAnsi"/>
          <w:sz w:val="24"/>
          <w:szCs w:val="24"/>
        </w:rPr>
        <w:t>The apparent merits of spatial planning approaches to RE development has driven a</w:t>
      </w:r>
      <w:r w:rsidRPr="007225BA">
        <w:rPr>
          <w:rFonts w:cstheme="minorHAnsi"/>
          <w:bCs/>
          <w:sz w:val="24"/>
          <w:szCs w:val="24"/>
        </w:rPr>
        <w:t xml:space="preserve"> sizeable research effort into methodologies and decision tools, typically based on GIS (e.g. </w:t>
      </w:r>
      <w:r w:rsidRPr="005F4CAE">
        <w:rPr>
          <w:rFonts w:cstheme="minorHAnsi"/>
          <w:bCs/>
          <w:sz w:val="24"/>
          <w:szCs w:val="24"/>
        </w:rPr>
        <w:t>de Vries et al, 2007; Palmas et al 201</w:t>
      </w:r>
      <w:r w:rsidR="00F54C38" w:rsidRPr="005F4CAE">
        <w:rPr>
          <w:rFonts w:cstheme="minorHAnsi"/>
          <w:bCs/>
          <w:sz w:val="24"/>
          <w:szCs w:val="24"/>
        </w:rPr>
        <w:t>5</w:t>
      </w:r>
      <w:r w:rsidRPr="007225BA">
        <w:rPr>
          <w:rFonts w:cstheme="minorHAnsi"/>
          <w:bCs/>
          <w:sz w:val="24"/>
          <w:szCs w:val="24"/>
        </w:rPr>
        <w:t>; Gauglitz et al 2019; Wu et al 2020). Nevertheless, this cavalcade of prospective technical and methodological aides for decision-makers has not been matched by careful analysis of how spatial planning tools or approaches are used in practice, or their effects on RE de</w:t>
      </w:r>
      <w:r w:rsidR="009E7C9D">
        <w:rPr>
          <w:rFonts w:cstheme="minorHAnsi"/>
          <w:bCs/>
          <w:sz w:val="24"/>
          <w:szCs w:val="24"/>
        </w:rPr>
        <w:t>ployment</w:t>
      </w:r>
      <w:r w:rsidR="00735E90">
        <w:rPr>
          <w:rFonts w:cstheme="minorHAnsi"/>
          <w:bCs/>
          <w:sz w:val="24"/>
          <w:szCs w:val="24"/>
        </w:rPr>
        <w:t xml:space="preserve"> (</w:t>
      </w:r>
      <w:r w:rsidR="00735E90" w:rsidRPr="007225BA">
        <w:rPr>
          <w:rFonts w:cstheme="minorHAnsi"/>
          <w:sz w:val="24"/>
          <w:szCs w:val="24"/>
          <w:lang w:eastAsia="en-GB"/>
        </w:rPr>
        <w:t>Leibenath et al 2016</w:t>
      </w:r>
      <w:r w:rsidR="00735E90">
        <w:rPr>
          <w:rFonts w:cstheme="minorHAnsi"/>
          <w:sz w:val="24"/>
          <w:szCs w:val="24"/>
          <w:lang w:eastAsia="en-GB"/>
        </w:rPr>
        <w:t>)</w:t>
      </w:r>
      <w:r w:rsidRPr="007225BA">
        <w:rPr>
          <w:rFonts w:cstheme="minorHAnsi"/>
          <w:bCs/>
          <w:sz w:val="24"/>
          <w:szCs w:val="24"/>
        </w:rPr>
        <w:t>. While there is voluminous research examining the factors shaping individual project outcomes (H</w:t>
      </w:r>
      <w:r w:rsidR="00F220B8">
        <w:rPr>
          <w:rFonts w:cstheme="minorHAnsi"/>
          <w:bCs/>
          <w:sz w:val="24"/>
          <w:szCs w:val="24"/>
        </w:rPr>
        <w:t>obarty</w:t>
      </w:r>
      <w:r w:rsidRPr="007225BA">
        <w:rPr>
          <w:rFonts w:cstheme="minorHAnsi"/>
          <w:bCs/>
          <w:sz w:val="24"/>
          <w:szCs w:val="24"/>
        </w:rPr>
        <w:t xml:space="preserve"> et al 2012), much of this work</w:t>
      </w:r>
      <w:r w:rsidR="00022EA6">
        <w:rPr>
          <w:rFonts w:cstheme="minorHAnsi"/>
          <w:bCs/>
          <w:sz w:val="24"/>
          <w:szCs w:val="24"/>
        </w:rPr>
        <w:t xml:space="preserve"> </w:t>
      </w:r>
      <w:r w:rsidR="007D27B4">
        <w:rPr>
          <w:rFonts w:cstheme="minorHAnsi"/>
          <w:bCs/>
          <w:sz w:val="24"/>
          <w:szCs w:val="24"/>
        </w:rPr>
        <w:t>downplays</w:t>
      </w:r>
      <w:r w:rsidRPr="007225BA">
        <w:rPr>
          <w:rFonts w:cstheme="minorHAnsi"/>
          <w:bCs/>
          <w:sz w:val="24"/>
          <w:szCs w:val="24"/>
        </w:rPr>
        <w:t xml:space="preserve"> the rules that govern siting and consenting processes (</w:t>
      </w:r>
      <w:r w:rsidR="009C0837">
        <w:rPr>
          <w:rFonts w:cstheme="minorHAnsi"/>
          <w:bCs/>
          <w:noProof/>
          <w:sz w:val="24"/>
          <w:szCs w:val="24"/>
        </w:rPr>
        <w:t xml:space="preserve">Wolsink, </w:t>
      </w:r>
      <w:r w:rsidRPr="007225BA">
        <w:rPr>
          <w:rFonts w:cstheme="minorHAnsi"/>
          <w:bCs/>
          <w:noProof/>
          <w:sz w:val="24"/>
          <w:szCs w:val="24"/>
        </w:rPr>
        <w:t>2017)</w:t>
      </w:r>
      <w:r w:rsidRPr="007225BA">
        <w:rPr>
          <w:rFonts w:cstheme="minorHAnsi"/>
          <w:bCs/>
          <w:sz w:val="24"/>
          <w:szCs w:val="24"/>
        </w:rPr>
        <w:t>, such as spatial planning policies. If we are to better understand how further s</w:t>
      </w:r>
      <w:r w:rsidR="009E7C9D">
        <w:rPr>
          <w:rFonts w:cstheme="minorHAnsi"/>
          <w:bCs/>
          <w:sz w:val="24"/>
          <w:szCs w:val="24"/>
        </w:rPr>
        <w:t>pace</w:t>
      </w:r>
      <w:r w:rsidRPr="007225BA">
        <w:rPr>
          <w:rFonts w:cstheme="minorHAnsi"/>
          <w:bCs/>
          <w:sz w:val="24"/>
          <w:szCs w:val="24"/>
        </w:rPr>
        <w:t xml:space="preserve"> could be made available for RE, then there is an urgent need to better understand how spatial planning approaches perform in practice. Such studies remain rare (</w:t>
      </w:r>
      <w:r w:rsidRPr="007225BA">
        <w:rPr>
          <w:rFonts w:cstheme="minorHAnsi"/>
          <w:sz w:val="24"/>
          <w:szCs w:val="24"/>
          <w:lang w:eastAsia="en-GB"/>
        </w:rPr>
        <w:t xml:space="preserve">for exceptions see Cowell 2010; </w:t>
      </w:r>
      <w:r w:rsidR="00E82DA4" w:rsidRPr="00515325">
        <w:rPr>
          <w:rFonts w:cstheme="minorHAnsi"/>
          <w:sz w:val="24"/>
          <w:szCs w:val="24"/>
          <w:lang w:eastAsia="en-GB"/>
        </w:rPr>
        <w:t>Wolsink 1996;</w:t>
      </w:r>
      <w:r w:rsidR="00735E90">
        <w:rPr>
          <w:rFonts w:cstheme="minorHAnsi"/>
          <w:sz w:val="24"/>
          <w:szCs w:val="24"/>
          <w:lang w:eastAsia="en-GB"/>
        </w:rPr>
        <w:t xml:space="preserve"> Moragues-</w:t>
      </w:r>
      <w:r w:rsidRPr="007225BA">
        <w:rPr>
          <w:rFonts w:cstheme="minorHAnsi"/>
          <w:sz w:val="24"/>
          <w:szCs w:val="24"/>
          <w:lang w:eastAsia="en-GB"/>
        </w:rPr>
        <w:t xml:space="preserve">Faus and </w:t>
      </w:r>
      <w:r w:rsidR="00735E90">
        <w:rPr>
          <w:rFonts w:cstheme="minorHAnsi"/>
          <w:sz w:val="24"/>
          <w:szCs w:val="24"/>
          <w:lang w:eastAsia="en-GB"/>
        </w:rPr>
        <w:t>Ortiz-</w:t>
      </w:r>
      <w:r w:rsidRPr="007225BA">
        <w:rPr>
          <w:rFonts w:cstheme="minorHAnsi"/>
          <w:sz w:val="24"/>
          <w:szCs w:val="24"/>
          <w:lang w:eastAsia="en-GB"/>
        </w:rPr>
        <w:t xml:space="preserve">Miranda 2010; González et al 2016; </w:t>
      </w:r>
      <w:r w:rsidRPr="007225BA">
        <w:rPr>
          <w:rFonts w:cstheme="minorHAnsi"/>
          <w:bCs/>
          <w:sz w:val="24"/>
          <w:szCs w:val="24"/>
        </w:rPr>
        <w:t>Frantal et al, 2018; Lauf et al 2019)</w:t>
      </w:r>
      <w:r w:rsidRPr="007225BA">
        <w:rPr>
          <w:rFonts w:cstheme="minorHAnsi"/>
          <w:sz w:val="24"/>
          <w:szCs w:val="24"/>
          <w:lang w:eastAsia="en-GB"/>
        </w:rPr>
        <w:t>.</w:t>
      </w:r>
    </w:p>
    <w:p w14:paraId="103CFC64" w14:textId="77777777" w:rsidR="004F3750" w:rsidRPr="007225BA" w:rsidRDefault="004F3750" w:rsidP="00515325">
      <w:pPr>
        <w:spacing w:line="240" w:lineRule="auto"/>
        <w:jc w:val="both"/>
        <w:rPr>
          <w:rFonts w:cstheme="minorHAnsi"/>
          <w:sz w:val="24"/>
          <w:szCs w:val="24"/>
          <w:lang w:eastAsia="en-GB"/>
        </w:rPr>
      </w:pPr>
    </w:p>
    <w:p w14:paraId="0EAB3D4E" w14:textId="63DDF443" w:rsidR="004F3750" w:rsidRPr="007225BA" w:rsidRDefault="004F3750" w:rsidP="00515325">
      <w:pPr>
        <w:tabs>
          <w:tab w:val="left" w:pos="0"/>
        </w:tabs>
        <w:spacing w:line="240" w:lineRule="auto"/>
        <w:jc w:val="both"/>
        <w:rPr>
          <w:rFonts w:cstheme="minorHAnsi"/>
          <w:sz w:val="24"/>
          <w:szCs w:val="24"/>
          <w:lang w:eastAsia="en-GB"/>
        </w:rPr>
      </w:pPr>
      <w:r w:rsidRPr="007225BA">
        <w:rPr>
          <w:rFonts w:cstheme="minorHAnsi"/>
          <w:sz w:val="24"/>
          <w:szCs w:val="24"/>
          <w:lang w:eastAsia="en-GB"/>
        </w:rPr>
        <w:t xml:space="preserve">This paper examines the extent to which spatial planning approaches to RE development are used in practice, how they are used, and </w:t>
      </w:r>
      <w:r w:rsidR="009E7C9D">
        <w:rPr>
          <w:rFonts w:cstheme="minorHAnsi"/>
          <w:sz w:val="24"/>
          <w:szCs w:val="24"/>
          <w:lang w:eastAsia="en-GB"/>
        </w:rPr>
        <w:t>the</w:t>
      </w:r>
      <w:r w:rsidRPr="007225BA">
        <w:rPr>
          <w:rFonts w:cstheme="minorHAnsi"/>
          <w:sz w:val="24"/>
          <w:szCs w:val="24"/>
          <w:lang w:eastAsia="en-GB"/>
        </w:rPr>
        <w:t xml:space="preserve"> effects</w:t>
      </w:r>
      <w:r w:rsidR="009E7C9D">
        <w:rPr>
          <w:rFonts w:cstheme="minorHAnsi"/>
          <w:sz w:val="24"/>
          <w:szCs w:val="24"/>
          <w:lang w:eastAsia="en-GB"/>
        </w:rPr>
        <w:t xml:space="preserve"> on RE deployment</w:t>
      </w:r>
      <w:r w:rsidRPr="007225BA">
        <w:rPr>
          <w:rFonts w:cstheme="minorHAnsi"/>
          <w:sz w:val="24"/>
          <w:szCs w:val="24"/>
          <w:lang w:eastAsia="en-GB"/>
        </w:rPr>
        <w:t>. In particular, the analysis presented here argue</w:t>
      </w:r>
      <w:r w:rsidR="005F4CAE">
        <w:rPr>
          <w:rFonts w:cstheme="minorHAnsi"/>
          <w:sz w:val="24"/>
          <w:szCs w:val="24"/>
          <w:lang w:eastAsia="en-GB"/>
        </w:rPr>
        <w:t>s</w:t>
      </w:r>
      <w:r w:rsidRPr="007225BA">
        <w:rPr>
          <w:rFonts w:cstheme="minorHAnsi"/>
          <w:sz w:val="24"/>
          <w:szCs w:val="24"/>
          <w:lang w:eastAsia="en-GB"/>
        </w:rPr>
        <w:t xml:space="preserve"> that understanding effects requires attention to a prior but much neglected question: </w:t>
      </w:r>
      <w:r w:rsidRPr="007225BA">
        <w:rPr>
          <w:rFonts w:cstheme="minorHAnsi"/>
          <w:i/>
          <w:iCs/>
          <w:sz w:val="24"/>
          <w:szCs w:val="24"/>
          <w:lang w:eastAsia="en-GB"/>
        </w:rPr>
        <w:t>what are the governance purposes that spatial planning policies and tools are actually enrolled to perform</w:t>
      </w:r>
      <w:r w:rsidRPr="007225BA">
        <w:rPr>
          <w:rFonts w:cstheme="minorHAnsi"/>
          <w:sz w:val="24"/>
          <w:szCs w:val="24"/>
          <w:lang w:eastAsia="en-GB"/>
        </w:rPr>
        <w:t xml:space="preserve">? Despite the sustained interest in spatial planning </w:t>
      </w:r>
      <w:r w:rsidRPr="007225BA">
        <w:rPr>
          <w:rFonts w:cstheme="minorHAnsi"/>
          <w:sz w:val="24"/>
          <w:szCs w:val="24"/>
          <w:lang w:eastAsia="en-GB"/>
        </w:rPr>
        <w:lastRenderedPageBreak/>
        <w:t xml:space="preserve">approaches, much </w:t>
      </w:r>
      <w:r w:rsidR="009E7C9D">
        <w:rPr>
          <w:rFonts w:cstheme="minorHAnsi"/>
          <w:sz w:val="24"/>
          <w:szCs w:val="24"/>
          <w:lang w:eastAsia="en-GB"/>
        </w:rPr>
        <w:t xml:space="preserve">existing </w:t>
      </w:r>
      <w:r w:rsidRPr="007225BA">
        <w:rPr>
          <w:rFonts w:cstheme="minorHAnsi"/>
          <w:sz w:val="24"/>
          <w:szCs w:val="24"/>
          <w:lang w:eastAsia="en-GB"/>
        </w:rPr>
        <w:t>literature ignores the governance context, or assumes a linear cause-effect relationship between the creation of spatial planning approaches and a specific outcome – usually RE expansion. However, the</w:t>
      </w:r>
      <w:r w:rsidR="007D27B4">
        <w:rPr>
          <w:rFonts w:cstheme="minorHAnsi"/>
          <w:sz w:val="24"/>
          <w:szCs w:val="24"/>
          <w:lang w:eastAsia="en-GB"/>
        </w:rPr>
        <w:t xml:space="preserve">re is evidence </w:t>
      </w:r>
      <w:r w:rsidRPr="007225BA">
        <w:rPr>
          <w:rFonts w:cstheme="minorHAnsi"/>
          <w:sz w:val="24"/>
          <w:szCs w:val="24"/>
          <w:lang w:eastAsia="en-GB"/>
        </w:rPr>
        <w:t>that spatial planning approaches ‘for’ RE can be created and utilised for diverse purposes (Nadaï 2007). Linked to this, there has been insufficient theorisation of how spatial planning approaches ‘work’ and what ‘to work’ should mean.</w:t>
      </w:r>
    </w:p>
    <w:p w14:paraId="5A5B9CEC" w14:textId="77777777" w:rsidR="004F3750" w:rsidRPr="007225BA" w:rsidRDefault="004F3750" w:rsidP="00515325">
      <w:pPr>
        <w:tabs>
          <w:tab w:val="left" w:pos="0"/>
        </w:tabs>
        <w:spacing w:line="240" w:lineRule="auto"/>
        <w:jc w:val="both"/>
        <w:rPr>
          <w:rFonts w:cstheme="minorHAnsi"/>
          <w:sz w:val="24"/>
          <w:szCs w:val="24"/>
          <w:lang w:eastAsia="en-GB"/>
        </w:rPr>
      </w:pPr>
    </w:p>
    <w:p w14:paraId="3480D742" w14:textId="3442AEC8" w:rsidR="004F3750" w:rsidRPr="007225BA" w:rsidRDefault="004F3750" w:rsidP="00735E90">
      <w:pPr>
        <w:pStyle w:val="CommentText"/>
        <w:jc w:val="both"/>
        <w:rPr>
          <w:rFonts w:cstheme="minorHAnsi"/>
          <w:sz w:val="24"/>
          <w:szCs w:val="24"/>
        </w:rPr>
      </w:pPr>
      <w:r w:rsidRPr="007225BA">
        <w:rPr>
          <w:rFonts w:cstheme="minorHAnsi"/>
          <w:sz w:val="24"/>
          <w:szCs w:val="24"/>
        </w:rPr>
        <w:t>To investigate spatial planning approaches in use, the paper adopts a ‘modes of governing’ analytical framework (Bulkeley et al 2005; 2007; Watson et al 2008). Such an approach offers a way to examine the diverse u</w:t>
      </w:r>
      <w:r w:rsidR="00371C2B">
        <w:rPr>
          <w:rFonts w:cstheme="minorHAnsi"/>
          <w:sz w:val="24"/>
          <w:szCs w:val="24"/>
        </w:rPr>
        <w:t>ses made</w:t>
      </w:r>
      <w:r w:rsidRPr="007225BA">
        <w:rPr>
          <w:rFonts w:cstheme="minorHAnsi"/>
          <w:sz w:val="24"/>
          <w:szCs w:val="24"/>
        </w:rPr>
        <w:t xml:space="preserve"> of spatial planning approaches by situating them in relation to the </w:t>
      </w:r>
      <w:r w:rsidR="00371C2B">
        <w:rPr>
          <w:rFonts w:cstheme="minorHAnsi"/>
          <w:sz w:val="24"/>
          <w:szCs w:val="24"/>
        </w:rPr>
        <w:t xml:space="preserve">wider </w:t>
      </w:r>
      <w:r w:rsidRPr="007225BA">
        <w:rPr>
          <w:rFonts w:cstheme="minorHAnsi"/>
          <w:sz w:val="24"/>
          <w:szCs w:val="24"/>
        </w:rPr>
        <w:t>distribution of authority, and tracing the ‘means through which governing power is exercised and orchestrated in particular contexts’ (Bulkeley et al 2005, 16-17). In a further innovation, we conceptualise modes of governing not as wholly internally coherent but as characterised by compromises between a series of incommensurable principles (Boltanski and Thévenot 2006), which we see reflected in the construction and mobilisation of spatial planning approaches to RE deployment</w:t>
      </w:r>
      <w:r w:rsidR="007D27B4">
        <w:rPr>
          <w:rFonts w:cstheme="minorHAnsi"/>
          <w:sz w:val="24"/>
          <w:szCs w:val="24"/>
          <w:lang w:eastAsia="en-GB"/>
        </w:rPr>
        <w:t xml:space="preserve">. </w:t>
      </w:r>
      <w:r w:rsidRPr="007225BA">
        <w:rPr>
          <w:rFonts w:cstheme="minorHAnsi"/>
          <w:sz w:val="24"/>
          <w:szCs w:val="24"/>
          <w:lang w:eastAsia="en-GB"/>
        </w:rPr>
        <w:t xml:space="preserve">The paper also makes an empirical contribution, by </w:t>
      </w:r>
      <w:r w:rsidR="00047A99">
        <w:rPr>
          <w:rFonts w:cstheme="minorHAnsi"/>
          <w:sz w:val="24"/>
          <w:szCs w:val="24"/>
          <w:lang w:eastAsia="en-GB"/>
        </w:rPr>
        <w:t xml:space="preserve">applying this framework to analyse the effects of spatial planning approaches on </w:t>
      </w:r>
      <w:proofErr w:type="gramStart"/>
      <w:r w:rsidR="00047A99">
        <w:rPr>
          <w:rFonts w:cstheme="minorHAnsi"/>
          <w:sz w:val="24"/>
          <w:szCs w:val="24"/>
          <w:lang w:eastAsia="en-GB"/>
        </w:rPr>
        <w:t>on-shore</w:t>
      </w:r>
      <w:proofErr w:type="gramEnd"/>
      <w:r w:rsidR="00047A99">
        <w:rPr>
          <w:rFonts w:cstheme="minorHAnsi"/>
          <w:sz w:val="24"/>
          <w:szCs w:val="24"/>
          <w:lang w:eastAsia="en-GB"/>
        </w:rPr>
        <w:t xml:space="preserve"> wind energy in </w:t>
      </w:r>
      <w:r w:rsidRPr="007225BA">
        <w:rPr>
          <w:rFonts w:cstheme="minorHAnsi"/>
          <w:sz w:val="24"/>
          <w:szCs w:val="24"/>
          <w:lang w:eastAsia="en-GB"/>
        </w:rPr>
        <w:t>Italy and the UK.</w:t>
      </w:r>
    </w:p>
    <w:p w14:paraId="4DCED4D8" w14:textId="77777777" w:rsidR="004F3750" w:rsidRPr="007225BA" w:rsidRDefault="004F3750" w:rsidP="00735E90">
      <w:pPr>
        <w:pStyle w:val="CommentText"/>
        <w:jc w:val="both"/>
        <w:rPr>
          <w:rFonts w:cstheme="minorHAnsi"/>
          <w:sz w:val="24"/>
          <w:szCs w:val="24"/>
          <w:lang w:eastAsia="en-GB"/>
        </w:rPr>
      </w:pPr>
    </w:p>
    <w:p w14:paraId="12C84274" w14:textId="7D1EFC47" w:rsidR="004F3750" w:rsidRPr="007225BA" w:rsidRDefault="004F3750" w:rsidP="00735E90">
      <w:pPr>
        <w:tabs>
          <w:tab w:val="left" w:pos="0"/>
        </w:tabs>
        <w:spacing w:line="240" w:lineRule="auto"/>
        <w:jc w:val="both"/>
        <w:rPr>
          <w:rFonts w:cstheme="minorHAnsi"/>
          <w:bCs/>
          <w:sz w:val="24"/>
          <w:szCs w:val="24"/>
        </w:rPr>
      </w:pPr>
      <w:r w:rsidRPr="007225BA">
        <w:rPr>
          <w:rFonts w:cstheme="minorHAnsi"/>
          <w:bCs/>
          <w:sz w:val="24"/>
          <w:szCs w:val="24"/>
        </w:rPr>
        <w:t xml:space="preserve">The next section </w:t>
      </w:r>
      <w:r w:rsidR="00953E1A">
        <w:rPr>
          <w:rFonts w:cstheme="minorHAnsi"/>
          <w:bCs/>
          <w:sz w:val="24"/>
          <w:szCs w:val="24"/>
        </w:rPr>
        <w:t xml:space="preserve">of the paper </w:t>
      </w:r>
      <w:r w:rsidR="007D27B4">
        <w:rPr>
          <w:rFonts w:cstheme="minorHAnsi"/>
          <w:bCs/>
          <w:sz w:val="24"/>
          <w:szCs w:val="24"/>
        </w:rPr>
        <w:t>explain</w:t>
      </w:r>
      <w:r w:rsidRPr="007225BA">
        <w:rPr>
          <w:rFonts w:cstheme="minorHAnsi"/>
          <w:bCs/>
          <w:sz w:val="24"/>
          <w:szCs w:val="24"/>
        </w:rPr>
        <w:t xml:space="preserve">s how </w:t>
      </w:r>
      <w:r w:rsidR="00047A99">
        <w:rPr>
          <w:rFonts w:cstheme="minorHAnsi"/>
          <w:bCs/>
          <w:sz w:val="24"/>
          <w:szCs w:val="24"/>
        </w:rPr>
        <w:t>our</w:t>
      </w:r>
      <w:r w:rsidRPr="007225BA">
        <w:rPr>
          <w:rFonts w:cstheme="minorHAnsi"/>
          <w:bCs/>
          <w:sz w:val="24"/>
          <w:szCs w:val="24"/>
        </w:rPr>
        <w:t xml:space="preserve"> </w:t>
      </w:r>
      <w:proofErr w:type="gramStart"/>
      <w:r w:rsidRPr="007225BA">
        <w:rPr>
          <w:rFonts w:cstheme="minorHAnsi"/>
          <w:bCs/>
          <w:sz w:val="24"/>
          <w:szCs w:val="24"/>
        </w:rPr>
        <w:t>modes</w:t>
      </w:r>
      <w:proofErr w:type="gramEnd"/>
      <w:r w:rsidRPr="007225BA">
        <w:rPr>
          <w:rFonts w:cstheme="minorHAnsi"/>
          <w:bCs/>
          <w:sz w:val="24"/>
          <w:szCs w:val="24"/>
        </w:rPr>
        <w:t xml:space="preserve"> of governing framework help</w:t>
      </w:r>
      <w:r w:rsidR="00953E1A">
        <w:rPr>
          <w:rFonts w:cstheme="minorHAnsi"/>
          <w:bCs/>
          <w:sz w:val="24"/>
          <w:szCs w:val="24"/>
        </w:rPr>
        <w:t>s</w:t>
      </w:r>
      <w:r w:rsidRPr="007225BA">
        <w:rPr>
          <w:rFonts w:cstheme="minorHAnsi"/>
          <w:bCs/>
          <w:sz w:val="24"/>
          <w:szCs w:val="24"/>
        </w:rPr>
        <w:t xml:space="preserve"> tease out the </w:t>
      </w:r>
      <w:r w:rsidRPr="007225BA">
        <w:rPr>
          <w:rFonts w:cstheme="minorHAnsi"/>
          <w:sz w:val="24"/>
          <w:szCs w:val="24"/>
          <w:lang w:eastAsia="en-GB"/>
        </w:rPr>
        <w:t xml:space="preserve">diverse elements that shape the policy and practices of spatial planning </w:t>
      </w:r>
      <w:r w:rsidR="00953E1A">
        <w:rPr>
          <w:rFonts w:cstheme="minorHAnsi"/>
          <w:sz w:val="24"/>
          <w:szCs w:val="24"/>
          <w:lang w:eastAsia="en-GB"/>
        </w:rPr>
        <w:t>for</w:t>
      </w:r>
      <w:r w:rsidRPr="007225BA">
        <w:rPr>
          <w:rFonts w:cstheme="minorHAnsi"/>
          <w:sz w:val="24"/>
          <w:szCs w:val="24"/>
          <w:lang w:eastAsia="en-GB"/>
        </w:rPr>
        <w:t xml:space="preserve"> RE deployment. Taking this conceptual framework, we use the cases of onshore wind energy deployment in Italy and the UK, to ex</w:t>
      </w:r>
      <w:r w:rsidR="00047A99">
        <w:rPr>
          <w:rFonts w:cstheme="minorHAnsi"/>
          <w:sz w:val="24"/>
          <w:szCs w:val="24"/>
          <w:lang w:eastAsia="en-GB"/>
        </w:rPr>
        <w:t xml:space="preserve">amine the take up, construction and mobilisation of </w:t>
      </w:r>
      <w:r w:rsidRPr="007225BA">
        <w:rPr>
          <w:rFonts w:cstheme="minorHAnsi"/>
          <w:sz w:val="24"/>
          <w:szCs w:val="24"/>
        </w:rPr>
        <w:t xml:space="preserve">spatial planning approaches, </w:t>
      </w:r>
      <w:r w:rsidR="00047A99">
        <w:rPr>
          <w:rFonts w:cstheme="minorHAnsi"/>
          <w:sz w:val="24"/>
          <w:szCs w:val="24"/>
        </w:rPr>
        <w:t xml:space="preserve">and </w:t>
      </w:r>
      <w:r w:rsidRPr="007225BA">
        <w:rPr>
          <w:rFonts w:cstheme="minorHAnsi"/>
          <w:sz w:val="24"/>
          <w:szCs w:val="24"/>
        </w:rPr>
        <w:t>investigat</w:t>
      </w:r>
      <w:r w:rsidR="00047A99">
        <w:rPr>
          <w:rFonts w:cstheme="minorHAnsi"/>
          <w:sz w:val="24"/>
          <w:szCs w:val="24"/>
        </w:rPr>
        <w:t>e</w:t>
      </w:r>
      <w:r w:rsidRPr="007225BA">
        <w:rPr>
          <w:rFonts w:cstheme="minorHAnsi"/>
          <w:sz w:val="24"/>
          <w:szCs w:val="24"/>
        </w:rPr>
        <w:t xml:space="preserve"> the</w:t>
      </w:r>
      <w:r w:rsidR="00047A99">
        <w:rPr>
          <w:rFonts w:cstheme="minorHAnsi"/>
          <w:sz w:val="24"/>
          <w:szCs w:val="24"/>
        </w:rPr>
        <w:t xml:space="preserve"> relationship to wind energy outcomes</w:t>
      </w:r>
      <w:r w:rsidRPr="007225BA">
        <w:rPr>
          <w:rFonts w:cstheme="minorHAnsi"/>
          <w:sz w:val="24"/>
          <w:szCs w:val="24"/>
          <w:lang w:eastAsia="en-GB"/>
        </w:rPr>
        <w:t xml:space="preserve">. </w:t>
      </w:r>
      <w:r w:rsidRPr="007225BA">
        <w:rPr>
          <w:rFonts w:cstheme="minorHAnsi"/>
          <w:bCs/>
          <w:sz w:val="24"/>
          <w:szCs w:val="24"/>
        </w:rPr>
        <w:t xml:space="preserve">The paper concludes by summarising the key findings, </w:t>
      </w:r>
      <w:r w:rsidR="007E35A4">
        <w:rPr>
          <w:rFonts w:cstheme="minorHAnsi"/>
          <w:bCs/>
          <w:sz w:val="24"/>
          <w:szCs w:val="24"/>
        </w:rPr>
        <w:t xml:space="preserve">practical implications </w:t>
      </w:r>
      <w:r w:rsidRPr="007225BA">
        <w:rPr>
          <w:rFonts w:cstheme="minorHAnsi"/>
          <w:bCs/>
          <w:sz w:val="24"/>
          <w:szCs w:val="24"/>
        </w:rPr>
        <w:t xml:space="preserve">and presenting areas </w:t>
      </w:r>
      <w:r w:rsidR="00047A99">
        <w:rPr>
          <w:rFonts w:cstheme="minorHAnsi"/>
          <w:bCs/>
          <w:sz w:val="24"/>
          <w:szCs w:val="24"/>
        </w:rPr>
        <w:t>for</w:t>
      </w:r>
      <w:r w:rsidRPr="007225BA">
        <w:rPr>
          <w:rFonts w:cstheme="minorHAnsi"/>
          <w:bCs/>
          <w:sz w:val="24"/>
          <w:szCs w:val="24"/>
        </w:rPr>
        <w:t xml:space="preserve"> further research.</w:t>
      </w:r>
    </w:p>
    <w:p w14:paraId="27AA29C5" w14:textId="77777777" w:rsidR="004F3750" w:rsidRPr="007225BA" w:rsidRDefault="004F3750" w:rsidP="00824E8F">
      <w:pPr>
        <w:tabs>
          <w:tab w:val="left" w:pos="0"/>
        </w:tabs>
        <w:spacing w:line="240" w:lineRule="auto"/>
        <w:jc w:val="both"/>
        <w:rPr>
          <w:rFonts w:cstheme="minorHAnsi"/>
          <w:sz w:val="24"/>
          <w:szCs w:val="24"/>
          <w:lang w:eastAsia="en-GB"/>
        </w:rPr>
      </w:pPr>
    </w:p>
    <w:p w14:paraId="461124EF" w14:textId="77777777" w:rsidR="004F3750" w:rsidRPr="007225BA" w:rsidRDefault="004F3750" w:rsidP="00824E8F">
      <w:pPr>
        <w:tabs>
          <w:tab w:val="left" w:pos="0"/>
        </w:tabs>
        <w:spacing w:line="240" w:lineRule="auto"/>
        <w:jc w:val="both"/>
        <w:rPr>
          <w:rFonts w:cstheme="minorHAnsi"/>
          <w:sz w:val="24"/>
          <w:szCs w:val="24"/>
          <w:lang w:eastAsia="en-GB"/>
        </w:rPr>
      </w:pPr>
    </w:p>
    <w:p w14:paraId="1AC2D1C6" w14:textId="77777777" w:rsidR="004F3750" w:rsidRDefault="004F3750" w:rsidP="00824E8F">
      <w:pPr>
        <w:pStyle w:val="Heading1"/>
        <w:spacing w:before="0" w:line="240" w:lineRule="auto"/>
        <w:jc w:val="both"/>
        <w:rPr>
          <w:rFonts w:asciiTheme="minorHAnsi" w:hAnsiTheme="minorHAnsi" w:cstheme="minorHAnsi"/>
          <w:b/>
          <w:color w:val="auto"/>
          <w:sz w:val="24"/>
          <w:szCs w:val="24"/>
        </w:rPr>
      </w:pPr>
      <w:r w:rsidRPr="007225BA">
        <w:rPr>
          <w:rFonts w:asciiTheme="minorHAnsi" w:hAnsiTheme="minorHAnsi" w:cstheme="minorHAnsi"/>
          <w:b/>
          <w:color w:val="auto"/>
          <w:sz w:val="24"/>
          <w:szCs w:val="24"/>
        </w:rPr>
        <w:t xml:space="preserve">Understanding spatial planning for renewable energy resources </w:t>
      </w:r>
    </w:p>
    <w:p w14:paraId="3EF65074" w14:textId="77777777" w:rsidR="005F4CAE" w:rsidRPr="005F4CAE" w:rsidRDefault="005F4CAE" w:rsidP="005F4CAE"/>
    <w:p w14:paraId="0A793C79" w14:textId="77777777" w:rsidR="004F3750" w:rsidRPr="006A7FE9" w:rsidRDefault="004F3750" w:rsidP="00824E8F">
      <w:pPr>
        <w:pStyle w:val="Heading2"/>
        <w:spacing w:before="0" w:line="240" w:lineRule="auto"/>
        <w:rPr>
          <w:rFonts w:asciiTheme="minorHAnsi" w:hAnsiTheme="minorHAnsi" w:cstheme="minorHAnsi"/>
          <w:b/>
          <w:bCs/>
          <w:i/>
          <w:color w:val="auto"/>
          <w:sz w:val="24"/>
          <w:szCs w:val="24"/>
        </w:rPr>
      </w:pPr>
      <w:r w:rsidRPr="006A7FE9">
        <w:rPr>
          <w:rFonts w:asciiTheme="minorHAnsi" w:hAnsiTheme="minorHAnsi" w:cstheme="minorHAnsi"/>
          <w:b/>
          <w:bCs/>
          <w:i/>
          <w:color w:val="auto"/>
          <w:sz w:val="24"/>
          <w:szCs w:val="24"/>
        </w:rPr>
        <w:t>Modes of governing as a conceptual framework</w:t>
      </w:r>
    </w:p>
    <w:p w14:paraId="6811A8A0" w14:textId="77777777" w:rsidR="004F3750" w:rsidRPr="007225BA" w:rsidRDefault="004F3750" w:rsidP="00824E8F">
      <w:pPr>
        <w:pStyle w:val="CommentText"/>
        <w:jc w:val="both"/>
        <w:rPr>
          <w:rFonts w:cstheme="minorHAnsi"/>
          <w:sz w:val="24"/>
          <w:szCs w:val="24"/>
          <w:lang w:eastAsia="en-GB"/>
        </w:rPr>
      </w:pPr>
    </w:p>
    <w:p w14:paraId="087EE496" w14:textId="027AF675" w:rsidR="004F3750" w:rsidRPr="007225BA" w:rsidRDefault="004F3750" w:rsidP="00824E8F">
      <w:pPr>
        <w:pStyle w:val="CommentText"/>
        <w:jc w:val="both"/>
        <w:rPr>
          <w:rFonts w:cstheme="minorHAnsi"/>
          <w:sz w:val="24"/>
          <w:szCs w:val="24"/>
          <w:lang w:eastAsia="en-GB"/>
        </w:rPr>
      </w:pPr>
      <w:r w:rsidRPr="007225BA">
        <w:rPr>
          <w:rFonts w:cstheme="minorHAnsi"/>
          <w:sz w:val="24"/>
          <w:szCs w:val="24"/>
          <w:lang w:eastAsia="en-GB"/>
        </w:rPr>
        <w:t>As noted above, there has been consistent research and practitioner interest in spatial planning approaches for facilitating RE development, but relatively little evidence as to their effects. This is partly because much research focuses on the development of mapping and visualisation techniques, without investigation of take up and use</w:t>
      </w:r>
      <w:r w:rsidR="00BC2E41">
        <w:rPr>
          <w:rFonts w:cstheme="minorHAnsi"/>
          <w:sz w:val="24"/>
          <w:szCs w:val="24"/>
          <w:lang w:eastAsia="en-GB"/>
        </w:rPr>
        <w:t xml:space="preserve"> in practice</w:t>
      </w:r>
      <w:r w:rsidRPr="007225BA">
        <w:rPr>
          <w:rFonts w:cstheme="minorHAnsi"/>
          <w:sz w:val="24"/>
          <w:szCs w:val="24"/>
          <w:lang w:eastAsia="en-GB"/>
        </w:rPr>
        <w:t xml:space="preserve">. Certainly, methodology developers often indicate </w:t>
      </w:r>
      <w:r w:rsidRPr="007225BA">
        <w:rPr>
          <w:rFonts w:cstheme="minorHAnsi"/>
          <w:i/>
          <w:sz w:val="24"/>
          <w:szCs w:val="24"/>
          <w:lang w:eastAsia="en-GB"/>
        </w:rPr>
        <w:t>potential</w:t>
      </w:r>
      <w:r w:rsidRPr="007225BA">
        <w:rPr>
          <w:rFonts w:cstheme="minorHAnsi"/>
          <w:sz w:val="24"/>
          <w:szCs w:val="24"/>
          <w:lang w:eastAsia="en-GB"/>
        </w:rPr>
        <w:t xml:space="preserve"> governance purposes, such as informing RE target-setting and strategic </w:t>
      </w:r>
      <w:proofErr w:type="gramStart"/>
      <w:r w:rsidRPr="007225BA">
        <w:rPr>
          <w:rFonts w:cstheme="minorHAnsi"/>
          <w:sz w:val="24"/>
          <w:szCs w:val="24"/>
          <w:lang w:eastAsia="en-GB"/>
        </w:rPr>
        <w:t>policy-making</w:t>
      </w:r>
      <w:proofErr w:type="gramEnd"/>
      <w:r w:rsidRPr="007225BA">
        <w:rPr>
          <w:rFonts w:cstheme="minorHAnsi"/>
          <w:sz w:val="24"/>
          <w:szCs w:val="24"/>
          <w:lang w:eastAsia="en-GB"/>
        </w:rPr>
        <w:t xml:space="preserve"> (e.g. Gauglitz et al 2019), as well as supporting planners in guiding project location and regulation. While much work tacitly adopts a technocratic view of how such tools might work – i.e. that creating ‘better knowledge’ should itself be influential (Owens et al 20</w:t>
      </w:r>
      <w:r w:rsidR="00F54C38">
        <w:rPr>
          <w:rFonts w:cstheme="minorHAnsi"/>
          <w:sz w:val="24"/>
          <w:szCs w:val="24"/>
          <w:lang w:eastAsia="en-GB"/>
        </w:rPr>
        <w:t>0</w:t>
      </w:r>
      <w:r w:rsidRPr="007225BA">
        <w:rPr>
          <w:rFonts w:cstheme="minorHAnsi"/>
          <w:sz w:val="24"/>
          <w:szCs w:val="24"/>
          <w:lang w:eastAsia="en-GB"/>
        </w:rPr>
        <w:t xml:space="preserve">4) - few consider </w:t>
      </w:r>
      <w:r w:rsidR="00BC2E41">
        <w:rPr>
          <w:rFonts w:cstheme="minorHAnsi"/>
          <w:sz w:val="24"/>
          <w:szCs w:val="24"/>
          <w:lang w:eastAsia="en-GB"/>
        </w:rPr>
        <w:t>issues</w:t>
      </w:r>
      <w:r w:rsidRPr="007225BA">
        <w:rPr>
          <w:rFonts w:cstheme="minorHAnsi"/>
          <w:sz w:val="24"/>
          <w:szCs w:val="24"/>
          <w:lang w:eastAsia="en-GB"/>
        </w:rPr>
        <w:t xml:space="preserve"> of use more explicitly. Some analysts have considered the democratic </w:t>
      </w:r>
      <w:r w:rsidR="00BC2E41">
        <w:rPr>
          <w:rFonts w:cstheme="minorHAnsi"/>
          <w:sz w:val="24"/>
          <w:szCs w:val="24"/>
          <w:lang w:eastAsia="en-GB"/>
        </w:rPr>
        <w:t>potential of spatial planning approaches</w:t>
      </w:r>
      <w:r w:rsidRPr="007225BA">
        <w:rPr>
          <w:rFonts w:cstheme="minorHAnsi"/>
          <w:sz w:val="24"/>
          <w:szCs w:val="24"/>
          <w:lang w:eastAsia="en-GB"/>
        </w:rPr>
        <w:t xml:space="preserve"> in methodology design, such as supporting stakeholder and public engagement (</w:t>
      </w:r>
      <w:r w:rsidR="00DE05F9">
        <w:rPr>
          <w:rFonts w:cstheme="minorHAnsi"/>
          <w:sz w:val="24"/>
          <w:szCs w:val="24"/>
          <w:lang w:eastAsia="en-GB"/>
        </w:rPr>
        <w:t xml:space="preserve">e.g. </w:t>
      </w:r>
      <w:r w:rsidRPr="007225BA">
        <w:rPr>
          <w:rFonts w:cstheme="minorHAnsi"/>
          <w:sz w:val="24"/>
          <w:szCs w:val="24"/>
          <w:lang w:eastAsia="en-GB"/>
        </w:rPr>
        <w:t>Berry and Higgs 2012). Even here, however, most research has operated in the world of ideal models, or one-off experiments, detached from the contexts in which real decisions are made.</w:t>
      </w:r>
    </w:p>
    <w:p w14:paraId="0713F589" w14:textId="77777777" w:rsidR="004F3750" w:rsidRPr="007225BA" w:rsidRDefault="004F3750" w:rsidP="00824E8F">
      <w:pPr>
        <w:pStyle w:val="CommentText"/>
        <w:jc w:val="both"/>
        <w:rPr>
          <w:rFonts w:cstheme="minorHAnsi"/>
          <w:sz w:val="24"/>
          <w:szCs w:val="24"/>
          <w:lang w:eastAsia="en-GB"/>
        </w:rPr>
      </w:pPr>
    </w:p>
    <w:p w14:paraId="23BF2E3C" w14:textId="0A69A8C5" w:rsidR="00BC2E41" w:rsidRDefault="004F3750" w:rsidP="00824E8F">
      <w:pPr>
        <w:pStyle w:val="CommentText"/>
        <w:jc w:val="both"/>
        <w:rPr>
          <w:rFonts w:cstheme="minorHAnsi"/>
          <w:sz w:val="24"/>
          <w:szCs w:val="24"/>
          <w:lang w:eastAsia="en-GB"/>
        </w:rPr>
      </w:pPr>
      <w:r w:rsidRPr="007225BA">
        <w:rPr>
          <w:rFonts w:cstheme="minorHAnsi"/>
          <w:sz w:val="24"/>
          <w:szCs w:val="24"/>
          <w:lang w:eastAsia="en-GB"/>
        </w:rPr>
        <w:lastRenderedPageBreak/>
        <w:t xml:space="preserve">Consequently, to better understand how spatial </w:t>
      </w:r>
      <w:r w:rsidR="00BC2E41">
        <w:rPr>
          <w:rFonts w:cstheme="minorHAnsi"/>
          <w:sz w:val="24"/>
          <w:szCs w:val="24"/>
          <w:lang w:eastAsia="en-GB"/>
        </w:rPr>
        <w:t xml:space="preserve">planning </w:t>
      </w:r>
      <w:r w:rsidRPr="007225BA">
        <w:rPr>
          <w:rFonts w:cstheme="minorHAnsi"/>
          <w:sz w:val="24"/>
          <w:szCs w:val="24"/>
          <w:lang w:eastAsia="en-GB"/>
        </w:rPr>
        <w:t xml:space="preserve">approaches work in practice requires a conceptual framework that sees them not as a-contextual, technical tools, but which locates their construction and operation within the wider operation of the state and its relations with other actors. A useful start point is the ‘modes of governing’ concepts developed by Bulkeley et al (2005, 2007; Watson et al 2008). For Bulkeley et al, modes are constituted by the diverse elements that combine in the act of governing (Bulkeley et al 2007) - i.e. by particular goals, rationalities, instruments (regulation, markets, but also techniques) and infrastructure - which together shape the ‘social, political and material relations at work’ (Bulkeley et al 2005: 2). </w:t>
      </w:r>
      <w:r w:rsidR="00BC2E41">
        <w:rPr>
          <w:rFonts w:cstheme="minorHAnsi"/>
          <w:sz w:val="24"/>
          <w:szCs w:val="24"/>
          <w:lang w:eastAsia="en-GB"/>
        </w:rPr>
        <w:t xml:space="preserve">Such </w:t>
      </w:r>
      <w:r w:rsidRPr="007225BA">
        <w:rPr>
          <w:rFonts w:cstheme="minorHAnsi"/>
          <w:sz w:val="24"/>
          <w:szCs w:val="24"/>
          <w:lang w:eastAsia="en-GB"/>
        </w:rPr>
        <w:t xml:space="preserve">conceptualisations thus helpfully make visible how elements that could be conceived as purely ‘internal’ to a spatial planning technique (like choice of scale or constraint criteria) are </w:t>
      </w:r>
      <w:r w:rsidRPr="007225BA">
        <w:rPr>
          <w:rFonts w:cstheme="minorHAnsi"/>
          <w:i/>
          <w:sz w:val="24"/>
          <w:szCs w:val="24"/>
          <w:lang w:eastAsia="en-GB"/>
        </w:rPr>
        <w:t>constitutive of</w:t>
      </w:r>
      <w:r w:rsidRPr="007225BA">
        <w:rPr>
          <w:rFonts w:cstheme="minorHAnsi"/>
          <w:sz w:val="24"/>
          <w:szCs w:val="24"/>
          <w:lang w:eastAsia="en-GB"/>
        </w:rPr>
        <w:t xml:space="preserve"> wider governance processes</w:t>
      </w:r>
      <w:r w:rsidR="00BC2E41">
        <w:rPr>
          <w:rFonts w:cstheme="minorHAnsi"/>
          <w:sz w:val="24"/>
          <w:szCs w:val="24"/>
          <w:lang w:eastAsia="en-GB"/>
        </w:rPr>
        <w:t>. Another</w:t>
      </w:r>
      <w:r w:rsidRPr="007225BA">
        <w:rPr>
          <w:rFonts w:cstheme="minorHAnsi"/>
          <w:sz w:val="24"/>
          <w:szCs w:val="24"/>
          <w:lang w:eastAsia="en-GB"/>
        </w:rPr>
        <w:t xml:space="preserve"> merit of this approach is its sensitivity to the </w:t>
      </w:r>
      <w:r w:rsidRPr="007225BA">
        <w:rPr>
          <w:rFonts w:cstheme="minorHAnsi"/>
          <w:i/>
          <w:sz w:val="24"/>
          <w:szCs w:val="24"/>
          <w:lang w:eastAsia="en-GB"/>
        </w:rPr>
        <w:t>multiple</w:t>
      </w:r>
      <w:r w:rsidRPr="007225BA">
        <w:rPr>
          <w:rFonts w:cstheme="minorHAnsi"/>
          <w:sz w:val="24"/>
          <w:szCs w:val="24"/>
          <w:lang w:eastAsia="en-GB"/>
        </w:rPr>
        <w:t xml:space="preserve"> modes of governing </w:t>
      </w:r>
      <w:r w:rsidRPr="007225BA">
        <w:rPr>
          <w:rFonts w:cstheme="minorHAnsi"/>
          <w:sz w:val="24"/>
          <w:szCs w:val="24"/>
        </w:rPr>
        <w:t>through which policy is constructed and (potentially) contested (Bulkeley et al 2005, 2) and so, for present purposes, to the diverse ways in which spatial planning approaches could be mobilised</w:t>
      </w:r>
      <w:r w:rsidRPr="007225BA">
        <w:rPr>
          <w:rFonts w:cstheme="minorHAnsi"/>
          <w:sz w:val="24"/>
          <w:szCs w:val="24"/>
          <w:lang w:eastAsia="en-GB"/>
        </w:rPr>
        <w:t>.</w:t>
      </w:r>
    </w:p>
    <w:p w14:paraId="785D86BD" w14:textId="77777777" w:rsidR="00BC2E41" w:rsidRDefault="00BC2E41" w:rsidP="00824E8F">
      <w:pPr>
        <w:pStyle w:val="CommentText"/>
        <w:jc w:val="both"/>
        <w:rPr>
          <w:rFonts w:cstheme="minorHAnsi"/>
          <w:sz w:val="24"/>
          <w:szCs w:val="24"/>
          <w:lang w:eastAsia="en-GB"/>
        </w:rPr>
      </w:pPr>
    </w:p>
    <w:p w14:paraId="370703C9" w14:textId="04CB39AD" w:rsidR="007D27B4" w:rsidRDefault="004F3750" w:rsidP="005B2076">
      <w:pPr>
        <w:pStyle w:val="CommentText"/>
        <w:jc w:val="both"/>
        <w:rPr>
          <w:rFonts w:cstheme="minorHAnsi"/>
          <w:sz w:val="24"/>
          <w:szCs w:val="24"/>
        </w:rPr>
      </w:pPr>
      <w:r w:rsidRPr="007225BA">
        <w:rPr>
          <w:rFonts w:cstheme="minorHAnsi"/>
          <w:sz w:val="24"/>
          <w:szCs w:val="24"/>
          <w:lang w:eastAsia="en-GB"/>
        </w:rPr>
        <w:t xml:space="preserve">However, there is another dimension - arguably implicit in Bulkeley et al’s approach – that warrants more consideration. This is that scholars can too easily assume the coherence of particular governance forms. Foucault-inspired governmentality approaches, for example, tend to collapse the evolution of </w:t>
      </w:r>
      <w:r w:rsidRPr="007225BA">
        <w:rPr>
          <w:rFonts w:eastAsia="Times New Roman" w:cstheme="minorHAnsi"/>
          <w:bCs/>
          <w:color w:val="000000"/>
          <w:sz w:val="24"/>
          <w:szCs w:val="24"/>
          <w:lang w:eastAsia="en-GB"/>
        </w:rPr>
        <w:t xml:space="preserve">state action and failure into a binary of technique/action versus resistance (Hacking and Flynn, 2018), which risks obscuring the messy compromises built into implementing devices and governance arrangements themselves (Riles, 2006; Cowell et al 2020). </w:t>
      </w:r>
      <w:r w:rsidR="006315D6">
        <w:rPr>
          <w:rFonts w:eastAsia="Times New Roman" w:cstheme="minorHAnsi"/>
          <w:bCs/>
          <w:color w:val="000000"/>
          <w:sz w:val="24"/>
          <w:szCs w:val="24"/>
          <w:lang w:eastAsia="en-GB"/>
        </w:rPr>
        <w:t xml:space="preserve">To address this, </w:t>
      </w:r>
      <w:r w:rsidRPr="007225BA">
        <w:rPr>
          <w:rFonts w:eastAsia="Times New Roman" w:cstheme="minorHAnsi"/>
          <w:bCs/>
          <w:color w:val="000000"/>
          <w:sz w:val="24"/>
          <w:szCs w:val="24"/>
          <w:lang w:eastAsia="en-GB"/>
        </w:rPr>
        <w:t xml:space="preserve">we </w:t>
      </w:r>
      <w:r w:rsidR="00BC2E41">
        <w:rPr>
          <w:rFonts w:eastAsia="Times New Roman" w:cstheme="minorHAnsi"/>
          <w:bCs/>
          <w:color w:val="000000"/>
          <w:sz w:val="24"/>
          <w:szCs w:val="24"/>
          <w:lang w:eastAsia="en-GB"/>
        </w:rPr>
        <w:t xml:space="preserve">take broad </w:t>
      </w:r>
      <w:r w:rsidRPr="007225BA">
        <w:rPr>
          <w:rFonts w:eastAsia="Times New Roman" w:cstheme="minorHAnsi"/>
          <w:bCs/>
          <w:color w:val="000000"/>
          <w:sz w:val="24"/>
          <w:szCs w:val="24"/>
          <w:lang w:eastAsia="en-GB"/>
        </w:rPr>
        <w:t xml:space="preserve">inspiration from the post-foundational perspective of </w:t>
      </w:r>
      <w:r w:rsidRPr="007225BA">
        <w:rPr>
          <w:rFonts w:cstheme="minorHAnsi"/>
          <w:sz w:val="24"/>
          <w:szCs w:val="24"/>
        </w:rPr>
        <w:t>Boltanski and Thévenot (2006)</w:t>
      </w:r>
      <w:r w:rsidR="007553FF">
        <w:rPr>
          <w:rFonts w:cstheme="minorHAnsi"/>
          <w:sz w:val="24"/>
          <w:szCs w:val="24"/>
        </w:rPr>
        <w:t>, which</w:t>
      </w:r>
      <w:r w:rsidR="006315D6">
        <w:rPr>
          <w:rFonts w:cstheme="minorHAnsi"/>
          <w:sz w:val="24"/>
          <w:szCs w:val="24"/>
        </w:rPr>
        <w:t xml:space="preserve"> views society not as a single order, but indeterminately structured </w:t>
      </w:r>
      <w:r w:rsidR="007553FF">
        <w:rPr>
          <w:rFonts w:cstheme="minorHAnsi"/>
          <w:sz w:val="24"/>
          <w:szCs w:val="24"/>
        </w:rPr>
        <w:t>by a plurality of models of the public good</w:t>
      </w:r>
      <w:r w:rsidR="007D27B4">
        <w:rPr>
          <w:rFonts w:cstheme="minorHAnsi"/>
          <w:sz w:val="24"/>
          <w:szCs w:val="24"/>
        </w:rPr>
        <w:t xml:space="preserve"> by which issues can be addressed</w:t>
      </w:r>
      <w:r w:rsidR="007553FF">
        <w:rPr>
          <w:rFonts w:cstheme="minorHAnsi"/>
          <w:sz w:val="24"/>
          <w:szCs w:val="24"/>
        </w:rPr>
        <w:t>. These</w:t>
      </w:r>
      <w:r w:rsidR="005E7958">
        <w:rPr>
          <w:rFonts w:cstheme="minorHAnsi"/>
          <w:sz w:val="24"/>
          <w:szCs w:val="24"/>
        </w:rPr>
        <w:t xml:space="preserve"> </w:t>
      </w:r>
      <w:r w:rsidR="007553FF">
        <w:rPr>
          <w:rFonts w:cstheme="minorHAnsi"/>
          <w:sz w:val="24"/>
          <w:szCs w:val="24"/>
        </w:rPr>
        <w:t>models include the ‘industrial’ (emphasising instrumental efficiency in goal delivery), ‘market’ (emphasising the pursuit of profit) or ‘civic’ (emphasising transparent public decision-making</w:t>
      </w:r>
      <w:r w:rsidR="008C5590">
        <w:rPr>
          <w:rFonts w:cstheme="minorHAnsi"/>
          <w:sz w:val="24"/>
          <w:szCs w:val="24"/>
        </w:rPr>
        <w:t>); importantly,</w:t>
      </w:r>
      <w:r w:rsidR="007553FF">
        <w:rPr>
          <w:rFonts w:cstheme="minorHAnsi"/>
          <w:sz w:val="24"/>
          <w:szCs w:val="24"/>
        </w:rPr>
        <w:t xml:space="preserve"> they are incommensurable in that they each entail different registers of value that are not reducible to each</w:t>
      </w:r>
      <w:r w:rsidR="005E7958">
        <w:rPr>
          <w:rFonts w:cstheme="minorHAnsi"/>
          <w:sz w:val="24"/>
          <w:szCs w:val="24"/>
        </w:rPr>
        <w:t xml:space="preserve"> </w:t>
      </w:r>
      <w:r w:rsidR="007553FF">
        <w:rPr>
          <w:rFonts w:cstheme="minorHAnsi"/>
          <w:sz w:val="24"/>
          <w:szCs w:val="24"/>
        </w:rPr>
        <w:t>other.</w:t>
      </w:r>
      <w:r w:rsidR="005E7958">
        <w:rPr>
          <w:rFonts w:cstheme="minorHAnsi"/>
          <w:sz w:val="24"/>
          <w:szCs w:val="24"/>
        </w:rPr>
        <w:t xml:space="preserve"> </w:t>
      </w:r>
      <w:r w:rsidR="004E371D">
        <w:rPr>
          <w:rFonts w:cstheme="minorHAnsi"/>
          <w:sz w:val="24"/>
          <w:szCs w:val="24"/>
        </w:rPr>
        <w:t>Consequently, constructing new modes of govern</w:t>
      </w:r>
      <w:r w:rsidR="007D27B4">
        <w:rPr>
          <w:rFonts w:cstheme="minorHAnsi"/>
          <w:sz w:val="24"/>
          <w:szCs w:val="24"/>
        </w:rPr>
        <w:t>ing</w:t>
      </w:r>
      <w:r w:rsidR="004E371D">
        <w:rPr>
          <w:rFonts w:cstheme="minorHAnsi"/>
          <w:sz w:val="24"/>
          <w:szCs w:val="24"/>
        </w:rPr>
        <w:t xml:space="preserve"> to address an emergent problem must grapple with </w:t>
      </w:r>
      <w:r w:rsidR="007D27B4">
        <w:rPr>
          <w:rFonts w:cstheme="minorHAnsi"/>
          <w:sz w:val="24"/>
          <w:szCs w:val="24"/>
        </w:rPr>
        <w:t>this plurality</w:t>
      </w:r>
      <w:r w:rsidR="004E371D">
        <w:rPr>
          <w:rFonts w:cstheme="minorHAnsi"/>
          <w:sz w:val="24"/>
          <w:szCs w:val="24"/>
        </w:rPr>
        <w:t xml:space="preserve">, with the distinct likelihood – especially </w:t>
      </w:r>
      <w:r w:rsidR="007D27B4">
        <w:rPr>
          <w:rFonts w:cstheme="minorHAnsi"/>
          <w:sz w:val="24"/>
          <w:szCs w:val="24"/>
        </w:rPr>
        <w:t xml:space="preserve">in </w:t>
      </w:r>
      <w:r w:rsidR="004E371D">
        <w:rPr>
          <w:rFonts w:cstheme="minorHAnsi"/>
          <w:sz w:val="24"/>
          <w:szCs w:val="24"/>
        </w:rPr>
        <w:t>a complex field like energy and planning (Cowell and Devine-Wright 2018) – that any resultant institutional ‘fix’ is a compromise i.e. a balance is struck between different models of the public good</w:t>
      </w:r>
      <w:r w:rsidR="00307603">
        <w:rPr>
          <w:rFonts w:cstheme="minorHAnsi"/>
          <w:sz w:val="24"/>
          <w:szCs w:val="24"/>
        </w:rPr>
        <w:t xml:space="preserve"> that can</w:t>
      </w:r>
      <w:r w:rsidR="008C5590">
        <w:rPr>
          <w:rFonts w:cstheme="minorHAnsi"/>
          <w:sz w:val="24"/>
          <w:szCs w:val="24"/>
        </w:rPr>
        <w:t>not</w:t>
      </w:r>
      <w:r w:rsidR="00307603">
        <w:rPr>
          <w:rFonts w:cstheme="minorHAnsi"/>
          <w:sz w:val="24"/>
          <w:szCs w:val="24"/>
        </w:rPr>
        <w:t xml:space="preserve"> be fully settled.</w:t>
      </w:r>
    </w:p>
    <w:p w14:paraId="23290B11" w14:textId="77777777" w:rsidR="007D27B4" w:rsidRDefault="007D27B4" w:rsidP="005B2076">
      <w:pPr>
        <w:pStyle w:val="CommentText"/>
        <w:jc w:val="both"/>
        <w:rPr>
          <w:rFonts w:cstheme="minorHAnsi"/>
          <w:sz w:val="24"/>
          <w:szCs w:val="24"/>
        </w:rPr>
      </w:pPr>
    </w:p>
    <w:p w14:paraId="3B88CD90" w14:textId="46C715AD" w:rsidR="004F3750" w:rsidRPr="007225BA" w:rsidRDefault="007D27B4" w:rsidP="006220B8">
      <w:pPr>
        <w:pStyle w:val="CommentText"/>
        <w:jc w:val="both"/>
        <w:rPr>
          <w:rFonts w:eastAsia="Times New Roman" w:cstheme="minorHAnsi"/>
          <w:bCs/>
          <w:color w:val="000000"/>
          <w:sz w:val="24"/>
          <w:szCs w:val="24"/>
          <w:lang w:eastAsia="en-GB"/>
        </w:rPr>
      </w:pPr>
      <w:r>
        <w:rPr>
          <w:rFonts w:cstheme="minorHAnsi"/>
          <w:sz w:val="24"/>
          <w:szCs w:val="24"/>
        </w:rPr>
        <w:t>Such an approach sensitises researchers to the potential incoherenc</w:t>
      </w:r>
      <w:r w:rsidR="008C5590">
        <w:rPr>
          <w:rFonts w:cstheme="minorHAnsi"/>
          <w:sz w:val="24"/>
          <w:szCs w:val="24"/>
        </w:rPr>
        <w:t>e</w:t>
      </w:r>
      <w:r>
        <w:rPr>
          <w:rFonts w:cstheme="minorHAnsi"/>
          <w:sz w:val="24"/>
          <w:szCs w:val="24"/>
        </w:rPr>
        <w:t xml:space="preserve"> of governance arrangements, and to potential </w:t>
      </w:r>
      <w:r w:rsidR="00307603">
        <w:rPr>
          <w:rFonts w:cstheme="minorHAnsi"/>
          <w:sz w:val="24"/>
          <w:szCs w:val="24"/>
        </w:rPr>
        <w:t xml:space="preserve">causes of </w:t>
      </w:r>
      <w:r>
        <w:rPr>
          <w:rFonts w:cstheme="minorHAnsi"/>
          <w:sz w:val="24"/>
          <w:szCs w:val="24"/>
        </w:rPr>
        <w:t>vulnerability</w:t>
      </w:r>
      <w:r w:rsidR="008C5590">
        <w:rPr>
          <w:rFonts w:cstheme="minorHAnsi"/>
          <w:sz w:val="24"/>
          <w:szCs w:val="24"/>
        </w:rPr>
        <w:t xml:space="preserve">. </w:t>
      </w:r>
      <w:r w:rsidR="004F3750" w:rsidRPr="007225BA">
        <w:rPr>
          <w:rFonts w:eastAsia="Times New Roman" w:cstheme="minorHAnsi"/>
          <w:bCs/>
          <w:color w:val="000000"/>
          <w:sz w:val="24"/>
          <w:szCs w:val="24"/>
          <w:lang w:eastAsia="en-GB"/>
        </w:rPr>
        <w:t xml:space="preserve">In the next section we </w:t>
      </w:r>
      <w:r>
        <w:rPr>
          <w:rFonts w:eastAsia="Times New Roman" w:cstheme="minorHAnsi"/>
          <w:bCs/>
          <w:color w:val="000000"/>
          <w:sz w:val="24"/>
          <w:szCs w:val="24"/>
          <w:lang w:eastAsia="en-GB"/>
        </w:rPr>
        <w:t xml:space="preserve">apply this thinking to </w:t>
      </w:r>
      <w:r w:rsidR="00307603">
        <w:rPr>
          <w:rFonts w:eastAsia="Times New Roman" w:cstheme="minorHAnsi"/>
          <w:bCs/>
          <w:color w:val="000000"/>
          <w:sz w:val="24"/>
          <w:szCs w:val="24"/>
          <w:lang w:eastAsia="en-GB"/>
        </w:rPr>
        <w:t xml:space="preserve">spatial planning for </w:t>
      </w:r>
      <w:proofErr w:type="gramStart"/>
      <w:r w:rsidR="00307603">
        <w:rPr>
          <w:rFonts w:eastAsia="Times New Roman" w:cstheme="minorHAnsi"/>
          <w:bCs/>
          <w:color w:val="000000"/>
          <w:sz w:val="24"/>
          <w:szCs w:val="24"/>
          <w:lang w:eastAsia="en-GB"/>
        </w:rPr>
        <w:t>on-shore</w:t>
      </w:r>
      <w:proofErr w:type="gramEnd"/>
      <w:r w:rsidR="00307603">
        <w:rPr>
          <w:rFonts w:eastAsia="Times New Roman" w:cstheme="minorHAnsi"/>
          <w:bCs/>
          <w:color w:val="000000"/>
          <w:sz w:val="24"/>
          <w:szCs w:val="24"/>
          <w:lang w:eastAsia="en-GB"/>
        </w:rPr>
        <w:t xml:space="preserve"> wind. </w:t>
      </w:r>
    </w:p>
    <w:p w14:paraId="0A42E38F" w14:textId="77777777" w:rsidR="004F3750" w:rsidRPr="007225BA" w:rsidRDefault="004F3750" w:rsidP="00735E90">
      <w:pPr>
        <w:tabs>
          <w:tab w:val="left" w:pos="0"/>
        </w:tabs>
        <w:spacing w:line="240" w:lineRule="auto"/>
        <w:jc w:val="both"/>
        <w:rPr>
          <w:rFonts w:cstheme="minorHAnsi"/>
          <w:bCs/>
          <w:sz w:val="24"/>
          <w:szCs w:val="24"/>
        </w:rPr>
      </w:pPr>
    </w:p>
    <w:p w14:paraId="54E8FABE" w14:textId="77777777" w:rsidR="004F3750" w:rsidRPr="006A7FE9" w:rsidRDefault="004F3750" w:rsidP="00735E90">
      <w:pPr>
        <w:pStyle w:val="Heading2"/>
        <w:spacing w:before="0" w:line="240" w:lineRule="auto"/>
        <w:rPr>
          <w:rFonts w:asciiTheme="minorHAnsi" w:hAnsiTheme="minorHAnsi" w:cstheme="minorHAnsi"/>
          <w:b/>
          <w:bCs/>
          <w:i/>
          <w:color w:val="auto"/>
          <w:sz w:val="24"/>
          <w:szCs w:val="24"/>
        </w:rPr>
      </w:pPr>
      <w:r w:rsidRPr="006A7FE9">
        <w:rPr>
          <w:rFonts w:asciiTheme="minorHAnsi" w:hAnsiTheme="minorHAnsi" w:cstheme="minorHAnsi"/>
          <w:b/>
          <w:bCs/>
          <w:i/>
          <w:color w:val="auto"/>
          <w:sz w:val="24"/>
          <w:szCs w:val="24"/>
        </w:rPr>
        <w:t>Conceptualising compromises and dilemmas in spatial planning approaches</w:t>
      </w:r>
    </w:p>
    <w:p w14:paraId="08E82DA2" w14:textId="77777777" w:rsidR="004F3750" w:rsidRPr="007225BA" w:rsidRDefault="004F3750" w:rsidP="00735E90">
      <w:pPr>
        <w:spacing w:line="240" w:lineRule="auto"/>
        <w:rPr>
          <w:rFonts w:cstheme="minorHAnsi"/>
          <w:sz w:val="24"/>
          <w:szCs w:val="24"/>
        </w:rPr>
      </w:pPr>
    </w:p>
    <w:p w14:paraId="4E2B54D3" w14:textId="2A288C67" w:rsidR="009E4D7F" w:rsidRPr="006220B8" w:rsidRDefault="004F3750" w:rsidP="006220B8">
      <w:pPr>
        <w:tabs>
          <w:tab w:val="left" w:pos="0"/>
        </w:tabs>
        <w:spacing w:line="240" w:lineRule="auto"/>
        <w:jc w:val="both"/>
        <w:rPr>
          <w:rFonts w:eastAsia="Times New Roman" w:cstheme="minorHAnsi"/>
          <w:bCs/>
          <w:color w:val="000000"/>
          <w:sz w:val="24"/>
          <w:szCs w:val="24"/>
          <w:lang w:eastAsia="en-GB"/>
        </w:rPr>
      </w:pPr>
      <w:r w:rsidRPr="007225BA">
        <w:rPr>
          <w:rFonts w:cstheme="minorHAnsi"/>
          <w:bCs/>
          <w:sz w:val="24"/>
          <w:szCs w:val="24"/>
        </w:rPr>
        <w:t>Table 1 summarises the</w:t>
      </w:r>
      <w:r w:rsidR="00022EA6">
        <w:rPr>
          <w:rFonts w:cstheme="minorHAnsi"/>
          <w:bCs/>
          <w:sz w:val="24"/>
          <w:szCs w:val="24"/>
        </w:rPr>
        <w:t xml:space="preserve"> </w:t>
      </w:r>
      <w:r w:rsidR="00307603">
        <w:rPr>
          <w:rFonts w:cstheme="minorHAnsi"/>
          <w:bCs/>
          <w:sz w:val="24"/>
          <w:szCs w:val="24"/>
        </w:rPr>
        <w:t xml:space="preserve">potential </w:t>
      </w:r>
      <w:r w:rsidRPr="007225BA">
        <w:rPr>
          <w:rFonts w:cstheme="minorHAnsi"/>
          <w:bCs/>
          <w:sz w:val="24"/>
          <w:szCs w:val="24"/>
        </w:rPr>
        <w:t xml:space="preserve">dilemmas that permeate the creation and use of spatial planning approaches. </w:t>
      </w:r>
      <w:r w:rsidR="005B2076">
        <w:rPr>
          <w:rFonts w:eastAsia="Times New Roman" w:cstheme="minorHAnsi"/>
          <w:bCs/>
          <w:color w:val="000000"/>
          <w:sz w:val="24"/>
          <w:szCs w:val="24"/>
          <w:lang w:eastAsia="en-GB"/>
        </w:rPr>
        <w:t>The</w:t>
      </w:r>
      <w:r w:rsidR="008E08D8">
        <w:rPr>
          <w:rFonts w:eastAsia="Times New Roman" w:cstheme="minorHAnsi"/>
          <w:bCs/>
          <w:color w:val="000000"/>
          <w:sz w:val="24"/>
          <w:szCs w:val="24"/>
          <w:lang w:eastAsia="en-GB"/>
        </w:rPr>
        <w:t>y</w:t>
      </w:r>
      <w:r w:rsidR="005B2076">
        <w:rPr>
          <w:rFonts w:eastAsia="Times New Roman" w:cstheme="minorHAnsi"/>
          <w:bCs/>
          <w:color w:val="000000"/>
          <w:sz w:val="24"/>
          <w:szCs w:val="24"/>
          <w:lang w:eastAsia="en-GB"/>
        </w:rPr>
        <w:t xml:space="preserve"> are drawn from the existing wind power, RE and spatial planning </w:t>
      </w:r>
      <w:r w:rsidR="008C5590">
        <w:rPr>
          <w:rFonts w:eastAsia="Times New Roman" w:cstheme="minorHAnsi"/>
          <w:bCs/>
          <w:color w:val="000000"/>
          <w:sz w:val="24"/>
          <w:szCs w:val="24"/>
          <w:lang w:eastAsia="en-GB"/>
        </w:rPr>
        <w:t xml:space="preserve">research </w:t>
      </w:r>
      <w:r w:rsidR="005B2076">
        <w:rPr>
          <w:rFonts w:eastAsia="Times New Roman" w:cstheme="minorHAnsi"/>
          <w:bCs/>
          <w:color w:val="000000"/>
          <w:sz w:val="24"/>
          <w:szCs w:val="24"/>
          <w:lang w:eastAsia="en-GB"/>
        </w:rPr>
        <w:t>literature.</w:t>
      </w:r>
      <w:r w:rsidR="00022EA6">
        <w:rPr>
          <w:rFonts w:eastAsia="Times New Roman" w:cstheme="minorHAnsi"/>
          <w:bCs/>
          <w:color w:val="000000"/>
          <w:sz w:val="24"/>
          <w:szCs w:val="24"/>
          <w:lang w:eastAsia="en-GB"/>
        </w:rPr>
        <w:t xml:space="preserve"> </w:t>
      </w:r>
      <w:r w:rsidRPr="007225BA">
        <w:rPr>
          <w:rFonts w:cstheme="minorHAnsi"/>
          <w:bCs/>
          <w:sz w:val="24"/>
          <w:szCs w:val="24"/>
        </w:rPr>
        <w:t>These dilemmas are integral to the modes of governance that spatial planning approaches entail</w:t>
      </w:r>
      <w:r w:rsidR="008C5590">
        <w:rPr>
          <w:rFonts w:cstheme="minorHAnsi"/>
          <w:sz w:val="24"/>
          <w:szCs w:val="24"/>
        </w:rPr>
        <w:t xml:space="preserve"> because, as compromises between plural and incommensurable principles, there is always the potential for the choices and trade-offs made to generate disagreement.</w:t>
      </w:r>
    </w:p>
    <w:p w14:paraId="6F620C99" w14:textId="77777777" w:rsidR="004F3750" w:rsidRPr="007225BA" w:rsidRDefault="004F3750" w:rsidP="00DE05F9">
      <w:pPr>
        <w:spacing w:line="240" w:lineRule="auto"/>
        <w:jc w:val="both"/>
        <w:rPr>
          <w:rFonts w:cstheme="minorHAnsi"/>
          <w:bCs/>
          <w:sz w:val="24"/>
          <w:szCs w:val="24"/>
        </w:rPr>
      </w:pPr>
    </w:p>
    <w:p w14:paraId="1F8A43A4" w14:textId="77777777" w:rsidR="004F3750" w:rsidRPr="007225BA" w:rsidRDefault="004F3750" w:rsidP="00DE05F9">
      <w:pPr>
        <w:spacing w:line="240" w:lineRule="auto"/>
        <w:jc w:val="both"/>
        <w:rPr>
          <w:rFonts w:cstheme="minorHAnsi"/>
          <w:b/>
          <w:bCs/>
          <w:sz w:val="24"/>
          <w:szCs w:val="24"/>
        </w:rPr>
      </w:pPr>
      <w:r w:rsidRPr="007225BA">
        <w:rPr>
          <w:rFonts w:cstheme="minorHAnsi"/>
          <w:b/>
          <w:bCs/>
          <w:sz w:val="24"/>
          <w:szCs w:val="24"/>
        </w:rPr>
        <w:t>&lt;Insert Table 1 near here&gt;</w:t>
      </w:r>
    </w:p>
    <w:p w14:paraId="1651C060" w14:textId="77777777" w:rsidR="004F3750" w:rsidRPr="007225BA" w:rsidRDefault="004F3750" w:rsidP="00DE05F9">
      <w:pPr>
        <w:spacing w:line="240" w:lineRule="auto"/>
        <w:jc w:val="both"/>
        <w:rPr>
          <w:rFonts w:cstheme="minorHAnsi"/>
          <w:bCs/>
          <w:sz w:val="24"/>
          <w:szCs w:val="24"/>
        </w:rPr>
      </w:pPr>
    </w:p>
    <w:p w14:paraId="594DD586" w14:textId="77777777" w:rsidR="004F3750" w:rsidRPr="007225BA" w:rsidRDefault="004F3750" w:rsidP="001E69C5">
      <w:pPr>
        <w:spacing w:line="240" w:lineRule="auto"/>
        <w:jc w:val="both"/>
        <w:rPr>
          <w:rFonts w:cstheme="minorHAnsi"/>
          <w:bCs/>
          <w:i/>
          <w:sz w:val="24"/>
          <w:szCs w:val="24"/>
        </w:rPr>
      </w:pPr>
      <w:r w:rsidRPr="007225BA">
        <w:rPr>
          <w:rFonts w:cstheme="minorHAnsi"/>
          <w:bCs/>
          <w:i/>
          <w:sz w:val="24"/>
          <w:szCs w:val="24"/>
        </w:rPr>
        <w:t>i) Macro problem framing</w:t>
      </w:r>
    </w:p>
    <w:p w14:paraId="1A056DCB" w14:textId="709F057C" w:rsidR="004F3750" w:rsidRPr="007225BA" w:rsidRDefault="004F3750" w:rsidP="001E69C5">
      <w:pPr>
        <w:tabs>
          <w:tab w:val="left" w:pos="0"/>
        </w:tabs>
        <w:spacing w:line="240" w:lineRule="auto"/>
        <w:jc w:val="both"/>
        <w:rPr>
          <w:rFonts w:cstheme="minorHAnsi"/>
          <w:bCs/>
          <w:sz w:val="24"/>
          <w:szCs w:val="24"/>
        </w:rPr>
      </w:pPr>
      <w:r w:rsidRPr="007225BA">
        <w:rPr>
          <w:rFonts w:cstheme="minorHAnsi"/>
          <w:bCs/>
          <w:sz w:val="24"/>
          <w:szCs w:val="24"/>
        </w:rPr>
        <w:t>Governments generally intervene in the dynamics of RE development because they perceive the status quo to be problematic, but can ‘frame’ the problem (Rein and Schön 1996) in various ways,</w:t>
      </w:r>
      <w:r w:rsidR="00022EA6">
        <w:rPr>
          <w:rFonts w:cstheme="minorHAnsi"/>
          <w:bCs/>
          <w:sz w:val="24"/>
          <w:szCs w:val="24"/>
        </w:rPr>
        <w:t xml:space="preserve"> </w:t>
      </w:r>
      <w:r w:rsidRPr="007225BA">
        <w:rPr>
          <w:rFonts w:cstheme="minorHAnsi"/>
          <w:bCs/>
          <w:sz w:val="24"/>
          <w:szCs w:val="24"/>
        </w:rPr>
        <w:t xml:space="preserve">affecting the </w:t>
      </w:r>
      <w:r w:rsidR="00AD4907">
        <w:rPr>
          <w:rFonts w:cstheme="minorHAnsi"/>
          <w:bCs/>
          <w:sz w:val="24"/>
          <w:szCs w:val="24"/>
        </w:rPr>
        <w:t>construction of</w:t>
      </w:r>
      <w:r w:rsidRPr="007225BA">
        <w:rPr>
          <w:rFonts w:cstheme="minorHAnsi"/>
          <w:bCs/>
          <w:sz w:val="24"/>
          <w:szCs w:val="24"/>
        </w:rPr>
        <w:t xml:space="preserve"> spatial planning approaches</w:t>
      </w:r>
      <w:r w:rsidR="008C5590">
        <w:rPr>
          <w:rFonts w:cstheme="minorHAnsi"/>
          <w:bCs/>
          <w:sz w:val="24"/>
          <w:szCs w:val="24"/>
        </w:rPr>
        <w:t xml:space="preserve"> </w:t>
      </w:r>
      <w:r w:rsidR="00F61F91" w:rsidRPr="007225BA">
        <w:rPr>
          <w:rFonts w:cstheme="minorHAnsi"/>
          <w:bCs/>
          <w:sz w:val="24"/>
          <w:szCs w:val="24"/>
        </w:rPr>
        <w:t>(Leibenath et al 2016)</w:t>
      </w:r>
      <w:r w:rsidRPr="007225BA">
        <w:rPr>
          <w:rFonts w:cstheme="minorHAnsi"/>
          <w:bCs/>
          <w:sz w:val="24"/>
          <w:szCs w:val="24"/>
        </w:rPr>
        <w:t xml:space="preserve">. </w:t>
      </w:r>
      <w:r w:rsidR="00AD4907">
        <w:rPr>
          <w:rFonts w:cstheme="minorHAnsi"/>
          <w:bCs/>
          <w:sz w:val="24"/>
          <w:szCs w:val="24"/>
        </w:rPr>
        <w:t>Often</w:t>
      </w:r>
      <w:r w:rsidRPr="007225BA">
        <w:rPr>
          <w:rFonts w:cstheme="minorHAnsi"/>
          <w:bCs/>
          <w:sz w:val="24"/>
          <w:szCs w:val="24"/>
        </w:rPr>
        <w:t>, the problem frame prioritises ‘the need to expand RE’; governments thus requir</w:t>
      </w:r>
      <w:r w:rsidR="00DE05F9">
        <w:rPr>
          <w:rFonts w:cstheme="minorHAnsi"/>
          <w:bCs/>
          <w:sz w:val="24"/>
          <w:szCs w:val="24"/>
        </w:rPr>
        <w:t>e</w:t>
      </w:r>
      <w:r w:rsidRPr="007225BA">
        <w:rPr>
          <w:rFonts w:cstheme="minorHAnsi"/>
          <w:bCs/>
          <w:sz w:val="24"/>
          <w:szCs w:val="24"/>
        </w:rPr>
        <w:t xml:space="preserve"> that spatial analysis identifies sufficient potential development space to deliver RE capacity targets. However, other rationales can prioritise environmental objectives i.e. a concern that the distribution of RE emerging spontaneously, from individual developer decisions, is suboptimal (e.g. causing severe cumulative effects) and requires control. Spatial planning can also serve other political purposes, for example restricting RE to further other energy policy goals (e.g. nuclear power in France – Nadaï 2007). In addition, the choice to adopt spatial planning approaches at all may reflect wider political attitudes to state steering, markets, or whether cross-</w:t>
      </w:r>
      <w:r w:rsidR="00AD4907">
        <w:rPr>
          <w:rFonts w:cstheme="minorHAnsi"/>
          <w:bCs/>
          <w:sz w:val="24"/>
          <w:szCs w:val="24"/>
        </w:rPr>
        <w:t>territori</w:t>
      </w:r>
      <w:r w:rsidRPr="007225BA">
        <w:rPr>
          <w:rFonts w:cstheme="minorHAnsi"/>
          <w:bCs/>
          <w:sz w:val="24"/>
          <w:szCs w:val="24"/>
        </w:rPr>
        <w:t>al consistency</w:t>
      </w:r>
      <w:r w:rsidR="00AD4907">
        <w:rPr>
          <w:rFonts w:cstheme="minorHAnsi"/>
          <w:bCs/>
          <w:sz w:val="24"/>
          <w:szCs w:val="24"/>
        </w:rPr>
        <w:t xml:space="preserve"> in siting practices</w:t>
      </w:r>
      <w:r w:rsidRPr="007225BA">
        <w:rPr>
          <w:rFonts w:cstheme="minorHAnsi"/>
          <w:bCs/>
          <w:sz w:val="24"/>
          <w:szCs w:val="24"/>
        </w:rPr>
        <w:t xml:space="preserve"> is considered important.</w:t>
      </w:r>
    </w:p>
    <w:p w14:paraId="5D51BEBD" w14:textId="77777777" w:rsidR="004F3750" w:rsidRPr="007225BA" w:rsidRDefault="004F3750" w:rsidP="001E69C5">
      <w:pPr>
        <w:tabs>
          <w:tab w:val="left" w:pos="0"/>
        </w:tabs>
        <w:spacing w:line="240" w:lineRule="auto"/>
        <w:jc w:val="both"/>
        <w:rPr>
          <w:rFonts w:cstheme="minorHAnsi"/>
          <w:bCs/>
          <w:sz w:val="24"/>
          <w:szCs w:val="24"/>
        </w:rPr>
      </w:pPr>
    </w:p>
    <w:p w14:paraId="240F4921" w14:textId="77777777" w:rsidR="004F3750" w:rsidRPr="007225BA" w:rsidRDefault="004F3750" w:rsidP="001E69C5">
      <w:pPr>
        <w:spacing w:line="240" w:lineRule="auto"/>
        <w:jc w:val="both"/>
        <w:rPr>
          <w:rFonts w:cstheme="minorHAnsi"/>
          <w:bCs/>
          <w:i/>
          <w:sz w:val="24"/>
          <w:szCs w:val="24"/>
        </w:rPr>
      </w:pPr>
      <w:r w:rsidRPr="007225BA">
        <w:rPr>
          <w:rFonts w:cstheme="minorHAnsi"/>
          <w:bCs/>
          <w:i/>
          <w:sz w:val="24"/>
          <w:szCs w:val="24"/>
        </w:rPr>
        <w:t>ii) Socio-technical properties</w:t>
      </w:r>
    </w:p>
    <w:p w14:paraId="7975431D" w14:textId="631561CE" w:rsidR="004F3750" w:rsidRPr="007225BA" w:rsidRDefault="004F3750" w:rsidP="001E69C5">
      <w:pPr>
        <w:pStyle w:val="Default"/>
        <w:jc w:val="both"/>
        <w:rPr>
          <w:rFonts w:asciiTheme="minorHAnsi" w:hAnsiTheme="minorHAnsi" w:cstheme="minorHAnsi"/>
          <w:bCs/>
        </w:rPr>
      </w:pPr>
      <w:r w:rsidRPr="007225BA">
        <w:rPr>
          <w:rFonts w:asciiTheme="minorHAnsi" w:hAnsiTheme="minorHAnsi" w:cstheme="minorHAnsi"/>
          <w:bCs/>
          <w:color w:val="auto"/>
        </w:rPr>
        <w:t xml:space="preserve">Here we are concerned with </w:t>
      </w:r>
      <w:r w:rsidRPr="007225BA">
        <w:rPr>
          <w:rFonts w:asciiTheme="minorHAnsi" w:hAnsiTheme="minorHAnsi" w:cstheme="minorHAnsi"/>
          <w:bCs/>
        </w:rPr>
        <w:t xml:space="preserve">which elements of the environment, the technology and energy resource are deemed sufficiently important and practical to </w:t>
      </w:r>
      <w:r w:rsidR="00A77A10">
        <w:rPr>
          <w:rFonts w:asciiTheme="minorHAnsi" w:hAnsiTheme="minorHAnsi" w:cstheme="minorHAnsi"/>
          <w:bCs/>
        </w:rPr>
        <w:t xml:space="preserve">warrant assessment and </w:t>
      </w:r>
      <w:r w:rsidRPr="007225BA">
        <w:rPr>
          <w:rFonts w:asciiTheme="minorHAnsi" w:hAnsiTheme="minorHAnsi" w:cstheme="minorHAnsi"/>
          <w:bCs/>
        </w:rPr>
        <w:t>incorporat</w:t>
      </w:r>
      <w:r w:rsidR="00A77A10">
        <w:rPr>
          <w:rFonts w:asciiTheme="minorHAnsi" w:hAnsiTheme="minorHAnsi" w:cstheme="minorHAnsi"/>
          <w:bCs/>
        </w:rPr>
        <w:t>ion</w:t>
      </w:r>
      <w:r w:rsidRPr="007225BA">
        <w:rPr>
          <w:rFonts w:asciiTheme="minorHAnsi" w:hAnsiTheme="minorHAnsi" w:cstheme="minorHAnsi"/>
          <w:bCs/>
        </w:rPr>
        <w:t xml:space="preserve"> in spatial planning techniques</w:t>
      </w:r>
      <w:r w:rsidRPr="007225BA">
        <w:rPr>
          <w:rFonts w:asciiTheme="minorHAnsi" w:hAnsiTheme="minorHAnsi" w:cstheme="minorHAnsi"/>
        </w:rPr>
        <w:t>. Selectivity is integral to spatial planning approaches, as it is only by extracting characteristics from complex situations, and combining them into new pictures, that government is then able to ‘‘see’ issues at a wider spatial scale’ (Murdoch 2000: 513). Yet by doing so, they are invariably reductionist in their treatment of the territory that they cover</w:t>
      </w:r>
      <w:r w:rsidR="00F61F91">
        <w:rPr>
          <w:rFonts w:asciiTheme="minorHAnsi" w:hAnsiTheme="minorHAnsi" w:cstheme="minorHAnsi"/>
        </w:rPr>
        <w:t xml:space="preserve">, </w:t>
      </w:r>
      <w:r w:rsidRPr="007225BA">
        <w:rPr>
          <w:rFonts w:asciiTheme="minorHAnsi" w:hAnsiTheme="minorHAnsi" w:cstheme="minorHAnsi"/>
          <w:bCs/>
          <w:color w:val="auto"/>
        </w:rPr>
        <w:t xml:space="preserve">reducing </w:t>
      </w:r>
      <w:r w:rsidRPr="007225BA">
        <w:rPr>
          <w:rFonts w:asciiTheme="minorHAnsi" w:hAnsiTheme="minorHAnsi" w:cstheme="minorHAnsi"/>
          <w:bCs/>
        </w:rPr>
        <w:t xml:space="preserve">‘the complex web of socio-ecological relations’ </w:t>
      </w:r>
      <w:r w:rsidRPr="007225BA">
        <w:rPr>
          <w:rFonts w:asciiTheme="minorHAnsi" w:hAnsiTheme="minorHAnsi" w:cstheme="minorHAnsi"/>
          <w:bCs/>
          <w:color w:val="auto"/>
        </w:rPr>
        <w:t>to standard quantifiable measure</w:t>
      </w:r>
      <w:r w:rsidR="00F61F91">
        <w:rPr>
          <w:rFonts w:asciiTheme="minorHAnsi" w:hAnsiTheme="minorHAnsi" w:cstheme="minorHAnsi"/>
          <w:bCs/>
          <w:color w:val="auto"/>
        </w:rPr>
        <w:t>s</w:t>
      </w:r>
      <w:r w:rsidRPr="007225BA">
        <w:rPr>
          <w:rFonts w:asciiTheme="minorHAnsi" w:hAnsiTheme="minorHAnsi" w:cstheme="minorHAnsi"/>
          <w:bCs/>
          <w:color w:val="auto"/>
        </w:rPr>
        <w:t xml:space="preserve"> or lines on maps</w:t>
      </w:r>
      <w:r w:rsidR="00F61F91">
        <w:rPr>
          <w:rFonts w:asciiTheme="minorHAnsi" w:hAnsiTheme="minorHAnsi" w:cstheme="minorHAnsi"/>
          <w:bCs/>
          <w:color w:val="auto"/>
        </w:rPr>
        <w:t xml:space="preserve"> (Flannery et al 2008, p.35)</w:t>
      </w:r>
      <w:r w:rsidRPr="007225BA">
        <w:rPr>
          <w:rFonts w:asciiTheme="minorHAnsi" w:hAnsiTheme="minorHAnsi" w:cstheme="minorHAnsi"/>
          <w:bCs/>
          <w:color w:val="auto"/>
        </w:rPr>
        <w:t>.</w:t>
      </w:r>
    </w:p>
    <w:p w14:paraId="229C9E5B" w14:textId="77777777" w:rsidR="004F3750" w:rsidRPr="007225BA" w:rsidRDefault="004F3750" w:rsidP="001E69C5">
      <w:pPr>
        <w:pStyle w:val="Default"/>
        <w:jc w:val="both"/>
        <w:rPr>
          <w:rFonts w:asciiTheme="minorHAnsi" w:hAnsiTheme="minorHAnsi" w:cstheme="minorHAnsi"/>
        </w:rPr>
      </w:pPr>
    </w:p>
    <w:p w14:paraId="6D73D568" w14:textId="6D036565" w:rsidR="004F3750" w:rsidRPr="007225BA" w:rsidRDefault="004F3750" w:rsidP="001E69C5">
      <w:pPr>
        <w:pStyle w:val="Default"/>
        <w:jc w:val="both"/>
        <w:rPr>
          <w:rFonts w:asciiTheme="minorHAnsi" w:hAnsiTheme="minorHAnsi" w:cstheme="minorHAnsi"/>
          <w:bCs/>
          <w:color w:val="auto"/>
        </w:rPr>
      </w:pPr>
      <w:r w:rsidRPr="007225BA">
        <w:rPr>
          <w:rFonts w:asciiTheme="minorHAnsi" w:hAnsiTheme="minorHAnsi" w:cstheme="minorHAnsi"/>
          <w:bCs/>
          <w:color w:val="auto"/>
        </w:rPr>
        <w:t xml:space="preserve">Selectivity </w:t>
      </w:r>
      <w:r w:rsidR="0022164D">
        <w:rPr>
          <w:rFonts w:asciiTheme="minorHAnsi" w:hAnsiTheme="minorHAnsi" w:cstheme="minorHAnsi"/>
          <w:bCs/>
          <w:color w:val="auto"/>
        </w:rPr>
        <w:t>also arises</w:t>
      </w:r>
      <w:r w:rsidR="00F61F91">
        <w:rPr>
          <w:rFonts w:asciiTheme="minorHAnsi" w:hAnsiTheme="minorHAnsi" w:cstheme="minorHAnsi"/>
          <w:bCs/>
          <w:color w:val="auto"/>
        </w:rPr>
        <w:t xml:space="preserve"> in</w:t>
      </w:r>
      <w:r w:rsidRPr="007225BA">
        <w:rPr>
          <w:rFonts w:asciiTheme="minorHAnsi" w:hAnsiTheme="minorHAnsi" w:cstheme="minorHAnsi"/>
          <w:bCs/>
          <w:color w:val="auto"/>
        </w:rPr>
        <w:t xml:space="preserve"> conception</w:t>
      </w:r>
      <w:r w:rsidR="0022164D">
        <w:rPr>
          <w:rFonts w:asciiTheme="minorHAnsi" w:hAnsiTheme="minorHAnsi" w:cstheme="minorHAnsi"/>
          <w:bCs/>
          <w:color w:val="auto"/>
        </w:rPr>
        <w:t>s</w:t>
      </w:r>
      <w:r w:rsidRPr="007225BA">
        <w:rPr>
          <w:rFonts w:asciiTheme="minorHAnsi" w:hAnsiTheme="minorHAnsi" w:cstheme="minorHAnsi"/>
          <w:bCs/>
          <w:color w:val="auto"/>
        </w:rPr>
        <w:t xml:space="preserve"> of the ‘RE projects’ for which spatial planning techniques are designed. Assumptions may be made about the physical scale of projects that require spatial steering (e.g. typical turbine size). Spatial planning approaches may also vary in how they delimit RE projects, especially in relation to grid infrastructures. In practice, spatial planning approaches may focus solely on siting generation infrastructure and ignore the grid</w:t>
      </w:r>
      <w:r w:rsidR="00307603">
        <w:rPr>
          <w:rFonts w:asciiTheme="minorHAnsi" w:hAnsiTheme="minorHAnsi" w:cstheme="minorHAnsi"/>
          <w:bCs/>
          <w:color w:val="auto"/>
        </w:rPr>
        <w:t>,</w:t>
      </w:r>
      <w:r w:rsidRPr="007225BA">
        <w:rPr>
          <w:rFonts w:asciiTheme="minorHAnsi" w:hAnsiTheme="minorHAnsi" w:cstheme="minorHAnsi"/>
          <w:bCs/>
          <w:color w:val="auto"/>
        </w:rPr>
        <w:t xml:space="preserve"> or treat existing grid capacity as a firm mappable constraint, affecting RE location (Wu et al 2020).</w:t>
      </w:r>
    </w:p>
    <w:p w14:paraId="0FCEFA82" w14:textId="77777777" w:rsidR="004F3750" w:rsidRPr="007225BA" w:rsidRDefault="004F3750" w:rsidP="001E69C5">
      <w:pPr>
        <w:pStyle w:val="Default"/>
        <w:jc w:val="both"/>
        <w:rPr>
          <w:rFonts w:asciiTheme="minorHAnsi" w:hAnsiTheme="minorHAnsi" w:cstheme="minorHAnsi"/>
        </w:rPr>
      </w:pPr>
    </w:p>
    <w:p w14:paraId="126D0D4B" w14:textId="77777777" w:rsidR="004F3750" w:rsidRPr="007225BA" w:rsidRDefault="004F3750" w:rsidP="001E69C5">
      <w:pPr>
        <w:spacing w:line="240" w:lineRule="auto"/>
        <w:jc w:val="both"/>
        <w:rPr>
          <w:rFonts w:cstheme="minorHAnsi"/>
          <w:bCs/>
          <w:i/>
          <w:sz w:val="24"/>
          <w:szCs w:val="24"/>
        </w:rPr>
      </w:pPr>
      <w:r w:rsidRPr="007225BA">
        <w:rPr>
          <w:rFonts w:cstheme="minorHAnsi"/>
          <w:bCs/>
          <w:i/>
          <w:sz w:val="24"/>
          <w:szCs w:val="24"/>
        </w:rPr>
        <w:t>iii) Spatial focus</w:t>
      </w:r>
    </w:p>
    <w:p w14:paraId="7CA3B555" w14:textId="3655B89F" w:rsidR="004F3750" w:rsidRPr="007225BA" w:rsidRDefault="004F3750" w:rsidP="001E69C5">
      <w:pPr>
        <w:pStyle w:val="Default"/>
        <w:jc w:val="both"/>
        <w:rPr>
          <w:rFonts w:asciiTheme="minorHAnsi" w:hAnsiTheme="minorHAnsi" w:cstheme="minorHAnsi"/>
        </w:rPr>
      </w:pPr>
      <w:r w:rsidRPr="007225BA">
        <w:rPr>
          <w:rFonts w:asciiTheme="minorHAnsi" w:hAnsiTheme="minorHAnsi" w:cstheme="minorHAnsi"/>
          <w:bCs/>
          <w:color w:val="auto"/>
        </w:rPr>
        <w:t xml:space="preserve">Adjusting the scale </w:t>
      </w:r>
      <w:r w:rsidR="00014FDD">
        <w:rPr>
          <w:rFonts w:asciiTheme="minorHAnsi" w:hAnsiTheme="minorHAnsi" w:cstheme="minorHAnsi"/>
          <w:bCs/>
          <w:color w:val="auto"/>
        </w:rPr>
        <w:t>at which</w:t>
      </w:r>
      <w:r w:rsidRPr="007225BA">
        <w:rPr>
          <w:rFonts w:asciiTheme="minorHAnsi" w:hAnsiTheme="minorHAnsi" w:cstheme="minorHAnsi"/>
          <w:bCs/>
          <w:color w:val="auto"/>
        </w:rPr>
        <w:t xml:space="preserve"> spatial planning </w:t>
      </w:r>
      <w:r w:rsidR="00014FDD">
        <w:rPr>
          <w:rFonts w:asciiTheme="minorHAnsi" w:hAnsiTheme="minorHAnsi" w:cstheme="minorHAnsi"/>
          <w:bCs/>
          <w:color w:val="auto"/>
        </w:rPr>
        <w:t xml:space="preserve">is conducted </w:t>
      </w:r>
      <w:r w:rsidRPr="007225BA">
        <w:rPr>
          <w:rFonts w:asciiTheme="minorHAnsi" w:hAnsiTheme="minorHAnsi" w:cstheme="minorHAnsi"/>
          <w:bCs/>
          <w:color w:val="auto"/>
        </w:rPr>
        <w:t xml:space="preserve">can be a deliberate strategic choice, entailing an array of governance dilemmas. Widening the spatial scale may better encompass cumulative effects from multiple RE projects, or allow states to evaluate ‘the best’ spatial distribution of facilities across their territory. But increasing the spatial scale can come with fewer, consistent datasets (see Gauglitz et al 2019), and </w:t>
      </w:r>
      <w:r w:rsidR="00F61F91">
        <w:rPr>
          <w:rFonts w:asciiTheme="minorHAnsi" w:hAnsiTheme="minorHAnsi" w:cstheme="minorHAnsi"/>
          <w:bCs/>
          <w:color w:val="auto"/>
        </w:rPr>
        <w:t xml:space="preserve">increase </w:t>
      </w:r>
      <w:r w:rsidRPr="007225BA">
        <w:rPr>
          <w:rFonts w:asciiTheme="minorHAnsi" w:hAnsiTheme="minorHAnsi" w:cstheme="minorHAnsi"/>
          <w:bCs/>
          <w:color w:val="auto"/>
        </w:rPr>
        <w:t>reliance on existing land designations.  Any increasing ‘resolution gap’ with expanding scale ma</w:t>
      </w:r>
      <w:r w:rsidRPr="007225BA">
        <w:rPr>
          <w:rFonts w:asciiTheme="minorHAnsi" w:hAnsiTheme="minorHAnsi" w:cstheme="minorHAnsi"/>
        </w:rPr>
        <w:t>y also blind spatial mapping exercises to the nuances of place that matter most to local publics (Devine-Wright 2011).</w:t>
      </w:r>
    </w:p>
    <w:p w14:paraId="2F707BD6" w14:textId="77777777" w:rsidR="004F3750" w:rsidRPr="007225BA" w:rsidRDefault="004F3750" w:rsidP="001E69C5">
      <w:pPr>
        <w:pStyle w:val="Default"/>
        <w:jc w:val="both"/>
        <w:rPr>
          <w:rFonts w:asciiTheme="minorHAnsi" w:hAnsiTheme="minorHAnsi" w:cstheme="minorHAnsi"/>
          <w:bCs/>
          <w:color w:val="auto"/>
        </w:rPr>
      </w:pPr>
    </w:p>
    <w:p w14:paraId="094B8142" w14:textId="77777777" w:rsidR="004F3750" w:rsidRPr="007225BA" w:rsidRDefault="004F3750" w:rsidP="001E69C5">
      <w:pPr>
        <w:spacing w:line="240" w:lineRule="auto"/>
        <w:jc w:val="both"/>
        <w:rPr>
          <w:rFonts w:cstheme="minorHAnsi"/>
          <w:bCs/>
          <w:i/>
          <w:sz w:val="24"/>
          <w:szCs w:val="24"/>
        </w:rPr>
      </w:pPr>
      <w:r w:rsidRPr="007225BA">
        <w:rPr>
          <w:rFonts w:cstheme="minorHAnsi"/>
          <w:bCs/>
          <w:i/>
          <w:sz w:val="24"/>
          <w:szCs w:val="24"/>
        </w:rPr>
        <w:t>iv) Participation</w:t>
      </w:r>
    </w:p>
    <w:p w14:paraId="30AA8384" w14:textId="1FA25D7C" w:rsidR="004F3750" w:rsidRPr="007225BA" w:rsidRDefault="00446E4C" w:rsidP="001E69C5">
      <w:pPr>
        <w:pStyle w:val="Default"/>
        <w:jc w:val="both"/>
        <w:rPr>
          <w:rFonts w:asciiTheme="minorHAnsi" w:hAnsiTheme="minorHAnsi" w:cstheme="minorHAnsi"/>
          <w:bCs/>
          <w:color w:val="auto"/>
        </w:rPr>
      </w:pPr>
      <w:r>
        <w:rPr>
          <w:rFonts w:asciiTheme="minorHAnsi" w:hAnsiTheme="minorHAnsi" w:cstheme="minorHAnsi"/>
          <w:bCs/>
          <w:color w:val="auto"/>
        </w:rPr>
        <w:lastRenderedPageBreak/>
        <w:t xml:space="preserve">Various analysts have posited ‘better public participation’ as a mechanism for increasing support for </w:t>
      </w:r>
      <w:r w:rsidR="001E69C5">
        <w:rPr>
          <w:rFonts w:asciiTheme="minorHAnsi" w:hAnsiTheme="minorHAnsi" w:cstheme="minorHAnsi"/>
          <w:bCs/>
          <w:color w:val="auto"/>
        </w:rPr>
        <w:t>RE</w:t>
      </w:r>
      <w:r>
        <w:rPr>
          <w:rFonts w:asciiTheme="minorHAnsi" w:hAnsiTheme="minorHAnsi" w:cstheme="minorHAnsi"/>
          <w:bCs/>
          <w:color w:val="auto"/>
        </w:rPr>
        <w:t xml:space="preserve"> decision-making, </w:t>
      </w:r>
      <w:r w:rsidR="00F61F91">
        <w:rPr>
          <w:rFonts w:asciiTheme="minorHAnsi" w:hAnsiTheme="minorHAnsi" w:cstheme="minorHAnsi"/>
        </w:rPr>
        <w:t xml:space="preserve">but </w:t>
      </w:r>
      <w:r>
        <w:rPr>
          <w:rFonts w:asciiTheme="minorHAnsi" w:hAnsiTheme="minorHAnsi" w:cstheme="minorHAnsi"/>
        </w:rPr>
        <w:t>deciding how to open</w:t>
      </w:r>
      <w:r w:rsidR="00F61F91">
        <w:rPr>
          <w:rFonts w:asciiTheme="minorHAnsi" w:hAnsiTheme="minorHAnsi" w:cstheme="minorHAnsi"/>
        </w:rPr>
        <w:t xml:space="preserve"> up spatial planning approaches faces choices, </w:t>
      </w:r>
      <w:proofErr w:type="gramStart"/>
      <w:r w:rsidR="00F61F91">
        <w:rPr>
          <w:rFonts w:asciiTheme="minorHAnsi" w:hAnsiTheme="minorHAnsi" w:cstheme="minorHAnsi"/>
        </w:rPr>
        <w:t>trade-offs</w:t>
      </w:r>
      <w:proofErr w:type="gramEnd"/>
      <w:r w:rsidR="00F61F91">
        <w:rPr>
          <w:rFonts w:asciiTheme="minorHAnsi" w:hAnsiTheme="minorHAnsi" w:cstheme="minorHAnsi"/>
        </w:rPr>
        <w:t xml:space="preserve"> and challenges (Leibenath et al 2016). </w:t>
      </w:r>
      <w:r w:rsidR="004F3750" w:rsidRPr="007225BA">
        <w:rPr>
          <w:rFonts w:asciiTheme="minorHAnsi" w:hAnsiTheme="minorHAnsi" w:cstheme="minorHAnsi"/>
          <w:bCs/>
          <w:color w:val="auto"/>
        </w:rPr>
        <w:t>Modes of governing could entail public participation at various stages: in problem framing, methodology design (selecting variables, attaching weighting, delineating zones) and in operation.</w:t>
      </w:r>
      <w:r w:rsidR="008C5590">
        <w:rPr>
          <w:rFonts w:asciiTheme="minorHAnsi" w:hAnsiTheme="minorHAnsi" w:cstheme="minorHAnsi"/>
          <w:bCs/>
          <w:color w:val="auto"/>
        </w:rPr>
        <w:t xml:space="preserve"> </w:t>
      </w:r>
      <w:r w:rsidR="00F61F91">
        <w:rPr>
          <w:rFonts w:asciiTheme="minorHAnsi" w:hAnsiTheme="minorHAnsi" w:cstheme="minorHAnsi"/>
          <w:bCs/>
          <w:color w:val="auto"/>
        </w:rPr>
        <w:t xml:space="preserve">Whether </w:t>
      </w:r>
      <w:r w:rsidR="004F3750" w:rsidRPr="007225BA">
        <w:rPr>
          <w:rFonts w:asciiTheme="minorHAnsi" w:hAnsiTheme="minorHAnsi" w:cstheme="minorHAnsi"/>
          <w:bCs/>
          <w:color w:val="auto"/>
        </w:rPr>
        <w:t xml:space="preserve">participation </w:t>
      </w:r>
      <w:r w:rsidR="00F61F91">
        <w:rPr>
          <w:rFonts w:asciiTheme="minorHAnsi" w:hAnsiTheme="minorHAnsi" w:cstheme="minorHAnsi"/>
          <w:bCs/>
          <w:color w:val="auto"/>
        </w:rPr>
        <w:t>processes are</w:t>
      </w:r>
      <w:r w:rsidR="004F3750" w:rsidRPr="007225BA">
        <w:rPr>
          <w:rFonts w:asciiTheme="minorHAnsi" w:hAnsiTheme="minorHAnsi" w:cstheme="minorHAnsi"/>
          <w:bCs/>
          <w:color w:val="auto"/>
        </w:rPr>
        <w:t xml:space="preserve"> essentially consultative or more collaborative </w:t>
      </w:r>
      <w:r w:rsidR="00F61F91">
        <w:rPr>
          <w:rFonts w:asciiTheme="minorHAnsi" w:hAnsiTheme="minorHAnsi" w:cstheme="minorHAnsi"/>
          <w:bCs/>
          <w:color w:val="auto"/>
        </w:rPr>
        <w:t>can also</w:t>
      </w:r>
      <w:r w:rsidR="004F3750" w:rsidRPr="007225BA">
        <w:rPr>
          <w:rFonts w:asciiTheme="minorHAnsi" w:hAnsiTheme="minorHAnsi" w:cstheme="minorHAnsi"/>
          <w:bCs/>
          <w:color w:val="auto"/>
        </w:rPr>
        <w:t xml:space="preserve"> shap</w:t>
      </w:r>
      <w:r w:rsidR="00F61F91">
        <w:rPr>
          <w:rFonts w:asciiTheme="minorHAnsi" w:hAnsiTheme="minorHAnsi" w:cstheme="minorHAnsi"/>
          <w:bCs/>
          <w:color w:val="auto"/>
        </w:rPr>
        <w:t>e</w:t>
      </w:r>
      <w:r w:rsidR="004F3750" w:rsidRPr="007225BA">
        <w:rPr>
          <w:rFonts w:asciiTheme="minorHAnsi" w:hAnsiTheme="minorHAnsi" w:cstheme="minorHAnsi"/>
          <w:bCs/>
          <w:color w:val="auto"/>
        </w:rPr>
        <w:t xml:space="preserve"> ‘buy in’ to outcomes (Petersen 2018).  </w:t>
      </w:r>
      <w:r>
        <w:rPr>
          <w:rFonts w:asciiTheme="minorHAnsi" w:hAnsiTheme="minorHAnsi" w:cstheme="minorHAnsi"/>
          <w:bCs/>
          <w:color w:val="auto"/>
        </w:rPr>
        <w:t>Scale is a factor, too</w:t>
      </w:r>
      <w:r w:rsidR="004F3750" w:rsidRPr="007225BA">
        <w:rPr>
          <w:rFonts w:asciiTheme="minorHAnsi" w:hAnsiTheme="minorHAnsi" w:cstheme="minorHAnsi"/>
          <w:bCs/>
          <w:color w:val="auto"/>
        </w:rPr>
        <w:t xml:space="preserve">. Whereas public participation around projects can be intense, </w:t>
      </w:r>
      <w:r w:rsidR="00014FDD">
        <w:rPr>
          <w:rFonts w:asciiTheme="minorHAnsi" w:hAnsiTheme="minorHAnsi" w:cstheme="minorHAnsi"/>
          <w:bCs/>
          <w:color w:val="auto"/>
        </w:rPr>
        <w:t xml:space="preserve">governance </w:t>
      </w:r>
      <w:r w:rsidR="004F3750" w:rsidRPr="007225BA">
        <w:rPr>
          <w:rFonts w:asciiTheme="minorHAnsi" w:hAnsiTheme="minorHAnsi" w:cstheme="minorHAnsi"/>
          <w:bCs/>
          <w:color w:val="auto"/>
        </w:rPr>
        <w:t xml:space="preserve">processes at wider scales tend to be the province of selective, stakeholder-based engagement (Meadowcroft, 2009), </w:t>
      </w:r>
      <w:r w:rsidR="00014FDD">
        <w:rPr>
          <w:rFonts w:asciiTheme="minorHAnsi" w:hAnsiTheme="minorHAnsi" w:cstheme="minorHAnsi"/>
          <w:bCs/>
          <w:color w:val="auto"/>
        </w:rPr>
        <w:t>creating</w:t>
      </w:r>
      <w:r w:rsidR="004F3750" w:rsidRPr="007225BA">
        <w:rPr>
          <w:rFonts w:asciiTheme="minorHAnsi" w:hAnsiTheme="minorHAnsi" w:cstheme="minorHAnsi"/>
          <w:bCs/>
          <w:color w:val="auto"/>
        </w:rPr>
        <w:t xml:space="preserve"> risk</w:t>
      </w:r>
      <w:r w:rsidR="00014FDD">
        <w:rPr>
          <w:rFonts w:asciiTheme="minorHAnsi" w:hAnsiTheme="minorHAnsi" w:cstheme="minorHAnsi"/>
          <w:bCs/>
          <w:color w:val="auto"/>
        </w:rPr>
        <w:t>s</w:t>
      </w:r>
      <w:r w:rsidR="004F3750" w:rsidRPr="007225BA">
        <w:rPr>
          <w:rFonts w:asciiTheme="minorHAnsi" w:hAnsiTheme="minorHAnsi" w:cstheme="minorHAnsi"/>
          <w:bCs/>
          <w:color w:val="auto"/>
        </w:rPr>
        <w:t xml:space="preserve"> that outputs from strategic planning arenas will fail to achieve public support ‘on the ground’.</w:t>
      </w:r>
    </w:p>
    <w:p w14:paraId="18841DD2" w14:textId="77777777" w:rsidR="004F3750" w:rsidRPr="007225BA" w:rsidRDefault="004F3750" w:rsidP="001E69C5">
      <w:pPr>
        <w:pStyle w:val="Default"/>
        <w:jc w:val="both"/>
        <w:rPr>
          <w:rFonts w:asciiTheme="minorHAnsi" w:hAnsiTheme="minorHAnsi" w:cstheme="minorHAnsi"/>
          <w:bCs/>
          <w:color w:val="auto"/>
        </w:rPr>
      </w:pPr>
    </w:p>
    <w:p w14:paraId="1F78C3FA" w14:textId="77777777" w:rsidR="004F3750" w:rsidRPr="007225BA" w:rsidRDefault="004F3750" w:rsidP="001E69C5">
      <w:pPr>
        <w:spacing w:line="240" w:lineRule="auto"/>
        <w:jc w:val="both"/>
        <w:rPr>
          <w:rFonts w:cstheme="minorHAnsi"/>
          <w:bCs/>
          <w:i/>
          <w:sz w:val="24"/>
          <w:szCs w:val="24"/>
        </w:rPr>
      </w:pPr>
      <w:r w:rsidRPr="007225BA">
        <w:rPr>
          <w:rFonts w:cstheme="minorHAnsi"/>
          <w:bCs/>
          <w:i/>
          <w:sz w:val="24"/>
          <w:szCs w:val="24"/>
        </w:rPr>
        <w:t>v) Actor alignment</w:t>
      </w:r>
    </w:p>
    <w:p w14:paraId="77031A9E" w14:textId="14D98621" w:rsidR="004F3750" w:rsidRPr="007225BA" w:rsidRDefault="004F3750" w:rsidP="001E69C5">
      <w:pPr>
        <w:pStyle w:val="Default"/>
        <w:jc w:val="both"/>
        <w:rPr>
          <w:rFonts w:asciiTheme="minorHAnsi" w:hAnsiTheme="minorHAnsi" w:cstheme="minorHAnsi"/>
          <w:bCs/>
          <w:color w:val="auto"/>
        </w:rPr>
      </w:pPr>
      <w:r w:rsidRPr="007225BA">
        <w:rPr>
          <w:rFonts w:asciiTheme="minorHAnsi" w:hAnsiTheme="minorHAnsi" w:cstheme="minorHAnsi"/>
          <w:bCs/>
          <w:color w:val="auto"/>
        </w:rPr>
        <w:t xml:space="preserve">Actor alignment is integral to governance, and </w:t>
      </w:r>
      <w:r w:rsidR="00307603">
        <w:rPr>
          <w:rFonts w:asciiTheme="minorHAnsi" w:hAnsiTheme="minorHAnsi" w:cstheme="minorHAnsi"/>
          <w:bCs/>
          <w:color w:val="auto"/>
        </w:rPr>
        <w:t>intertwined with</w:t>
      </w:r>
      <w:r w:rsidRPr="007225BA">
        <w:rPr>
          <w:rFonts w:asciiTheme="minorHAnsi" w:hAnsiTheme="minorHAnsi" w:cstheme="minorHAnsi"/>
          <w:bCs/>
          <w:color w:val="auto"/>
        </w:rPr>
        <w:t xml:space="preserve"> participation processes, but here we are concerned with two specific aspects. The first concerns how </w:t>
      </w:r>
      <w:r w:rsidR="00446E4C">
        <w:rPr>
          <w:rFonts w:asciiTheme="minorHAnsi" w:hAnsiTheme="minorHAnsi" w:cstheme="minorHAnsi"/>
          <w:bCs/>
          <w:color w:val="auto"/>
        </w:rPr>
        <w:t xml:space="preserve">the </w:t>
      </w:r>
      <w:r w:rsidRPr="007225BA">
        <w:rPr>
          <w:rFonts w:asciiTheme="minorHAnsi" w:hAnsiTheme="minorHAnsi" w:cstheme="minorHAnsi"/>
          <w:bCs/>
          <w:color w:val="auto"/>
        </w:rPr>
        <w:t xml:space="preserve">distribution of power to create and apply spatial planning approaches </w:t>
      </w:r>
      <w:r w:rsidR="00446E4C">
        <w:rPr>
          <w:rFonts w:asciiTheme="minorHAnsi" w:hAnsiTheme="minorHAnsi" w:cstheme="minorHAnsi"/>
          <w:bCs/>
          <w:color w:val="auto"/>
        </w:rPr>
        <w:t xml:space="preserve">is allocated </w:t>
      </w:r>
      <w:r w:rsidRPr="007225BA">
        <w:rPr>
          <w:rFonts w:asciiTheme="minorHAnsi" w:hAnsiTheme="minorHAnsi" w:cstheme="minorHAnsi"/>
          <w:bCs/>
          <w:color w:val="auto"/>
        </w:rPr>
        <w:t xml:space="preserve">across </w:t>
      </w:r>
      <w:r w:rsidR="00014FDD">
        <w:rPr>
          <w:rFonts w:asciiTheme="minorHAnsi" w:hAnsiTheme="minorHAnsi" w:cstheme="minorHAnsi"/>
          <w:bCs/>
          <w:color w:val="auto"/>
        </w:rPr>
        <w:t xml:space="preserve">the </w:t>
      </w:r>
      <w:r w:rsidRPr="007225BA">
        <w:rPr>
          <w:rFonts w:asciiTheme="minorHAnsi" w:hAnsiTheme="minorHAnsi" w:cstheme="minorHAnsi"/>
          <w:bCs/>
          <w:color w:val="auto"/>
        </w:rPr>
        <w:t xml:space="preserve">multiple tiers of government, and how this affects legitimacy and control. </w:t>
      </w:r>
      <w:r w:rsidR="00446E4C">
        <w:rPr>
          <w:rFonts w:asciiTheme="minorHAnsi" w:hAnsiTheme="minorHAnsi" w:cstheme="minorHAnsi"/>
          <w:bCs/>
          <w:color w:val="auto"/>
        </w:rPr>
        <w:t xml:space="preserve">Research shows that ‘top down’ and ‘bottom up’ approaches both have their </w:t>
      </w:r>
      <w:r w:rsidRPr="007225BA">
        <w:rPr>
          <w:rFonts w:asciiTheme="minorHAnsi" w:hAnsiTheme="minorHAnsi" w:cstheme="minorHAnsi"/>
          <w:bCs/>
          <w:color w:val="auto"/>
        </w:rPr>
        <w:t xml:space="preserve">dilemmas. Development zones for on-shore wind created by ‘higher levels’ of government and imposed on localities can face resistance (e.g. Moragues-Faus and Ortiz-Miranda 2010), whereas decentralising responsibility for spatial mapping to local areas risks inconsistency and – in areas with strong politics of landscape protection – under-delivery </w:t>
      </w:r>
      <w:r w:rsidR="00014FDD">
        <w:rPr>
          <w:rFonts w:asciiTheme="minorHAnsi" w:hAnsiTheme="minorHAnsi" w:cstheme="minorHAnsi"/>
          <w:bCs/>
          <w:color w:val="auto"/>
        </w:rPr>
        <w:t xml:space="preserve">of RE </w:t>
      </w:r>
      <w:r w:rsidRPr="007225BA">
        <w:rPr>
          <w:rFonts w:asciiTheme="minorHAnsi" w:hAnsiTheme="minorHAnsi" w:cstheme="minorHAnsi"/>
          <w:bCs/>
          <w:color w:val="auto"/>
        </w:rPr>
        <w:t>(</w:t>
      </w:r>
      <w:r w:rsidR="00446E4C">
        <w:rPr>
          <w:rFonts w:asciiTheme="minorHAnsi" w:hAnsiTheme="minorHAnsi" w:cstheme="minorHAnsi"/>
          <w:bCs/>
          <w:color w:val="auto"/>
        </w:rPr>
        <w:t xml:space="preserve">e.g. </w:t>
      </w:r>
      <w:r w:rsidRPr="007225BA">
        <w:rPr>
          <w:rFonts w:asciiTheme="minorHAnsi" w:hAnsiTheme="minorHAnsi" w:cstheme="minorHAnsi"/>
          <w:bCs/>
          <w:color w:val="auto"/>
        </w:rPr>
        <w:t>González et al 2016). Problems can also arise where powers of policy creation and project decision-making are held by separate levels of government (Petersen 2018).</w:t>
      </w:r>
    </w:p>
    <w:p w14:paraId="4D212692" w14:textId="77777777" w:rsidR="004F3750" w:rsidRPr="007225BA" w:rsidRDefault="004F3750" w:rsidP="00735E90">
      <w:pPr>
        <w:pStyle w:val="Default"/>
        <w:jc w:val="both"/>
        <w:rPr>
          <w:rFonts w:asciiTheme="minorHAnsi" w:hAnsiTheme="minorHAnsi" w:cstheme="minorHAnsi"/>
          <w:bCs/>
          <w:color w:val="auto"/>
        </w:rPr>
      </w:pPr>
    </w:p>
    <w:p w14:paraId="0BD17C98" w14:textId="17CFC8F7" w:rsidR="004F3750" w:rsidRDefault="004F3750" w:rsidP="00735E90">
      <w:pPr>
        <w:pStyle w:val="Default"/>
        <w:jc w:val="both"/>
        <w:rPr>
          <w:rFonts w:asciiTheme="minorHAnsi" w:hAnsiTheme="minorHAnsi" w:cstheme="minorHAnsi"/>
          <w:bCs/>
          <w:color w:val="auto"/>
        </w:rPr>
      </w:pPr>
      <w:r w:rsidRPr="007225BA">
        <w:rPr>
          <w:rFonts w:asciiTheme="minorHAnsi" w:hAnsiTheme="minorHAnsi" w:cstheme="minorHAnsi"/>
          <w:bCs/>
          <w:color w:val="auto"/>
        </w:rPr>
        <w:t xml:space="preserve">The other dimension of actor alignment concerns the regulatory status of the maps and zonings created by spatial planning approaches. Is it obligatory that </w:t>
      </w:r>
      <w:r w:rsidR="00014FDD">
        <w:rPr>
          <w:rFonts w:asciiTheme="minorHAnsi" w:hAnsiTheme="minorHAnsi" w:cstheme="minorHAnsi"/>
          <w:bCs/>
          <w:color w:val="auto"/>
        </w:rPr>
        <w:t xml:space="preserve">individual </w:t>
      </w:r>
      <w:r w:rsidRPr="007225BA">
        <w:rPr>
          <w:rFonts w:asciiTheme="minorHAnsi" w:hAnsiTheme="minorHAnsi" w:cstheme="minorHAnsi"/>
          <w:bCs/>
          <w:color w:val="auto"/>
        </w:rPr>
        <w:t xml:space="preserve">project consent decisions </w:t>
      </w:r>
      <w:r w:rsidR="00014FDD">
        <w:rPr>
          <w:rFonts w:asciiTheme="minorHAnsi" w:hAnsiTheme="minorHAnsi" w:cstheme="minorHAnsi"/>
          <w:bCs/>
          <w:color w:val="auto"/>
        </w:rPr>
        <w:t>comply</w:t>
      </w:r>
      <w:r w:rsidRPr="007225BA">
        <w:rPr>
          <w:rFonts w:asciiTheme="minorHAnsi" w:hAnsiTheme="minorHAnsi" w:cstheme="minorHAnsi"/>
          <w:bCs/>
          <w:color w:val="auto"/>
        </w:rPr>
        <w:t xml:space="preserve"> with them, or are they </w:t>
      </w:r>
      <w:r w:rsidR="008C5590">
        <w:rPr>
          <w:rFonts w:asciiTheme="minorHAnsi" w:hAnsiTheme="minorHAnsi" w:cstheme="minorHAnsi"/>
          <w:bCs/>
          <w:color w:val="auto"/>
        </w:rPr>
        <w:t>purely</w:t>
      </w:r>
      <w:r w:rsidRPr="007225BA">
        <w:rPr>
          <w:rFonts w:asciiTheme="minorHAnsi" w:hAnsiTheme="minorHAnsi" w:cstheme="minorHAnsi"/>
          <w:bCs/>
          <w:color w:val="auto"/>
        </w:rPr>
        <w:t xml:space="preserve"> advisory? The latter allows more flexibility, which may counter-balance the inevitably crudity of the spatial representations produced, but at the expense of steering effect.</w:t>
      </w:r>
    </w:p>
    <w:p w14:paraId="7EA5869E" w14:textId="77777777" w:rsidR="00014FDD" w:rsidRDefault="00014FDD" w:rsidP="00735E90">
      <w:pPr>
        <w:pStyle w:val="Default"/>
        <w:jc w:val="both"/>
        <w:rPr>
          <w:rFonts w:asciiTheme="minorHAnsi" w:hAnsiTheme="minorHAnsi" w:cstheme="minorHAnsi"/>
          <w:bCs/>
          <w:color w:val="auto"/>
        </w:rPr>
      </w:pPr>
    </w:p>
    <w:p w14:paraId="2F2A4C77" w14:textId="77777777" w:rsidR="004F3750" w:rsidRPr="007225BA" w:rsidRDefault="004F3750" w:rsidP="00735E90">
      <w:pPr>
        <w:spacing w:line="240" w:lineRule="auto"/>
        <w:jc w:val="both"/>
        <w:rPr>
          <w:rFonts w:cstheme="minorHAnsi"/>
          <w:sz w:val="24"/>
          <w:szCs w:val="24"/>
        </w:rPr>
      </w:pPr>
    </w:p>
    <w:p w14:paraId="04C44ED2" w14:textId="508DE651" w:rsidR="004F3750" w:rsidRDefault="004F3750" w:rsidP="00735E90">
      <w:pPr>
        <w:autoSpaceDE w:val="0"/>
        <w:autoSpaceDN w:val="0"/>
        <w:adjustRightInd w:val="0"/>
        <w:spacing w:line="240" w:lineRule="auto"/>
        <w:jc w:val="both"/>
        <w:rPr>
          <w:rFonts w:cstheme="minorHAnsi"/>
          <w:sz w:val="24"/>
          <w:szCs w:val="24"/>
        </w:rPr>
      </w:pPr>
      <w:r w:rsidRPr="007225BA">
        <w:rPr>
          <w:rFonts w:cstheme="minorHAnsi"/>
          <w:sz w:val="24"/>
          <w:szCs w:val="24"/>
        </w:rPr>
        <w:t xml:space="preserve">The above </w:t>
      </w:r>
      <w:r w:rsidR="00763926">
        <w:rPr>
          <w:rFonts w:cstheme="minorHAnsi"/>
          <w:sz w:val="24"/>
          <w:szCs w:val="24"/>
        </w:rPr>
        <w:t xml:space="preserve">discussion </w:t>
      </w:r>
      <w:r w:rsidRPr="007225BA">
        <w:rPr>
          <w:rFonts w:cstheme="minorHAnsi"/>
          <w:sz w:val="24"/>
          <w:szCs w:val="24"/>
        </w:rPr>
        <w:t>has highlighted the diverse elements that come together in constructing and mobilising spatial planning approaches.</w:t>
      </w:r>
      <w:r w:rsidR="005E7958">
        <w:rPr>
          <w:rFonts w:cstheme="minorHAnsi"/>
          <w:sz w:val="24"/>
          <w:szCs w:val="24"/>
        </w:rPr>
        <w:t xml:space="preserve"> </w:t>
      </w:r>
      <w:r w:rsidR="00307603">
        <w:t>The trade-offs struck across these elements also shape the space available for market decisions versus state action.</w:t>
      </w:r>
      <w:r w:rsidRPr="007225BA">
        <w:rPr>
          <w:rFonts w:cstheme="minorHAnsi"/>
          <w:sz w:val="24"/>
          <w:szCs w:val="24"/>
        </w:rPr>
        <w:t xml:space="preserve"> Viewing the</w:t>
      </w:r>
      <w:r w:rsidR="00307603">
        <w:rPr>
          <w:rFonts w:cstheme="minorHAnsi"/>
          <w:sz w:val="24"/>
          <w:szCs w:val="24"/>
        </w:rPr>
        <w:t xml:space="preserve"> results</w:t>
      </w:r>
      <w:r w:rsidRPr="007225BA">
        <w:rPr>
          <w:rFonts w:cstheme="minorHAnsi"/>
          <w:sz w:val="24"/>
          <w:szCs w:val="24"/>
        </w:rPr>
        <w:t xml:space="preserve"> as compromises, we argue, provides a useful way of understanding the diversity of modes of governing in which spatial planning approaches can be embedded</w:t>
      </w:r>
      <w:r w:rsidR="00763926">
        <w:rPr>
          <w:rFonts w:cstheme="minorHAnsi"/>
          <w:sz w:val="24"/>
          <w:szCs w:val="24"/>
        </w:rPr>
        <w:t>.</w:t>
      </w:r>
      <w:r w:rsidR="001C496F">
        <w:rPr>
          <w:rFonts w:cstheme="minorHAnsi"/>
          <w:sz w:val="24"/>
          <w:szCs w:val="24"/>
        </w:rPr>
        <w:t xml:space="preserve"> It </w:t>
      </w:r>
      <w:r w:rsidR="00F762A4">
        <w:rPr>
          <w:rFonts w:cstheme="minorHAnsi"/>
          <w:sz w:val="24"/>
          <w:szCs w:val="24"/>
        </w:rPr>
        <w:t xml:space="preserve">also </w:t>
      </w:r>
      <w:r w:rsidR="005E7958">
        <w:rPr>
          <w:rFonts w:cstheme="minorHAnsi"/>
          <w:sz w:val="24"/>
          <w:szCs w:val="24"/>
        </w:rPr>
        <w:t>shows why identifying</w:t>
      </w:r>
      <w:r w:rsidR="001C496F">
        <w:rPr>
          <w:rFonts w:cstheme="minorHAnsi"/>
          <w:sz w:val="24"/>
          <w:szCs w:val="24"/>
        </w:rPr>
        <w:t xml:space="preserve"> the best spatial fit’ or ‘optimal scale</w:t>
      </w:r>
      <w:r w:rsidR="008C5590">
        <w:rPr>
          <w:rFonts w:cstheme="minorHAnsi"/>
          <w:sz w:val="24"/>
          <w:szCs w:val="24"/>
        </w:rPr>
        <w:t>’</w:t>
      </w:r>
      <w:r w:rsidR="00022EA6">
        <w:rPr>
          <w:rFonts w:cstheme="minorHAnsi"/>
          <w:sz w:val="24"/>
          <w:szCs w:val="24"/>
        </w:rPr>
        <w:t xml:space="preserve"> </w:t>
      </w:r>
      <w:r w:rsidR="001C496F">
        <w:rPr>
          <w:rFonts w:cstheme="minorHAnsi"/>
          <w:sz w:val="24"/>
          <w:szCs w:val="24"/>
        </w:rPr>
        <w:t>for addressing an environmental problem can be so indeterminate (</w:t>
      </w:r>
      <w:r w:rsidR="00F762A4">
        <w:rPr>
          <w:rFonts w:cstheme="minorHAnsi"/>
          <w:sz w:val="24"/>
          <w:szCs w:val="24"/>
        </w:rPr>
        <w:t xml:space="preserve">see </w:t>
      </w:r>
      <w:r w:rsidR="001C496F">
        <w:rPr>
          <w:rFonts w:cstheme="minorHAnsi"/>
          <w:sz w:val="24"/>
          <w:szCs w:val="24"/>
        </w:rPr>
        <w:t>Moss and Newig 2010).</w:t>
      </w:r>
      <w:r w:rsidR="00763926">
        <w:rPr>
          <w:rFonts w:cstheme="minorHAnsi"/>
          <w:sz w:val="24"/>
          <w:szCs w:val="24"/>
        </w:rPr>
        <w:t xml:space="preserve"> H</w:t>
      </w:r>
      <w:r w:rsidRPr="007225BA">
        <w:rPr>
          <w:rFonts w:cstheme="minorHAnsi"/>
          <w:sz w:val="24"/>
          <w:szCs w:val="24"/>
        </w:rPr>
        <w:t>ighlighting the trade-offs that permeate the construction</w:t>
      </w:r>
      <w:r w:rsidR="001C496F">
        <w:rPr>
          <w:rFonts w:cstheme="minorHAnsi"/>
          <w:sz w:val="24"/>
          <w:szCs w:val="24"/>
        </w:rPr>
        <w:t xml:space="preserve"> of spatial planning approaches</w:t>
      </w:r>
      <w:r w:rsidRPr="007225BA">
        <w:rPr>
          <w:rFonts w:cstheme="minorHAnsi"/>
          <w:sz w:val="24"/>
          <w:szCs w:val="24"/>
        </w:rPr>
        <w:t xml:space="preserve"> also opens up the prospect of a more nuanced way of explaining the</w:t>
      </w:r>
      <w:r w:rsidR="001C496F">
        <w:rPr>
          <w:rFonts w:cstheme="minorHAnsi"/>
          <w:sz w:val="24"/>
          <w:szCs w:val="24"/>
        </w:rPr>
        <w:t>ir</w:t>
      </w:r>
      <w:r w:rsidRPr="007225BA">
        <w:rPr>
          <w:rFonts w:cstheme="minorHAnsi"/>
          <w:sz w:val="24"/>
          <w:szCs w:val="24"/>
        </w:rPr>
        <w:t xml:space="preserve"> effects</w:t>
      </w:r>
      <w:r w:rsidR="00763926">
        <w:rPr>
          <w:rFonts w:cstheme="minorHAnsi"/>
          <w:sz w:val="24"/>
          <w:szCs w:val="24"/>
        </w:rPr>
        <w:t xml:space="preserve">, </w:t>
      </w:r>
      <w:r w:rsidR="00E638CB">
        <w:rPr>
          <w:rFonts w:cstheme="minorHAnsi"/>
          <w:sz w:val="24"/>
          <w:szCs w:val="24"/>
        </w:rPr>
        <w:t xml:space="preserve">because actors that perceive themselves </w:t>
      </w:r>
      <w:r w:rsidR="00307603">
        <w:rPr>
          <w:rFonts w:cstheme="minorHAnsi"/>
          <w:sz w:val="24"/>
          <w:szCs w:val="24"/>
        </w:rPr>
        <w:t>as losing from</w:t>
      </w:r>
      <w:r w:rsidR="00E638CB">
        <w:rPr>
          <w:rFonts w:cstheme="minorHAnsi"/>
          <w:sz w:val="24"/>
          <w:szCs w:val="24"/>
        </w:rPr>
        <w:t xml:space="preserve"> the compromises struck may seek to resist or destabilise the mode of governing</w:t>
      </w:r>
      <w:r w:rsidRPr="007225BA">
        <w:rPr>
          <w:rFonts w:cstheme="minorHAnsi"/>
          <w:sz w:val="24"/>
          <w:szCs w:val="24"/>
        </w:rPr>
        <w:t xml:space="preserve">. To test these propositions, we now present our analysis of spatial planning approaches </w:t>
      </w:r>
      <w:r w:rsidR="001C496F">
        <w:rPr>
          <w:rFonts w:cstheme="minorHAnsi"/>
          <w:sz w:val="24"/>
          <w:szCs w:val="24"/>
        </w:rPr>
        <w:t xml:space="preserve">for </w:t>
      </w:r>
      <w:proofErr w:type="gramStart"/>
      <w:r w:rsidR="001C496F">
        <w:rPr>
          <w:rFonts w:cstheme="minorHAnsi"/>
          <w:sz w:val="24"/>
          <w:szCs w:val="24"/>
        </w:rPr>
        <w:t>on-shore</w:t>
      </w:r>
      <w:proofErr w:type="gramEnd"/>
      <w:r w:rsidR="001C496F">
        <w:rPr>
          <w:rFonts w:cstheme="minorHAnsi"/>
          <w:sz w:val="24"/>
          <w:szCs w:val="24"/>
        </w:rPr>
        <w:t xml:space="preserve"> wind </w:t>
      </w:r>
      <w:r w:rsidRPr="007225BA">
        <w:rPr>
          <w:rFonts w:cstheme="minorHAnsi"/>
          <w:sz w:val="24"/>
          <w:szCs w:val="24"/>
        </w:rPr>
        <w:t>in Italy and the UK.</w:t>
      </w:r>
    </w:p>
    <w:p w14:paraId="658E768A" w14:textId="77777777" w:rsidR="004F3750" w:rsidRPr="007225BA" w:rsidRDefault="004F3750" w:rsidP="00735E90">
      <w:pPr>
        <w:pStyle w:val="Default"/>
        <w:jc w:val="both"/>
        <w:rPr>
          <w:rFonts w:asciiTheme="minorHAnsi" w:hAnsiTheme="minorHAnsi" w:cstheme="minorHAnsi"/>
          <w:color w:val="auto"/>
        </w:rPr>
      </w:pPr>
    </w:p>
    <w:p w14:paraId="25666D2B" w14:textId="77777777" w:rsidR="004F3750" w:rsidRPr="007225BA" w:rsidRDefault="004F3750" w:rsidP="00735E90">
      <w:pPr>
        <w:pStyle w:val="Default"/>
        <w:jc w:val="both"/>
        <w:rPr>
          <w:rFonts w:asciiTheme="minorHAnsi" w:hAnsiTheme="minorHAnsi" w:cstheme="minorHAnsi"/>
          <w:color w:val="auto"/>
        </w:rPr>
      </w:pPr>
    </w:p>
    <w:p w14:paraId="6576C6B6" w14:textId="77777777" w:rsidR="004F3750" w:rsidRPr="007225BA" w:rsidRDefault="00DF7B0A" w:rsidP="00735E90">
      <w:pPr>
        <w:pStyle w:val="Heading1"/>
        <w:spacing w:before="0" w:line="24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M</w:t>
      </w:r>
      <w:r w:rsidR="004F3750" w:rsidRPr="007225BA">
        <w:rPr>
          <w:rFonts w:asciiTheme="minorHAnsi" w:hAnsiTheme="minorHAnsi" w:cstheme="minorHAnsi"/>
          <w:b/>
          <w:color w:val="auto"/>
          <w:sz w:val="24"/>
          <w:szCs w:val="24"/>
        </w:rPr>
        <w:t>ethod</w:t>
      </w:r>
      <w:r>
        <w:rPr>
          <w:rFonts w:asciiTheme="minorHAnsi" w:hAnsiTheme="minorHAnsi" w:cstheme="minorHAnsi"/>
          <w:b/>
          <w:color w:val="auto"/>
          <w:sz w:val="24"/>
          <w:szCs w:val="24"/>
        </w:rPr>
        <w:t>ology</w:t>
      </w:r>
    </w:p>
    <w:p w14:paraId="18B227E2" w14:textId="77777777" w:rsidR="004F3750" w:rsidRPr="007225BA" w:rsidRDefault="004F3750" w:rsidP="00735E90">
      <w:pPr>
        <w:spacing w:line="240" w:lineRule="auto"/>
        <w:jc w:val="both"/>
        <w:rPr>
          <w:rFonts w:cstheme="minorHAnsi"/>
          <w:sz w:val="24"/>
          <w:szCs w:val="24"/>
          <w:lang w:eastAsia="en-GB"/>
        </w:rPr>
      </w:pPr>
    </w:p>
    <w:p w14:paraId="6BE58167" w14:textId="2445A846" w:rsidR="003E1CA3" w:rsidRDefault="004F3750" w:rsidP="00735E90">
      <w:pPr>
        <w:spacing w:line="240" w:lineRule="auto"/>
        <w:jc w:val="both"/>
        <w:rPr>
          <w:rFonts w:cstheme="minorHAnsi"/>
          <w:sz w:val="24"/>
          <w:szCs w:val="24"/>
          <w:lang w:eastAsia="en-GB"/>
        </w:rPr>
      </w:pPr>
      <w:r w:rsidRPr="007225BA">
        <w:rPr>
          <w:rFonts w:cstheme="minorHAnsi"/>
          <w:sz w:val="24"/>
          <w:szCs w:val="24"/>
          <w:lang w:eastAsia="en-GB"/>
        </w:rPr>
        <w:t>Addressing the question - ‘</w:t>
      </w:r>
      <w:r w:rsidRPr="007225BA">
        <w:rPr>
          <w:rFonts w:cstheme="minorHAnsi"/>
          <w:i/>
          <w:iCs/>
          <w:sz w:val="24"/>
          <w:szCs w:val="24"/>
          <w:lang w:eastAsia="en-GB"/>
        </w:rPr>
        <w:t>what are the governance purposes that spatial planning policies and tools are actually enrolled to perform in practice</w:t>
      </w:r>
      <w:r w:rsidRPr="007225BA">
        <w:rPr>
          <w:rFonts w:cstheme="minorHAnsi"/>
          <w:sz w:val="24"/>
          <w:szCs w:val="24"/>
          <w:lang w:eastAsia="en-GB"/>
        </w:rPr>
        <w:t xml:space="preserve">?’ – requires a research design able to </w:t>
      </w:r>
      <w:r w:rsidR="003E1CA3">
        <w:rPr>
          <w:rFonts w:cstheme="minorHAnsi"/>
          <w:sz w:val="24"/>
          <w:szCs w:val="24"/>
          <w:lang w:eastAsia="en-GB"/>
        </w:rPr>
        <w:t>capture a plurality of</w:t>
      </w:r>
      <w:r w:rsidR="008C5590">
        <w:rPr>
          <w:rFonts w:cstheme="minorHAnsi"/>
          <w:sz w:val="24"/>
          <w:szCs w:val="24"/>
          <w:lang w:eastAsia="en-GB"/>
        </w:rPr>
        <w:t xml:space="preserve"> </w:t>
      </w:r>
      <w:r w:rsidRPr="007225BA">
        <w:rPr>
          <w:rFonts w:cstheme="minorHAnsi"/>
          <w:sz w:val="24"/>
          <w:szCs w:val="24"/>
          <w:lang w:eastAsia="en-GB"/>
        </w:rPr>
        <w:t>modes of governing</w:t>
      </w:r>
      <w:r w:rsidR="0044541F">
        <w:rPr>
          <w:rFonts w:cstheme="minorHAnsi"/>
          <w:sz w:val="24"/>
          <w:szCs w:val="24"/>
          <w:lang w:eastAsia="en-GB"/>
        </w:rPr>
        <w:t>, and their operation over time</w:t>
      </w:r>
      <w:r w:rsidR="00537AF2">
        <w:rPr>
          <w:rFonts w:cstheme="minorHAnsi"/>
          <w:sz w:val="24"/>
          <w:szCs w:val="24"/>
          <w:lang w:eastAsia="en-GB"/>
        </w:rPr>
        <w:t>.</w:t>
      </w:r>
      <w:r w:rsidR="005E7958">
        <w:rPr>
          <w:rFonts w:cstheme="minorHAnsi"/>
          <w:sz w:val="24"/>
          <w:szCs w:val="24"/>
          <w:lang w:eastAsia="en-GB"/>
        </w:rPr>
        <w:t xml:space="preserve"> </w:t>
      </w:r>
      <w:r w:rsidR="003E1CA3">
        <w:rPr>
          <w:rFonts w:cstheme="minorHAnsi"/>
          <w:sz w:val="24"/>
          <w:szCs w:val="24"/>
          <w:lang w:eastAsia="en-GB"/>
        </w:rPr>
        <w:t xml:space="preserve">To </w:t>
      </w:r>
      <w:r w:rsidR="00537AF2">
        <w:rPr>
          <w:rFonts w:cstheme="minorHAnsi"/>
          <w:sz w:val="24"/>
          <w:szCs w:val="24"/>
          <w:lang w:eastAsia="en-GB"/>
        </w:rPr>
        <w:t>deliver this plurality</w:t>
      </w:r>
      <w:r w:rsidR="003E1CA3">
        <w:rPr>
          <w:rFonts w:cstheme="minorHAnsi"/>
          <w:sz w:val="24"/>
          <w:szCs w:val="24"/>
          <w:lang w:eastAsia="en-GB"/>
        </w:rPr>
        <w:t>, the research conducted here compare</w:t>
      </w:r>
      <w:r w:rsidR="00307603">
        <w:rPr>
          <w:rFonts w:cstheme="minorHAnsi"/>
          <w:sz w:val="24"/>
          <w:szCs w:val="24"/>
          <w:lang w:eastAsia="en-GB"/>
        </w:rPr>
        <w:t>s the experiences o</w:t>
      </w:r>
      <w:r w:rsidR="0044541F">
        <w:rPr>
          <w:rFonts w:cstheme="minorHAnsi"/>
          <w:sz w:val="24"/>
          <w:szCs w:val="24"/>
          <w:lang w:eastAsia="en-GB"/>
        </w:rPr>
        <w:t xml:space="preserve">f </w:t>
      </w:r>
      <w:r w:rsidRPr="007225BA">
        <w:rPr>
          <w:rFonts w:cstheme="minorHAnsi"/>
          <w:sz w:val="24"/>
          <w:szCs w:val="24"/>
          <w:lang w:eastAsia="en-GB"/>
        </w:rPr>
        <w:t xml:space="preserve">Italy and the UK, which – in </w:t>
      </w:r>
      <w:r w:rsidRPr="004A1897">
        <w:rPr>
          <w:rFonts w:cstheme="minorHAnsi"/>
          <w:sz w:val="24"/>
          <w:szCs w:val="24"/>
          <w:lang w:eastAsia="en-GB"/>
        </w:rPr>
        <w:t>their contextual similarities and contrasts - confers a number of analytical benefits.  Both Italy and the UK have been subjected to similar pressures for RE expansion</w:t>
      </w:r>
      <w:r w:rsidR="004A1897" w:rsidRPr="004A1897">
        <w:rPr>
          <w:rFonts w:cstheme="minorHAnsi"/>
          <w:sz w:val="24"/>
          <w:szCs w:val="24"/>
          <w:lang w:eastAsia="en-GB"/>
        </w:rPr>
        <w:t xml:space="preserve"> fro</w:t>
      </w:r>
      <w:r w:rsidR="00E45529">
        <w:rPr>
          <w:rFonts w:cstheme="minorHAnsi"/>
          <w:sz w:val="24"/>
          <w:szCs w:val="24"/>
          <w:lang w:eastAsia="en-GB"/>
        </w:rPr>
        <w:t xml:space="preserve">m EU Directives </w:t>
      </w:r>
      <w:r w:rsidR="00E45529" w:rsidRPr="008C5590">
        <w:rPr>
          <w:bCs/>
        </w:rPr>
        <w:t>(</w:t>
      </w:r>
      <w:r w:rsidR="0044541F">
        <w:rPr>
          <w:bCs/>
        </w:rPr>
        <w:t xml:space="preserve">especially </w:t>
      </w:r>
      <w:r w:rsidR="00E45529" w:rsidRPr="008C5590">
        <w:rPr>
          <w:bCs/>
        </w:rPr>
        <w:t>2009/28/EC)</w:t>
      </w:r>
      <w:r w:rsidRPr="004A1897">
        <w:rPr>
          <w:rFonts w:cstheme="minorHAnsi"/>
          <w:sz w:val="24"/>
          <w:szCs w:val="24"/>
          <w:lang w:eastAsia="en-GB"/>
        </w:rPr>
        <w:t xml:space="preserve">. </w:t>
      </w:r>
      <w:r w:rsidRPr="007225BA">
        <w:rPr>
          <w:rFonts w:cstheme="minorHAnsi"/>
          <w:sz w:val="24"/>
          <w:szCs w:val="24"/>
          <w:lang w:eastAsia="en-GB"/>
        </w:rPr>
        <w:t>Coincident with this, both nations have undergo</w:t>
      </w:r>
      <w:r w:rsidR="00307603">
        <w:rPr>
          <w:rFonts w:cstheme="minorHAnsi"/>
          <w:sz w:val="24"/>
          <w:szCs w:val="24"/>
          <w:lang w:eastAsia="en-GB"/>
        </w:rPr>
        <w:t>ne</w:t>
      </w:r>
      <w:r w:rsidRPr="007225BA">
        <w:rPr>
          <w:rFonts w:cstheme="minorHAnsi"/>
          <w:sz w:val="24"/>
          <w:szCs w:val="24"/>
          <w:lang w:eastAsia="en-GB"/>
        </w:rPr>
        <w:t xml:space="preserve"> processes of </w:t>
      </w:r>
      <w:r w:rsidR="00595860">
        <w:rPr>
          <w:rFonts w:cstheme="minorHAnsi"/>
          <w:sz w:val="24"/>
          <w:szCs w:val="24"/>
          <w:lang w:eastAsia="en-GB"/>
        </w:rPr>
        <w:t>governance re-scaling,</w:t>
      </w:r>
      <w:r w:rsidRPr="007225BA">
        <w:rPr>
          <w:rFonts w:cstheme="minorHAnsi"/>
          <w:sz w:val="24"/>
          <w:szCs w:val="24"/>
          <w:lang w:eastAsia="en-GB"/>
        </w:rPr>
        <w:t xml:space="preserve"> embracing aspects of energy and land use p</w:t>
      </w:r>
      <w:r w:rsidR="00307603">
        <w:rPr>
          <w:rFonts w:cstheme="minorHAnsi"/>
          <w:sz w:val="24"/>
          <w:szCs w:val="24"/>
          <w:lang w:eastAsia="en-GB"/>
        </w:rPr>
        <w:t>olicy</w:t>
      </w:r>
      <w:r w:rsidRPr="007225BA">
        <w:rPr>
          <w:rFonts w:cstheme="minorHAnsi"/>
          <w:sz w:val="24"/>
          <w:szCs w:val="24"/>
          <w:lang w:eastAsia="en-GB"/>
        </w:rPr>
        <w:t>. Hence, Italy and the UK share propensities for intra-national divergence of response to the challenges of RE development</w:t>
      </w:r>
      <w:r w:rsidR="00537AF2">
        <w:rPr>
          <w:rFonts w:cstheme="minorHAnsi"/>
          <w:sz w:val="24"/>
          <w:szCs w:val="24"/>
          <w:lang w:eastAsia="en-GB"/>
        </w:rPr>
        <w:t>.</w:t>
      </w:r>
      <w:r w:rsidR="005E7958">
        <w:rPr>
          <w:rFonts w:cstheme="minorHAnsi"/>
          <w:sz w:val="24"/>
          <w:szCs w:val="24"/>
          <w:lang w:eastAsia="en-GB"/>
        </w:rPr>
        <w:t xml:space="preserve"> </w:t>
      </w:r>
      <w:r w:rsidR="00537AF2">
        <w:rPr>
          <w:rFonts w:cstheme="minorHAnsi"/>
          <w:sz w:val="24"/>
          <w:szCs w:val="24"/>
        </w:rPr>
        <w:t xml:space="preserve">The </w:t>
      </w:r>
      <w:r w:rsidR="00537AF2" w:rsidRPr="007225BA">
        <w:rPr>
          <w:rFonts w:cstheme="minorHAnsi"/>
          <w:sz w:val="24"/>
          <w:szCs w:val="24"/>
        </w:rPr>
        <w:t>basic differences in the allocation of formal powers for planning and energy policy that prevail in Italy and the UK</w:t>
      </w:r>
      <w:r w:rsidR="00537AF2">
        <w:rPr>
          <w:rFonts w:cstheme="minorHAnsi"/>
          <w:sz w:val="24"/>
          <w:szCs w:val="24"/>
        </w:rPr>
        <w:t xml:space="preserve"> are outlined in </w:t>
      </w:r>
      <w:r w:rsidR="00537AF2" w:rsidRPr="007225BA">
        <w:rPr>
          <w:rFonts w:cstheme="minorHAnsi"/>
          <w:sz w:val="24"/>
          <w:szCs w:val="24"/>
        </w:rPr>
        <w:t>Table 2</w:t>
      </w:r>
      <w:r w:rsidR="00537AF2">
        <w:rPr>
          <w:rFonts w:cstheme="minorHAnsi"/>
          <w:sz w:val="24"/>
          <w:szCs w:val="24"/>
        </w:rPr>
        <w:t>.</w:t>
      </w:r>
    </w:p>
    <w:p w14:paraId="5EA24F8A" w14:textId="77777777" w:rsidR="003E1CA3" w:rsidRDefault="003E1CA3" w:rsidP="00735E90">
      <w:pPr>
        <w:spacing w:line="240" w:lineRule="auto"/>
        <w:jc w:val="both"/>
        <w:rPr>
          <w:rFonts w:cstheme="minorHAnsi"/>
          <w:sz w:val="24"/>
          <w:szCs w:val="24"/>
          <w:lang w:eastAsia="en-GB"/>
        </w:rPr>
      </w:pPr>
    </w:p>
    <w:p w14:paraId="13D25C8B" w14:textId="77777777" w:rsidR="00537AF2" w:rsidRPr="007225BA" w:rsidRDefault="00537AF2" w:rsidP="00537AF2">
      <w:pPr>
        <w:autoSpaceDE w:val="0"/>
        <w:autoSpaceDN w:val="0"/>
        <w:adjustRightInd w:val="0"/>
        <w:spacing w:line="240" w:lineRule="auto"/>
        <w:jc w:val="both"/>
        <w:rPr>
          <w:rFonts w:cstheme="minorHAnsi"/>
          <w:b/>
          <w:sz w:val="24"/>
          <w:szCs w:val="24"/>
        </w:rPr>
      </w:pPr>
      <w:r w:rsidRPr="007225BA">
        <w:rPr>
          <w:rFonts w:cstheme="minorHAnsi"/>
          <w:b/>
          <w:sz w:val="24"/>
          <w:szCs w:val="24"/>
        </w:rPr>
        <w:t>&lt;Insert Table 2 near here&gt;</w:t>
      </w:r>
    </w:p>
    <w:p w14:paraId="0834FA32" w14:textId="77777777" w:rsidR="00537AF2" w:rsidRDefault="00537AF2" w:rsidP="00735E90">
      <w:pPr>
        <w:spacing w:line="240" w:lineRule="auto"/>
        <w:jc w:val="both"/>
        <w:rPr>
          <w:rFonts w:cstheme="minorHAnsi"/>
          <w:sz w:val="24"/>
          <w:szCs w:val="24"/>
          <w:lang w:eastAsia="en-GB"/>
        </w:rPr>
      </w:pPr>
    </w:p>
    <w:p w14:paraId="736EFE64" w14:textId="043AC320" w:rsidR="003E1CA3" w:rsidRDefault="003E1CA3" w:rsidP="003E1CA3">
      <w:pPr>
        <w:pStyle w:val="CommentText"/>
        <w:jc w:val="both"/>
        <w:rPr>
          <w:rFonts w:eastAsia="Times New Roman" w:cstheme="minorHAnsi"/>
          <w:sz w:val="24"/>
          <w:szCs w:val="24"/>
          <w:lang w:eastAsia="en-GB"/>
        </w:rPr>
      </w:pPr>
      <w:r w:rsidRPr="007225BA">
        <w:rPr>
          <w:rFonts w:cstheme="minorHAnsi"/>
          <w:sz w:val="24"/>
          <w:szCs w:val="24"/>
        </w:rPr>
        <w:t>In Italy, energy only arrived on planning agendas at the start of the 21</w:t>
      </w:r>
      <w:r w:rsidRPr="007225BA">
        <w:rPr>
          <w:rFonts w:cstheme="minorHAnsi"/>
          <w:sz w:val="24"/>
          <w:szCs w:val="24"/>
          <w:vertAlign w:val="superscript"/>
        </w:rPr>
        <w:t>st</w:t>
      </w:r>
      <w:r w:rsidRPr="007225BA">
        <w:rPr>
          <w:rFonts w:cstheme="minorHAnsi"/>
          <w:sz w:val="24"/>
          <w:szCs w:val="24"/>
        </w:rPr>
        <w:t xml:space="preserve"> century </w:t>
      </w:r>
      <w:r w:rsidRPr="007225BA">
        <w:rPr>
          <w:rFonts w:cstheme="minorHAnsi"/>
          <w:noProof/>
          <w:sz w:val="24"/>
          <w:szCs w:val="24"/>
        </w:rPr>
        <w:t>(Alberti et al., 2015)</w:t>
      </w:r>
      <w:r w:rsidRPr="007225BA">
        <w:rPr>
          <w:rFonts w:cstheme="minorHAnsi"/>
          <w:sz w:val="24"/>
          <w:szCs w:val="24"/>
        </w:rPr>
        <w:t xml:space="preserve">, whereupon it became a key object in constitutional changes. The 2001 reform of the Italian Constitution included spatial planning in the list of ‘concurrent’ legislative competences shared by the national and the regional levels </w:t>
      </w:r>
      <w:r w:rsidRPr="007225BA">
        <w:rPr>
          <w:rFonts w:cstheme="minorHAnsi"/>
          <w:noProof/>
          <w:sz w:val="24"/>
          <w:szCs w:val="24"/>
        </w:rPr>
        <w:t>(Servillo and Lingua, 2014)</w:t>
      </w:r>
      <w:r w:rsidRPr="007225BA">
        <w:rPr>
          <w:rFonts w:cstheme="minorHAnsi"/>
          <w:sz w:val="24"/>
          <w:szCs w:val="24"/>
        </w:rPr>
        <w:t xml:space="preserve">. The national government provides an overarching framework for RE development- and the </w:t>
      </w:r>
      <w:r w:rsidR="0044541F">
        <w:rPr>
          <w:rFonts w:cstheme="minorHAnsi"/>
          <w:sz w:val="24"/>
          <w:szCs w:val="24"/>
        </w:rPr>
        <w:t>market support</w:t>
      </w:r>
      <w:r w:rsidRPr="007225BA">
        <w:rPr>
          <w:rFonts w:cstheme="minorHAnsi"/>
          <w:sz w:val="24"/>
          <w:szCs w:val="24"/>
        </w:rPr>
        <w:t xml:space="preserve"> for RE</w:t>
      </w:r>
      <w:r>
        <w:rPr>
          <w:rFonts w:cstheme="minorHAnsi"/>
          <w:sz w:val="24"/>
          <w:szCs w:val="24"/>
        </w:rPr>
        <w:t xml:space="preserve"> promotion </w:t>
      </w:r>
      <w:r w:rsidRPr="007225BA">
        <w:rPr>
          <w:rFonts w:cstheme="minorHAnsi"/>
          <w:sz w:val="24"/>
          <w:szCs w:val="24"/>
        </w:rPr>
        <w:t xml:space="preserve">- while regions have responsibility for </w:t>
      </w:r>
      <w:r w:rsidRPr="007225BA">
        <w:rPr>
          <w:rFonts w:eastAsia="Times New Roman" w:cstheme="minorHAnsi"/>
          <w:sz w:val="24"/>
          <w:szCs w:val="24"/>
          <w:lang w:eastAsia="en-GB"/>
        </w:rPr>
        <w:t>a number of pertinent areas, including regional energy plans for the development of renewable resources, aspects of authorisation procedures and the power to delegate procedures to lower levels</w:t>
      </w:r>
      <w:r>
        <w:rPr>
          <w:rFonts w:cstheme="minorHAnsi"/>
          <w:noProof/>
          <w:sz w:val="24"/>
          <w:szCs w:val="24"/>
        </w:rPr>
        <w:t>.</w:t>
      </w:r>
    </w:p>
    <w:p w14:paraId="0422454F" w14:textId="77777777" w:rsidR="003E1CA3" w:rsidRPr="007225BA" w:rsidRDefault="003E1CA3" w:rsidP="003E1CA3">
      <w:pPr>
        <w:pStyle w:val="CommentText"/>
        <w:jc w:val="both"/>
        <w:rPr>
          <w:rFonts w:cstheme="minorHAnsi"/>
          <w:sz w:val="24"/>
          <w:szCs w:val="24"/>
        </w:rPr>
      </w:pPr>
    </w:p>
    <w:p w14:paraId="31C9884B" w14:textId="290E6CFA" w:rsidR="003E1CA3" w:rsidRPr="007225BA" w:rsidRDefault="003E1CA3" w:rsidP="003E1CA3">
      <w:pPr>
        <w:autoSpaceDE w:val="0"/>
        <w:autoSpaceDN w:val="0"/>
        <w:adjustRightInd w:val="0"/>
        <w:spacing w:line="240" w:lineRule="auto"/>
        <w:jc w:val="both"/>
        <w:rPr>
          <w:rFonts w:cstheme="minorHAnsi"/>
          <w:sz w:val="24"/>
          <w:szCs w:val="24"/>
        </w:rPr>
      </w:pPr>
      <w:r w:rsidRPr="007225BA">
        <w:rPr>
          <w:rFonts w:cstheme="minorHAnsi"/>
          <w:sz w:val="24"/>
          <w:szCs w:val="24"/>
        </w:rPr>
        <w:t xml:space="preserve">In the UK, </w:t>
      </w:r>
      <w:r>
        <w:rPr>
          <w:rFonts w:cstheme="minorHAnsi"/>
          <w:sz w:val="24"/>
          <w:szCs w:val="24"/>
        </w:rPr>
        <w:t>t</w:t>
      </w:r>
      <w:r w:rsidRPr="007225BA">
        <w:rPr>
          <w:rFonts w:cstheme="minorHAnsi"/>
          <w:sz w:val="24"/>
          <w:szCs w:val="24"/>
        </w:rPr>
        <w:t xml:space="preserve">he basic spatial organisation of planning – for RE and for all other development – is characterised by a division of responsibility between national and local government levels. Local councils have the prime role of drawing up local development plans and determining most individual project applications, but do so in the context of national policy guidance that steers their actions, and provision for national determination of ‘major’ energy </w:t>
      </w:r>
      <w:r w:rsidR="00935B89">
        <w:rPr>
          <w:rFonts w:cstheme="minorHAnsi"/>
          <w:sz w:val="24"/>
          <w:szCs w:val="24"/>
        </w:rPr>
        <w:t xml:space="preserve">infrastructure </w:t>
      </w:r>
      <w:r w:rsidRPr="007225BA">
        <w:rPr>
          <w:rFonts w:cstheme="minorHAnsi"/>
          <w:sz w:val="24"/>
          <w:szCs w:val="24"/>
        </w:rPr>
        <w:t>projects</w:t>
      </w:r>
      <w:r w:rsidR="00537AF2">
        <w:rPr>
          <w:rFonts w:cstheme="minorHAnsi"/>
          <w:sz w:val="24"/>
          <w:szCs w:val="24"/>
        </w:rPr>
        <w:t xml:space="preserve"> (</w:t>
      </w:r>
      <w:r w:rsidR="000C6175">
        <w:rPr>
          <w:rFonts w:cstheme="minorHAnsi"/>
          <w:sz w:val="24"/>
          <w:szCs w:val="24"/>
        </w:rPr>
        <w:t xml:space="preserve">for </w:t>
      </w:r>
      <w:r w:rsidR="00537AF2">
        <w:rPr>
          <w:rFonts w:cstheme="minorHAnsi"/>
          <w:sz w:val="24"/>
          <w:szCs w:val="24"/>
        </w:rPr>
        <w:t>d</w:t>
      </w:r>
      <w:r w:rsidR="000C6175">
        <w:rPr>
          <w:rFonts w:cstheme="minorHAnsi"/>
          <w:sz w:val="24"/>
          <w:szCs w:val="24"/>
        </w:rPr>
        <w:t>efinitions see</w:t>
      </w:r>
      <w:r w:rsidR="00537AF2">
        <w:rPr>
          <w:rFonts w:cstheme="minorHAnsi"/>
          <w:sz w:val="24"/>
          <w:szCs w:val="24"/>
        </w:rPr>
        <w:t xml:space="preserve"> Table 2)</w:t>
      </w:r>
      <w:r w:rsidRPr="007225BA">
        <w:rPr>
          <w:rFonts w:cstheme="minorHAnsi"/>
          <w:sz w:val="24"/>
          <w:szCs w:val="24"/>
        </w:rPr>
        <w:t xml:space="preserve">. </w:t>
      </w:r>
      <w:r w:rsidR="0044541F">
        <w:rPr>
          <w:rFonts w:cstheme="minorHAnsi"/>
          <w:sz w:val="24"/>
          <w:szCs w:val="24"/>
        </w:rPr>
        <w:t>T</w:t>
      </w:r>
      <w:r w:rsidRPr="007225BA">
        <w:rPr>
          <w:rFonts w:cstheme="minorHAnsi"/>
          <w:sz w:val="24"/>
          <w:szCs w:val="24"/>
        </w:rPr>
        <w:t xml:space="preserve">here </w:t>
      </w:r>
      <w:r w:rsidR="0044541F">
        <w:rPr>
          <w:rFonts w:cstheme="minorHAnsi"/>
          <w:sz w:val="24"/>
          <w:szCs w:val="24"/>
        </w:rPr>
        <w:t>are</w:t>
      </w:r>
      <w:r w:rsidRPr="007225BA">
        <w:rPr>
          <w:rFonts w:cstheme="minorHAnsi"/>
          <w:sz w:val="24"/>
          <w:szCs w:val="24"/>
        </w:rPr>
        <w:t xml:space="preserve"> no explicit national burden sharing</w:t>
      </w:r>
      <w:r w:rsidR="0044541F">
        <w:rPr>
          <w:rFonts w:cstheme="minorHAnsi"/>
          <w:sz w:val="24"/>
          <w:szCs w:val="24"/>
        </w:rPr>
        <w:t xml:space="preserve"> arrangements for achieving RE goals,</w:t>
      </w:r>
      <w:r w:rsidRPr="007225BA">
        <w:rPr>
          <w:rFonts w:cstheme="minorHAnsi"/>
          <w:sz w:val="24"/>
          <w:szCs w:val="24"/>
        </w:rPr>
        <w:t xml:space="preserve"> a reflection of generally weak intergovernmental coordination. </w:t>
      </w:r>
      <w:r w:rsidR="0044541F">
        <w:rPr>
          <w:rFonts w:cstheme="minorHAnsi"/>
          <w:sz w:val="24"/>
          <w:szCs w:val="24"/>
        </w:rPr>
        <w:t>However, p</w:t>
      </w:r>
      <w:r w:rsidRPr="007225BA">
        <w:rPr>
          <w:rFonts w:cstheme="minorHAnsi"/>
          <w:sz w:val="24"/>
          <w:szCs w:val="24"/>
        </w:rPr>
        <w:t xml:space="preserve">olitical devolution in 1998 gave the government institutions of Northern Ireland, </w:t>
      </w:r>
      <w:proofErr w:type="gramStart"/>
      <w:r w:rsidRPr="007225BA">
        <w:rPr>
          <w:rFonts w:cstheme="minorHAnsi"/>
          <w:sz w:val="24"/>
          <w:szCs w:val="24"/>
        </w:rPr>
        <w:t>Scotland</w:t>
      </w:r>
      <w:proofErr w:type="gramEnd"/>
      <w:r w:rsidRPr="007225BA">
        <w:rPr>
          <w:rFonts w:cstheme="minorHAnsi"/>
          <w:sz w:val="24"/>
          <w:szCs w:val="24"/>
        </w:rPr>
        <w:t xml:space="preserve"> and Wales very significant autonomy over planning, with the UK government taking responsibility for England.</w:t>
      </w:r>
    </w:p>
    <w:p w14:paraId="1B7E7F9D" w14:textId="77777777" w:rsidR="003E1CA3" w:rsidRDefault="003E1CA3" w:rsidP="00735E90">
      <w:pPr>
        <w:spacing w:line="240" w:lineRule="auto"/>
        <w:jc w:val="both"/>
        <w:rPr>
          <w:rFonts w:cstheme="minorHAnsi"/>
          <w:sz w:val="24"/>
          <w:szCs w:val="24"/>
          <w:lang w:eastAsia="en-GB"/>
        </w:rPr>
      </w:pPr>
    </w:p>
    <w:p w14:paraId="5EF25FC2" w14:textId="16B56A3D" w:rsidR="004F3750" w:rsidRDefault="004F3750" w:rsidP="00735E90">
      <w:pPr>
        <w:spacing w:line="240" w:lineRule="auto"/>
        <w:jc w:val="both"/>
        <w:rPr>
          <w:rFonts w:cstheme="minorHAnsi"/>
          <w:sz w:val="24"/>
          <w:szCs w:val="24"/>
        </w:rPr>
      </w:pPr>
      <w:r w:rsidRPr="007225BA">
        <w:rPr>
          <w:rFonts w:cstheme="minorHAnsi"/>
          <w:sz w:val="24"/>
          <w:szCs w:val="24"/>
        </w:rPr>
        <w:t xml:space="preserve">Our </w:t>
      </w:r>
      <w:r w:rsidR="00537AF2">
        <w:rPr>
          <w:rFonts w:cstheme="minorHAnsi"/>
          <w:sz w:val="24"/>
          <w:szCs w:val="24"/>
        </w:rPr>
        <w:t>research</w:t>
      </w:r>
      <w:r w:rsidRPr="007225BA">
        <w:rPr>
          <w:rFonts w:cstheme="minorHAnsi"/>
          <w:sz w:val="24"/>
          <w:szCs w:val="24"/>
        </w:rPr>
        <w:t xml:space="preserve"> embraced two regions in Italy (Tuscany and Apulia), and the four devolved nations of the UK (England, Northern Ireland, </w:t>
      </w:r>
      <w:proofErr w:type="gramStart"/>
      <w:r w:rsidRPr="007225BA">
        <w:rPr>
          <w:rFonts w:cstheme="minorHAnsi"/>
          <w:sz w:val="24"/>
          <w:szCs w:val="24"/>
        </w:rPr>
        <w:t>Scotland</w:t>
      </w:r>
      <w:proofErr w:type="gramEnd"/>
      <w:r w:rsidRPr="007225BA">
        <w:rPr>
          <w:rFonts w:cstheme="minorHAnsi"/>
          <w:sz w:val="24"/>
          <w:szCs w:val="24"/>
        </w:rPr>
        <w:t xml:space="preserve"> and Wales) within their respective national settings</w:t>
      </w:r>
      <w:r w:rsidR="00537AF2">
        <w:rPr>
          <w:rFonts w:cstheme="minorHAnsi"/>
          <w:sz w:val="24"/>
          <w:szCs w:val="24"/>
        </w:rPr>
        <w:t xml:space="preserve"> (see </w:t>
      </w:r>
      <w:r w:rsidR="00307603">
        <w:rPr>
          <w:rFonts w:cstheme="minorHAnsi"/>
          <w:sz w:val="24"/>
          <w:szCs w:val="24"/>
        </w:rPr>
        <w:t>F</w:t>
      </w:r>
      <w:r w:rsidR="00537AF2">
        <w:rPr>
          <w:rFonts w:cstheme="minorHAnsi"/>
          <w:sz w:val="24"/>
          <w:szCs w:val="24"/>
        </w:rPr>
        <w:t xml:space="preserve">igure </w:t>
      </w:r>
      <w:r w:rsidR="00307603">
        <w:rPr>
          <w:rFonts w:cstheme="minorHAnsi"/>
          <w:sz w:val="24"/>
          <w:szCs w:val="24"/>
        </w:rPr>
        <w:t>1</w:t>
      </w:r>
      <w:r w:rsidR="00537AF2">
        <w:rPr>
          <w:rFonts w:cstheme="minorHAnsi"/>
          <w:sz w:val="24"/>
          <w:szCs w:val="24"/>
        </w:rPr>
        <w:t>)</w:t>
      </w:r>
      <w:r w:rsidRPr="007225BA">
        <w:rPr>
          <w:rFonts w:cstheme="minorHAnsi"/>
          <w:sz w:val="24"/>
          <w:szCs w:val="24"/>
        </w:rPr>
        <w:t>.</w:t>
      </w:r>
    </w:p>
    <w:p w14:paraId="48B96A7F" w14:textId="0C3756CB" w:rsidR="0044541F" w:rsidRDefault="0044541F" w:rsidP="00735E90">
      <w:pPr>
        <w:spacing w:line="240" w:lineRule="auto"/>
        <w:jc w:val="both"/>
        <w:rPr>
          <w:rFonts w:cstheme="minorHAnsi"/>
          <w:sz w:val="24"/>
          <w:szCs w:val="24"/>
        </w:rPr>
      </w:pPr>
    </w:p>
    <w:p w14:paraId="7B3ED167" w14:textId="2A80DE7B" w:rsidR="0044541F" w:rsidRPr="007225BA" w:rsidRDefault="0044541F" w:rsidP="0044541F">
      <w:pPr>
        <w:autoSpaceDE w:val="0"/>
        <w:autoSpaceDN w:val="0"/>
        <w:adjustRightInd w:val="0"/>
        <w:spacing w:line="240" w:lineRule="auto"/>
        <w:jc w:val="both"/>
        <w:rPr>
          <w:rFonts w:cstheme="minorHAnsi"/>
          <w:b/>
          <w:sz w:val="24"/>
          <w:szCs w:val="24"/>
        </w:rPr>
      </w:pPr>
      <w:r w:rsidRPr="007225BA">
        <w:rPr>
          <w:rFonts w:cstheme="minorHAnsi"/>
          <w:b/>
          <w:sz w:val="24"/>
          <w:szCs w:val="24"/>
        </w:rPr>
        <w:t xml:space="preserve">&lt;Insert </w:t>
      </w:r>
      <w:r>
        <w:rPr>
          <w:rFonts w:cstheme="minorHAnsi"/>
          <w:b/>
          <w:sz w:val="24"/>
          <w:szCs w:val="24"/>
        </w:rPr>
        <w:t>Figure 1</w:t>
      </w:r>
      <w:r w:rsidRPr="007225BA">
        <w:rPr>
          <w:rFonts w:cstheme="minorHAnsi"/>
          <w:b/>
          <w:sz w:val="24"/>
          <w:szCs w:val="24"/>
        </w:rPr>
        <w:t xml:space="preserve"> near here&gt;</w:t>
      </w:r>
    </w:p>
    <w:p w14:paraId="13507863" w14:textId="77777777" w:rsidR="004F3750" w:rsidRDefault="004F3750" w:rsidP="009F24C4">
      <w:pPr>
        <w:spacing w:line="240" w:lineRule="auto"/>
        <w:jc w:val="both"/>
        <w:rPr>
          <w:rFonts w:cstheme="minorHAnsi"/>
          <w:sz w:val="24"/>
          <w:szCs w:val="24"/>
          <w:lang w:eastAsia="en-GB"/>
        </w:rPr>
      </w:pPr>
    </w:p>
    <w:p w14:paraId="11271874" w14:textId="0E60D3AC" w:rsidR="00537AF2" w:rsidRDefault="00537AF2" w:rsidP="009F24C4">
      <w:pPr>
        <w:spacing w:line="240" w:lineRule="auto"/>
        <w:jc w:val="both"/>
        <w:rPr>
          <w:rFonts w:cstheme="minorHAnsi"/>
          <w:sz w:val="24"/>
          <w:szCs w:val="24"/>
        </w:rPr>
      </w:pPr>
      <w:r>
        <w:rPr>
          <w:rFonts w:cstheme="minorHAnsi"/>
          <w:sz w:val="24"/>
          <w:szCs w:val="24"/>
          <w:lang w:eastAsia="en-GB"/>
        </w:rPr>
        <w:t>The research design also needed a longitudinal element, to tra</w:t>
      </w:r>
      <w:r w:rsidR="00935B89">
        <w:rPr>
          <w:rFonts w:cstheme="minorHAnsi"/>
          <w:sz w:val="24"/>
          <w:szCs w:val="24"/>
          <w:lang w:eastAsia="en-GB"/>
        </w:rPr>
        <w:t>ce the take up, construction,</w:t>
      </w:r>
      <w:r w:rsidR="005E7958">
        <w:rPr>
          <w:rFonts w:cstheme="minorHAnsi"/>
          <w:sz w:val="24"/>
          <w:szCs w:val="24"/>
          <w:lang w:eastAsia="en-GB"/>
        </w:rPr>
        <w:t xml:space="preserve"> </w:t>
      </w:r>
      <w:proofErr w:type="gramStart"/>
      <w:r w:rsidR="00935B89">
        <w:rPr>
          <w:rFonts w:cstheme="minorHAnsi"/>
          <w:sz w:val="24"/>
          <w:szCs w:val="24"/>
          <w:lang w:eastAsia="en-GB"/>
        </w:rPr>
        <w:t>evolution</w:t>
      </w:r>
      <w:proofErr w:type="gramEnd"/>
      <w:r w:rsidR="00935B89">
        <w:rPr>
          <w:rFonts w:cstheme="minorHAnsi"/>
          <w:sz w:val="24"/>
          <w:szCs w:val="24"/>
          <w:lang w:eastAsia="en-GB"/>
        </w:rPr>
        <w:t xml:space="preserve"> and effects</w:t>
      </w:r>
      <w:r>
        <w:rPr>
          <w:rFonts w:cstheme="minorHAnsi"/>
          <w:sz w:val="24"/>
          <w:szCs w:val="24"/>
          <w:lang w:eastAsia="en-GB"/>
        </w:rPr>
        <w:t xml:space="preserve"> of spatial planning approaches over time.</w:t>
      </w:r>
      <w:r w:rsidR="005E7958">
        <w:rPr>
          <w:rFonts w:cstheme="minorHAnsi"/>
          <w:sz w:val="24"/>
          <w:szCs w:val="24"/>
          <w:lang w:eastAsia="en-GB"/>
        </w:rPr>
        <w:t xml:space="preserve"> </w:t>
      </w:r>
      <w:r>
        <w:rPr>
          <w:rFonts w:cstheme="minorHAnsi"/>
          <w:sz w:val="24"/>
          <w:szCs w:val="24"/>
          <w:lang w:eastAsia="en-GB"/>
        </w:rPr>
        <w:t xml:space="preserve">The spine of this analysis was provided by documentary analysis, covering regional and national government documents that contained spatial planning policies or were otherwise relevant to the </w:t>
      </w:r>
      <w:r>
        <w:rPr>
          <w:rFonts w:cstheme="minorHAnsi"/>
          <w:sz w:val="24"/>
          <w:szCs w:val="24"/>
          <w:lang w:eastAsia="en-GB"/>
        </w:rPr>
        <w:lastRenderedPageBreak/>
        <w:t>development and decision-making status of spatial planning approaches</w:t>
      </w:r>
      <w:r w:rsidR="00307603">
        <w:rPr>
          <w:rFonts w:cstheme="minorHAnsi"/>
          <w:sz w:val="24"/>
          <w:szCs w:val="24"/>
          <w:lang w:eastAsia="en-GB"/>
        </w:rPr>
        <w:t xml:space="preserve"> for RE</w:t>
      </w:r>
      <w:r>
        <w:rPr>
          <w:rFonts w:cstheme="minorHAnsi"/>
          <w:sz w:val="24"/>
          <w:szCs w:val="24"/>
          <w:lang w:eastAsia="en-GB"/>
        </w:rPr>
        <w:t>. This included legislation, policy statements, plans and methodological-procedural advice. Documen</w:t>
      </w:r>
      <w:r w:rsidR="006C60AE">
        <w:rPr>
          <w:rFonts w:cstheme="minorHAnsi"/>
          <w:sz w:val="24"/>
          <w:szCs w:val="24"/>
          <w:lang w:eastAsia="en-GB"/>
        </w:rPr>
        <w:t>t</w:t>
      </w:r>
      <w:r>
        <w:rPr>
          <w:rFonts w:cstheme="minorHAnsi"/>
          <w:sz w:val="24"/>
          <w:szCs w:val="24"/>
          <w:lang w:eastAsia="en-GB"/>
        </w:rPr>
        <w:t xml:space="preserve">s were collected from the first stirrings of significant policy interest in RE in the 1990s through to December 2019. </w:t>
      </w:r>
      <w:r w:rsidR="00935B89">
        <w:rPr>
          <w:rFonts w:cstheme="minorHAnsi"/>
          <w:sz w:val="24"/>
          <w:szCs w:val="24"/>
          <w:lang w:eastAsia="en-GB"/>
        </w:rPr>
        <w:t>Documents were</w:t>
      </w:r>
      <w:r w:rsidR="006C60AE">
        <w:rPr>
          <w:rFonts w:cstheme="minorHAnsi"/>
          <w:sz w:val="24"/>
          <w:szCs w:val="24"/>
          <w:lang w:eastAsia="en-GB"/>
        </w:rPr>
        <w:t xml:space="preserve"> supplemented by semi-structured interviews, using blocks of interview data collected by the authors for cognate research projects in which spatial planning </w:t>
      </w:r>
      <w:r w:rsidR="0044541F">
        <w:rPr>
          <w:rFonts w:cstheme="minorHAnsi"/>
          <w:sz w:val="24"/>
          <w:szCs w:val="24"/>
          <w:lang w:eastAsia="en-GB"/>
        </w:rPr>
        <w:t xml:space="preserve">had </w:t>
      </w:r>
      <w:r w:rsidR="006C60AE">
        <w:rPr>
          <w:rFonts w:cstheme="minorHAnsi"/>
          <w:sz w:val="24"/>
          <w:szCs w:val="24"/>
          <w:lang w:eastAsia="en-GB"/>
        </w:rPr>
        <w:t xml:space="preserve">formed an </w:t>
      </w:r>
      <w:r w:rsidR="0044541F">
        <w:rPr>
          <w:rFonts w:cstheme="minorHAnsi"/>
          <w:sz w:val="24"/>
          <w:szCs w:val="24"/>
          <w:lang w:eastAsia="en-GB"/>
        </w:rPr>
        <w:t>important</w:t>
      </w:r>
      <w:r w:rsidR="006C60AE">
        <w:rPr>
          <w:rFonts w:cstheme="minorHAnsi"/>
          <w:sz w:val="24"/>
          <w:szCs w:val="24"/>
          <w:lang w:eastAsia="en-GB"/>
        </w:rPr>
        <w:t xml:space="preserve"> part. This amounted to 23 interviews from Italy (gathered </w:t>
      </w:r>
      <w:r w:rsidR="006C60AE" w:rsidRPr="007225BA">
        <w:rPr>
          <w:rFonts w:cstheme="minorHAnsi"/>
          <w:sz w:val="24"/>
          <w:szCs w:val="24"/>
        </w:rPr>
        <w:t>April and October in 2015 and November 2017</w:t>
      </w:r>
      <w:r w:rsidR="006C60AE">
        <w:rPr>
          <w:rFonts w:cstheme="minorHAnsi"/>
          <w:sz w:val="24"/>
          <w:szCs w:val="24"/>
        </w:rPr>
        <w:t xml:space="preserve">) </w:t>
      </w:r>
      <w:r w:rsidR="006C60AE">
        <w:rPr>
          <w:rFonts w:cstheme="minorHAnsi"/>
          <w:sz w:val="24"/>
          <w:szCs w:val="24"/>
          <w:lang w:eastAsia="en-GB"/>
        </w:rPr>
        <w:t xml:space="preserve">and 98 from the UK (2007-08, 2011-13 and 2017), embracing interviewees from national level and across the relevant regions. Interviews typically lasted one hour, were conducted in the native language of each nation, and were recorded and transcribed. An ‘elite interview’ strategy </w:t>
      </w:r>
      <w:r w:rsidR="00307603">
        <w:rPr>
          <w:rFonts w:cstheme="minorHAnsi"/>
          <w:sz w:val="24"/>
          <w:szCs w:val="24"/>
          <w:lang w:eastAsia="en-GB"/>
        </w:rPr>
        <w:t xml:space="preserve">(Hakim 1987) </w:t>
      </w:r>
      <w:r w:rsidR="006C60AE">
        <w:rPr>
          <w:rFonts w:cstheme="minorHAnsi"/>
          <w:sz w:val="24"/>
          <w:szCs w:val="24"/>
          <w:lang w:eastAsia="en-GB"/>
        </w:rPr>
        <w:t xml:space="preserve">was taken, </w:t>
      </w:r>
      <w:r w:rsidR="00AC69C2">
        <w:rPr>
          <w:rFonts w:cstheme="minorHAnsi"/>
          <w:sz w:val="24"/>
          <w:szCs w:val="24"/>
          <w:lang w:eastAsia="en-GB"/>
        </w:rPr>
        <w:t>selecting</w:t>
      </w:r>
      <w:r w:rsidR="005E7958">
        <w:rPr>
          <w:rFonts w:cstheme="minorHAnsi"/>
          <w:sz w:val="24"/>
          <w:szCs w:val="24"/>
          <w:lang w:eastAsia="en-GB"/>
        </w:rPr>
        <w:t xml:space="preserve"> </w:t>
      </w:r>
      <w:r w:rsidR="00307603">
        <w:rPr>
          <w:rFonts w:cstheme="minorHAnsi"/>
          <w:sz w:val="24"/>
          <w:szCs w:val="24"/>
          <w:lang w:eastAsia="en-GB"/>
        </w:rPr>
        <w:t xml:space="preserve">actors that are integral to the modes of governing: </w:t>
      </w:r>
      <w:r w:rsidR="006C60AE">
        <w:rPr>
          <w:rFonts w:cstheme="minorHAnsi"/>
          <w:sz w:val="24"/>
          <w:szCs w:val="24"/>
          <w:lang w:eastAsia="en-GB"/>
        </w:rPr>
        <w:t xml:space="preserve"> from government (officials and politicians, at local and regional level</w:t>
      </w:r>
      <w:r w:rsidR="005E7958">
        <w:rPr>
          <w:rFonts w:cstheme="minorHAnsi"/>
          <w:sz w:val="24"/>
          <w:szCs w:val="24"/>
          <w:lang w:eastAsia="en-GB"/>
        </w:rPr>
        <w:t>s</w:t>
      </w:r>
      <w:r w:rsidR="006C60AE">
        <w:rPr>
          <w:rFonts w:cstheme="minorHAnsi"/>
          <w:sz w:val="24"/>
          <w:szCs w:val="24"/>
          <w:lang w:eastAsia="en-GB"/>
        </w:rPr>
        <w:t xml:space="preserve">), businesses </w:t>
      </w:r>
      <w:r w:rsidR="006C60AE" w:rsidRPr="007225BA">
        <w:rPr>
          <w:rFonts w:cstheme="minorHAnsi"/>
          <w:sz w:val="24"/>
          <w:szCs w:val="24"/>
        </w:rPr>
        <w:t>(energy developers, grid companies and trade associations) and environmental bodies (governmental and non-governmental)</w:t>
      </w:r>
      <w:r w:rsidR="006C60AE">
        <w:rPr>
          <w:rFonts w:cstheme="minorHAnsi"/>
          <w:sz w:val="24"/>
          <w:szCs w:val="24"/>
        </w:rPr>
        <w:t xml:space="preserve"> that </w:t>
      </w:r>
      <w:r w:rsidR="00307603">
        <w:rPr>
          <w:rFonts w:cstheme="minorHAnsi"/>
          <w:sz w:val="24"/>
          <w:szCs w:val="24"/>
        </w:rPr>
        <w:t>shaped the</w:t>
      </w:r>
      <w:r w:rsidR="006C60AE">
        <w:rPr>
          <w:rFonts w:cstheme="minorHAnsi"/>
          <w:sz w:val="24"/>
          <w:szCs w:val="24"/>
        </w:rPr>
        <w:t xml:space="preserve"> develop</w:t>
      </w:r>
      <w:r w:rsidR="00307603">
        <w:rPr>
          <w:rFonts w:cstheme="minorHAnsi"/>
          <w:sz w:val="24"/>
          <w:szCs w:val="24"/>
        </w:rPr>
        <w:t>ment</w:t>
      </w:r>
      <w:r w:rsidR="006C60AE">
        <w:rPr>
          <w:rFonts w:cstheme="minorHAnsi"/>
          <w:sz w:val="24"/>
          <w:szCs w:val="24"/>
        </w:rPr>
        <w:t>, deliver</w:t>
      </w:r>
      <w:r w:rsidR="0044541F">
        <w:rPr>
          <w:rFonts w:cstheme="minorHAnsi"/>
          <w:sz w:val="24"/>
          <w:szCs w:val="24"/>
        </w:rPr>
        <w:t>y</w:t>
      </w:r>
      <w:r w:rsidR="006C60AE">
        <w:rPr>
          <w:rFonts w:cstheme="minorHAnsi"/>
          <w:sz w:val="24"/>
          <w:szCs w:val="24"/>
        </w:rPr>
        <w:t xml:space="preserve"> or (potentially) </w:t>
      </w:r>
      <w:r w:rsidR="00307603">
        <w:rPr>
          <w:rFonts w:cstheme="minorHAnsi"/>
          <w:sz w:val="24"/>
          <w:szCs w:val="24"/>
        </w:rPr>
        <w:t>contestation of</w:t>
      </w:r>
      <w:r w:rsidR="006C60AE">
        <w:rPr>
          <w:rFonts w:cstheme="minorHAnsi"/>
          <w:sz w:val="24"/>
          <w:szCs w:val="24"/>
        </w:rPr>
        <w:t xml:space="preserve"> spatial planning approaches.</w:t>
      </w:r>
    </w:p>
    <w:p w14:paraId="23E1CD3E" w14:textId="77777777" w:rsidR="006C60AE" w:rsidRDefault="006C60AE" w:rsidP="009F24C4">
      <w:pPr>
        <w:spacing w:line="240" w:lineRule="auto"/>
        <w:jc w:val="both"/>
        <w:rPr>
          <w:rFonts w:cstheme="minorHAnsi"/>
          <w:sz w:val="24"/>
          <w:szCs w:val="24"/>
        </w:rPr>
      </w:pPr>
    </w:p>
    <w:p w14:paraId="288B98B8" w14:textId="4F4B7095" w:rsidR="008F739E" w:rsidRPr="007225BA" w:rsidDel="008F739E" w:rsidRDefault="006C60AE" w:rsidP="008F739E">
      <w:pPr>
        <w:spacing w:line="240" w:lineRule="auto"/>
        <w:jc w:val="both"/>
        <w:rPr>
          <w:rFonts w:cstheme="minorHAnsi"/>
          <w:sz w:val="24"/>
          <w:szCs w:val="24"/>
        </w:rPr>
      </w:pPr>
      <w:r>
        <w:rPr>
          <w:rFonts w:cstheme="minorHAnsi"/>
          <w:sz w:val="24"/>
          <w:szCs w:val="24"/>
        </w:rPr>
        <w:t>Both the documents and interview transcripts were su</w:t>
      </w:r>
      <w:r w:rsidR="008F739E">
        <w:rPr>
          <w:rFonts w:cstheme="minorHAnsi"/>
          <w:sz w:val="24"/>
          <w:szCs w:val="24"/>
        </w:rPr>
        <w:t>bject to thematic analysis (Braun and Clarke 2012)</w:t>
      </w:r>
      <w:r>
        <w:rPr>
          <w:rFonts w:cstheme="minorHAnsi"/>
          <w:sz w:val="24"/>
          <w:szCs w:val="24"/>
        </w:rPr>
        <w:t xml:space="preserve">, </w:t>
      </w:r>
      <w:r w:rsidR="003310F9">
        <w:rPr>
          <w:rFonts w:cstheme="minorHAnsi"/>
          <w:sz w:val="24"/>
          <w:szCs w:val="24"/>
        </w:rPr>
        <w:t xml:space="preserve">focusing on </w:t>
      </w:r>
      <w:r w:rsidR="003310F9" w:rsidRPr="007225BA">
        <w:rPr>
          <w:rFonts w:cstheme="minorHAnsi"/>
          <w:sz w:val="24"/>
          <w:szCs w:val="24"/>
        </w:rPr>
        <w:t xml:space="preserve">deliberations </w:t>
      </w:r>
      <w:r w:rsidR="003310F9">
        <w:rPr>
          <w:rFonts w:cstheme="minorHAnsi"/>
          <w:sz w:val="24"/>
          <w:szCs w:val="24"/>
        </w:rPr>
        <w:t>sur</w:t>
      </w:r>
      <w:r w:rsidR="003310F9" w:rsidRPr="007225BA">
        <w:rPr>
          <w:rFonts w:cstheme="minorHAnsi"/>
          <w:sz w:val="24"/>
          <w:szCs w:val="24"/>
        </w:rPr>
        <w:t>round</w:t>
      </w:r>
      <w:r w:rsidR="003310F9">
        <w:rPr>
          <w:rFonts w:cstheme="minorHAnsi"/>
          <w:sz w:val="24"/>
          <w:szCs w:val="24"/>
        </w:rPr>
        <w:t>ing</w:t>
      </w:r>
      <w:r w:rsidR="003310F9" w:rsidRPr="007225BA">
        <w:rPr>
          <w:rFonts w:cstheme="minorHAnsi"/>
          <w:sz w:val="24"/>
          <w:szCs w:val="24"/>
        </w:rPr>
        <w:t xml:space="preserve"> the </w:t>
      </w:r>
      <w:r w:rsidR="00935B89">
        <w:rPr>
          <w:rFonts w:cstheme="minorHAnsi"/>
          <w:sz w:val="24"/>
          <w:szCs w:val="24"/>
        </w:rPr>
        <w:t xml:space="preserve">merits, </w:t>
      </w:r>
      <w:r w:rsidR="003310F9" w:rsidRPr="007225BA">
        <w:rPr>
          <w:rFonts w:cstheme="minorHAnsi"/>
          <w:sz w:val="24"/>
          <w:szCs w:val="24"/>
        </w:rPr>
        <w:t>utilisation (or not) of spatial planni</w:t>
      </w:r>
      <w:r w:rsidR="003D3436">
        <w:rPr>
          <w:rFonts w:cstheme="minorHAnsi"/>
          <w:sz w:val="24"/>
          <w:szCs w:val="24"/>
        </w:rPr>
        <w:t xml:space="preserve">ng approaches and their effects, in relation to the deployment of </w:t>
      </w:r>
      <w:proofErr w:type="gramStart"/>
      <w:r w:rsidR="003D3436">
        <w:rPr>
          <w:rFonts w:cstheme="minorHAnsi"/>
          <w:sz w:val="24"/>
          <w:szCs w:val="24"/>
        </w:rPr>
        <w:t>on-shore</w:t>
      </w:r>
      <w:proofErr w:type="gramEnd"/>
      <w:r w:rsidR="003D3436">
        <w:rPr>
          <w:rFonts w:cstheme="minorHAnsi"/>
          <w:sz w:val="24"/>
          <w:szCs w:val="24"/>
        </w:rPr>
        <w:t xml:space="preserve"> wind. </w:t>
      </w:r>
      <w:r w:rsidR="008F739E">
        <w:rPr>
          <w:rFonts w:cstheme="minorHAnsi"/>
          <w:sz w:val="24"/>
          <w:szCs w:val="24"/>
        </w:rPr>
        <w:t xml:space="preserve">The themes </w:t>
      </w:r>
      <w:r w:rsidR="00935B89">
        <w:rPr>
          <w:rFonts w:cstheme="minorHAnsi"/>
          <w:sz w:val="24"/>
          <w:szCs w:val="24"/>
        </w:rPr>
        <w:t xml:space="preserve">used reflect the </w:t>
      </w:r>
      <w:r w:rsidR="008F739E">
        <w:rPr>
          <w:rFonts w:cstheme="minorHAnsi"/>
          <w:sz w:val="24"/>
          <w:szCs w:val="24"/>
        </w:rPr>
        <w:t>dimensions of the inherent dilemmas in spatial planning approaches</w:t>
      </w:r>
      <w:r w:rsidR="002D285F">
        <w:rPr>
          <w:rFonts w:cstheme="minorHAnsi"/>
          <w:sz w:val="24"/>
          <w:szCs w:val="24"/>
        </w:rPr>
        <w:t>, as summarised</w:t>
      </w:r>
      <w:r w:rsidR="008F739E">
        <w:rPr>
          <w:rFonts w:cstheme="minorHAnsi"/>
          <w:sz w:val="24"/>
          <w:szCs w:val="24"/>
        </w:rPr>
        <w:t xml:space="preserve"> in Table 1. </w:t>
      </w:r>
      <w:r w:rsidR="002D285F">
        <w:rPr>
          <w:rFonts w:cstheme="minorHAnsi"/>
          <w:sz w:val="24"/>
          <w:szCs w:val="24"/>
        </w:rPr>
        <w:t>In the next section we give the results of this analysis, for Italy and then the UK</w:t>
      </w:r>
      <w:r w:rsidR="00307603">
        <w:rPr>
          <w:rFonts w:cstheme="minorHAnsi"/>
          <w:sz w:val="24"/>
          <w:szCs w:val="24"/>
        </w:rPr>
        <w:t>:</w:t>
      </w:r>
      <w:r w:rsidR="002D285F">
        <w:rPr>
          <w:rFonts w:cstheme="minorHAnsi"/>
          <w:sz w:val="24"/>
          <w:szCs w:val="24"/>
        </w:rPr>
        <w:t xml:space="preserve"> first explain</w:t>
      </w:r>
      <w:r w:rsidR="00307603">
        <w:rPr>
          <w:rFonts w:cstheme="minorHAnsi"/>
          <w:sz w:val="24"/>
          <w:szCs w:val="24"/>
        </w:rPr>
        <w:t>ing</w:t>
      </w:r>
      <w:r w:rsidR="002D285F">
        <w:rPr>
          <w:rFonts w:cstheme="minorHAnsi"/>
          <w:sz w:val="24"/>
          <w:szCs w:val="24"/>
        </w:rPr>
        <w:t xml:space="preserve"> the problem framings within which the notion of spatial planning approaches emerged, then examin</w:t>
      </w:r>
      <w:r w:rsidR="00307603">
        <w:rPr>
          <w:rFonts w:cstheme="minorHAnsi"/>
          <w:sz w:val="24"/>
          <w:szCs w:val="24"/>
        </w:rPr>
        <w:t>ing</w:t>
      </w:r>
      <w:r w:rsidR="002D285F">
        <w:rPr>
          <w:rFonts w:cstheme="minorHAnsi"/>
          <w:sz w:val="24"/>
          <w:szCs w:val="24"/>
        </w:rPr>
        <w:t xml:space="preserve"> the socio-technical properties, scale-based dilemmas and issues of actor alignment that affected their construction and use.</w:t>
      </w:r>
    </w:p>
    <w:p w14:paraId="0E6E927B" w14:textId="77777777" w:rsidR="003310F9" w:rsidRDefault="003310F9" w:rsidP="009F24C4">
      <w:pPr>
        <w:spacing w:line="240" w:lineRule="auto"/>
        <w:jc w:val="both"/>
        <w:rPr>
          <w:rFonts w:cstheme="minorHAnsi"/>
          <w:sz w:val="24"/>
          <w:szCs w:val="24"/>
          <w:lang w:eastAsia="en-GB"/>
        </w:rPr>
      </w:pPr>
    </w:p>
    <w:p w14:paraId="42F61EAC" w14:textId="77777777" w:rsidR="008C19C1" w:rsidRPr="007225BA" w:rsidRDefault="008C19C1" w:rsidP="00735E90">
      <w:pPr>
        <w:spacing w:line="240" w:lineRule="auto"/>
        <w:jc w:val="both"/>
        <w:rPr>
          <w:rFonts w:cstheme="minorHAnsi"/>
          <w:sz w:val="24"/>
          <w:szCs w:val="24"/>
        </w:rPr>
      </w:pPr>
    </w:p>
    <w:p w14:paraId="770389D8" w14:textId="33D181EC" w:rsidR="004F3750" w:rsidRPr="007225BA" w:rsidRDefault="003310F9" w:rsidP="00735E90">
      <w:pPr>
        <w:pStyle w:val="Heading1"/>
        <w:spacing w:before="0" w:line="240" w:lineRule="auto"/>
        <w:rPr>
          <w:rFonts w:asciiTheme="minorHAnsi" w:hAnsiTheme="minorHAnsi" w:cstheme="minorHAnsi"/>
          <w:b/>
          <w:color w:val="auto"/>
          <w:sz w:val="24"/>
          <w:szCs w:val="24"/>
        </w:rPr>
      </w:pPr>
      <w:r>
        <w:rPr>
          <w:rFonts w:asciiTheme="minorHAnsi" w:hAnsiTheme="minorHAnsi" w:cstheme="minorHAnsi"/>
          <w:b/>
          <w:color w:val="auto"/>
          <w:sz w:val="24"/>
          <w:szCs w:val="24"/>
        </w:rPr>
        <w:t>Results: s</w:t>
      </w:r>
      <w:r w:rsidR="004F3750" w:rsidRPr="007225BA">
        <w:rPr>
          <w:rFonts w:asciiTheme="minorHAnsi" w:hAnsiTheme="minorHAnsi" w:cstheme="minorHAnsi"/>
          <w:b/>
          <w:color w:val="auto"/>
          <w:sz w:val="24"/>
          <w:szCs w:val="24"/>
        </w:rPr>
        <w:t>patial planning approaches in practice</w:t>
      </w:r>
    </w:p>
    <w:p w14:paraId="5DCC09BF" w14:textId="77777777" w:rsidR="004F3750" w:rsidRPr="007225BA" w:rsidRDefault="004F3750" w:rsidP="00735E90">
      <w:pPr>
        <w:autoSpaceDE w:val="0"/>
        <w:autoSpaceDN w:val="0"/>
        <w:adjustRightInd w:val="0"/>
        <w:spacing w:line="240" w:lineRule="auto"/>
        <w:jc w:val="both"/>
        <w:rPr>
          <w:rFonts w:cstheme="minorHAnsi"/>
          <w:sz w:val="24"/>
          <w:szCs w:val="24"/>
        </w:rPr>
      </w:pPr>
    </w:p>
    <w:p w14:paraId="779EBBFA" w14:textId="07720631" w:rsidR="004F3750" w:rsidRPr="006A7FE9" w:rsidRDefault="004F3750" w:rsidP="00735E90">
      <w:pPr>
        <w:pStyle w:val="Heading2"/>
        <w:spacing w:before="0" w:line="240" w:lineRule="auto"/>
        <w:jc w:val="both"/>
        <w:rPr>
          <w:rFonts w:asciiTheme="minorHAnsi" w:hAnsiTheme="minorHAnsi" w:cstheme="minorHAnsi"/>
          <w:b/>
          <w:i/>
          <w:color w:val="auto"/>
          <w:sz w:val="24"/>
          <w:szCs w:val="24"/>
        </w:rPr>
      </w:pPr>
      <w:r w:rsidRPr="006A7FE9">
        <w:rPr>
          <w:rFonts w:asciiTheme="minorHAnsi" w:hAnsiTheme="minorHAnsi" w:cstheme="minorHAnsi"/>
          <w:b/>
          <w:i/>
          <w:color w:val="auto"/>
          <w:sz w:val="24"/>
          <w:szCs w:val="24"/>
        </w:rPr>
        <w:t>Italy: Post-hoc catch up of national steering and varie</w:t>
      </w:r>
      <w:r w:rsidR="00762AEF">
        <w:rPr>
          <w:rFonts w:asciiTheme="minorHAnsi" w:hAnsiTheme="minorHAnsi" w:cstheme="minorHAnsi"/>
          <w:b/>
          <w:i/>
          <w:color w:val="auto"/>
          <w:sz w:val="24"/>
          <w:szCs w:val="24"/>
        </w:rPr>
        <w:t>d</w:t>
      </w:r>
      <w:r w:rsidRPr="006A7FE9">
        <w:rPr>
          <w:rFonts w:asciiTheme="minorHAnsi" w:hAnsiTheme="minorHAnsi" w:cstheme="minorHAnsi"/>
          <w:b/>
          <w:i/>
          <w:color w:val="auto"/>
          <w:sz w:val="24"/>
          <w:szCs w:val="24"/>
        </w:rPr>
        <w:t xml:space="preserve"> regional responses</w:t>
      </w:r>
    </w:p>
    <w:p w14:paraId="1F9E4CA0" w14:textId="77777777" w:rsidR="00690AE7" w:rsidRDefault="00690AE7" w:rsidP="00786559">
      <w:pPr>
        <w:pStyle w:val="Heading3"/>
        <w:spacing w:line="240" w:lineRule="auto"/>
        <w:rPr>
          <w:rFonts w:asciiTheme="minorHAnsi" w:hAnsiTheme="minorHAnsi" w:cstheme="minorHAnsi"/>
          <w:b/>
          <w:color w:val="auto"/>
        </w:rPr>
      </w:pPr>
    </w:p>
    <w:p w14:paraId="16EE51B2" w14:textId="77777777" w:rsidR="004F3750" w:rsidRPr="006A7FE9" w:rsidRDefault="004F3750" w:rsidP="00786559">
      <w:pPr>
        <w:pStyle w:val="Heading3"/>
        <w:spacing w:line="240" w:lineRule="auto"/>
        <w:rPr>
          <w:rFonts w:asciiTheme="minorHAnsi" w:hAnsiTheme="minorHAnsi" w:cstheme="minorHAnsi"/>
          <w:i/>
        </w:rPr>
      </w:pPr>
      <w:r w:rsidRPr="006A7FE9">
        <w:rPr>
          <w:rFonts w:asciiTheme="minorHAnsi" w:hAnsiTheme="minorHAnsi" w:cstheme="minorHAnsi"/>
          <w:i/>
          <w:color w:val="auto"/>
        </w:rPr>
        <w:t xml:space="preserve">Problem framing: urgency, economic </w:t>
      </w:r>
      <w:proofErr w:type="gramStart"/>
      <w:r w:rsidRPr="006A7FE9">
        <w:rPr>
          <w:rFonts w:asciiTheme="minorHAnsi" w:hAnsiTheme="minorHAnsi" w:cstheme="minorHAnsi"/>
          <w:i/>
          <w:color w:val="auto"/>
        </w:rPr>
        <w:t>development</w:t>
      </w:r>
      <w:proofErr w:type="gramEnd"/>
      <w:r w:rsidRPr="006A7FE9">
        <w:rPr>
          <w:rFonts w:asciiTheme="minorHAnsi" w:hAnsiTheme="minorHAnsi" w:cstheme="minorHAnsi"/>
          <w:i/>
          <w:color w:val="auto"/>
        </w:rPr>
        <w:t xml:space="preserve"> and environmental sustainability </w:t>
      </w:r>
    </w:p>
    <w:p w14:paraId="4FC0DCA6" w14:textId="77777777" w:rsidR="004F3750" w:rsidRPr="007225BA" w:rsidRDefault="004F3750" w:rsidP="00735E90">
      <w:pPr>
        <w:pStyle w:val="CommentText"/>
        <w:jc w:val="both"/>
        <w:rPr>
          <w:rFonts w:cstheme="minorHAnsi"/>
          <w:sz w:val="24"/>
          <w:szCs w:val="24"/>
        </w:rPr>
      </w:pPr>
    </w:p>
    <w:p w14:paraId="34DDB4FB" w14:textId="79DE97F5" w:rsidR="002D285F" w:rsidRDefault="004F3750" w:rsidP="005E7958">
      <w:pPr>
        <w:autoSpaceDE w:val="0"/>
        <w:autoSpaceDN w:val="0"/>
        <w:adjustRightInd w:val="0"/>
        <w:spacing w:line="240" w:lineRule="auto"/>
        <w:jc w:val="both"/>
        <w:rPr>
          <w:rFonts w:cstheme="minorHAnsi"/>
          <w:bCs/>
          <w:sz w:val="24"/>
          <w:szCs w:val="24"/>
        </w:rPr>
      </w:pPr>
      <w:r w:rsidRPr="007225BA">
        <w:rPr>
          <w:rFonts w:cstheme="minorHAnsi"/>
          <w:sz w:val="24"/>
          <w:szCs w:val="24"/>
        </w:rPr>
        <w:t>In Italy, expanding RE sources has traditionally been seen as a way of increasing security in the energy system, which lacks domestic hydrocarbons. Nevertheless, overall strategy has been heavily influenced by EU</w:t>
      </w:r>
      <w:r w:rsidR="0044541F">
        <w:rPr>
          <w:rFonts w:cstheme="minorHAnsi"/>
          <w:sz w:val="24"/>
          <w:szCs w:val="24"/>
        </w:rPr>
        <w:t xml:space="preserve"> legislation</w:t>
      </w:r>
      <w:r w:rsidRPr="007225BA">
        <w:rPr>
          <w:rFonts w:cstheme="minorHAnsi"/>
          <w:sz w:val="24"/>
          <w:szCs w:val="24"/>
        </w:rPr>
        <w:t xml:space="preserve">. </w:t>
      </w:r>
      <w:r w:rsidRPr="007225BA">
        <w:rPr>
          <w:rFonts w:cstheme="minorHAnsi"/>
          <w:bCs/>
          <w:sz w:val="24"/>
          <w:szCs w:val="24"/>
        </w:rPr>
        <w:t xml:space="preserve">It was clear that reaching the </w:t>
      </w:r>
      <w:r w:rsidR="0044541F">
        <w:rPr>
          <w:rFonts w:cstheme="minorHAnsi"/>
          <w:bCs/>
          <w:sz w:val="24"/>
          <w:szCs w:val="24"/>
        </w:rPr>
        <w:t>target of 17% of energy from renewable sources required by Directive 2009/28/EC</w:t>
      </w:r>
      <w:r w:rsidR="00E61F04">
        <w:rPr>
          <w:rFonts w:cstheme="minorHAnsi"/>
          <w:bCs/>
          <w:sz w:val="24"/>
          <w:szCs w:val="24"/>
        </w:rPr>
        <w:t xml:space="preserve"> necessitat</w:t>
      </w:r>
      <w:r w:rsidRPr="007225BA">
        <w:rPr>
          <w:rFonts w:cstheme="minorHAnsi"/>
          <w:bCs/>
          <w:sz w:val="24"/>
          <w:szCs w:val="24"/>
        </w:rPr>
        <w:t xml:space="preserve">ed a sustained acceleration of development, especially wind and solar </w:t>
      </w:r>
      <w:r w:rsidRPr="007225BA">
        <w:rPr>
          <w:rFonts w:cstheme="minorHAnsi"/>
          <w:bCs/>
          <w:noProof/>
          <w:sz w:val="24"/>
          <w:szCs w:val="24"/>
        </w:rPr>
        <w:t>(MISE, 2010)</w:t>
      </w:r>
      <w:r w:rsidRPr="007225BA">
        <w:rPr>
          <w:rFonts w:cstheme="minorHAnsi"/>
          <w:bCs/>
          <w:sz w:val="24"/>
          <w:szCs w:val="24"/>
        </w:rPr>
        <w:t xml:space="preserve">. </w:t>
      </w:r>
      <w:r w:rsidRPr="007225BA">
        <w:rPr>
          <w:rFonts w:cstheme="minorHAnsi"/>
          <w:sz w:val="24"/>
          <w:szCs w:val="24"/>
        </w:rPr>
        <w:t>RE projects and related infrastructure were therefore considered of national importance, with the national government designating appropriate ways to pursue them. To facilitate RE deployment, there has been a shift in national control from simply promoting RE deployment via economic incentives towards an attempt to regulate the spatial distribution</w:t>
      </w:r>
      <w:r w:rsidR="006C25B9">
        <w:rPr>
          <w:rFonts w:cstheme="minorHAnsi"/>
          <w:sz w:val="24"/>
          <w:szCs w:val="24"/>
        </w:rPr>
        <w:t xml:space="preserve"> of RE</w:t>
      </w:r>
      <w:r w:rsidRPr="007225BA">
        <w:rPr>
          <w:rFonts w:cstheme="minorHAnsi"/>
          <w:sz w:val="24"/>
          <w:szCs w:val="24"/>
        </w:rPr>
        <w:t xml:space="preserve"> (via binding regional target settings, national </w:t>
      </w:r>
      <w:proofErr w:type="gramStart"/>
      <w:r w:rsidRPr="007225BA">
        <w:rPr>
          <w:rFonts w:cstheme="minorHAnsi"/>
          <w:sz w:val="24"/>
          <w:szCs w:val="24"/>
        </w:rPr>
        <w:t>guidelines</w:t>
      </w:r>
      <w:proofErr w:type="gramEnd"/>
      <w:r w:rsidRPr="007225BA">
        <w:rPr>
          <w:rFonts w:cstheme="minorHAnsi"/>
          <w:sz w:val="24"/>
          <w:szCs w:val="24"/>
        </w:rPr>
        <w:t xml:space="preserve"> and simplification of authorisation procedures for RE projects). However, </w:t>
      </w:r>
      <w:r w:rsidRPr="007225BA">
        <w:rPr>
          <w:rFonts w:cstheme="minorHAnsi"/>
          <w:bCs/>
          <w:sz w:val="24"/>
          <w:szCs w:val="24"/>
        </w:rPr>
        <w:t xml:space="preserve">the methodologies to define regional targets and the national guidelines were only published in 2012 </w:t>
      </w:r>
      <w:r w:rsidRPr="007225BA">
        <w:rPr>
          <w:rFonts w:cstheme="minorHAnsi"/>
          <w:bCs/>
          <w:noProof/>
          <w:sz w:val="24"/>
          <w:szCs w:val="24"/>
        </w:rPr>
        <w:t>(DM, 2012)</w:t>
      </w:r>
      <w:r w:rsidRPr="007225BA">
        <w:rPr>
          <w:rFonts w:cstheme="minorHAnsi"/>
          <w:bCs/>
          <w:sz w:val="24"/>
          <w:szCs w:val="24"/>
        </w:rPr>
        <w:t xml:space="preserve"> and 2010 (DM, 2010), respectively.</w:t>
      </w:r>
      <w:r w:rsidR="005E7958">
        <w:rPr>
          <w:rFonts w:cstheme="minorHAnsi"/>
          <w:bCs/>
          <w:sz w:val="24"/>
          <w:szCs w:val="24"/>
        </w:rPr>
        <w:t xml:space="preserve"> </w:t>
      </w:r>
      <w:r w:rsidR="002D285F">
        <w:rPr>
          <w:rFonts w:cstheme="minorHAnsi"/>
          <w:bCs/>
          <w:sz w:val="24"/>
          <w:szCs w:val="24"/>
        </w:rPr>
        <w:t>D</w:t>
      </w:r>
      <w:r w:rsidR="002D285F">
        <w:rPr>
          <w:rFonts w:cstheme="minorHAnsi"/>
          <w:noProof/>
          <w:sz w:val="24"/>
          <w:szCs w:val="24"/>
        </w:rPr>
        <w:t>elays in setting out this</w:t>
      </w:r>
      <w:r w:rsidR="004A1897">
        <w:rPr>
          <w:rFonts w:cstheme="minorHAnsi"/>
          <w:noProof/>
          <w:sz w:val="24"/>
          <w:szCs w:val="24"/>
        </w:rPr>
        <w:t xml:space="preserve"> </w:t>
      </w:r>
      <w:r w:rsidR="003E1CA3" w:rsidRPr="007225BA">
        <w:rPr>
          <w:rFonts w:cstheme="minorHAnsi"/>
          <w:bCs/>
          <w:sz w:val="24"/>
          <w:szCs w:val="24"/>
        </w:rPr>
        <w:t xml:space="preserve">national </w:t>
      </w:r>
      <w:r w:rsidR="003E1CA3" w:rsidRPr="007225BA">
        <w:rPr>
          <w:rFonts w:cstheme="minorHAnsi"/>
          <w:sz w:val="24"/>
          <w:szCs w:val="24"/>
        </w:rPr>
        <w:t>overarch</w:t>
      </w:r>
      <w:r w:rsidR="002D285F">
        <w:rPr>
          <w:rFonts w:cstheme="minorHAnsi"/>
          <w:sz w:val="24"/>
          <w:szCs w:val="24"/>
        </w:rPr>
        <w:t>ing framework</w:t>
      </w:r>
      <w:r w:rsidR="003E1CA3" w:rsidRPr="007225BA">
        <w:rPr>
          <w:rFonts w:cstheme="minorHAnsi"/>
          <w:bCs/>
          <w:sz w:val="24"/>
          <w:szCs w:val="24"/>
        </w:rPr>
        <w:t xml:space="preserve"> created a temporal </w:t>
      </w:r>
      <w:r w:rsidR="003E1CA3" w:rsidRPr="007225BA">
        <w:rPr>
          <w:rFonts w:cstheme="minorHAnsi"/>
          <w:bCs/>
          <w:sz w:val="24"/>
          <w:szCs w:val="24"/>
        </w:rPr>
        <w:lastRenderedPageBreak/>
        <w:t xml:space="preserve">window under which </w:t>
      </w:r>
      <w:r w:rsidR="00E61F04">
        <w:rPr>
          <w:rFonts w:cstheme="minorHAnsi"/>
          <w:bCs/>
          <w:sz w:val="24"/>
          <w:szCs w:val="24"/>
        </w:rPr>
        <w:t xml:space="preserve">the </w:t>
      </w:r>
      <w:r w:rsidR="003E1CA3" w:rsidRPr="007225BA">
        <w:rPr>
          <w:rFonts w:cstheme="minorHAnsi"/>
          <w:bCs/>
          <w:sz w:val="24"/>
          <w:szCs w:val="24"/>
        </w:rPr>
        <w:t>regions were abl</w:t>
      </w:r>
      <w:r w:rsidR="005E7958">
        <w:rPr>
          <w:rFonts w:cstheme="minorHAnsi"/>
          <w:bCs/>
          <w:sz w:val="24"/>
          <w:szCs w:val="24"/>
        </w:rPr>
        <w:t xml:space="preserve">e </w:t>
      </w:r>
      <w:r w:rsidRPr="007225BA">
        <w:rPr>
          <w:rFonts w:cstheme="minorHAnsi"/>
          <w:bCs/>
          <w:sz w:val="24"/>
          <w:szCs w:val="24"/>
        </w:rPr>
        <w:t xml:space="preserve">to </w:t>
      </w:r>
      <w:r w:rsidR="005E7958">
        <w:rPr>
          <w:rFonts w:cstheme="minorHAnsi"/>
          <w:bCs/>
          <w:sz w:val="24"/>
          <w:szCs w:val="24"/>
        </w:rPr>
        <w:t>adopt</w:t>
      </w:r>
      <w:r w:rsidRPr="007225BA">
        <w:rPr>
          <w:rFonts w:cstheme="minorHAnsi"/>
          <w:bCs/>
          <w:sz w:val="24"/>
          <w:szCs w:val="24"/>
        </w:rPr>
        <w:t xml:space="preserve"> their own framings of RE development issues, generating a variety of governance responses.</w:t>
      </w:r>
    </w:p>
    <w:p w14:paraId="3874D182" w14:textId="77777777" w:rsidR="002D285F" w:rsidRDefault="002D285F" w:rsidP="00735E90">
      <w:pPr>
        <w:spacing w:line="240" w:lineRule="auto"/>
        <w:jc w:val="both"/>
        <w:rPr>
          <w:rFonts w:cstheme="minorHAnsi"/>
          <w:bCs/>
          <w:sz w:val="24"/>
          <w:szCs w:val="24"/>
        </w:rPr>
      </w:pPr>
    </w:p>
    <w:p w14:paraId="74963746" w14:textId="2DB0276D" w:rsidR="004F3750" w:rsidRPr="007225BA" w:rsidRDefault="004F3750" w:rsidP="00735E90">
      <w:pPr>
        <w:spacing w:line="240" w:lineRule="auto"/>
        <w:jc w:val="both"/>
        <w:rPr>
          <w:rFonts w:cstheme="minorHAnsi"/>
          <w:iCs/>
          <w:sz w:val="24"/>
          <w:szCs w:val="24"/>
        </w:rPr>
      </w:pPr>
      <w:r w:rsidRPr="007225BA">
        <w:rPr>
          <w:rFonts w:cstheme="minorHAnsi"/>
          <w:bCs/>
          <w:sz w:val="24"/>
          <w:szCs w:val="24"/>
        </w:rPr>
        <w:t>I</w:t>
      </w:r>
      <w:r w:rsidRPr="007225BA">
        <w:rPr>
          <w:rFonts w:cstheme="minorHAnsi"/>
          <w:sz w:val="24"/>
          <w:szCs w:val="24"/>
        </w:rPr>
        <w:t xml:space="preserve">n Apulia, RE was </w:t>
      </w:r>
      <w:r w:rsidR="00E61F04">
        <w:rPr>
          <w:rFonts w:cstheme="minorHAnsi"/>
          <w:sz w:val="24"/>
          <w:szCs w:val="24"/>
        </w:rPr>
        <w:t>represented</w:t>
      </w:r>
      <w:r w:rsidRPr="007225BA">
        <w:rPr>
          <w:rFonts w:cstheme="minorHAnsi"/>
          <w:sz w:val="24"/>
          <w:szCs w:val="24"/>
        </w:rPr>
        <w:t xml:space="preserve"> as ‘a big opportunity’ </w:t>
      </w:r>
      <w:r w:rsidRPr="007225BA">
        <w:rPr>
          <w:rFonts w:cstheme="minorHAnsi"/>
          <w:noProof/>
          <w:sz w:val="24"/>
          <w:szCs w:val="24"/>
        </w:rPr>
        <w:t>(ARTI, 2008: 12)</w:t>
      </w:r>
      <w:r w:rsidRPr="007225BA">
        <w:rPr>
          <w:rFonts w:cstheme="minorHAnsi"/>
          <w:sz w:val="24"/>
          <w:szCs w:val="24"/>
        </w:rPr>
        <w:t xml:space="preserve"> to exploit abundant wind and solar resources to reverse patterns of economic under-development, deliver on energy targets, and oppose (new) nuclear development. </w:t>
      </w:r>
      <w:r w:rsidRPr="007225BA">
        <w:rPr>
          <w:rFonts w:cstheme="minorHAnsi"/>
          <w:sz w:val="24"/>
          <w:szCs w:val="24"/>
          <w:lang w:eastAsia="en-GB"/>
        </w:rPr>
        <w:t>Capitalising on favourable geographical conditions (ibid.) meant that RE developments could provide opportunities for Apulia to become a RE leader and break fossil</w:t>
      </w:r>
      <w:r w:rsidR="00E61F04">
        <w:rPr>
          <w:rFonts w:cstheme="minorHAnsi"/>
          <w:sz w:val="24"/>
          <w:szCs w:val="24"/>
          <w:lang w:eastAsia="en-GB"/>
        </w:rPr>
        <w:t>-</w:t>
      </w:r>
      <w:r w:rsidRPr="007225BA">
        <w:rPr>
          <w:rFonts w:cstheme="minorHAnsi"/>
          <w:sz w:val="24"/>
          <w:szCs w:val="24"/>
          <w:lang w:eastAsia="en-GB"/>
        </w:rPr>
        <w:t xml:space="preserve">fuel path dependencies in the region. </w:t>
      </w:r>
      <w:r w:rsidRPr="007225BA">
        <w:rPr>
          <w:rFonts w:cstheme="minorHAnsi"/>
          <w:sz w:val="24"/>
          <w:szCs w:val="24"/>
        </w:rPr>
        <w:t xml:space="preserve">To achieve this, initially </w:t>
      </w:r>
      <w:r w:rsidRPr="007225BA">
        <w:rPr>
          <w:rFonts w:cstheme="minorHAnsi"/>
          <w:iCs/>
          <w:sz w:val="24"/>
          <w:szCs w:val="24"/>
        </w:rPr>
        <w:t>the regional government assumed the role of an ‘entrepreneurial state’, streamlining and accelerating license concession procedures.</w:t>
      </w:r>
    </w:p>
    <w:p w14:paraId="41D36A79" w14:textId="77777777" w:rsidR="004F3750" w:rsidRPr="007225BA" w:rsidRDefault="004F3750" w:rsidP="00735E90">
      <w:pPr>
        <w:spacing w:line="240" w:lineRule="auto"/>
        <w:jc w:val="both"/>
        <w:rPr>
          <w:rFonts w:cstheme="minorHAnsi"/>
          <w:sz w:val="24"/>
          <w:szCs w:val="24"/>
        </w:rPr>
      </w:pPr>
    </w:p>
    <w:p w14:paraId="66A8691D" w14:textId="4433DCC0" w:rsidR="004F3750" w:rsidRPr="007225BA" w:rsidRDefault="004F3750" w:rsidP="00735E90">
      <w:pPr>
        <w:spacing w:line="240" w:lineRule="auto"/>
        <w:jc w:val="both"/>
        <w:rPr>
          <w:rFonts w:cstheme="minorHAnsi"/>
          <w:sz w:val="24"/>
          <w:szCs w:val="24"/>
          <w:lang w:eastAsia="en-GB"/>
        </w:rPr>
      </w:pPr>
      <w:r w:rsidRPr="007225BA">
        <w:rPr>
          <w:rFonts w:cstheme="minorHAnsi"/>
          <w:sz w:val="24"/>
          <w:szCs w:val="24"/>
          <w:lang w:eastAsia="en-GB"/>
        </w:rPr>
        <w:t xml:space="preserve">While </w:t>
      </w:r>
      <w:r w:rsidR="00C24FCB">
        <w:rPr>
          <w:rFonts w:cstheme="minorHAnsi"/>
          <w:sz w:val="24"/>
          <w:szCs w:val="24"/>
          <w:lang w:eastAsia="en-GB"/>
        </w:rPr>
        <w:t xml:space="preserve">in Apulia, in 2006, wind represented the main RE </w:t>
      </w:r>
      <w:r w:rsidR="00260603">
        <w:rPr>
          <w:rFonts w:cstheme="minorHAnsi"/>
          <w:sz w:val="24"/>
          <w:szCs w:val="24"/>
          <w:lang w:eastAsia="en-GB"/>
        </w:rPr>
        <w:t>deployed</w:t>
      </w:r>
      <w:r w:rsidR="00FF1925">
        <w:rPr>
          <w:rFonts w:cstheme="minorHAnsi"/>
          <w:sz w:val="24"/>
          <w:szCs w:val="24"/>
          <w:lang w:eastAsia="en-GB"/>
        </w:rPr>
        <w:t xml:space="preserve"> </w:t>
      </w:r>
      <w:r w:rsidR="00260603">
        <w:rPr>
          <w:rFonts w:cstheme="minorHAnsi"/>
          <w:sz w:val="24"/>
          <w:szCs w:val="24"/>
          <w:lang w:eastAsia="en-GB"/>
        </w:rPr>
        <w:t>(</w:t>
      </w:r>
      <w:r w:rsidR="00BC13F0">
        <w:rPr>
          <w:rFonts w:cstheme="minorHAnsi"/>
          <w:sz w:val="24"/>
          <w:szCs w:val="24"/>
          <w:lang w:eastAsia="en-GB"/>
        </w:rPr>
        <w:t>468</w:t>
      </w:r>
      <w:r w:rsidR="00F840AF">
        <w:rPr>
          <w:rFonts w:cstheme="minorHAnsi"/>
          <w:sz w:val="24"/>
          <w:szCs w:val="24"/>
          <w:lang w:eastAsia="en-GB"/>
        </w:rPr>
        <w:t>.4 MW</w:t>
      </w:r>
      <w:r w:rsidR="00E61F04">
        <w:rPr>
          <w:rFonts w:cstheme="minorHAnsi"/>
          <w:sz w:val="24"/>
          <w:szCs w:val="24"/>
          <w:lang w:eastAsia="en-GB"/>
        </w:rPr>
        <w:t xml:space="preserve"> </w:t>
      </w:r>
      <w:r w:rsidR="00F5237F">
        <w:rPr>
          <w:rFonts w:cstheme="minorHAnsi"/>
          <w:sz w:val="24"/>
          <w:szCs w:val="24"/>
          <w:lang w:eastAsia="en-GB"/>
        </w:rPr>
        <w:t>of wind installed capacity</w:t>
      </w:r>
      <w:r w:rsidR="00B173D7">
        <w:rPr>
          <w:rFonts w:cstheme="minorHAnsi"/>
          <w:sz w:val="24"/>
          <w:szCs w:val="24"/>
          <w:lang w:eastAsia="en-GB"/>
        </w:rPr>
        <w:t>)</w:t>
      </w:r>
      <w:r w:rsidRPr="007225BA">
        <w:rPr>
          <w:rFonts w:cstheme="minorHAnsi"/>
          <w:sz w:val="24"/>
          <w:szCs w:val="24"/>
          <w:lang w:eastAsia="en-GB"/>
        </w:rPr>
        <w:t xml:space="preserve">, Tuscany </w:t>
      </w:r>
      <w:r w:rsidRPr="007225BA">
        <w:rPr>
          <w:rFonts w:cstheme="minorHAnsi"/>
          <w:sz w:val="24"/>
          <w:szCs w:val="24"/>
        </w:rPr>
        <w:t xml:space="preserve">already possessed </w:t>
      </w:r>
      <w:r w:rsidR="00ED4144">
        <w:rPr>
          <w:rFonts w:cstheme="minorHAnsi"/>
          <w:sz w:val="24"/>
          <w:szCs w:val="24"/>
        </w:rPr>
        <w:t xml:space="preserve">711 MW of </w:t>
      </w:r>
      <w:r w:rsidRPr="007225BA">
        <w:rPr>
          <w:rFonts w:cstheme="minorHAnsi"/>
          <w:sz w:val="24"/>
          <w:szCs w:val="24"/>
        </w:rPr>
        <w:t>installed geothermal capacity</w:t>
      </w:r>
      <w:r w:rsidR="00677108">
        <w:rPr>
          <w:rFonts w:cstheme="minorHAnsi"/>
          <w:sz w:val="24"/>
          <w:szCs w:val="24"/>
        </w:rPr>
        <w:t xml:space="preserve"> and only 1.8MW of wind power</w:t>
      </w:r>
      <w:r w:rsidRPr="007225BA">
        <w:rPr>
          <w:rFonts w:cstheme="minorHAnsi"/>
          <w:sz w:val="24"/>
          <w:szCs w:val="24"/>
        </w:rPr>
        <w:t xml:space="preserve">. Moreover, its presence </w:t>
      </w:r>
      <w:r w:rsidRPr="007225BA">
        <w:rPr>
          <w:rFonts w:cstheme="minorHAnsi"/>
          <w:sz w:val="24"/>
          <w:szCs w:val="24"/>
          <w:lang w:eastAsia="en-GB"/>
        </w:rPr>
        <w:t>influenced problem framing</w:t>
      </w:r>
      <w:r w:rsidR="00887525">
        <w:rPr>
          <w:rFonts w:cstheme="minorHAnsi"/>
          <w:sz w:val="24"/>
          <w:szCs w:val="24"/>
          <w:lang w:eastAsia="en-GB"/>
        </w:rPr>
        <w:t>s</w:t>
      </w:r>
      <w:r w:rsidRPr="007225BA">
        <w:rPr>
          <w:rFonts w:cstheme="minorHAnsi"/>
          <w:sz w:val="24"/>
          <w:szCs w:val="24"/>
          <w:lang w:eastAsia="en-GB"/>
        </w:rPr>
        <w:t xml:space="preserve"> as it was assumed that </w:t>
      </w:r>
      <w:r w:rsidR="00E61F04">
        <w:rPr>
          <w:rFonts w:cstheme="minorHAnsi"/>
          <w:sz w:val="24"/>
          <w:szCs w:val="24"/>
          <w:lang w:eastAsia="en-GB"/>
        </w:rPr>
        <w:t xml:space="preserve">any </w:t>
      </w:r>
      <w:r w:rsidRPr="007225BA">
        <w:rPr>
          <w:rFonts w:cstheme="minorHAnsi"/>
          <w:sz w:val="24"/>
          <w:szCs w:val="24"/>
          <w:lang w:eastAsia="en-GB"/>
        </w:rPr>
        <w:t>regional RE target</w:t>
      </w:r>
      <w:r w:rsidR="006C25B9">
        <w:rPr>
          <w:rFonts w:cstheme="minorHAnsi"/>
          <w:sz w:val="24"/>
          <w:szCs w:val="24"/>
          <w:lang w:eastAsia="en-GB"/>
        </w:rPr>
        <w:t>s</w:t>
      </w:r>
      <w:r w:rsidRPr="007225BA">
        <w:rPr>
          <w:rFonts w:cstheme="minorHAnsi"/>
          <w:sz w:val="24"/>
          <w:szCs w:val="24"/>
          <w:lang w:eastAsia="en-GB"/>
        </w:rPr>
        <w:t xml:space="preserve"> could be achieved </w:t>
      </w:r>
      <w:r w:rsidR="002D285F">
        <w:rPr>
          <w:rFonts w:cstheme="minorHAnsi"/>
          <w:sz w:val="24"/>
          <w:szCs w:val="24"/>
          <w:lang w:eastAsia="en-GB"/>
        </w:rPr>
        <w:t xml:space="preserve">largely </w:t>
      </w:r>
      <w:r w:rsidRPr="007225BA">
        <w:rPr>
          <w:rFonts w:cstheme="minorHAnsi"/>
          <w:sz w:val="24"/>
          <w:szCs w:val="24"/>
          <w:lang w:eastAsia="en-GB"/>
        </w:rPr>
        <w:t>by geothermal alone. This enabled the regional government to be highly selective in wh</w:t>
      </w:r>
      <w:r w:rsidR="006C25B9">
        <w:rPr>
          <w:rFonts w:cstheme="minorHAnsi"/>
          <w:sz w:val="24"/>
          <w:szCs w:val="24"/>
          <w:lang w:eastAsia="en-GB"/>
        </w:rPr>
        <w:t>ich</w:t>
      </w:r>
      <w:r w:rsidRPr="007225BA">
        <w:rPr>
          <w:rFonts w:cstheme="minorHAnsi"/>
          <w:sz w:val="24"/>
          <w:szCs w:val="24"/>
          <w:lang w:eastAsia="en-GB"/>
        </w:rPr>
        <w:t xml:space="preserve"> other </w:t>
      </w:r>
      <w:r w:rsidR="00E61F04">
        <w:rPr>
          <w:rFonts w:cstheme="minorHAnsi"/>
          <w:sz w:val="24"/>
          <w:szCs w:val="24"/>
          <w:lang w:eastAsia="en-GB"/>
        </w:rPr>
        <w:t>technologies</w:t>
      </w:r>
      <w:r w:rsidRPr="007225BA">
        <w:rPr>
          <w:rFonts w:cstheme="minorHAnsi"/>
          <w:sz w:val="24"/>
          <w:szCs w:val="24"/>
          <w:lang w:eastAsia="en-GB"/>
        </w:rPr>
        <w:t xml:space="preserve"> it promoted</w:t>
      </w:r>
      <w:r w:rsidR="00E61F04">
        <w:rPr>
          <w:rFonts w:cstheme="minorHAnsi"/>
          <w:sz w:val="24"/>
          <w:szCs w:val="24"/>
          <w:lang w:eastAsia="en-GB"/>
        </w:rPr>
        <w:t>,</w:t>
      </w:r>
      <w:r w:rsidRPr="007225BA">
        <w:rPr>
          <w:rFonts w:cstheme="minorHAnsi"/>
          <w:sz w:val="24"/>
          <w:szCs w:val="24"/>
          <w:lang w:eastAsia="en-GB"/>
        </w:rPr>
        <w:t xml:space="preserve"> and </w:t>
      </w:r>
      <w:proofErr w:type="gramStart"/>
      <w:r w:rsidRPr="007225BA">
        <w:rPr>
          <w:rFonts w:cstheme="minorHAnsi"/>
          <w:sz w:val="24"/>
          <w:szCs w:val="24"/>
          <w:lang w:eastAsia="en-GB"/>
        </w:rPr>
        <w:t>where</w:t>
      </w:r>
      <w:proofErr w:type="gramEnd"/>
      <w:r w:rsidRPr="007225BA">
        <w:rPr>
          <w:rFonts w:cstheme="minorHAnsi"/>
          <w:sz w:val="24"/>
          <w:szCs w:val="24"/>
          <w:lang w:eastAsia="en-GB"/>
        </w:rPr>
        <w:t xml:space="preserve">. In Tuscany, economic development opportunities of RE have been framed around </w:t>
      </w:r>
      <w:r w:rsidR="00207134" w:rsidRPr="00F5237F">
        <w:rPr>
          <w:rFonts w:cstheme="minorHAnsi"/>
          <w:i/>
          <w:sz w:val="24"/>
          <w:szCs w:val="24"/>
          <w:lang w:eastAsia="en-GB"/>
        </w:rPr>
        <w:t>inter alia</w:t>
      </w:r>
      <w:r w:rsidR="00677108">
        <w:rPr>
          <w:rFonts w:cstheme="minorHAnsi"/>
          <w:sz w:val="24"/>
          <w:szCs w:val="24"/>
          <w:lang w:eastAsia="en-GB"/>
        </w:rPr>
        <w:t xml:space="preserve"> </w:t>
      </w:r>
      <w:r w:rsidRPr="007225BA">
        <w:rPr>
          <w:rFonts w:cstheme="minorHAnsi"/>
          <w:sz w:val="24"/>
          <w:szCs w:val="24"/>
          <w:lang w:eastAsia="en-GB"/>
        </w:rPr>
        <w:t xml:space="preserve">the need to respect environmental and landscape protections. Thus RE development needed to be achieved in </w:t>
      </w:r>
      <w:r w:rsidRPr="00887525">
        <w:rPr>
          <w:rFonts w:cstheme="minorHAnsi"/>
          <w:sz w:val="24"/>
          <w:szCs w:val="24"/>
          <w:lang w:eastAsia="en-GB"/>
        </w:rPr>
        <w:t>‘</w:t>
      </w:r>
      <w:r w:rsidRPr="00F5237F">
        <w:rPr>
          <w:rFonts w:cstheme="minorHAnsi"/>
          <w:sz w:val="24"/>
          <w:szCs w:val="24"/>
          <w:lang w:eastAsia="en-GB"/>
        </w:rPr>
        <w:t>compatibility with the needs of the environment and the preservation of the socio-economic and cultural characteristics of the territory’</w:t>
      </w:r>
      <w:r w:rsidR="00E61F04">
        <w:rPr>
          <w:rFonts w:cstheme="minorHAnsi"/>
          <w:sz w:val="24"/>
          <w:szCs w:val="24"/>
          <w:lang w:eastAsia="en-GB"/>
        </w:rPr>
        <w:t xml:space="preserve"> </w:t>
      </w:r>
      <w:r w:rsidRPr="006C25B9">
        <w:rPr>
          <w:rFonts w:cstheme="minorHAnsi"/>
          <w:noProof/>
          <w:sz w:val="24"/>
          <w:szCs w:val="24"/>
          <w:lang w:eastAsia="en-GB"/>
        </w:rPr>
        <w:t>(Regione Toscana, 2008: 25)</w:t>
      </w:r>
      <w:r w:rsidRPr="006C25B9">
        <w:rPr>
          <w:rFonts w:cstheme="minorHAnsi"/>
          <w:sz w:val="24"/>
          <w:szCs w:val="24"/>
          <w:lang w:eastAsia="en-GB"/>
        </w:rPr>
        <w:t>.</w:t>
      </w:r>
    </w:p>
    <w:p w14:paraId="65D57079" w14:textId="77777777" w:rsidR="004F3750" w:rsidRPr="007225BA" w:rsidRDefault="004F3750" w:rsidP="00735E90">
      <w:pPr>
        <w:spacing w:line="240" w:lineRule="auto"/>
        <w:jc w:val="both"/>
        <w:rPr>
          <w:rFonts w:cstheme="minorHAnsi"/>
          <w:sz w:val="24"/>
          <w:szCs w:val="24"/>
          <w:lang w:eastAsia="en-GB"/>
        </w:rPr>
      </w:pPr>
    </w:p>
    <w:p w14:paraId="4848C439" w14:textId="77777777" w:rsidR="004F3750" w:rsidRPr="006A7FE9" w:rsidRDefault="004F3750" w:rsidP="00786559">
      <w:pPr>
        <w:pStyle w:val="Heading3"/>
        <w:spacing w:before="0" w:line="240" w:lineRule="auto"/>
        <w:rPr>
          <w:rFonts w:asciiTheme="minorHAnsi" w:hAnsiTheme="minorHAnsi" w:cstheme="minorHAnsi"/>
          <w:i/>
          <w:color w:val="auto"/>
        </w:rPr>
      </w:pPr>
      <w:r w:rsidRPr="006A7FE9">
        <w:rPr>
          <w:rFonts w:asciiTheme="minorHAnsi" w:hAnsiTheme="minorHAnsi" w:cstheme="minorHAnsi"/>
          <w:i/>
          <w:color w:val="auto"/>
        </w:rPr>
        <w:t xml:space="preserve">Spatial planning approaches: socio-technical properties, </w:t>
      </w:r>
      <w:proofErr w:type="gramStart"/>
      <w:r w:rsidRPr="006A7FE9">
        <w:rPr>
          <w:rFonts w:asciiTheme="minorHAnsi" w:hAnsiTheme="minorHAnsi" w:cstheme="minorHAnsi"/>
          <w:i/>
          <w:color w:val="auto"/>
        </w:rPr>
        <w:t>scale</w:t>
      </w:r>
      <w:proofErr w:type="gramEnd"/>
      <w:r w:rsidRPr="006A7FE9">
        <w:rPr>
          <w:rFonts w:asciiTheme="minorHAnsi" w:hAnsiTheme="minorHAnsi" w:cstheme="minorHAnsi"/>
          <w:i/>
          <w:color w:val="auto"/>
        </w:rPr>
        <w:t xml:space="preserve"> and actor alignment</w:t>
      </w:r>
    </w:p>
    <w:p w14:paraId="2A9C989F" w14:textId="77777777" w:rsidR="004F3750" w:rsidRPr="007225BA" w:rsidRDefault="004F3750" w:rsidP="00786559">
      <w:pPr>
        <w:spacing w:line="240" w:lineRule="auto"/>
        <w:rPr>
          <w:rFonts w:cstheme="minorHAnsi"/>
          <w:sz w:val="24"/>
          <w:szCs w:val="24"/>
        </w:rPr>
      </w:pPr>
    </w:p>
    <w:p w14:paraId="5497E467" w14:textId="54ACA694" w:rsidR="00C14167" w:rsidRDefault="00887525" w:rsidP="00735E90">
      <w:pPr>
        <w:spacing w:line="240" w:lineRule="auto"/>
        <w:jc w:val="both"/>
        <w:rPr>
          <w:rFonts w:cstheme="minorHAnsi"/>
          <w:bCs/>
          <w:sz w:val="24"/>
          <w:szCs w:val="24"/>
        </w:rPr>
      </w:pPr>
      <w:r>
        <w:rPr>
          <w:rFonts w:cstheme="minorHAnsi"/>
          <w:sz w:val="24"/>
          <w:szCs w:val="24"/>
        </w:rPr>
        <w:t>Across Italy</w:t>
      </w:r>
      <w:r w:rsidR="004F3750" w:rsidRPr="007225BA">
        <w:rPr>
          <w:rFonts w:cstheme="minorHAnsi"/>
          <w:bCs/>
          <w:sz w:val="24"/>
          <w:szCs w:val="24"/>
        </w:rPr>
        <w:t xml:space="preserve">, the sense of urgency to stimulate </w:t>
      </w:r>
      <w:r>
        <w:rPr>
          <w:rFonts w:cstheme="minorHAnsi"/>
          <w:bCs/>
          <w:sz w:val="24"/>
          <w:szCs w:val="24"/>
        </w:rPr>
        <w:t xml:space="preserve">RE </w:t>
      </w:r>
      <w:r w:rsidR="004F3750" w:rsidRPr="007225BA">
        <w:rPr>
          <w:rFonts w:cstheme="minorHAnsi"/>
          <w:bCs/>
          <w:sz w:val="24"/>
          <w:szCs w:val="24"/>
        </w:rPr>
        <w:t>investment gave new impetus to the assessment of potential resource</w:t>
      </w:r>
      <w:r w:rsidR="00E61F04">
        <w:rPr>
          <w:rFonts w:cstheme="minorHAnsi"/>
          <w:bCs/>
          <w:sz w:val="24"/>
          <w:szCs w:val="24"/>
        </w:rPr>
        <w:t>s</w:t>
      </w:r>
      <w:r w:rsidR="004F3750" w:rsidRPr="007225BA">
        <w:rPr>
          <w:rFonts w:cstheme="minorHAnsi"/>
          <w:bCs/>
          <w:sz w:val="24"/>
          <w:szCs w:val="24"/>
        </w:rPr>
        <w:t xml:space="preserve">, at all government levels, including the selection, </w:t>
      </w:r>
      <w:proofErr w:type="gramStart"/>
      <w:r w:rsidR="004F3750" w:rsidRPr="007225BA">
        <w:rPr>
          <w:rFonts w:cstheme="minorHAnsi"/>
          <w:bCs/>
          <w:sz w:val="24"/>
          <w:szCs w:val="24"/>
        </w:rPr>
        <w:t>calculation</w:t>
      </w:r>
      <w:proofErr w:type="gramEnd"/>
      <w:r w:rsidR="004F3750" w:rsidRPr="007225BA">
        <w:rPr>
          <w:rFonts w:cstheme="minorHAnsi"/>
          <w:bCs/>
          <w:sz w:val="24"/>
          <w:szCs w:val="24"/>
        </w:rPr>
        <w:t xml:space="preserve"> and mapping of indicators. At national level, it also provided the basis for the development of a burden-sharing methodology to determine RE targets for each region. Data considered for the burden</w:t>
      </w:r>
      <w:r w:rsidR="00C14167">
        <w:rPr>
          <w:rFonts w:cstheme="minorHAnsi"/>
          <w:bCs/>
          <w:sz w:val="24"/>
          <w:szCs w:val="24"/>
        </w:rPr>
        <w:t>-</w:t>
      </w:r>
      <w:r w:rsidR="004F3750" w:rsidRPr="007225BA">
        <w:rPr>
          <w:rFonts w:cstheme="minorHAnsi"/>
          <w:bCs/>
          <w:sz w:val="24"/>
          <w:szCs w:val="24"/>
        </w:rPr>
        <w:t xml:space="preserve">sharing calculations included the characteristics of the territory and regional (and provincial) availability of energy resources, areas available for agriculture and forestry, urban and industrial </w:t>
      </w:r>
      <w:proofErr w:type="gramStart"/>
      <w:r w:rsidR="004F3750" w:rsidRPr="007225BA">
        <w:rPr>
          <w:rFonts w:cstheme="minorHAnsi"/>
          <w:bCs/>
          <w:sz w:val="24"/>
          <w:szCs w:val="24"/>
        </w:rPr>
        <w:t>areas</w:t>
      </w:r>
      <w:proofErr w:type="gramEnd"/>
      <w:r w:rsidR="004F3750" w:rsidRPr="007225BA">
        <w:rPr>
          <w:rFonts w:cstheme="minorHAnsi"/>
          <w:bCs/>
          <w:sz w:val="24"/>
          <w:szCs w:val="24"/>
        </w:rPr>
        <w:t xml:space="preserve"> and national environmental constraints. However, the methodology only calculated the</w:t>
      </w:r>
      <w:r w:rsidR="00E61F04">
        <w:rPr>
          <w:rFonts w:cstheme="minorHAnsi"/>
          <w:bCs/>
          <w:sz w:val="24"/>
          <w:szCs w:val="24"/>
        </w:rPr>
        <w:t xml:space="preserve"> </w:t>
      </w:r>
      <w:r w:rsidR="004F3750" w:rsidRPr="007225BA">
        <w:rPr>
          <w:rFonts w:cstheme="minorHAnsi"/>
          <w:bCs/>
          <w:sz w:val="24"/>
          <w:szCs w:val="24"/>
        </w:rPr>
        <w:t>‘% share of energy consumption from renewable sources’</w:t>
      </w:r>
      <w:r w:rsidR="00961857">
        <w:rPr>
          <w:rFonts w:cstheme="minorHAnsi"/>
          <w:bCs/>
          <w:sz w:val="24"/>
          <w:szCs w:val="24"/>
        </w:rPr>
        <w:t xml:space="preserve"> 14.2% for Apulia by 2020, 16.5% for Tuscany (DM 2012) -</w:t>
      </w:r>
      <w:r w:rsidR="004F3750" w:rsidRPr="007225BA">
        <w:rPr>
          <w:rFonts w:cstheme="minorHAnsi"/>
          <w:bCs/>
          <w:sz w:val="24"/>
          <w:szCs w:val="24"/>
        </w:rPr>
        <w:t xml:space="preserve"> leaving regions to de</w:t>
      </w:r>
      <w:r w:rsidR="002C6C3B">
        <w:rPr>
          <w:rFonts w:cstheme="minorHAnsi"/>
          <w:bCs/>
          <w:sz w:val="24"/>
          <w:szCs w:val="24"/>
        </w:rPr>
        <w:t>termine</w:t>
      </w:r>
      <w:r w:rsidR="004F3750" w:rsidRPr="007225BA">
        <w:rPr>
          <w:rFonts w:cstheme="minorHAnsi"/>
          <w:bCs/>
          <w:sz w:val="24"/>
          <w:szCs w:val="24"/>
        </w:rPr>
        <w:t xml:space="preserve"> the mix of RE sources</w:t>
      </w:r>
      <w:r w:rsidR="00C14167">
        <w:rPr>
          <w:rFonts w:cstheme="minorHAnsi"/>
          <w:bCs/>
          <w:sz w:val="24"/>
          <w:szCs w:val="24"/>
        </w:rPr>
        <w:t>.</w:t>
      </w:r>
    </w:p>
    <w:p w14:paraId="622218AF" w14:textId="77777777" w:rsidR="002C6C3B" w:rsidRPr="007225BA" w:rsidRDefault="002C6C3B" w:rsidP="00735E90">
      <w:pPr>
        <w:spacing w:line="240" w:lineRule="auto"/>
        <w:jc w:val="both"/>
        <w:rPr>
          <w:rFonts w:cstheme="minorHAnsi"/>
          <w:bCs/>
          <w:sz w:val="24"/>
          <w:szCs w:val="24"/>
        </w:rPr>
      </w:pPr>
    </w:p>
    <w:p w14:paraId="5119E689" w14:textId="535F9DD6" w:rsidR="004F3750" w:rsidRPr="007225BA" w:rsidRDefault="004F3750" w:rsidP="00735E90">
      <w:pPr>
        <w:spacing w:line="240" w:lineRule="auto"/>
        <w:jc w:val="both"/>
        <w:rPr>
          <w:rFonts w:cstheme="minorHAnsi"/>
          <w:sz w:val="24"/>
          <w:szCs w:val="24"/>
        </w:rPr>
      </w:pPr>
      <w:r w:rsidRPr="007225BA">
        <w:rPr>
          <w:rFonts w:cstheme="minorHAnsi"/>
          <w:sz w:val="24"/>
          <w:szCs w:val="24"/>
        </w:rPr>
        <w:t xml:space="preserve">Tuscany utilised a methodology </w:t>
      </w:r>
      <w:r w:rsidR="004E2EEA">
        <w:rPr>
          <w:rFonts w:cstheme="minorHAnsi"/>
          <w:sz w:val="24"/>
          <w:szCs w:val="24"/>
        </w:rPr>
        <w:t>(Regione Toscana, 2000)</w:t>
      </w:r>
      <w:r w:rsidR="00E61F04">
        <w:rPr>
          <w:rFonts w:cstheme="minorHAnsi"/>
          <w:sz w:val="24"/>
          <w:szCs w:val="24"/>
        </w:rPr>
        <w:t xml:space="preserve"> </w:t>
      </w:r>
      <w:r w:rsidRPr="007225BA">
        <w:rPr>
          <w:rFonts w:cstheme="minorHAnsi"/>
          <w:sz w:val="24"/>
          <w:szCs w:val="24"/>
        </w:rPr>
        <w:t xml:space="preserve">that included geo-referential data to map wind resources. This was developed in collaboration with academic expertise in the region driven by an overall aim of reducing carbon emissions </w:t>
      </w:r>
      <w:r w:rsidR="00E61F04">
        <w:rPr>
          <w:rFonts w:cstheme="minorHAnsi"/>
          <w:sz w:val="24"/>
          <w:szCs w:val="24"/>
        </w:rPr>
        <w:t>while</w:t>
      </w:r>
      <w:r w:rsidRPr="007225BA">
        <w:rPr>
          <w:rFonts w:cstheme="minorHAnsi"/>
          <w:sz w:val="24"/>
          <w:szCs w:val="24"/>
        </w:rPr>
        <w:t xml:space="preserve"> limit</w:t>
      </w:r>
      <w:r w:rsidR="002C6C3B">
        <w:rPr>
          <w:rFonts w:cstheme="minorHAnsi"/>
          <w:sz w:val="24"/>
          <w:szCs w:val="24"/>
        </w:rPr>
        <w:t>ing</w:t>
      </w:r>
      <w:r w:rsidRPr="007225BA">
        <w:rPr>
          <w:rFonts w:cstheme="minorHAnsi"/>
          <w:sz w:val="24"/>
          <w:szCs w:val="24"/>
        </w:rPr>
        <w:t xml:space="preserve"> the environmental implications of RE deployment.</w:t>
      </w:r>
      <w:r w:rsidR="00F45A19">
        <w:rPr>
          <w:rFonts w:cstheme="minorHAnsi"/>
          <w:sz w:val="24"/>
          <w:szCs w:val="24"/>
        </w:rPr>
        <w:t xml:space="preserve"> </w:t>
      </w:r>
      <w:r w:rsidRPr="007225BA">
        <w:rPr>
          <w:rFonts w:cstheme="minorHAnsi"/>
          <w:sz w:val="24"/>
          <w:szCs w:val="24"/>
        </w:rPr>
        <w:t xml:space="preserve">The regional government used this to produce a thematic map to identify potential areas for wind power: areas without constraints (cultural or historical) and average wind speed exceeding five meters per second. The map also includes locations and availability of transmission and distribution infrastructure, as the regional energy plan expressed a </w:t>
      </w:r>
      <w:r w:rsidRPr="00C14167">
        <w:rPr>
          <w:rFonts w:cstheme="minorHAnsi"/>
          <w:sz w:val="24"/>
          <w:szCs w:val="24"/>
        </w:rPr>
        <w:t>desire</w:t>
      </w:r>
      <w:r w:rsidRPr="007225BA">
        <w:rPr>
          <w:rFonts w:cstheme="minorHAnsi"/>
          <w:sz w:val="24"/>
          <w:szCs w:val="24"/>
        </w:rPr>
        <w:t xml:space="preserve"> that there should be sufficient grid capacity in the vicinity of </w:t>
      </w:r>
      <w:r w:rsidR="00E61F04">
        <w:rPr>
          <w:rFonts w:cstheme="minorHAnsi"/>
          <w:sz w:val="24"/>
          <w:szCs w:val="24"/>
        </w:rPr>
        <w:t>new</w:t>
      </w:r>
      <w:r w:rsidRPr="007225BA">
        <w:rPr>
          <w:rFonts w:cstheme="minorHAnsi"/>
          <w:sz w:val="24"/>
          <w:szCs w:val="24"/>
        </w:rPr>
        <w:t xml:space="preserve"> plant, as well as suitable roads to transport </w:t>
      </w:r>
      <w:r w:rsidR="002C6C3B">
        <w:rPr>
          <w:rFonts w:cstheme="minorHAnsi"/>
          <w:sz w:val="24"/>
          <w:szCs w:val="24"/>
        </w:rPr>
        <w:t>project</w:t>
      </w:r>
      <w:r w:rsidRPr="007225BA">
        <w:rPr>
          <w:rFonts w:cstheme="minorHAnsi"/>
          <w:sz w:val="24"/>
          <w:szCs w:val="24"/>
        </w:rPr>
        <w:t xml:space="preserve"> components</w:t>
      </w:r>
      <w:r w:rsidR="00F45A19">
        <w:rPr>
          <w:rFonts w:cstheme="minorHAnsi"/>
          <w:sz w:val="24"/>
          <w:szCs w:val="24"/>
        </w:rPr>
        <w:t xml:space="preserve"> </w:t>
      </w:r>
      <w:r w:rsidRPr="007225BA">
        <w:rPr>
          <w:rFonts w:cstheme="minorHAnsi"/>
          <w:noProof/>
          <w:sz w:val="24"/>
          <w:szCs w:val="24"/>
        </w:rPr>
        <w:t>(Regione Toscana, 2008: 50)</w:t>
      </w:r>
      <w:r w:rsidRPr="007225BA">
        <w:rPr>
          <w:rFonts w:cstheme="minorHAnsi"/>
          <w:sz w:val="24"/>
          <w:szCs w:val="24"/>
        </w:rPr>
        <w:t>.</w:t>
      </w:r>
      <w:r w:rsidR="00E61F04">
        <w:rPr>
          <w:rFonts w:cstheme="minorHAnsi"/>
          <w:sz w:val="24"/>
          <w:szCs w:val="24"/>
        </w:rPr>
        <w:t xml:space="preserve"> </w:t>
      </w:r>
      <w:r w:rsidRPr="007225BA">
        <w:rPr>
          <w:rFonts w:cstheme="minorHAnsi"/>
          <w:sz w:val="24"/>
          <w:szCs w:val="24"/>
        </w:rPr>
        <w:t xml:space="preserve">In terms of actor alignment, the mapping provided </w:t>
      </w:r>
      <w:r w:rsidRPr="007225BA">
        <w:rPr>
          <w:rFonts w:cstheme="minorHAnsi"/>
          <w:i/>
          <w:sz w:val="24"/>
          <w:szCs w:val="24"/>
        </w:rPr>
        <w:t>guidance</w:t>
      </w:r>
      <w:r w:rsidRPr="007225BA">
        <w:rPr>
          <w:rFonts w:cstheme="minorHAnsi"/>
          <w:sz w:val="24"/>
          <w:szCs w:val="24"/>
        </w:rPr>
        <w:t xml:space="preserve"> on project siting, not firm spatial regulation.</w:t>
      </w:r>
    </w:p>
    <w:p w14:paraId="69AE045D" w14:textId="77777777" w:rsidR="004F3750" w:rsidRPr="007225BA" w:rsidRDefault="004F3750" w:rsidP="00735E90">
      <w:pPr>
        <w:pStyle w:val="HTMLPreformatted"/>
        <w:shd w:val="clear" w:color="auto" w:fill="FFFFFF"/>
        <w:jc w:val="both"/>
        <w:rPr>
          <w:rFonts w:asciiTheme="minorHAnsi" w:hAnsiTheme="minorHAnsi" w:cstheme="minorHAnsi"/>
          <w:bCs/>
          <w:sz w:val="24"/>
          <w:szCs w:val="24"/>
        </w:rPr>
      </w:pPr>
    </w:p>
    <w:p w14:paraId="53EA4185" w14:textId="440D2652" w:rsidR="004F3750" w:rsidRPr="007225BA" w:rsidRDefault="004F3750" w:rsidP="00735E90">
      <w:pPr>
        <w:pStyle w:val="HTMLPreformatted"/>
        <w:shd w:val="clear" w:color="auto" w:fill="FFFFFF"/>
        <w:jc w:val="both"/>
        <w:rPr>
          <w:rFonts w:asciiTheme="minorHAnsi" w:hAnsiTheme="minorHAnsi" w:cstheme="minorHAnsi"/>
          <w:bCs/>
          <w:sz w:val="24"/>
          <w:szCs w:val="24"/>
        </w:rPr>
      </w:pPr>
      <w:r w:rsidRPr="007225BA">
        <w:rPr>
          <w:rFonts w:asciiTheme="minorHAnsi" w:hAnsiTheme="minorHAnsi" w:cstheme="minorHAnsi"/>
          <w:bCs/>
          <w:sz w:val="24"/>
          <w:szCs w:val="24"/>
        </w:rPr>
        <w:lastRenderedPageBreak/>
        <w:t xml:space="preserve">In Apulia, the regional government commissioned a ‘regional wind atlas’ </w:t>
      </w:r>
      <w:r w:rsidRPr="007225BA">
        <w:rPr>
          <w:rFonts w:asciiTheme="minorHAnsi" w:hAnsiTheme="minorHAnsi" w:cstheme="minorHAnsi"/>
          <w:bCs/>
          <w:noProof/>
          <w:sz w:val="24"/>
          <w:szCs w:val="24"/>
        </w:rPr>
        <w:t>(</w:t>
      </w:r>
      <w:r w:rsidR="00786559">
        <w:rPr>
          <w:rFonts w:asciiTheme="minorHAnsi" w:hAnsiTheme="minorHAnsi" w:cstheme="minorHAnsi"/>
          <w:bCs/>
          <w:noProof/>
          <w:sz w:val="24"/>
          <w:szCs w:val="24"/>
        </w:rPr>
        <w:t xml:space="preserve">De Risi et al, </w:t>
      </w:r>
      <w:r w:rsidRPr="007225BA">
        <w:rPr>
          <w:rFonts w:asciiTheme="minorHAnsi" w:hAnsiTheme="minorHAnsi" w:cstheme="minorHAnsi"/>
          <w:bCs/>
          <w:noProof/>
          <w:sz w:val="24"/>
          <w:szCs w:val="24"/>
        </w:rPr>
        <w:t>2008)</w:t>
      </w:r>
      <w:r w:rsidRPr="007225BA">
        <w:rPr>
          <w:rFonts w:asciiTheme="minorHAnsi" w:hAnsiTheme="minorHAnsi" w:cstheme="minorHAnsi"/>
          <w:bCs/>
          <w:sz w:val="24"/>
          <w:szCs w:val="24"/>
        </w:rPr>
        <w:t>, mapping the wind resource in the region, that aimed to become a planning tool for site identification at municipality level. Nevertheless, it is the ‘availability of agricultural land’ that has shaped Apulia’s RE development path</w:t>
      </w:r>
      <w:r w:rsidR="00887525">
        <w:rPr>
          <w:rFonts w:asciiTheme="minorHAnsi" w:hAnsiTheme="minorHAnsi" w:cstheme="minorHAnsi"/>
          <w:bCs/>
          <w:sz w:val="24"/>
          <w:szCs w:val="24"/>
        </w:rPr>
        <w:t>,</w:t>
      </w:r>
      <w:r w:rsidR="00D514B4">
        <w:rPr>
          <w:rFonts w:asciiTheme="minorHAnsi" w:hAnsiTheme="minorHAnsi" w:cstheme="minorHAnsi"/>
          <w:bCs/>
          <w:sz w:val="24"/>
          <w:szCs w:val="24"/>
        </w:rPr>
        <w:t xml:space="preserve"> </w:t>
      </w:r>
      <w:r w:rsidRPr="007225BA">
        <w:rPr>
          <w:rFonts w:asciiTheme="minorHAnsi" w:hAnsiTheme="minorHAnsi" w:cstheme="minorHAnsi"/>
          <w:bCs/>
          <w:sz w:val="24"/>
          <w:szCs w:val="24"/>
        </w:rPr>
        <w:t xml:space="preserve">83 % of </w:t>
      </w:r>
      <w:r w:rsidR="00D514B4">
        <w:rPr>
          <w:rFonts w:asciiTheme="minorHAnsi" w:hAnsiTheme="minorHAnsi" w:cstheme="minorHAnsi"/>
          <w:bCs/>
          <w:sz w:val="24"/>
          <w:szCs w:val="24"/>
        </w:rPr>
        <w:t xml:space="preserve">its </w:t>
      </w:r>
      <w:r w:rsidRPr="007225BA">
        <w:rPr>
          <w:rFonts w:asciiTheme="minorHAnsi" w:hAnsiTheme="minorHAnsi" w:cstheme="minorHAnsi"/>
          <w:bCs/>
          <w:sz w:val="24"/>
          <w:szCs w:val="24"/>
        </w:rPr>
        <w:t>territory being agricultural land</w:t>
      </w:r>
      <w:r w:rsidR="002C6C3B">
        <w:rPr>
          <w:rFonts w:asciiTheme="minorHAnsi" w:hAnsiTheme="minorHAnsi" w:cstheme="minorHAnsi"/>
          <w:bCs/>
          <w:sz w:val="24"/>
          <w:szCs w:val="24"/>
        </w:rPr>
        <w:t xml:space="preserve">. </w:t>
      </w:r>
      <w:r w:rsidRPr="007225BA">
        <w:rPr>
          <w:rFonts w:asciiTheme="minorHAnsi" w:hAnsiTheme="minorHAnsi" w:cstheme="minorHAnsi"/>
          <w:bCs/>
          <w:sz w:val="24"/>
          <w:szCs w:val="24"/>
        </w:rPr>
        <w:t xml:space="preserve">Hence land availability acted as a ‘reservoir’ for RE projects, favoured by the assumption, at national level, that agricultural land is compatible with RE deployment </w:t>
      </w:r>
      <w:r w:rsidRPr="007225BA">
        <w:rPr>
          <w:rFonts w:asciiTheme="minorHAnsi" w:hAnsiTheme="minorHAnsi" w:cstheme="minorHAnsi"/>
          <w:bCs/>
          <w:i/>
          <w:sz w:val="24"/>
          <w:szCs w:val="24"/>
        </w:rPr>
        <w:t>ex-lege</w:t>
      </w:r>
      <w:r w:rsidRPr="007225BA">
        <w:rPr>
          <w:rFonts w:asciiTheme="minorHAnsi" w:hAnsiTheme="minorHAnsi" w:cstheme="minorHAnsi"/>
          <w:bCs/>
          <w:sz w:val="24"/>
          <w:szCs w:val="24"/>
        </w:rPr>
        <w:t>.</w:t>
      </w:r>
    </w:p>
    <w:p w14:paraId="5CE06E12" w14:textId="77777777" w:rsidR="004F3750" w:rsidRPr="007225BA" w:rsidRDefault="004F3750" w:rsidP="00735E90">
      <w:pPr>
        <w:pStyle w:val="HTMLPreformatted"/>
        <w:shd w:val="clear" w:color="auto" w:fill="FFFFFF"/>
        <w:jc w:val="both"/>
        <w:rPr>
          <w:rFonts w:asciiTheme="minorHAnsi" w:hAnsiTheme="minorHAnsi" w:cstheme="minorHAnsi"/>
          <w:bCs/>
          <w:sz w:val="24"/>
          <w:szCs w:val="24"/>
        </w:rPr>
      </w:pPr>
    </w:p>
    <w:p w14:paraId="28EB91D1" w14:textId="16932377" w:rsidR="004F3750" w:rsidRPr="007225BA" w:rsidRDefault="004F3750" w:rsidP="00735E90">
      <w:pPr>
        <w:pStyle w:val="HTMLPreformatted"/>
        <w:shd w:val="clear" w:color="auto" w:fill="FFFFFF"/>
        <w:jc w:val="both"/>
        <w:rPr>
          <w:rFonts w:asciiTheme="minorHAnsi" w:hAnsiTheme="minorHAnsi" w:cstheme="minorHAnsi"/>
          <w:sz w:val="24"/>
          <w:szCs w:val="24"/>
        </w:rPr>
      </w:pPr>
      <w:r w:rsidRPr="007225BA">
        <w:rPr>
          <w:rFonts w:asciiTheme="minorHAnsi" w:hAnsiTheme="minorHAnsi" w:cstheme="minorHAnsi"/>
          <w:bCs/>
          <w:sz w:val="24"/>
          <w:szCs w:val="24"/>
        </w:rPr>
        <w:t xml:space="preserve">Different problem framings also manifest in other divergences in regional response to national agendas. When the national Italian government introduced a single authorization process for RE projects, to resolve problems of slow and complex procedures </w:t>
      </w:r>
      <w:r w:rsidRPr="007225BA">
        <w:rPr>
          <w:rFonts w:asciiTheme="minorHAnsi" w:hAnsiTheme="minorHAnsi" w:cstheme="minorHAnsi"/>
          <w:bCs/>
          <w:noProof/>
          <w:sz w:val="24"/>
          <w:szCs w:val="24"/>
        </w:rPr>
        <w:t>(Malandrino and Sica, 2011)</w:t>
      </w:r>
      <w:r w:rsidRPr="007225BA">
        <w:rPr>
          <w:rFonts w:asciiTheme="minorHAnsi" w:hAnsiTheme="minorHAnsi" w:cstheme="minorHAnsi"/>
          <w:bCs/>
          <w:sz w:val="24"/>
          <w:szCs w:val="24"/>
        </w:rPr>
        <w:t xml:space="preserve">, </w:t>
      </w:r>
      <w:r w:rsidRPr="007225BA">
        <w:rPr>
          <w:rFonts w:asciiTheme="minorHAnsi" w:hAnsiTheme="minorHAnsi" w:cstheme="minorHAnsi"/>
          <w:sz w:val="24"/>
          <w:szCs w:val="24"/>
        </w:rPr>
        <w:t xml:space="preserve">Tuscany </w:t>
      </w:r>
      <w:r w:rsidRPr="00EE2E4D">
        <w:rPr>
          <w:rFonts w:asciiTheme="minorHAnsi" w:hAnsiTheme="minorHAnsi" w:cstheme="minorHAnsi"/>
          <w:sz w:val="24"/>
          <w:szCs w:val="24"/>
        </w:rPr>
        <w:t>followed the national regulation, but Apulia extended it</w:t>
      </w:r>
      <w:r w:rsidR="00F45A19">
        <w:rPr>
          <w:rFonts w:asciiTheme="minorHAnsi" w:hAnsiTheme="minorHAnsi" w:cstheme="minorHAnsi"/>
          <w:sz w:val="24"/>
          <w:szCs w:val="24"/>
        </w:rPr>
        <w:t xml:space="preserve"> from 60kW</w:t>
      </w:r>
      <w:r w:rsidRPr="00EE2E4D">
        <w:rPr>
          <w:rFonts w:asciiTheme="minorHAnsi" w:hAnsiTheme="minorHAnsi" w:cstheme="minorHAnsi"/>
          <w:sz w:val="24"/>
          <w:szCs w:val="24"/>
        </w:rPr>
        <w:t xml:space="preserve"> to embrace wind </w:t>
      </w:r>
      <w:r w:rsidR="00F45A19">
        <w:rPr>
          <w:rFonts w:asciiTheme="minorHAnsi" w:hAnsiTheme="minorHAnsi" w:cstheme="minorHAnsi"/>
          <w:sz w:val="24"/>
          <w:szCs w:val="24"/>
        </w:rPr>
        <w:t>projects (</w:t>
      </w:r>
      <w:r w:rsidRPr="00EE2E4D">
        <w:rPr>
          <w:rFonts w:asciiTheme="minorHAnsi" w:hAnsiTheme="minorHAnsi" w:cstheme="minorHAnsi"/>
          <w:sz w:val="24"/>
          <w:szCs w:val="24"/>
        </w:rPr>
        <w:t xml:space="preserve">and </w:t>
      </w:r>
      <w:r w:rsidR="00F45A19">
        <w:rPr>
          <w:rFonts w:asciiTheme="minorHAnsi" w:hAnsiTheme="minorHAnsi" w:cstheme="minorHAnsi"/>
          <w:sz w:val="24"/>
          <w:szCs w:val="24"/>
        </w:rPr>
        <w:t>other RE technologies)</w:t>
      </w:r>
      <w:r w:rsidRPr="00EE2E4D">
        <w:rPr>
          <w:rFonts w:asciiTheme="minorHAnsi" w:hAnsiTheme="minorHAnsi" w:cstheme="minorHAnsi"/>
          <w:sz w:val="24"/>
          <w:szCs w:val="24"/>
        </w:rPr>
        <w:t xml:space="preserve"> of up to 1 MW</w:t>
      </w:r>
      <w:r w:rsidR="00F45A19">
        <w:rPr>
          <w:rFonts w:asciiTheme="minorHAnsi" w:hAnsiTheme="minorHAnsi" w:cstheme="minorHAnsi"/>
          <w:sz w:val="24"/>
          <w:szCs w:val="24"/>
        </w:rPr>
        <w:t xml:space="preserve"> (see Table 2)</w:t>
      </w:r>
      <w:r w:rsidRPr="00EE2E4D">
        <w:rPr>
          <w:rFonts w:asciiTheme="minorHAnsi" w:hAnsiTheme="minorHAnsi" w:cstheme="minorHAnsi"/>
          <w:sz w:val="24"/>
          <w:szCs w:val="24"/>
        </w:rPr>
        <w:t>.</w:t>
      </w:r>
    </w:p>
    <w:p w14:paraId="7045BA44" w14:textId="77777777" w:rsidR="004F3750" w:rsidRPr="007225BA" w:rsidRDefault="004F3750" w:rsidP="00EE2E4D">
      <w:pPr>
        <w:pStyle w:val="HTMLPreformatted"/>
        <w:shd w:val="clear" w:color="auto" w:fill="FFFFFF"/>
        <w:jc w:val="both"/>
        <w:rPr>
          <w:rFonts w:asciiTheme="minorHAnsi" w:hAnsiTheme="minorHAnsi" w:cstheme="minorHAnsi"/>
          <w:sz w:val="24"/>
          <w:szCs w:val="24"/>
        </w:rPr>
      </w:pPr>
    </w:p>
    <w:p w14:paraId="3E07BD83" w14:textId="78D7A5DE" w:rsidR="004F3750" w:rsidRPr="007225BA" w:rsidRDefault="004F3750" w:rsidP="00735E90">
      <w:pPr>
        <w:autoSpaceDE w:val="0"/>
        <w:autoSpaceDN w:val="0"/>
        <w:adjustRightInd w:val="0"/>
        <w:spacing w:line="240" w:lineRule="auto"/>
        <w:jc w:val="both"/>
        <w:rPr>
          <w:rFonts w:cstheme="minorHAnsi"/>
          <w:sz w:val="24"/>
          <w:szCs w:val="24"/>
        </w:rPr>
      </w:pPr>
      <w:r w:rsidRPr="007225BA">
        <w:rPr>
          <w:rFonts w:cstheme="minorHAnsi"/>
          <w:sz w:val="24"/>
          <w:szCs w:val="24"/>
        </w:rPr>
        <w:t>National guidelines (</w:t>
      </w:r>
      <w:r w:rsidRPr="00E61F04">
        <w:rPr>
          <w:rFonts w:cstheme="minorHAnsi"/>
          <w:iCs/>
          <w:sz w:val="24"/>
          <w:szCs w:val="24"/>
        </w:rPr>
        <w:t>Linee</w:t>
      </w:r>
      <w:r w:rsidR="00C71273" w:rsidRPr="00E61F04">
        <w:rPr>
          <w:rFonts w:cstheme="minorHAnsi"/>
          <w:iCs/>
          <w:sz w:val="24"/>
          <w:szCs w:val="24"/>
        </w:rPr>
        <w:t xml:space="preserve"> </w:t>
      </w:r>
      <w:r w:rsidRPr="00E61F04">
        <w:rPr>
          <w:rFonts w:cstheme="minorHAnsi"/>
          <w:iCs/>
          <w:sz w:val="24"/>
          <w:szCs w:val="24"/>
        </w:rPr>
        <w:t>Guida</w:t>
      </w:r>
      <w:r w:rsidRPr="007225BA">
        <w:rPr>
          <w:rFonts w:cstheme="minorHAnsi"/>
          <w:sz w:val="24"/>
          <w:szCs w:val="24"/>
        </w:rPr>
        <w:t xml:space="preserve">) designed to </w:t>
      </w:r>
      <w:r w:rsidRPr="007225BA">
        <w:rPr>
          <w:rFonts w:eastAsia="Times New Roman" w:cstheme="minorHAnsi"/>
          <w:sz w:val="24"/>
          <w:szCs w:val="24"/>
          <w:lang w:eastAsia="en-GB"/>
        </w:rPr>
        <w:t xml:space="preserve">provide a common framework and criteria for the siting of RE plants </w:t>
      </w:r>
      <w:r w:rsidRPr="007225BA">
        <w:rPr>
          <w:rFonts w:cstheme="minorHAnsi"/>
          <w:sz w:val="24"/>
          <w:szCs w:val="24"/>
        </w:rPr>
        <w:t>were also slow to emerge. Tuscany filled the vacuum with its own thematic maps, emphasis</w:t>
      </w:r>
      <w:r w:rsidR="00887525">
        <w:rPr>
          <w:rFonts w:cstheme="minorHAnsi"/>
          <w:sz w:val="24"/>
          <w:szCs w:val="24"/>
        </w:rPr>
        <w:t>ing</w:t>
      </w:r>
      <w:r w:rsidRPr="007225BA">
        <w:rPr>
          <w:rFonts w:cstheme="minorHAnsi"/>
          <w:sz w:val="24"/>
          <w:szCs w:val="24"/>
        </w:rPr>
        <w:t xml:space="preserve"> landscape protection, as noted above. In Apulia, efforts to institute spatial planning approaches </w:t>
      </w:r>
      <w:r w:rsidR="0061215D">
        <w:rPr>
          <w:rFonts w:cstheme="minorHAnsi"/>
          <w:sz w:val="24"/>
          <w:szCs w:val="24"/>
        </w:rPr>
        <w:t>emerged later</w:t>
      </w:r>
      <w:r w:rsidR="00C71273">
        <w:rPr>
          <w:rFonts w:cstheme="minorHAnsi"/>
          <w:sz w:val="24"/>
          <w:szCs w:val="24"/>
        </w:rPr>
        <w:t xml:space="preserve"> </w:t>
      </w:r>
      <w:r w:rsidRPr="007225BA">
        <w:rPr>
          <w:rFonts w:cstheme="minorHAnsi"/>
          <w:sz w:val="24"/>
          <w:szCs w:val="24"/>
        </w:rPr>
        <w:t xml:space="preserve">and </w:t>
      </w:r>
      <w:r w:rsidR="00887525">
        <w:rPr>
          <w:rFonts w:cstheme="minorHAnsi"/>
          <w:sz w:val="24"/>
          <w:szCs w:val="24"/>
        </w:rPr>
        <w:t xml:space="preserve">were </w:t>
      </w:r>
      <w:r w:rsidRPr="007225BA">
        <w:rPr>
          <w:rFonts w:cstheme="minorHAnsi"/>
          <w:sz w:val="24"/>
          <w:szCs w:val="24"/>
        </w:rPr>
        <w:t xml:space="preserve">weaker in their </w:t>
      </w:r>
      <w:r w:rsidR="0061215D">
        <w:rPr>
          <w:rFonts w:cstheme="minorHAnsi"/>
          <w:sz w:val="24"/>
          <w:szCs w:val="24"/>
        </w:rPr>
        <w:t xml:space="preserve">coordinating </w:t>
      </w:r>
      <w:r w:rsidRPr="007225BA">
        <w:rPr>
          <w:rFonts w:cstheme="minorHAnsi"/>
          <w:sz w:val="24"/>
          <w:szCs w:val="24"/>
        </w:rPr>
        <w:t>effects. Regional</w:t>
      </w:r>
      <w:r w:rsidR="00C14167">
        <w:rPr>
          <w:rFonts w:cstheme="minorHAnsi"/>
          <w:sz w:val="24"/>
          <w:szCs w:val="24"/>
        </w:rPr>
        <w:t>-level</w:t>
      </w:r>
      <w:r w:rsidRPr="007225BA">
        <w:rPr>
          <w:rFonts w:cstheme="minorHAnsi"/>
          <w:sz w:val="24"/>
          <w:szCs w:val="24"/>
        </w:rPr>
        <w:t xml:space="preserve"> interest in spatial approaches was sparked by the need to respond to an unfolding ‘wind rush’, driven by national subsidies and the region’s own consent streamlining measures, including cumulative effects as projects concentrated in particular areas. During the peak demand period (end of 2011) 37,000 MW of wind projects were proposed </w:t>
      </w:r>
      <w:r w:rsidRPr="007225BA">
        <w:rPr>
          <w:rFonts w:cstheme="minorHAnsi"/>
          <w:noProof/>
          <w:sz w:val="24"/>
          <w:szCs w:val="24"/>
        </w:rPr>
        <w:t>(PEAR, 2014)</w:t>
      </w:r>
      <w:r w:rsidRPr="007225BA">
        <w:rPr>
          <w:rFonts w:cstheme="minorHAnsi"/>
          <w:sz w:val="24"/>
          <w:szCs w:val="24"/>
        </w:rPr>
        <w:t xml:space="preserve">. Apulia’s approach encouraged coordination across different spatial levels, inviting municipalities to introduce regulatory plans for wind energy deployment to identify unsuitable and exclusion zones. The Regional Regulatory plan for Wind projects </w:t>
      </w:r>
      <w:r w:rsidRPr="007225BA">
        <w:rPr>
          <w:rFonts w:cstheme="minorHAnsi"/>
          <w:noProof/>
          <w:sz w:val="24"/>
          <w:szCs w:val="24"/>
        </w:rPr>
        <w:t>(</w:t>
      </w:r>
      <w:r w:rsidR="00EE2E4D">
        <w:rPr>
          <w:rFonts w:cstheme="minorHAnsi"/>
          <w:noProof/>
          <w:sz w:val="24"/>
          <w:szCs w:val="24"/>
        </w:rPr>
        <w:t xml:space="preserve">BURP, </w:t>
      </w:r>
      <w:r w:rsidRPr="007225BA">
        <w:rPr>
          <w:rFonts w:cstheme="minorHAnsi"/>
          <w:noProof/>
          <w:sz w:val="24"/>
          <w:szCs w:val="24"/>
        </w:rPr>
        <w:t>2006)</w:t>
      </w:r>
      <w:r w:rsidRPr="007225BA">
        <w:rPr>
          <w:rFonts w:cstheme="minorHAnsi"/>
          <w:sz w:val="24"/>
          <w:szCs w:val="24"/>
        </w:rPr>
        <w:t xml:space="preserve"> provided guidance in areas to be excluded (e.g. protected areas, urban areas, areas of landscape importance), existing infrastructure constraints and cumulative effects. Municipalities were also encouraged to collaborate via inter-municipal plans</w:t>
      </w:r>
      <w:r w:rsidRPr="007225BA">
        <w:rPr>
          <w:rFonts w:cstheme="minorHAnsi"/>
          <w:i/>
          <w:sz w:val="24"/>
          <w:szCs w:val="24"/>
        </w:rPr>
        <w:t>.</w:t>
      </w:r>
    </w:p>
    <w:p w14:paraId="49FE1957" w14:textId="77777777" w:rsidR="004F3750" w:rsidRPr="007225BA" w:rsidRDefault="004F3750" w:rsidP="00735E90">
      <w:pPr>
        <w:autoSpaceDE w:val="0"/>
        <w:autoSpaceDN w:val="0"/>
        <w:adjustRightInd w:val="0"/>
        <w:spacing w:line="240" w:lineRule="auto"/>
        <w:jc w:val="both"/>
        <w:rPr>
          <w:rFonts w:cstheme="minorHAnsi"/>
          <w:sz w:val="24"/>
          <w:szCs w:val="24"/>
        </w:rPr>
      </w:pPr>
    </w:p>
    <w:p w14:paraId="341EF4C6" w14:textId="77777777" w:rsidR="004F3750" w:rsidRPr="007225BA" w:rsidRDefault="004F3750" w:rsidP="00735E90">
      <w:pPr>
        <w:autoSpaceDE w:val="0"/>
        <w:autoSpaceDN w:val="0"/>
        <w:adjustRightInd w:val="0"/>
        <w:spacing w:line="240" w:lineRule="auto"/>
        <w:jc w:val="both"/>
        <w:rPr>
          <w:rFonts w:cstheme="minorHAnsi"/>
          <w:sz w:val="24"/>
          <w:szCs w:val="24"/>
        </w:rPr>
      </w:pPr>
      <w:r w:rsidRPr="007225BA">
        <w:rPr>
          <w:rFonts w:cstheme="minorHAnsi"/>
          <w:sz w:val="24"/>
          <w:szCs w:val="24"/>
        </w:rPr>
        <w:t xml:space="preserve">Apulia’s </w:t>
      </w:r>
      <w:r w:rsidR="00887525">
        <w:rPr>
          <w:rFonts w:cstheme="minorHAnsi"/>
          <w:sz w:val="24"/>
          <w:szCs w:val="24"/>
        </w:rPr>
        <w:t>spatial planning approaches</w:t>
      </w:r>
      <w:r w:rsidRPr="007225BA">
        <w:rPr>
          <w:rFonts w:cstheme="minorHAnsi"/>
          <w:sz w:val="24"/>
          <w:szCs w:val="24"/>
        </w:rPr>
        <w:t xml:space="preserve"> faltered, for a number of reasons. Firstly, coordination was </w:t>
      </w:r>
      <w:r w:rsidR="00C14167">
        <w:rPr>
          <w:rFonts w:cstheme="minorHAnsi"/>
          <w:sz w:val="24"/>
          <w:szCs w:val="24"/>
        </w:rPr>
        <w:t>problematic with</w:t>
      </w:r>
      <w:r w:rsidRPr="007225BA">
        <w:rPr>
          <w:rFonts w:cstheme="minorHAnsi"/>
          <w:sz w:val="24"/>
          <w:szCs w:val="24"/>
        </w:rPr>
        <w:t xml:space="preserve"> 255 municipalities in the region. Secondly, areas where wind resources are concentrated were perceived to be less constrained in landscape terms. Thirdly, municipalities stood to gain from RE projects through land rent and generous royalties from developers. Consequently, the adoption of municipal regulatory plans was patchy. </w:t>
      </w:r>
      <w:r w:rsidR="0061215D">
        <w:rPr>
          <w:rFonts w:cstheme="minorHAnsi"/>
          <w:sz w:val="24"/>
          <w:szCs w:val="24"/>
        </w:rPr>
        <w:t>A</w:t>
      </w:r>
      <w:r w:rsidRPr="007225BA">
        <w:rPr>
          <w:rFonts w:cstheme="minorHAnsi"/>
          <w:sz w:val="24"/>
          <w:szCs w:val="24"/>
        </w:rPr>
        <w:t xml:space="preserve">ttempts by the regional level to </w:t>
      </w:r>
      <w:r w:rsidR="0061215D">
        <w:rPr>
          <w:rFonts w:cstheme="minorHAnsi"/>
          <w:sz w:val="24"/>
          <w:szCs w:val="24"/>
        </w:rPr>
        <w:t>specify</w:t>
      </w:r>
      <w:r w:rsidRPr="007225BA">
        <w:rPr>
          <w:rFonts w:cstheme="minorHAnsi"/>
          <w:sz w:val="24"/>
          <w:szCs w:val="24"/>
        </w:rPr>
        <w:t xml:space="preserve"> criteria for exclusion zones were judged un-constitutional, because regions could not identify limitations and exclusion zones without the</w:t>
      </w:r>
      <w:r w:rsidR="00C71273">
        <w:rPr>
          <w:rFonts w:cstheme="minorHAnsi"/>
          <w:sz w:val="24"/>
          <w:szCs w:val="24"/>
        </w:rPr>
        <w:t xml:space="preserve"> </w:t>
      </w:r>
      <w:r w:rsidR="00650CD4">
        <w:rPr>
          <w:rFonts w:cstheme="minorHAnsi"/>
          <w:sz w:val="24"/>
          <w:szCs w:val="24"/>
        </w:rPr>
        <w:t>guidance</w:t>
      </w:r>
      <w:r w:rsidR="00C71273">
        <w:rPr>
          <w:rFonts w:cstheme="minorHAnsi"/>
          <w:sz w:val="24"/>
          <w:szCs w:val="24"/>
        </w:rPr>
        <w:t xml:space="preserve"> </w:t>
      </w:r>
      <w:r w:rsidR="00781714">
        <w:rPr>
          <w:rFonts w:cstheme="minorHAnsi"/>
          <w:sz w:val="24"/>
          <w:szCs w:val="24"/>
        </w:rPr>
        <w:t xml:space="preserve">published in the </w:t>
      </w:r>
      <w:r w:rsidRPr="007225BA">
        <w:rPr>
          <w:rFonts w:cstheme="minorHAnsi"/>
          <w:sz w:val="24"/>
          <w:szCs w:val="24"/>
        </w:rPr>
        <w:t>national</w:t>
      </w:r>
      <w:r w:rsidR="00C71273">
        <w:rPr>
          <w:rFonts w:cstheme="minorHAnsi"/>
          <w:sz w:val="24"/>
          <w:szCs w:val="24"/>
        </w:rPr>
        <w:t xml:space="preserve"> </w:t>
      </w:r>
      <w:r w:rsidRPr="007225BA">
        <w:rPr>
          <w:rFonts w:cstheme="minorHAnsi"/>
          <w:sz w:val="24"/>
          <w:szCs w:val="24"/>
        </w:rPr>
        <w:t>Linee</w:t>
      </w:r>
      <w:r w:rsidR="00C71273">
        <w:rPr>
          <w:rFonts w:cstheme="minorHAnsi"/>
          <w:sz w:val="24"/>
          <w:szCs w:val="24"/>
        </w:rPr>
        <w:t xml:space="preserve"> </w:t>
      </w:r>
      <w:r w:rsidRPr="007225BA">
        <w:rPr>
          <w:rFonts w:cstheme="minorHAnsi"/>
          <w:sz w:val="24"/>
          <w:szCs w:val="24"/>
        </w:rPr>
        <w:t>Guida.</w:t>
      </w:r>
    </w:p>
    <w:p w14:paraId="22A1256D" w14:textId="77777777" w:rsidR="004F3750" w:rsidRPr="007225BA" w:rsidRDefault="004F3750" w:rsidP="00EE2E4D">
      <w:pPr>
        <w:autoSpaceDE w:val="0"/>
        <w:autoSpaceDN w:val="0"/>
        <w:adjustRightInd w:val="0"/>
        <w:spacing w:line="240" w:lineRule="auto"/>
        <w:jc w:val="both"/>
        <w:rPr>
          <w:rFonts w:cstheme="minorHAnsi"/>
          <w:sz w:val="24"/>
          <w:szCs w:val="24"/>
        </w:rPr>
      </w:pPr>
    </w:p>
    <w:p w14:paraId="1B2583BE" w14:textId="5DED928C" w:rsidR="004F3750" w:rsidRPr="007225BA" w:rsidRDefault="004F3750" w:rsidP="00735E90">
      <w:pPr>
        <w:pStyle w:val="HTMLPreformatted"/>
        <w:shd w:val="clear" w:color="auto" w:fill="FFFFFF"/>
        <w:jc w:val="both"/>
        <w:rPr>
          <w:rFonts w:asciiTheme="minorHAnsi" w:hAnsiTheme="minorHAnsi" w:cstheme="minorHAnsi"/>
          <w:sz w:val="24"/>
          <w:szCs w:val="24"/>
        </w:rPr>
      </w:pPr>
      <w:r w:rsidRPr="007225BA">
        <w:rPr>
          <w:rFonts w:asciiTheme="minorHAnsi" w:hAnsiTheme="minorHAnsi" w:cstheme="minorHAnsi"/>
          <w:bCs/>
          <w:sz w:val="24"/>
          <w:szCs w:val="24"/>
        </w:rPr>
        <w:t xml:space="preserve">As our </w:t>
      </w:r>
      <w:r w:rsidRPr="007225BA">
        <w:rPr>
          <w:rFonts w:asciiTheme="minorHAnsi" w:hAnsiTheme="minorHAnsi" w:cstheme="minorHAnsi"/>
          <w:sz w:val="24"/>
          <w:szCs w:val="24"/>
        </w:rPr>
        <w:t xml:space="preserve">data shows, the roll-out of spatial planning approaches in Italy </w:t>
      </w:r>
      <w:r w:rsidR="00762AEF">
        <w:rPr>
          <w:rFonts w:asciiTheme="minorHAnsi" w:hAnsiTheme="minorHAnsi" w:cstheme="minorHAnsi"/>
          <w:sz w:val="24"/>
          <w:szCs w:val="24"/>
        </w:rPr>
        <w:t xml:space="preserve">has been uneven and problematic, </w:t>
      </w:r>
      <w:r w:rsidRPr="007225BA">
        <w:rPr>
          <w:rFonts w:asciiTheme="minorHAnsi" w:hAnsiTheme="minorHAnsi" w:cstheme="minorHAnsi"/>
          <w:sz w:val="24"/>
          <w:szCs w:val="24"/>
        </w:rPr>
        <w:t>characterised by</w:t>
      </w:r>
      <w:r w:rsidR="004765CC">
        <w:rPr>
          <w:rFonts w:asciiTheme="minorHAnsi" w:hAnsiTheme="minorHAnsi" w:cstheme="minorHAnsi"/>
          <w:sz w:val="24"/>
          <w:szCs w:val="24"/>
        </w:rPr>
        <w:t xml:space="preserve"> </w:t>
      </w:r>
      <w:r w:rsidRPr="007225BA">
        <w:rPr>
          <w:rFonts w:asciiTheme="minorHAnsi" w:hAnsiTheme="minorHAnsi" w:cstheme="minorHAnsi"/>
          <w:sz w:val="24"/>
          <w:szCs w:val="24"/>
        </w:rPr>
        <w:t xml:space="preserve">contradiction and misalignment across the different governmental levels. </w:t>
      </w:r>
      <w:r w:rsidR="00762AEF">
        <w:rPr>
          <w:rFonts w:asciiTheme="minorHAnsi" w:hAnsiTheme="minorHAnsi" w:cstheme="minorHAnsi"/>
          <w:sz w:val="24"/>
          <w:szCs w:val="24"/>
        </w:rPr>
        <w:t xml:space="preserve">Public participation in </w:t>
      </w:r>
      <w:r w:rsidRPr="007225BA">
        <w:rPr>
          <w:rFonts w:asciiTheme="minorHAnsi" w:hAnsiTheme="minorHAnsi" w:cstheme="minorHAnsi"/>
          <w:sz w:val="24"/>
          <w:szCs w:val="24"/>
        </w:rPr>
        <w:t>developing regional energy plans and spatial planning approaches</w:t>
      </w:r>
      <w:r w:rsidR="00762AEF">
        <w:rPr>
          <w:rFonts w:asciiTheme="minorHAnsi" w:hAnsiTheme="minorHAnsi" w:cstheme="minorHAnsi"/>
          <w:sz w:val="24"/>
          <w:szCs w:val="24"/>
        </w:rPr>
        <w:t xml:space="preserve"> has been limited, too</w:t>
      </w:r>
      <w:r w:rsidRPr="007225BA">
        <w:rPr>
          <w:rFonts w:asciiTheme="minorHAnsi" w:hAnsiTheme="minorHAnsi" w:cstheme="minorHAnsi"/>
          <w:sz w:val="24"/>
          <w:szCs w:val="24"/>
        </w:rPr>
        <w:t>, but this is arguably not a major factor explaining success or failure</w:t>
      </w:r>
      <w:r w:rsidR="00762AEF">
        <w:rPr>
          <w:rFonts w:asciiTheme="minorHAnsi" w:hAnsiTheme="minorHAnsi" w:cstheme="minorHAnsi"/>
          <w:sz w:val="24"/>
          <w:szCs w:val="24"/>
        </w:rPr>
        <w:t xml:space="preserve">. </w:t>
      </w:r>
      <w:r w:rsidR="00887525">
        <w:rPr>
          <w:rFonts w:asciiTheme="minorHAnsi" w:hAnsiTheme="minorHAnsi" w:cstheme="minorHAnsi"/>
          <w:sz w:val="24"/>
          <w:szCs w:val="24"/>
        </w:rPr>
        <w:t>P</w:t>
      </w:r>
      <w:r w:rsidRPr="007225BA">
        <w:rPr>
          <w:rFonts w:asciiTheme="minorHAnsi" w:hAnsiTheme="minorHAnsi" w:cstheme="minorHAnsi"/>
          <w:sz w:val="24"/>
          <w:szCs w:val="24"/>
        </w:rPr>
        <w:t xml:space="preserve">ublic participation </w:t>
      </w:r>
      <w:r w:rsidR="009C6EA6">
        <w:rPr>
          <w:rFonts w:asciiTheme="minorHAnsi" w:hAnsiTheme="minorHAnsi" w:cstheme="minorHAnsi"/>
          <w:sz w:val="24"/>
          <w:szCs w:val="24"/>
        </w:rPr>
        <w:t xml:space="preserve">in RE planning </w:t>
      </w:r>
      <w:r w:rsidRPr="007225BA">
        <w:rPr>
          <w:rFonts w:asciiTheme="minorHAnsi" w:hAnsiTheme="minorHAnsi" w:cstheme="minorHAnsi"/>
          <w:sz w:val="24"/>
          <w:szCs w:val="24"/>
        </w:rPr>
        <w:t>has not been the norm in Italy, beyond individual project</w:t>
      </w:r>
      <w:r w:rsidR="009C6EA6">
        <w:rPr>
          <w:rFonts w:asciiTheme="minorHAnsi" w:hAnsiTheme="minorHAnsi" w:cstheme="minorHAnsi"/>
          <w:sz w:val="24"/>
          <w:szCs w:val="24"/>
        </w:rPr>
        <w:t xml:space="preserve"> EIA</w:t>
      </w:r>
      <w:r w:rsidR="00762AEF">
        <w:rPr>
          <w:rFonts w:asciiTheme="minorHAnsi" w:hAnsiTheme="minorHAnsi" w:cstheme="minorHAnsi"/>
          <w:sz w:val="24"/>
          <w:szCs w:val="24"/>
        </w:rPr>
        <w:t>, and neither of our selected regions experienced</w:t>
      </w:r>
      <w:r w:rsidR="004765CC">
        <w:rPr>
          <w:rFonts w:asciiTheme="minorHAnsi" w:hAnsiTheme="minorHAnsi" w:cstheme="minorHAnsi"/>
          <w:sz w:val="24"/>
          <w:szCs w:val="24"/>
        </w:rPr>
        <w:t xml:space="preserve"> </w:t>
      </w:r>
      <w:r w:rsidRPr="007225BA">
        <w:rPr>
          <w:rFonts w:asciiTheme="minorHAnsi" w:hAnsiTheme="minorHAnsi" w:cstheme="minorHAnsi"/>
          <w:sz w:val="24"/>
          <w:szCs w:val="24"/>
        </w:rPr>
        <w:t xml:space="preserve">widespread public </w:t>
      </w:r>
      <w:r w:rsidR="00E61F04">
        <w:rPr>
          <w:rFonts w:asciiTheme="minorHAnsi" w:hAnsiTheme="minorHAnsi" w:cstheme="minorHAnsi"/>
          <w:sz w:val="24"/>
          <w:szCs w:val="24"/>
        </w:rPr>
        <w:t>resistance to</w:t>
      </w:r>
      <w:r w:rsidRPr="007225BA">
        <w:rPr>
          <w:rFonts w:asciiTheme="minorHAnsi" w:hAnsiTheme="minorHAnsi" w:cstheme="minorHAnsi"/>
          <w:sz w:val="24"/>
          <w:szCs w:val="24"/>
        </w:rPr>
        <w:t xml:space="preserve"> </w:t>
      </w:r>
      <w:proofErr w:type="gramStart"/>
      <w:r w:rsidRPr="007225BA">
        <w:rPr>
          <w:rFonts w:asciiTheme="minorHAnsi" w:hAnsiTheme="minorHAnsi" w:cstheme="minorHAnsi"/>
          <w:sz w:val="24"/>
          <w:szCs w:val="24"/>
        </w:rPr>
        <w:t>on-shore</w:t>
      </w:r>
      <w:proofErr w:type="gramEnd"/>
      <w:r w:rsidRPr="007225BA">
        <w:rPr>
          <w:rFonts w:asciiTheme="minorHAnsi" w:hAnsiTheme="minorHAnsi" w:cstheme="minorHAnsi"/>
          <w:sz w:val="24"/>
          <w:szCs w:val="24"/>
        </w:rPr>
        <w:t xml:space="preserve"> wind expansion.</w:t>
      </w:r>
    </w:p>
    <w:p w14:paraId="093BCBE5" w14:textId="77777777" w:rsidR="004F3750" w:rsidRPr="007225BA" w:rsidRDefault="004F3750" w:rsidP="00735E90">
      <w:pPr>
        <w:pStyle w:val="HTMLPreformatted"/>
        <w:shd w:val="clear" w:color="auto" w:fill="FFFFFF"/>
        <w:jc w:val="both"/>
        <w:rPr>
          <w:rFonts w:asciiTheme="minorHAnsi" w:hAnsiTheme="minorHAnsi" w:cstheme="minorHAnsi"/>
          <w:sz w:val="24"/>
          <w:szCs w:val="24"/>
        </w:rPr>
      </w:pPr>
    </w:p>
    <w:p w14:paraId="5609C8B0" w14:textId="77777777" w:rsidR="004F3750" w:rsidRPr="007225BA" w:rsidRDefault="004F3750" w:rsidP="00735E90">
      <w:pPr>
        <w:pStyle w:val="HTMLPreformatted"/>
        <w:shd w:val="clear" w:color="auto" w:fill="FFFFFF"/>
        <w:jc w:val="both"/>
        <w:rPr>
          <w:rFonts w:asciiTheme="minorHAnsi" w:hAnsiTheme="minorHAnsi" w:cstheme="minorHAnsi"/>
          <w:sz w:val="24"/>
          <w:szCs w:val="24"/>
        </w:rPr>
      </w:pPr>
      <w:r w:rsidRPr="007225BA">
        <w:rPr>
          <w:rFonts w:asciiTheme="minorHAnsi" w:hAnsiTheme="minorHAnsi" w:cstheme="minorHAnsi"/>
          <w:sz w:val="24"/>
          <w:szCs w:val="24"/>
        </w:rPr>
        <w:lastRenderedPageBreak/>
        <w:t xml:space="preserve">Tuscany shows high levels of coordination and participation between the different tiers of subnational government and existing organised stakeholders, which encouraged alignment of different interests. </w:t>
      </w:r>
      <w:r w:rsidRPr="007225BA">
        <w:rPr>
          <w:rFonts w:asciiTheme="minorHAnsi" w:hAnsiTheme="minorHAnsi" w:cstheme="minorHAnsi"/>
          <w:bCs/>
          <w:sz w:val="24"/>
          <w:szCs w:val="24"/>
        </w:rPr>
        <w:t xml:space="preserve">Unquestionably, the region has also acquired high levels of institutional capacity </w:t>
      </w:r>
      <w:r w:rsidR="002C6C3B">
        <w:rPr>
          <w:rFonts w:asciiTheme="minorHAnsi" w:hAnsiTheme="minorHAnsi" w:cstheme="minorHAnsi"/>
          <w:sz w:val="24"/>
          <w:szCs w:val="24"/>
        </w:rPr>
        <w:t>from</w:t>
      </w:r>
      <w:r w:rsidRPr="007225BA">
        <w:rPr>
          <w:rFonts w:asciiTheme="minorHAnsi" w:hAnsiTheme="minorHAnsi" w:cstheme="minorHAnsi"/>
          <w:sz w:val="24"/>
          <w:szCs w:val="24"/>
        </w:rPr>
        <w:t xml:space="preserve"> regulating the planning and permitting of new geothermal capacity and managing opposition. This coupled with a strong organisational capacity at regional government level has to some extent limited the ability of RE developers and small municipalities to exert influence over regional decision-making </w:t>
      </w:r>
      <w:r w:rsidRPr="007225BA">
        <w:rPr>
          <w:rFonts w:asciiTheme="minorHAnsi" w:hAnsiTheme="minorHAnsi" w:cstheme="minorHAnsi"/>
          <w:noProof/>
          <w:sz w:val="24"/>
          <w:szCs w:val="24"/>
        </w:rPr>
        <w:t>(RSE, 2011, Lauf et al., 2020)</w:t>
      </w:r>
      <w:r w:rsidRPr="007225BA">
        <w:rPr>
          <w:rFonts w:asciiTheme="minorHAnsi" w:hAnsiTheme="minorHAnsi" w:cstheme="minorHAnsi"/>
          <w:sz w:val="24"/>
          <w:szCs w:val="24"/>
        </w:rPr>
        <w:t>.</w:t>
      </w:r>
      <w:r w:rsidR="004765CC">
        <w:rPr>
          <w:rFonts w:asciiTheme="minorHAnsi" w:hAnsiTheme="minorHAnsi" w:cstheme="minorHAnsi"/>
          <w:sz w:val="24"/>
          <w:szCs w:val="24"/>
        </w:rPr>
        <w:t xml:space="preserve"> </w:t>
      </w:r>
      <w:r w:rsidRPr="007225BA">
        <w:rPr>
          <w:rFonts w:asciiTheme="minorHAnsi" w:hAnsiTheme="minorHAnsi" w:cstheme="minorHAnsi"/>
          <w:sz w:val="24"/>
          <w:szCs w:val="24"/>
        </w:rPr>
        <w:t xml:space="preserve">In Apulia the dominant forces for actor alignment have been economic </w:t>
      </w:r>
      <w:r w:rsidR="00887525">
        <w:rPr>
          <w:rFonts w:asciiTheme="minorHAnsi" w:hAnsiTheme="minorHAnsi" w:cstheme="minorHAnsi"/>
          <w:sz w:val="24"/>
          <w:szCs w:val="24"/>
        </w:rPr>
        <w:t xml:space="preserve">- </w:t>
      </w:r>
      <w:r w:rsidRPr="007225BA">
        <w:rPr>
          <w:rFonts w:asciiTheme="minorHAnsi" w:hAnsiTheme="minorHAnsi" w:cstheme="minorHAnsi"/>
          <w:sz w:val="24"/>
          <w:szCs w:val="24"/>
        </w:rPr>
        <w:t xml:space="preserve">rather than </w:t>
      </w:r>
      <w:r w:rsidR="00762AEF">
        <w:rPr>
          <w:rFonts w:asciiTheme="minorHAnsi" w:hAnsiTheme="minorHAnsi" w:cstheme="minorHAnsi"/>
          <w:sz w:val="24"/>
          <w:szCs w:val="24"/>
        </w:rPr>
        <w:t xml:space="preserve">civic or environmental </w:t>
      </w:r>
      <w:r w:rsidR="009C6EA6">
        <w:rPr>
          <w:rFonts w:asciiTheme="minorHAnsi" w:hAnsiTheme="minorHAnsi" w:cstheme="minorHAnsi"/>
          <w:sz w:val="24"/>
          <w:szCs w:val="24"/>
        </w:rPr>
        <w:t>concerns about</w:t>
      </w:r>
      <w:r w:rsidRPr="007225BA">
        <w:rPr>
          <w:rFonts w:asciiTheme="minorHAnsi" w:hAnsiTheme="minorHAnsi" w:cstheme="minorHAnsi"/>
          <w:sz w:val="24"/>
          <w:szCs w:val="24"/>
        </w:rPr>
        <w:t xml:space="preserve"> siting</w:t>
      </w:r>
      <w:r w:rsidR="00887525">
        <w:rPr>
          <w:rFonts w:asciiTheme="minorHAnsi" w:hAnsiTheme="minorHAnsi" w:cstheme="minorHAnsi"/>
          <w:sz w:val="24"/>
          <w:szCs w:val="24"/>
        </w:rPr>
        <w:t xml:space="preserve"> -</w:t>
      </w:r>
      <w:r w:rsidRPr="007225BA">
        <w:rPr>
          <w:rFonts w:asciiTheme="minorHAnsi" w:hAnsiTheme="minorHAnsi" w:cstheme="minorHAnsi"/>
          <w:sz w:val="24"/>
          <w:szCs w:val="24"/>
        </w:rPr>
        <w:t xml:space="preserve"> bringing </w:t>
      </w:r>
      <w:r w:rsidR="00762AEF">
        <w:rPr>
          <w:rFonts w:asciiTheme="minorHAnsi" w:hAnsiTheme="minorHAnsi" w:cstheme="minorHAnsi"/>
          <w:sz w:val="24"/>
          <w:szCs w:val="24"/>
        </w:rPr>
        <w:t>together</w:t>
      </w:r>
      <w:r w:rsidRPr="007225BA">
        <w:rPr>
          <w:rFonts w:asciiTheme="minorHAnsi" w:hAnsiTheme="minorHAnsi" w:cstheme="minorHAnsi"/>
          <w:sz w:val="24"/>
          <w:szCs w:val="24"/>
        </w:rPr>
        <w:t xml:space="preserve"> farmers, </w:t>
      </w:r>
      <w:proofErr w:type="gramStart"/>
      <w:r w:rsidRPr="007225BA">
        <w:rPr>
          <w:rFonts w:asciiTheme="minorHAnsi" w:hAnsiTheme="minorHAnsi" w:cstheme="minorHAnsi"/>
          <w:sz w:val="24"/>
          <w:szCs w:val="24"/>
        </w:rPr>
        <w:t>municipalities</w:t>
      </w:r>
      <w:proofErr w:type="gramEnd"/>
      <w:r w:rsidRPr="007225BA">
        <w:rPr>
          <w:rFonts w:asciiTheme="minorHAnsi" w:hAnsiTheme="minorHAnsi" w:cstheme="minorHAnsi"/>
          <w:sz w:val="24"/>
          <w:szCs w:val="24"/>
        </w:rPr>
        <w:t xml:space="preserve"> and intermediary bodies as potential financial beneficiaries of wind farm development. </w:t>
      </w:r>
    </w:p>
    <w:p w14:paraId="5064E021" w14:textId="77777777" w:rsidR="004F3750" w:rsidRPr="007225BA" w:rsidRDefault="004F3750" w:rsidP="00735E90">
      <w:pPr>
        <w:tabs>
          <w:tab w:val="left" w:pos="0"/>
          <w:tab w:val="left" w:pos="1832"/>
        </w:tabs>
        <w:spacing w:line="240" w:lineRule="auto"/>
        <w:jc w:val="both"/>
        <w:rPr>
          <w:rFonts w:cstheme="minorHAnsi"/>
          <w:bCs/>
          <w:sz w:val="24"/>
          <w:szCs w:val="24"/>
        </w:rPr>
      </w:pPr>
    </w:p>
    <w:p w14:paraId="48F723CF" w14:textId="77777777" w:rsidR="004F3750" w:rsidRPr="007225BA" w:rsidRDefault="004F3750" w:rsidP="00735E90">
      <w:pPr>
        <w:tabs>
          <w:tab w:val="left" w:pos="0"/>
        </w:tabs>
        <w:spacing w:line="240" w:lineRule="auto"/>
        <w:jc w:val="both"/>
        <w:rPr>
          <w:rFonts w:cstheme="minorHAnsi"/>
          <w:bCs/>
          <w:sz w:val="24"/>
          <w:szCs w:val="24"/>
        </w:rPr>
      </w:pPr>
    </w:p>
    <w:p w14:paraId="4C25A386" w14:textId="77777777" w:rsidR="004F3750" w:rsidRPr="006A7FE9" w:rsidRDefault="004F3750" w:rsidP="00735E90">
      <w:pPr>
        <w:pStyle w:val="Heading2"/>
        <w:spacing w:before="0" w:line="240" w:lineRule="auto"/>
        <w:jc w:val="both"/>
        <w:rPr>
          <w:rFonts w:asciiTheme="minorHAnsi" w:hAnsiTheme="minorHAnsi" w:cstheme="minorHAnsi"/>
          <w:b/>
          <w:i/>
          <w:color w:val="auto"/>
          <w:sz w:val="24"/>
          <w:szCs w:val="24"/>
        </w:rPr>
      </w:pPr>
      <w:r w:rsidRPr="006A7FE9">
        <w:rPr>
          <w:rFonts w:asciiTheme="minorHAnsi" w:hAnsiTheme="minorHAnsi" w:cstheme="minorHAnsi"/>
          <w:b/>
          <w:i/>
          <w:color w:val="auto"/>
          <w:sz w:val="24"/>
          <w:szCs w:val="24"/>
        </w:rPr>
        <w:t>UK: divergence in spatial planning approaches, to divergent ends</w:t>
      </w:r>
    </w:p>
    <w:p w14:paraId="5AFF3806" w14:textId="77777777" w:rsidR="002C6C3B" w:rsidRDefault="002C6C3B" w:rsidP="00735E90">
      <w:pPr>
        <w:pStyle w:val="Heading3"/>
        <w:spacing w:before="0" w:line="240" w:lineRule="auto"/>
        <w:rPr>
          <w:rFonts w:asciiTheme="minorHAnsi" w:hAnsiTheme="minorHAnsi" w:cstheme="minorHAnsi"/>
          <w:b/>
          <w:color w:val="auto"/>
        </w:rPr>
      </w:pPr>
    </w:p>
    <w:p w14:paraId="0C15310C" w14:textId="77777777" w:rsidR="004F3750" w:rsidRPr="006A7FE9" w:rsidRDefault="004F3750" w:rsidP="00735E90">
      <w:pPr>
        <w:pStyle w:val="Heading3"/>
        <w:spacing w:before="0" w:line="240" w:lineRule="auto"/>
        <w:rPr>
          <w:rFonts w:asciiTheme="minorHAnsi" w:hAnsiTheme="minorHAnsi" w:cstheme="minorHAnsi"/>
          <w:i/>
          <w:color w:val="auto"/>
        </w:rPr>
      </w:pPr>
      <w:r w:rsidRPr="006A7FE9">
        <w:rPr>
          <w:rFonts w:asciiTheme="minorHAnsi" w:hAnsiTheme="minorHAnsi" w:cstheme="minorHAnsi"/>
          <w:i/>
          <w:color w:val="auto"/>
        </w:rPr>
        <w:t>Problem framing: planning in support of RE expansion</w:t>
      </w:r>
    </w:p>
    <w:p w14:paraId="24075E4C" w14:textId="77777777" w:rsidR="004F3750" w:rsidRPr="007225BA" w:rsidRDefault="004F3750" w:rsidP="00735E90">
      <w:pPr>
        <w:spacing w:line="240" w:lineRule="auto"/>
        <w:jc w:val="both"/>
        <w:rPr>
          <w:rFonts w:cstheme="minorHAnsi"/>
          <w:sz w:val="24"/>
          <w:szCs w:val="24"/>
        </w:rPr>
      </w:pPr>
    </w:p>
    <w:p w14:paraId="49B94148" w14:textId="7B8E5E9F" w:rsidR="001C6D7A" w:rsidRDefault="004F3750" w:rsidP="00735E90">
      <w:pPr>
        <w:spacing w:line="240" w:lineRule="auto"/>
        <w:jc w:val="both"/>
        <w:rPr>
          <w:rFonts w:cstheme="minorHAnsi"/>
          <w:sz w:val="24"/>
          <w:szCs w:val="24"/>
        </w:rPr>
      </w:pPr>
      <w:r w:rsidRPr="007225BA">
        <w:rPr>
          <w:rFonts w:cstheme="minorHAnsi"/>
          <w:sz w:val="24"/>
          <w:szCs w:val="24"/>
        </w:rPr>
        <w:t xml:space="preserve">Problem framings </w:t>
      </w:r>
      <w:r w:rsidR="009C0D25">
        <w:rPr>
          <w:rFonts w:cstheme="minorHAnsi"/>
          <w:sz w:val="24"/>
          <w:szCs w:val="24"/>
        </w:rPr>
        <w:t>across</w:t>
      </w:r>
      <w:r w:rsidRPr="007225BA">
        <w:rPr>
          <w:rFonts w:cstheme="minorHAnsi"/>
          <w:sz w:val="24"/>
          <w:szCs w:val="24"/>
        </w:rPr>
        <w:t xml:space="preserve"> the UK have been shaped by tensions between the desire to </w:t>
      </w:r>
      <w:r w:rsidR="001C6D7A">
        <w:rPr>
          <w:rFonts w:cstheme="minorHAnsi"/>
          <w:sz w:val="24"/>
          <w:szCs w:val="24"/>
        </w:rPr>
        <w:t>increase</w:t>
      </w:r>
      <w:r w:rsidRPr="007225BA">
        <w:rPr>
          <w:rFonts w:cstheme="minorHAnsi"/>
          <w:sz w:val="24"/>
          <w:szCs w:val="24"/>
        </w:rPr>
        <w:t xml:space="preserve"> RE capacity, reinforced by EU obligations, whilst dealing with </w:t>
      </w:r>
      <w:r w:rsidR="00F50FAE">
        <w:rPr>
          <w:rFonts w:cstheme="minorHAnsi"/>
          <w:sz w:val="24"/>
          <w:szCs w:val="24"/>
        </w:rPr>
        <w:t>social</w:t>
      </w:r>
      <w:r w:rsidRPr="007225BA">
        <w:rPr>
          <w:rFonts w:cstheme="minorHAnsi"/>
          <w:sz w:val="24"/>
          <w:szCs w:val="24"/>
        </w:rPr>
        <w:t xml:space="preserve"> conflicts arising from the expansion of onshore wind in particular. </w:t>
      </w:r>
      <w:r w:rsidR="009C0D25">
        <w:rPr>
          <w:rFonts w:cstheme="minorHAnsi"/>
          <w:sz w:val="24"/>
          <w:szCs w:val="24"/>
        </w:rPr>
        <w:t>However, the balance struck between these imperatives has varied between the four territories, and over time, with implications for the modes of governing that have unfolded.</w:t>
      </w:r>
    </w:p>
    <w:p w14:paraId="630A3F6C" w14:textId="77777777" w:rsidR="009C0D25" w:rsidRDefault="009C0D25" w:rsidP="00735E90">
      <w:pPr>
        <w:spacing w:line="240" w:lineRule="auto"/>
        <w:jc w:val="both"/>
        <w:rPr>
          <w:rFonts w:cstheme="minorHAnsi"/>
          <w:sz w:val="24"/>
          <w:szCs w:val="24"/>
        </w:rPr>
      </w:pPr>
    </w:p>
    <w:p w14:paraId="1B2FEB07" w14:textId="2B0A65FB" w:rsidR="009C0D25" w:rsidRDefault="009C0D25" w:rsidP="009C0D25">
      <w:pPr>
        <w:spacing w:line="240" w:lineRule="auto"/>
        <w:jc w:val="both"/>
        <w:rPr>
          <w:rFonts w:eastAsiaTheme="majorEastAsia" w:cstheme="minorHAnsi"/>
          <w:sz w:val="24"/>
          <w:szCs w:val="24"/>
        </w:rPr>
      </w:pPr>
      <w:r w:rsidRPr="007225BA">
        <w:rPr>
          <w:rFonts w:cstheme="minorHAnsi"/>
          <w:sz w:val="24"/>
          <w:szCs w:val="24"/>
        </w:rPr>
        <w:t xml:space="preserve">Central government/England has displayed the greatest turbulence in </w:t>
      </w:r>
      <w:r>
        <w:rPr>
          <w:rFonts w:cstheme="minorHAnsi"/>
          <w:sz w:val="24"/>
          <w:szCs w:val="24"/>
        </w:rPr>
        <w:t>modes of governing</w:t>
      </w:r>
      <w:r w:rsidRPr="007225BA">
        <w:rPr>
          <w:rFonts w:cstheme="minorHAnsi"/>
          <w:sz w:val="24"/>
          <w:szCs w:val="24"/>
        </w:rPr>
        <w:t xml:space="preserve">. </w:t>
      </w:r>
      <w:r w:rsidR="00092CCF">
        <w:rPr>
          <w:rFonts w:cstheme="minorHAnsi"/>
          <w:sz w:val="24"/>
          <w:szCs w:val="24"/>
        </w:rPr>
        <w:t>Until 2010</w:t>
      </w:r>
      <w:r w:rsidRPr="007225BA">
        <w:rPr>
          <w:rFonts w:cstheme="minorHAnsi"/>
          <w:sz w:val="24"/>
          <w:szCs w:val="24"/>
        </w:rPr>
        <w:t xml:space="preserve">, a persistent element of the problem framing was a pro-market stance entailing, </w:t>
      </w:r>
      <w:r w:rsidRPr="007225BA">
        <w:rPr>
          <w:rFonts w:cstheme="minorHAnsi"/>
          <w:i/>
          <w:sz w:val="24"/>
          <w:szCs w:val="24"/>
        </w:rPr>
        <w:t>inter alia</w:t>
      </w:r>
      <w:r w:rsidRPr="007225BA">
        <w:rPr>
          <w:rFonts w:cstheme="minorHAnsi"/>
          <w:sz w:val="24"/>
          <w:szCs w:val="24"/>
        </w:rPr>
        <w:t xml:space="preserve">, sustained </w:t>
      </w:r>
      <w:r w:rsidR="00092CCF">
        <w:rPr>
          <w:rFonts w:cstheme="minorHAnsi"/>
          <w:sz w:val="24"/>
          <w:szCs w:val="24"/>
        </w:rPr>
        <w:t>central government rejection of</w:t>
      </w:r>
      <w:r w:rsidRPr="007225BA">
        <w:rPr>
          <w:rFonts w:cstheme="minorHAnsi"/>
          <w:sz w:val="24"/>
          <w:szCs w:val="24"/>
        </w:rPr>
        <w:t xml:space="preserve"> spatial planning approaches that </w:t>
      </w:r>
      <w:r>
        <w:rPr>
          <w:rFonts w:cstheme="minorHAnsi"/>
          <w:sz w:val="24"/>
          <w:szCs w:val="24"/>
        </w:rPr>
        <w:t>might</w:t>
      </w:r>
      <w:r w:rsidRPr="007225BA">
        <w:rPr>
          <w:rFonts w:cstheme="minorHAnsi"/>
          <w:sz w:val="24"/>
          <w:szCs w:val="24"/>
        </w:rPr>
        <w:t xml:space="preserve"> restrict the freedom of RE developers to define their preferred sites</w:t>
      </w:r>
      <w:r w:rsidR="00B70F6D">
        <w:rPr>
          <w:rFonts w:cstheme="minorHAnsi"/>
          <w:sz w:val="24"/>
          <w:szCs w:val="24"/>
        </w:rPr>
        <w:t>. This</w:t>
      </w:r>
      <w:r w:rsidRPr="007225BA">
        <w:rPr>
          <w:rFonts w:cstheme="minorHAnsi"/>
          <w:sz w:val="24"/>
          <w:szCs w:val="24"/>
        </w:rPr>
        <w:t xml:space="preserve"> positioned planning in a largely reactive mode</w:t>
      </w:r>
      <w:r w:rsidR="00B70F6D">
        <w:rPr>
          <w:rFonts w:cstheme="minorHAnsi"/>
          <w:sz w:val="24"/>
          <w:szCs w:val="24"/>
        </w:rPr>
        <w:t xml:space="preserve">, with only loose connections to </w:t>
      </w:r>
      <w:r w:rsidRPr="007225BA">
        <w:rPr>
          <w:rFonts w:cstheme="minorHAnsi"/>
          <w:sz w:val="24"/>
          <w:szCs w:val="24"/>
        </w:rPr>
        <w:t>RE targets</w:t>
      </w:r>
      <w:r w:rsidR="00865AD2">
        <w:rPr>
          <w:rFonts w:cstheme="minorHAnsi"/>
          <w:sz w:val="24"/>
          <w:szCs w:val="24"/>
        </w:rPr>
        <w:t xml:space="preserve">, which were </w:t>
      </w:r>
      <w:r w:rsidR="00F50FAE">
        <w:rPr>
          <w:rFonts w:cstheme="minorHAnsi"/>
          <w:sz w:val="24"/>
          <w:szCs w:val="24"/>
        </w:rPr>
        <w:t xml:space="preserve">themselves </w:t>
      </w:r>
      <w:r w:rsidR="00865AD2">
        <w:rPr>
          <w:rFonts w:cstheme="minorHAnsi"/>
          <w:sz w:val="24"/>
          <w:szCs w:val="24"/>
        </w:rPr>
        <w:t>defined only in the broad</w:t>
      </w:r>
      <w:r w:rsidR="004A1897">
        <w:rPr>
          <w:rFonts w:cstheme="minorHAnsi"/>
          <w:sz w:val="24"/>
          <w:szCs w:val="24"/>
        </w:rPr>
        <w:t>, aggregate</w:t>
      </w:r>
      <w:r w:rsidR="00865AD2">
        <w:rPr>
          <w:rFonts w:cstheme="minorHAnsi"/>
          <w:sz w:val="24"/>
          <w:szCs w:val="24"/>
        </w:rPr>
        <w:t xml:space="preserve"> terms of EU Directive</w:t>
      </w:r>
      <w:r w:rsidR="004A1897">
        <w:rPr>
          <w:rFonts w:cstheme="minorHAnsi"/>
          <w:sz w:val="24"/>
          <w:szCs w:val="24"/>
        </w:rPr>
        <w:t xml:space="preserve"> – </w:t>
      </w:r>
      <w:r w:rsidR="003E5712">
        <w:rPr>
          <w:rFonts w:cstheme="minorHAnsi"/>
          <w:sz w:val="24"/>
          <w:szCs w:val="24"/>
        </w:rPr>
        <w:t>obtain</w:t>
      </w:r>
      <w:r w:rsidR="00F50FAE">
        <w:rPr>
          <w:rFonts w:cstheme="minorHAnsi"/>
          <w:sz w:val="24"/>
          <w:szCs w:val="24"/>
        </w:rPr>
        <w:t>ing</w:t>
      </w:r>
      <w:r w:rsidR="003E5712">
        <w:rPr>
          <w:rFonts w:cstheme="minorHAnsi"/>
          <w:sz w:val="24"/>
          <w:szCs w:val="24"/>
        </w:rPr>
        <w:t xml:space="preserve"> </w:t>
      </w:r>
      <w:r w:rsidR="004A1897">
        <w:rPr>
          <w:rFonts w:cstheme="minorHAnsi"/>
          <w:sz w:val="24"/>
          <w:szCs w:val="24"/>
        </w:rPr>
        <w:t>15% of energy from renewable sources by 2020</w:t>
      </w:r>
      <w:r w:rsidRPr="007225BA">
        <w:rPr>
          <w:rFonts w:cstheme="minorHAnsi"/>
          <w:sz w:val="24"/>
          <w:szCs w:val="24"/>
        </w:rPr>
        <w:t xml:space="preserve">. However, this frame shifted markedly with the mounting </w:t>
      </w:r>
      <w:r w:rsidRPr="007225BA">
        <w:rPr>
          <w:rFonts w:eastAsiaTheme="majorEastAsia" w:cstheme="minorHAnsi"/>
          <w:sz w:val="24"/>
          <w:szCs w:val="24"/>
        </w:rPr>
        <w:t xml:space="preserve">electoral salience of anti-wind protests, which saw post-2010 governments de-prioritise </w:t>
      </w:r>
      <w:proofErr w:type="gramStart"/>
      <w:r w:rsidRPr="007225BA">
        <w:rPr>
          <w:rFonts w:eastAsiaTheme="majorEastAsia" w:cstheme="minorHAnsi"/>
          <w:sz w:val="24"/>
          <w:szCs w:val="24"/>
        </w:rPr>
        <w:t>on-shore</w:t>
      </w:r>
      <w:proofErr w:type="gramEnd"/>
      <w:r w:rsidRPr="007225BA">
        <w:rPr>
          <w:rFonts w:eastAsiaTheme="majorEastAsia" w:cstheme="minorHAnsi"/>
          <w:sz w:val="24"/>
          <w:szCs w:val="24"/>
        </w:rPr>
        <w:t xml:space="preserve"> wind and move towards a localist ideology, emphasising local control.</w:t>
      </w:r>
    </w:p>
    <w:p w14:paraId="18582863" w14:textId="77777777" w:rsidR="009C0D25" w:rsidRDefault="009C0D25" w:rsidP="00735E90">
      <w:pPr>
        <w:spacing w:line="240" w:lineRule="auto"/>
        <w:jc w:val="both"/>
        <w:rPr>
          <w:rFonts w:cstheme="minorHAnsi"/>
          <w:sz w:val="24"/>
          <w:szCs w:val="24"/>
        </w:rPr>
      </w:pPr>
    </w:p>
    <w:p w14:paraId="09122454" w14:textId="4C5A04C4" w:rsidR="004F3750" w:rsidRPr="007225BA" w:rsidRDefault="00092CCF" w:rsidP="00735E90">
      <w:pPr>
        <w:spacing w:line="240" w:lineRule="auto"/>
        <w:jc w:val="both"/>
        <w:rPr>
          <w:rFonts w:cstheme="minorHAnsi"/>
          <w:sz w:val="24"/>
          <w:szCs w:val="24"/>
        </w:rPr>
      </w:pPr>
      <w:r>
        <w:rPr>
          <w:rFonts w:cstheme="minorHAnsi"/>
          <w:sz w:val="24"/>
          <w:szCs w:val="24"/>
        </w:rPr>
        <w:t>E</w:t>
      </w:r>
      <w:r w:rsidR="004F3750" w:rsidRPr="007225BA">
        <w:rPr>
          <w:rFonts w:cstheme="minorHAnsi"/>
          <w:sz w:val="24"/>
          <w:szCs w:val="24"/>
        </w:rPr>
        <w:t xml:space="preserve">xpansionist </w:t>
      </w:r>
      <w:r>
        <w:rPr>
          <w:rFonts w:cstheme="minorHAnsi"/>
          <w:sz w:val="24"/>
          <w:szCs w:val="24"/>
        </w:rPr>
        <w:t xml:space="preserve">problem </w:t>
      </w:r>
      <w:r w:rsidR="004F3750" w:rsidRPr="007225BA">
        <w:rPr>
          <w:rFonts w:cstheme="minorHAnsi"/>
          <w:sz w:val="24"/>
          <w:szCs w:val="24"/>
        </w:rPr>
        <w:t>framings remained in place across the devolved governments, w</w:t>
      </w:r>
      <w:r>
        <w:rPr>
          <w:rFonts w:cstheme="minorHAnsi"/>
          <w:sz w:val="24"/>
          <w:szCs w:val="24"/>
        </w:rPr>
        <w:t>hich</w:t>
      </w:r>
      <w:r w:rsidR="00022EA6">
        <w:rPr>
          <w:rFonts w:cstheme="minorHAnsi"/>
          <w:sz w:val="24"/>
          <w:szCs w:val="24"/>
        </w:rPr>
        <w:t xml:space="preserve"> </w:t>
      </w:r>
      <w:r w:rsidR="004F3750" w:rsidRPr="007225BA">
        <w:rPr>
          <w:rFonts w:cstheme="minorHAnsi"/>
          <w:sz w:val="24"/>
          <w:szCs w:val="24"/>
        </w:rPr>
        <w:t>kept onshore wind tied to economic development agendas</w:t>
      </w:r>
      <w:r w:rsidR="00B70F6D">
        <w:rPr>
          <w:rFonts w:cstheme="minorHAnsi"/>
          <w:sz w:val="24"/>
          <w:szCs w:val="24"/>
        </w:rPr>
        <w:t>. Where Wales and Northern Ireland accented the rural development benefits, for Scotland national energy and economic independence were to the fore.</w:t>
      </w:r>
    </w:p>
    <w:p w14:paraId="00E4B335" w14:textId="77777777" w:rsidR="004F3750" w:rsidRPr="007225BA" w:rsidRDefault="004F3750" w:rsidP="00735E90">
      <w:pPr>
        <w:spacing w:line="240" w:lineRule="auto"/>
        <w:rPr>
          <w:rFonts w:cstheme="minorHAnsi"/>
          <w:sz w:val="24"/>
          <w:szCs w:val="24"/>
        </w:rPr>
      </w:pPr>
    </w:p>
    <w:p w14:paraId="60BBB34C" w14:textId="77777777" w:rsidR="004F3750" w:rsidRPr="006A7FE9" w:rsidRDefault="004F3750" w:rsidP="00735E90">
      <w:pPr>
        <w:pStyle w:val="Heading3"/>
        <w:spacing w:before="0" w:line="240" w:lineRule="auto"/>
        <w:rPr>
          <w:rFonts w:asciiTheme="minorHAnsi" w:hAnsiTheme="minorHAnsi" w:cstheme="minorHAnsi"/>
          <w:i/>
          <w:color w:val="auto"/>
        </w:rPr>
      </w:pPr>
      <w:r w:rsidRPr="006A7FE9">
        <w:rPr>
          <w:rFonts w:asciiTheme="minorHAnsi" w:hAnsiTheme="minorHAnsi" w:cstheme="minorHAnsi"/>
          <w:i/>
          <w:color w:val="auto"/>
        </w:rPr>
        <w:t xml:space="preserve">Spatial planning approaches: socio-technical properties, </w:t>
      </w:r>
      <w:proofErr w:type="gramStart"/>
      <w:r w:rsidRPr="006A7FE9">
        <w:rPr>
          <w:rFonts w:asciiTheme="minorHAnsi" w:hAnsiTheme="minorHAnsi" w:cstheme="minorHAnsi"/>
          <w:i/>
          <w:color w:val="auto"/>
        </w:rPr>
        <w:t>scale</w:t>
      </w:r>
      <w:proofErr w:type="gramEnd"/>
      <w:r w:rsidRPr="006A7FE9">
        <w:rPr>
          <w:rFonts w:asciiTheme="minorHAnsi" w:hAnsiTheme="minorHAnsi" w:cstheme="minorHAnsi"/>
          <w:i/>
          <w:color w:val="auto"/>
        </w:rPr>
        <w:t xml:space="preserve"> and actor alignment</w:t>
      </w:r>
    </w:p>
    <w:p w14:paraId="1BDA498C" w14:textId="77777777" w:rsidR="004F3750" w:rsidRPr="007225BA" w:rsidRDefault="004F3750" w:rsidP="00735E90">
      <w:pPr>
        <w:spacing w:line="240" w:lineRule="auto"/>
        <w:jc w:val="both"/>
        <w:rPr>
          <w:rFonts w:cstheme="minorHAnsi"/>
          <w:sz w:val="24"/>
          <w:szCs w:val="24"/>
        </w:rPr>
      </w:pPr>
    </w:p>
    <w:p w14:paraId="2044441F" w14:textId="225F0FD4" w:rsidR="004F3750" w:rsidRPr="007225BA" w:rsidRDefault="004F3750" w:rsidP="00735E90">
      <w:pPr>
        <w:spacing w:line="240" w:lineRule="auto"/>
        <w:jc w:val="both"/>
        <w:rPr>
          <w:rFonts w:cstheme="minorHAnsi"/>
          <w:sz w:val="24"/>
          <w:szCs w:val="24"/>
        </w:rPr>
      </w:pPr>
      <w:r w:rsidRPr="007225BA">
        <w:rPr>
          <w:rFonts w:cstheme="minorHAnsi"/>
          <w:sz w:val="24"/>
          <w:szCs w:val="24"/>
        </w:rPr>
        <w:t xml:space="preserve">Given their shared institutional inheritance, the factors that require to be </w:t>
      </w:r>
      <w:proofErr w:type="gramStart"/>
      <w:r w:rsidRPr="007225BA">
        <w:rPr>
          <w:rFonts w:cstheme="minorHAnsi"/>
          <w:sz w:val="24"/>
          <w:szCs w:val="24"/>
        </w:rPr>
        <w:t>taken into account</w:t>
      </w:r>
      <w:proofErr w:type="gramEnd"/>
      <w:r w:rsidRPr="007225BA">
        <w:rPr>
          <w:rFonts w:cstheme="minorHAnsi"/>
          <w:sz w:val="24"/>
          <w:szCs w:val="24"/>
        </w:rPr>
        <w:t xml:space="preserve"> when determining consents for major RE projects </w:t>
      </w:r>
      <w:r w:rsidR="0045304E">
        <w:rPr>
          <w:rFonts w:cstheme="minorHAnsi"/>
          <w:sz w:val="24"/>
          <w:szCs w:val="24"/>
        </w:rPr>
        <w:t>have</w:t>
      </w:r>
      <w:r w:rsidRPr="007225BA">
        <w:rPr>
          <w:rFonts w:cstheme="minorHAnsi"/>
          <w:sz w:val="24"/>
          <w:szCs w:val="24"/>
        </w:rPr>
        <w:t xml:space="preserve"> </w:t>
      </w:r>
      <w:r w:rsidR="00F50FAE">
        <w:rPr>
          <w:rFonts w:cstheme="minorHAnsi"/>
          <w:sz w:val="24"/>
          <w:szCs w:val="24"/>
        </w:rPr>
        <w:t xml:space="preserve">been </w:t>
      </w:r>
      <w:r w:rsidRPr="007225BA">
        <w:rPr>
          <w:rFonts w:cstheme="minorHAnsi"/>
          <w:sz w:val="24"/>
          <w:szCs w:val="24"/>
        </w:rPr>
        <w:t xml:space="preserve">broadly similar across the UK, embracing impacts on landscape and wildlife (e.g. designated sites), visual impacts, proximity to settlements, </w:t>
      </w:r>
      <w:r w:rsidR="000A4ACC">
        <w:rPr>
          <w:rFonts w:cstheme="minorHAnsi"/>
          <w:sz w:val="24"/>
          <w:szCs w:val="24"/>
        </w:rPr>
        <w:t xml:space="preserve">countryside access, </w:t>
      </w:r>
      <w:r w:rsidRPr="007225BA">
        <w:rPr>
          <w:rFonts w:cstheme="minorHAnsi"/>
          <w:sz w:val="24"/>
          <w:szCs w:val="24"/>
        </w:rPr>
        <w:t xml:space="preserve">noise, </w:t>
      </w:r>
      <w:r w:rsidR="00CD14D1">
        <w:rPr>
          <w:rFonts w:cstheme="minorHAnsi"/>
          <w:sz w:val="24"/>
          <w:szCs w:val="24"/>
        </w:rPr>
        <w:t>aviation and defence</w:t>
      </w:r>
      <w:r w:rsidRPr="007225BA">
        <w:rPr>
          <w:rFonts w:cstheme="minorHAnsi"/>
          <w:sz w:val="24"/>
          <w:szCs w:val="24"/>
        </w:rPr>
        <w:t xml:space="preserve"> </w:t>
      </w:r>
      <w:r w:rsidR="00CD14D1">
        <w:rPr>
          <w:rFonts w:cstheme="minorHAnsi"/>
          <w:sz w:val="24"/>
          <w:szCs w:val="24"/>
        </w:rPr>
        <w:t xml:space="preserve">interests </w:t>
      </w:r>
      <w:r w:rsidRPr="007225BA">
        <w:rPr>
          <w:rFonts w:cstheme="minorHAnsi"/>
          <w:sz w:val="24"/>
          <w:szCs w:val="24"/>
        </w:rPr>
        <w:t>etc</w:t>
      </w:r>
      <w:r w:rsidR="00CD14D1">
        <w:rPr>
          <w:rFonts w:cstheme="minorHAnsi"/>
          <w:sz w:val="24"/>
          <w:szCs w:val="24"/>
        </w:rPr>
        <w:t xml:space="preserve"> (see, for example, </w:t>
      </w:r>
      <w:r w:rsidR="000A4ACC">
        <w:rPr>
          <w:rFonts w:cstheme="minorHAnsi"/>
          <w:sz w:val="24"/>
          <w:szCs w:val="24"/>
        </w:rPr>
        <w:t xml:space="preserve">DoENI 2009; ODPM 2004; Scottish Government 2014; </w:t>
      </w:r>
      <w:r w:rsidR="00CD14D1">
        <w:rPr>
          <w:rFonts w:cstheme="minorHAnsi"/>
          <w:sz w:val="24"/>
          <w:szCs w:val="24"/>
        </w:rPr>
        <w:t>WAG 2005</w:t>
      </w:r>
      <w:r w:rsidR="002B4405">
        <w:rPr>
          <w:rFonts w:cstheme="minorHAnsi"/>
          <w:sz w:val="24"/>
          <w:szCs w:val="24"/>
        </w:rPr>
        <w:t>)</w:t>
      </w:r>
      <w:r w:rsidRPr="007225BA">
        <w:rPr>
          <w:rFonts w:cstheme="minorHAnsi"/>
          <w:sz w:val="24"/>
          <w:szCs w:val="24"/>
        </w:rPr>
        <w:t xml:space="preserve">. </w:t>
      </w:r>
      <w:r w:rsidR="00B70F6D">
        <w:rPr>
          <w:rFonts w:cstheme="minorHAnsi"/>
          <w:sz w:val="24"/>
          <w:szCs w:val="24"/>
        </w:rPr>
        <w:t>There is</w:t>
      </w:r>
      <w:r w:rsidRPr="007225BA">
        <w:rPr>
          <w:rFonts w:cstheme="minorHAnsi"/>
          <w:sz w:val="24"/>
          <w:szCs w:val="24"/>
        </w:rPr>
        <w:t xml:space="preserve"> marked variation</w:t>
      </w:r>
      <w:r w:rsidR="00F50FAE">
        <w:rPr>
          <w:rFonts w:cstheme="minorHAnsi"/>
          <w:sz w:val="24"/>
          <w:szCs w:val="24"/>
        </w:rPr>
        <w:t>,</w:t>
      </w:r>
      <w:r w:rsidRPr="007225BA">
        <w:rPr>
          <w:rFonts w:cstheme="minorHAnsi"/>
          <w:sz w:val="24"/>
          <w:szCs w:val="24"/>
        </w:rPr>
        <w:t xml:space="preserve"> however, </w:t>
      </w:r>
      <w:r w:rsidR="00B70F6D">
        <w:rPr>
          <w:rFonts w:cstheme="minorHAnsi"/>
          <w:sz w:val="24"/>
          <w:szCs w:val="24"/>
        </w:rPr>
        <w:t>in</w:t>
      </w:r>
      <w:r w:rsidRPr="007225BA">
        <w:rPr>
          <w:rFonts w:cstheme="minorHAnsi"/>
          <w:sz w:val="24"/>
          <w:szCs w:val="24"/>
        </w:rPr>
        <w:t xml:space="preserve"> the extent to which the four nations have sought to </w:t>
      </w:r>
      <w:r w:rsidR="009C6EA6">
        <w:rPr>
          <w:rFonts w:cstheme="minorHAnsi"/>
          <w:sz w:val="24"/>
          <w:szCs w:val="24"/>
        </w:rPr>
        <w:t>aggregate</w:t>
      </w:r>
      <w:r w:rsidRPr="007225BA">
        <w:rPr>
          <w:rFonts w:cstheme="minorHAnsi"/>
          <w:sz w:val="24"/>
          <w:szCs w:val="24"/>
        </w:rPr>
        <w:t xml:space="preserve"> these constraints to construct </w:t>
      </w:r>
      <w:r w:rsidRPr="007225BA">
        <w:rPr>
          <w:rFonts w:cstheme="minorHAnsi"/>
          <w:i/>
          <w:sz w:val="24"/>
          <w:szCs w:val="24"/>
        </w:rPr>
        <w:t>ex ante</w:t>
      </w:r>
      <w:r w:rsidRPr="007225BA">
        <w:rPr>
          <w:rFonts w:cstheme="minorHAnsi"/>
          <w:sz w:val="24"/>
          <w:szCs w:val="24"/>
        </w:rPr>
        <w:t xml:space="preserve"> spatial planning approaches to pro-actively steer wind energy siting.</w:t>
      </w:r>
    </w:p>
    <w:p w14:paraId="75F61EF1" w14:textId="77777777" w:rsidR="004F3750" w:rsidRPr="007225BA" w:rsidRDefault="004F3750" w:rsidP="00735E90">
      <w:pPr>
        <w:spacing w:line="240" w:lineRule="auto"/>
        <w:jc w:val="both"/>
        <w:rPr>
          <w:rFonts w:cstheme="minorHAnsi"/>
          <w:sz w:val="24"/>
          <w:szCs w:val="24"/>
        </w:rPr>
      </w:pPr>
    </w:p>
    <w:p w14:paraId="7E0E00E7" w14:textId="2C403053" w:rsidR="004F3750" w:rsidRPr="007225BA" w:rsidRDefault="004F3750" w:rsidP="00735E90">
      <w:pPr>
        <w:spacing w:line="240" w:lineRule="auto"/>
        <w:jc w:val="both"/>
        <w:rPr>
          <w:rFonts w:cstheme="minorHAnsi"/>
          <w:sz w:val="24"/>
          <w:szCs w:val="24"/>
        </w:rPr>
      </w:pPr>
      <w:r w:rsidRPr="007225BA">
        <w:rPr>
          <w:rFonts w:cstheme="minorHAnsi"/>
          <w:sz w:val="24"/>
          <w:szCs w:val="24"/>
        </w:rPr>
        <w:t xml:space="preserve">In England </w:t>
      </w:r>
      <w:r w:rsidR="00F50FAE">
        <w:rPr>
          <w:rFonts w:cstheme="minorHAnsi"/>
          <w:sz w:val="24"/>
          <w:szCs w:val="24"/>
        </w:rPr>
        <w:t>before</w:t>
      </w:r>
      <w:r w:rsidRPr="007225BA">
        <w:rPr>
          <w:rFonts w:cstheme="minorHAnsi"/>
          <w:sz w:val="24"/>
          <w:szCs w:val="24"/>
        </w:rPr>
        <w:t xml:space="preserve"> 2010</w:t>
      </w:r>
      <w:r w:rsidR="00F50FAE">
        <w:rPr>
          <w:rFonts w:cstheme="minorHAnsi"/>
          <w:sz w:val="24"/>
          <w:szCs w:val="24"/>
        </w:rPr>
        <w:t>,</w:t>
      </w:r>
      <w:r w:rsidRPr="007225BA">
        <w:rPr>
          <w:rFonts w:cstheme="minorHAnsi"/>
          <w:sz w:val="24"/>
          <w:szCs w:val="24"/>
        </w:rPr>
        <w:t xml:space="preserve"> spatial approaches were not used, with national guidance calling for local planning authorities to adopt a positive stance on RE applications but </w:t>
      </w:r>
      <w:proofErr w:type="gramStart"/>
      <w:r w:rsidRPr="007225BA">
        <w:rPr>
          <w:rFonts w:cstheme="minorHAnsi"/>
          <w:sz w:val="24"/>
          <w:szCs w:val="24"/>
        </w:rPr>
        <w:t>take into account</w:t>
      </w:r>
      <w:proofErr w:type="gramEnd"/>
      <w:r w:rsidRPr="007225BA">
        <w:rPr>
          <w:rFonts w:cstheme="minorHAnsi"/>
          <w:sz w:val="24"/>
          <w:szCs w:val="24"/>
        </w:rPr>
        <w:t xml:space="preserve"> a list of potential criteria – i.e. a criteria-based approach. Through the period 1998-2010, English regional </w:t>
      </w:r>
      <w:r w:rsidR="0045304E">
        <w:rPr>
          <w:rFonts w:cstheme="minorHAnsi"/>
          <w:sz w:val="24"/>
          <w:szCs w:val="24"/>
        </w:rPr>
        <w:t>government bodies were</w:t>
      </w:r>
      <w:r w:rsidRPr="007225BA">
        <w:rPr>
          <w:rFonts w:cstheme="minorHAnsi"/>
          <w:sz w:val="24"/>
          <w:szCs w:val="24"/>
        </w:rPr>
        <w:t xml:space="preserve"> charged with mapping RE resources </w:t>
      </w:r>
      <w:r w:rsidR="0045304E">
        <w:rPr>
          <w:rFonts w:cstheme="minorHAnsi"/>
          <w:sz w:val="24"/>
          <w:szCs w:val="24"/>
        </w:rPr>
        <w:t>with</w:t>
      </w:r>
      <w:r w:rsidRPr="007225BA">
        <w:rPr>
          <w:rFonts w:cstheme="minorHAnsi"/>
          <w:sz w:val="24"/>
          <w:szCs w:val="24"/>
        </w:rPr>
        <w:t xml:space="preserve">in </w:t>
      </w:r>
      <w:r w:rsidR="0045304E">
        <w:rPr>
          <w:rFonts w:cstheme="minorHAnsi"/>
          <w:sz w:val="24"/>
          <w:szCs w:val="24"/>
        </w:rPr>
        <w:t xml:space="preserve">their territory, in </w:t>
      </w:r>
      <w:r w:rsidRPr="007225BA">
        <w:rPr>
          <w:rFonts w:cstheme="minorHAnsi"/>
          <w:sz w:val="24"/>
          <w:szCs w:val="24"/>
        </w:rPr>
        <w:t>order to spatially disaggregate national targets and di</w:t>
      </w:r>
      <w:r w:rsidR="009C6EA6">
        <w:rPr>
          <w:rFonts w:cstheme="minorHAnsi"/>
          <w:sz w:val="24"/>
          <w:szCs w:val="24"/>
        </w:rPr>
        <w:t>vide</w:t>
      </w:r>
      <w:r w:rsidRPr="007225BA">
        <w:rPr>
          <w:rFonts w:cstheme="minorHAnsi"/>
          <w:sz w:val="24"/>
          <w:szCs w:val="24"/>
        </w:rPr>
        <w:t xml:space="preserve"> them between technologies. However, although this generated considerable analytical work (Power and Cowell 2012), it never translated into governance action for target-setting and burden-sharing and in only one English region </w:t>
      </w:r>
      <w:r w:rsidR="00C91E44">
        <w:rPr>
          <w:rFonts w:cstheme="minorHAnsi"/>
          <w:sz w:val="24"/>
          <w:szCs w:val="24"/>
        </w:rPr>
        <w:t xml:space="preserve">(the north-east) </w:t>
      </w:r>
      <w:r w:rsidRPr="007225BA">
        <w:rPr>
          <w:rFonts w:cstheme="minorHAnsi"/>
          <w:sz w:val="24"/>
          <w:szCs w:val="24"/>
        </w:rPr>
        <w:t xml:space="preserve">were preferred areas for on-shore wind identified. </w:t>
      </w:r>
      <w:r w:rsidR="00C91E44">
        <w:rPr>
          <w:rFonts w:cstheme="minorHAnsi"/>
          <w:sz w:val="24"/>
          <w:szCs w:val="24"/>
        </w:rPr>
        <w:t>P</w:t>
      </w:r>
      <w:r w:rsidRPr="007225BA">
        <w:rPr>
          <w:rFonts w:cstheme="minorHAnsi"/>
          <w:sz w:val="24"/>
          <w:szCs w:val="24"/>
        </w:rPr>
        <w:t>ost-2010</w:t>
      </w:r>
      <w:r w:rsidR="0045304E">
        <w:rPr>
          <w:rFonts w:cstheme="minorHAnsi"/>
          <w:sz w:val="24"/>
          <w:szCs w:val="24"/>
        </w:rPr>
        <w:t>, central</w:t>
      </w:r>
      <w:r w:rsidRPr="007225BA">
        <w:rPr>
          <w:rFonts w:cstheme="minorHAnsi"/>
          <w:sz w:val="24"/>
          <w:szCs w:val="24"/>
        </w:rPr>
        <w:t xml:space="preserve"> government move</w:t>
      </w:r>
      <w:r w:rsidR="0045304E">
        <w:rPr>
          <w:rFonts w:cstheme="minorHAnsi"/>
          <w:sz w:val="24"/>
          <w:szCs w:val="24"/>
        </w:rPr>
        <w:t>d</w:t>
      </w:r>
      <w:r w:rsidRPr="007225BA">
        <w:rPr>
          <w:rFonts w:cstheme="minorHAnsi"/>
          <w:sz w:val="24"/>
          <w:szCs w:val="24"/>
        </w:rPr>
        <w:t xml:space="preserve"> to </w:t>
      </w:r>
      <w:r w:rsidR="00D11B8A">
        <w:rPr>
          <w:rFonts w:cstheme="minorHAnsi"/>
          <w:sz w:val="24"/>
          <w:szCs w:val="24"/>
        </w:rPr>
        <w:t xml:space="preserve">abolish the regional level of government and </w:t>
      </w:r>
      <w:r w:rsidRPr="007225BA">
        <w:rPr>
          <w:rFonts w:cstheme="minorHAnsi"/>
          <w:sz w:val="24"/>
          <w:szCs w:val="24"/>
        </w:rPr>
        <w:t xml:space="preserve">institute local control over </w:t>
      </w:r>
      <w:proofErr w:type="gramStart"/>
      <w:r w:rsidRPr="007225BA">
        <w:rPr>
          <w:rFonts w:cstheme="minorHAnsi"/>
          <w:sz w:val="24"/>
          <w:szCs w:val="24"/>
        </w:rPr>
        <w:t>on-shore</w:t>
      </w:r>
      <w:proofErr w:type="gramEnd"/>
      <w:r w:rsidRPr="007225BA">
        <w:rPr>
          <w:rFonts w:cstheme="minorHAnsi"/>
          <w:sz w:val="24"/>
          <w:szCs w:val="24"/>
        </w:rPr>
        <w:t xml:space="preserve"> wind</w:t>
      </w:r>
      <w:r w:rsidR="00D11B8A">
        <w:rPr>
          <w:rFonts w:cstheme="minorHAnsi"/>
          <w:sz w:val="24"/>
          <w:szCs w:val="24"/>
        </w:rPr>
        <w:t>. This brought with it</w:t>
      </w:r>
      <w:r w:rsidRPr="007225BA">
        <w:rPr>
          <w:rFonts w:cstheme="minorHAnsi"/>
          <w:sz w:val="24"/>
          <w:szCs w:val="24"/>
        </w:rPr>
        <w:t xml:space="preserve"> a </w:t>
      </w:r>
      <w:r w:rsidR="00F50FAE">
        <w:rPr>
          <w:rFonts w:cstheme="minorHAnsi"/>
          <w:sz w:val="24"/>
          <w:szCs w:val="24"/>
        </w:rPr>
        <w:t>new</w:t>
      </w:r>
      <w:r w:rsidRPr="007225BA">
        <w:rPr>
          <w:rFonts w:cstheme="minorHAnsi"/>
          <w:sz w:val="24"/>
          <w:szCs w:val="24"/>
        </w:rPr>
        <w:t xml:space="preserve"> interest in spatial planning</w:t>
      </w:r>
      <w:r w:rsidR="00F50FAE">
        <w:rPr>
          <w:rFonts w:cstheme="minorHAnsi"/>
          <w:sz w:val="24"/>
          <w:szCs w:val="24"/>
        </w:rPr>
        <w:t xml:space="preserve"> approaches</w:t>
      </w:r>
      <w:r w:rsidRPr="007225BA">
        <w:rPr>
          <w:rFonts w:cstheme="minorHAnsi"/>
          <w:sz w:val="24"/>
          <w:szCs w:val="24"/>
        </w:rPr>
        <w:t xml:space="preserve">, with policy requiring that ‘a proposed wind energy development ... should not be considered acceptable unless it is in an area identified as suitable for wind energy development in the development plan’ </w:t>
      </w:r>
      <w:r w:rsidR="009C6EA6">
        <w:rPr>
          <w:rFonts w:cstheme="minorHAnsi"/>
          <w:sz w:val="24"/>
          <w:szCs w:val="24"/>
        </w:rPr>
        <w:t>(</w:t>
      </w:r>
      <w:r w:rsidRPr="007225BA">
        <w:rPr>
          <w:rFonts w:cstheme="minorHAnsi"/>
          <w:sz w:val="24"/>
          <w:szCs w:val="24"/>
        </w:rPr>
        <w:t xml:space="preserve">MHCLG 2019, </w:t>
      </w:r>
      <w:r w:rsidR="009C6EA6">
        <w:rPr>
          <w:rFonts w:cstheme="minorHAnsi"/>
          <w:sz w:val="24"/>
          <w:szCs w:val="24"/>
        </w:rPr>
        <w:t xml:space="preserve">footnote </w:t>
      </w:r>
      <w:r w:rsidRPr="007225BA">
        <w:rPr>
          <w:rFonts w:cstheme="minorHAnsi"/>
          <w:sz w:val="24"/>
          <w:szCs w:val="24"/>
        </w:rPr>
        <w:t>49).  However, by not mandating that sites be identified</w:t>
      </w:r>
      <w:r w:rsidR="00C91E44">
        <w:rPr>
          <w:rFonts w:cstheme="minorHAnsi"/>
          <w:sz w:val="24"/>
          <w:szCs w:val="24"/>
        </w:rPr>
        <w:t>,</w:t>
      </w:r>
      <w:r w:rsidRPr="007225BA">
        <w:rPr>
          <w:rFonts w:cstheme="minorHAnsi"/>
          <w:sz w:val="24"/>
          <w:szCs w:val="24"/>
        </w:rPr>
        <w:t xml:space="preserve"> nor specifying any methodology, the measure effectively </w:t>
      </w:r>
      <w:r w:rsidR="00D11B8A">
        <w:rPr>
          <w:rFonts w:cstheme="minorHAnsi"/>
          <w:sz w:val="24"/>
          <w:szCs w:val="24"/>
        </w:rPr>
        <w:t xml:space="preserve">handed veto powers to </w:t>
      </w:r>
      <w:r w:rsidRPr="007225BA">
        <w:rPr>
          <w:rFonts w:cstheme="minorHAnsi"/>
          <w:sz w:val="24"/>
          <w:szCs w:val="24"/>
        </w:rPr>
        <w:t xml:space="preserve">local </w:t>
      </w:r>
      <w:r w:rsidR="00D11B8A">
        <w:rPr>
          <w:rFonts w:cstheme="minorHAnsi"/>
          <w:sz w:val="24"/>
          <w:szCs w:val="24"/>
        </w:rPr>
        <w:t>government</w:t>
      </w:r>
      <w:r w:rsidRPr="007225BA">
        <w:rPr>
          <w:rFonts w:cstheme="minorHAnsi"/>
          <w:sz w:val="24"/>
          <w:szCs w:val="24"/>
        </w:rPr>
        <w:t xml:space="preserve">. </w:t>
      </w:r>
    </w:p>
    <w:p w14:paraId="7A4599C5" w14:textId="77777777" w:rsidR="004F3750" w:rsidRPr="007225BA" w:rsidRDefault="004F3750" w:rsidP="00202B91">
      <w:pPr>
        <w:spacing w:line="240" w:lineRule="auto"/>
        <w:jc w:val="both"/>
        <w:rPr>
          <w:rFonts w:cstheme="minorHAnsi"/>
          <w:sz w:val="24"/>
          <w:szCs w:val="24"/>
        </w:rPr>
      </w:pPr>
    </w:p>
    <w:p w14:paraId="5B292482" w14:textId="358AB951" w:rsidR="004F3750" w:rsidRPr="007225BA" w:rsidRDefault="00D9149F" w:rsidP="00202B91">
      <w:pPr>
        <w:spacing w:line="240" w:lineRule="auto"/>
        <w:jc w:val="both"/>
        <w:rPr>
          <w:rFonts w:cstheme="minorHAnsi"/>
          <w:sz w:val="24"/>
          <w:szCs w:val="24"/>
        </w:rPr>
      </w:pPr>
      <w:r w:rsidRPr="007225BA">
        <w:rPr>
          <w:rFonts w:eastAsiaTheme="majorEastAsia" w:cstheme="minorHAnsi"/>
          <w:sz w:val="24"/>
          <w:szCs w:val="24"/>
        </w:rPr>
        <w:t>In Northern Ireland, there was no specific planning policy for RE until 2009 and a largely liberal approach, resisting state-steering of siting</w:t>
      </w:r>
      <w:r w:rsidR="00F50FAE">
        <w:rPr>
          <w:rFonts w:eastAsiaTheme="majorEastAsia" w:cstheme="minorHAnsi"/>
          <w:sz w:val="24"/>
          <w:szCs w:val="24"/>
        </w:rPr>
        <w:t>,</w:t>
      </w:r>
      <w:r w:rsidRPr="007225BA">
        <w:rPr>
          <w:rFonts w:eastAsiaTheme="majorEastAsia" w:cstheme="minorHAnsi"/>
          <w:sz w:val="24"/>
          <w:szCs w:val="24"/>
        </w:rPr>
        <w:t xml:space="preserve"> has prevailed </w:t>
      </w:r>
      <w:r w:rsidR="004F3750" w:rsidRPr="007225BA">
        <w:rPr>
          <w:rFonts w:cstheme="minorHAnsi"/>
          <w:sz w:val="24"/>
          <w:szCs w:val="24"/>
        </w:rPr>
        <w:t xml:space="preserve">throughout the period of analysis. In contrast, both Wales and Scotland have invested in explicit, spatial planning approaches. The process in each gave comparable attention to ‘strong’ environmental constraints (such as steering development away from National Parks and top-level wildlife sites). In each arena, one can also observe deliberation on whether to </w:t>
      </w:r>
      <w:r w:rsidR="005953B7">
        <w:rPr>
          <w:rFonts w:cstheme="minorHAnsi"/>
          <w:sz w:val="24"/>
          <w:szCs w:val="24"/>
        </w:rPr>
        <w:t>incorporate</w:t>
      </w:r>
      <w:r w:rsidR="004F3750" w:rsidRPr="007225BA">
        <w:rPr>
          <w:rFonts w:cstheme="minorHAnsi"/>
          <w:sz w:val="24"/>
          <w:szCs w:val="24"/>
        </w:rPr>
        <w:t xml:space="preserve"> landscape qualities that, although mapped, were not associated with protective policies and which covered considerable areas of territory: ‘wild lands’ in Wales; ‘wilderness’ in Scotland. However, the main differences between the spatial planning approaches</w:t>
      </w:r>
      <w:r w:rsidR="005953B7">
        <w:rPr>
          <w:rFonts w:cstheme="minorHAnsi"/>
          <w:sz w:val="24"/>
          <w:szCs w:val="24"/>
        </w:rPr>
        <w:t xml:space="preserve"> in Scotland and Wales</w:t>
      </w:r>
      <w:r w:rsidR="004F3750" w:rsidRPr="007225BA">
        <w:rPr>
          <w:rFonts w:cstheme="minorHAnsi"/>
          <w:sz w:val="24"/>
          <w:szCs w:val="24"/>
        </w:rPr>
        <w:t xml:space="preserve"> lie less in the socio-technical properties of criteria selection, and more in terms of actor alignment, wh</w:t>
      </w:r>
      <w:r w:rsidR="005953B7">
        <w:rPr>
          <w:rFonts w:cstheme="minorHAnsi"/>
          <w:sz w:val="24"/>
          <w:szCs w:val="24"/>
        </w:rPr>
        <w:t>ich is where</w:t>
      </w:r>
      <w:r w:rsidR="004F3750" w:rsidRPr="007225BA">
        <w:rPr>
          <w:rFonts w:cstheme="minorHAnsi"/>
          <w:sz w:val="24"/>
          <w:szCs w:val="24"/>
        </w:rPr>
        <w:t xml:space="preserve"> key compromises were made.</w:t>
      </w:r>
    </w:p>
    <w:p w14:paraId="546A7880" w14:textId="77777777" w:rsidR="004F3750" w:rsidRPr="007225BA" w:rsidRDefault="004F3750" w:rsidP="00202B91">
      <w:pPr>
        <w:spacing w:line="240" w:lineRule="auto"/>
        <w:jc w:val="both"/>
        <w:rPr>
          <w:rFonts w:cstheme="minorHAnsi"/>
          <w:sz w:val="24"/>
          <w:szCs w:val="24"/>
        </w:rPr>
      </w:pPr>
    </w:p>
    <w:p w14:paraId="139DA836" w14:textId="33EEEA25" w:rsidR="004F3750" w:rsidRPr="007225BA" w:rsidRDefault="004F3750" w:rsidP="00202B91">
      <w:pPr>
        <w:spacing w:line="240" w:lineRule="auto"/>
        <w:jc w:val="both"/>
        <w:rPr>
          <w:rFonts w:cstheme="minorHAnsi"/>
          <w:sz w:val="24"/>
          <w:szCs w:val="24"/>
        </w:rPr>
      </w:pPr>
      <w:r w:rsidRPr="007225BA">
        <w:rPr>
          <w:rFonts w:cstheme="minorHAnsi"/>
          <w:sz w:val="24"/>
          <w:szCs w:val="24"/>
        </w:rPr>
        <w:t xml:space="preserve">In Wales, the spatial planning approach was constructed </w:t>
      </w:r>
      <w:r w:rsidR="00C91E44">
        <w:rPr>
          <w:rFonts w:cstheme="minorHAnsi"/>
          <w:sz w:val="24"/>
          <w:szCs w:val="24"/>
        </w:rPr>
        <w:t>centrally</w:t>
      </w:r>
      <w:r w:rsidRPr="007225BA">
        <w:rPr>
          <w:rFonts w:cstheme="minorHAnsi"/>
          <w:sz w:val="24"/>
          <w:szCs w:val="24"/>
        </w:rPr>
        <w:t xml:space="preserve">, by the Welsh Government, for Wales as a whole. Their consultants mapped and aggregated wind energy resource and constraints data, generating seven ‘Strategic search areas’ (SSAs), to which the Welsh Government attached a policy presumption in favour of large-scale wind farms (25MW or over). The SSAs were not a simple product of </w:t>
      </w:r>
      <w:r w:rsidR="005953B7">
        <w:rPr>
          <w:rFonts w:cstheme="minorHAnsi"/>
          <w:sz w:val="24"/>
          <w:szCs w:val="24"/>
        </w:rPr>
        <w:t>overlaying constraint maps to identify less</w:t>
      </w:r>
      <w:r w:rsidR="00F50FAE">
        <w:rPr>
          <w:rFonts w:cstheme="minorHAnsi"/>
          <w:sz w:val="24"/>
          <w:szCs w:val="24"/>
        </w:rPr>
        <w:t>-</w:t>
      </w:r>
      <w:r w:rsidR="005953B7">
        <w:rPr>
          <w:rFonts w:cstheme="minorHAnsi"/>
          <w:sz w:val="24"/>
          <w:szCs w:val="24"/>
        </w:rPr>
        <w:t>sensitive ‘</w:t>
      </w:r>
      <w:proofErr w:type="gramStart"/>
      <w:r w:rsidR="005953B7">
        <w:rPr>
          <w:rFonts w:cstheme="minorHAnsi"/>
          <w:sz w:val="24"/>
          <w:szCs w:val="24"/>
        </w:rPr>
        <w:t>gaps’</w:t>
      </w:r>
      <w:proofErr w:type="gramEnd"/>
      <w:r w:rsidR="005953B7">
        <w:rPr>
          <w:rFonts w:cstheme="minorHAnsi"/>
          <w:sz w:val="24"/>
          <w:szCs w:val="24"/>
        </w:rPr>
        <w:t xml:space="preserve">. They were also defined to give </w:t>
      </w:r>
      <w:r w:rsidRPr="007225BA">
        <w:rPr>
          <w:rFonts w:cstheme="minorHAnsi"/>
          <w:sz w:val="24"/>
          <w:szCs w:val="24"/>
        </w:rPr>
        <w:t xml:space="preserve">force to political judgements about the desirability of spatially concentrating wind energy development in ‘wind farm landscapes’ </w:t>
      </w:r>
      <w:r w:rsidR="00D9149F">
        <w:rPr>
          <w:rFonts w:cstheme="minorHAnsi"/>
          <w:sz w:val="24"/>
          <w:szCs w:val="24"/>
        </w:rPr>
        <w:t>over market-driven dispersal</w:t>
      </w:r>
      <w:r w:rsidRPr="007225BA">
        <w:rPr>
          <w:rFonts w:cstheme="minorHAnsi"/>
          <w:sz w:val="24"/>
          <w:szCs w:val="24"/>
        </w:rPr>
        <w:t>. The spatial approach has also co-evolved with Wales’s RE targets. Each SSA had a notional [target] for wind energy that would together, if forthcoming,</w:t>
      </w:r>
      <w:r w:rsidR="00022EA6">
        <w:rPr>
          <w:rFonts w:cstheme="minorHAnsi"/>
          <w:sz w:val="24"/>
          <w:szCs w:val="24"/>
        </w:rPr>
        <w:t xml:space="preserve"> </w:t>
      </w:r>
      <w:r w:rsidRPr="007225BA">
        <w:rPr>
          <w:rFonts w:cstheme="minorHAnsi"/>
          <w:sz w:val="24"/>
          <w:szCs w:val="24"/>
        </w:rPr>
        <w:t>deliver national goals</w:t>
      </w:r>
      <w:r w:rsidR="00A31E47">
        <w:rPr>
          <w:rFonts w:cstheme="minorHAnsi"/>
          <w:sz w:val="24"/>
          <w:szCs w:val="24"/>
        </w:rPr>
        <w:t>: initially</w:t>
      </w:r>
      <w:r w:rsidR="00022EA6">
        <w:rPr>
          <w:rFonts w:cstheme="minorHAnsi"/>
          <w:sz w:val="24"/>
          <w:szCs w:val="24"/>
        </w:rPr>
        <w:t xml:space="preserve"> </w:t>
      </w:r>
      <w:r w:rsidR="00F816C1">
        <w:rPr>
          <w:rFonts w:cstheme="minorHAnsi"/>
          <w:sz w:val="24"/>
          <w:szCs w:val="24"/>
        </w:rPr>
        <w:t xml:space="preserve">targeting </w:t>
      </w:r>
      <w:r w:rsidRPr="007225BA">
        <w:rPr>
          <w:rFonts w:cstheme="minorHAnsi"/>
          <w:sz w:val="24"/>
          <w:szCs w:val="24"/>
        </w:rPr>
        <w:t>800MW of new onshore wind by 2010</w:t>
      </w:r>
      <w:r w:rsidR="00A31E47">
        <w:rPr>
          <w:rFonts w:cstheme="minorHAnsi"/>
          <w:sz w:val="24"/>
          <w:szCs w:val="24"/>
        </w:rPr>
        <w:t xml:space="preserve">, subsequently </w:t>
      </w:r>
      <w:r w:rsidR="00F816C1">
        <w:rPr>
          <w:rFonts w:cstheme="minorHAnsi"/>
          <w:sz w:val="24"/>
          <w:szCs w:val="24"/>
        </w:rPr>
        <w:t>upping its aspirations to 2G</w:t>
      </w:r>
      <w:r w:rsidR="001B486B">
        <w:rPr>
          <w:rFonts w:cstheme="minorHAnsi"/>
          <w:sz w:val="24"/>
          <w:szCs w:val="24"/>
        </w:rPr>
        <w:t>W</w:t>
      </w:r>
      <w:r w:rsidR="00F816C1">
        <w:rPr>
          <w:rFonts w:cstheme="minorHAnsi"/>
          <w:sz w:val="24"/>
          <w:szCs w:val="24"/>
        </w:rPr>
        <w:t xml:space="preserve"> by 2020/25</w:t>
      </w:r>
      <w:r w:rsidRPr="007225BA">
        <w:rPr>
          <w:rFonts w:cstheme="minorHAnsi"/>
          <w:sz w:val="24"/>
          <w:szCs w:val="24"/>
        </w:rPr>
        <w:t xml:space="preserve"> (</w:t>
      </w:r>
      <w:r w:rsidR="00F816C1">
        <w:rPr>
          <w:rFonts w:cstheme="minorHAnsi"/>
          <w:sz w:val="24"/>
          <w:szCs w:val="24"/>
        </w:rPr>
        <w:t>WAG</w:t>
      </w:r>
      <w:r w:rsidRPr="007225BA">
        <w:rPr>
          <w:rFonts w:cstheme="minorHAnsi"/>
          <w:sz w:val="24"/>
          <w:szCs w:val="24"/>
        </w:rPr>
        <w:t xml:space="preserve"> 2010).  Public engagement in national policy formulation was concentrated in a multi-stakeholder collaborative exercise (not entirely successful; Stevenson 2009), then conventional consultative practices of producing a draft policy for comments. The draft spatial policy (WAG 2005) elicited a remarkable 4000 responses, but was little changed by it. Rather, the </w:t>
      </w:r>
      <w:r w:rsidR="00F816C1">
        <w:rPr>
          <w:rFonts w:cstheme="minorHAnsi"/>
          <w:sz w:val="24"/>
          <w:szCs w:val="24"/>
        </w:rPr>
        <w:t>spatial</w:t>
      </w:r>
      <w:r w:rsidRPr="007225BA">
        <w:rPr>
          <w:rFonts w:cstheme="minorHAnsi"/>
          <w:sz w:val="24"/>
          <w:szCs w:val="24"/>
        </w:rPr>
        <w:t xml:space="preserve"> policy was deployed within strongly </w:t>
      </w:r>
      <w:proofErr w:type="gramStart"/>
      <w:r w:rsidRPr="007225BA">
        <w:rPr>
          <w:rFonts w:cstheme="minorHAnsi"/>
          <w:sz w:val="24"/>
          <w:szCs w:val="24"/>
        </w:rPr>
        <w:t>vertically-</w:t>
      </w:r>
      <w:r w:rsidR="00F816C1">
        <w:rPr>
          <w:rFonts w:cstheme="minorHAnsi"/>
          <w:sz w:val="24"/>
          <w:szCs w:val="24"/>
        </w:rPr>
        <w:t>align</w:t>
      </w:r>
      <w:r w:rsidRPr="007225BA">
        <w:rPr>
          <w:rFonts w:cstheme="minorHAnsi"/>
          <w:sz w:val="24"/>
          <w:szCs w:val="24"/>
        </w:rPr>
        <w:t>ed</w:t>
      </w:r>
      <w:proofErr w:type="gramEnd"/>
      <w:r w:rsidRPr="007225BA">
        <w:rPr>
          <w:rFonts w:cstheme="minorHAnsi"/>
          <w:sz w:val="24"/>
          <w:szCs w:val="24"/>
        </w:rPr>
        <w:t xml:space="preserve"> governance arrangements, in which individual local planning authorities needed to incorporate the</w:t>
      </w:r>
      <w:r w:rsidR="00F816C1">
        <w:rPr>
          <w:rFonts w:cstheme="minorHAnsi"/>
          <w:sz w:val="24"/>
          <w:szCs w:val="24"/>
        </w:rPr>
        <w:t xml:space="preserve"> SSAs</w:t>
      </w:r>
      <w:r w:rsidRPr="007225BA">
        <w:rPr>
          <w:rFonts w:cstheme="minorHAnsi"/>
          <w:sz w:val="24"/>
          <w:szCs w:val="24"/>
        </w:rPr>
        <w:t xml:space="preserve"> into their local plans, and give them considerable weight in project decisions.</w:t>
      </w:r>
    </w:p>
    <w:p w14:paraId="224ACDB3" w14:textId="77777777" w:rsidR="004F3750" w:rsidRPr="007225BA" w:rsidRDefault="004F3750" w:rsidP="00202B91">
      <w:pPr>
        <w:spacing w:line="240" w:lineRule="auto"/>
        <w:jc w:val="both"/>
        <w:rPr>
          <w:rFonts w:cstheme="minorHAnsi"/>
          <w:sz w:val="24"/>
          <w:szCs w:val="24"/>
        </w:rPr>
      </w:pPr>
    </w:p>
    <w:p w14:paraId="2AC21AB4" w14:textId="288EAA00" w:rsidR="004F3750" w:rsidRPr="007225BA" w:rsidRDefault="004F3750" w:rsidP="00202B91">
      <w:pPr>
        <w:spacing w:line="240" w:lineRule="auto"/>
        <w:jc w:val="both"/>
        <w:rPr>
          <w:rFonts w:cstheme="minorHAnsi"/>
          <w:sz w:val="24"/>
          <w:szCs w:val="24"/>
        </w:rPr>
      </w:pPr>
      <w:r w:rsidRPr="007225BA">
        <w:rPr>
          <w:rFonts w:cstheme="minorHAnsi"/>
          <w:sz w:val="24"/>
          <w:szCs w:val="24"/>
        </w:rPr>
        <w:t xml:space="preserve">The Scottish Government differs from Wales in promulgating its </w:t>
      </w:r>
      <w:r w:rsidR="00F816C1">
        <w:rPr>
          <w:rFonts w:cstheme="minorHAnsi"/>
          <w:sz w:val="24"/>
          <w:szCs w:val="24"/>
        </w:rPr>
        <w:t xml:space="preserve">spatial planning </w:t>
      </w:r>
      <w:r w:rsidRPr="007225BA">
        <w:rPr>
          <w:rFonts w:cstheme="minorHAnsi"/>
          <w:sz w:val="24"/>
          <w:szCs w:val="24"/>
        </w:rPr>
        <w:t xml:space="preserve">approach through methodological guidance to local planning authorities, giving them the responsibility for mapping opportunities and constraints, </w:t>
      </w:r>
      <w:r w:rsidR="00F816C1">
        <w:rPr>
          <w:rFonts w:cstheme="minorHAnsi"/>
          <w:sz w:val="24"/>
          <w:szCs w:val="24"/>
        </w:rPr>
        <w:t>to</w:t>
      </w:r>
      <w:r w:rsidRPr="007225BA">
        <w:rPr>
          <w:rFonts w:cstheme="minorHAnsi"/>
          <w:sz w:val="24"/>
          <w:szCs w:val="24"/>
        </w:rPr>
        <w:t xml:space="preserve"> identify areas where wind farms would be supported and areas where they would be inappropriate. </w:t>
      </w:r>
      <w:r w:rsidR="00F816C1">
        <w:rPr>
          <w:rFonts w:cstheme="minorHAnsi"/>
          <w:sz w:val="24"/>
          <w:szCs w:val="24"/>
        </w:rPr>
        <w:t xml:space="preserve">This flexibility led to </w:t>
      </w:r>
      <w:r w:rsidRPr="007225BA">
        <w:rPr>
          <w:rFonts w:cstheme="minorHAnsi"/>
          <w:sz w:val="24"/>
          <w:szCs w:val="24"/>
        </w:rPr>
        <w:t xml:space="preserve">significant diversity </w:t>
      </w:r>
      <w:r w:rsidR="00F816C1">
        <w:rPr>
          <w:rFonts w:cstheme="minorHAnsi"/>
          <w:sz w:val="24"/>
          <w:szCs w:val="24"/>
        </w:rPr>
        <w:t xml:space="preserve">in spatial planning </w:t>
      </w:r>
      <w:r w:rsidRPr="007225BA">
        <w:rPr>
          <w:rFonts w:cstheme="minorHAnsi"/>
          <w:sz w:val="24"/>
          <w:szCs w:val="24"/>
        </w:rPr>
        <w:t>approach</w:t>
      </w:r>
      <w:r w:rsidR="00F816C1">
        <w:rPr>
          <w:rFonts w:cstheme="minorHAnsi"/>
          <w:sz w:val="24"/>
          <w:szCs w:val="24"/>
        </w:rPr>
        <w:t>es</w:t>
      </w:r>
      <w:r w:rsidRPr="007225BA">
        <w:rPr>
          <w:rFonts w:cstheme="minorHAnsi"/>
          <w:sz w:val="24"/>
          <w:szCs w:val="24"/>
        </w:rPr>
        <w:t xml:space="preserve"> across Scotland, with some </w:t>
      </w:r>
      <w:r w:rsidR="00F816C1">
        <w:rPr>
          <w:rFonts w:cstheme="minorHAnsi"/>
          <w:sz w:val="24"/>
          <w:szCs w:val="24"/>
        </w:rPr>
        <w:t>local planning authorities</w:t>
      </w:r>
      <w:r w:rsidRPr="007225BA">
        <w:rPr>
          <w:rFonts w:cstheme="minorHAnsi"/>
          <w:sz w:val="24"/>
          <w:szCs w:val="24"/>
        </w:rPr>
        <w:t xml:space="preserve"> prioritising landscape conservation and </w:t>
      </w:r>
      <w:r w:rsidR="008371DF">
        <w:rPr>
          <w:rFonts w:cstheme="minorHAnsi"/>
          <w:sz w:val="24"/>
          <w:szCs w:val="24"/>
        </w:rPr>
        <w:t xml:space="preserve">others </w:t>
      </w:r>
      <w:r w:rsidRPr="007225BA">
        <w:rPr>
          <w:rFonts w:cstheme="minorHAnsi"/>
          <w:sz w:val="24"/>
          <w:szCs w:val="24"/>
        </w:rPr>
        <w:t xml:space="preserve">promoting strategic wind energy sites with a view to </w:t>
      </w:r>
      <w:r w:rsidR="008371DF">
        <w:rPr>
          <w:rFonts w:cstheme="minorHAnsi"/>
          <w:sz w:val="24"/>
          <w:szCs w:val="24"/>
        </w:rPr>
        <w:t>accruing</w:t>
      </w:r>
      <w:r w:rsidRPr="007225BA">
        <w:rPr>
          <w:rFonts w:cstheme="minorHAnsi"/>
          <w:sz w:val="24"/>
          <w:szCs w:val="24"/>
        </w:rPr>
        <w:t xml:space="preserve"> financial benefits</w:t>
      </w:r>
      <w:r w:rsidR="008371DF">
        <w:rPr>
          <w:rFonts w:cstheme="minorHAnsi"/>
          <w:sz w:val="24"/>
          <w:szCs w:val="24"/>
        </w:rPr>
        <w:t>.</w:t>
      </w:r>
    </w:p>
    <w:p w14:paraId="73873A96" w14:textId="77777777" w:rsidR="004F3750" w:rsidRPr="007225BA" w:rsidRDefault="004F3750" w:rsidP="00202B91">
      <w:pPr>
        <w:spacing w:line="240" w:lineRule="auto"/>
        <w:jc w:val="both"/>
        <w:rPr>
          <w:rFonts w:cstheme="minorHAnsi"/>
          <w:sz w:val="24"/>
          <w:szCs w:val="24"/>
        </w:rPr>
      </w:pPr>
    </w:p>
    <w:p w14:paraId="25DF8C79" w14:textId="5B13EFA6" w:rsidR="004F3750" w:rsidRPr="007225BA" w:rsidRDefault="004F3750" w:rsidP="00735E90">
      <w:pPr>
        <w:spacing w:line="240" w:lineRule="auto"/>
        <w:jc w:val="both"/>
        <w:rPr>
          <w:rFonts w:cstheme="minorHAnsi"/>
          <w:sz w:val="24"/>
          <w:szCs w:val="24"/>
        </w:rPr>
      </w:pPr>
      <w:r w:rsidRPr="007225BA">
        <w:rPr>
          <w:rFonts w:cstheme="minorHAnsi"/>
          <w:sz w:val="24"/>
          <w:szCs w:val="24"/>
        </w:rPr>
        <w:t>This diversity brought industry complaints about inconsistency</w:t>
      </w:r>
      <w:r w:rsidR="006F3F0A">
        <w:rPr>
          <w:rFonts w:cstheme="minorHAnsi"/>
          <w:sz w:val="24"/>
          <w:szCs w:val="24"/>
        </w:rPr>
        <w:t xml:space="preserve"> and t</w:t>
      </w:r>
      <w:r w:rsidRPr="007225BA">
        <w:rPr>
          <w:rFonts w:cstheme="minorHAnsi"/>
          <w:sz w:val="24"/>
          <w:szCs w:val="24"/>
        </w:rPr>
        <w:t xml:space="preserve">he Scottish Government, very keen to support RE expansion, responded by progressively reducing local </w:t>
      </w:r>
      <w:r w:rsidR="006F3F0A">
        <w:rPr>
          <w:rFonts w:cstheme="minorHAnsi"/>
          <w:sz w:val="24"/>
          <w:szCs w:val="24"/>
        </w:rPr>
        <w:t>planning authorities</w:t>
      </w:r>
      <w:r w:rsidRPr="007225BA">
        <w:rPr>
          <w:rFonts w:cstheme="minorHAnsi"/>
          <w:sz w:val="24"/>
          <w:szCs w:val="24"/>
        </w:rPr>
        <w:t xml:space="preserve">’ flexibility. Successive revisions of the guidance greatly diminished the scope for using </w:t>
      </w:r>
      <w:r w:rsidRPr="007225BA">
        <w:rPr>
          <w:rFonts w:cstheme="minorHAnsi"/>
          <w:i/>
          <w:sz w:val="24"/>
          <w:szCs w:val="24"/>
        </w:rPr>
        <w:t>local</w:t>
      </w:r>
      <w:r w:rsidRPr="007225BA">
        <w:rPr>
          <w:rFonts w:cstheme="minorHAnsi"/>
          <w:sz w:val="24"/>
          <w:szCs w:val="24"/>
        </w:rPr>
        <w:t xml:space="preserve"> assessments of landscape quality or capacity to restrict wind energy development, </w:t>
      </w:r>
      <w:r w:rsidR="006F3F0A">
        <w:rPr>
          <w:rFonts w:cstheme="minorHAnsi"/>
          <w:sz w:val="24"/>
          <w:szCs w:val="24"/>
        </w:rPr>
        <w:t>leading to</w:t>
      </w:r>
      <w:r w:rsidRPr="007225BA">
        <w:rPr>
          <w:rFonts w:cstheme="minorHAnsi"/>
          <w:sz w:val="24"/>
          <w:szCs w:val="24"/>
        </w:rPr>
        <w:t xml:space="preserve"> a spatial planning methodology in which only national landscape constraints (</w:t>
      </w:r>
      <w:r w:rsidR="00345DF6">
        <w:rPr>
          <w:rFonts w:cstheme="minorHAnsi"/>
          <w:sz w:val="24"/>
          <w:szCs w:val="24"/>
        </w:rPr>
        <w:t>e.g.</w:t>
      </w:r>
      <w:r w:rsidRPr="007225BA">
        <w:rPr>
          <w:rFonts w:cstheme="minorHAnsi"/>
          <w:sz w:val="24"/>
          <w:szCs w:val="24"/>
        </w:rPr>
        <w:t xml:space="preserve"> National Parks) should form the basis of exclusion zones (Scottish Government 2</w:t>
      </w:r>
      <w:r w:rsidRPr="00345DF6">
        <w:rPr>
          <w:rFonts w:cstheme="minorHAnsi"/>
          <w:sz w:val="24"/>
          <w:szCs w:val="24"/>
        </w:rPr>
        <w:t>0</w:t>
      </w:r>
      <w:r w:rsidR="00E82DA4" w:rsidRPr="00DE6C73">
        <w:rPr>
          <w:rFonts w:cstheme="minorHAnsi"/>
          <w:sz w:val="24"/>
          <w:szCs w:val="24"/>
        </w:rPr>
        <w:t>14</w:t>
      </w:r>
      <w:r w:rsidRPr="007225BA">
        <w:rPr>
          <w:rFonts w:cstheme="minorHAnsi"/>
          <w:sz w:val="24"/>
          <w:szCs w:val="24"/>
        </w:rPr>
        <w:t>)</w:t>
      </w:r>
      <w:r w:rsidR="004B2355">
        <w:rPr>
          <w:rFonts w:cstheme="minorHAnsi"/>
          <w:sz w:val="24"/>
          <w:szCs w:val="24"/>
        </w:rPr>
        <w:t xml:space="preserve">. </w:t>
      </w:r>
      <w:r w:rsidRPr="007225BA">
        <w:rPr>
          <w:rFonts w:cstheme="minorHAnsi"/>
          <w:sz w:val="24"/>
          <w:szCs w:val="24"/>
        </w:rPr>
        <w:t xml:space="preserve">The Scottish Government has worked assiduously on actor alignment in other ways, too, using its powers to police local plan-making to </w:t>
      </w:r>
      <w:r w:rsidR="006F3F0A">
        <w:rPr>
          <w:rFonts w:cstheme="minorHAnsi"/>
          <w:sz w:val="24"/>
          <w:szCs w:val="24"/>
        </w:rPr>
        <w:t>prevent local planning authoritie</w:t>
      </w:r>
      <w:r w:rsidRPr="007225BA">
        <w:rPr>
          <w:rFonts w:cstheme="minorHAnsi"/>
          <w:sz w:val="24"/>
          <w:szCs w:val="24"/>
        </w:rPr>
        <w:t xml:space="preserve">s </w:t>
      </w:r>
      <w:r w:rsidR="006F3F0A">
        <w:rPr>
          <w:rFonts w:cstheme="minorHAnsi"/>
          <w:sz w:val="24"/>
          <w:szCs w:val="24"/>
        </w:rPr>
        <w:t xml:space="preserve">from drawing up </w:t>
      </w:r>
      <w:r w:rsidR="00C440A9">
        <w:rPr>
          <w:rFonts w:cstheme="minorHAnsi"/>
          <w:sz w:val="24"/>
          <w:szCs w:val="24"/>
        </w:rPr>
        <w:t>zoning policies that it regarded as too</w:t>
      </w:r>
      <w:r w:rsidR="00022EA6">
        <w:rPr>
          <w:rFonts w:cstheme="minorHAnsi"/>
          <w:sz w:val="24"/>
          <w:szCs w:val="24"/>
        </w:rPr>
        <w:t xml:space="preserve"> </w:t>
      </w:r>
      <w:r w:rsidR="006F3F0A">
        <w:rPr>
          <w:rFonts w:cstheme="minorHAnsi"/>
          <w:sz w:val="24"/>
          <w:szCs w:val="24"/>
        </w:rPr>
        <w:t>restrictive</w:t>
      </w:r>
      <w:r w:rsidR="004B2355">
        <w:rPr>
          <w:rFonts w:cstheme="minorHAnsi"/>
          <w:sz w:val="24"/>
          <w:szCs w:val="24"/>
        </w:rPr>
        <w:t>, and making use of its consenting powers for larger projects (see Table 2).</w:t>
      </w:r>
    </w:p>
    <w:p w14:paraId="0C1CBABA" w14:textId="77777777" w:rsidR="004F3750" w:rsidRPr="007225BA" w:rsidRDefault="004F3750" w:rsidP="00735E90">
      <w:pPr>
        <w:spacing w:line="240" w:lineRule="auto"/>
        <w:rPr>
          <w:rFonts w:cstheme="minorHAnsi"/>
          <w:sz w:val="24"/>
          <w:szCs w:val="24"/>
        </w:rPr>
      </w:pPr>
    </w:p>
    <w:p w14:paraId="453430F6" w14:textId="77777777" w:rsidR="004F3750" w:rsidRPr="007225BA" w:rsidRDefault="004F3750" w:rsidP="00735E90">
      <w:pPr>
        <w:spacing w:line="240" w:lineRule="auto"/>
        <w:rPr>
          <w:rFonts w:cstheme="minorHAnsi"/>
          <w:sz w:val="24"/>
          <w:szCs w:val="24"/>
        </w:rPr>
      </w:pPr>
    </w:p>
    <w:p w14:paraId="7E471A77" w14:textId="77777777" w:rsidR="004F3750" w:rsidRPr="006A7FE9" w:rsidRDefault="004F3750" w:rsidP="00735E90">
      <w:pPr>
        <w:pStyle w:val="Heading2"/>
        <w:spacing w:before="0" w:line="240" w:lineRule="auto"/>
        <w:jc w:val="both"/>
        <w:rPr>
          <w:rFonts w:asciiTheme="minorHAnsi" w:hAnsiTheme="minorHAnsi" w:cstheme="minorHAnsi"/>
          <w:b/>
          <w:i/>
          <w:sz w:val="24"/>
          <w:szCs w:val="24"/>
        </w:rPr>
      </w:pPr>
      <w:r w:rsidRPr="006A7FE9">
        <w:rPr>
          <w:rFonts w:asciiTheme="minorHAnsi" w:hAnsiTheme="minorHAnsi" w:cstheme="minorHAnsi"/>
          <w:b/>
          <w:i/>
          <w:color w:val="auto"/>
          <w:sz w:val="24"/>
          <w:szCs w:val="24"/>
        </w:rPr>
        <w:t>Understanding the outcomes of spatial planning approaches</w:t>
      </w:r>
    </w:p>
    <w:p w14:paraId="08CF43EA" w14:textId="77777777" w:rsidR="00C776D2" w:rsidRDefault="00C776D2" w:rsidP="00735E90">
      <w:pPr>
        <w:spacing w:line="240" w:lineRule="auto"/>
        <w:jc w:val="both"/>
        <w:rPr>
          <w:rFonts w:cstheme="minorHAnsi"/>
          <w:sz w:val="24"/>
          <w:szCs w:val="24"/>
        </w:rPr>
      </w:pPr>
    </w:p>
    <w:p w14:paraId="126D2514" w14:textId="4D69EA58" w:rsidR="004F3750" w:rsidRPr="007225BA" w:rsidRDefault="004F3750" w:rsidP="00735E90">
      <w:pPr>
        <w:spacing w:line="240" w:lineRule="auto"/>
        <w:jc w:val="both"/>
        <w:rPr>
          <w:rFonts w:cstheme="minorHAnsi"/>
          <w:sz w:val="24"/>
          <w:szCs w:val="24"/>
        </w:rPr>
      </w:pPr>
      <w:r w:rsidRPr="007225BA">
        <w:rPr>
          <w:rFonts w:cstheme="minorHAnsi"/>
          <w:sz w:val="24"/>
          <w:szCs w:val="24"/>
        </w:rPr>
        <w:t xml:space="preserve">Across </w:t>
      </w:r>
      <w:r w:rsidR="00C776D2">
        <w:rPr>
          <w:rFonts w:cstheme="minorHAnsi"/>
          <w:sz w:val="24"/>
          <w:szCs w:val="24"/>
        </w:rPr>
        <w:t>the</w:t>
      </w:r>
      <w:r w:rsidRPr="007225BA">
        <w:rPr>
          <w:rFonts w:cstheme="minorHAnsi"/>
          <w:sz w:val="24"/>
          <w:szCs w:val="24"/>
        </w:rPr>
        <w:t xml:space="preserve"> two </w:t>
      </w:r>
      <w:r w:rsidR="00C776D2">
        <w:rPr>
          <w:rFonts w:cstheme="minorHAnsi"/>
          <w:sz w:val="24"/>
          <w:szCs w:val="24"/>
        </w:rPr>
        <w:t>state</w:t>
      </w:r>
      <w:r w:rsidRPr="007225BA">
        <w:rPr>
          <w:rFonts w:cstheme="minorHAnsi"/>
          <w:sz w:val="24"/>
          <w:szCs w:val="24"/>
        </w:rPr>
        <w:t xml:space="preserve">s and six </w:t>
      </w:r>
      <w:r w:rsidR="00165F66">
        <w:rPr>
          <w:rFonts w:cstheme="minorHAnsi"/>
          <w:sz w:val="24"/>
          <w:szCs w:val="24"/>
        </w:rPr>
        <w:t>region</w:t>
      </w:r>
      <w:r w:rsidRPr="007225BA">
        <w:rPr>
          <w:rFonts w:cstheme="minorHAnsi"/>
          <w:sz w:val="24"/>
          <w:szCs w:val="24"/>
        </w:rPr>
        <w:t xml:space="preserve">s, our research has identified diverse modes of governing for onshore wind in relation to spatial planning approaches. How do these approaches relate to </w:t>
      </w:r>
      <w:r w:rsidR="00165F66">
        <w:rPr>
          <w:rFonts w:cstheme="minorHAnsi"/>
          <w:sz w:val="24"/>
          <w:szCs w:val="24"/>
        </w:rPr>
        <w:t>deployment patterns</w:t>
      </w:r>
      <w:r w:rsidRPr="007225BA">
        <w:rPr>
          <w:rFonts w:cstheme="minorHAnsi"/>
          <w:sz w:val="24"/>
          <w:szCs w:val="24"/>
        </w:rPr>
        <w:t xml:space="preserve">? Figure </w:t>
      </w:r>
      <w:r w:rsidR="00C440A9">
        <w:rPr>
          <w:rFonts w:cstheme="minorHAnsi"/>
          <w:sz w:val="24"/>
          <w:szCs w:val="24"/>
        </w:rPr>
        <w:t>2</w:t>
      </w:r>
      <w:r w:rsidR="000C6175">
        <w:rPr>
          <w:rFonts w:cstheme="minorHAnsi"/>
          <w:sz w:val="24"/>
          <w:szCs w:val="24"/>
        </w:rPr>
        <w:t xml:space="preserve"> </w:t>
      </w:r>
      <w:r w:rsidRPr="007225BA">
        <w:rPr>
          <w:rFonts w:cstheme="minorHAnsi"/>
          <w:sz w:val="24"/>
          <w:szCs w:val="24"/>
        </w:rPr>
        <w:t>summarise</w:t>
      </w:r>
      <w:r w:rsidR="00C776D2">
        <w:rPr>
          <w:rFonts w:cstheme="minorHAnsi"/>
          <w:sz w:val="24"/>
          <w:szCs w:val="24"/>
        </w:rPr>
        <w:t>s</w:t>
      </w:r>
      <w:r w:rsidRPr="007225BA">
        <w:rPr>
          <w:rFonts w:cstheme="minorHAnsi"/>
          <w:sz w:val="24"/>
          <w:szCs w:val="24"/>
        </w:rPr>
        <w:t xml:space="preserve"> the wind energy development trajectories for our case study regions, showing an array of upward trends. </w:t>
      </w:r>
      <w:r w:rsidR="00C91E44">
        <w:rPr>
          <w:rFonts w:cstheme="minorHAnsi"/>
          <w:sz w:val="24"/>
          <w:szCs w:val="24"/>
        </w:rPr>
        <w:t>C</w:t>
      </w:r>
      <w:r w:rsidRPr="007225BA">
        <w:rPr>
          <w:rFonts w:cstheme="minorHAnsi"/>
          <w:sz w:val="24"/>
          <w:szCs w:val="24"/>
        </w:rPr>
        <w:t xml:space="preserve">onstructing cause-effect relations is a hazardous enterprise, given that spatial planning approaches are just one variable affecting wind energy development </w:t>
      </w:r>
      <w:r w:rsidRPr="007225BA">
        <w:rPr>
          <w:rFonts w:cstheme="minorHAnsi"/>
          <w:noProof/>
          <w:sz w:val="24"/>
          <w:szCs w:val="24"/>
        </w:rPr>
        <w:t>(Lauf et al., 2020)</w:t>
      </w:r>
      <w:r w:rsidR="00165F66">
        <w:rPr>
          <w:rFonts w:cstheme="minorHAnsi"/>
          <w:sz w:val="24"/>
          <w:szCs w:val="24"/>
        </w:rPr>
        <w:t xml:space="preserve">. </w:t>
      </w:r>
      <w:r w:rsidR="00165F66" w:rsidRPr="007225BA">
        <w:rPr>
          <w:rFonts w:cstheme="minorHAnsi"/>
          <w:sz w:val="24"/>
          <w:szCs w:val="24"/>
        </w:rPr>
        <w:t xml:space="preserve">Across our UK and Italian cases, the shifting rates of RE expansion to date can be substantially attributed to the </w:t>
      </w:r>
      <w:r w:rsidR="00165F66">
        <w:rPr>
          <w:rFonts w:cstheme="minorHAnsi"/>
          <w:sz w:val="24"/>
          <w:szCs w:val="24"/>
        </w:rPr>
        <w:t xml:space="preserve">shifting </w:t>
      </w:r>
      <w:r w:rsidR="00165F66" w:rsidRPr="007225BA">
        <w:rPr>
          <w:rFonts w:cstheme="minorHAnsi"/>
          <w:sz w:val="24"/>
          <w:szCs w:val="24"/>
        </w:rPr>
        <w:t>availability of market support</w:t>
      </w:r>
      <w:r w:rsidR="00887C45">
        <w:rPr>
          <w:rFonts w:cstheme="minorHAnsi"/>
          <w:sz w:val="24"/>
          <w:szCs w:val="24"/>
        </w:rPr>
        <w:t xml:space="preserve">, with the effects of diminishing support from 2012/13 onwards </w:t>
      </w:r>
      <w:r w:rsidR="00165F66">
        <w:rPr>
          <w:rFonts w:cstheme="minorHAnsi"/>
          <w:sz w:val="24"/>
          <w:szCs w:val="24"/>
        </w:rPr>
        <w:t xml:space="preserve">being </w:t>
      </w:r>
      <w:r w:rsidR="00C440A9">
        <w:rPr>
          <w:rFonts w:cstheme="minorHAnsi"/>
          <w:sz w:val="24"/>
          <w:szCs w:val="24"/>
        </w:rPr>
        <w:t>observable</w:t>
      </w:r>
      <w:r w:rsidR="00165F66">
        <w:rPr>
          <w:rFonts w:cstheme="minorHAnsi"/>
          <w:sz w:val="24"/>
          <w:szCs w:val="24"/>
        </w:rPr>
        <w:t xml:space="preserve"> across the trend lines</w:t>
      </w:r>
      <w:r w:rsidR="00887C45">
        <w:rPr>
          <w:rFonts w:cstheme="minorHAnsi"/>
          <w:sz w:val="24"/>
          <w:szCs w:val="24"/>
        </w:rPr>
        <w:t xml:space="preserve"> in decelerating growth</w:t>
      </w:r>
      <w:r w:rsidR="00165F66">
        <w:rPr>
          <w:rFonts w:cstheme="minorHAnsi"/>
          <w:sz w:val="24"/>
          <w:szCs w:val="24"/>
        </w:rPr>
        <w:t>. N</w:t>
      </w:r>
      <w:r w:rsidRPr="007225BA">
        <w:rPr>
          <w:rFonts w:cstheme="minorHAnsi"/>
          <w:sz w:val="24"/>
          <w:szCs w:val="24"/>
        </w:rPr>
        <w:t>evertheless, a number of patterns can be identified</w:t>
      </w:r>
      <w:r w:rsidR="009C248C">
        <w:rPr>
          <w:rFonts w:cstheme="minorHAnsi"/>
          <w:sz w:val="24"/>
          <w:szCs w:val="24"/>
        </w:rPr>
        <w:t xml:space="preserve"> that reflect more closely the</w:t>
      </w:r>
      <w:r w:rsidR="00165F66">
        <w:rPr>
          <w:rFonts w:cstheme="minorHAnsi"/>
          <w:sz w:val="24"/>
          <w:szCs w:val="24"/>
        </w:rPr>
        <w:t xml:space="preserve"> spatial planning approaches</w:t>
      </w:r>
      <w:r w:rsidR="005E2979">
        <w:rPr>
          <w:rFonts w:cstheme="minorHAnsi"/>
          <w:sz w:val="24"/>
          <w:szCs w:val="24"/>
        </w:rPr>
        <w:t xml:space="preserve"> pursued</w:t>
      </w:r>
      <w:r w:rsidRPr="007225BA">
        <w:rPr>
          <w:rFonts w:cstheme="minorHAnsi"/>
          <w:sz w:val="24"/>
          <w:szCs w:val="24"/>
        </w:rPr>
        <w:t>.</w:t>
      </w:r>
    </w:p>
    <w:p w14:paraId="0034252B" w14:textId="77777777" w:rsidR="004F3750" w:rsidRPr="007225BA" w:rsidRDefault="004F3750" w:rsidP="00735E90">
      <w:pPr>
        <w:spacing w:line="240" w:lineRule="auto"/>
        <w:rPr>
          <w:rFonts w:cstheme="minorHAnsi"/>
          <w:sz w:val="24"/>
          <w:szCs w:val="24"/>
        </w:rPr>
      </w:pPr>
    </w:p>
    <w:p w14:paraId="6B829F3C" w14:textId="71FBA9F9" w:rsidR="004F3750" w:rsidRDefault="00F52C77" w:rsidP="00735E90">
      <w:pPr>
        <w:spacing w:line="240" w:lineRule="auto"/>
        <w:rPr>
          <w:rFonts w:cstheme="minorHAnsi"/>
          <w:b/>
          <w:sz w:val="24"/>
          <w:szCs w:val="24"/>
        </w:rPr>
      </w:pPr>
      <w:r w:rsidRPr="00F52C77">
        <w:rPr>
          <w:rFonts w:cstheme="minorHAnsi"/>
          <w:b/>
          <w:sz w:val="24"/>
          <w:szCs w:val="24"/>
        </w:rPr>
        <w:t>&lt;</w:t>
      </w:r>
      <w:r w:rsidR="00DE6C73">
        <w:rPr>
          <w:rFonts w:cstheme="minorHAnsi"/>
          <w:b/>
          <w:sz w:val="24"/>
          <w:szCs w:val="24"/>
        </w:rPr>
        <w:t>Insert</w:t>
      </w:r>
      <w:r w:rsidR="000C6175">
        <w:rPr>
          <w:rFonts w:cstheme="minorHAnsi"/>
          <w:b/>
          <w:sz w:val="24"/>
          <w:szCs w:val="24"/>
        </w:rPr>
        <w:t xml:space="preserve"> </w:t>
      </w:r>
      <w:r w:rsidRPr="00F52C77">
        <w:rPr>
          <w:rFonts w:cstheme="minorHAnsi"/>
          <w:b/>
          <w:sz w:val="24"/>
          <w:szCs w:val="24"/>
        </w:rPr>
        <w:t xml:space="preserve">Figure </w:t>
      </w:r>
      <w:r w:rsidR="00C440A9">
        <w:rPr>
          <w:rFonts w:cstheme="minorHAnsi"/>
          <w:b/>
          <w:sz w:val="24"/>
          <w:szCs w:val="24"/>
        </w:rPr>
        <w:t>2</w:t>
      </w:r>
      <w:r w:rsidR="00C776D2">
        <w:rPr>
          <w:rFonts w:cstheme="minorHAnsi"/>
          <w:b/>
          <w:sz w:val="24"/>
          <w:szCs w:val="24"/>
        </w:rPr>
        <w:t xml:space="preserve"> near here</w:t>
      </w:r>
      <w:r w:rsidRPr="00F52C77">
        <w:rPr>
          <w:rFonts w:cstheme="minorHAnsi"/>
          <w:b/>
          <w:sz w:val="24"/>
          <w:szCs w:val="24"/>
        </w:rPr>
        <w:t>&gt;</w:t>
      </w:r>
    </w:p>
    <w:p w14:paraId="0D23BEFB" w14:textId="77777777" w:rsidR="00C776D2" w:rsidRPr="00F52C77" w:rsidRDefault="00C776D2" w:rsidP="00735E90">
      <w:pPr>
        <w:spacing w:line="240" w:lineRule="auto"/>
        <w:rPr>
          <w:rFonts w:cstheme="minorHAnsi"/>
          <w:b/>
          <w:sz w:val="24"/>
          <w:szCs w:val="24"/>
        </w:rPr>
      </w:pPr>
    </w:p>
    <w:p w14:paraId="2F62608D" w14:textId="5C31D450" w:rsidR="004F3750" w:rsidRPr="007225BA" w:rsidRDefault="004F3750" w:rsidP="00DE6C73">
      <w:pPr>
        <w:pStyle w:val="CommentText"/>
        <w:jc w:val="both"/>
        <w:rPr>
          <w:rFonts w:cstheme="minorHAnsi"/>
          <w:sz w:val="24"/>
          <w:szCs w:val="24"/>
        </w:rPr>
      </w:pPr>
      <w:r w:rsidRPr="007225BA">
        <w:rPr>
          <w:rFonts w:cstheme="minorHAnsi"/>
          <w:sz w:val="24"/>
          <w:szCs w:val="24"/>
        </w:rPr>
        <w:t>The first finding is that</w:t>
      </w:r>
      <w:r w:rsidR="00165F66">
        <w:rPr>
          <w:rFonts w:cstheme="minorHAnsi"/>
          <w:sz w:val="24"/>
          <w:szCs w:val="24"/>
        </w:rPr>
        <w:t>,</w:t>
      </w:r>
      <w:r w:rsidRPr="007225BA">
        <w:rPr>
          <w:rFonts w:cstheme="minorHAnsi"/>
          <w:sz w:val="24"/>
          <w:szCs w:val="24"/>
        </w:rPr>
        <w:t xml:space="preserve"> in some settings</w:t>
      </w:r>
      <w:r w:rsidR="00165F66">
        <w:rPr>
          <w:rFonts w:cstheme="minorHAnsi"/>
          <w:sz w:val="24"/>
          <w:szCs w:val="24"/>
        </w:rPr>
        <w:t>,</w:t>
      </w:r>
      <w:r w:rsidRPr="007225BA">
        <w:rPr>
          <w:rFonts w:cstheme="minorHAnsi"/>
          <w:sz w:val="24"/>
          <w:szCs w:val="24"/>
        </w:rPr>
        <w:t xml:space="preserve"> engaging in strong </w:t>
      </w:r>
      <w:r w:rsidRPr="007225BA">
        <w:rPr>
          <w:rFonts w:cstheme="minorHAnsi"/>
          <w:i/>
          <w:sz w:val="24"/>
          <w:szCs w:val="24"/>
        </w:rPr>
        <w:t>ex ante</w:t>
      </w:r>
      <w:r w:rsidRPr="007225BA">
        <w:rPr>
          <w:rFonts w:cstheme="minorHAnsi"/>
          <w:sz w:val="24"/>
          <w:szCs w:val="24"/>
        </w:rPr>
        <w:t xml:space="preserve"> spatial steering is unnecessary to achieving rapid RE deployment, and may be inimical to rapidity per se. Apulia </w:t>
      </w:r>
      <w:r w:rsidR="00C91E44">
        <w:rPr>
          <w:rFonts w:cstheme="minorHAnsi"/>
          <w:sz w:val="24"/>
          <w:szCs w:val="24"/>
        </w:rPr>
        <w:t xml:space="preserve">and Northern Ireland are </w:t>
      </w:r>
      <w:r w:rsidR="00C776D2">
        <w:rPr>
          <w:rFonts w:cstheme="minorHAnsi"/>
          <w:sz w:val="24"/>
          <w:szCs w:val="24"/>
        </w:rPr>
        <w:t>our</w:t>
      </w:r>
      <w:r w:rsidRPr="007225BA">
        <w:rPr>
          <w:rFonts w:cstheme="minorHAnsi"/>
          <w:sz w:val="24"/>
          <w:szCs w:val="24"/>
        </w:rPr>
        <w:t xml:space="preserve"> example</w:t>
      </w:r>
      <w:r w:rsidR="00C91E44">
        <w:rPr>
          <w:rFonts w:cstheme="minorHAnsi"/>
          <w:sz w:val="24"/>
          <w:szCs w:val="24"/>
        </w:rPr>
        <w:t>s here</w:t>
      </w:r>
      <w:r w:rsidRPr="007225BA">
        <w:rPr>
          <w:rFonts w:cstheme="minorHAnsi"/>
          <w:sz w:val="24"/>
          <w:szCs w:val="24"/>
        </w:rPr>
        <w:t>; neither has made much use of spatial planning approaches</w:t>
      </w:r>
      <w:r w:rsidR="00165F66">
        <w:rPr>
          <w:rFonts w:cstheme="minorHAnsi"/>
          <w:sz w:val="24"/>
          <w:szCs w:val="24"/>
        </w:rPr>
        <w:t xml:space="preserve"> yet both witnessed accelerated development rates</w:t>
      </w:r>
      <w:r w:rsidRPr="007225BA">
        <w:rPr>
          <w:rFonts w:cstheme="minorHAnsi"/>
          <w:sz w:val="24"/>
          <w:szCs w:val="24"/>
        </w:rPr>
        <w:t>. In both Tuscany and Wales, the use of strong spatial steering has co-existed with slow levels of wind energy development, compared to other parts of the same nation.</w:t>
      </w:r>
      <w:r w:rsidR="00022EA6">
        <w:rPr>
          <w:rFonts w:cstheme="minorHAnsi"/>
          <w:sz w:val="24"/>
          <w:szCs w:val="24"/>
        </w:rPr>
        <w:t xml:space="preserve"> </w:t>
      </w:r>
      <w:r w:rsidRPr="007225BA">
        <w:rPr>
          <w:rFonts w:cstheme="minorHAnsi"/>
          <w:sz w:val="24"/>
          <w:szCs w:val="24"/>
        </w:rPr>
        <w:t>W</w:t>
      </w:r>
      <w:r w:rsidRPr="007225BA">
        <w:rPr>
          <w:rFonts w:cstheme="minorHAnsi"/>
          <w:sz w:val="24"/>
          <w:szCs w:val="24"/>
          <w:lang w:eastAsia="en-GB"/>
        </w:rPr>
        <w:t xml:space="preserve">hile most Italian regions </w:t>
      </w:r>
      <w:r w:rsidRPr="007225BA">
        <w:rPr>
          <w:rFonts w:cstheme="minorHAnsi"/>
          <w:sz w:val="24"/>
          <w:szCs w:val="24"/>
        </w:rPr>
        <w:t xml:space="preserve">exceeded their burden sharing targets </w:t>
      </w:r>
      <w:r w:rsidR="00C91E44">
        <w:rPr>
          <w:rFonts w:cstheme="minorHAnsi"/>
          <w:sz w:val="24"/>
          <w:szCs w:val="24"/>
        </w:rPr>
        <w:t>by</w:t>
      </w:r>
      <w:r w:rsidRPr="007225BA">
        <w:rPr>
          <w:rFonts w:cstheme="minorHAnsi"/>
          <w:sz w:val="24"/>
          <w:szCs w:val="24"/>
        </w:rPr>
        <w:t xml:space="preserve"> 2016, Tuscany </w:t>
      </w:r>
      <w:r w:rsidR="00C776D2">
        <w:rPr>
          <w:rFonts w:cstheme="minorHAnsi"/>
          <w:sz w:val="24"/>
          <w:szCs w:val="24"/>
        </w:rPr>
        <w:t>took until</w:t>
      </w:r>
      <w:r w:rsidR="005E2979">
        <w:rPr>
          <w:rFonts w:cstheme="minorHAnsi"/>
          <w:sz w:val="24"/>
          <w:szCs w:val="24"/>
        </w:rPr>
        <w:t xml:space="preserve"> </w:t>
      </w:r>
      <w:r w:rsidRPr="007225BA">
        <w:rPr>
          <w:rFonts w:cstheme="minorHAnsi"/>
          <w:sz w:val="24"/>
          <w:szCs w:val="24"/>
        </w:rPr>
        <w:t>2018.</w:t>
      </w:r>
      <w:r w:rsidR="00865AD2">
        <w:rPr>
          <w:rFonts w:cstheme="minorHAnsi"/>
          <w:sz w:val="24"/>
          <w:szCs w:val="24"/>
        </w:rPr>
        <w:t xml:space="preserve"> </w:t>
      </w:r>
      <w:r w:rsidRPr="007225BA">
        <w:rPr>
          <w:rFonts w:cstheme="minorHAnsi"/>
          <w:sz w:val="24"/>
          <w:szCs w:val="24"/>
        </w:rPr>
        <w:t xml:space="preserve">In Wales, the superimposition of the new spatial framework itself caused a </w:t>
      </w:r>
      <w:r w:rsidR="00165F66">
        <w:rPr>
          <w:rFonts w:cstheme="minorHAnsi"/>
          <w:sz w:val="24"/>
          <w:szCs w:val="24"/>
        </w:rPr>
        <w:t xml:space="preserve">virtual </w:t>
      </w:r>
      <w:r w:rsidRPr="007225BA">
        <w:rPr>
          <w:rFonts w:cstheme="minorHAnsi"/>
          <w:sz w:val="24"/>
          <w:szCs w:val="24"/>
        </w:rPr>
        <w:t xml:space="preserve">hiatus in </w:t>
      </w:r>
      <w:r w:rsidR="0063534E">
        <w:rPr>
          <w:rFonts w:cstheme="minorHAnsi"/>
          <w:sz w:val="24"/>
          <w:szCs w:val="24"/>
        </w:rPr>
        <w:t xml:space="preserve">new </w:t>
      </w:r>
      <w:r w:rsidRPr="007225BA">
        <w:rPr>
          <w:rFonts w:cstheme="minorHAnsi"/>
          <w:sz w:val="24"/>
          <w:szCs w:val="24"/>
        </w:rPr>
        <w:t>wind energy development f</w:t>
      </w:r>
      <w:r w:rsidR="00165F66">
        <w:rPr>
          <w:rFonts w:cstheme="minorHAnsi"/>
          <w:sz w:val="24"/>
          <w:szCs w:val="24"/>
        </w:rPr>
        <w:t>rom</w:t>
      </w:r>
      <w:r w:rsidR="00865AD2">
        <w:rPr>
          <w:rFonts w:cstheme="minorHAnsi"/>
          <w:sz w:val="24"/>
          <w:szCs w:val="24"/>
        </w:rPr>
        <w:t xml:space="preserve"> </w:t>
      </w:r>
      <w:r w:rsidR="0063534E">
        <w:rPr>
          <w:rFonts w:cstheme="minorHAnsi"/>
          <w:sz w:val="24"/>
          <w:szCs w:val="24"/>
        </w:rPr>
        <w:t xml:space="preserve">2005-09 (see Figure </w:t>
      </w:r>
      <w:r w:rsidR="00C440A9">
        <w:rPr>
          <w:rFonts w:cstheme="minorHAnsi"/>
          <w:sz w:val="24"/>
          <w:szCs w:val="24"/>
        </w:rPr>
        <w:t>2</w:t>
      </w:r>
      <w:r w:rsidR="0063534E">
        <w:rPr>
          <w:rFonts w:cstheme="minorHAnsi"/>
          <w:sz w:val="24"/>
          <w:szCs w:val="24"/>
        </w:rPr>
        <w:t>)</w:t>
      </w:r>
      <w:r w:rsidRPr="007225BA">
        <w:rPr>
          <w:rFonts w:cstheme="minorHAnsi"/>
          <w:sz w:val="24"/>
          <w:szCs w:val="24"/>
        </w:rPr>
        <w:t>,</w:t>
      </w:r>
      <w:r w:rsidR="005E2979">
        <w:rPr>
          <w:rFonts w:cstheme="minorHAnsi"/>
          <w:sz w:val="24"/>
          <w:szCs w:val="24"/>
        </w:rPr>
        <w:t xml:space="preserve"> </w:t>
      </w:r>
      <w:r w:rsidRPr="007225BA">
        <w:rPr>
          <w:rFonts w:cstheme="minorHAnsi"/>
          <w:sz w:val="24"/>
          <w:szCs w:val="24"/>
        </w:rPr>
        <w:t>as developers adjusted to the redistribution of available sites.</w:t>
      </w:r>
    </w:p>
    <w:p w14:paraId="6C1ED1FE" w14:textId="77777777" w:rsidR="004F3750" w:rsidRPr="007225BA" w:rsidRDefault="004F3750" w:rsidP="00DE6C73">
      <w:pPr>
        <w:pStyle w:val="CommentText"/>
        <w:jc w:val="both"/>
        <w:rPr>
          <w:rFonts w:cstheme="minorHAnsi"/>
          <w:b/>
          <w:sz w:val="24"/>
          <w:szCs w:val="24"/>
        </w:rPr>
      </w:pPr>
    </w:p>
    <w:p w14:paraId="756AF621" w14:textId="7333FA04" w:rsidR="00C776D2" w:rsidRDefault="004F3750" w:rsidP="00735E90">
      <w:pPr>
        <w:pStyle w:val="CommentText"/>
        <w:jc w:val="both"/>
        <w:rPr>
          <w:rFonts w:cstheme="minorHAnsi"/>
          <w:sz w:val="24"/>
          <w:szCs w:val="24"/>
        </w:rPr>
      </w:pPr>
      <w:r w:rsidRPr="007225BA">
        <w:rPr>
          <w:rFonts w:cstheme="minorHAnsi"/>
          <w:bCs/>
          <w:sz w:val="24"/>
          <w:szCs w:val="24"/>
        </w:rPr>
        <w:t xml:space="preserve">Of course, we might judge outcomes differently </w:t>
      </w:r>
      <w:r w:rsidRPr="007225BA">
        <w:rPr>
          <w:rFonts w:cstheme="minorHAnsi"/>
          <w:sz w:val="24"/>
          <w:szCs w:val="24"/>
        </w:rPr>
        <w:t>if environmental protection is the main goal. Across our cases in UK and Italy the highest tiers of protected landscape and wildlife sites have been largely excluded from wind energy development, whether modes of governing embraced spatial approaches or not. What seems to ma</w:t>
      </w:r>
      <w:r w:rsidR="0063534E">
        <w:rPr>
          <w:rFonts w:cstheme="minorHAnsi"/>
          <w:sz w:val="24"/>
          <w:szCs w:val="24"/>
        </w:rPr>
        <w:t>ke more difference</w:t>
      </w:r>
      <w:r w:rsidRPr="007225BA">
        <w:rPr>
          <w:rFonts w:cstheme="minorHAnsi"/>
          <w:sz w:val="24"/>
          <w:szCs w:val="24"/>
        </w:rPr>
        <w:t xml:space="preserve"> for outcomes </w:t>
      </w:r>
      <w:r w:rsidR="0063534E">
        <w:rPr>
          <w:rFonts w:cstheme="minorHAnsi"/>
          <w:sz w:val="24"/>
          <w:szCs w:val="24"/>
        </w:rPr>
        <w:t>– environmental and developmental</w:t>
      </w:r>
      <w:r w:rsidR="005E2979">
        <w:rPr>
          <w:rFonts w:cstheme="minorHAnsi"/>
          <w:sz w:val="24"/>
          <w:szCs w:val="24"/>
        </w:rPr>
        <w:t xml:space="preserve"> </w:t>
      </w:r>
      <w:r w:rsidR="0063534E">
        <w:rPr>
          <w:rFonts w:cstheme="minorHAnsi"/>
          <w:sz w:val="24"/>
          <w:szCs w:val="24"/>
        </w:rPr>
        <w:t xml:space="preserve">- </w:t>
      </w:r>
      <w:r w:rsidRPr="007225BA">
        <w:rPr>
          <w:rFonts w:cstheme="minorHAnsi"/>
          <w:sz w:val="24"/>
          <w:szCs w:val="24"/>
        </w:rPr>
        <w:t xml:space="preserve">is whether governments legitimise spatial planning approaches that move beyond acknowledged national </w:t>
      </w:r>
      <w:r w:rsidR="0063534E">
        <w:rPr>
          <w:rFonts w:cstheme="minorHAnsi"/>
          <w:sz w:val="24"/>
          <w:szCs w:val="24"/>
        </w:rPr>
        <w:t xml:space="preserve">environmental </w:t>
      </w:r>
      <w:r w:rsidRPr="007225BA">
        <w:rPr>
          <w:rFonts w:cstheme="minorHAnsi"/>
          <w:sz w:val="24"/>
          <w:szCs w:val="24"/>
        </w:rPr>
        <w:t xml:space="preserve">constraints to enable local judgements of </w:t>
      </w:r>
      <w:r w:rsidR="0063534E">
        <w:rPr>
          <w:rFonts w:cstheme="minorHAnsi"/>
          <w:sz w:val="24"/>
          <w:szCs w:val="24"/>
        </w:rPr>
        <w:t>environmental</w:t>
      </w:r>
      <w:r w:rsidRPr="007225BA">
        <w:rPr>
          <w:rFonts w:cstheme="minorHAnsi"/>
          <w:sz w:val="24"/>
          <w:szCs w:val="24"/>
        </w:rPr>
        <w:t xml:space="preserve"> value to be included. </w:t>
      </w:r>
      <w:r w:rsidR="0063534E">
        <w:rPr>
          <w:rFonts w:cstheme="minorHAnsi"/>
          <w:sz w:val="24"/>
          <w:szCs w:val="24"/>
        </w:rPr>
        <w:t>Doing so</w:t>
      </w:r>
      <w:r w:rsidRPr="007225BA">
        <w:rPr>
          <w:rFonts w:cstheme="minorHAnsi"/>
          <w:sz w:val="24"/>
          <w:szCs w:val="24"/>
        </w:rPr>
        <w:t xml:space="preserve"> can place significant constraints on onshore wind development – sometimes deliberately so</w:t>
      </w:r>
      <w:r w:rsidR="004A1897">
        <w:rPr>
          <w:rFonts w:cstheme="minorHAnsi"/>
          <w:sz w:val="24"/>
          <w:szCs w:val="24"/>
        </w:rPr>
        <w:t xml:space="preserve">, notably in England where a highly restrictive mode of governing helps </w:t>
      </w:r>
      <w:proofErr w:type="gramStart"/>
      <w:r w:rsidR="004A1897">
        <w:rPr>
          <w:rFonts w:cstheme="minorHAnsi"/>
          <w:sz w:val="24"/>
          <w:szCs w:val="24"/>
        </w:rPr>
        <w:t>explain</w:t>
      </w:r>
      <w:proofErr w:type="gramEnd"/>
      <w:r w:rsidR="004A1897">
        <w:rPr>
          <w:rFonts w:cstheme="minorHAnsi"/>
          <w:sz w:val="24"/>
          <w:szCs w:val="24"/>
        </w:rPr>
        <w:t xml:space="preserve"> </w:t>
      </w:r>
      <w:r w:rsidR="005E2979">
        <w:rPr>
          <w:rFonts w:cstheme="minorHAnsi"/>
          <w:sz w:val="24"/>
          <w:szCs w:val="24"/>
        </w:rPr>
        <w:t xml:space="preserve">the </w:t>
      </w:r>
      <w:r w:rsidR="004A1897">
        <w:rPr>
          <w:rFonts w:cstheme="minorHAnsi"/>
          <w:sz w:val="24"/>
          <w:szCs w:val="24"/>
        </w:rPr>
        <w:t xml:space="preserve">flat-lining installation rate from </w:t>
      </w:r>
      <w:r w:rsidR="003E5712">
        <w:rPr>
          <w:rFonts w:cstheme="minorHAnsi"/>
          <w:sz w:val="24"/>
          <w:szCs w:val="24"/>
        </w:rPr>
        <w:t xml:space="preserve">2017. </w:t>
      </w:r>
    </w:p>
    <w:p w14:paraId="23714FBE" w14:textId="77777777" w:rsidR="004F3750" w:rsidRPr="007225BA" w:rsidRDefault="004F3750" w:rsidP="00735E90">
      <w:pPr>
        <w:pStyle w:val="CommentText"/>
        <w:jc w:val="both"/>
        <w:rPr>
          <w:rFonts w:cstheme="minorHAnsi"/>
          <w:sz w:val="24"/>
          <w:szCs w:val="24"/>
        </w:rPr>
      </w:pPr>
    </w:p>
    <w:p w14:paraId="4D0CFA53" w14:textId="4FFB7302" w:rsidR="004F3750" w:rsidRPr="007225BA" w:rsidRDefault="004F3750" w:rsidP="00735E90">
      <w:pPr>
        <w:spacing w:line="240" w:lineRule="auto"/>
        <w:jc w:val="both"/>
        <w:rPr>
          <w:rFonts w:cstheme="minorHAnsi"/>
          <w:sz w:val="24"/>
          <w:szCs w:val="24"/>
        </w:rPr>
      </w:pPr>
      <w:r w:rsidRPr="007225BA">
        <w:rPr>
          <w:rFonts w:cstheme="minorHAnsi"/>
          <w:sz w:val="24"/>
          <w:szCs w:val="24"/>
        </w:rPr>
        <w:t xml:space="preserve">Teasing out the net effect of spatial planning approaches is </w:t>
      </w:r>
      <w:r w:rsidR="000E15CE">
        <w:rPr>
          <w:rFonts w:cstheme="minorHAnsi"/>
          <w:sz w:val="24"/>
          <w:szCs w:val="24"/>
        </w:rPr>
        <w:t xml:space="preserve">inevitably </w:t>
      </w:r>
      <w:r w:rsidRPr="007225BA">
        <w:rPr>
          <w:rFonts w:cstheme="minorHAnsi"/>
          <w:sz w:val="24"/>
          <w:szCs w:val="24"/>
        </w:rPr>
        <w:t xml:space="preserve">trickiest in those territories that have </w:t>
      </w:r>
      <w:r w:rsidR="000E15CE">
        <w:rPr>
          <w:rFonts w:cstheme="minorHAnsi"/>
          <w:sz w:val="24"/>
          <w:szCs w:val="24"/>
        </w:rPr>
        <w:t>utilised</w:t>
      </w:r>
      <w:r w:rsidRPr="007225BA">
        <w:rPr>
          <w:rFonts w:cstheme="minorHAnsi"/>
          <w:sz w:val="24"/>
          <w:szCs w:val="24"/>
        </w:rPr>
        <w:t xml:space="preserve"> spatial planning approaches</w:t>
      </w:r>
      <w:r w:rsidR="000E15CE">
        <w:rPr>
          <w:rFonts w:cstheme="minorHAnsi"/>
          <w:sz w:val="24"/>
          <w:szCs w:val="24"/>
        </w:rPr>
        <w:t xml:space="preserve"> for governance purposes that</w:t>
      </w:r>
      <w:r w:rsidRPr="007225BA">
        <w:rPr>
          <w:rFonts w:cstheme="minorHAnsi"/>
          <w:sz w:val="24"/>
          <w:szCs w:val="24"/>
        </w:rPr>
        <w:t xml:space="preserve"> emphasise supporting RE growth </w:t>
      </w:r>
      <w:r w:rsidRPr="007225BA">
        <w:rPr>
          <w:rFonts w:cstheme="minorHAnsi"/>
          <w:i/>
          <w:sz w:val="24"/>
          <w:szCs w:val="24"/>
        </w:rPr>
        <w:t>alongside</w:t>
      </w:r>
      <w:r w:rsidRPr="007225BA">
        <w:rPr>
          <w:rFonts w:cstheme="minorHAnsi"/>
          <w:sz w:val="24"/>
          <w:szCs w:val="24"/>
        </w:rPr>
        <w:t xml:space="preserve"> environmental protection, since analysts are left to assess whether a ‘better’ balance has been achieved. The use of spatial planning approaches has scarcely hindered the rapid roll-out of on-shore wind in Scotland, which experienced the UK’s highest volumetric growth. This may be attributed to </w:t>
      </w:r>
      <w:r w:rsidR="00C776D2">
        <w:rPr>
          <w:rFonts w:cstheme="minorHAnsi"/>
          <w:sz w:val="24"/>
          <w:szCs w:val="24"/>
        </w:rPr>
        <w:t>practices</w:t>
      </w:r>
      <w:r w:rsidRPr="007225BA">
        <w:rPr>
          <w:rFonts w:cstheme="minorHAnsi"/>
          <w:sz w:val="24"/>
          <w:szCs w:val="24"/>
        </w:rPr>
        <w:t xml:space="preserve"> of actor alignment pursued by the Scottish Government, as discussed above, and the fact that ‘preferred zones’ had an advisory rather than prescriptive status</w:t>
      </w:r>
      <w:r w:rsidR="000E15CE">
        <w:rPr>
          <w:rFonts w:cstheme="minorHAnsi"/>
          <w:sz w:val="24"/>
          <w:szCs w:val="24"/>
        </w:rPr>
        <w:t xml:space="preserve"> i.e. it was still permissible for developers to attain assent for wind farms that fell outside them</w:t>
      </w:r>
      <w:r w:rsidRPr="007225BA">
        <w:rPr>
          <w:rFonts w:cstheme="minorHAnsi"/>
          <w:sz w:val="24"/>
          <w:szCs w:val="24"/>
        </w:rPr>
        <w:t>. Local planners would therefore judge the environmental outcomes</w:t>
      </w:r>
      <w:r w:rsidR="009C248C">
        <w:rPr>
          <w:rFonts w:cstheme="minorHAnsi"/>
          <w:sz w:val="24"/>
          <w:szCs w:val="24"/>
        </w:rPr>
        <w:t xml:space="preserve"> </w:t>
      </w:r>
      <w:r w:rsidRPr="007225BA">
        <w:rPr>
          <w:rFonts w:cstheme="minorHAnsi"/>
          <w:sz w:val="24"/>
          <w:szCs w:val="24"/>
        </w:rPr>
        <w:t>to be ambivalent.</w:t>
      </w:r>
    </w:p>
    <w:p w14:paraId="05EC14E1" w14:textId="77777777" w:rsidR="004F3750" w:rsidRPr="007225BA" w:rsidRDefault="004F3750" w:rsidP="00735E90">
      <w:pPr>
        <w:spacing w:line="240" w:lineRule="auto"/>
        <w:rPr>
          <w:rFonts w:cstheme="minorHAnsi"/>
          <w:sz w:val="24"/>
          <w:szCs w:val="24"/>
        </w:rPr>
      </w:pPr>
    </w:p>
    <w:p w14:paraId="4CE99D3B" w14:textId="7E76CC34" w:rsidR="00050CF2" w:rsidRDefault="004F3750" w:rsidP="00735E90">
      <w:pPr>
        <w:spacing w:line="240" w:lineRule="auto"/>
        <w:jc w:val="both"/>
        <w:rPr>
          <w:rFonts w:cstheme="minorHAnsi"/>
          <w:sz w:val="24"/>
          <w:szCs w:val="24"/>
        </w:rPr>
      </w:pPr>
      <w:r w:rsidRPr="007225BA">
        <w:rPr>
          <w:rFonts w:cstheme="minorHAnsi"/>
          <w:sz w:val="24"/>
          <w:szCs w:val="24"/>
        </w:rPr>
        <w:t xml:space="preserve">In Wales, few </w:t>
      </w:r>
      <w:r w:rsidR="00C91E44">
        <w:rPr>
          <w:rFonts w:cstheme="minorHAnsi"/>
          <w:sz w:val="24"/>
          <w:szCs w:val="24"/>
        </w:rPr>
        <w:t xml:space="preserve">significant </w:t>
      </w:r>
      <w:r w:rsidRPr="007225BA">
        <w:rPr>
          <w:rFonts w:cstheme="minorHAnsi"/>
          <w:sz w:val="24"/>
          <w:szCs w:val="24"/>
        </w:rPr>
        <w:t>windfarms have come forward outside the Strategic Search Area</w:t>
      </w:r>
      <w:r w:rsidR="000E15CE">
        <w:rPr>
          <w:rFonts w:cstheme="minorHAnsi"/>
          <w:sz w:val="24"/>
          <w:szCs w:val="24"/>
        </w:rPr>
        <w:t>s</w:t>
      </w:r>
      <w:r w:rsidRPr="007225BA">
        <w:rPr>
          <w:rFonts w:cstheme="minorHAnsi"/>
          <w:sz w:val="24"/>
          <w:szCs w:val="24"/>
        </w:rPr>
        <w:t xml:space="preserve">: to that extent, the strategy delivered on the environmental objectives embodied in the spatial planning approach and its </w:t>
      </w:r>
      <w:r w:rsidR="000E15CE">
        <w:rPr>
          <w:rFonts w:cstheme="minorHAnsi"/>
          <w:sz w:val="24"/>
          <w:szCs w:val="24"/>
        </w:rPr>
        <w:t>goal</w:t>
      </w:r>
      <w:r w:rsidRPr="007225BA">
        <w:rPr>
          <w:rFonts w:cstheme="minorHAnsi"/>
          <w:sz w:val="24"/>
          <w:szCs w:val="24"/>
        </w:rPr>
        <w:t xml:space="preserve"> of spatial</w:t>
      </w:r>
      <w:r w:rsidR="000E15CE">
        <w:rPr>
          <w:rFonts w:cstheme="minorHAnsi"/>
          <w:sz w:val="24"/>
          <w:szCs w:val="24"/>
        </w:rPr>
        <w:t>ly</w:t>
      </w:r>
      <w:r w:rsidRPr="007225BA">
        <w:rPr>
          <w:rFonts w:cstheme="minorHAnsi"/>
          <w:sz w:val="24"/>
          <w:szCs w:val="24"/>
        </w:rPr>
        <w:t xml:space="preserve"> concentrati</w:t>
      </w:r>
      <w:r w:rsidR="000E15CE">
        <w:rPr>
          <w:rFonts w:cstheme="minorHAnsi"/>
          <w:sz w:val="24"/>
          <w:szCs w:val="24"/>
        </w:rPr>
        <w:t>ng wind energy development</w:t>
      </w:r>
      <w:r w:rsidRPr="007225BA">
        <w:rPr>
          <w:rFonts w:cstheme="minorHAnsi"/>
          <w:sz w:val="24"/>
          <w:szCs w:val="24"/>
        </w:rPr>
        <w:t xml:space="preserve">. Instead, ambivalence lies in whether the mode of governance delivered desired wind energy development outcomes, with development falling short of </w:t>
      </w:r>
      <w:r w:rsidR="000E15CE">
        <w:rPr>
          <w:rFonts w:cstheme="minorHAnsi"/>
          <w:sz w:val="24"/>
          <w:szCs w:val="24"/>
        </w:rPr>
        <w:t>successive</w:t>
      </w:r>
      <w:r w:rsidRPr="007225BA">
        <w:rPr>
          <w:rFonts w:cstheme="minorHAnsi"/>
          <w:sz w:val="24"/>
          <w:szCs w:val="24"/>
        </w:rPr>
        <w:t xml:space="preserve"> targets. </w:t>
      </w:r>
      <w:r w:rsidR="000E15CE">
        <w:rPr>
          <w:rFonts w:cstheme="minorHAnsi"/>
          <w:sz w:val="24"/>
          <w:szCs w:val="24"/>
        </w:rPr>
        <w:t xml:space="preserve">In accounting for the shortfall, we can see the effects of the compromises built into the Welsh spatial planning approach, particularly in the selectivity of the technical parameters included, and issues of </w:t>
      </w:r>
      <w:r w:rsidRPr="007225BA">
        <w:rPr>
          <w:rFonts w:cstheme="minorHAnsi"/>
          <w:sz w:val="24"/>
          <w:szCs w:val="24"/>
        </w:rPr>
        <w:t xml:space="preserve">actor alignment. </w:t>
      </w:r>
      <w:r w:rsidR="00050CF2">
        <w:rPr>
          <w:rFonts w:cstheme="minorHAnsi"/>
          <w:sz w:val="24"/>
          <w:szCs w:val="24"/>
        </w:rPr>
        <w:t>T</w:t>
      </w:r>
      <w:r w:rsidRPr="007225BA">
        <w:rPr>
          <w:rFonts w:cstheme="minorHAnsi"/>
          <w:sz w:val="24"/>
          <w:szCs w:val="24"/>
        </w:rPr>
        <w:t xml:space="preserve">o understand </w:t>
      </w:r>
      <w:r w:rsidR="00050CF2">
        <w:rPr>
          <w:rFonts w:cstheme="minorHAnsi"/>
          <w:sz w:val="24"/>
          <w:szCs w:val="24"/>
        </w:rPr>
        <w:t xml:space="preserve">these </w:t>
      </w:r>
      <w:r w:rsidRPr="007225BA">
        <w:rPr>
          <w:rFonts w:cstheme="minorHAnsi"/>
          <w:sz w:val="24"/>
          <w:szCs w:val="24"/>
        </w:rPr>
        <w:t>effects</w:t>
      </w:r>
      <w:r w:rsidR="006C6D70">
        <w:rPr>
          <w:rFonts w:cstheme="minorHAnsi"/>
          <w:sz w:val="24"/>
          <w:szCs w:val="24"/>
        </w:rPr>
        <w:t>,</w:t>
      </w:r>
      <w:r w:rsidR="005E2979">
        <w:rPr>
          <w:rFonts w:cstheme="minorHAnsi"/>
          <w:sz w:val="24"/>
          <w:szCs w:val="24"/>
        </w:rPr>
        <w:t xml:space="preserve"> </w:t>
      </w:r>
      <w:r w:rsidR="00C776D2">
        <w:rPr>
          <w:rFonts w:cstheme="minorHAnsi"/>
          <w:sz w:val="24"/>
          <w:szCs w:val="24"/>
        </w:rPr>
        <w:t xml:space="preserve">it </w:t>
      </w:r>
      <w:r w:rsidRPr="007225BA">
        <w:rPr>
          <w:rFonts w:cstheme="minorHAnsi"/>
          <w:sz w:val="24"/>
          <w:szCs w:val="24"/>
        </w:rPr>
        <w:t xml:space="preserve">is insightful to disaggregate spatially what happened </w:t>
      </w:r>
      <w:r w:rsidR="00050CF2">
        <w:rPr>
          <w:rFonts w:cstheme="minorHAnsi"/>
          <w:sz w:val="24"/>
          <w:szCs w:val="24"/>
        </w:rPr>
        <w:t>across</w:t>
      </w:r>
      <w:r w:rsidRPr="007225BA">
        <w:rPr>
          <w:rFonts w:cstheme="minorHAnsi"/>
          <w:sz w:val="24"/>
          <w:szCs w:val="24"/>
        </w:rPr>
        <w:t xml:space="preserve"> Wales as the SSAs ‘worked’ in some areas but not others.</w:t>
      </w:r>
    </w:p>
    <w:p w14:paraId="3941C1B1" w14:textId="77777777" w:rsidR="00050CF2" w:rsidRDefault="00050CF2" w:rsidP="00735E90">
      <w:pPr>
        <w:spacing w:line="240" w:lineRule="auto"/>
        <w:jc w:val="both"/>
        <w:rPr>
          <w:rFonts w:cstheme="minorHAnsi"/>
          <w:sz w:val="24"/>
          <w:szCs w:val="24"/>
        </w:rPr>
      </w:pPr>
    </w:p>
    <w:p w14:paraId="2AB0744D" w14:textId="36BF4134" w:rsidR="004F3750" w:rsidRDefault="004F3750" w:rsidP="00735E90">
      <w:pPr>
        <w:spacing w:line="240" w:lineRule="auto"/>
        <w:jc w:val="both"/>
        <w:rPr>
          <w:rFonts w:cstheme="minorHAnsi"/>
          <w:sz w:val="24"/>
          <w:szCs w:val="24"/>
        </w:rPr>
      </w:pPr>
      <w:r w:rsidRPr="007225BA">
        <w:rPr>
          <w:rFonts w:cstheme="minorHAnsi"/>
          <w:sz w:val="24"/>
          <w:szCs w:val="24"/>
        </w:rPr>
        <w:t>All of the SSAs stimulated significant development interest, but projects in the south and north Wales SSAs materialised, mainly because there was extant grid capacity nearby</w:t>
      </w:r>
      <w:r w:rsidR="006C6D70">
        <w:rPr>
          <w:rFonts w:cstheme="minorHAnsi"/>
          <w:sz w:val="24"/>
          <w:szCs w:val="24"/>
        </w:rPr>
        <w:t>,</w:t>
      </w:r>
      <w:r w:rsidR="00022EA6">
        <w:rPr>
          <w:rFonts w:cstheme="minorHAnsi"/>
          <w:sz w:val="24"/>
          <w:szCs w:val="24"/>
        </w:rPr>
        <w:t xml:space="preserve"> </w:t>
      </w:r>
      <w:r w:rsidR="00050CF2">
        <w:rPr>
          <w:rFonts w:cstheme="minorHAnsi"/>
          <w:sz w:val="24"/>
          <w:szCs w:val="24"/>
        </w:rPr>
        <w:t xml:space="preserve">more </w:t>
      </w:r>
      <w:r w:rsidRPr="007225BA">
        <w:rPr>
          <w:rFonts w:cstheme="minorHAnsi"/>
          <w:sz w:val="24"/>
          <w:szCs w:val="24"/>
        </w:rPr>
        <w:t>limited protective aspirations for the land resource</w:t>
      </w:r>
      <w:r w:rsidR="00050CF2">
        <w:rPr>
          <w:rFonts w:cstheme="minorHAnsi"/>
          <w:sz w:val="24"/>
          <w:szCs w:val="24"/>
        </w:rPr>
        <w:t xml:space="preserve"> and limited organised opposition</w:t>
      </w:r>
      <w:r w:rsidRPr="007225BA">
        <w:rPr>
          <w:rFonts w:cstheme="minorHAnsi"/>
          <w:sz w:val="24"/>
          <w:szCs w:val="24"/>
        </w:rPr>
        <w:t>. In mid-Wales</w:t>
      </w:r>
      <w:r w:rsidR="00050CF2">
        <w:rPr>
          <w:rFonts w:cstheme="minorHAnsi"/>
          <w:sz w:val="24"/>
          <w:szCs w:val="24"/>
        </w:rPr>
        <w:t>, few SSA wind farms materialised, and the contextual conditions were different. T</w:t>
      </w:r>
      <w:r w:rsidRPr="007225BA">
        <w:rPr>
          <w:rFonts w:cstheme="minorHAnsi"/>
          <w:sz w:val="24"/>
          <w:szCs w:val="24"/>
        </w:rPr>
        <w:t>here was little grid capacity, meaning major new high voltage lines were required across the countryside</w:t>
      </w:r>
      <w:r w:rsidR="006C6D70">
        <w:rPr>
          <w:rFonts w:cstheme="minorHAnsi"/>
          <w:sz w:val="24"/>
          <w:szCs w:val="24"/>
        </w:rPr>
        <w:t>. T</w:t>
      </w:r>
      <w:r w:rsidRPr="007225BA">
        <w:rPr>
          <w:rFonts w:cstheme="minorHAnsi"/>
          <w:sz w:val="24"/>
          <w:szCs w:val="24"/>
        </w:rPr>
        <w:t>his led to increasingly organised opposition, at all tiers of government</w:t>
      </w:r>
      <w:r w:rsidR="006C6D70">
        <w:rPr>
          <w:rFonts w:cstheme="minorHAnsi"/>
          <w:sz w:val="24"/>
          <w:szCs w:val="24"/>
        </w:rPr>
        <w:t>, which</w:t>
      </w:r>
      <w:r w:rsidRPr="007225BA">
        <w:rPr>
          <w:rFonts w:cstheme="minorHAnsi"/>
          <w:sz w:val="24"/>
          <w:szCs w:val="24"/>
        </w:rPr>
        <w:t xml:space="preserve"> exacerbated other problems of actor alignment. Because the SSAs had stimulated larger wind farms, over 50MW, </w:t>
      </w:r>
      <w:r w:rsidR="00050CF2">
        <w:rPr>
          <w:rFonts w:cstheme="minorHAnsi"/>
          <w:sz w:val="24"/>
          <w:szCs w:val="24"/>
        </w:rPr>
        <w:t xml:space="preserve">this meant responsibility for consenting </w:t>
      </w:r>
      <w:r w:rsidR="005E2979">
        <w:rPr>
          <w:rFonts w:cstheme="minorHAnsi"/>
          <w:sz w:val="24"/>
          <w:szCs w:val="24"/>
        </w:rPr>
        <w:t xml:space="preserve">the applications </w:t>
      </w:r>
      <w:r w:rsidR="00050CF2">
        <w:rPr>
          <w:rFonts w:cstheme="minorHAnsi"/>
          <w:sz w:val="24"/>
          <w:szCs w:val="24"/>
        </w:rPr>
        <w:t xml:space="preserve">fell to </w:t>
      </w:r>
      <w:r w:rsidRPr="007225BA">
        <w:rPr>
          <w:rFonts w:cstheme="minorHAnsi"/>
          <w:sz w:val="24"/>
          <w:szCs w:val="24"/>
        </w:rPr>
        <w:t>the UK Government</w:t>
      </w:r>
      <w:r w:rsidR="00050CF2">
        <w:rPr>
          <w:rFonts w:cstheme="minorHAnsi"/>
          <w:sz w:val="24"/>
          <w:szCs w:val="24"/>
        </w:rPr>
        <w:t xml:space="preserve"> (see Table 1), which was able to mobilise its anti-wind stance by rejecting them. </w:t>
      </w:r>
      <w:r w:rsidRPr="007225BA">
        <w:rPr>
          <w:rFonts w:cstheme="minorHAnsi"/>
          <w:sz w:val="24"/>
          <w:szCs w:val="24"/>
        </w:rPr>
        <w:t xml:space="preserve">A feature of the efficacy of the </w:t>
      </w:r>
      <w:r w:rsidR="00C776D2">
        <w:rPr>
          <w:rFonts w:cstheme="minorHAnsi"/>
          <w:sz w:val="24"/>
          <w:szCs w:val="24"/>
        </w:rPr>
        <w:t>spatial planning approaches</w:t>
      </w:r>
      <w:r w:rsidRPr="007225BA">
        <w:rPr>
          <w:rFonts w:cstheme="minorHAnsi"/>
          <w:sz w:val="24"/>
          <w:szCs w:val="24"/>
        </w:rPr>
        <w:t xml:space="preserve"> adopted by Scottish and Northern Irish governments is actor alignment i.e. stronger central control over consenting to enable their approaches to be implemented.</w:t>
      </w:r>
    </w:p>
    <w:p w14:paraId="4E6A6F03" w14:textId="77777777" w:rsidR="00C776D2" w:rsidRPr="007225BA" w:rsidRDefault="00C776D2" w:rsidP="00735E90">
      <w:pPr>
        <w:spacing w:line="240" w:lineRule="auto"/>
        <w:jc w:val="both"/>
        <w:rPr>
          <w:rFonts w:cstheme="minorHAnsi"/>
          <w:sz w:val="24"/>
          <w:szCs w:val="24"/>
        </w:rPr>
      </w:pPr>
    </w:p>
    <w:p w14:paraId="6431930A" w14:textId="2D08588F" w:rsidR="004F3750" w:rsidRPr="007225BA" w:rsidRDefault="004F3750" w:rsidP="00735E90">
      <w:pPr>
        <w:spacing w:line="240" w:lineRule="auto"/>
        <w:jc w:val="both"/>
        <w:rPr>
          <w:rFonts w:cstheme="minorHAnsi"/>
          <w:sz w:val="24"/>
          <w:szCs w:val="24"/>
        </w:rPr>
      </w:pPr>
      <w:r w:rsidRPr="007225BA">
        <w:rPr>
          <w:rFonts w:cstheme="minorHAnsi"/>
          <w:sz w:val="24"/>
          <w:szCs w:val="24"/>
        </w:rPr>
        <w:lastRenderedPageBreak/>
        <w:t xml:space="preserve">Tuscany also showed central control over consenting, </w:t>
      </w:r>
      <w:r w:rsidR="00050CF2">
        <w:rPr>
          <w:rFonts w:cstheme="minorHAnsi"/>
          <w:sz w:val="24"/>
          <w:szCs w:val="24"/>
        </w:rPr>
        <w:t>and</w:t>
      </w:r>
      <w:r w:rsidRPr="007225BA">
        <w:rPr>
          <w:rFonts w:cstheme="minorHAnsi"/>
          <w:sz w:val="24"/>
          <w:szCs w:val="24"/>
        </w:rPr>
        <w:t xml:space="preserve"> stronger coordination across the different tiers of subnational government and existing stakeholders. Unquestionably, such coordination was facilitated by widely shared landscape discourses that become an integral part of the regional ‘fabric’, with cultural and historical constraints becoming </w:t>
      </w:r>
      <w:r w:rsidR="006C6D70">
        <w:rPr>
          <w:rFonts w:cstheme="minorHAnsi"/>
          <w:sz w:val="24"/>
          <w:szCs w:val="24"/>
        </w:rPr>
        <w:t>key</w:t>
      </w:r>
      <w:r w:rsidRPr="007225BA">
        <w:rPr>
          <w:rFonts w:cstheme="minorHAnsi"/>
          <w:sz w:val="24"/>
          <w:szCs w:val="24"/>
        </w:rPr>
        <w:t xml:space="preserve"> features of the mapping methodology</w:t>
      </w:r>
      <w:r w:rsidR="006C6D70">
        <w:rPr>
          <w:rFonts w:cstheme="minorHAnsi"/>
          <w:sz w:val="24"/>
          <w:szCs w:val="24"/>
        </w:rPr>
        <w:t>,</w:t>
      </w:r>
      <w:r w:rsidRPr="007225BA">
        <w:rPr>
          <w:rFonts w:cstheme="minorHAnsi"/>
          <w:sz w:val="24"/>
          <w:szCs w:val="24"/>
        </w:rPr>
        <w:t xml:space="preserve"> used together with grid infrastructure </w:t>
      </w:r>
      <w:r w:rsidR="006C6D70">
        <w:rPr>
          <w:rFonts w:cstheme="minorHAnsi"/>
          <w:sz w:val="24"/>
          <w:szCs w:val="24"/>
        </w:rPr>
        <w:t xml:space="preserve">capacity </w:t>
      </w:r>
      <w:r w:rsidRPr="007225BA">
        <w:rPr>
          <w:rFonts w:cstheme="minorHAnsi"/>
          <w:sz w:val="24"/>
          <w:szCs w:val="24"/>
        </w:rPr>
        <w:t xml:space="preserve">constraints. Apulia, </w:t>
      </w:r>
      <w:r w:rsidR="00FA72B6">
        <w:rPr>
          <w:rFonts w:cstheme="minorHAnsi"/>
          <w:sz w:val="24"/>
          <w:szCs w:val="24"/>
        </w:rPr>
        <w:t>by contrast</w:t>
      </w:r>
      <w:r w:rsidRPr="007225BA">
        <w:rPr>
          <w:rFonts w:cstheme="minorHAnsi"/>
          <w:sz w:val="24"/>
          <w:szCs w:val="24"/>
        </w:rPr>
        <w:t xml:space="preserve">, perceived as a territory less constrained by the landscape, </w:t>
      </w:r>
      <w:r w:rsidRPr="007225BA">
        <w:rPr>
          <w:rFonts w:cstheme="minorHAnsi"/>
          <w:iCs/>
          <w:sz w:val="24"/>
          <w:szCs w:val="24"/>
          <w:lang w:eastAsia="en-GB"/>
        </w:rPr>
        <w:t xml:space="preserve">delayed its attempt to spatially regulate wind energy siting until after significant capacity had already been installed. </w:t>
      </w:r>
      <w:r w:rsidR="00050CF2">
        <w:rPr>
          <w:rFonts w:cstheme="minorHAnsi"/>
          <w:iCs/>
          <w:sz w:val="24"/>
          <w:szCs w:val="24"/>
          <w:lang w:eastAsia="en-GB"/>
        </w:rPr>
        <w:t>Here, p</w:t>
      </w:r>
      <w:r w:rsidRPr="007225BA">
        <w:rPr>
          <w:rFonts w:cstheme="minorHAnsi"/>
          <w:iCs/>
          <w:sz w:val="24"/>
          <w:szCs w:val="24"/>
          <w:lang w:eastAsia="en-GB"/>
        </w:rPr>
        <w:t>roblem of poor coordination between multiple sites and tiers of government had detrimental effects on regional legitimacy and control.</w:t>
      </w:r>
    </w:p>
    <w:p w14:paraId="5CE2D560" w14:textId="77777777" w:rsidR="004F3750" w:rsidRPr="007225BA" w:rsidRDefault="004F3750" w:rsidP="00735E90">
      <w:pPr>
        <w:spacing w:line="240" w:lineRule="auto"/>
        <w:rPr>
          <w:rFonts w:cstheme="minorHAnsi"/>
          <w:b/>
          <w:sz w:val="24"/>
          <w:szCs w:val="24"/>
        </w:rPr>
      </w:pPr>
    </w:p>
    <w:p w14:paraId="0520AF8D" w14:textId="77777777" w:rsidR="004F3750" w:rsidRPr="007225BA" w:rsidRDefault="004F3750" w:rsidP="00735E90">
      <w:pPr>
        <w:spacing w:line="240" w:lineRule="auto"/>
        <w:rPr>
          <w:rFonts w:cstheme="minorHAnsi"/>
          <w:b/>
          <w:sz w:val="24"/>
          <w:szCs w:val="24"/>
        </w:rPr>
      </w:pPr>
    </w:p>
    <w:p w14:paraId="51FB685F" w14:textId="77777777" w:rsidR="004F3750" w:rsidRDefault="004F3750" w:rsidP="00735E90">
      <w:pPr>
        <w:pStyle w:val="Heading1"/>
        <w:spacing w:before="0" w:line="240" w:lineRule="auto"/>
        <w:rPr>
          <w:rFonts w:asciiTheme="minorHAnsi" w:hAnsiTheme="minorHAnsi" w:cstheme="minorHAnsi"/>
          <w:b/>
          <w:color w:val="auto"/>
          <w:sz w:val="24"/>
          <w:szCs w:val="24"/>
        </w:rPr>
      </w:pPr>
      <w:r w:rsidRPr="007225BA">
        <w:rPr>
          <w:rFonts w:asciiTheme="minorHAnsi" w:hAnsiTheme="minorHAnsi" w:cstheme="minorHAnsi"/>
          <w:b/>
          <w:color w:val="auto"/>
          <w:sz w:val="24"/>
          <w:szCs w:val="24"/>
        </w:rPr>
        <w:t>Discussion</w:t>
      </w:r>
    </w:p>
    <w:p w14:paraId="34DFEE89" w14:textId="77777777" w:rsidR="008D7C3C" w:rsidRPr="008D7C3C" w:rsidRDefault="008D7C3C" w:rsidP="008D7C3C"/>
    <w:p w14:paraId="0DCED870" w14:textId="168CE096" w:rsidR="004F3750" w:rsidRPr="007225BA" w:rsidRDefault="004F3750" w:rsidP="00735E90">
      <w:pPr>
        <w:spacing w:line="240" w:lineRule="auto"/>
        <w:jc w:val="both"/>
        <w:rPr>
          <w:rFonts w:cstheme="minorHAnsi"/>
          <w:sz w:val="24"/>
          <w:szCs w:val="24"/>
        </w:rPr>
      </w:pPr>
      <w:r w:rsidRPr="007225BA">
        <w:rPr>
          <w:rFonts w:cstheme="minorHAnsi"/>
          <w:sz w:val="24"/>
          <w:szCs w:val="24"/>
        </w:rPr>
        <w:t xml:space="preserve">Our analysis across </w:t>
      </w:r>
      <w:r w:rsidR="00A21A6C">
        <w:rPr>
          <w:rFonts w:cstheme="minorHAnsi"/>
          <w:sz w:val="24"/>
          <w:szCs w:val="24"/>
        </w:rPr>
        <w:t xml:space="preserve">the six regions of Italy and the UK </w:t>
      </w:r>
      <w:r w:rsidRPr="007225BA">
        <w:rPr>
          <w:rFonts w:cstheme="minorHAnsi"/>
          <w:sz w:val="24"/>
          <w:szCs w:val="24"/>
        </w:rPr>
        <w:t xml:space="preserve">has generated </w:t>
      </w:r>
      <w:r w:rsidR="004B2355">
        <w:rPr>
          <w:rFonts w:cstheme="minorHAnsi"/>
          <w:sz w:val="24"/>
          <w:szCs w:val="24"/>
        </w:rPr>
        <w:t>some</w:t>
      </w:r>
      <w:r w:rsidRPr="007225BA">
        <w:rPr>
          <w:rFonts w:cstheme="minorHAnsi"/>
          <w:sz w:val="24"/>
          <w:szCs w:val="24"/>
        </w:rPr>
        <w:t xml:space="preserve"> valuable insights about the effects of spatial approaches to developing onshore wind, and identified a number of intriguing propositions.</w:t>
      </w:r>
    </w:p>
    <w:p w14:paraId="5351EBEC" w14:textId="77777777" w:rsidR="008D7C3C" w:rsidRDefault="008D7C3C" w:rsidP="00DB2B22">
      <w:pPr>
        <w:spacing w:line="240" w:lineRule="auto"/>
        <w:jc w:val="both"/>
        <w:rPr>
          <w:rFonts w:cstheme="minorHAnsi"/>
          <w:sz w:val="24"/>
          <w:szCs w:val="24"/>
        </w:rPr>
      </w:pPr>
    </w:p>
    <w:p w14:paraId="08D48F29" w14:textId="5726D380" w:rsidR="007C50E0" w:rsidRDefault="004F3750" w:rsidP="007C50E0">
      <w:pPr>
        <w:spacing w:line="240" w:lineRule="auto"/>
        <w:jc w:val="both"/>
        <w:rPr>
          <w:rFonts w:cstheme="minorHAnsi"/>
          <w:sz w:val="24"/>
          <w:szCs w:val="24"/>
        </w:rPr>
      </w:pPr>
      <w:r w:rsidRPr="007225BA">
        <w:rPr>
          <w:rFonts w:cstheme="minorHAnsi"/>
          <w:sz w:val="24"/>
          <w:szCs w:val="24"/>
        </w:rPr>
        <w:t>Firstly, our analysis</w:t>
      </w:r>
      <w:r w:rsidR="003E5712">
        <w:rPr>
          <w:rFonts w:cstheme="minorHAnsi"/>
          <w:sz w:val="24"/>
          <w:szCs w:val="24"/>
        </w:rPr>
        <w:t xml:space="preserve"> </w:t>
      </w:r>
      <w:r w:rsidRPr="007225BA">
        <w:rPr>
          <w:rFonts w:cstheme="minorHAnsi"/>
          <w:sz w:val="24"/>
          <w:szCs w:val="24"/>
        </w:rPr>
        <w:t xml:space="preserve">shows a diversity </w:t>
      </w:r>
      <w:r w:rsidR="00767A26">
        <w:rPr>
          <w:rFonts w:cstheme="minorHAnsi"/>
          <w:sz w:val="24"/>
          <w:szCs w:val="24"/>
        </w:rPr>
        <w:t xml:space="preserve">of </w:t>
      </w:r>
      <w:r w:rsidR="00961857">
        <w:rPr>
          <w:rFonts w:cstheme="minorHAnsi"/>
          <w:sz w:val="24"/>
          <w:szCs w:val="24"/>
        </w:rPr>
        <w:t>approaches to</w:t>
      </w:r>
      <w:r w:rsidRPr="007225BA">
        <w:rPr>
          <w:rFonts w:cstheme="minorHAnsi"/>
          <w:sz w:val="24"/>
          <w:szCs w:val="24"/>
        </w:rPr>
        <w:t xml:space="preserve"> governing the spatial distribution of </w:t>
      </w:r>
      <w:proofErr w:type="gramStart"/>
      <w:r w:rsidRPr="007225BA">
        <w:rPr>
          <w:rFonts w:cstheme="minorHAnsi"/>
          <w:sz w:val="24"/>
          <w:szCs w:val="24"/>
        </w:rPr>
        <w:t>on-shore</w:t>
      </w:r>
      <w:proofErr w:type="gramEnd"/>
      <w:r w:rsidRPr="007225BA">
        <w:rPr>
          <w:rFonts w:cstheme="minorHAnsi"/>
          <w:sz w:val="24"/>
          <w:szCs w:val="24"/>
        </w:rPr>
        <w:t xml:space="preserve"> wind, </w:t>
      </w:r>
      <w:r w:rsidR="00A21A6C">
        <w:rPr>
          <w:rFonts w:cstheme="minorHAnsi"/>
          <w:sz w:val="24"/>
          <w:szCs w:val="24"/>
        </w:rPr>
        <w:t>which we have synthesised as</w:t>
      </w:r>
      <w:r w:rsidRPr="007225BA">
        <w:rPr>
          <w:rFonts w:cstheme="minorHAnsi"/>
          <w:sz w:val="24"/>
          <w:szCs w:val="24"/>
        </w:rPr>
        <w:t xml:space="preserve"> a series of archetypes in Table 3.</w:t>
      </w:r>
      <w:r w:rsidR="00961857">
        <w:rPr>
          <w:rFonts w:cstheme="minorHAnsi"/>
          <w:sz w:val="24"/>
          <w:szCs w:val="24"/>
        </w:rPr>
        <w:t xml:space="preserve"> Each situates the spatial planning approach adopted within its wider mode of governing.</w:t>
      </w:r>
      <w:r w:rsidRPr="007225BA">
        <w:rPr>
          <w:rFonts w:cstheme="minorHAnsi"/>
          <w:sz w:val="24"/>
          <w:szCs w:val="24"/>
        </w:rPr>
        <w:t xml:space="preserve"> These include </w:t>
      </w:r>
      <w:r w:rsidR="00A21A6C">
        <w:rPr>
          <w:rFonts w:cstheme="minorHAnsi"/>
          <w:sz w:val="24"/>
          <w:szCs w:val="24"/>
        </w:rPr>
        <w:t>modes</w:t>
      </w:r>
      <w:r w:rsidRPr="007225BA">
        <w:rPr>
          <w:rFonts w:cstheme="minorHAnsi"/>
          <w:sz w:val="24"/>
          <w:szCs w:val="24"/>
        </w:rPr>
        <w:t xml:space="preserve"> where governments eschewed </w:t>
      </w:r>
      <w:r w:rsidRPr="007225BA">
        <w:rPr>
          <w:rFonts w:cstheme="minorHAnsi"/>
          <w:i/>
          <w:sz w:val="24"/>
          <w:szCs w:val="24"/>
        </w:rPr>
        <w:t>ex ante</w:t>
      </w:r>
      <w:r w:rsidR="003E5712">
        <w:rPr>
          <w:rFonts w:cstheme="minorHAnsi"/>
          <w:i/>
          <w:sz w:val="24"/>
          <w:szCs w:val="24"/>
        </w:rPr>
        <w:t xml:space="preserve"> </w:t>
      </w:r>
      <w:r w:rsidRPr="007225BA">
        <w:rPr>
          <w:rFonts w:cstheme="minorHAnsi"/>
          <w:sz w:val="24"/>
          <w:szCs w:val="24"/>
        </w:rPr>
        <w:t>plan-led spatial steering entirely (‘</w:t>
      </w:r>
      <w:r w:rsidRPr="007225BA">
        <w:rPr>
          <w:rFonts w:cstheme="minorHAnsi"/>
          <w:i/>
          <w:sz w:val="24"/>
          <w:szCs w:val="24"/>
        </w:rPr>
        <w:t>developer siting flexibility</w:t>
      </w:r>
      <w:r w:rsidRPr="007225BA">
        <w:rPr>
          <w:rFonts w:cstheme="minorHAnsi"/>
          <w:sz w:val="24"/>
          <w:szCs w:val="24"/>
        </w:rPr>
        <w:t>’), but also different modes of using spatial planning techniques: ‘</w:t>
      </w:r>
      <w:r w:rsidRPr="007225BA">
        <w:rPr>
          <w:rFonts w:cstheme="minorHAnsi"/>
          <w:i/>
          <w:sz w:val="24"/>
          <w:szCs w:val="24"/>
        </w:rPr>
        <w:t>central specification</w:t>
      </w:r>
      <w:r w:rsidRPr="007225BA">
        <w:rPr>
          <w:rFonts w:cstheme="minorHAnsi"/>
          <w:sz w:val="24"/>
          <w:szCs w:val="24"/>
        </w:rPr>
        <w:t>’, ‘</w:t>
      </w:r>
      <w:r w:rsidRPr="007225BA">
        <w:rPr>
          <w:rFonts w:cstheme="minorHAnsi"/>
          <w:i/>
          <w:sz w:val="24"/>
          <w:szCs w:val="24"/>
        </w:rPr>
        <w:t>spatial puzzling</w:t>
      </w:r>
      <w:r w:rsidRPr="007225BA">
        <w:rPr>
          <w:rFonts w:cstheme="minorHAnsi"/>
          <w:sz w:val="24"/>
          <w:szCs w:val="24"/>
        </w:rPr>
        <w:t>’, ‘</w:t>
      </w:r>
      <w:r w:rsidRPr="007225BA">
        <w:rPr>
          <w:rFonts w:cstheme="minorHAnsi"/>
          <w:i/>
          <w:sz w:val="24"/>
          <w:szCs w:val="24"/>
        </w:rPr>
        <w:t>local spatial control</w:t>
      </w:r>
      <w:r w:rsidRPr="007225BA">
        <w:rPr>
          <w:rFonts w:cstheme="minorHAnsi"/>
          <w:sz w:val="24"/>
          <w:szCs w:val="24"/>
        </w:rPr>
        <w:t>’ and ‘</w:t>
      </w:r>
      <w:r w:rsidRPr="007225BA">
        <w:rPr>
          <w:rFonts w:cstheme="minorHAnsi"/>
          <w:i/>
          <w:sz w:val="24"/>
          <w:szCs w:val="24"/>
        </w:rPr>
        <w:t>meta-governance by methodology</w:t>
      </w:r>
      <w:r w:rsidRPr="007225BA">
        <w:rPr>
          <w:rFonts w:cstheme="minorHAnsi"/>
          <w:sz w:val="24"/>
          <w:szCs w:val="24"/>
        </w:rPr>
        <w:t>.</w:t>
      </w:r>
      <w:r w:rsidR="003E5712">
        <w:rPr>
          <w:rFonts w:cstheme="minorHAnsi"/>
          <w:sz w:val="24"/>
          <w:szCs w:val="24"/>
        </w:rPr>
        <w:t xml:space="preserve"> </w:t>
      </w:r>
      <w:r w:rsidR="007C50E0">
        <w:rPr>
          <w:rFonts w:cstheme="minorHAnsi"/>
          <w:sz w:val="24"/>
          <w:szCs w:val="24"/>
        </w:rPr>
        <w:t>Each can be seen as striking different compromise in the</w:t>
      </w:r>
      <w:r w:rsidR="003E5712">
        <w:rPr>
          <w:rFonts w:cstheme="minorHAnsi"/>
          <w:sz w:val="24"/>
          <w:szCs w:val="24"/>
        </w:rPr>
        <w:t xml:space="preserve"> </w:t>
      </w:r>
      <w:r w:rsidR="007C50E0">
        <w:rPr>
          <w:rFonts w:cstheme="minorHAnsi"/>
          <w:sz w:val="24"/>
          <w:szCs w:val="24"/>
        </w:rPr>
        <w:t>face of the inherent dilemmas of spatial planning approaches (</w:t>
      </w:r>
      <w:r w:rsidR="006C6D70">
        <w:rPr>
          <w:rFonts w:cstheme="minorHAnsi"/>
          <w:sz w:val="24"/>
          <w:szCs w:val="24"/>
        </w:rPr>
        <w:t xml:space="preserve">as </w:t>
      </w:r>
      <w:r w:rsidR="007C50E0">
        <w:rPr>
          <w:rFonts w:cstheme="minorHAnsi"/>
          <w:sz w:val="24"/>
          <w:szCs w:val="24"/>
        </w:rPr>
        <w:t>set out in Table 1). O</w:t>
      </w:r>
      <w:r w:rsidR="007C50E0" w:rsidRPr="007225BA">
        <w:rPr>
          <w:rFonts w:cstheme="minorHAnsi"/>
          <w:sz w:val="24"/>
          <w:szCs w:val="24"/>
        </w:rPr>
        <w:t>ur analysis</w:t>
      </w:r>
      <w:r w:rsidR="007C50E0">
        <w:rPr>
          <w:rFonts w:cstheme="minorHAnsi"/>
          <w:sz w:val="24"/>
          <w:szCs w:val="24"/>
        </w:rPr>
        <w:t xml:space="preserve"> also shows that</w:t>
      </w:r>
      <w:r w:rsidR="003E5712">
        <w:rPr>
          <w:rFonts w:cstheme="minorHAnsi"/>
          <w:sz w:val="24"/>
          <w:szCs w:val="24"/>
        </w:rPr>
        <w:t xml:space="preserve"> </w:t>
      </w:r>
      <w:r w:rsidR="007C50E0">
        <w:rPr>
          <w:rFonts w:cstheme="minorHAnsi"/>
          <w:sz w:val="24"/>
          <w:szCs w:val="24"/>
        </w:rPr>
        <w:t>these different modes</w:t>
      </w:r>
      <w:r w:rsidR="007C50E0" w:rsidRPr="007225BA">
        <w:rPr>
          <w:rFonts w:cstheme="minorHAnsi"/>
          <w:sz w:val="24"/>
          <w:szCs w:val="24"/>
        </w:rPr>
        <w:t xml:space="preserve"> are constituted by more than differences in spatial assessment techniques </w:t>
      </w:r>
      <w:r w:rsidR="006C6D70">
        <w:rPr>
          <w:rFonts w:cstheme="minorHAnsi"/>
          <w:sz w:val="24"/>
          <w:szCs w:val="24"/>
        </w:rPr>
        <w:t xml:space="preserve">- </w:t>
      </w:r>
      <w:r w:rsidR="007C50E0">
        <w:rPr>
          <w:rFonts w:cstheme="minorHAnsi"/>
          <w:sz w:val="24"/>
          <w:szCs w:val="24"/>
        </w:rPr>
        <w:t>i.e. the socio-technical properties included in any mapping</w:t>
      </w:r>
      <w:r w:rsidR="006C6D70">
        <w:rPr>
          <w:rFonts w:cstheme="minorHAnsi"/>
          <w:sz w:val="24"/>
          <w:szCs w:val="24"/>
        </w:rPr>
        <w:t xml:space="preserve"> – which exhibit</w:t>
      </w:r>
      <w:r w:rsidR="007C50E0" w:rsidRPr="007225BA">
        <w:rPr>
          <w:rFonts w:cstheme="minorHAnsi"/>
          <w:sz w:val="24"/>
          <w:szCs w:val="24"/>
        </w:rPr>
        <w:t xml:space="preserve"> many commonalities </w:t>
      </w:r>
      <w:r w:rsidR="007C50E0">
        <w:rPr>
          <w:rFonts w:cstheme="minorHAnsi"/>
          <w:sz w:val="24"/>
          <w:szCs w:val="24"/>
        </w:rPr>
        <w:t xml:space="preserve">across the cases.  What makes each mode distinct </w:t>
      </w:r>
      <w:r w:rsidR="007034FD">
        <w:rPr>
          <w:rFonts w:cstheme="minorHAnsi"/>
          <w:sz w:val="24"/>
          <w:szCs w:val="24"/>
        </w:rPr>
        <w:t xml:space="preserve">often </w:t>
      </w:r>
      <w:r w:rsidR="006C6D70">
        <w:rPr>
          <w:rFonts w:cstheme="minorHAnsi"/>
          <w:sz w:val="24"/>
          <w:szCs w:val="24"/>
        </w:rPr>
        <w:t xml:space="preserve">lies in responses to the dilemmas around </w:t>
      </w:r>
      <w:r w:rsidR="007C50E0" w:rsidRPr="007225BA">
        <w:rPr>
          <w:rFonts w:cstheme="minorHAnsi"/>
          <w:sz w:val="24"/>
          <w:szCs w:val="24"/>
        </w:rPr>
        <w:t>governance scale and mechanisms of actor alignment.</w:t>
      </w:r>
    </w:p>
    <w:p w14:paraId="5D84C3E0" w14:textId="77777777" w:rsidR="007C50E0" w:rsidRDefault="007C50E0" w:rsidP="007C50E0">
      <w:pPr>
        <w:spacing w:line="240" w:lineRule="auto"/>
        <w:jc w:val="both"/>
        <w:rPr>
          <w:rFonts w:cstheme="minorHAnsi"/>
          <w:sz w:val="24"/>
          <w:szCs w:val="24"/>
        </w:rPr>
      </w:pPr>
    </w:p>
    <w:p w14:paraId="495B5A1E" w14:textId="77777777" w:rsidR="007C50E0" w:rsidRPr="008D7C3C" w:rsidRDefault="007C50E0" w:rsidP="007C50E0">
      <w:pPr>
        <w:spacing w:line="240" w:lineRule="auto"/>
        <w:jc w:val="both"/>
        <w:rPr>
          <w:rFonts w:cstheme="minorHAnsi"/>
          <w:b/>
          <w:sz w:val="24"/>
          <w:szCs w:val="24"/>
        </w:rPr>
      </w:pPr>
      <w:r w:rsidRPr="008D7C3C">
        <w:rPr>
          <w:rFonts w:cstheme="minorHAnsi"/>
          <w:b/>
          <w:sz w:val="24"/>
          <w:szCs w:val="24"/>
        </w:rPr>
        <w:t>&lt;</w:t>
      </w:r>
      <w:r>
        <w:rPr>
          <w:rFonts w:cstheme="minorHAnsi"/>
          <w:b/>
          <w:sz w:val="24"/>
          <w:szCs w:val="24"/>
        </w:rPr>
        <w:t xml:space="preserve">Insert </w:t>
      </w:r>
      <w:r w:rsidRPr="008D7C3C">
        <w:rPr>
          <w:rFonts w:cstheme="minorHAnsi"/>
          <w:b/>
          <w:sz w:val="24"/>
          <w:szCs w:val="24"/>
        </w:rPr>
        <w:t>Table 3 near here&gt;</w:t>
      </w:r>
    </w:p>
    <w:p w14:paraId="509D0066" w14:textId="77777777" w:rsidR="00A21A6C" w:rsidRDefault="00A21A6C" w:rsidP="00DB2B22">
      <w:pPr>
        <w:spacing w:line="240" w:lineRule="auto"/>
        <w:jc w:val="both"/>
        <w:rPr>
          <w:rFonts w:cstheme="minorHAnsi"/>
          <w:sz w:val="24"/>
          <w:szCs w:val="24"/>
        </w:rPr>
      </w:pPr>
    </w:p>
    <w:p w14:paraId="3225182E" w14:textId="1DDC1EB6" w:rsidR="004F3750" w:rsidRDefault="004F3750" w:rsidP="00DB2B22">
      <w:pPr>
        <w:spacing w:line="240" w:lineRule="auto"/>
        <w:jc w:val="both"/>
        <w:rPr>
          <w:rFonts w:cstheme="minorHAnsi"/>
          <w:sz w:val="24"/>
          <w:szCs w:val="24"/>
        </w:rPr>
      </w:pPr>
      <w:r w:rsidRPr="007225BA">
        <w:rPr>
          <w:rFonts w:cstheme="minorHAnsi"/>
          <w:sz w:val="24"/>
          <w:szCs w:val="24"/>
        </w:rPr>
        <w:t xml:space="preserve">Not only do approaches vary between territories, but we see regions shifting their spatial planning approach over time. A </w:t>
      </w:r>
      <w:r w:rsidR="006C6D70">
        <w:rPr>
          <w:rFonts w:cstheme="minorHAnsi"/>
          <w:sz w:val="24"/>
          <w:szCs w:val="24"/>
        </w:rPr>
        <w:t>common pattern</w:t>
      </w:r>
      <w:r w:rsidRPr="007225BA">
        <w:rPr>
          <w:rFonts w:cstheme="minorHAnsi"/>
          <w:sz w:val="24"/>
          <w:szCs w:val="24"/>
        </w:rPr>
        <w:t xml:space="preserve"> is the belated, </w:t>
      </w:r>
      <w:r w:rsidRPr="007225BA">
        <w:rPr>
          <w:rFonts w:cstheme="minorHAnsi"/>
          <w:i/>
          <w:sz w:val="24"/>
          <w:szCs w:val="24"/>
        </w:rPr>
        <w:t>post-hoc</w:t>
      </w:r>
      <w:r w:rsidRPr="007225BA">
        <w:rPr>
          <w:rFonts w:cstheme="minorHAnsi"/>
          <w:sz w:val="24"/>
          <w:szCs w:val="24"/>
        </w:rPr>
        <w:t xml:space="preserve"> rolling out of spatial planning to deal with accumulating landscape and grid capacity problems generated by </w:t>
      </w:r>
      <w:r w:rsidR="008D7C3C">
        <w:rPr>
          <w:rFonts w:cstheme="minorHAnsi"/>
          <w:sz w:val="24"/>
          <w:szCs w:val="24"/>
        </w:rPr>
        <w:t>earlier</w:t>
      </w:r>
      <w:r w:rsidR="007034FD">
        <w:rPr>
          <w:rFonts w:cstheme="minorHAnsi"/>
          <w:sz w:val="24"/>
          <w:szCs w:val="24"/>
        </w:rPr>
        <w:t xml:space="preserve">, </w:t>
      </w:r>
      <w:r w:rsidR="008D7C3C">
        <w:rPr>
          <w:rFonts w:cstheme="minorHAnsi"/>
          <w:sz w:val="24"/>
          <w:szCs w:val="24"/>
        </w:rPr>
        <w:t>pro-development</w:t>
      </w:r>
      <w:r w:rsidRPr="007225BA">
        <w:rPr>
          <w:rFonts w:cstheme="minorHAnsi"/>
          <w:sz w:val="24"/>
          <w:szCs w:val="24"/>
        </w:rPr>
        <w:t xml:space="preserve"> strategies. We see this at Italian central state level and in Apulia, where pending grid connection requests reached 30,000MW of wind power in 2013 </w:t>
      </w:r>
      <w:r w:rsidRPr="007225BA">
        <w:rPr>
          <w:rFonts w:cstheme="minorHAnsi"/>
          <w:noProof/>
          <w:sz w:val="24"/>
          <w:szCs w:val="24"/>
        </w:rPr>
        <w:t>(BURP, 2014)</w:t>
      </w:r>
      <w:r w:rsidRPr="007225BA">
        <w:rPr>
          <w:rFonts w:cstheme="minorHAnsi"/>
          <w:sz w:val="24"/>
          <w:szCs w:val="24"/>
        </w:rPr>
        <w:t>. In England, the move from ‘</w:t>
      </w:r>
      <w:r w:rsidRPr="004B2355">
        <w:rPr>
          <w:rFonts w:cstheme="minorHAnsi"/>
          <w:i/>
          <w:sz w:val="24"/>
          <w:szCs w:val="24"/>
        </w:rPr>
        <w:t>developer siting flexibility</w:t>
      </w:r>
      <w:r w:rsidRPr="007225BA">
        <w:rPr>
          <w:rFonts w:cstheme="minorHAnsi"/>
          <w:sz w:val="24"/>
          <w:szCs w:val="24"/>
        </w:rPr>
        <w:t>’ to ‘</w:t>
      </w:r>
      <w:r w:rsidRPr="007225BA">
        <w:rPr>
          <w:rFonts w:cstheme="minorHAnsi"/>
          <w:i/>
          <w:sz w:val="24"/>
          <w:szCs w:val="24"/>
        </w:rPr>
        <w:t>local spatial control</w:t>
      </w:r>
      <w:r w:rsidRPr="007225BA">
        <w:rPr>
          <w:rFonts w:cstheme="minorHAnsi"/>
          <w:sz w:val="24"/>
          <w:szCs w:val="24"/>
        </w:rPr>
        <w:t xml:space="preserve">’ over onshore wind </w:t>
      </w:r>
      <w:r w:rsidR="007C50E0">
        <w:rPr>
          <w:rFonts w:cstheme="minorHAnsi"/>
          <w:sz w:val="24"/>
          <w:szCs w:val="24"/>
        </w:rPr>
        <w:t>represents</w:t>
      </w:r>
      <w:r w:rsidRPr="007225BA">
        <w:rPr>
          <w:rFonts w:cstheme="minorHAnsi"/>
          <w:sz w:val="24"/>
          <w:szCs w:val="24"/>
        </w:rPr>
        <w:t xml:space="preserve"> a response to the mounting political salience of organised opposition.</w:t>
      </w:r>
    </w:p>
    <w:p w14:paraId="7B480513" w14:textId="77777777" w:rsidR="008D7C3C" w:rsidRPr="007225BA" w:rsidRDefault="008D7C3C" w:rsidP="00735E90">
      <w:pPr>
        <w:spacing w:line="240" w:lineRule="auto"/>
        <w:jc w:val="both"/>
        <w:rPr>
          <w:rFonts w:cstheme="minorHAnsi"/>
          <w:sz w:val="24"/>
          <w:szCs w:val="24"/>
        </w:rPr>
      </w:pPr>
    </w:p>
    <w:p w14:paraId="7AE40F62" w14:textId="77777777" w:rsidR="008D7C3C" w:rsidRPr="007225BA" w:rsidRDefault="008D7C3C" w:rsidP="00735E90">
      <w:pPr>
        <w:spacing w:line="240" w:lineRule="auto"/>
        <w:jc w:val="both"/>
        <w:rPr>
          <w:rFonts w:cstheme="minorHAnsi"/>
          <w:sz w:val="24"/>
          <w:szCs w:val="24"/>
        </w:rPr>
      </w:pPr>
    </w:p>
    <w:p w14:paraId="1A2F2A86" w14:textId="3DF777A0" w:rsidR="004F3750" w:rsidRDefault="004F3750" w:rsidP="00735E90">
      <w:pPr>
        <w:spacing w:line="240" w:lineRule="auto"/>
        <w:jc w:val="both"/>
        <w:rPr>
          <w:rFonts w:cstheme="minorHAnsi"/>
          <w:sz w:val="24"/>
          <w:szCs w:val="24"/>
        </w:rPr>
      </w:pPr>
      <w:r w:rsidRPr="007225BA">
        <w:rPr>
          <w:rFonts w:cstheme="minorHAnsi"/>
          <w:sz w:val="24"/>
          <w:szCs w:val="24"/>
        </w:rPr>
        <w:t>Secondly, our research has confirmed the difficulties of separating assessment of the effects of spatial planning approaches f</w:t>
      </w:r>
      <w:r w:rsidR="004B2355">
        <w:rPr>
          <w:rFonts w:cstheme="minorHAnsi"/>
          <w:sz w:val="24"/>
          <w:szCs w:val="24"/>
        </w:rPr>
        <w:t>or</w:t>
      </w:r>
      <w:r w:rsidRPr="007225BA">
        <w:rPr>
          <w:rFonts w:cstheme="minorHAnsi"/>
          <w:sz w:val="24"/>
          <w:szCs w:val="24"/>
        </w:rPr>
        <w:t xml:space="preserve"> RE from the </w:t>
      </w:r>
      <w:r w:rsidR="007F674D">
        <w:rPr>
          <w:rFonts w:cstheme="minorHAnsi"/>
          <w:sz w:val="24"/>
          <w:szCs w:val="24"/>
        </w:rPr>
        <w:t xml:space="preserve">diverse </w:t>
      </w:r>
      <w:r w:rsidRPr="007225BA">
        <w:rPr>
          <w:rFonts w:cstheme="minorHAnsi"/>
          <w:sz w:val="24"/>
          <w:szCs w:val="24"/>
        </w:rPr>
        <w:t>governance purposes that such approaches are constructed to perform.</w:t>
      </w:r>
      <w:r w:rsidR="007F674D">
        <w:rPr>
          <w:rFonts w:cstheme="minorHAnsi"/>
          <w:sz w:val="24"/>
          <w:szCs w:val="24"/>
        </w:rPr>
        <w:t xml:space="preserve"> This </w:t>
      </w:r>
      <w:r w:rsidR="007F674D" w:rsidRPr="007225BA">
        <w:rPr>
          <w:rFonts w:cstheme="minorHAnsi"/>
          <w:sz w:val="24"/>
          <w:szCs w:val="24"/>
        </w:rPr>
        <w:t>make</w:t>
      </w:r>
      <w:r w:rsidR="007F674D">
        <w:rPr>
          <w:rFonts w:cstheme="minorHAnsi"/>
          <w:sz w:val="24"/>
          <w:szCs w:val="24"/>
        </w:rPr>
        <w:t>s</w:t>
      </w:r>
      <w:r w:rsidR="007F674D" w:rsidRPr="007225BA">
        <w:rPr>
          <w:rFonts w:cstheme="minorHAnsi"/>
          <w:sz w:val="24"/>
          <w:szCs w:val="24"/>
        </w:rPr>
        <w:t xml:space="preserve"> judging the effectiveness of spatial planning approaches </w:t>
      </w:r>
      <w:r w:rsidR="00DD0F23">
        <w:rPr>
          <w:rFonts w:cstheme="minorHAnsi"/>
          <w:i/>
          <w:sz w:val="24"/>
          <w:szCs w:val="24"/>
        </w:rPr>
        <w:t>in general</w:t>
      </w:r>
      <w:r w:rsidR="007034FD">
        <w:rPr>
          <w:rFonts w:cstheme="minorHAnsi"/>
          <w:i/>
          <w:sz w:val="24"/>
          <w:szCs w:val="24"/>
        </w:rPr>
        <w:t xml:space="preserve"> </w:t>
      </w:r>
      <w:r w:rsidR="007F674D" w:rsidRPr="007225BA">
        <w:rPr>
          <w:rFonts w:cstheme="minorHAnsi"/>
          <w:sz w:val="24"/>
          <w:szCs w:val="24"/>
        </w:rPr>
        <w:t xml:space="preserve">a </w:t>
      </w:r>
      <w:r w:rsidR="007F674D">
        <w:rPr>
          <w:rFonts w:cstheme="minorHAnsi"/>
          <w:sz w:val="24"/>
          <w:szCs w:val="24"/>
        </w:rPr>
        <w:t xml:space="preserve">highly </w:t>
      </w:r>
      <w:r w:rsidR="007F674D" w:rsidRPr="007225BA">
        <w:rPr>
          <w:rFonts w:cstheme="minorHAnsi"/>
          <w:sz w:val="24"/>
          <w:szCs w:val="24"/>
        </w:rPr>
        <w:t xml:space="preserve">ambiguous exercise. </w:t>
      </w:r>
      <w:r w:rsidR="008D7C3C" w:rsidRPr="007225BA">
        <w:rPr>
          <w:rFonts w:cstheme="minorHAnsi"/>
          <w:sz w:val="24"/>
          <w:szCs w:val="24"/>
        </w:rPr>
        <w:t xml:space="preserve">The </w:t>
      </w:r>
      <w:r w:rsidR="007F674D">
        <w:rPr>
          <w:rFonts w:cstheme="minorHAnsi"/>
          <w:sz w:val="24"/>
          <w:szCs w:val="24"/>
        </w:rPr>
        <w:t xml:space="preserve">way that </w:t>
      </w:r>
      <w:r w:rsidR="008D7C3C" w:rsidRPr="007225BA">
        <w:rPr>
          <w:rFonts w:cstheme="minorHAnsi"/>
          <w:sz w:val="24"/>
          <w:szCs w:val="24"/>
        </w:rPr>
        <w:t>decision</w:t>
      </w:r>
      <w:r w:rsidR="007F674D">
        <w:rPr>
          <w:rFonts w:cstheme="minorHAnsi"/>
          <w:sz w:val="24"/>
          <w:szCs w:val="24"/>
        </w:rPr>
        <w:t>s</w:t>
      </w:r>
      <w:r w:rsidR="008D7C3C" w:rsidRPr="007225BA">
        <w:rPr>
          <w:rFonts w:cstheme="minorHAnsi"/>
          <w:sz w:val="24"/>
          <w:szCs w:val="24"/>
        </w:rPr>
        <w:t xml:space="preserve"> to adopt spatial planning approaches </w:t>
      </w:r>
      <w:r w:rsidR="007F674D">
        <w:rPr>
          <w:rFonts w:cstheme="minorHAnsi"/>
          <w:sz w:val="24"/>
          <w:szCs w:val="24"/>
        </w:rPr>
        <w:t>are</w:t>
      </w:r>
      <w:r w:rsidR="008D7C3C" w:rsidRPr="007225BA">
        <w:rPr>
          <w:rFonts w:cstheme="minorHAnsi"/>
          <w:sz w:val="24"/>
          <w:szCs w:val="24"/>
        </w:rPr>
        <w:t xml:space="preserve"> intimately linked to the different problem framings </w:t>
      </w:r>
      <w:r w:rsidR="008D7C3C" w:rsidRPr="007225BA">
        <w:rPr>
          <w:rFonts w:cstheme="minorHAnsi"/>
          <w:sz w:val="24"/>
          <w:szCs w:val="24"/>
        </w:rPr>
        <w:lastRenderedPageBreak/>
        <w:t>attached to RE and onshore wind</w:t>
      </w:r>
      <w:r w:rsidR="007034FD">
        <w:rPr>
          <w:rFonts w:cstheme="minorHAnsi"/>
          <w:sz w:val="24"/>
          <w:szCs w:val="24"/>
        </w:rPr>
        <w:t xml:space="preserve"> </w:t>
      </w:r>
      <w:r w:rsidR="007F674D">
        <w:rPr>
          <w:rFonts w:cstheme="minorHAnsi"/>
          <w:sz w:val="24"/>
          <w:szCs w:val="24"/>
        </w:rPr>
        <w:t xml:space="preserve">is an important factor here. </w:t>
      </w:r>
      <w:r w:rsidRPr="007225BA">
        <w:rPr>
          <w:rFonts w:cstheme="minorHAnsi"/>
          <w:sz w:val="24"/>
          <w:szCs w:val="24"/>
        </w:rPr>
        <w:t>Much depends on how much urgency is attached to RE expansion, and beliefs about the desirability or necessity of state orchestration of siting to achieve that goal. Both Wales and Tuscany moved to deliver firm spatial guidance on wind energy development, but with different conceptions of ‘</w:t>
      </w:r>
      <w:proofErr w:type="gramStart"/>
      <w:r w:rsidRPr="007225BA">
        <w:rPr>
          <w:rFonts w:cstheme="minorHAnsi"/>
          <w:sz w:val="24"/>
          <w:szCs w:val="24"/>
        </w:rPr>
        <w:t>success’</w:t>
      </w:r>
      <w:proofErr w:type="gramEnd"/>
      <w:r w:rsidRPr="007225BA">
        <w:rPr>
          <w:rFonts w:cstheme="minorHAnsi"/>
          <w:sz w:val="24"/>
          <w:szCs w:val="24"/>
        </w:rPr>
        <w:t>. For Tuscany, spatial planning approaches were used to reinforce landscape protection priorities in the belief that little wind energy development was necessary to meet RE targets; in Wales, spatial planning approaches have been constructed to deliver significant wind energy expansion, reconcile that with particular environmental outcomes and align local government decision-makers</w:t>
      </w:r>
      <w:r w:rsidR="007F674D">
        <w:rPr>
          <w:rFonts w:cstheme="minorHAnsi"/>
          <w:sz w:val="24"/>
          <w:szCs w:val="24"/>
        </w:rPr>
        <w:t xml:space="preserve"> with those goals</w:t>
      </w:r>
      <w:r w:rsidRPr="007225BA">
        <w:rPr>
          <w:rFonts w:cstheme="minorHAnsi"/>
          <w:sz w:val="24"/>
          <w:szCs w:val="24"/>
        </w:rPr>
        <w:t>.</w:t>
      </w:r>
    </w:p>
    <w:p w14:paraId="3454F24A" w14:textId="77777777" w:rsidR="00741D52" w:rsidRPr="007225BA" w:rsidRDefault="00741D52" w:rsidP="00735E90">
      <w:pPr>
        <w:spacing w:line="240" w:lineRule="auto"/>
        <w:jc w:val="both"/>
        <w:rPr>
          <w:rFonts w:cstheme="minorHAnsi"/>
          <w:sz w:val="24"/>
          <w:szCs w:val="24"/>
        </w:rPr>
      </w:pPr>
    </w:p>
    <w:p w14:paraId="39DFE24A" w14:textId="0F751D96" w:rsidR="004F3750" w:rsidRDefault="004F3750" w:rsidP="00735E90">
      <w:pPr>
        <w:spacing w:line="240" w:lineRule="auto"/>
        <w:jc w:val="both"/>
        <w:rPr>
          <w:rFonts w:cstheme="minorHAnsi"/>
          <w:sz w:val="24"/>
          <w:szCs w:val="24"/>
        </w:rPr>
      </w:pPr>
      <w:r w:rsidRPr="007225BA">
        <w:rPr>
          <w:rFonts w:cstheme="minorHAnsi"/>
          <w:sz w:val="24"/>
          <w:szCs w:val="24"/>
        </w:rPr>
        <w:t xml:space="preserve">Although for heuristic purposes </w:t>
      </w:r>
      <w:r w:rsidR="007F674D">
        <w:rPr>
          <w:rFonts w:cstheme="minorHAnsi"/>
          <w:sz w:val="24"/>
          <w:szCs w:val="24"/>
        </w:rPr>
        <w:t xml:space="preserve">Figure 1 separated out </w:t>
      </w:r>
      <w:r w:rsidRPr="007225BA">
        <w:rPr>
          <w:rFonts w:cstheme="minorHAnsi"/>
          <w:sz w:val="24"/>
          <w:szCs w:val="24"/>
        </w:rPr>
        <w:t xml:space="preserve">the </w:t>
      </w:r>
      <w:r w:rsidR="007F674D">
        <w:rPr>
          <w:rFonts w:cstheme="minorHAnsi"/>
          <w:sz w:val="24"/>
          <w:szCs w:val="24"/>
        </w:rPr>
        <w:t xml:space="preserve">various dilemmas </w:t>
      </w:r>
      <w:r w:rsidRPr="007225BA">
        <w:rPr>
          <w:rFonts w:cstheme="minorHAnsi"/>
          <w:sz w:val="24"/>
          <w:szCs w:val="24"/>
        </w:rPr>
        <w:t xml:space="preserve">involved in composing modes of governing </w:t>
      </w:r>
      <w:r w:rsidR="007F674D">
        <w:rPr>
          <w:rFonts w:cstheme="minorHAnsi"/>
          <w:sz w:val="24"/>
          <w:szCs w:val="24"/>
        </w:rPr>
        <w:t>into different dimensions</w:t>
      </w:r>
      <w:r w:rsidRPr="007225BA">
        <w:rPr>
          <w:rFonts w:cstheme="minorHAnsi"/>
          <w:sz w:val="24"/>
          <w:szCs w:val="24"/>
        </w:rPr>
        <w:t xml:space="preserve">, our analysis shows that these </w:t>
      </w:r>
      <w:r w:rsidR="00DD0F23">
        <w:rPr>
          <w:rFonts w:cstheme="minorHAnsi"/>
          <w:sz w:val="24"/>
          <w:szCs w:val="24"/>
        </w:rPr>
        <w:t xml:space="preserve">dimensions </w:t>
      </w:r>
      <w:r w:rsidRPr="007225BA">
        <w:rPr>
          <w:rFonts w:cstheme="minorHAnsi"/>
          <w:sz w:val="24"/>
          <w:szCs w:val="24"/>
        </w:rPr>
        <w:t>are interconnected</w:t>
      </w:r>
      <w:r w:rsidR="007F674D">
        <w:rPr>
          <w:rFonts w:cstheme="minorHAnsi"/>
          <w:sz w:val="24"/>
          <w:szCs w:val="24"/>
        </w:rPr>
        <w:t xml:space="preserve"> in the compromises that are struck</w:t>
      </w:r>
      <w:r w:rsidR="00DD0F23">
        <w:rPr>
          <w:rFonts w:cstheme="minorHAnsi"/>
          <w:sz w:val="24"/>
          <w:szCs w:val="24"/>
        </w:rPr>
        <w:t xml:space="preserve"> in practice</w:t>
      </w:r>
      <w:r w:rsidRPr="007225BA">
        <w:rPr>
          <w:rFonts w:cstheme="minorHAnsi"/>
          <w:sz w:val="24"/>
          <w:szCs w:val="24"/>
        </w:rPr>
        <w:t xml:space="preserve">. A key example is the way that </w:t>
      </w:r>
      <w:r w:rsidR="00741D52">
        <w:rPr>
          <w:rFonts w:cstheme="minorHAnsi"/>
          <w:sz w:val="24"/>
          <w:szCs w:val="24"/>
        </w:rPr>
        <w:t xml:space="preserve">key </w:t>
      </w:r>
      <w:r w:rsidRPr="007225BA">
        <w:rPr>
          <w:rFonts w:cstheme="minorHAnsi"/>
          <w:sz w:val="24"/>
          <w:szCs w:val="24"/>
        </w:rPr>
        <w:t xml:space="preserve">actors clearly appreciate the intricate relationship between spatial mapping of constraints and strategic </w:t>
      </w:r>
      <w:r w:rsidR="00741D52">
        <w:rPr>
          <w:rFonts w:cstheme="minorHAnsi"/>
          <w:sz w:val="24"/>
          <w:szCs w:val="24"/>
        </w:rPr>
        <w:t xml:space="preserve">energy </w:t>
      </w:r>
      <w:r w:rsidRPr="007225BA">
        <w:rPr>
          <w:rFonts w:cstheme="minorHAnsi"/>
          <w:sz w:val="24"/>
          <w:szCs w:val="24"/>
        </w:rPr>
        <w:t xml:space="preserve">targets, and sought compromises that favoured particular goals. </w:t>
      </w:r>
      <w:r w:rsidR="00741D52">
        <w:rPr>
          <w:rFonts w:cstheme="minorHAnsi"/>
          <w:sz w:val="24"/>
          <w:szCs w:val="24"/>
        </w:rPr>
        <w:t>W</w:t>
      </w:r>
      <w:r w:rsidRPr="007225BA">
        <w:rPr>
          <w:rFonts w:cstheme="minorHAnsi"/>
          <w:sz w:val="24"/>
          <w:szCs w:val="24"/>
        </w:rPr>
        <w:t xml:space="preserve">e </w:t>
      </w:r>
      <w:r w:rsidR="00741D52">
        <w:rPr>
          <w:rFonts w:cstheme="minorHAnsi"/>
          <w:sz w:val="24"/>
          <w:szCs w:val="24"/>
        </w:rPr>
        <w:t>observed</w:t>
      </w:r>
      <w:r w:rsidRPr="007225BA">
        <w:rPr>
          <w:rFonts w:cstheme="minorHAnsi"/>
          <w:sz w:val="24"/>
          <w:szCs w:val="24"/>
        </w:rPr>
        <w:t xml:space="preserve"> governments in Wales and Scotland reluctant to </w:t>
      </w:r>
      <w:r w:rsidR="007F674D">
        <w:rPr>
          <w:rFonts w:cstheme="minorHAnsi"/>
          <w:sz w:val="24"/>
          <w:szCs w:val="24"/>
        </w:rPr>
        <w:t>allow</w:t>
      </w:r>
      <w:r w:rsidRPr="007225BA">
        <w:rPr>
          <w:rFonts w:cstheme="minorHAnsi"/>
          <w:sz w:val="24"/>
          <w:szCs w:val="24"/>
        </w:rPr>
        <w:t xml:space="preserve"> </w:t>
      </w:r>
      <w:r w:rsidR="007034FD">
        <w:rPr>
          <w:rFonts w:cstheme="minorHAnsi"/>
          <w:sz w:val="24"/>
          <w:szCs w:val="24"/>
        </w:rPr>
        <w:t xml:space="preserve">certain </w:t>
      </w:r>
      <w:r w:rsidRPr="007225BA">
        <w:rPr>
          <w:rFonts w:cstheme="minorHAnsi"/>
          <w:sz w:val="24"/>
          <w:szCs w:val="24"/>
        </w:rPr>
        <w:t xml:space="preserve">environmental qualities to be elevated to the status of absolute constraints, </w:t>
      </w:r>
      <w:r w:rsidR="007F674D">
        <w:rPr>
          <w:rFonts w:cstheme="minorHAnsi"/>
          <w:sz w:val="24"/>
          <w:szCs w:val="24"/>
        </w:rPr>
        <w:t xml:space="preserve">and enter mapping processes, </w:t>
      </w:r>
      <w:r w:rsidRPr="007225BA">
        <w:rPr>
          <w:rFonts w:cstheme="minorHAnsi"/>
          <w:sz w:val="24"/>
          <w:szCs w:val="24"/>
        </w:rPr>
        <w:t xml:space="preserve">because doing so would reduce the notionally unconstrained space for RE development and threaten desired expansion. In Tuscany, </w:t>
      </w:r>
      <w:r w:rsidRPr="006F6C14">
        <w:rPr>
          <w:rFonts w:cstheme="minorHAnsi"/>
          <w:i/>
          <w:sz w:val="24"/>
          <w:szCs w:val="24"/>
        </w:rPr>
        <w:t>a priori</w:t>
      </w:r>
      <w:r w:rsidRPr="007225BA">
        <w:rPr>
          <w:rFonts w:cstheme="minorHAnsi"/>
          <w:sz w:val="24"/>
          <w:szCs w:val="24"/>
        </w:rPr>
        <w:t xml:space="preserve"> beliefs about a minimal need to expand wind facilitated a pro-landscape protection spatial planning approach, with numerous tight constraints. Apulia on the contrary, saw the plentiful RE sources in the region as an </w:t>
      </w:r>
      <w:r w:rsidR="004B2355">
        <w:rPr>
          <w:rFonts w:cstheme="minorHAnsi"/>
          <w:sz w:val="24"/>
          <w:szCs w:val="24"/>
        </w:rPr>
        <w:t xml:space="preserve">economic </w:t>
      </w:r>
      <w:r w:rsidRPr="007225BA">
        <w:rPr>
          <w:rFonts w:cstheme="minorHAnsi"/>
          <w:sz w:val="24"/>
          <w:szCs w:val="24"/>
        </w:rPr>
        <w:t>opportunity</w:t>
      </w:r>
      <w:r w:rsidRPr="007225BA">
        <w:rPr>
          <w:rFonts w:cstheme="minorHAnsi"/>
          <w:sz w:val="24"/>
          <w:szCs w:val="24"/>
          <w:lang w:eastAsia="en-GB"/>
        </w:rPr>
        <w:t xml:space="preserve"> and emphasised speed over spatial distribution. </w:t>
      </w:r>
      <w:r w:rsidR="007F674D">
        <w:rPr>
          <w:rFonts w:cstheme="minorHAnsi"/>
          <w:sz w:val="24"/>
          <w:szCs w:val="24"/>
        </w:rPr>
        <w:t>I</w:t>
      </w:r>
      <w:r w:rsidRPr="007225BA">
        <w:rPr>
          <w:rFonts w:cstheme="minorHAnsi"/>
          <w:sz w:val="24"/>
          <w:szCs w:val="24"/>
        </w:rPr>
        <w:t xml:space="preserve">n terms of our Table 1 framework, </w:t>
      </w:r>
      <w:r w:rsidR="00DD0F23">
        <w:rPr>
          <w:rFonts w:cstheme="minorHAnsi"/>
          <w:sz w:val="24"/>
          <w:szCs w:val="24"/>
        </w:rPr>
        <w:t xml:space="preserve">our research shows how </w:t>
      </w:r>
      <w:r w:rsidR="007F674D">
        <w:rPr>
          <w:rFonts w:cstheme="minorHAnsi"/>
          <w:sz w:val="24"/>
          <w:szCs w:val="24"/>
        </w:rPr>
        <w:t xml:space="preserve">choices about </w:t>
      </w:r>
      <w:r w:rsidRPr="007225BA">
        <w:rPr>
          <w:rFonts w:cstheme="minorHAnsi"/>
          <w:sz w:val="24"/>
          <w:szCs w:val="24"/>
        </w:rPr>
        <w:t xml:space="preserve">socio-technical properties of mapping techniques are affected by and constitutive of problem framings. </w:t>
      </w:r>
      <w:r w:rsidR="007F674D">
        <w:rPr>
          <w:rFonts w:cstheme="minorHAnsi"/>
          <w:sz w:val="24"/>
          <w:szCs w:val="24"/>
        </w:rPr>
        <w:t>These inter-relationships</w:t>
      </w:r>
      <w:r w:rsidRPr="007225BA">
        <w:rPr>
          <w:rFonts w:cstheme="minorHAnsi"/>
          <w:sz w:val="24"/>
          <w:szCs w:val="24"/>
        </w:rPr>
        <w:t xml:space="preserve"> show the problem of treating wind energy outcomes as a ‘dependent variable’ </w:t>
      </w:r>
      <w:r w:rsidRPr="007225BA">
        <w:rPr>
          <w:rFonts w:cstheme="minorHAnsi"/>
          <w:i/>
          <w:sz w:val="24"/>
          <w:szCs w:val="24"/>
        </w:rPr>
        <w:t>shaped by</w:t>
      </w:r>
      <w:r w:rsidRPr="007225BA">
        <w:rPr>
          <w:rFonts w:cstheme="minorHAnsi"/>
          <w:sz w:val="24"/>
          <w:szCs w:val="24"/>
        </w:rPr>
        <w:t xml:space="preserve"> spatial planning approaches (as with </w:t>
      </w:r>
      <w:r w:rsidRPr="007225BA">
        <w:rPr>
          <w:rFonts w:cstheme="minorHAnsi"/>
          <w:noProof/>
          <w:sz w:val="24"/>
          <w:szCs w:val="24"/>
        </w:rPr>
        <w:t>Lauf et al. (2020</w:t>
      </w:r>
      <w:r w:rsidRPr="007225BA">
        <w:rPr>
          <w:rFonts w:cstheme="minorHAnsi"/>
          <w:sz w:val="24"/>
          <w:szCs w:val="24"/>
        </w:rPr>
        <w:t>), given desired wind energy outcomes so clearly shape actors’ approaches to spatial planning.</w:t>
      </w:r>
    </w:p>
    <w:p w14:paraId="5CF90FD1" w14:textId="77777777" w:rsidR="00741D52" w:rsidRPr="007225BA" w:rsidRDefault="00741D52" w:rsidP="00735E90">
      <w:pPr>
        <w:spacing w:line="240" w:lineRule="auto"/>
        <w:jc w:val="both"/>
        <w:rPr>
          <w:rFonts w:cstheme="minorHAnsi"/>
          <w:sz w:val="24"/>
          <w:szCs w:val="24"/>
        </w:rPr>
      </w:pPr>
    </w:p>
    <w:p w14:paraId="59E0A415" w14:textId="0003DC4C" w:rsidR="004F3750" w:rsidRDefault="004F3750" w:rsidP="00735E90">
      <w:pPr>
        <w:spacing w:line="240" w:lineRule="auto"/>
        <w:jc w:val="both"/>
        <w:rPr>
          <w:rFonts w:cstheme="minorHAnsi"/>
          <w:sz w:val="24"/>
          <w:szCs w:val="24"/>
        </w:rPr>
      </w:pPr>
      <w:r w:rsidRPr="007225BA">
        <w:rPr>
          <w:rFonts w:cstheme="minorHAnsi"/>
          <w:sz w:val="24"/>
          <w:szCs w:val="24"/>
        </w:rPr>
        <w:t xml:space="preserve">Attention to the diverse elements brought together by </w:t>
      </w:r>
      <w:r w:rsidR="00562199">
        <w:rPr>
          <w:rFonts w:cstheme="minorHAnsi"/>
          <w:sz w:val="24"/>
          <w:szCs w:val="24"/>
        </w:rPr>
        <w:t xml:space="preserve">each </w:t>
      </w:r>
      <w:r w:rsidRPr="007225BA">
        <w:rPr>
          <w:rFonts w:cstheme="minorHAnsi"/>
          <w:sz w:val="24"/>
          <w:szCs w:val="24"/>
        </w:rPr>
        <w:t>mode of governing, and the compromises entailed, also expands our understanding of the factors that explain the emergence, persistence and (often uncertain) effects of spatial planning approaches</w:t>
      </w:r>
      <w:r w:rsidR="00562199">
        <w:rPr>
          <w:rFonts w:cstheme="minorHAnsi"/>
          <w:sz w:val="24"/>
          <w:szCs w:val="24"/>
        </w:rPr>
        <w:t xml:space="preserve"> on wind energy deployment</w:t>
      </w:r>
      <w:r w:rsidRPr="007225BA">
        <w:rPr>
          <w:rFonts w:cstheme="minorHAnsi"/>
          <w:sz w:val="24"/>
          <w:szCs w:val="24"/>
        </w:rPr>
        <w:t xml:space="preserve">. While there may be value in developing </w:t>
      </w:r>
      <w:r w:rsidR="006349F1">
        <w:rPr>
          <w:rFonts w:cstheme="minorHAnsi"/>
          <w:sz w:val="24"/>
          <w:szCs w:val="24"/>
        </w:rPr>
        <w:t xml:space="preserve">technically </w:t>
      </w:r>
      <w:r w:rsidRPr="007225BA">
        <w:rPr>
          <w:rFonts w:cstheme="minorHAnsi"/>
          <w:sz w:val="24"/>
          <w:szCs w:val="24"/>
        </w:rPr>
        <w:t xml:space="preserve">‘better’ mapping methodologies, as devices for </w:t>
      </w:r>
      <w:r w:rsidR="0049730B">
        <w:rPr>
          <w:rFonts w:cstheme="minorHAnsi"/>
          <w:sz w:val="24"/>
          <w:szCs w:val="24"/>
        </w:rPr>
        <w:t xml:space="preserve">spatial </w:t>
      </w:r>
      <w:r w:rsidR="00B63516">
        <w:rPr>
          <w:rFonts w:cstheme="minorHAnsi"/>
          <w:sz w:val="24"/>
          <w:szCs w:val="24"/>
        </w:rPr>
        <w:t>‘</w:t>
      </w:r>
      <w:r w:rsidRPr="007225BA">
        <w:rPr>
          <w:rFonts w:cstheme="minorHAnsi"/>
          <w:sz w:val="24"/>
          <w:szCs w:val="24"/>
        </w:rPr>
        <w:t xml:space="preserve">puzzling’ (after Heclo 1974), </w:t>
      </w:r>
      <w:r w:rsidR="006349F1">
        <w:rPr>
          <w:rFonts w:cstheme="minorHAnsi"/>
          <w:sz w:val="24"/>
          <w:szCs w:val="24"/>
        </w:rPr>
        <w:t xml:space="preserve">tracing how spatial planning approaches get used </w:t>
      </w:r>
      <w:r w:rsidRPr="007225BA">
        <w:rPr>
          <w:rFonts w:cstheme="minorHAnsi"/>
          <w:sz w:val="24"/>
          <w:szCs w:val="24"/>
        </w:rPr>
        <w:t xml:space="preserve">in modes of governing shows how notionally ‘external’, non-methodological dimensions of the mode of governing regularly </w:t>
      </w:r>
      <w:r w:rsidR="00DD0F23">
        <w:rPr>
          <w:rFonts w:cstheme="minorHAnsi"/>
          <w:sz w:val="24"/>
          <w:szCs w:val="24"/>
        </w:rPr>
        <w:t>exert</w:t>
      </w:r>
      <w:r w:rsidRPr="007225BA">
        <w:rPr>
          <w:rFonts w:cstheme="minorHAnsi"/>
          <w:sz w:val="24"/>
          <w:szCs w:val="24"/>
        </w:rPr>
        <w:t xml:space="preserve"> far greater effects</w:t>
      </w:r>
      <w:r w:rsidR="006349F1">
        <w:rPr>
          <w:rFonts w:cstheme="minorHAnsi"/>
          <w:sz w:val="24"/>
          <w:szCs w:val="24"/>
        </w:rPr>
        <w:t xml:space="preserve"> on outcomes</w:t>
      </w:r>
      <w:r w:rsidRPr="007225BA">
        <w:rPr>
          <w:rFonts w:cstheme="minorHAnsi"/>
          <w:sz w:val="24"/>
          <w:szCs w:val="24"/>
        </w:rPr>
        <w:t>.</w:t>
      </w:r>
      <w:r w:rsidR="007034FD">
        <w:rPr>
          <w:rFonts w:cstheme="minorHAnsi"/>
          <w:sz w:val="24"/>
          <w:szCs w:val="24"/>
        </w:rPr>
        <w:t xml:space="preserve"> </w:t>
      </w:r>
      <w:r w:rsidRPr="007225BA">
        <w:rPr>
          <w:rFonts w:cstheme="minorHAnsi"/>
          <w:sz w:val="24"/>
          <w:szCs w:val="24"/>
        </w:rPr>
        <w:t xml:space="preserve"> Thus in Italy, the merits and practical effects of spatial planning approaches was caught up in shifting intergovernmental constitutional complexities, affecting who had the legitimacy to direct who, at what level, on whether and how to implement spatial planning approaches. For Apulia, but also Wales, the means-ends efficiency of spatial planning approaches was dissipated</w:t>
      </w:r>
      <w:r w:rsidR="007034FD">
        <w:rPr>
          <w:rFonts w:cstheme="minorHAnsi"/>
          <w:sz w:val="24"/>
          <w:szCs w:val="24"/>
        </w:rPr>
        <w:t xml:space="preserve"> </w:t>
      </w:r>
      <w:r w:rsidRPr="007225BA">
        <w:rPr>
          <w:rFonts w:cstheme="minorHAnsi"/>
          <w:sz w:val="24"/>
          <w:szCs w:val="24"/>
        </w:rPr>
        <w:t xml:space="preserve">because </w:t>
      </w:r>
      <w:r w:rsidR="007034FD">
        <w:rPr>
          <w:rFonts w:cstheme="minorHAnsi"/>
          <w:sz w:val="24"/>
          <w:szCs w:val="24"/>
        </w:rPr>
        <w:t xml:space="preserve">the </w:t>
      </w:r>
      <w:r w:rsidRPr="007225BA">
        <w:rPr>
          <w:rFonts w:cstheme="minorHAnsi"/>
          <w:sz w:val="24"/>
          <w:szCs w:val="24"/>
        </w:rPr>
        <w:t xml:space="preserve">powers to draw up zonings were </w:t>
      </w:r>
      <w:r w:rsidR="00741D52">
        <w:rPr>
          <w:rFonts w:cstheme="minorHAnsi"/>
          <w:sz w:val="24"/>
          <w:szCs w:val="24"/>
        </w:rPr>
        <w:t>separated from the</w:t>
      </w:r>
      <w:r w:rsidRPr="007225BA">
        <w:rPr>
          <w:rFonts w:cstheme="minorHAnsi"/>
          <w:sz w:val="24"/>
          <w:szCs w:val="24"/>
        </w:rPr>
        <w:t xml:space="preserve"> powers to </w:t>
      </w:r>
      <w:r w:rsidR="00741D52">
        <w:rPr>
          <w:rFonts w:cstheme="minorHAnsi"/>
          <w:sz w:val="24"/>
          <w:szCs w:val="24"/>
        </w:rPr>
        <w:t>secure</w:t>
      </w:r>
      <w:r w:rsidRPr="007225BA">
        <w:rPr>
          <w:rFonts w:cstheme="minorHAnsi"/>
          <w:sz w:val="24"/>
          <w:szCs w:val="24"/>
        </w:rPr>
        <w:t xml:space="preserve"> compliance</w:t>
      </w:r>
      <w:r w:rsidR="00B63516">
        <w:rPr>
          <w:rFonts w:cstheme="minorHAnsi"/>
          <w:sz w:val="24"/>
          <w:szCs w:val="24"/>
        </w:rPr>
        <w:t xml:space="preserve">. </w:t>
      </w:r>
      <w:r w:rsidR="006349F1">
        <w:rPr>
          <w:rFonts w:cstheme="minorHAnsi"/>
          <w:sz w:val="24"/>
          <w:szCs w:val="24"/>
        </w:rPr>
        <w:t>E</w:t>
      </w:r>
      <w:r w:rsidRPr="007225BA">
        <w:rPr>
          <w:rFonts w:cstheme="minorHAnsi"/>
          <w:sz w:val="24"/>
          <w:szCs w:val="24"/>
        </w:rPr>
        <w:t xml:space="preserve">nduring institutional arrangements governing the distribution of powers between governmental scales strongly configure how spatial planning approaches for onshore wind are operationalised in practice (see also </w:t>
      </w:r>
      <w:r w:rsidRPr="007225BA">
        <w:rPr>
          <w:rFonts w:cstheme="minorHAnsi"/>
          <w:noProof/>
          <w:sz w:val="24"/>
          <w:szCs w:val="24"/>
        </w:rPr>
        <w:t>Lauf et al. 2020</w:t>
      </w:r>
      <w:r w:rsidRPr="007225BA">
        <w:rPr>
          <w:rFonts w:cstheme="minorHAnsi"/>
          <w:sz w:val="24"/>
          <w:szCs w:val="24"/>
        </w:rPr>
        <w:t>).</w:t>
      </w:r>
    </w:p>
    <w:p w14:paraId="1A03ADB2" w14:textId="77777777" w:rsidR="00741D52" w:rsidRPr="007225BA" w:rsidRDefault="00741D52" w:rsidP="00C52624">
      <w:pPr>
        <w:spacing w:line="240" w:lineRule="auto"/>
        <w:jc w:val="both"/>
        <w:rPr>
          <w:rFonts w:cstheme="minorHAnsi"/>
          <w:sz w:val="24"/>
          <w:szCs w:val="24"/>
        </w:rPr>
      </w:pPr>
    </w:p>
    <w:p w14:paraId="1A2B4701" w14:textId="61F9B06F" w:rsidR="004F3750" w:rsidRDefault="004F3750" w:rsidP="00735E90">
      <w:pPr>
        <w:spacing w:line="240" w:lineRule="auto"/>
        <w:jc w:val="both"/>
        <w:rPr>
          <w:rFonts w:cstheme="minorHAnsi"/>
          <w:sz w:val="24"/>
          <w:szCs w:val="24"/>
        </w:rPr>
      </w:pPr>
      <w:r w:rsidRPr="007225BA">
        <w:rPr>
          <w:rFonts w:cstheme="minorHAnsi"/>
          <w:sz w:val="24"/>
          <w:szCs w:val="24"/>
        </w:rPr>
        <w:lastRenderedPageBreak/>
        <w:t>Undertaking research</w:t>
      </w:r>
      <w:r w:rsidR="00836422">
        <w:rPr>
          <w:rFonts w:cstheme="minorHAnsi"/>
          <w:sz w:val="24"/>
          <w:szCs w:val="24"/>
        </w:rPr>
        <w:t xml:space="preserve"> across a diversity of national and regional settings</w:t>
      </w:r>
      <w:r w:rsidRPr="007225BA">
        <w:rPr>
          <w:rFonts w:cstheme="minorHAnsi"/>
          <w:sz w:val="24"/>
          <w:szCs w:val="24"/>
        </w:rPr>
        <w:t xml:space="preserve">, and tracing the </w:t>
      </w:r>
      <w:r w:rsidR="00836422">
        <w:rPr>
          <w:rFonts w:cstheme="minorHAnsi"/>
          <w:sz w:val="24"/>
          <w:szCs w:val="24"/>
        </w:rPr>
        <w:t xml:space="preserve">adoption and effects of </w:t>
      </w:r>
      <w:r w:rsidRPr="007225BA">
        <w:rPr>
          <w:rFonts w:cstheme="minorHAnsi"/>
          <w:sz w:val="24"/>
          <w:szCs w:val="24"/>
        </w:rPr>
        <w:t>different modes of govern</w:t>
      </w:r>
      <w:r w:rsidR="00DD0F23">
        <w:rPr>
          <w:rFonts w:cstheme="minorHAnsi"/>
          <w:sz w:val="24"/>
          <w:szCs w:val="24"/>
        </w:rPr>
        <w:t>ing</w:t>
      </w:r>
      <w:r w:rsidRPr="007225BA">
        <w:rPr>
          <w:rFonts w:cstheme="minorHAnsi"/>
          <w:sz w:val="24"/>
          <w:szCs w:val="24"/>
        </w:rPr>
        <w:t xml:space="preserve"> constructed around onshore wind, enables us to suggest more general causal propositions about spatial planning tools and their efficacy.  As we have shown, the modes of governing we have observed are constituted by compromises, entailing exclusions of </w:t>
      </w:r>
      <w:r w:rsidR="00836422">
        <w:rPr>
          <w:rFonts w:cstheme="minorHAnsi"/>
          <w:sz w:val="24"/>
          <w:szCs w:val="24"/>
        </w:rPr>
        <w:t xml:space="preserve">certain </w:t>
      </w:r>
      <w:r w:rsidRPr="007225BA">
        <w:rPr>
          <w:rFonts w:cstheme="minorHAnsi"/>
          <w:sz w:val="24"/>
          <w:szCs w:val="24"/>
        </w:rPr>
        <w:t xml:space="preserve">issues, </w:t>
      </w:r>
      <w:r w:rsidR="00836422">
        <w:rPr>
          <w:rFonts w:cstheme="minorHAnsi"/>
          <w:sz w:val="24"/>
          <w:szCs w:val="24"/>
        </w:rPr>
        <w:t xml:space="preserve">the marginalisation of particular </w:t>
      </w:r>
      <w:r w:rsidRPr="007225BA">
        <w:rPr>
          <w:rFonts w:cstheme="minorHAnsi"/>
          <w:sz w:val="24"/>
          <w:szCs w:val="24"/>
        </w:rPr>
        <w:t>actors and so on. However, although spatial planning approaches are always potentially contestable compromises, the strategies adopted - for all their partiality and trade-offs - do not obviously and immediately fail</w:t>
      </w:r>
      <w:r w:rsidR="00836422">
        <w:rPr>
          <w:rFonts w:cstheme="minorHAnsi"/>
          <w:sz w:val="24"/>
          <w:szCs w:val="24"/>
        </w:rPr>
        <w:t xml:space="preserve">, </w:t>
      </w:r>
      <w:r w:rsidRPr="007225BA">
        <w:rPr>
          <w:rFonts w:cstheme="minorHAnsi"/>
          <w:sz w:val="24"/>
          <w:szCs w:val="24"/>
        </w:rPr>
        <w:t xml:space="preserve">in the sense of provoking repeated resistance to the desired goals. Generalisation </w:t>
      </w:r>
      <w:r w:rsidR="00836422">
        <w:rPr>
          <w:rFonts w:cstheme="minorHAnsi"/>
          <w:sz w:val="24"/>
          <w:szCs w:val="24"/>
        </w:rPr>
        <w:t xml:space="preserve">about efficacy </w:t>
      </w:r>
      <w:r w:rsidRPr="007225BA">
        <w:rPr>
          <w:rFonts w:cstheme="minorHAnsi"/>
          <w:sz w:val="24"/>
          <w:szCs w:val="24"/>
        </w:rPr>
        <w:t>thus needs to be able to say something about t</w:t>
      </w:r>
      <w:r w:rsidR="00836422">
        <w:rPr>
          <w:rFonts w:cstheme="minorHAnsi"/>
          <w:sz w:val="24"/>
          <w:szCs w:val="24"/>
        </w:rPr>
        <w:t>echniques</w:t>
      </w:r>
      <w:r w:rsidRPr="007225BA">
        <w:rPr>
          <w:rFonts w:cstheme="minorHAnsi"/>
          <w:sz w:val="24"/>
          <w:szCs w:val="24"/>
        </w:rPr>
        <w:t xml:space="preserve"> in context.</w:t>
      </w:r>
    </w:p>
    <w:p w14:paraId="094FB3D4" w14:textId="77777777" w:rsidR="00741D52" w:rsidRPr="007225BA" w:rsidRDefault="00741D52" w:rsidP="00C52624">
      <w:pPr>
        <w:spacing w:line="240" w:lineRule="auto"/>
        <w:jc w:val="both"/>
        <w:rPr>
          <w:rStyle w:val="CommentReference"/>
          <w:rFonts w:cstheme="minorHAnsi"/>
          <w:sz w:val="24"/>
          <w:szCs w:val="24"/>
        </w:rPr>
      </w:pPr>
    </w:p>
    <w:p w14:paraId="51B283E9" w14:textId="6F9954C5" w:rsidR="004F3750" w:rsidRDefault="00B63516" w:rsidP="00C52624">
      <w:pPr>
        <w:spacing w:line="240" w:lineRule="auto"/>
        <w:jc w:val="both"/>
        <w:rPr>
          <w:rFonts w:cstheme="minorHAnsi"/>
          <w:sz w:val="24"/>
          <w:szCs w:val="24"/>
        </w:rPr>
      </w:pPr>
      <w:r>
        <w:rPr>
          <w:rFonts w:cstheme="minorHAnsi"/>
          <w:sz w:val="24"/>
          <w:szCs w:val="24"/>
        </w:rPr>
        <w:t xml:space="preserve">What our research shows is that </w:t>
      </w:r>
      <w:r w:rsidR="004F3750" w:rsidRPr="007225BA">
        <w:rPr>
          <w:rFonts w:cstheme="minorHAnsi"/>
          <w:sz w:val="24"/>
          <w:szCs w:val="24"/>
        </w:rPr>
        <w:t xml:space="preserve">spatial planning approaches </w:t>
      </w:r>
      <w:r w:rsidR="00690009">
        <w:rPr>
          <w:rFonts w:cstheme="minorHAnsi"/>
          <w:sz w:val="24"/>
          <w:szCs w:val="24"/>
        </w:rPr>
        <w:t xml:space="preserve">- </w:t>
      </w:r>
      <w:r w:rsidR="004F3750" w:rsidRPr="007225BA">
        <w:rPr>
          <w:rFonts w:cstheme="minorHAnsi"/>
          <w:sz w:val="24"/>
          <w:szCs w:val="24"/>
        </w:rPr>
        <w:t>including non-uses</w:t>
      </w:r>
      <w:r w:rsidR="007034FD">
        <w:rPr>
          <w:rFonts w:cstheme="minorHAnsi"/>
          <w:sz w:val="24"/>
          <w:szCs w:val="24"/>
        </w:rPr>
        <w:t xml:space="preserve"> </w:t>
      </w:r>
      <w:r w:rsidR="00690009">
        <w:rPr>
          <w:rFonts w:cstheme="minorHAnsi"/>
          <w:sz w:val="24"/>
          <w:szCs w:val="24"/>
        </w:rPr>
        <w:t xml:space="preserve">– are more likely to persist and deliver the desired effects in those contexts that more </w:t>
      </w:r>
      <w:r w:rsidR="00207134" w:rsidRPr="00E82CB8">
        <w:rPr>
          <w:rFonts w:cstheme="minorHAnsi"/>
          <w:sz w:val="24"/>
          <w:szCs w:val="24"/>
        </w:rPr>
        <w:t xml:space="preserve">strongly resemble the simplified image of them constructed by </w:t>
      </w:r>
      <w:proofErr w:type="gramStart"/>
      <w:r w:rsidR="00207134" w:rsidRPr="00E82CB8">
        <w:rPr>
          <w:rFonts w:cstheme="minorHAnsi"/>
          <w:sz w:val="24"/>
          <w:szCs w:val="24"/>
        </w:rPr>
        <w:t>policy-makers</w:t>
      </w:r>
      <w:proofErr w:type="gramEnd"/>
      <w:r w:rsidR="00207134" w:rsidRPr="00E82CB8">
        <w:rPr>
          <w:rFonts w:cstheme="minorHAnsi"/>
          <w:sz w:val="24"/>
          <w:szCs w:val="24"/>
        </w:rPr>
        <w:t>, and where the elements omitted or compromised against in the mode of governing do not foment effective opposition</w:t>
      </w:r>
      <w:r w:rsidR="004F3750" w:rsidRPr="007225BA">
        <w:rPr>
          <w:rFonts w:cstheme="minorHAnsi"/>
          <w:sz w:val="24"/>
          <w:szCs w:val="24"/>
        </w:rPr>
        <w:t xml:space="preserve">. So </w:t>
      </w:r>
      <w:r w:rsidR="00207134" w:rsidRPr="00E82CB8">
        <w:rPr>
          <w:rFonts w:cstheme="minorHAnsi"/>
          <w:i/>
          <w:sz w:val="24"/>
          <w:szCs w:val="24"/>
        </w:rPr>
        <w:t>‘developer siting flexibility’</w:t>
      </w:r>
      <w:r w:rsidR="00690009">
        <w:rPr>
          <w:rFonts w:cstheme="minorHAnsi"/>
          <w:sz w:val="24"/>
          <w:szCs w:val="24"/>
        </w:rPr>
        <w:t xml:space="preserve"> modes </w:t>
      </w:r>
      <w:r w:rsidR="004F3750" w:rsidRPr="007225BA">
        <w:rPr>
          <w:rFonts w:cstheme="minorHAnsi"/>
          <w:sz w:val="24"/>
          <w:szCs w:val="24"/>
        </w:rPr>
        <w:t xml:space="preserve">did not thwart expansion in Apulia and Northern Ireland, because in both places dominant forces in rural politics </w:t>
      </w:r>
      <w:r>
        <w:rPr>
          <w:rFonts w:cstheme="minorHAnsi"/>
          <w:sz w:val="24"/>
          <w:szCs w:val="24"/>
        </w:rPr>
        <w:t>are</w:t>
      </w:r>
      <w:r w:rsidR="004F3750" w:rsidRPr="007225BA">
        <w:rPr>
          <w:rFonts w:cstheme="minorHAnsi"/>
          <w:sz w:val="24"/>
          <w:szCs w:val="24"/>
        </w:rPr>
        <w:t xml:space="preserve"> the farming sector, economic </w:t>
      </w:r>
      <w:r w:rsidR="002B4405" w:rsidRPr="007225BA">
        <w:rPr>
          <w:rFonts w:cstheme="minorHAnsi"/>
          <w:sz w:val="24"/>
          <w:szCs w:val="24"/>
        </w:rPr>
        <w:t>development,</w:t>
      </w:r>
      <w:r w:rsidR="004F3750" w:rsidRPr="007225BA">
        <w:rPr>
          <w:rFonts w:cstheme="minorHAnsi"/>
          <w:sz w:val="24"/>
          <w:szCs w:val="24"/>
        </w:rPr>
        <w:t xml:space="preserve"> and the readiness to </w:t>
      </w:r>
      <w:r>
        <w:rPr>
          <w:rFonts w:cstheme="minorHAnsi"/>
          <w:sz w:val="24"/>
          <w:szCs w:val="24"/>
        </w:rPr>
        <w:t>allocate</w:t>
      </w:r>
      <w:r w:rsidR="004F3750" w:rsidRPr="007225BA">
        <w:rPr>
          <w:rFonts w:cstheme="minorHAnsi"/>
          <w:sz w:val="24"/>
          <w:szCs w:val="24"/>
        </w:rPr>
        <w:t xml:space="preserve"> agricultural land </w:t>
      </w:r>
      <w:r>
        <w:rPr>
          <w:rFonts w:cstheme="minorHAnsi"/>
          <w:sz w:val="24"/>
          <w:szCs w:val="24"/>
        </w:rPr>
        <w:t>to</w:t>
      </w:r>
      <w:r w:rsidR="004F3750" w:rsidRPr="007225BA">
        <w:rPr>
          <w:rFonts w:cstheme="minorHAnsi"/>
          <w:sz w:val="24"/>
          <w:szCs w:val="24"/>
        </w:rPr>
        <w:t xml:space="preserve"> on-shore wind</w:t>
      </w:r>
      <w:r w:rsidR="00690009">
        <w:rPr>
          <w:rFonts w:cstheme="minorHAnsi"/>
          <w:sz w:val="24"/>
          <w:szCs w:val="24"/>
        </w:rPr>
        <w:t xml:space="preserve"> on a market-driven basis</w:t>
      </w:r>
      <w:r w:rsidR="004F3750" w:rsidRPr="007225BA">
        <w:rPr>
          <w:rFonts w:cstheme="minorHAnsi"/>
          <w:sz w:val="24"/>
          <w:szCs w:val="24"/>
        </w:rPr>
        <w:t>. In Wales, ‘</w:t>
      </w:r>
      <w:r w:rsidR="004F3750" w:rsidRPr="007225BA">
        <w:rPr>
          <w:rFonts w:cstheme="minorHAnsi"/>
          <w:i/>
          <w:sz w:val="24"/>
          <w:szCs w:val="24"/>
        </w:rPr>
        <w:t>central specification</w:t>
      </w:r>
      <w:r w:rsidR="004F3750" w:rsidRPr="007225BA">
        <w:rPr>
          <w:rFonts w:cstheme="minorHAnsi"/>
          <w:sz w:val="24"/>
          <w:szCs w:val="24"/>
        </w:rPr>
        <w:t xml:space="preserve">’ of spatial zonings worked in south Wales, because the allocation of SSAs to large tracts of industrial forestry, distant from most settlements, badged as ‘less </w:t>
      </w:r>
      <w:r w:rsidR="00690009">
        <w:rPr>
          <w:rFonts w:cstheme="minorHAnsi"/>
          <w:sz w:val="24"/>
          <w:szCs w:val="24"/>
        </w:rPr>
        <w:t xml:space="preserve">environmentally </w:t>
      </w:r>
      <w:r w:rsidR="004F3750" w:rsidRPr="007225BA">
        <w:rPr>
          <w:rFonts w:cstheme="minorHAnsi"/>
          <w:sz w:val="24"/>
          <w:szCs w:val="24"/>
        </w:rPr>
        <w:t>sensitive’, did not encounter major opposition.</w:t>
      </w:r>
      <w:r w:rsidR="00741D52">
        <w:rPr>
          <w:rFonts w:cstheme="minorHAnsi"/>
          <w:sz w:val="24"/>
          <w:szCs w:val="24"/>
        </w:rPr>
        <w:t xml:space="preserve"> The same compromises unravelled </w:t>
      </w:r>
      <w:r w:rsidR="004F3750" w:rsidRPr="007225BA">
        <w:rPr>
          <w:rFonts w:cstheme="minorHAnsi"/>
          <w:sz w:val="24"/>
          <w:szCs w:val="24"/>
        </w:rPr>
        <w:t>in mid-Wales</w:t>
      </w:r>
      <w:r w:rsidR="00741D52">
        <w:rPr>
          <w:rFonts w:cstheme="minorHAnsi"/>
          <w:sz w:val="24"/>
          <w:szCs w:val="24"/>
        </w:rPr>
        <w:t xml:space="preserve"> because the</w:t>
      </w:r>
      <w:r w:rsidR="00690009">
        <w:rPr>
          <w:rFonts w:cstheme="minorHAnsi"/>
          <w:sz w:val="24"/>
          <w:szCs w:val="24"/>
        </w:rPr>
        <w:t>se contextual</w:t>
      </w:r>
      <w:r w:rsidR="00741D52">
        <w:rPr>
          <w:rFonts w:cstheme="minorHAnsi"/>
          <w:sz w:val="24"/>
          <w:szCs w:val="24"/>
        </w:rPr>
        <w:t xml:space="preserve"> conditions did not </w:t>
      </w:r>
      <w:r w:rsidR="00D66F53">
        <w:rPr>
          <w:rFonts w:cstheme="minorHAnsi"/>
          <w:sz w:val="24"/>
          <w:szCs w:val="24"/>
        </w:rPr>
        <w:t>pertain</w:t>
      </w:r>
      <w:r w:rsidR="004F3750" w:rsidRPr="007225BA">
        <w:rPr>
          <w:rFonts w:cstheme="minorHAnsi"/>
          <w:sz w:val="24"/>
          <w:szCs w:val="24"/>
        </w:rPr>
        <w:t xml:space="preserve">, hence the SSAs remain under-exploited. </w:t>
      </w:r>
      <w:r w:rsidR="00DD0F23">
        <w:rPr>
          <w:rFonts w:cstheme="minorHAnsi"/>
          <w:sz w:val="24"/>
          <w:szCs w:val="24"/>
        </w:rPr>
        <w:t xml:space="preserve">A key variable is </w:t>
      </w:r>
      <w:r w:rsidR="007034FD">
        <w:rPr>
          <w:rFonts w:cstheme="minorHAnsi"/>
          <w:sz w:val="24"/>
          <w:szCs w:val="24"/>
        </w:rPr>
        <w:t>whether</w:t>
      </w:r>
      <w:r w:rsidR="004F3750" w:rsidRPr="007225BA">
        <w:rPr>
          <w:rFonts w:cstheme="minorHAnsi"/>
          <w:sz w:val="24"/>
          <w:szCs w:val="24"/>
        </w:rPr>
        <w:t xml:space="preserve"> </w:t>
      </w:r>
      <w:r w:rsidR="00690009">
        <w:rPr>
          <w:rFonts w:cstheme="minorHAnsi"/>
          <w:sz w:val="24"/>
          <w:szCs w:val="24"/>
        </w:rPr>
        <w:t>those elements marginalised by the compromises struck in spatial planning approaches</w:t>
      </w:r>
      <w:r w:rsidR="007034FD">
        <w:rPr>
          <w:rFonts w:cstheme="minorHAnsi"/>
          <w:sz w:val="24"/>
          <w:szCs w:val="24"/>
        </w:rPr>
        <w:t xml:space="preserve"> become subject to effective, organised opposition.</w:t>
      </w:r>
    </w:p>
    <w:p w14:paraId="487B6ED1" w14:textId="77777777" w:rsidR="00D66F53" w:rsidRPr="007225BA" w:rsidRDefault="00D66F53" w:rsidP="00C52624">
      <w:pPr>
        <w:spacing w:line="240" w:lineRule="auto"/>
        <w:jc w:val="both"/>
        <w:rPr>
          <w:rFonts w:cstheme="minorHAnsi"/>
          <w:sz w:val="24"/>
          <w:szCs w:val="24"/>
        </w:rPr>
      </w:pPr>
    </w:p>
    <w:p w14:paraId="4257145A" w14:textId="77B971CB" w:rsidR="004F3750" w:rsidRPr="007225BA" w:rsidRDefault="004F3750" w:rsidP="00735E90">
      <w:pPr>
        <w:spacing w:line="240" w:lineRule="auto"/>
        <w:jc w:val="both"/>
        <w:rPr>
          <w:rFonts w:cstheme="minorHAnsi"/>
          <w:bCs/>
          <w:sz w:val="24"/>
          <w:szCs w:val="24"/>
        </w:rPr>
      </w:pPr>
      <w:r w:rsidRPr="007225BA">
        <w:rPr>
          <w:rFonts w:cstheme="minorHAnsi"/>
          <w:sz w:val="24"/>
          <w:szCs w:val="24"/>
        </w:rPr>
        <w:t>However, there is one omission that appears to consistently problematise all modes of governing for on-shore wind - grid capacity.  Across our cases, a failure to treat grid capacity seriously</w:t>
      </w:r>
      <w:r w:rsidR="00DD0F23">
        <w:rPr>
          <w:rFonts w:cstheme="minorHAnsi"/>
          <w:sz w:val="24"/>
          <w:szCs w:val="24"/>
        </w:rPr>
        <w:t>,</w:t>
      </w:r>
      <w:r w:rsidR="00022EA6">
        <w:rPr>
          <w:rFonts w:cstheme="minorHAnsi"/>
          <w:sz w:val="24"/>
          <w:szCs w:val="24"/>
        </w:rPr>
        <w:t xml:space="preserve"> </w:t>
      </w:r>
      <w:r w:rsidR="0024534E" w:rsidRPr="007225BA">
        <w:rPr>
          <w:rFonts w:cstheme="minorHAnsi"/>
          <w:sz w:val="24"/>
          <w:szCs w:val="24"/>
        </w:rPr>
        <w:t>side</w:t>
      </w:r>
      <w:r w:rsidR="00364242">
        <w:rPr>
          <w:rFonts w:cstheme="minorHAnsi"/>
          <w:sz w:val="24"/>
          <w:szCs w:val="24"/>
        </w:rPr>
        <w:t>-</w:t>
      </w:r>
      <w:r w:rsidR="0024534E" w:rsidRPr="007225BA">
        <w:rPr>
          <w:rFonts w:cstheme="minorHAnsi"/>
          <w:sz w:val="24"/>
          <w:szCs w:val="24"/>
        </w:rPr>
        <w:t>li</w:t>
      </w:r>
      <w:r w:rsidR="0024534E">
        <w:rPr>
          <w:rFonts w:cstheme="minorHAnsi"/>
          <w:sz w:val="24"/>
          <w:szCs w:val="24"/>
        </w:rPr>
        <w:t>ning</w:t>
      </w:r>
      <w:r w:rsidRPr="007225BA">
        <w:rPr>
          <w:rFonts w:cstheme="minorHAnsi"/>
          <w:sz w:val="24"/>
          <w:szCs w:val="24"/>
        </w:rPr>
        <w:t xml:space="preserve"> it in the spatial planning approaches adopted</w:t>
      </w:r>
      <w:r w:rsidR="00DD0F23">
        <w:rPr>
          <w:rFonts w:cstheme="minorHAnsi"/>
          <w:sz w:val="24"/>
          <w:szCs w:val="24"/>
        </w:rPr>
        <w:t>,</w:t>
      </w:r>
      <w:r w:rsidRPr="007225BA">
        <w:rPr>
          <w:rFonts w:cstheme="minorHAnsi"/>
          <w:sz w:val="24"/>
          <w:szCs w:val="24"/>
        </w:rPr>
        <w:t xml:space="preserve"> only resulted in its later re-emergence</w:t>
      </w:r>
      <w:r w:rsidR="007034FD">
        <w:rPr>
          <w:rFonts w:cstheme="minorHAnsi"/>
          <w:sz w:val="24"/>
          <w:szCs w:val="24"/>
        </w:rPr>
        <w:t xml:space="preserve"> as wind farm proposals came forward</w:t>
      </w:r>
      <w:r w:rsidRPr="007225BA">
        <w:rPr>
          <w:rFonts w:cstheme="minorHAnsi"/>
          <w:sz w:val="24"/>
          <w:szCs w:val="24"/>
        </w:rPr>
        <w:t>. We observed this both in regions that encouraged ‘</w:t>
      </w:r>
      <w:r w:rsidRPr="00B63516">
        <w:rPr>
          <w:rFonts w:cstheme="minorHAnsi"/>
          <w:i/>
          <w:sz w:val="24"/>
          <w:szCs w:val="24"/>
        </w:rPr>
        <w:t>developer siting flexibility</w:t>
      </w:r>
      <w:r w:rsidRPr="007225BA">
        <w:rPr>
          <w:rFonts w:cstheme="minorHAnsi"/>
          <w:sz w:val="24"/>
          <w:szCs w:val="24"/>
        </w:rPr>
        <w:t>’ (Apulia) and those with strong ‘</w:t>
      </w:r>
      <w:r w:rsidRPr="00B63516">
        <w:rPr>
          <w:rFonts w:cstheme="minorHAnsi"/>
          <w:i/>
          <w:sz w:val="24"/>
          <w:szCs w:val="24"/>
        </w:rPr>
        <w:t>central specification</w:t>
      </w:r>
      <w:r w:rsidRPr="007225BA">
        <w:rPr>
          <w:rFonts w:cstheme="minorHAnsi"/>
          <w:sz w:val="24"/>
          <w:szCs w:val="24"/>
        </w:rPr>
        <w:t>’ of preferred wind development areas (Wales).</w:t>
      </w:r>
    </w:p>
    <w:p w14:paraId="21B4A507" w14:textId="77777777" w:rsidR="004F3750" w:rsidRPr="007225BA" w:rsidRDefault="004F3750" w:rsidP="00735E90">
      <w:pPr>
        <w:spacing w:line="240" w:lineRule="auto"/>
        <w:rPr>
          <w:rFonts w:cstheme="minorHAnsi"/>
          <w:sz w:val="24"/>
          <w:szCs w:val="24"/>
        </w:rPr>
      </w:pPr>
    </w:p>
    <w:p w14:paraId="2A2BB956" w14:textId="77777777" w:rsidR="004F3750" w:rsidRPr="007225BA" w:rsidRDefault="004F3750" w:rsidP="00735E90">
      <w:pPr>
        <w:spacing w:line="240" w:lineRule="auto"/>
        <w:rPr>
          <w:rFonts w:cstheme="minorHAnsi"/>
          <w:sz w:val="24"/>
          <w:szCs w:val="24"/>
        </w:rPr>
      </w:pPr>
    </w:p>
    <w:p w14:paraId="6A71F021" w14:textId="77777777" w:rsidR="004F3750" w:rsidRDefault="004F3750" w:rsidP="00735E90">
      <w:pPr>
        <w:pStyle w:val="Heading1"/>
        <w:spacing w:before="0" w:line="240" w:lineRule="auto"/>
        <w:rPr>
          <w:rFonts w:asciiTheme="minorHAnsi" w:hAnsiTheme="minorHAnsi" w:cstheme="minorHAnsi"/>
          <w:b/>
          <w:color w:val="auto"/>
          <w:sz w:val="24"/>
          <w:szCs w:val="24"/>
        </w:rPr>
      </w:pPr>
      <w:r w:rsidRPr="007225BA">
        <w:rPr>
          <w:rFonts w:asciiTheme="minorHAnsi" w:hAnsiTheme="minorHAnsi" w:cstheme="minorHAnsi"/>
          <w:b/>
          <w:color w:val="auto"/>
          <w:sz w:val="24"/>
          <w:szCs w:val="24"/>
        </w:rPr>
        <w:t>Conclusions</w:t>
      </w:r>
    </w:p>
    <w:p w14:paraId="301624AA" w14:textId="77777777" w:rsidR="00D66F53" w:rsidRPr="00D66F53" w:rsidRDefault="00D66F53" w:rsidP="00D66F53"/>
    <w:p w14:paraId="5C895F34" w14:textId="06DA4E92" w:rsidR="004F3750" w:rsidRDefault="004F3750" w:rsidP="00735E90">
      <w:pPr>
        <w:spacing w:line="240" w:lineRule="auto"/>
        <w:jc w:val="both"/>
        <w:rPr>
          <w:rFonts w:cstheme="minorHAnsi"/>
          <w:sz w:val="24"/>
          <w:szCs w:val="24"/>
        </w:rPr>
      </w:pPr>
      <w:r w:rsidRPr="007225BA">
        <w:rPr>
          <w:rFonts w:cstheme="minorHAnsi"/>
          <w:sz w:val="24"/>
          <w:szCs w:val="24"/>
        </w:rPr>
        <w:t xml:space="preserve">Our research sought to further our understanding of the effects of spatial planning approaches </w:t>
      </w:r>
      <w:r w:rsidR="009E4D7F">
        <w:rPr>
          <w:rFonts w:cstheme="minorHAnsi"/>
          <w:sz w:val="24"/>
          <w:szCs w:val="24"/>
        </w:rPr>
        <w:t>on</w:t>
      </w:r>
      <w:r w:rsidRPr="007225BA">
        <w:rPr>
          <w:rFonts w:cstheme="minorHAnsi"/>
          <w:sz w:val="24"/>
          <w:szCs w:val="24"/>
        </w:rPr>
        <w:t xml:space="preserve"> wind energy deployment</w:t>
      </w:r>
      <w:r w:rsidR="009E4D7F">
        <w:rPr>
          <w:rFonts w:cstheme="minorHAnsi"/>
          <w:sz w:val="24"/>
          <w:szCs w:val="24"/>
        </w:rPr>
        <w:t xml:space="preserve">, by examining the take-up, </w:t>
      </w:r>
      <w:proofErr w:type="gramStart"/>
      <w:r w:rsidR="009E4D7F">
        <w:rPr>
          <w:rFonts w:cstheme="minorHAnsi"/>
          <w:sz w:val="24"/>
          <w:szCs w:val="24"/>
        </w:rPr>
        <w:t>construction</w:t>
      </w:r>
      <w:proofErr w:type="gramEnd"/>
      <w:r w:rsidR="009E4D7F">
        <w:rPr>
          <w:rFonts w:cstheme="minorHAnsi"/>
          <w:sz w:val="24"/>
          <w:szCs w:val="24"/>
        </w:rPr>
        <w:t xml:space="preserve"> and mobilisation of spatial approaches in practice.</w:t>
      </w:r>
      <w:r w:rsidR="00F77BB4">
        <w:rPr>
          <w:rFonts w:cstheme="minorHAnsi"/>
          <w:sz w:val="24"/>
          <w:szCs w:val="24"/>
        </w:rPr>
        <w:t xml:space="preserve"> </w:t>
      </w:r>
      <w:r w:rsidR="009E4D7F">
        <w:rPr>
          <w:rFonts w:cstheme="minorHAnsi"/>
          <w:sz w:val="24"/>
          <w:szCs w:val="24"/>
        </w:rPr>
        <w:t>In particular, we have insisted on the importance of examining the broader modes of govern</w:t>
      </w:r>
      <w:r w:rsidR="00BE63CF">
        <w:rPr>
          <w:rFonts w:cstheme="minorHAnsi"/>
          <w:sz w:val="24"/>
          <w:szCs w:val="24"/>
        </w:rPr>
        <w:t>ing</w:t>
      </w:r>
      <w:r w:rsidR="009E4D7F">
        <w:rPr>
          <w:rFonts w:cstheme="minorHAnsi"/>
          <w:sz w:val="24"/>
          <w:szCs w:val="24"/>
        </w:rPr>
        <w:t xml:space="preserve"> in which spatial planning approaches have been enmeshed.</w:t>
      </w:r>
      <w:r w:rsidR="00F77BB4">
        <w:rPr>
          <w:rFonts w:cstheme="minorHAnsi"/>
          <w:sz w:val="24"/>
          <w:szCs w:val="24"/>
        </w:rPr>
        <w:t xml:space="preserve"> </w:t>
      </w:r>
      <w:r w:rsidRPr="007225BA">
        <w:rPr>
          <w:rFonts w:cstheme="minorHAnsi"/>
          <w:sz w:val="24"/>
          <w:szCs w:val="24"/>
        </w:rPr>
        <w:t xml:space="preserve">A key finding is that spatial planning approaches take a diversity of forms and have been constructed to fulfil different </w:t>
      </w:r>
      <w:r w:rsidR="009E4D7F">
        <w:rPr>
          <w:rFonts w:cstheme="minorHAnsi"/>
          <w:sz w:val="24"/>
          <w:szCs w:val="24"/>
        </w:rPr>
        <w:t xml:space="preserve">governance </w:t>
      </w:r>
      <w:r w:rsidRPr="007225BA">
        <w:rPr>
          <w:rFonts w:cstheme="minorHAnsi"/>
          <w:sz w:val="24"/>
          <w:szCs w:val="24"/>
        </w:rPr>
        <w:t xml:space="preserve">purposes. Understanding these purposes is integral to any coherent discussion of effectiveness, and confounds simplistic cause-effect modelling.  Across Italy and the UK, spatial planning policies and tools have been enrolled as devices to support central-state led RE growth, to respond </w:t>
      </w:r>
      <w:r w:rsidRPr="00EB50C8">
        <w:rPr>
          <w:rFonts w:cstheme="minorHAnsi"/>
          <w:i/>
          <w:sz w:val="24"/>
          <w:szCs w:val="24"/>
        </w:rPr>
        <w:t>ex post</w:t>
      </w:r>
      <w:r w:rsidRPr="007225BA">
        <w:rPr>
          <w:rFonts w:cstheme="minorHAnsi"/>
          <w:sz w:val="24"/>
          <w:szCs w:val="24"/>
        </w:rPr>
        <w:t xml:space="preserve"> to emergent cumulative impacts, to constrain wind energy deployment, and to orchestrate </w:t>
      </w:r>
      <w:proofErr w:type="gramStart"/>
      <w:r w:rsidRPr="007225BA">
        <w:rPr>
          <w:rFonts w:cstheme="minorHAnsi"/>
          <w:sz w:val="24"/>
          <w:szCs w:val="24"/>
        </w:rPr>
        <w:t>environmentally</w:t>
      </w:r>
      <w:r w:rsidR="009E4D7F">
        <w:rPr>
          <w:rFonts w:cstheme="minorHAnsi"/>
          <w:sz w:val="24"/>
          <w:szCs w:val="24"/>
        </w:rPr>
        <w:t>-</w:t>
      </w:r>
      <w:r w:rsidRPr="007225BA">
        <w:rPr>
          <w:rFonts w:cstheme="minorHAnsi"/>
          <w:sz w:val="24"/>
          <w:szCs w:val="24"/>
        </w:rPr>
        <w:t>desirable</w:t>
      </w:r>
      <w:proofErr w:type="gramEnd"/>
      <w:r w:rsidRPr="007225BA">
        <w:rPr>
          <w:rFonts w:cstheme="minorHAnsi"/>
          <w:sz w:val="24"/>
          <w:szCs w:val="24"/>
        </w:rPr>
        <w:t xml:space="preserve"> spatial configurations. Moreover, states may seek </w:t>
      </w:r>
      <w:r w:rsidRPr="007225BA">
        <w:rPr>
          <w:rFonts w:cstheme="minorHAnsi"/>
          <w:sz w:val="24"/>
          <w:szCs w:val="24"/>
        </w:rPr>
        <w:lastRenderedPageBreak/>
        <w:t xml:space="preserve">to </w:t>
      </w:r>
      <w:r w:rsidR="00A0731C">
        <w:rPr>
          <w:rFonts w:cstheme="minorHAnsi"/>
          <w:sz w:val="24"/>
          <w:szCs w:val="24"/>
        </w:rPr>
        <w:t xml:space="preserve">reconcile multiple goals through the use of spatial planning approaches, and the desired purposes may shift over time. The diversity of governance purposes that spatial planning approaches are </w:t>
      </w:r>
      <w:r w:rsidR="007034FD">
        <w:rPr>
          <w:rFonts w:cstheme="minorHAnsi"/>
          <w:sz w:val="24"/>
          <w:szCs w:val="24"/>
        </w:rPr>
        <w:t>us</w:t>
      </w:r>
      <w:r w:rsidR="00A0731C">
        <w:rPr>
          <w:rFonts w:cstheme="minorHAnsi"/>
          <w:sz w:val="24"/>
          <w:szCs w:val="24"/>
        </w:rPr>
        <w:t xml:space="preserve">ed to perform explains why </w:t>
      </w:r>
      <w:r w:rsidRPr="007225BA">
        <w:rPr>
          <w:rFonts w:cstheme="minorHAnsi"/>
          <w:sz w:val="24"/>
          <w:szCs w:val="24"/>
        </w:rPr>
        <w:t>clear ‘generalisable’ knowledge of the effects of spatial planning approaches is elusive.</w:t>
      </w:r>
    </w:p>
    <w:p w14:paraId="1D1638BE" w14:textId="77777777" w:rsidR="00A118F7" w:rsidRDefault="00A118F7" w:rsidP="00735E90">
      <w:pPr>
        <w:spacing w:line="240" w:lineRule="auto"/>
        <w:jc w:val="both"/>
        <w:rPr>
          <w:rFonts w:cstheme="minorHAnsi"/>
          <w:iCs/>
          <w:sz w:val="24"/>
          <w:szCs w:val="24"/>
          <w:lang w:eastAsia="en-GB"/>
        </w:rPr>
      </w:pPr>
    </w:p>
    <w:p w14:paraId="788B853F" w14:textId="77777777" w:rsidR="00A0731C" w:rsidRDefault="00A0731C" w:rsidP="00735E90">
      <w:pPr>
        <w:spacing w:line="240" w:lineRule="auto"/>
        <w:jc w:val="both"/>
        <w:rPr>
          <w:rFonts w:cstheme="minorHAnsi"/>
          <w:iCs/>
          <w:sz w:val="24"/>
          <w:szCs w:val="24"/>
          <w:lang w:eastAsia="en-GB"/>
        </w:rPr>
      </w:pPr>
      <w:r>
        <w:rPr>
          <w:rFonts w:cstheme="minorHAnsi"/>
          <w:iCs/>
          <w:sz w:val="24"/>
          <w:szCs w:val="24"/>
          <w:lang w:eastAsia="en-GB"/>
        </w:rPr>
        <w:t>Our research in Italy and the UK generated a series of archetypal spatial planning approaches (in Table 3) that reflect this diversity of form and purposes. We do not claim that this set is exhaustive</w:t>
      </w:r>
      <w:r w:rsidR="00701DAA">
        <w:rPr>
          <w:rFonts w:cstheme="minorHAnsi"/>
          <w:iCs/>
          <w:sz w:val="24"/>
          <w:szCs w:val="24"/>
          <w:lang w:eastAsia="en-GB"/>
        </w:rPr>
        <w:t>:</w:t>
      </w:r>
      <w:r>
        <w:rPr>
          <w:rFonts w:cstheme="minorHAnsi"/>
          <w:iCs/>
          <w:sz w:val="24"/>
          <w:szCs w:val="24"/>
          <w:lang w:eastAsia="en-GB"/>
        </w:rPr>
        <w:t xml:space="preserve"> governments may strike an almost infinite variety of different compromises between the key elements that constitute spatial planning approaches (Table 1). Nevertheless it is possible to discern these archetypes in other settings: </w:t>
      </w:r>
      <w:r w:rsidR="00701DAA">
        <w:rPr>
          <w:rFonts w:cstheme="minorHAnsi"/>
          <w:iCs/>
          <w:sz w:val="24"/>
          <w:szCs w:val="24"/>
          <w:lang w:eastAsia="en-GB"/>
        </w:rPr>
        <w:t xml:space="preserve">‘developer siting flexibility’ characterises the limited state interest in spatial steering of wind farm siting in Texas (Bohn and Lant 2009); spatial planning approaches in the Republic of Ireland were rolled out across the nation using ‘meta-governance by methodology’ (Gonzalez et al 2016); the high level of local veto in Sweden’s regional zoning system (Lauf et al 2019) gives it features of ‘local spatial control’. </w:t>
      </w:r>
      <w:r w:rsidR="003A5216">
        <w:rPr>
          <w:rFonts w:cstheme="minorHAnsi"/>
          <w:iCs/>
          <w:sz w:val="24"/>
          <w:szCs w:val="24"/>
          <w:lang w:eastAsia="en-GB"/>
        </w:rPr>
        <w:t>However, it is the components of our analytical approach that we suggest has value for further research, both in other geographical settings and for other spatially extensive energy technologies, like off-shore wind and field-scale solar.</w:t>
      </w:r>
    </w:p>
    <w:p w14:paraId="1B83B2E2" w14:textId="77777777" w:rsidR="003A5216" w:rsidRDefault="003A5216" w:rsidP="00735E90">
      <w:pPr>
        <w:spacing w:line="240" w:lineRule="auto"/>
        <w:jc w:val="both"/>
        <w:rPr>
          <w:rFonts w:cstheme="minorHAnsi"/>
          <w:iCs/>
          <w:sz w:val="24"/>
          <w:szCs w:val="24"/>
          <w:lang w:eastAsia="en-GB"/>
        </w:rPr>
      </w:pPr>
    </w:p>
    <w:p w14:paraId="4ED23C92" w14:textId="256E0797" w:rsidR="00316A4E" w:rsidRDefault="002657E9" w:rsidP="00735E90">
      <w:pPr>
        <w:spacing w:line="240" w:lineRule="auto"/>
        <w:jc w:val="both"/>
        <w:rPr>
          <w:rFonts w:cstheme="minorHAnsi"/>
          <w:sz w:val="24"/>
          <w:szCs w:val="24"/>
        </w:rPr>
      </w:pPr>
      <w:r>
        <w:rPr>
          <w:rFonts w:cstheme="minorHAnsi"/>
          <w:iCs/>
          <w:sz w:val="24"/>
          <w:szCs w:val="24"/>
          <w:lang w:eastAsia="en-GB"/>
        </w:rPr>
        <w:t>The first component of our</w:t>
      </w:r>
      <w:r w:rsidR="003A5216">
        <w:rPr>
          <w:rFonts w:cstheme="minorHAnsi"/>
          <w:iCs/>
          <w:sz w:val="24"/>
          <w:szCs w:val="24"/>
          <w:lang w:eastAsia="en-GB"/>
        </w:rPr>
        <w:t xml:space="preserve"> approach </w:t>
      </w:r>
      <w:r w:rsidR="003E5224">
        <w:rPr>
          <w:rFonts w:cstheme="minorHAnsi"/>
          <w:iCs/>
          <w:sz w:val="24"/>
          <w:szCs w:val="24"/>
          <w:lang w:eastAsia="en-GB"/>
        </w:rPr>
        <w:t xml:space="preserve">highlights </w:t>
      </w:r>
      <w:r w:rsidR="003A5216">
        <w:rPr>
          <w:rFonts w:cstheme="minorHAnsi"/>
          <w:iCs/>
          <w:sz w:val="24"/>
          <w:szCs w:val="24"/>
          <w:lang w:eastAsia="en-GB"/>
        </w:rPr>
        <w:t xml:space="preserve">the importance of studying spatial planning approaches as part of wider modes of governing, and </w:t>
      </w:r>
      <w:r w:rsidR="00316A4E">
        <w:rPr>
          <w:rFonts w:cstheme="minorHAnsi"/>
          <w:iCs/>
          <w:sz w:val="24"/>
          <w:szCs w:val="24"/>
          <w:lang w:eastAsia="en-GB"/>
        </w:rPr>
        <w:t xml:space="preserve">the need to be alert to the governance purpose for which they are utilised. </w:t>
      </w:r>
      <w:r>
        <w:rPr>
          <w:rFonts w:cstheme="minorHAnsi"/>
          <w:iCs/>
          <w:sz w:val="24"/>
          <w:szCs w:val="24"/>
          <w:lang w:eastAsia="en-GB"/>
        </w:rPr>
        <w:t>The s</w:t>
      </w:r>
      <w:r w:rsidR="00A73C7B">
        <w:rPr>
          <w:rFonts w:cstheme="minorHAnsi"/>
          <w:iCs/>
          <w:sz w:val="24"/>
          <w:szCs w:val="24"/>
          <w:lang w:eastAsia="en-GB"/>
        </w:rPr>
        <w:t>econd</w:t>
      </w:r>
      <w:r>
        <w:rPr>
          <w:rFonts w:cstheme="minorHAnsi"/>
          <w:iCs/>
          <w:sz w:val="24"/>
          <w:szCs w:val="24"/>
          <w:lang w:eastAsia="en-GB"/>
        </w:rPr>
        <w:t xml:space="preserve"> component is to</w:t>
      </w:r>
      <w:r w:rsidR="00316A4E">
        <w:rPr>
          <w:rFonts w:cstheme="minorHAnsi"/>
          <w:iCs/>
          <w:sz w:val="24"/>
          <w:szCs w:val="24"/>
          <w:lang w:eastAsia="en-GB"/>
        </w:rPr>
        <w:t xml:space="preserve"> recognise th</w:t>
      </w:r>
      <w:r>
        <w:rPr>
          <w:rFonts w:cstheme="minorHAnsi"/>
          <w:sz w:val="24"/>
          <w:szCs w:val="24"/>
        </w:rPr>
        <w:t xml:space="preserve">e </w:t>
      </w:r>
      <w:r w:rsidR="00316A4E">
        <w:rPr>
          <w:rFonts w:cstheme="minorHAnsi"/>
          <w:sz w:val="24"/>
          <w:szCs w:val="24"/>
        </w:rPr>
        <w:t xml:space="preserve">unavoidable </w:t>
      </w:r>
      <w:r w:rsidR="004F3750" w:rsidRPr="007225BA">
        <w:rPr>
          <w:rFonts w:cstheme="minorHAnsi"/>
          <w:sz w:val="24"/>
          <w:szCs w:val="24"/>
        </w:rPr>
        <w:t xml:space="preserve">compromises entailed in </w:t>
      </w:r>
      <w:r w:rsidR="00B63516">
        <w:rPr>
          <w:rFonts w:cstheme="minorHAnsi"/>
          <w:sz w:val="24"/>
          <w:szCs w:val="24"/>
        </w:rPr>
        <w:t>co</w:t>
      </w:r>
      <w:r w:rsidR="00316A4E">
        <w:rPr>
          <w:rFonts w:cstheme="minorHAnsi"/>
          <w:sz w:val="24"/>
          <w:szCs w:val="24"/>
        </w:rPr>
        <w:t>nstructing</w:t>
      </w:r>
      <w:r w:rsidR="00B63516">
        <w:rPr>
          <w:rFonts w:cstheme="minorHAnsi"/>
          <w:sz w:val="24"/>
          <w:szCs w:val="24"/>
        </w:rPr>
        <w:t xml:space="preserve"> spatial planning approaches</w:t>
      </w:r>
      <w:r w:rsidR="00316A4E">
        <w:rPr>
          <w:rFonts w:cstheme="minorHAnsi"/>
          <w:sz w:val="24"/>
          <w:szCs w:val="24"/>
        </w:rPr>
        <w:t>, which embrace the</w:t>
      </w:r>
      <w:r w:rsidR="004F3750" w:rsidRPr="007225BA">
        <w:rPr>
          <w:rFonts w:cstheme="minorHAnsi"/>
          <w:sz w:val="24"/>
          <w:szCs w:val="24"/>
        </w:rPr>
        <w:t xml:space="preserve"> socio-technical properties</w:t>
      </w:r>
      <w:r w:rsidR="00316A4E">
        <w:rPr>
          <w:rFonts w:cstheme="minorHAnsi"/>
          <w:sz w:val="24"/>
          <w:szCs w:val="24"/>
        </w:rPr>
        <w:t xml:space="preserve"> of any spatial mapping methodologies but also</w:t>
      </w:r>
      <w:r w:rsidR="004F3750" w:rsidRPr="007225BA">
        <w:rPr>
          <w:rFonts w:cstheme="minorHAnsi"/>
          <w:sz w:val="24"/>
          <w:szCs w:val="24"/>
        </w:rPr>
        <w:t xml:space="preserve"> choice of scale, </w:t>
      </w:r>
      <w:r w:rsidR="00316A4E">
        <w:rPr>
          <w:rFonts w:cstheme="minorHAnsi"/>
          <w:sz w:val="24"/>
          <w:szCs w:val="24"/>
        </w:rPr>
        <w:t xml:space="preserve">forms of public participation and other aspect of </w:t>
      </w:r>
      <w:r w:rsidR="004F3750" w:rsidRPr="007225BA">
        <w:rPr>
          <w:rFonts w:cstheme="minorHAnsi"/>
          <w:sz w:val="24"/>
          <w:szCs w:val="24"/>
        </w:rPr>
        <w:t xml:space="preserve">actor alignment. </w:t>
      </w:r>
      <w:r w:rsidR="00316A4E">
        <w:rPr>
          <w:rFonts w:cstheme="minorHAnsi"/>
          <w:sz w:val="24"/>
          <w:szCs w:val="24"/>
        </w:rPr>
        <w:t xml:space="preserve">By being attentive to these aspects, our research showed that </w:t>
      </w:r>
      <w:r w:rsidR="004F3750" w:rsidRPr="007225BA">
        <w:rPr>
          <w:rFonts w:cstheme="minorHAnsi"/>
          <w:sz w:val="24"/>
          <w:szCs w:val="24"/>
        </w:rPr>
        <w:t>although much effort is aimed at developing spatial planning techniques, many of the challenges that beset spatial planning approaches in practice arise from difficult-to-resolve governance dilemmas around scale</w:t>
      </w:r>
      <w:r>
        <w:rPr>
          <w:rFonts w:cstheme="minorHAnsi"/>
          <w:sz w:val="24"/>
          <w:szCs w:val="24"/>
        </w:rPr>
        <w:t xml:space="preserve"> and</w:t>
      </w:r>
      <w:r w:rsidR="004F3750" w:rsidRPr="007225BA">
        <w:rPr>
          <w:rFonts w:cstheme="minorHAnsi"/>
          <w:sz w:val="24"/>
          <w:szCs w:val="24"/>
        </w:rPr>
        <w:t xml:space="preserve"> national-to-local coordinatio</w:t>
      </w:r>
      <w:r>
        <w:rPr>
          <w:rFonts w:cstheme="minorHAnsi"/>
          <w:sz w:val="24"/>
          <w:szCs w:val="24"/>
        </w:rPr>
        <w:t>n</w:t>
      </w:r>
      <w:r w:rsidR="004F3750" w:rsidRPr="007225BA">
        <w:rPr>
          <w:rFonts w:cstheme="minorHAnsi"/>
          <w:sz w:val="24"/>
          <w:szCs w:val="24"/>
        </w:rPr>
        <w:t xml:space="preserve"> </w:t>
      </w:r>
      <w:r w:rsidR="00316A4E">
        <w:rPr>
          <w:rFonts w:cstheme="minorHAnsi"/>
          <w:sz w:val="24"/>
          <w:szCs w:val="24"/>
        </w:rPr>
        <w:t>T</w:t>
      </w:r>
      <w:r w:rsidR="00834613">
        <w:rPr>
          <w:rFonts w:cstheme="minorHAnsi"/>
          <w:sz w:val="24"/>
          <w:szCs w:val="24"/>
        </w:rPr>
        <w:t>h</w:t>
      </w:r>
      <w:r>
        <w:rPr>
          <w:rFonts w:cstheme="minorHAnsi"/>
          <w:sz w:val="24"/>
          <w:szCs w:val="24"/>
        </w:rPr>
        <w:t>e third component of our</w:t>
      </w:r>
      <w:r w:rsidR="00834613">
        <w:rPr>
          <w:rFonts w:cstheme="minorHAnsi"/>
          <w:sz w:val="24"/>
          <w:szCs w:val="24"/>
        </w:rPr>
        <w:t xml:space="preserve"> </w:t>
      </w:r>
      <w:r w:rsidR="00316A4E">
        <w:rPr>
          <w:rFonts w:cstheme="minorHAnsi"/>
          <w:sz w:val="24"/>
          <w:szCs w:val="24"/>
        </w:rPr>
        <w:t xml:space="preserve">approach </w:t>
      </w:r>
      <w:r>
        <w:rPr>
          <w:rFonts w:cstheme="minorHAnsi"/>
          <w:sz w:val="24"/>
          <w:szCs w:val="24"/>
        </w:rPr>
        <w:t xml:space="preserve">is to establish that </w:t>
      </w:r>
      <w:r w:rsidR="00316A4E">
        <w:rPr>
          <w:rFonts w:cstheme="minorHAnsi"/>
          <w:sz w:val="24"/>
          <w:szCs w:val="24"/>
        </w:rPr>
        <w:t>the effects of spatial planning approaches a</w:t>
      </w:r>
      <w:r w:rsidR="00FE1BCC">
        <w:rPr>
          <w:rFonts w:cstheme="minorHAnsi"/>
          <w:sz w:val="24"/>
          <w:szCs w:val="24"/>
        </w:rPr>
        <w:t>re</w:t>
      </w:r>
      <w:r w:rsidR="00316A4E">
        <w:rPr>
          <w:rFonts w:cstheme="minorHAnsi"/>
          <w:sz w:val="24"/>
          <w:szCs w:val="24"/>
        </w:rPr>
        <w:t xml:space="preserve"> the joint product of the mode of governance and the </w:t>
      </w:r>
      <w:r>
        <w:rPr>
          <w:rFonts w:cstheme="minorHAnsi"/>
          <w:sz w:val="24"/>
          <w:szCs w:val="24"/>
        </w:rPr>
        <w:t xml:space="preserve">social, political and environmental </w:t>
      </w:r>
      <w:r w:rsidR="00316A4E">
        <w:rPr>
          <w:rFonts w:cstheme="minorHAnsi"/>
          <w:sz w:val="24"/>
          <w:szCs w:val="24"/>
        </w:rPr>
        <w:t>context in which it is deployed. O</w:t>
      </w:r>
      <w:r w:rsidR="004F3750" w:rsidRPr="007225BA">
        <w:rPr>
          <w:rFonts w:cstheme="minorHAnsi"/>
          <w:sz w:val="24"/>
          <w:szCs w:val="24"/>
        </w:rPr>
        <w:t xml:space="preserve">ur </w:t>
      </w:r>
      <w:r w:rsidR="00EF7711">
        <w:rPr>
          <w:rFonts w:cstheme="minorHAnsi"/>
          <w:sz w:val="24"/>
          <w:szCs w:val="24"/>
        </w:rPr>
        <w:t xml:space="preserve">research </w:t>
      </w:r>
      <w:r w:rsidR="004F3750" w:rsidRPr="007225BA">
        <w:rPr>
          <w:rFonts w:cstheme="minorHAnsi"/>
          <w:sz w:val="24"/>
          <w:szCs w:val="24"/>
        </w:rPr>
        <w:t xml:space="preserve">has shown how despite their inevitable selectiveness and contestable compromises, spatial planning approaches can ‘work’ where the context strongly resembles the simplified image of it constructed by </w:t>
      </w:r>
      <w:proofErr w:type="gramStart"/>
      <w:r w:rsidR="004F3750" w:rsidRPr="007225BA">
        <w:rPr>
          <w:rFonts w:cstheme="minorHAnsi"/>
          <w:sz w:val="24"/>
          <w:szCs w:val="24"/>
        </w:rPr>
        <w:t>policy-makers</w:t>
      </w:r>
      <w:proofErr w:type="gramEnd"/>
      <w:r w:rsidR="004F3750" w:rsidRPr="007225BA">
        <w:rPr>
          <w:rFonts w:cstheme="minorHAnsi"/>
          <w:sz w:val="24"/>
          <w:szCs w:val="24"/>
        </w:rPr>
        <w:t xml:space="preserve">, </w:t>
      </w:r>
      <w:r w:rsidR="00316A4E">
        <w:rPr>
          <w:rFonts w:cstheme="minorHAnsi"/>
          <w:sz w:val="24"/>
          <w:szCs w:val="24"/>
        </w:rPr>
        <w:t>such</w:t>
      </w:r>
      <w:r w:rsidR="004F3750" w:rsidRPr="007225BA">
        <w:rPr>
          <w:rFonts w:cstheme="minorHAnsi"/>
          <w:sz w:val="24"/>
          <w:szCs w:val="24"/>
        </w:rPr>
        <w:t xml:space="preserve"> that dominant local actors (developers, publics) accept the various compromises involved</w:t>
      </w:r>
      <w:r w:rsidR="00316A4E">
        <w:rPr>
          <w:rFonts w:cstheme="minorHAnsi"/>
          <w:sz w:val="24"/>
          <w:szCs w:val="24"/>
        </w:rPr>
        <w:t xml:space="preserve"> and do not foment resistance around aspects that are marginalised.</w:t>
      </w:r>
    </w:p>
    <w:p w14:paraId="726A7A4A" w14:textId="77777777" w:rsidR="00316A4E" w:rsidRDefault="00316A4E" w:rsidP="00735E90">
      <w:pPr>
        <w:spacing w:line="240" w:lineRule="auto"/>
        <w:jc w:val="both"/>
        <w:rPr>
          <w:rFonts w:cstheme="minorHAnsi"/>
          <w:sz w:val="24"/>
          <w:szCs w:val="24"/>
        </w:rPr>
      </w:pPr>
    </w:p>
    <w:p w14:paraId="5EEA2D21" w14:textId="39028840" w:rsidR="009C6EA6" w:rsidRPr="00767A26" w:rsidRDefault="00316A4E">
      <w:pPr>
        <w:spacing w:after="160" w:line="259" w:lineRule="auto"/>
        <w:rPr>
          <w:rFonts w:cstheme="minorHAnsi"/>
          <w:sz w:val="24"/>
          <w:szCs w:val="24"/>
        </w:rPr>
      </w:pPr>
      <w:r>
        <w:rPr>
          <w:rFonts w:cstheme="minorHAnsi"/>
          <w:sz w:val="24"/>
          <w:szCs w:val="24"/>
        </w:rPr>
        <w:t>Our research also has relevan</w:t>
      </w:r>
      <w:r w:rsidR="00390990">
        <w:rPr>
          <w:rFonts w:cstheme="minorHAnsi"/>
          <w:sz w:val="24"/>
          <w:szCs w:val="24"/>
        </w:rPr>
        <w:t>ce</w:t>
      </w:r>
      <w:r>
        <w:rPr>
          <w:rFonts w:cstheme="minorHAnsi"/>
          <w:sz w:val="24"/>
          <w:szCs w:val="24"/>
        </w:rPr>
        <w:t xml:space="preserve"> for practitioners and </w:t>
      </w:r>
      <w:proofErr w:type="gramStart"/>
      <w:r>
        <w:rPr>
          <w:rFonts w:cstheme="minorHAnsi"/>
          <w:sz w:val="24"/>
          <w:szCs w:val="24"/>
        </w:rPr>
        <w:t>policy-makers</w:t>
      </w:r>
      <w:proofErr w:type="gramEnd"/>
      <w:r>
        <w:rPr>
          <w:rFonts w:cstheme="minorHAnsi"/>
          <w:sz w:val="24"/>
          <w:szCs w:val="24"/>
        </w:rPr>
        <w:t xml:space="preserve">. It shows the need for </w:t>
      </w:r>
      <w:r w:rsidRPr="007225BA">
        <w:rPr>
          <w:rFonts w:cstheme="minorHAnsi"/>
          <w:sz w:val="24"/>
          <w:szCs w:val="24"/>
        </w:rPr>
        <w:t>greater nuance in making claims for spatial planning approaches</w:t>
      </w:r>
      <w:r w:rsidR="00BE63CF">
        <w:rPr>
          <w:rFonts w:cstheme="minorHAnsi"/>
          <w:sz w:val="24"/>
          <w:szCs w:val="24"/>
        </w:rPr>
        <w:t>. S</w:t>
      </w:r>
      <w:r w:rsidRPr="007225BA">
        <w:rPr>
          <w:rFonts w:cstheme="minorHAnsi"/>
          <w:sz w:val="24"/>
          <w:szCs w:val="24"/>
        </w:rPr>
        <w:t>peed, higher volumes of RE delivered and avoidance of environmental conflicts are not all immediately achievable at the same time</w:t>
      </w:r>
      <w:r w:rsidR="00BE63CF">
        <w:rPr>
          <w:rFonts w:cstheme="minorHAnsi"/>
          <w:sz w:val="24"/>
          <w:szCs w:val="24"/>
        </w:rPr>
        <w:t>. N</w:t>
      </w:r>
      <w:r w:rsidRPr="007225BA">
        <w:rPr>
          <w:rFonts w:cstheme="minorHAnsi"/>
          <w:sz w:val="24"/>
          <w:szCs w:val="24"/>
        </w:rPr>
        <w:t>or are they outcomes that automatically arise from strongly directive spatial planning approaches.</w:t>
      </w:r>
      <w:r>
        <w:rPr>
          <w:rFonts w:cstheme="minorHAnsi"/>
          <w:sz w:val="24"/>
          <w:szCs w:val="24"/>
        </w:rPr>
        <w:t xml:space="preserve"> The contextual nature of </w:t>
      </w:r>
      <w:r w:rsidR="00BE63CF">
        <w:rPr>
          <w:rFonts w:cstheme="minorHAnsi"/>
          <w:sz w:val="24"/>
          <w:szCs w:val="24"/>
        </w:rPr>
        <w:t xml:space="preserve">the </w:t>
      </w:r>
      <w:r>
        <w:rPr>
          <w:rFonts w:cstheme="minorHAnsi"/>
          <w:sz w:val="24"/>
          <w:szCs w:val="24"/>
        </w:rPr>
        <w:t xml:space="preserve">efficacy </w:t>
      </w:r>
      <w:r w:rsidR="00BE63CF">
        <w:rPr>
          <w:rFonts w:cstheme="minorHAnsi"/>
          <w:sz w:val="24"/>
          <w:szCs w:val="24"/>
        </w:rPr>
        <w:t xml:space="preserve">of spatial planning approaches </w:t>
      </w:r>
      <w:r>
        <w:rPr>
          <w:rFonts w:cstheme="minorHAnsi"/>
          <w:sz w:val="24"/>
          <w:szCs w:val="24"/>
        </w:rPr>
        <w:t>offers a warning against the easy transfer of ‘good practice’</w:t>
      </w:r>
      <w:r w:rsidR="00BE63CF">
        <w:rPr>
          <w:rFonts w:cstheme="minorHAnsi"/>
          <w:sz w:val="24"/>
          <w:szCs w:val="24"/>
        </w:rPr>
        <w:t xml:space="preserve"> from other settings</w:t>
      </w:r>
      <w:r>
        <w:rPr>
          <w:rFonts w:cstheme="minorHAnsi"/>
          <w:sz w:val="24"/>
          <w:szCs w:val="24"/>
        </w:rPr>
        <w:t xml:space="preserve">. </w:t>
      </w:r>
      <w:r w:rsidR="002A764D">
        <w:rPr>
          <w:rFonts w:cstheme="minorHAnsi"/>
          <w:sz w:val="24"/>
          <w:szCs w:val="24"/>
        </w:rPr>
        <w:t>Our research also identified factors tha</w:t>
      </w:r>
      <w:r w:rsidR="002657E9">
        <w:rPr>
          <w:rFonts w:cstheme="minorHAnsi"/>
          <w:sz w:val="24"/>
          <w:szCs w:val="24"/>
        </w:rPr>
        <w:t xml:space="preserve">t </w:t>
      </w:r>
      <w:r w:rsidR="004F3750" w:rsidRPr="007225BA">
        <w:rPr>
          <w:rFonts w:cstheme="minorHAnsi"/>
          <w:sz w:val="24"/>
          <w:szCs w:val="24"/>
        </w:rPr>
        <w:t xml:space="preserve">repeatedly </w:t>
      </w:r>
      <w:r w:rsidR="002A764D">
        <w:rPr>
          <w:rFonts w:cstheme="minorHAnsi"/>
          <w:sz w:val="24"/>
          <w:szCs w:val="24"/>
        </w:rPr>
        <w:t>undermined the efficacy</w:t>
      </w:r>
      <w:r w:rsidR="004F3750" w:rsidRPr="007225BA">
        <w:rPr>
          <w:rFonts w:cstheme="minorHAnsi"/>
          <w:sz w:val="24"/>
          <w:szCs w:val="24"/>
        </w:rPr>
        <w:t xml:space="preserve"> of spatial planning approaches</w:t>
      </w:r>
      <w:r w:rsidR="002A764D">
        <w:rPr>
          <w:rFonts w:cstheme="minorHAnsi"/>
          <w:sz w:val="24"/>
          <w:szCs w:val="24"/>
        </w:rPr>
        <w:t>:</w:t>
      </w:r>
      <w:r w:rsidR="004F3750" w:rsidRPr="007225BA">
        <w:rPr>
          <w:rFonts w:cstheme="minorHAnsi"/>
          <w:sz w:val="24"/>
          <w:szCs w:val="24"/>
        </w:rPr>
        <w:t xml:space="preserve"> where promoters of spatial policies do not control project consenting, </w:t>
      </w:r>
      <w:r w:rsidR="002A764D">
        <w:rPr>
          <w:rFonts w:cstheme="minorHAnsi"/>
          <w:sz w:val="24"/>
          <w:szCs w:val="24"/>
        </w:rPr>
        <w:t>and</w:t>
      </w:r>
      <w:r w:rsidR="004F3750" w:rsidRPr="007225BA">
        <w:rPr>
          <w:rFonts w:cstheme="minorHAnsi"/>
          <w:sz w:val="24"/>
          <w:szCs w:val="24"/>
        </w:rPr>
        <w:t xml:space="preserve"> where grid </w:t>
      </w:r>
      <w:r w:rsidR="00ED5E91">
        <w:rPr>
          <w:rFonts w:cstheme="minorHAnsi"/>
          <w:sz w:val="24"/>
          <w:szCs w:val="24"/>
        </w:rPr>
        <w:t xml:space="preserve">network </w:t>
      </w:r>
      <w:r w:rsidR="004F3750" w:rsidRPr="007225BA">
        <w:rPr>
          <w:rFonts w:cstheme="minorHAnsi"/>
          <w:sz w:val="24"/>
          <w:szCs w:val="24"/>
        </w:rPr>
        <w:t xml:space="preserve">capacity is ignored. Neither are matters of ‘better spatial analysis </w:t>
      </w:r>
      <w:r w:rsidR="004F3750" w:rsidRPr="007225BA">
        <w:rPr>
          <w:rFonts w:cstheme="minorHAnsi"/>
          <w:sz w:val="24"/>
          <w:szCs w:val="24"/>
        </w:rPr>
        <w:lastRenderedPageBreak/>
        <w:t>technique’</w:t>
      </w:r>
      <w:r w:rsidR="002A764D">
        <w:rPr>
          <w:rFonts w:cstheme="minorHAnsi"/>
          <w:sz w:val="24"/>
          <w:szCs w:val="24"/>
        </w:rPr>
        <w:t xml:space="preserve"> and practitioners, as well as analysts of spatial planning approaches, would be well-advised to give close attention to these governance </w:t>
      </w:r>
      <w:r w:rsidR="002A764D" w:rsidRPr="00767A26">
        <w:rPr>
          <w:rFonts w:cstheme="minorHAnsi"/>
          <w:sz w:val="24"/>
          <w:szCs w:val="24"/>
        </w:rPr>
        <w:t>issue</w:t>
      </w:r>
      <w:r w:rsidR="00767A26" w:rsidRPr="00767A26">
        <w:rPr>
          <w:rFonts w:cstheme="minorHAnsi"/>
          <w:sz w:val="24"/>
          <w:szCs w:val="24"/>
        </w:rPr>
        <w:t>s.</w:t>
      </w:r>
    </w:p>
    <w:p w14:paraId="3131D019" w14:textId="7D65580D" w:rsidR="00767A26" w:rsidRDefault="00767A26">
      <w:pPr>
        <w:spacing w:after="160" w:line="259" w:lineRule="auto"/>
        <w:rPr>
          <w:rFonts w:cstheme="minorHAnsi"/>
          <w:b/>
          <w:sz w:val="24"/>
          <w:szCs w:val="24"/>
        </w:rPr>
      </w:pPr>
      <w:r>
        <w:rPr>
          <w:rFonts w:cstheme="minorHAnsi"/>
          <w:b/>
          <w:sz w:val="24"/>
          <w:szCs w:val="24"/>
        </w:rPr>
        <w:br w:type="page"/>
      </w:r>
    </w:p>
    <w:p w14:paraId="58D23EAD" w14:textId="77777777" w:rsidR="004F3750" w:rsidRPr="007225BA" w:rsidRDefault="004F3750" w:rsidP="007225BA">
      <w:pPr>
        <w:pStyle w:val="Heading1"/>
        <w:spacing w:line="240" w:lineRule="auto"/>
        <w:rPr>
          <w:rFonts w:asciiTheme="minorHAnsi" w:hAnsiTheme="minorHAnsi" w:cstheme="minorHAnsi"/>
          <w:b/>
          <w:color w:val="auto"/>
          <w:sz w:val="24"/>
          <w:szCs w:val="24"/>
        </w:rPr>
      </w:pPr>
      <w:r w:rsidRPr="007225BA">
        <w:rPr>
          <w:rFonts w:asciiTheme="minorHAnsi" w:hAnsiTheme="minorHAnsi" w:cstheme="minorHAnsi"/>
          <w:b/>
          <w:color w:val="auto"/>
          <w:sz w:val="24"/>
          <w:szCs w:val="24"/>
        </w:rPr>
        <w:lastRenderedPageBreak/>
        <w:t>References</w:t>
      </w:r>
    </w:p>
    <w:p w14:paraId="14BB5E13"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Alberti, V., De Ioris, D., De Pascali, P., Di Pasqua, G. &amp; Reginaldi, M. 2015. L'energia nelle trasformazioni del territorio. Ricerche su tecnologie e governance dell'energia nella pianificazione territoriale, Milano, Franco Angeli.</w:t>
      </w:r>
    </w:p>
    <w:p w14:paraId="7314AF9A"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ARTI 2008. Le energie rinnovabili in Puglia. Quaderni Arti. Bari: Agenzia Regionale per la tecnologia e l'innovazione.</w:t>
      </w:r>
    </w:p>
    <w:p w14:paraId="7BA1A9B1" w14:textId="77777777" w:rsidR="00D82E73" w:rsidRPr="00D0036F" w:rsidRDefault="0044719E" w:rsidP="007225BA">
      <w:pPr>
        <w:pStyle w:val="EndNoteBibliography"/>
        <w:spacing w:before="240"/>
        <w:ind w:left="720" w:hanging="720"/>
        <w:rPr>
          <w:rFonts w:asciiTheme="minorHAnsi" w:hAnsiTheme="minorHAnsi" w:cstheme="minorHAnsi"/>
          <w:sz w:val="24"/>
          <w:szCs w:val="24"/>
        </w:rPr>
      </w:pPr>
      <w:r>
        <w:rPr>
          <w:rFonts w:asciiTheme="minorHAnsi" w:hAnsiTheme="minorHAnsi" w:cstheme="minorHAnsi"/>
          <w:sz w:val="24"/>
          <w:szCs w:val="24"/>
        </w:rPr>
        <w:t>BEIS (2020)</w:t>
      </w:r>
      <w:r w:rsidR="00D82E73" w:rsidRPr="007225BA">
        <w:rPr>
          <w:rFonts w:asciiTheme="minorHAnsi" w:hAnsiTheme="minorHAnsi" w:cstheme="minorHAnsi"/>
          <w:sz w:val="24"/>
          <w:szCs w:val="24"/>
        </w:rPr>
        <w:t xml:space="preserve"> Regional Statistics 2003-2019: Installed Capacity and Generation. London: Department for Business, Energy &amp; Industrial Strategy.</w:t>
      </w:r>
      <w:r w:rsidR="0050433A" w:rsidRPr="0050433A">
        <w:rPr>
          <w:rFonts w:asciiTheme="minorHAnsi" w:hAnsiTheme="minorHAnsi" w:cs="Times New Roman"/>
          <w:sz w:val="24"/>
          <w:szCs w:val="24"/>
        </w:rPr>
        <w:t xml:space="preserve">Berry R and Higgs G (2012) ‘Gauging levels of public acceptance of the use of visualisation tools in promoting public participation: a case study of wind farm planning in South Wales, UK’, </w:t>
      </w:r>
      <w:r w:rsidR="0050433A" w:rsidRPr="0050433A">
        <w:rPr>
          <w:rFonts w:asciiTheme="minorHAnsi" w:hAnsiTheme="minorHAnsi" w:cs="Times New Roman"/>
          <w:i/>
          <w:sz w:val="24"/>
          <w:szCs w:val="24"/>
        </w:rPr>
        <w:t>Journal of Environmental Planning and Management</w:t>
      </w:r>
      <w:r w:rsidR="0050433A" w:rsidRPr="0050433A">
        <w:rPr>
          <w:rFonts w:asciiTheme="minorHAnsi" w:hAnsiTheme="minorHAnsi" w:cs="Times New Roman"/>
          <w:sz w:val="24"/>
          <w:szCs w:val="24"/>
        </w:rPr>
        <w:t xml:space="preserve"> 55(2), 229-25</w:t>
      </w:r>
    </w:p>
    <w:p w14:paraId="03F7EA29" w14:textId="77777777" w:rsidR="00D82E73" w:rsidRPr="00BF7A31" w:rsidRDefault="00BF7A31" w:rsidP="007225BA">
      <w:pPr>
        <w:pStyle w:val="EndNoteBibliography"/>
        <w:spacing w:before="240"/>
        <w:ind w:left="720" w:hanging="720"/>
        <w:rPr>
          <w:rFonts w:asciiTheme="minorHAnsi" w:hAnsiTheme="minorHAnsi" w:cstheme="minorHAnsi"/>
          <w:sz w:val="24"/>
          <w:szCs w:val="24"/>
        </w:rPr>
      </w:pPr>
      <w:r w:rsidRPr="00BF7A31">
        <w:rPr>
          <w:rFonts w:asciiTheme="minorHAnsi" w:hAnsiTheme="minorHAnsi" w:cs="Times New Roman"/>
          <w:sz w:val="24"/>
          <w:szCs w:val="24"/>
        </w:rPr>
        <w:t>Boltanski, L. and Thévenot, L. (2006)</w:t>
      </w:r>
      <w:r w:rsidRPr="00BF7A31">
        <w:rPr>
          <w:rFonts w:asciiTheme="minorHAnsi" w:hAnsiTheme="minorHAnsi" w:cs="Times New Roman"/>
          <w:i/>
          <w:sz w:val="24"/>
          <w:szCs w:val="24"/>
        </w:rPr>
        <w:t xml:space="preserve"> On Justification: Economies of Worth</w:t>
      </w:r>
      <w:r w:rsidRPr="00BF7A31">
        <w:rPr>
          <w:rFonts w:asciiTheme="minorHAnsi" w:hAnsiTheme="minorHAnsi" w:cs="Times New Roman"/>
          <w:sz w:val="24"/>
          <w:szCs w:val="24"/>
        </w:rPr>
        <w:t>. Princeton, NJ: Princeton University Press.</w:t>
      </w:r>
    </w:p>
    <w:p w14:paraId="58DEC7F0"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 xml:space="preserve">BURP 2006. Regolamento Regionale </w:t>
      </w:r>
      <w:r w:rsidR="006E7895">
        <w:rPr>
          <w:rFonts w:asciiTheme="minorHAnsi" w:hAnsiTheme="minorHAnsi" w:cstheme="minorHAnsi"/>
          <w:sz w:val="24"/>
          <w:szCs w:val="24"/>
        </w:rPr>
        <w:t>23 Giugno</w:t>
      </w:r>
      <w:r w:rsidRPr="007225BA">
        <w:rPr>
          <w:rFonts w:asciiTheme="minorHAnsi" w:hAnsiTheme="minorHAnsi" w:cstheme="minorHAnsi"/>
          <w:sz w:val="24"/>
          <w:szCs w:val="24"/>
        </w:rPr>
        <w:t xml:space="preserve"> 2006, n. </w:t>
      </w:r>
      <w:r w:rsidR="006E7895">
        <w:rPr>
          <w:rFonts w:asciiTheme="minorHAnsi" w:hAnsiTheme="minorHAnsi" w:cstheme="minorHAnsi"/>
          <w:sz w:val="24"/>
          <w:szCs w:val="24"/>
        </w:rPr>
        <w:t xml:space="preserve">9, </w:t>
      </w:r>
      <w:r w:rsidR="006E7895" w:rsidRPr="006E7895">
        <w:rPr>
          <w:rFonts w:asciiTheme="minorHAnsi" w:hAnsiTheme="minorHAnsi" w:cstheme="minorHAnsi"/>
          <w:sz w:val="24"/>
          <w:szCs w:val="24"/>
        </w:rPr>
        <w:t>Regolamento per la realizzazione di impianti eolici nella Regione Puglia</w:t>
      </w:r>
      <w:r w:rsidRPr="007225BA">
        <w:rPr>
          <w:rFonts w:asciiTheme="minorHAnsi" w:hAnsiTheme="minorHAnsi" w:cstheme="minorHAnsi"/>
          <w:sz w:val="24"/>
          <w:szCs w:val="24"/>
        </w:rPr>
        <w:t xml:space="preserve"> Bari: Regione Puglia.</w:t>
      </w:r>
    </w:p>
    <w:p w14:paraId="75A91FFF"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BURP 2014. Bollettino Ufficiale Regione Puglia n. 51 del 15/04/2014 'Analisi di Scenario della produzione di energia e fonti energetiche rinnovabili sul territorio regionale. Criticita' di sistema e iniziative conseguenti. Bari: Regione Puglia.</w:t>
      </w:r>
    </w:p>
    <w:p w14:paraId="743D635C" w14:textId="77777777" w:rsidR="009C0837" w:rsidRPr="00BF7A31" w:rsidRDefault="00BF7A31" w:rsidP="007225BA">
      <w:pPr>
        <w:pStyle w:val="EndNoteBibliography"/>
        <w:spacing w:before="240"/>
        <w:ind w:left="720" w:hanging="720"/>
        <w:rPr>
          <w:rFonts w:asciiTheme="minorHAnsi" w:hAnsiTheme="minorHAnsi" w:cstheme="minorHAnsi"/>
          <w:sz w:val="24"/>
          <w:szCs w:val="24"/>
        </w:rPr>
      </w:pPr>
      <w:r w:rsidRPr="00BF7A31">
        <w:rPr>
          <w:rFonts w:eastAsia="Calibri"/>
          <w:sz w:val="24"/>
          <w:szCs w:val="24"/>
          <w:lang w:val="en-GB"/>
        </w:rPr>
        <w:t xml:space="preserve">Bulkeley H, Watson M, Hudson R and Weaver P (2005) ‘Governing municipal waste: towards a new analytical framework’, </w:t>
      </w:r>
      <w:r w:rsidRPr="00BF7A31">
        <w:rPr>
          <w:rFonts w:eastAsia="Calibri"/>
          <w:i/>
          <w:sz w:val="24"/>
          <w:szCs w:val="24"/>
          <w:lang w:val="en-GB"/>
        </w:rPr>
        <w:t>Journal of Environmental Policy and Planning</w:t>
      </w:r>
      <w:r w:rsidRPr="00BF7A31">
        <w:rPr>
          <w:rFonts w:eastAsia="Calibri"/>
          <w:sz w:val="24"/>
          <w:szCs w:val="24"/>
          <w:lang w:val="en-GB"/>
        </w:rPr>
        <w:t xml:space="preserve"> 7(1), 1-23.</w:t>
      </w:r>
    </w:p>
    <w:p w14:paraId="7219A5A6" w14:textId="77777777" w:rsidR="009C0837" w:rsidRPr="009C0837" w:rsidRDefault="009C0837" w:rsidP="009C0837">
      <w:pPr>
        <w:pStyle w:val="EndNoteBibliography"/>
        <w:spacing w:before="240"/>
        <w:ind w:left="720" w:hanging="720"/>
        <w:rPr>
          <w:rFonts w:asciiTheme="minorHAnsi" w:hAnsiTheme="minorHAnsi" w:cstheme="minorHAnsi"/>
          <w:sz w:val="24"/>
          <w:szCs w:val="24"/>
        </w:rPr>
      </w:pPr>
      <w:r w:rsidRPr="009C0837">
        <w:rPr>
          <w:rFonts w:asciiTheme="minorHAnsi" w:hAnsiTheme="minorHAnsi" w:cstheme="minorHAnsi"/>
          <w:sz w:val="24"/>
          <w:szCs w:val="24"/>
        </w:rPr>
        <w:t>Bulkeley</w:t>
      </w:r>
      <w:r>
        <w:rPr>
          <w:rFonts w:asciiTheme="minorHAnsi" w:hAnsiTheme="minorHAnsi" w:cstheme="minorHAnsi"/>
          <w:sz w:val="24"/>
          <w:szCs w:val="24"/>
        </w:rPr>
        <w:t>,</w:t>
      </w:r>
      <w:r w:rsidRPr="009C0837">
        <w:rPr>
          <w:rFonts w:asciiTheme="minorHAnsi" w:hAnsiTheme="minorHAnsi" w:cstheme="minorHAnsi"/>
          <w:sz w:val="24"/>
          <w:szCs w:val="24"/>
        </w:rPr>
        <w:t xml:space="preserve"> H</w:t>
      </w:r>
      <w:r>
        <w:rPr>
          <w:rFonts w:asciiTheme="minorHAnsi" w:hAnsiTheme="minorHAnsi" w:cstheme="minorHAnsi"/>
          <w:sz w:val="24"/>
          <w:szCs w:val="24"/>
        </w:rPr>
        <w:t>.</w:t>
      </w:r>
      <w:r w:rsidRPr="009C0837">
        <w:rPr>
          <w:rFonts w:asciiTheme="minorHAnsi" w:hAnsiTheme="minorHAnsi" w:cstheme="minorHAnsi"/>
          <w:sz w:val="24"/>
          <w:szCs w:val="24"/>
        </w:rPr>
        <w:t>, Watson</w:t>
      </w:r>
      <w:r>
        <w:rPr>
          <w:rFonts w:asciiTheme="minorHAnsi" w:hAnsiTheme="minorHAnsi" w:cstheme="minorHAnsi"/>
          <w:sz w:val="24"/>
          <w:szCs w:val="24"/>
        </w:rPr>
        <w:t>,</w:t>
      </w:r>
      <w:r w:rsidRPr="009C0837">
        <w:rPr>
          <w:rFonts w:asciiTheme="minorHAnsi" w:hAnsiTheme="minorHAnsi" w:cstheme="minorHAnsi"/>
          <w:sz w:val="24"/>
          <w:szCs w:val="24"/>
        </w:rPr>
        <w:t xml:space="preserve"> M</w:t>
      </w:r>
      <w:r>
        <w:rPr>
          <w:rFonts w:asciiTheme="minorHAnsi" w:hAnsiTheme="minorHAnsi" w:cstheme="minorHAnsi"/>
          <w:sz w:val="24"/>
          <w:szCs w:val="24"/>
        </w:rPr>
        <w:t>.</w:t>
      </w:r>
      <w:r w:rsidRPr="009C0837">
        <w:rPr>
          <w:rFonts w:asciiTheme="minorHAnsi" w:hAnsiTheme="minorHAnsi" w:cstheme="minorHAnsi"/>
          <w:sz w:val="24"/>
          <w:szCs w:val="24"/>
        </w:rPr>
        <w:t>, Hudson</w:t>
      </w:r>
      <w:r>
        <w:rPr>
          <w:rFonts w:asciiTheme="minorHAnsi" w:hAnsiTheme="minorHAnsi" w:cstheme="minorHAnsi"/>
          <w:sz w:val="24"/>
          <w:szCs w:val="24"/>
        </w:rPr>
        <w:t>,</w:t>
      </w:r>
      <w:r w:rsidRPr="009C0837">
        <w:rPr>
          <w:rFonts w:asciiTheme="minorHAnsi" w:hAnsiTheme="minorHAnsi" w:cstheme="minorHAnsi"/>
          <w:sz w:val="24"/>
          <w:szCs w:val="24"/>
        </w:rPr>
        <w:t xml:space="preserve"> R</w:t>
      </w:r>
      <w:r>
        <w:rPr>
          <w:rFonts w:asciiTheme="minorHAnsi" w:hAnsiTheme="minorHAnsi" w:cstheme="minorHAnsi"/>
          <w:sz w:val="24"/>
          <w:szCs w:val="24"/>
        </w:rPr>
        <w:t>.</w:t>
      </w:r>
      <w:r w:rsidRPr="009C0837">
        <w:rPr>
          <w:rFonts w:asciiTheme="minorHAnsi" w:hAnsiTheme="minorHAnsi" w:cstheme="minorHAnsi"/>
          <w:sz w:val="24"/>
          <w:szCs w:val="24"/>
        </w:rPr>
        <w:t>, 2007, "Modes of governing municipal waste" Environment and Planning A 39 2733-2753</w:t>
      </w:r>
    </w:p>
    <w:p w14:paraId="5CF4BA6D" w14:textId="77777777" w:rsidR="002B5C4A" w:rsidRPr="007225BA" w:rsidRDefault="002B5C4A"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Cowell, R. 2010. Wind power, landscape and strategic, spatial planning-The construction of 'acceptable locations' in Wales. Land Use Policy 27(2), pp. 222-232.</w:t>
      </w:r>
    </w:p>
    <w:p w14:paraId="33A0E1CF" w14:textId="7A9C08C6" w:rsidR="001D184D" w:rsidRDefault="001D184D" w:rsidP="007225BA">
      <w:pPr>
        <w:pStyle w:val="EndNoteBibliography"/>
        <w:spacing w:before="240"/>
        <w:ind w:left="720" w:hanging="720"/>
        <w:rPr>
          <w:rFonts w:asciiTheme="minorHAnsi" w:hAnsiTheme="minorHAnsi" w:cstheme="minorHAnsi"/>
          <w:sz w:val="24"/>
          <w:szCs w:val="24"/>
        </w:rPr>
      </w:pPr>
      <w:bookmarkStart w:id="1" w:name="bib15"/>
      <w:r w:rsidRPr="001D184D">
        <w:rPr>
          <w:rFonts w:asciiTheme="minorHAnsi" w:hAnsiTheme="minorHAnsi" w:cstheme="minorHAnsi"/>
          <w:sz w:val="24"/>
          <w:szCs w:val="24"/>
        </w:rPr>
        <w:t xml:space="preserve">Cowell, R., Flynn, A. and Hacking, N. 2020. Conceptualizing environmental governance in turbulent times: insights from Brexit and waste in the UK. </w:t>
      </w:r>
      <w:r w:rsidR="00E82DA4" w:rsidRPr="00290B9C">
        <w:rPr>
          <w:rFonts w:asciiTheme="minorHAnsi" w:hAnsiTheme="minorHAnsi" w:cstheme="minorHAnsi"/>
          <w:i/>
          <w:sz w:val="24"/>
          <w:szCs w:val="24"/>
        </w:rPr>
        <w:t>Political Geography</w:t>
      </w:r>
      <w:r w:rsidRPr="001D184D">
        <w:rPr>
          <w:rFonts w:asciiTheme="minorHAnsi" w:hAnsiTheme="minorHAnsi" w:cstheme="minorHAnsi"/>
          <w:sz w:val="24"/>
          <w:szCs w:val="24"/>
        </w:rPr>
        <w:t xml:space="preserve"> 81</w:t>
      </w:r>
    </w:p>
    <w:p w14:paraId="4F098BBD" w14:textId="39B38F84" w:rsidR="000A4ACC" w:rsidRPr="00E35DCA" w:rsidRDefault="000A4ACC" w:rsidP="007225BA">
      <w:pPr>
        <w:pStyle w:val="EndNoteBibliography"/>
        <w:spacing w:before="240"/>
        <w:ind w:left="720" w:hanging="720"/>
        <w:rPr>
          <w:rFonts w:asciiTheme="minorHAnsi" w:hAnsiTheme="minorHAnsi" w:cstheme="minorHAnsi"/>
          <w:sz w:val="24"/>
          <w:szCs w:val="24"/>
        </w:rPr>
      </w:pPr>
      <w:r>
        <w:rPr>
          <w:rFonts w:asciiTheme="minorHAnsi" w:hAnsiTheme="minorHAnsi" w:cstheme="minorHAnsi"/>
          <w:sz w:val="24"/>
          <w:szCs w:val="24"/>
        </w:rPr>
        <w:t xml:space="preserve">DoENI (Department of Environment Northern Ireland) (2009) </w:t>
      </w:r>
      <w:r w:rsidRPr="000A4ACC">
        <w:rPr>
          <w:rFonts w:asciiTheme="minorHAnsi" w:hAnsiTheme="minorHAnsi" w:cstheme="minorHAnsi"/>
          <w:i/>
          <w:iCs/>
          <w:sz w:val="24"/>
          <w:szCs w:val="24"/>
        </w:rPr>
        <w:t>Planning Policy Statement 18: Renewable Energy</w:t>
      </w:r>
      <w:r>
        <w:rPr>
          <w:rFonts w:asciiTheme="minorHAnsi" w:hAnsiTheme="minorHAnsi" w:cstheme="minorHAnsi"/>
          <w:sz w:val="24"/>
          <w:szCs w:val="24"/>
        </w:rPr>
        <w:t>, Belfast</w:t>
      </w:r>
    </w:p>
    <w:bookmarkEnd w:id="1"/>
    <w:p w14:paraId="273ECE94"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De Risi, A., Tornese, l. &amp; Laforgia, D. 2008. Atlante Eolico della Regione Puglia</w:t>
      </w:r>
      <w:r w:rsidR="00290B9C">
        <w:rPr>
          <w:rFonts w:asciiTheme="minorHAnsi" w:hAnsiTheme="minorHAnsi" w:cstheme="minorHAnsi"/>
          <w:sz w:val="24"/>
          <w:szCs w:val="24"/>
        </w:rPr>
        <w:t xml:space="preserve">, </w:t>
      </w:r>
      <w:r w:rsidR="00290B9C" w:rsidRPr="00290B9C">
        <w:rPr>
          <w:rFonts w:asciiTheme="minorHAnsi" w:hAnsiTheme="minorHAnsi" w:cstheme="minorHAnsi"/>
          <w:sz w:val="24"/>
          <w:szCs w:val="24"/>
        </w:rPr>
        <w:t xml:space="preserve">Agenzia regionale per la tecnologia e l'innovazione, Bari </w:t>
      </w:r>
    </w:p>
    <w:p w14:paraId="2F87DA62" w14:textId="77777777" w:rsidR="007225BA" w:rsidRPr="007225BA" w:rsidRDefault="007225BA"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 xml:space="preserve">de Vries, B. J. M. et al. 2007. Renewable energy sources: Their global potential for the first-half of the 21st century at a global level: An integrated approach. </w:t>
      </w:r>
      <w:r w:rsidR="00E82DA4" w:rsidRPr="00290B9C">
        <w:rPr>
          <w:rFonts w:asciiTheme="minorHAnsi" w:hAnsiTheme="minorHAnsi" w:cstheme="minorHAnsi"/>
          <w:i/>
          <w:sz w:val="24"/>
          <w:szCs w:val="24"/>
        </w:rPr>
        <w:t>Energy Policy</w:t>
      </w:r>
      <w:r w:rsidRPr="007225BA">
        <w:rPr>
          <w:rFonts w:asciiTheme="minorHAnsi" w:hAnsiTheme="minorHAnsi" w:cstheme="minorHAnsi"/>
          <w:sz w:val="24"/>
          <w:szCs w:val="24"/>
        </w:rPr>
        <w:t xml:space="preserve"> 35(4), pp. 2590-2610.</w:t>
      </w:r>
    </w:p>
    <w:p w14:paraId="09D1BA8C"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95B93">
        <w:rPr>
          <w:rFonts w:asciiTheme="minorHAnsi" w:hAnsiTheme="minorHAnsi" w:cstheme="minorHAnsi"/>
          <w:sz w:val="24"/>
          <w:szCs w:val="24"/>
        </w:rPr>
        <w:t>Devine-Wright</w:t>
      </w:r>
      <w:r w:rsidR="00795B93" w:rsidRPr="00795B93">
        <w:rPr>
          <w:rFonts w:asciiTheme="minorHAnsi" w:hAnsiTheme="minorHAnsi" w:cstheme="minorHAnsi"/>
          <w:sz w:val="24"/>
          <w:szCs w:val="24"/>
        </w:rPr>
        <w:t>, P.(ed.) (</w:t>
      </w:r>
      <w:r w:rsidRPr="00795B93">
        <w:rPr>
          <w:rFonts w:asciiTheme="minorHAnsi" w:hAnsiTheme="minorHAnsi" w:cstheme="minorHAnsi"/>
          <w:sz w:val="24"/>
          <w:szCs w:val="24"/>
        </w:rPr>
        <w:t>2011</w:t>
      </w:r>
      <w:r w:rsidR="00795B93" w:rsidRPr="00795B93">
        <w:rPr>
          <w:rFonts w:asciiTheme="minorHAnsi" w:hAnsiTheme="minorHAnsi" w:cstheme="minorHAnsi"/>
          <w:sz w:val="24"/>
          <w:szCs w:val="24"/>
        </w:rPr>
        <w:t>)</w:t>
      </w:r>
      <w:r w:rsidR="00795B93" w:rsidRPr="00795B93">
        <w:rPr>
          <w:rFonts w:asciiTheme="minorHAnsi" w:hAnsiTheme="minorHAnsi" w:cstheme="minorHAnsi"/>
          <w:i/>
          <w:sz w:val="24"/>
          <w:szCs w:val="24"/>
        </w:rPr>
        <w:t>Renewable Energy and the Public. From NIMBY to Participation</w:t>
      </w:r>
      <w:r w:rsidR="00795B93">
        <w:rPr>
          <w:rFonts w:asciiTheme="minorHAnsi" w:hAnsiTheme="minorHAnsi" w:cstheme="minorHAnsi"/>
          <w:sz w:val="24"/>
          <w:szCs w:val="24"/>
        </w:rPr>
        <w:t>, Earthscan</w:t>
      </w:r>
    </w:p>
    <w:p w14:paraId="4DEE3146"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lastRenderedPageBreak/>
        <w:t>DM, 2010, Decreto Ministeriale 10 Settembre 2010, Linee guida per l'autorizzazione degli impianti alimentati da fonti rinnovabili, Ministero dello Sviluppo Economico, Rome: Gazetta Ufficiale</w:t>
      </w:r>
    </w:p>
    <w:p w14:paraId="45E52EE9"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DM. 2012. Decreto Ministeriale 15 marzo 2012 'Burden Sharing', Ministero dello Sviluppo Economico, Rome: Gazetta Ufficiale</w:t>
      </w:r>
    </w:p>
    <w:p w14:paraId="760EB485"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European Commision 2009. Directive 2009/28/EC Renewable Energy Directive Brussels: European Comminssion.</w:t>
      </w:r>
    </w:p>
    <w:p w14:paraId="2D3055BE"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Flannery W, Healy N and Luna M (2018) 'Exclusion and non-participation in Marine Spatial Planning' Marine Policy  88, 32-40</w:t>
      </w:r>
    </w:p>
    <w:p w14:paraId="32562494" w14:textId="77777777" w:rsidR="00D82E73" w:rsidRPr="007225BA" w:rsidRDefault="00715E67"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Frantál, B., Van der Horst, D., Martinát, S., Schmitz, S., Teschner, N. A., Silva, l., Golobic, M. &amp; Roth</w:t>
      </w:r>
      <w:r w:rsidR="00D82E73" w:rsidRPr="007225BA">
        <w:rPr>
          <w:rFonts w:asciiTheme="minorHAnsi" w:hAnsiTheme="minorHAnsi" w:cstheme="minorHAnsi"/>
          <w:sz w:val="24"/>
          <w:szCs w:val="24"/>
        </w:rPr>
        <w:t>, M. 2018. Spatial targeting, synergies and scale: Exploring the criteria of smart practices for siting renewable energy projects. Energy Policy, 120, 85-93.</w:t>
      </w:r>
    </w:p>
    <w:p w14:paraId="2DC61157"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 xml:space="preserve">Gauglitz P, </w:t>
      </w:r>
      <w:r w:rsidR="00BD1A58">
        <w:rPr>
          <w:rFonts w:asciiTheme="minorHAnsi" w:hAnsiTheme="minorHAnsi" w:cstheme="minorHAnsi"/>
          <w:sz w:val="24"/>
          <w:szCs w:val="24"/>
        </w:rPr>
        <w:t>C</w:t>
      </w:r>
      <w:r w:rsidRPr="007225BA">
        <w:rPr>
          <w:rFonts w:asciiTheme="minorHAnsi" w:hAnsiTheme="minorHAnsi" w:cstheme="minorHAnsi"/>
          <w:sz w:val="24"/>
          <w:szCs w:val="24"/>
        </w:rPr>
        <w:t>hicketanz S and Pape C (2019) 'Nature conservation as a driver in wind enegry scenraios', Energy, Sustainability and Society (on-line)</w:t>
      </w:r>
    </w:p>
    <w:p w14:paraId="22940CB3"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González A, Daly G and Gleeson J (2016) 'Congested spaces, contested scales -a review of spatial planning for wind energy in Ireland', Landscape and Urban Planning 145, 12-20</w:t>
      </w:r>
    </w:p>
    <w:p w14:paraId="24B7FD8E"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GSE 2018. Rapporto Statistico 2018 Impianti a fonti rinnovabili, Settore Elettrico. Roma: Gestore Servizi Elettrici.</w:t>
      </w:r>
    </w:p>
    <w:p w14:paraId="4186F1D9" w14:textId="77777777" w:rsidR="00551AD7" w:rsidRDefault="00551AD7" w:rsidP="007225BA">
      <w:pPr>
        <w:pStyle w:val="EndNoteBibliography"/>
        <w:spacing w:before="240"/>
        <w:ind w:left="720" w:hanging="720"/>
        <w:rPr>
          <w:rFonts w:asciiTheme="minorHAnsi" w:hAnsiTheme="minorHAnsi" w:cstheme="minorHAnsi"/>
          <w:sz w:val="24"/>
          <w:szCs w:val="24"/>
        </w:rPr>
      </w:pPr>
      <w:r w:rsidRPr="00551AD7">
        <w:rPr>
          <w:rFonts w:asciiTheme="minorHAnsi" w:hAnsiTheme="minorHAnsi" w:cstheme="minorHAnsi"/>
          <w:sz w:val="24"/>
          <w:szCs w:val="24"/>
        </w:rPr>
        <w:t xml:space="preserve">Hacking, N. and Flynn, A. 2018. </w:t>
      </w:r>
      <w:hyperlink r:id="rId11" w:history="1">
        <w:r w:rsidRPr="00551AD7">
          <w:rPr>
            <w:rFonts w:asciiTheme="minorHAnsi" w:hAnsiTheme="minorHAnsi" w:cstheme="minorHAnsi"/>
            <w:sz w:val="24"/>
            <w:szCs w:val="24"/>
          </w:rPr>
          <w:t>Protesting against neoliberal and illiberal governmentalities: A comparative analysis of waste governance in the UK and China.</w:t>
        </w:r>
      </w:hyperlink>
      <w:r w:rsidRPr="00551AD7">
        <w:rPr>
          <w:rFonts w:asciiTheme="minorHAnsi" w:hAnsiTheme="minorHAnsi" w:cstheme="minorHAnsi"/>
          <w:sz w:val="24"/>
          <w:szCs w:val="24"/>
        </w:rPr>
        <w:t>. Political Geography 63, pp. 31-42</w:t>
      </w:r>
    </w:p>
    <w:p w14:paraId="70F8F3B0" w14:textId="77777777" w:rsidR="00307603" w:rsidRPr="00551AD7" w:rsidRDefault="00307603" w:rsidP="007225BA">
      <w:pPr>
        <w:pStyle w:val="EndNoteBibliography"/>
        <w:spacing w:before="240"/>
        <w:ind w:left="720" w:hanging="720"/>
        <w:rPr>
          <w:rFonts w:asciiTheme="minorHAnsi" w:hAnsiTheme="minorHAnsi" w:cstheme="minorHAnsi"/>
          <w:sz w:val="24"/>
          <w:szCs w:val="24"/>
        </w:rPr>
      </w:pPr>
      <w:r>
        <w:rPr>
          <w:rFonts w:asciiTheme="minorHAnsi" w:hAnsiTheme="minorHAnsi" w:cstheme="minorHAnsi"/>
          <w:sz w:val="24"/>
          <w:szCs w:val="24"/>
        </w:rPr>
        <w:t xml:space="preserve">Hakim C (1987) </w:t>
      </w:r>
      <w:r w:rsidRPr="00582519">
        <w:rPr>
          <w:rFonts w:asciiTheme="minorHAnsi" w:hAnsiTheme="minorHAnsi" w:cstheme="minorHAnsi"/>
          <w:i/>
          <w:iCs/>
          <w:sz w:val="24"/>
          <w:szCs w:val="24"/>
        </w:rPr>
        <w:t>Research Design: Strategies and Choices in the Design of Research</w:t>
      </w:r>
      <w:r>
        <w:rPr>
          <w:rFonts w:asciiTheme="minorHAnsi" w:hAnsiTheme="minorHAnsi" w:cstheme="minorHAnsi"/>
          <w:sz w:val="24"/>
          <w:szCs w:val="24"/>
        </w:rPr>
        <w:t>, London: Allen and Unwin</w:t>
      </w:r>
    </w:p>
    <w:p w14:paraId="19A98952" w14:textId="77777777" w:rsidR="00D82E73" w:rsidRPr="00D0036F" w:rsidRDefault="00E82DA4" w:rsidP="007225BA">
      <w:pPr>
        <w:pStyle w:val="EndNoteBibliography"/>
        <w:spacing w:before="240"/>
        <w:ind w:left="720" w:hanging="720"/>
        <w:rPr>
          <w:rFonts w:asciiTheme="minorHAnsi" w:hAnsiTheme="minorHAnsi" w:cstheme="minorHAnsi"/>
          <w:sz w:val="24"/>
          <w:szCs w:val="24"/>
        </w:rPr>
      </w:pPr>
      <w:r w:rsidRPr="003C31C4">
        <w:rPr>
          <w:rFonts w:asciiTheme="minorHAnsi" w:hAnsiTheme="minorHAnsi" w:cs="Times New Roman"/>
          <w:sz w:val="24"/>
          <w:szCs w:val="24"/>
        </w:rPr>
        <w:t xml:space="preserve">Heclo, H. (1974) </w:t>
      </w:r>
      <w:r w:rsidRPr="003C31C4">
        <w:rPr>
          <w:rFonts w:asciiTheme="minorHAnsi" w:hAnsiTheme="minorHAnsi" w:cs="Times New Roman"/>
          <w:i/>
          <w:sz w:val="24"/>
          <w:szCs w:val="24"/>
        </w:rPr>
        <w:t>Modern social politics in Britain and Sweden: from relief to income maintenance</w:t>
      </w:r>
      <w:r w:rsidRPr="003C31C4">
        <w:rPr>
          <w:rFonts w:asciiTheme="minorHAnsi" w:hAnsiTheme="minorHAnsi" w:cs="Times New Roman"/>
          <w:sz w:val="24"/>
          <w:szCs w:val="24"/>
        </w:rPr>
        <w:t>, Yale University Press, New Haven</w:t>
      </w:r>
    </w:p>
    <w:p w14:paraId="1805D54D" w14:textId="77777777" w:rsidR="00D82E73" w:rsidRPr="003C31C4" w:rsidRDefault="00E82DA4" w:rsidP="007225BA">
      <w:pPr>
        <w:pStyle w:val="EndNoteBibliography"/>
        <w:spacing w:before="240"/>
        <w:ind w:left="720" w:hanging="720"/>
        <w:rPr>
          <w:rFonts w:asciiTheme="minorHAnsi" w:hAnsiTheme="minorHAnsi" w:cstheme="minorHAnsi"/>
          <w:sz w:val="24"/>
          <w:szCs w:val="24"/>
        </w:rPr>
      </w:pPr>
      <w:r w:rsidRPr="003C31C4">
        <w:rPr>
          <w:rFonts w:asciiTheme="minorHAnsi" w:hAnsiTheme="minorHAnsi" w:cstheme="minorHAnsi"/>
          <w:sz w:val="24"/>
          <w:szCs w:val="24"/>
        </w:rPr>
        <w:t xml:space="preserve">Hobarty, R., Huber, S. and Ellis, G. (2012) ‘Large-scale wind deployment, social acceptance’, </w:t>
      </w:r>
      <w:r w:rsidRPr="003C31C4">
        <w:rPr>
          <w:rFonts w:asciiTheme="minorHAnsi" w:hAnsiTheme="minorHAnsi" w:cstheme="minorHAnsi"/>
          <w:i/>
          <w:sz w:val="24"/>
          <w:szCs w:val="24"/>
        </w:rPr>
        <w:t>WIREs Energy and Environment</w:t>
      </w:r>
      <w:r w:rsidRPr="003C31C4">
        <w:rPr>
          <w:rFonts w:asciiTheme="minorHAnsi" w:hAnsiTheme="minorHAnsi" w:cstheme="minorHAnsi"/>
          <w:sz w:val="24"/>
          <w:szCs w:val="24"/>
        </w:rPr>
        <w:t>.</w:t>
      </w:r>
    </w:p>
    <w:p w14:paraId="32D49B87" w14:textId="77777777" w:rsidR="00D82E73" w:rsidRPr="007225BA" w:rsidRDefault="00795B93" w:rsidP="007225BA">
      <w:pPr>
        <w:pStyle w:val="EndNoteBibliography"/>
        <w:spacing w:before="240"/>
        <w:ind w:left="720" w:hanging="720"/>
        <w:rPr>
          <w:rFonts w:asciiTheme="minorHAnsi" w:hAnsiTheme="minorHAnsi" w:cstheme="minorHAnsi"/>
          <w:sz w:val="24"/>
          <w:szCs w:val="24"/>
        </w:rPr>
      </w:pPr>
      <w:r w:rsidRPr="00795B93">
        <w:rPr>
          <w:rFonts w:asciiTheme="minorHAnsi" w:hAnsiTheme="minorHAnsi" w:cs="Times New Roman"/>
          <w:sz w:val="24"/>
          <w:szCs w:val="24"/>
        </w:rPr>
        <w:t>IEEP (Institute of European Environmental Policy) (2009) ‘</w:t>
      </w:r>
      <w:r w:rsidRPr="00795B93">
        <w:rPr>
          <w:rFonts w:asciiTheme="minorHAnsi" w:hAnsiTheme="minorHAnsi" w:cs="Times New Roman"/>
          <w:iCs/>
          <w:sz w:val="24"/>
          <w:szCs w:val="24"/>
        </w:rPr>
        <w:t>Positive Planning for Onshore Wind. Expanding Onshore Wind Energy Capacity While Conserving Nature’</w:t>
      </w:r>
      <w:r w:rsidRPr="00795B93">
        <w:rPr>
          <w:rFonts w:asciiTheme="minorHAnsi" w:hAnsiTheme="minorHAnsi" w:cs="Times New Roman"/>
          <w:sz w:val="24"/>
          <w:szCs w:val="24"/>
        </w:rPr>
        <w:t>, a report for the RSPB, Sandy, Beds.</w:t>
      </w:r>
    </w:p>
    <w:p w14:paraId="215F587F"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IPCC 2019. Global warming of 1.5°C: Summary for Policymakers (revised version). Switzerland: Intergovernmental Panel on Climate Change.</w:t>
      </w:r>
    </w:p>
    <w:p w14:paraId="61D2BA6E" w14:textId="77777777" w:rsidR="00D82E73" w:rsidRPr="00795B93" w:rsidRDefault="00E82DA4" w:rsidP="007225BA">
      <w:pPr>
        <w:pStyle w:val="EndNoteBibliography"/>
        <w:spacing w:before="240"/>
        <w:ind w:left="720" w:hanging="720"/>
        <w:rPr>
          <w:rFonts w:asciiTheme="minorHAnsi" w:hAnsiTheme="minorHAnsi" w:cstheme="minorHAnsi"/>
          <w:sz w:val="24"/>
          <w:szCs w:val="24"/>
        </w:rPr>
      </w:pPr>
      <w:r w:rsidRPr="003C31C4">
        <w:rPr>
          <w:rFonts w:asciiTheme="minorHAnsi" w:hAnsiTheme="minorHAnsi" w:cs="Times New Roman"/>
          <w:sz w:val="24"/>
          <w:szCs w:val="24"/>
        </w:rPr>
        <w:t>Kenworthy, T. (2010) ‘Big Land, Big Opportunity. Smart Land Use in the Fight Against Climate Change’, Center for American Progress</w:t>
      </w:r>
    </w:p>
    <w:p w14:paraId="6C46F3F0" w14:textId="77777777" w:rsidR="00D82E73" w:rsidRPr="007225BA" w:rsidRDefault="007225BA"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lastRenderedPageBreak/>
        <w:t>Lauf, T., E., K., Gawel, E., Lehmann, P. &amp; Söderholm, P</w:t>
      </w:r>
      <w:r w:rsidR="00D82E73" w:rsidRPr="007225BA">
        <w:rPr>
          <w:rFonts w:asciiTheme="minorHAnsi" w:hAnsiTheme="minorHAnsi" w:cstheme="minorHAnsi"/>
          <w:sz w:val="24"/>
          <w:szCs w:val="24"/>
        </w:rPr>
        <w:t>. 2020. The regional heterogeneity of wind power deployment: an empirical investigation of land-use policies in Germany and Sweden. Journal of Environmental Planning and Management, 63, 751-778.</w:t>
      </w:r>
    </w:p>
    <w:p w14:paraId="79092031" w14:textId="77777777" w:rsidR="00D82E73" w:rsidRDefault="0050433A" w:rsidP="007225BA">
      <w:pPr>
        <w:pStyle w:val="EndNoteBibliography"/>
        <w:spacing w:before="240"/>
        <w:ind w:left="720" w:hanging="720"/>
        <w:rPr>
          <w:rFonts w:asciiTheme="minorHAnsi" w:hAnsiTheme="minorHAnsi" w:cstheme="minorHAnsi"/>
          <w:sz w:val="24"/>
          <w:szCs w:val="24"/>
        </w:rPr>
      </w:pPr>
      <w:r w:rsidRPr="0050433A">
        <w:rPr>
          <w:rFonts w:asciiTheme="minorHAnsi" w:hAnsiTheme="minorHAnsi" w:cstheme="minorHAnsi"/>
          <w:sz w:val="24"/>
          <w:szCs w:val="24"/>
        </w:rPr>
        <w:t>Leibenath M,  Wirth P and Lintz G (2016) ‘Just a talking shop? – Informal participatory planning for implementing state wind energy targets in Germany’, Utilities Policy 41, 206-213.</w:t>
      </w:r>
    </w:p>
    <w:p w14:paraId="6E24E81E" w14:textId="77777777" w:rsidR="00D82E73" w:rsidRPr="007225BA" w:rsidRDefault="007225BA" w:rsidP="00795B93">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 xml:space="preserve">Malandrino, O. &amp; Sica, </w:t>
      </w:r>
      <w:r w:rsidR="00D82E73" w:rsidRPr="007225BA">
        <w:rPr>
          <w:rFonts w:asciiTheme="minorHAnsi" w:hAnsiTheme="minorHAnsi" w:cstheme="minorHAnsi"/>
          <w:sz w:val="24"/>
          <w:szCs w:val="24"/>
        </w:rPr>
        <w:t xml:space="preserve">D. 2011. Il contributo dei meccanismi di incentivazione all'affermazione delle fer nel paradigma energetico nazionale. Esperienze D'Impresa, 2, 69-79 </w:t>
      </w:r>
    </w:p>
    <w:p w14:paraId="18E9AB88" w14:textId="77777777" w:rsidR="007225BA" w:rsidRPr="007225BA" w:rsidRDefault="007225BA"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Meadowcroft, J. 2009. What about the politics? Sustainable development, transition management, and long term energy transitions. Policy Sciences 42(4), pp. 323-340.</w:t>
      </w:r>
    </w:p>
    <w:p w14:paraId="576631C8" w14:textId="77777777" w:rsidR="00310AEA" w:rsidRDefault="00310AEA" w:rsidP="007225BA">
      <w:pPr>
        <w:pStyle w:val="EndNoteBibliography"/>
        <w:spacing w:before="240"/>
        <w:ind w:left="720" w:hanging="720"/>
        <w:rPr>
          <w:rFonts w:asciiTheme="minorHAnsi" w:hAnsiTheme="minorHAnsi" w:cstheme="minorHAnsi"/>
          <w:sz w:val="24"/>
          <w:szCs w:val="24"/>
        </w:rPr>
      </w:pPr>
      <w:r w:rsidRPr="006179BF">
        <w:rPr>
          <w:rFonts w:asciiTheme="minorHAnsi" w:hAnsiTheme="minorHAnsi" w:cstheme="minorHAnsi"/>
          <w:sz w:val="24"/>
          <w:szCs w:val="24"/>
        </w:rPr>
        <w:t xml:space="preserve">MHCLG </w:t>
      </w:r>
      <w:r w:rsidR="0050433A" w:rsidRPr="0050433A">
        <w:rPr>
          <w:rFonts w:asciiTheme="minorHAnsi" w:hAnsiTheme="minorHAnsi" w:cstheme="minorHAnsi"/>
          <w:sz w:val="24"/>
          <w:szCs w:val="24"/>
        </w:rPr>
        <w:t>(</w:t>
      </w:r>
      <w:r w:rsidRPr="006179BF">
        <w:rPr>
          <w:rFonts w:asciiTheme="minorHAnsi" w:hAnsiTheme="minorHAnsi" w:cstheme="minorHAnsi"/>
          <w:sz w:val="24"/>
          <w:szCs w:val="24"/>
        </w:rPr>
        <w:t>2019</w:t>
      </w:r>
      <w:r w:rsidR="006179BF">
        <w:rPr>
          <w:rFonts w:asciiTheme="minorHAnsi" w:hAnsiTheme="minorHAnsi" w:cstheme="minorHAnsi"/>
          <w:sz w:val="24"/>
          <w:szCs w:val="24"/>
        </w:rPr>
        <w:t xml:space="preserve">) </w:t>
      </w:r>
      <w:r w:rsidR="0050433A" w:rsidRPr="0050433A">
        <w:rPr>
          <w:rFonts w:asciiTheme="minorHAnsi" w:hAnsiTheme="minorHAnsi" w:cstheme="minorHAnsi"/>
          <w:i/>
          <w:sz w:val="24"/>
          <w:szCs w:val="24"/>
        </w:rPr>
        <w:t>National Planning Policy Framework</w:t>
      </w:r>
      <w:r w:rsidR="006179BF">
        <w:rPr>
          <w:rFonts w:asciiTheme="minorHAnsi" w:hAnsiTheme="minorHAnsi" w:cstheme="minorHAnsi"/>
          <w:sz w:val="24"/>
          <w:szCs w:val="24"/>
        </w:rPr>
        <w:t>, February, MHCLG.</w:t>
      </w:r>
    </w:p>
    <w:p w14:paraId="0690BA66" w14:textId="77777777" w:rsidR="00795B93" w:rsidRDefault="00D82E73" w:rsidP="00795B93">
      <w:pPr>
        <w:pStyle w:val="EndNoteBibliography"/>
        <w:spacing w:before="240"/>
        <w:ind w:left="720" w:hanging="720"/>
        <w:rPr>
          <w:rFonts w:asciiTheme="minorHAnsi" w:hAnsiTheme="minorHAnsi"/>
          <w:sz w:val="24"/>
          <w:szCs w:val="24"/>
        </w:rPr>
      </w:pPr>
      <w:r w:rsidRPr="007225BA">
        <w:rPr>
          <w:rFonts w:asciiTheme="minorHAnsi" w:hAnsiTheme="minorHAnsi" w:cstheme="minorHAnsi"/>
          <w:sz w:val="24"/>
          <w:szCs w:val="24"/>
        </w:rPr>
        <w:t>MISE 2010. Piano di azione nazionale per le energie rin</w:t>
      </w:r>
      <w:r w:rsidR="007225BA" w:rsidRPr="007225BA">
        <w:rPr>
          <w:rFonts w:asciiTheme="minorHAnsi" w:hAnsiTheme="minorHAnsi" w:cstheme="minorHAnsi"/>
          <w:sz w:val="24"/>
          <w:szCs w:val="24"/>
        </w:rPr>
        <w:t xml:space="preserve">novabili (direttiva 2009/28/CE), Piano Economico, </w:t>
      </w:r>
      <w:r w:rsidRPr="007225BA">
        <w:rPr>
          <w:rFonts w:asciiTheme="minorHAnsi" w:hAnsiTheme="minorHAnsi" w:cstheme="minorHAnsi"/>
          <w:sz w:val="24"/>
          <w:szCs w:val="24"/>
        </w:rPr>
        <w:t>Rome: Ministero dello Sviluppo Economico.</w:t>
      </w:r>
      <w:r w:rsidR="00795B93" w:rsidRPr="00795B93">
        <w:rPr>
          <w:rFonts w:asciiTheme="minorHAnsi" w:hAnsiTheme="minorHAnsi"/>
          <w:sz w:val="24"/>
          <w:szCs w:val="24"/>
        </w:rPr>
        <w:t xml:space="preserve">Moragues-Faus, A. and Ortiz-Miranda, D. (2010) ‘Local mobilisation against windfarm development in Spanish rural areas: new actors in the regulation arena’, </w:t>
      </w:r>
      <w:r w:rsidR="00795B93" w:rsidRPr="00795B93">
        <w:rPr>
          <w:rFonts w:asciiTheme="minorHAnsi" w:hAnsiTheme="minorHAnsi"/>
          <w:i/>
          <w:iCs/>
          <w:sz w:val="24"/>
          <w:szCs w:val="24"/>
        </w:rPr>
        <w:t>Energy Policy</w:t>
      </w:r>
      <w:r w:rsidR="00795B93" w:rsidRPr="00795B93">
        <w:rPr>
          <w:rFonts w:asciiTheme="minorHAnsi" w:hAnsiTheme="minorHAnsi"/>
          <w:sz w:val="24"/>
          <w:szCs w:val="24"/>
        </w:rPr>
        <w:t xml:space="preserve"> 38(8), 4232-4240.</w:t>
      </w:r>
    </w:p>
    <w:p w14:paraId="794B8E61" w14:textId="77777777" w:rsidR="00F762A4" w:rsidRPr="00F762A4" w:rsidRDefault="00F762A4" w:rsidP="00795B93">
      <w:pPr>
        <w:pStyle w:val="EndNoteBibliography"/>
        <w:spacing w:before="240"/>
        <w:ind w:left="720" w:hanging="720"/>
        <w:rPr>
          <w:rFonts w:asciiTheme="minorHAnsi" w:hAnsiTheme="minorHAnsi"/>
          <w:sz w:val="24"/>
          <w:szCs w:val="24"/>
        </w:rPr>
      </w:pPr>
      <w:r>
        <w:rPr>
          <w:rFonts w:asciiTheme="minorHAnsi" w:hAnsiTheme="minorHAnsi" w:cs="Segoe UI"/>
          <w:color w:val="201F1E"/>
          <w:sz w:val="24"/>
          <w:szCs w:val="24"/>
          <w:shd w:val="clear" w:color="auto" w:fill="FFFFFF"/>
        </w:rPr>
        <w:t xml:space="preserve">Moss T  and </w:t>
      </w:r>
      <w:r w:rsidR="00207134" w:rsidRPr="00582519">
        <w:rPr>
          <w:rFonts w:asciiTheme="minorHAnsi" w:hAnsiTheme="minorHAnsi" w:cs="Segoe UI"/>
          <w:color w:val="201F1E"/>
          <w:sz w:val="24"/>
          <w:szCs w:val="24"/>
          <w:shd w:val="clear" w:color="auto" w:fill="FFFFFF"/>
        </w:rPr>
        <w:t xml:space="preserve">Newig J (2010) </w:t>
      </w:r>
      <w:r>
        <w:rPr>
          <w:rFonts w:asciiTheme="minorHAnsi" w:hAnsiTheme="minorHAnsi" w:cs="Segoe UI"/>
          <w:color w:val="201F1E"/>
          <w:sz w:val="24"/>
          <w:szCs w:val="24"/>
          <w:shd w:val="clear" w:color="auto" w:fill="FFFFFF"/>
        </w:rPr>
        <w:t>‘</w:t>
      </w:r>
      <w:r w:rsidR="00207134" w:rsidRPr="00582519">
        <w:rPr>
          <w:rFonts w:asciiTheme="minorHAnsi" w:hAnsiTheme="minorHAnsi" w:cs="Segoe UI"/>
          <w:color w:val="201F1E"/>
          <w:sz w:val="24"/>
          <w:szCs w:val="24"/>
          <w:shd w:val="clear" w:color="auto" w:fill="FFFFFF"/>
        </w:rPr>
        <w:t>Multilevel water governance and problems of scale. Setting the stage for a broa</w:t>
      </w:r>
      <w:r>
        <w:rPr>
          <w:rFonts w:asciiTheme="minorHAnsi" w:hAnsiTheme="minorHAnsi" w:cs="Segoe UI"/>
          <w:color w:val="201F1E"/>
          <w:sz w:val="24"/>
          <w:szCs w:val="24"/>
          <w:shd w:val="clear" w:color="auto" w:fill="FFFFFF"/>
        </w:rPr>
        <w:t>der debate’,</w:t>
      </w:r>
      <w:r w:rsidR="00207134" w:rsidRPr="00582519">
        <w:rPr>
          <w:rFonts w:asciiTheme="minorHAnsi" w:hAnsiTheme="minorHAnsi" w:cs="Segoe UI"/>
          <w:i/>
          <w:color w:val="201F1E"/>
          <w:sz w:val="24"/>
          <w:szCs w:val="24"/>
          <w:shd w:val="clear" w:color="auto" w:fill="FFFFFF"/>
        </w:rPr>
        <w:t>Environmental Management</w:t>
      </w:r>
      <w:r w:rsidR="00207134" w:rsidRPr="00582519">
        <w:rPr>
          <w:rFonts w:asciiTheme="minorHAnsi" w:hAnsiTheme="minorHAnsi" w:cs="Segoe UI"/>
          <w:color w:val="201F1E"/>
          <w:sz w:val="24"/>
          <w:szCs w:val="24"/>
          <w:shd w:val="clear" w:color="auto" w:fill="FFFFFF"/>
        </w:rPr>
        <w:t xml:space="preserve"> 46 (1), 1–6</w:t>
      </w:r>
    </w:p>
    <w:p w14:paraId="62A20956" w14:textId="77777777" w:rsidR="00795B93" w:rsidRPr="00795B93" w:rsidRDefault="00795B93" w:rsidP="00795B93">
      <w:pPr>
        <w:spacing w:before="240"/>
        <w:ind w:left="720" w:hanging="720"/>
        <w:rPr>
          <w:rFonts w:cs="Times New Roman"/>
          <w:sz w:val="24"/>
          <w:szCs w:val="24"/>
        </w:rPr>
      </w:pPr>
      <w:r w:rsidRPr="00795B93">
        <w:rPr>
          <w:rFonts w:cs="Times New Roman"/>
          <w:sz w:val="24"/>
          <w:szCs w:val="24"/>
        </w:rPr>
        <w:t xml:space="preserve">Murdoch J (2000) ‘Space against time: competing rationalities in planning for housing’, </w:t>
      </w:r>
      <w:r w:rsidRPr="00795B93">
        <w:rPr>
          <w:rFonts w:cs="Times New Roman"/>
          <w:i/>
          <w:iCs/>
          <w:sz w:val="24"/>
          <w:szCs w:val="24"/>
        </w:rPr>
        <w:t>Transactions of the Institute of British Geographers</w:t>
      </w:r>
      <w:r w:rsidRPr="00795B93">
        <w:rPr>
          <w:rFonts w:cs="Times New Roman"/>
          <w:sz w:val="24"/>
          <w:szCs w:val="24"/>
        </w:rPr>
        <w:t xml:space="preserve"> 25: 503-519.</w:t>
      </w:r>
    </w:p>
    <w:p w14:paraId="7D4D09DF" w14:textId="389594B8" w:rsidR="00795B93" w:rsidRDefault="00795B93" w:rsidP="00795B93">
      <w:pPr>
        <w:spacing w:before="240"/>
        <w:ind w:left="720" w:hanging="720"/>
        <w:rPr>
          <w:rFonts w:cs="Times New Roman"/>
          <w:sz w:val="24"/>
          <w:szCs w:val="24"/>
        </w:rPr>
      </w:pPr>
      <w:r w:rsidRPr="00795B93">
        <w:rPr>
          <w:rFonts w:cs="Times New Roman"/>
          <w:sz w:val="24"/>
          <w:szCs w:val="24"/>
        </w:rPr>
        <w:t xml:space="preserve">Nadaï, A. (2007) </w:t>
      </w:r>
      <w:proofErr w:type="gramStart"/>
      <w:r w:rsidRPr="00795B93">
        <w:rPr>
          <w:rFonts w:cs="Times New Roman"/>
          <w:sz w:val="24"/>
          <w:szCs w:val="24"/>
        </w:rPr>
        <w:t>‘”Planning</w:t>
      </w:r>
      <w:proofErr w:type="gramEnd"/>
      <w:r w:rsidRPr="00795B93">
        <w:rPr>
          <w:rFonts w:cs="Times New Roman"/>
          <w:sz w:val="24"/>
          <w:szCs w:val="24"/>
        </w:rPr>
        <w:t xml:space="preserve">”, “siting” and the local acceptance of wind power: some lessons from the French case’, </w:t>
      </w:r>
      <w:r w:rsidRPr="00795B93">
        <w:rPr>
          <w:rFonts w:cs="Times New Roman"/>
          <w:i/>
          <w:iCs/>
          <w:sz w:val="24"/>
          <w:szCs w:val="24"/>
        </w:rPr>
        <w:t>Energy Policy</w:t>
      </w:r>
      <w:r w:rsidRPr="00795B93">
        <w:rPr>
          <w:rFonts w:cs="Times New Roman"/>
          <w:sz w:val="24"/>
          <w:szCs w:val="24"/>
        </w:rPr>
        <w:t xml:space="preserve"> 35, 2715-2726.</w:t>
      </w:r>
    </w:p>
    <w:p w14:paraId="5D77218C" w14:textId="6EE171C9" w:rsidR="000A4ACC" w:rsidRPr="00795B93" w:rsidRDefault="000A4ACC" w:rsidP="00795B93">
      <w:pPr>
        <w:spacing w:before="240"/>
        <w:ind w:left="720" w:hanging="720"/>
        <w:rPr>
          <w:rFonts w:cs="Times New Roman"/>
          <w:b/>
          <w:bCs/>
          <w:sz w:val="24"/>
          <w:szCs w:val="24"/>
        </w:rPr>
      </w:pPr>
      <w:r>
        <w:rPr>
          <w:rFonts w:cs="Times New Roman"/>
          <w:sz w:val="24"/>
          <w:szCs w:val="24"/>
        </w:rPr>
        <w:t xml:space="preserve">ODPM (2004) </w:t>
      </w:r>
      <w:r w:rsidRPr="002B4405">
        <w:rPr>
          <w:rFonts w:cs="Times New Roman"/>
          <w:i/>
          <w:iCs/>
          <w:sz w:val="24"/>
          <w:szCs w:val="24"/>
        </w:rPr>
        <w:t>Planning Policy Statement 22: Renewable Energy</w:t>
      </w:r>
      <w:r>
        <w:rPr>
          <w:rFonts w:cs="Times New Roman"/>
          <w:sz w:val="24"/>
          <w:szCs w:val="24"/>
        </w:rPr>
        <w:t>, The Stationery Office</w:t>
      </w:r>
    </w:p>
    <w:p w14:paraId="0F80A3DB" w14:textId="77777777" w:rsidR="00F54C38" w:rsidRPr="00F54C38" w:rsidRDefault="0050433A" w:rsidP="00D0036F">
      <w:pPr>
        <w:pStyle w:val="EndNoteBibliography"/>
        <w:spacing w:before="240"/>
        <w:ind w:left="720" w:hanging="720"/>
        <w:rPr>
          <w:sz w:val="24"/>
          <w:szCs w:val="24"/>
        </w:rPr>
      </w:pPr>
      <w:r w:rsidRPr="0050433A">
        <w:rPr>
          <w:sz w:val="24"/>
          <w:szCs w:val="24"/>
        </w:rPr>
        <w:t xml:space="preserve">Owens S, Rayner T and Bina O (2004) ‘New agendas for appraisal: reflections on theory, practice and research’, </w:t>
      </w:r>
      <w:r w:rsidRPr="0050433A">
        <w:rPr>
          <w:i/>
          <w:sz w:val="24"/>
          <w:szCs w:val="24"/>
        </w:rPr>
        <w:t>Environment and Planning A</w:t>
      </w:r>
      <w:r w:rsidRPr="0050433A">
        <w:rPr>
          <w:sz w:val="24"/>
          <w:szCs w:val="24"/>
        </w:rPr>
        <w:t xml:space="preserve"> 36, 1943-1959</w:t>
      </w:r>
    </w:p>
    <w:p w14:paraId="551AB524" w14:textId="77777777" w:rsidR="0022164D" w:rsidRDefault="00F54C38">
      <w:pPr>
        <w:spacing w:before="240" w:line="240" w:lineRule="auto"/>
        <w:ind w:left="709" w:hanging="709"/>
        <w:rPr>
          <w:rFonts w:eastAsia="Times New Roman" w:cs="Arial"/>
          <w:color w:val="000000"/>
          <w:sz w:val="24"/>
          <w:szCs w:val="24"/>
          <w:lang w:eastAsia="en-GB"/>
        </w:rPr>
      </w:pPr>
      <w:r w:rsidRPr="00AC6287">
        <w:rPr>
          <w:rFonts w:eastAsia="Times New Roman" w:cs="Arial"/>
          <w:color w:val="000000"/>
          <w:sz w:val="24"/>
          <w:szCs w:val="24"/>
          <w:lang w:eastAsia="en-GB"/>
        </w:rPr>
        <w:t xml:space="preserve">Palmas, C., Siewert, A., &amp; von Haaren, C. (2015). Exploring the decision-space for renewable energy generation to enhance spatial efficiency. </w:t>
      </w:r>
      <w:r w:rsidRPr="00AC6287">
        <w:rPr>
          <w:rFonts w:eastAsia="Times New Roman" w:cs="Arial"/>
          <w:i/>
          <w:iCs/>
          <w:color w:val="000000"/>
          <w:sz w:val="24"/>
          <w:szCs w:val="24"/>
          <w:lang w:eastAsia="en-GB"/>
        </w:rPr>
        <w:t>Environmental Impact Assessment Review</w:t>
      </w:r>
      <w:r w:rsidRPr="00AC6287">
        <w:rPr>
          <w:rFonts w:eastAsia="Times New Roman" w:cs="Arial"/>
          <w:color w:val="000000"/>
          <w:sz w:val="24"/>
          <w:szCs w:val="24"/>
          <w:lang w:eastAsia="en-GB"/>
        </w:rPr>
        <w:t>. 52, 9-17</w:t>
      </w:r>
    </w:p>
    <w:p w14:paraId="7CA402D6" w14:textId="77777777" w:rsidR="00D82E73" w:rsidRPr="007225BA" w:rsidRDefault="00D82E73" w:rsidP="00D0036F">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PEAR 2014. Regional Plan for Energy and Environment (PEAR) Piano Energetico Ambientale Regionale Regione Puglia. In: PUGLIA, R. (ed.). Bari: Regione Puglia.</w:t>
      </w:r>
    </w:p>
    <w:p w14:paraId="3B0DC700" w14:textId="77777777" w:rsidR="00EC1B35" w:rsidRDefault="00D82E73">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Petersen J (2018) 'The application of municipal renewable energy policies at community level in Denmark: a taxonomy of implementation challenges', Sustainable Cities and Society 38, 205-218</w:t>
      </w:r>
    </w:p>
    <w:p w14:paraId="1A981D33" w14:textId="77777777" w:rsidR="00B12289" w:rsidRDefault="00B12289" w:rsidP="007225BA">
      <w:pPr>
        <w:pStyle w:val="EndNoteBibliography"/>
        <w:spacing w:before="240"/>
        <w:ind w:left="720" w:hanging="720"/>
        <w:rPr>
          <w:rFonts w:asciiTheme="minorHAnsi" w:hAnsiTheme="minorHAnsi" w:cstheme="minorHAnsi"/>
          <w:sz w:val="24"/>
          <w:szCs w:val="24"/>
        </w:rPr>
      </w:pPr>
      <w:r w:rsidRPr="00B12289">
        <w:rPr>
          <w:rFonts w:asciiTheme="minorHAnsi" w:hAnsiTheme="minorHAnsi" w:cstheme="minorHAnsi"/>
          <w:sz w:val="24"/>
          <w:szCs w:val="24"/>
        </w:rPr>
        <w:t xml:space="preserve">Power, S. and Cowell, R. 2012. Wind Power and Spatial Planning in the UK. In: Szarka, J., Cowell, R., Ellis, G., Strachan, P., Warren, C., ed. Learning from Wind Power, </w:t>
      </w:r>
      <w:r w:rsidRPr="00B12289">
        <w:rPr>
          <w:rFonts w:asciiTheme="minorHAnsi" w:hAnsiTheme="minorHAnsi" w:cstheme="minorHAnsi"/>
          <w:sz w:val="24"/>
          <w:szCs w:val="24"/>
        </w:rPr>
        <w:lastRenderedPageBreak/>
        <w:t>Governance, Societal and Policy Perspectives on Sustainable Energy.  London: Palgrave Macmillan, pp. 61-84.</w:t>
      </w:r>
    </w:p>
    <w:p w14:paraId="58A4EAF8" w14:textId="6B25B9FC" w:rsidR="00334BA3" w:rsidRPr="007225BA" w:rsidRDefault="00334BA3" w:rsidP="00334BA3">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 xml:space="preserve">Regione Toscana </w:t>
      </w:r>
      <w:r w:rsidR="00F45A19">
        <w:rPr>
          <w:rFonts w:asciiTheme="minorHAnsi" w:hAnsiTheme="minorHAnsi" w:cstheme="minorHAnsi"/>
          <w:sz w:val="24"/>
          <w:szCs w:val="24"/>
        </w:rPr>
        <w:t>(</w:t>
      </w:r>
      <w:r w:rsidRPr="007225BA">
        <w:rPr>
          <w:rFonts w:asciiTheme="minorHAnsi" w:hAnsiTheme="minorHAnsi" w:cstheme="minorHAnsi"/>
          <w:sz w:val="24"/>
          <w:szCs w:val="24"/>
        </w:rPr>
        <w:t>200</w:t>
      </w:r>
      <w:r>
        <w:rPr>
          <w:rFonts w:asciiTheme="minorHAnsi" w:hAnsiTheme="minorHAnsi" w:cstheme="minorHAnsi"/>
          <w:sz w:val="24"/>
          <w:szCs w:val="24"/>
        </w:rPr>
        <w:t>0</w:t>
      </w:r>
      <w:r w:rsidR="00F45A19">
        <w:rPr>
          <w:rFonts w:asciiTheme="minorHAnsi" w:hAnsiTheme="minorHAnsi" w:cstheme="minorHAnsi"/>
          <w:sz w:val="24"/>
          <w:szCs w:val="24"/>
        </w:rPr>
        <w:t>)</w:t>
      </w:r>
      <w:r w:rsidRPr="007225BA">
        <w:rPr>
          <w:rFonts w:asciiTheme="minorHAnsi" w:hAnsiTheme="minorHAnsi" w:cstheme="minorHAnsi"/>
          <w:sz w:val="24"/>
          <w:szCs w:val="24"/>
        </w:rPr>
        <w:t xml:space="preserve"> </w:t>
      </w:r>
      <w:r w:rsidR="00E45529" w:rsidRPr="008C5590">
        <w:rPr>
          <w:rFonts w:asciiTheme="minorHAnsi" w:hAnsiTheme="minorHAnsi" w:cstheme="minorHAnsi"/>
          <w:i/>
          <w:sz w:val="24"/>
          <w:szCs w:val="24"/>
        </w:rPr>
        <w:t>Piano Energetico Regionale</w:t>
      </w:r>
      <w:r w:rsidRPr="007225BA">
        <w:rPr>
          <w:rFonts w:asciiTheme="minorHAnsi" w:hAnsiTheme="minorHAnsi" w:cstheme="minorHAnsi"/>
          <w:sz w:val="24"/>
          <w:szCs w:val="24"/>
        </w:rPr>
        <w:t>, Firenze: Regione Toscana.</w:t>
      </w:r>
    </w:p>
    <w:p w14:paraId="49D703D6" w14:textId="215CF90D" w:rsidR="00D82E73" w:rsidRPr="007225BA" w:rsidRDefault="00715E67"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 xml:space="preserve">Regione Toscana </w:t>
      </w:r>
      <w:r w:rsidR="00D82E73" w:rsidRPr="007225BA">
        <w:rPr>
          <w:rFonts w:asciiTheme="minorHAnsi" w:hAnsiTheme="minorHAnsi" w:cstheme="minorHAnsi"/>
          <w:sz w:val="24"/>
          <w:szCs w:val="24"/>
        </w:rPr>
        <w:t>2008. Piano di Indirizzo Energetico Regionale (PIER), Firenze: Regione Toscana.</w:t>
      </w:r>
    </w:p>
    <w:p w14:paraId="58BAF71E"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Rein, M and Schön, D 1996‘Frame-critical policy analysis and frame-reflective policy practice’ Knowledge and Policy 9 (1):85-104</w:t>
      </w:r>
    </w:p>
    <w:p w14:paraId="17A71397" w14:textId="77777777" w:rsidR="00D82E73" w:rsidRPr="007225BA" w:rsidRDefault="00F54C38" w:rsidP="007225BA">
      <w:pPr>
        <w:pStyle w:val="EndNoteBibliography"/>
        <w:spacing w:before="240"/>
        <w:ind w:left="720" w:hanging="720"/>
        <w:rPr>
          <w:rFonts w:asciiTheme="minorHAnsi" w:hAnsiTheme="minorHAnsi" w:cstheme="minorHAnsi"/>
          <w:sz w:val="24"/>
          <w:szCs w:val="24"/>
        </w:rPr>
      </w:pPr>
      <w:r>
        <w:rPr>
          <w:color w:val="000000" w:themeColor="text1"/>
          <w:sz w:val="24"/>
          <w:szCs w:val="24"/>
        </w:rPr>
        <w:t xml:space="preserve">Riles, A. (2006) </w:t>
      </w:r>
      <w:r w:rsidRPr="00E11220">
        <w:rPr>
          <w:i/>
          <w:color w:val="000000" w:themeColor="text1"/>
          <w:sz w:val="24"/>
          <w:szCs w:val="24"/>
        </w:rPr>
        <w:t>Documents. Artifacts of Modern Knowledge</w:t>
      </w:r>
      <w:r>
        <w:rPr>
          <w:color w:val="000000" w:themeColor="text1"/>
          <w:sz w:val="24"/>
          <w:szCs w:val="24"/>
        </w:rPr>
        <w:t>, University of Michigan Press.</w:t>
      </w:r>
    </w:p>
    <w:p w14:paraId="7FA74B96"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RSE 2011. Energia eolica e sviluppo locale Territori, green economy e processi partecipativi. Rome: Ricerca Sistema Energetico - RSE SpA.</w:t>
      </w:r>
    </w:p>
    <w:p w14:paraId="500BC17D" w14:textId="77777777" w:rsidR="00F52C77" w:rsidRPr="007225BA" w:rsidRDefault="00F52C77" w:rsidP="00F52C77">
      <w:pPr>
        <w:spacing w:before="240" w:line="240" w:lineRule="auto"/>
        <w:jc w:val="both"/>
        <w:rPr>
          <w:rFonts w:cstheme="minorHAnsi"/>
          <w:sz w:val="24"/>
          <w:szCs w:val="24"/>
        </w:rPr>
      </w:pPr>
      <w:r w:rsidRPr="007225BA">
        <w:rPr>
          <w:rFonts w:cstheme="minorHAnsi"/>
          <w:sz w:val="24"/>
          <w:szCs w:val="24"/>
        </w:rPr>
        <w:t xml:space="preserve">Scottish Government </w:t>
      </w:r>
      <w:r w:rsidR="00345DF6">
        <w:rPr>
          <w:rFonts w:cstheme="minorHAnsi"/>
          <w:sz w:val="24"/>
          <w:szCs w:val="24"/>
        </w:rPr>
        <w:t>(</w:t>
      </w:r>
      <w:r w:rsidRPr="00345DF6">
        <w:rPr>
          <w:rFonts w:cstheme="minorHAnsi"/>
          <w:sz w:val="24"/>
          <w:szCs w:val="24"/>
        </w:rPr>
        <w:t>20</w:t>
      </w:r>
      <w:r w:rsidR="0050433A" w:rsidRPr="0050433A">
        <w:rPr>
          <w:rFonts w:cstheme="minorHAnsi"/>
          <w:sz w:val="24"/>
          <w:szCs w:val="24"/>
        </w:rPr>
        <w:t xml:space="preserve">14) </w:t>
      </w:r>
      <w:r w:rsidR="0050433A" w:rsidRPr="0050433A">
        <w:rPr>
          <w:rFonts w:cstheme="minorHAnsi"/>
          <w:i/>
          <w:sz w:val="24"/>
          <w:szCs w:val="24"/>
        </w:rPr>
        <w:t>Scottish Planning Policy</w:t>
      </w:r>
      <w:r w:rsidR="0050433A" w:rsidRPr="0050433A">
        <w:rPr>
          <w:rFonts w:cstheme="minorHAnsi"/>
          <w:sz w:val="24"/>
          <w:szCs w:val="24"/>
        </w:rPr>
        <w:t>, Scottish Government, Edinburgh</w:t>
      </w:r>
    </w:p>
    <w:p w14:paraId="6E0AA5F5" w14:textId="77777777" w:rsidR="00D82E73" w:rsidRPr="007225BA" w:rsidRDefault="00715E67"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 xml:space="preserve">Servillo, l. &amp; Lingua, </w:t>
      </w:r>
      <w:r w:rsidR="00D82E73" w:rsidRPr="007225BA">
        <w:rPr>
          <w:rFonts w:asciiTheme="minorHAnsi" w:hAnsiTheme="minorHAnsi" w:cstheme="minorHAnsi"/>
          <w:sz w:val="24"/>
          <w:szCs w:val="24"/>
        </w:rPr>
        <w:t>V. 2014. The Innovation of the Italian Planning System: Actors, Path Dependencies, Cultural Contradictions and a Missing Epilogue. European Planning Studies, 22, 400-417.</w:t>
      </w:r>
    </w:p>
    <w:p w14:paraId="298DA822" w14:textId="77777777" w:rsidR="00B12289" w:rsidRDefault="00B12289" w:rsidP="007225BA">
      <w:pPr>
        <w:pStyle w:val="EndNoteBibliography"/>
        <w:spacing w:before="240"/>
        <w:ind w:left="720" w:hanging="720"/>
        <w:rPr>
          <w:rFonts w:asciiTheme="minorHAnsi" w:hAnsiTheme="minorHAnsi" w:cstheme="minorHAnsi"/>
          <w:sz w:val="24"/>
          <w:szCs w:val="24"/>
        </w:rPr>
      </w:pPr>
      <w:r w:rsidRPr="00B12289">
        <w:rPr>
          <w:rFonts w:asciiTheme="minorHAnsi" w:hAnsiTheme="minorHAnsi" w:cstheme="minorHAnsi"/>
          <w:sz w:val="24"/>
          <w:szCs w:val="24"/>
        </w:rPr>
        <w:t>Stevenson, R. 2009. Discourse, power, and energy conflicts: Understanding Welsh renewable energy planning policy. Environment and Planning C: Government and Policy 27(3), pp. 512-526.</w:t>
      </w:r>
    </w:p>
    <w:p w14:paraId="3A77EB35" w14:textId="77777777" w:rsidR="00D82E73"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W</w:t>
      </w:r>
      <w:r w:rsidR="00C010FF" w:rsidRPr="007225BA">
        <w:rPr>
          <w:rFonts w:asciiTheme="minorHAnsi" w:hAnsiTheme="minorHAnsi" w:cstheme="minorHAnsi"/>
          <w:sz w:val="24"/>
          <w:szCs w:val="24"/>
        </w:rPr>
        <w:t>alker</w:t>
      </w:r>
      <w:r w:rsidRPr="007225BA">
        <w:rPr>
          <w:rFonts w:asciiTheme="minorHAnsi" w:hAnsiTheme="minorHAnsi" w:cstheme="minorHAnsi"/>
          <w:sz w:val="24"/>
          <w:szCs w:val="24"/>
        </w:rPr>
        <w:t>, G. 1995. Energy, land use and renewables. A changing agenda. Land Use Policy, 12, 3-6.</w:t>
      </w:r>
    </w:p>
    <w:p w14:paraId="25871557" w14:textId="02703E37" w:rsidR="00310AEA" w:rsidRDefault="00F54C38" w:rsidP="007225BA">
      <w:pPr>
        <w:pStyle w:val="EndNoteBibliography"/>
        <w:spacing w:before="240"/>
        <w:ind w:left="720" w:hanging="720"/>
        <w:rPr>
          <w:sz w:val="24"/>
          <w:szCs w:val="24"/>
        </w:rPr>
      </w:pPr>
      <w:r w:rsidRPr="00F54C38">
        <w:rPr>
          <w:sz w:val="24"/>
          <w:szCs w:val="24"/>
        </w:rPr>
        <w:t>WAG (Welsh Assembly Government) (2005)Technical Advice Note 8: Planning for Renewable Energy, July, WAG: Cardiff.</w:t>
      </w:r>
    </w:p>
    <w:p w14:paraId="270F7CA1" w14:textId="182CEC42" w:rsidR="00887C45" w:rsidRPr="00F54C38" w:rsidRDefault="00887C45" w:rsidP="007225BA">
      <w:pPr>
        <w:pStyle w:val="EndNoteBibliography"/>
        <w:spacing w:before="240"/>
        <w:ind w:left="720" w:hanging="720"/>
        <w:rPr>
          <w:rFonts w:asciiTheme="minorHAnsi" w:hAnsiTheme="minorHAnsi" w:cstheme="minorHAnsi"/>
          <w:sz w:val="24"/>
          <w:szCs w:val="24"/>
        </w:rPr>
      </w:pPr>
      <w:r>
        <w:rPr>
          <w:rFonts w:eastAsia="Times New Roman" w:cs="Times New Roman"/>
          <w:sz w:val="24"/>
          <w:szCs w:val="24"/>
        </w:rPr>
        <w:t>WAG (</w:t>
      </w:r>
      <w:r w:rsidRPr="00045D07">
        <w:rPr>
          <w:rFonts w:eastAsia="Times New Roman" w:cs="Times New Roman"/>
          <w:sz w:val="24"/>
          <w:szCs w:val="24"/>
        </w:rPr>
        <w:t>Welsh Assembly Government</w:t>
      </w:r>
      <w:r>
        <w:rPr>
          <w:rFonts w:eastAsia="Times New Roman" w:cs="Times New Roman"/>
          <w:sz w:val="24"/>
          <w:szCs w:val="24"/>
        </w:rPr>
        <w:t>)</w:t>
      </w:r>
      <w:r w:rsidRPr="00045D07">
        <w:rPr>
          <w:rFonts w:eastAsia="Times New Roman" w:cs="Times New Roman"/>
          <w:sz w:val="24"/>
          <w:szCs w:val="24"/>
        </w:rPr>
        <w:t xml:space="preserve"> (2010) </w:t>
      </w:r>
      <w:r w:rsidRPr="00045D07">
        <w:rPr>
          <w:rFonts w:eastAsia="Times New Roman" w:cs="Times New Roman"/>
          <w:i/>
          <w:iCs/>
          <w:sz w:val="24"/>
          <w:szCs w:val="24"/>
        </w:rPr>
        <w:t>A Low Carbon Revolution: The Welsh Assembly Government Energy Policy Statement</w:t>
      </w:r>
      <w:r w:rsidRPr="00045D07">
        <w:rPr>
          <w:rFonts w:eastAsia="Times New Roman" w:cs="Times New Roman"/>
          <w:sz w:val="24"/>
          <w:szCs w:val="24"/>
        </w:rPr>
        <w:t>, March</w:t>
      </w:r>
    </w:p>
    <w:p w14:paraId="4A4A7037" w14:textId="77777777" w:rsidR="00D82E73" w:rsidRPr="00F54C38" w:rsidRDefault="00F54C38" w:rsidP="007225BA">
      <w:pPr>
        <w:pStyle w:val="EndNoteBibliography"/>
        <w:spacing w:before="240"/>
        <w:ind w:left="720" w:hanging="720"/>
        <w:rPr>
          <w:rFonts w:cstheme="minorHAnsi"/>
          <w:sz w:val="24"/>
          <w:szCs w:val="24"/>
          <w:highlight w:val="yellow"/>
        </w:rPr>
      </w:pPr>
      <w:r w:rsidRPr="00F54C38">
        <w:rPr>
          <w:rFonts w:cs="Times New Roman"/>
          <w:sz w:val="24"/>
          <w:szCs w:val="24"/>
        </w:rPr>
        <w:t xml:space="preserve">Warren, C. R. and Birnie, R. V. (2009) ‘Re-powering Scotland: wind farms and the ‘energy or environment?’ debate’, </w:t>
      </w:r>
      <w:r w:rsidRPr="00F54C38">
        <w:rPr>
          <w:rFonts w:cs="Times New Roman"/>
          <w:i/>
          <w:iCs/>
          <w:sz w:val="24"/>
          <w:szCs w:val="24"/>
        </w:rPr>
        <w:t>Scottish Geographical Journal</w:t>
      </w:r>
      <w:r w:rsidRPr="00F54C38">
        <w:rPr>
          <w:rFonts w:cs="Times New Roman"/>
          <w:sz w:val="24"/>
          <w:szCs w:val="24"/>
        </w:rPr>
        <w:t xml:space="preserve"> 125(2), 97-126.</w:t>
      </w:r>
    </w:p>
    <w:p w14:paraId="24BFBE02" w14:textId="77777777" w:rsidR="00D82E73" w:rsidRPr="00F54C38" w:rsidRDefault="00F54C38" w:rsidP="007225BA">
      <w:pPr>
        <w:pStyle w:val="EndNoteBibliography"/>
        <w:spacing w:before="240"/>
        <w:ind w:left="720" w:hanging="720"/>
        <w:rPr>
          <w:rFonts w:cstheme="minorHAnsi"/>
          <w:sz w:val="24"/>
          <w:szCs w:val="24"/>
        </w:rPr>
      </w:pPr>
      <w:r w:rsidRPr="00F54C38">
        <w:rPr>
          <w:rFonts w:eastAsia="Calibri"/>
          <w:sz w:val="24"/>
          <w:szCs w:val="24"/>
        </w:rPr>
        <w:t xml:space="preserve">Watson M, Bulkeley H and Hudson R (2008) ‘Unpicking environmental policy integration with tales from waste management’, </w:t>
      </w:r>
      <w:r w:rsidRPr="00F54C38">
        <w:rPr>
          <w:rFonts w:eastAsia="Calibri"/>
          <w:i/>
          <w:sz w:val="24"/>
          <w:szCs w:val="24"/>
        </w:rPr>
        <w:t>Environment and Planning C: Government and Policy</w:t>
      </w:r>
      <w:r w:rsidRPr="00F54C38">
        <w:rPr>
          <w:rFonts w:eastAsia="Calibri"/>
          <w:sz w:val="24"/>
          <w:szCs w:val="24"/>
        </w:rPr>
        <w:t xml:space="preserve"> 26, 481-498.</w:t>
      </w:r>
    </w:p>
    <w:p w14:paraId="6AE905E6" w14:textId="77777777" w:rsidR="00310AEA" w:rsidRPr="00F54C38" w:rsidRDefault="00F54C38" w:rsidP="007225BA">
      <w:pPr>
        <w:pStyle w:val="EndNoteBibliography"/>
        <w:spacing w:before="240"/>
        <w:ind w:left="720" w:hanging="720"/>
        <w:rPr>
          <w:rFonts w:asciiTheme="minorHAnsi" w:hAnsiTheme="minorHAnsi" w:cstheme="minorHAnsi"/>
          <w:sz w:val="24"/>
          <w:szCs w:val="24"/>
        </w:rPr>
      </w:pPr>
      <w:r w:rsidRPr="00F54C38">
        <w:rPr>
          <w:rFonts w:asciiTheme="minorHAnsi" w:hAnsiTheme="minorHAnsi" w:cs="Times New Roman"/>
          <w:sz w:val="24"/>
          <w:szCs w:val="24"/>
        </w:rPr>
        <w:t xml:space="preserve">Wolsink M (1996) ‘Dutch wind power policy: stagnating implementation of renewables’, </w:t>
      </w:r>
      <w:r w:rsidRPr="00F54C38">
        <w:rPr>
          <w:rFonts w:asciiTheme="minorHAnsi" w:hAnsiTheme="minorHAnsi" w:cs="Times New Roman"/>
          <w:i/>
          <w:sz w:val="24"/>
          <w:szCs w:val="24"/>
        </w:rPr>
        <w:t>Energy Policy</w:t>
      </w:r>
      <w:r w:rsidRPr="00F54C38">
        <w:rPr>
          <w:rFonts w:asciiTheme="minorHAnsi" w:hAnsiTheme="minorHAnsi" w:cs="Times New Roman"/>
          <w:sz w:val="24"/>
          <w:szCs w:val="24"/>
        </w:rPr>
        <w:t xml:space="preserve"> 24(12), 1079-1088.</w:t>
      </w:r>
    </w:p>
    <w:p w14:paraId="08944B15" w14:textId="77777777" w:rsidR="00D82E73" w:rsidRPr="007225BA" w:rsidRDefault="00D82E73" w:rsidP="007225BA">
      <w:pPr>
        <w:pStyle w:val="EndNoteBibliography"/>
        <w:spacing w:before="240"/>
        <w:ind w:left="720" w:hanging="720"/>
        <w:rPr>
          <w:rFonts w:asciiTheme="minorHAnsi" w:hAnsiTheme="minorHAnsi" w:cstheme="minorHAnsi"/>
          <w:sz w:val="24"/>
          <w:szCs w:val="24"/>
        </w:rPr>
      </w:pPr>
      <w:r w:rsidRPr="007225BA">
        <w:rPr>
          <w:rFonts w:asciiTheme="minorHAnsi" w:hAnsiTheme="minorHAnsi" w:cstheme="minorHAnsi"/>
          <w:sz w:val="24"/>
          <w:szCs w:val="24"/>
        </w:rPr>
        <w:t>W</w:t>
      </w:r>
      <w:r w:rsidR="00C010FF" w:rsidRPr="007225BA">
        <w:rPr>
          <w:rFonts w:asciiTheme="minorHAnsi" w:hAnsiTheme="minorHAnsi" w:cstheme="minorHAnsi"/>
          <w:sz w:val="24"/>
          <w:szCs w:val="24"/>
        </w:rPr>
        <w:t>olsink</w:t>
      </w:r>
      <w:r w:rsidRPr="007225BA">
        <w:rPr>
          <w:rFonts w:asciiTheme="minorHAnsi" w:hAnsiTheme="minorHAnsi" w:cstheme="minorHAnsi"/>
          <w:sz w:val="24"/>
          <w:szCs w:val="24"/>
        </w:rPr>
        <w:t>, M. 2017. Co-production in distributed generation: renewable energy and creating space for fitting infrastructure within landscapes. Landscape Research, 1-20.</w:t>
      </w:r>
    </w:p>
    <w:p w14:paraId="3C11284A" w14:textId="27DE0090" w:rsidR="0022164D" w:rsidRDefault="0050433A">
      <w:pPr>
        <w:spacing w:before="240" w:line="240" w:lineRule="auto"/>
        <w:ind w:left="709" w:hanging="709"/>
        <w:rPr>
          <w:sz w:val="24"/>
          <w:szCs w:val="24"/>
        </w:rPr>
      </w:pPr>
      <w:r w:rsidRPr="0050433A">
        <w:rPr>
          <w:rFonts w:cstheme="minorHAnsi"/>
          <w:sz w:val="24"/>
          <w:szCs w:val="24"/>
        </w:rPr>
        <w:t>Wu, G. at al (2020</w:t>
      </w:r>
      <w:r w:rsidR="006179BF" w:rsidRPr="006179BF">
        <w:rPr>
          <w:rFonts w:cstheme="minorHAnsi"/>
          <w:sz w:val="24"/>
          <w:szCs w:val="24"/>
        </w:rPr>
        <w:t>) ‘</w:t>
      </w:r>
      <w:r w:rsidRPr="0050433A">
        <w:rPr>
          <w:sz w:val="24"/>
          <w:szCs w:val="24"/>
        </w:rPr>
        <w:t>Low-impact land use pathways to deep decarbonization of electricity’,</w:t>
      </w:r>
      <w:r w:rsidR="002B4405">
        <w:rPr>
          <w:sz w:val="24"/>
          <w:szCs w:val="24"/>
        </w:rPr>
        <w:t xml:space="preserve"> </w:t>
      </w:r>
      <w:r w:rsidRPr="0050433A">
        <w:rPr>
          <w:i/>
          <w:sz w:val="24"/>
          <w:szCs w:val="24"/>
        </w:rPr>
        <w:t>Environmental Research Letters</w:t>
      </w:r>
      <w:r w:rsidR="006179BF">
        <w:rPr>
          <w:sz w:val="24"/>
          <w:szCs w:val="24"/>
        </w:rPr>
        <w:t>15</w:t>
      </w:r>
    </w:p>
    <w:p w14:paraId="5C36B8D5" w14:textId="2CA3B3EB" w:rsidR="0013102C" w:rsidRDefault="0013102C" w:rsidP="001609F7">
      <w:pPr>
        <w:tabs>
          <w:tab w:val="left" w:pos="0"/>
        </w:tabs>
        <w:spacing w:line="240" w:lineRule="auto"/>
        <w:jc w:val="both"/>
        <w:rPr>
          <w:b/>
          <w:bCs/>
          <w:noProof/>
          <w:sz w:val="24"/>
          <w:szCs w:val="24"/>
        </w:rPr>
      </w:pPr>
      <w:r>
        <w:rPr>
          <w:b/>
          <w:bCs/>
          <w:noProof/>
          <w:sz w:val="24"/>
          <w:szCs w:val="24"/>
        </w:rPr>
        <w:lastRenderedPageBreak/>
        <w:drawing>
          <wp:inline distT="0" distB="0" distL="0" distR="0" wp14:anchorId="1F3A1836" wp14:editId="7457D6CE">
            <wp:extent cx="6214110" cy="4190704"/>
            <wp:effectExtent l="0" t="0" r="0" b="0"/>
            <wp:docPr id="3" name="Picture 3" descr="Figure 1 case study locations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case study locations - PowerPoint"/>
                    <pic:cNvPicPr/>
                  </pic:nvPicPr>
                  <pic:blipFill rotWithShape="1">
                    <a:blip r:embed="rId12">
                      <a:extLst>
                        <a:ext uri="{28A0092B-C50C-407E-A947-70E740481C1C}">
                          <a14:useLocalDpi xmlns:a14="http://schemas.microsoft.com/office/drawing/2010/main" val="0"/>
                        </a:ext>
                      </a:extLst>
                    </a:blip>
                    <a:srcRect l="29748" t="28032" r="27377" b="18952"/>
                    <a:stretch/>
                  </pic:blipFill>
                  <pic:spPr bwMode="auto">
                    <a:xfrm>
                      <a:off x="0" y="0"/>
                      <a:ext cx="6225145" cy="4198146"/>
                    </a:xfrm>
                    <a:prstGeom prst="rect">
                      <a:avLst/>
                    </a:prstGeom>
                    <a:ln>
                      <a:noFill/>
                    </a:ln>
                    <a:extLst>
                      <a:ext uri="{53640926-AAD7-44D8-BBD7-CCE9431645EC}">
                        <a14:shadowObscured xmlns:a14="http://schemas.microsoft.com/office/drawing/2010/main"/>
                      </a:ext>
                    </a:extLst>
                  </pic:spPr>
                </pic:pic>
              </a:graphicData>
            </a:graphic>
          </wp:inline>
        </w:drawing>
      </w:r>
    </w:p>
    <w:p w14:paraId="46EAAB4D" w14:textId="325B3D18" w:rsidR="0013102C" w:rsidRDefault="0013102C" w:rsidP="001609F7">
      <w:pPr>
        <w:tabs>
          <w:tab w:val="left" w:pos="0"/>
        </w:tabs>
        <w:spacing w:line="240" w:lineRule="auto"/>
        <w:jc w:val="both"/>
        <w:rPr>
          <w:b/>
          <w:bCs/>
          <w:noProof/>
          <w:sz w:val="24"/>
          <w:szCs w:val="24"/>
        </w:rPr>
      </w:pPr>
    </w:p>
    <w:p w14:paraId="3B5AE59D" w14:textId="61569655" w:rsidR="001609F7" w:rsidRDefault="001609F7" w:rsidP="001609F7">
      <w:pPr>
        <w:tabs>
          <w:tab w:val="left" w:pos="0"/>
        </w:tabs>
        <w:spacing w:line="240" w:lineRule="auto"/>
        <w:jc w:val="both"/>
        <w:rPr>
          <w:b/>
          <w:bCs/>
          <w:sz w:val="24"/>
          <w:szCs w:val="24"/>
        </w:rPr>
      </w:pPr>
    </w:p>
    <w:p w14:paraId="3CECDDFA" w14:textId="77777777" w:rsidR="001609F7" w:rsidRDefault="001609F7">
      <w:pPr>
        <w:spacing w:after="160" w:line="259" w:lineRule="auto"/>
        <w:rPr>
          <w:b/>
          <w:bCs/>
          <w:sz w:val="24"/>
          <w:szCs w:val="24"/>
        </w:rPr>
      </w:pPr>
      <w:r>
        <w:rPr>
          <w:b/>
          <w:bCs/>
          <w:sz w:val="24"/>
          <w:szCs w:val="24"/>
        </w:rPr>
        <w:br w:type="page"/>
      </w:r>
    </w:p>
    <w:p w14:paraId="1159A350" w14:textId="14CF871C" w:rsidR="001609F7" w:rsidRPr="00C20F50" w:rsidRDefault="001609F7" w:rsidP="001609F7">
      <w:pPr>
        <w:rPr>
          <w:b/>
          <w:sz w:val="24"/>
          <w:szCs w:val="24"/>
        </w:rPr>
      </w:pPr>
      <w:r w:rsidRPr="00C20F50">
        <w:rPr>
          <w:b/>
          <w:sz w:val="24"/>
          <w:szCs w:val="24"/>
        </w:rPr>
        <w:lastRenderedPageBreak/>
        <w:t xml:space="preserve">Figure </w:t>
      </w:r>
      <w:r>
        <w:rPr>
          <w:b/>
          <w:sz w:val="24"/>
          <w:szCs w:val="24"/>
        </w:rPr>
        <w:t>2</w:t>
      </w:r>
      <w:r w:rsidRPr="00C20F50">
        <w:rPr>
          <w:b/>
          <w:sz w:val="24"/>
          <w:szCs w:val="24"/>
        </w:rPr>
        <w:t xml:space="preserve">: Installed capacity </w:t>
      </w:r>
      <w:r>
        <w:rPr>
          <w:b/>
          <w:sz w:val="24"/>
          <w:szCs w:val="24"/>
        </w:rPr>
        <w:t xml:space="preserve">(MW) </w:t>
      </w:r>
      <w:r w:rsidRPr="00C20F50">
        <w:rPr>
          <w:b/>
          <w:sz w:val="24"/>
          <w:szCs w:val="24"/>
        </w:rPr>
        <w:t xml:space="preserve">of </w:t>
      </w:r>
      <w:proofErr w:type="gramStart"/>
      <w:r w:rsidRPr="00C20F50">
        <w:rPr>
          <w:b/>
          <w:sz w:val="24"/>
          <w:szCs w:val="24"/>
        </w:rPr>
        <w:t>on-shore</w:t>
      </w:r>
      <w:proofErr w:type="gramEnd"/>
      <w:r w:rsidRPr="00C20F50">
        <w:rPr>
          <w:b/>
          <w:sz w:val="24"/>
          <w:szCs w:val="24"/>
        </w:rPr>
        <w:t xml:space="preserve"> wind energy in six UK and Italian regions</w:t>
      </w:r>
    </w:p>
    <w:p w14:paraId="36DAF3D4" w14:textId="77777777" w:rsidR="001609F7" w:rsidRDefault="001609F7" w:rsidP="001609F7">
      <w:pPr>
        <w:rPr>
          <w:sz w:val="24"/>
          <w:szCs w:val="24"/>
        </w:rPr>
      </w:pPr>
      <w:r w:rsidRPr="00C20F50">
        <w:rPr>
          <w:sz w:val="24"/>
          <w:szCs w:val="24"/>
        </w:rPr>
        <w:t xml:space="preserve">Source: BEIS (2020); </w:t>
      </w:r>
      <w:r w:rsidRPr="009674C1">
        <w:rPr>
          <w:sz w:val="24"/>
          <w:szCs w:val="24"/>
        </w:rPr>
        <w:t>GSE (2018).</w:t>
      </w:r>
    </w:p>
    <w:p w14:paraId="08C8D599" w14:textId="77777777" w:rsidR="001609F7" w:rsidRDefault="001609F7" w:rsidP="001609F7">
      <w:r>
        <w:rPr>
          <w:noProof/>
          <w:lang w:eastAsia="en-GB"/>
        </w:rPr>
        <w:drawing>
          <wp:inline distT="0" distB="0" distL="0" distR="0" wp14:anchorId="58F8F28C" wp14:editId="617DD4E0">
            <wp:extent cx="5410200" cy="3914775"/>
            <wp:effectExtent l="0" t="0" r="0" b="0"/>
            <wp:docPr id="1" name="Chart 1">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DF8C30" w14:textId="1BB7104C" w:rsidR="001609F7" w:rsidRDefault="001609F7">
      <w:pPr>
        <w:spacing w:after="160" w:line="259" w:lineRule="auto"/>
        <w:rPr>
          <w:b/>
          <w:bCs/>
          <w:sz w:val="24"/>
          <w:szCs w:val="24"/>
        </w:rPr>
      </w:pPr>
    </w:p>
    <w:p w14:paraId="4180A328" w14:textId="77777777" w:rsidR="0013102C" w:rsidRDefault="0013102C">
      <w:pPr>
        <w:spacing w:after="160" w:line="259" w:lineRule="auto"/>
        <w:rPr>
          <w:b/>
          <w:bCs/>
          <w:sz w:val="24"/>
          <w:szCs w:val="24"/>
        </w:rPr>
      </w:pPr>
      <w:r>
        <w:rPr>
          <w:b/>
          <w:bCs/>
          <w:sz w:val="24"/>
          <w:szCs w:val="24"/>
        </w:rPr>
        <w:br w:type="page"/>
      </w:r>
    </w:p>
    <w:p w14:paraId="2C187AB1" w14:textId="65567984" w:rsidR="001609F7" w:rsidRDefault="001609F7" w:rsidP="001609F7">
      <w:pPr>
        <w:tabs>
          <w:tab w:val="left" w:pos="0"/>
        </w:tabs>
        <w:spacing w:line="240" w:lineRule="auto"/>
        <w:jc w:val="both"/>
        <w:rPr>
          <w:b/>
          <w:bCs/>
          <w:sz w:val="24"/>
          <w:szCs w:val="24"/>
        </w:rPr>
      </w:pPr>
      <w:r w:rsidRPr="002148D5">
        <w:rPr>
          <w:b/>
          <w:bCs/>
          <w:sz w:val="24"/>
          <w:szCs w:val="24"/>
        </w:rPr>
        <w:lastRenderedPageBreak/>
        <w:t xml:space="preserve">Table </w:t>
      </w:r>
      <w:r>
        <w:rPr>
          <w:b/>
          <w:bCs/>
          <w:sz w:val="24"/>
          <w:szCs w:val="24"/>
        </w:rPr>
        <w:t>1: Inherent dilemmas in spatial planning approaches to renewable energy development</w:t>
      </w:r>
    </w:p>
    <w:p w14:paraId="4227A94C" w14:textId="77777777" w:rsidR="001609F7" w:rsidRPr="002148D5" w:rsidRDefault="001609F7" w:rsidP="001609F7">
      <w:pPr>
        <w:tabs>
          <w:tab w:val="left" w:pos="0"/>
        </w:tabs>
        <w:spacing w:line="240" w:lineRule="auto"/>
        <w:jc w:val="both"/>
        <w:rPr>
          <w:b/>
          <w:bCs/>
          <w:sz w:val="24"/>
          <w:szCs w:val="24"/>
        </w:rPr>
      </w:pPr>
    </w:p>
    <w:tbl>
      <w:tblPr>
        <w:tblStyle w:val="TableGrid"/>
        <w:tblW w:w="9464" w:type="dxa"/>
        <w:tblLook w:val="04A0" w:firstRow="1" w:lastRow="0" w:firstColumn="1" w:lastColumn="0" w:noHBand="0" w:noVBand="1"/>
      </w:tblPr>
      <w:tblGrid>
        <w:gridCol w:w="1384"/>
        <w:gridCol w:w="2977"/>
        <w:gridCol w:w="5103"/>
      </w:tblGrid>
      <w:tr w:rsidR="001609F7" w:rsidRPr="00E923E7" w14:paraId="43C5F48C" w14:textId="77777777" w:rsidTr="00DF7ED2">
        <w:tc>
          <w:tcPr>
            <w:tcW w:w="1384" w:type="dxa"/>
          </w:tcPr>
          <w:p w14:paraId="0696B004" w14:textId="77777777" w:rsidR="001609F7" w:rsidRPr="00E923E7" w:rsidRDefault="001609F7" w:rsidP="00DF7ED2">
            <w:pPr>
              <w:jc w:val="center"/>
              <w:rPr>
                <w:b/>
                <w:bCs/>
                <w:i/>
                <w:iCs/>
                <w:sz w:val="20"/>
                <w:szCs w:val="20"/>
              </w:rPr>
            </w:pPr>
            <w:r w:rsidRPr="00E923E7">
              <w:rPr>
                <w:b/>
                <w:bCs/>
                <w:i/>
                <w:iCs/>
                <w:sz w:val="20"/>
                <w:szCs w:val="20"/>
              </w:rPr>
              <w:t>Dimension</w:t>
            </w:r>
          </w:p>
        </w:tc>
        <w:tc>
          <w:tcPr>
            <w:tcW w:w="2977" w:type="dxa"/>
          </w:tcPr>
          <w:p w14:paraId="5DEB300A" w14:textId="77777777" w:rsidR="001609F7" w:rsidRPr="00E923E7" w:rsidRDefault="001609F7" w:rsidP="00DF7ED2">
            <w:pPr>
              <w:jc w:val="center"/>
              <w:rPr>
                <w:b/>
                <w:bCs/>
                <w:i/>
                <w:iCs/>
                <w:sz w:val="20"/>
                <w:szCs w:val="20"/>
              </w:rPr>
            </w:pPr>
            <w:r w:rsidRPr="00E923E7">
              <w:rPr>
                <w:b/>
                <w:bCs/>
                <w:i/>
                <w:iCs/>
                <w:sz w:val="20"/>
                <w:szCs w:val="20"/>
              </w:rPr>
              <w:t xml:space="preserve">Description </w:t>
            </w:r>
          </w:p>
        </w:tc>
        <w:tc>
          <w:tcPr>
            <w:tcW w:w="5103" w:type="dxa"/>
          </w:tcPr>
          <w:p w14:paraId="229EDE61" w14:textId="77777777" w:rsidR="001609F7" w:rsidRPr="00E923E7" w:rsidRDefault="001609F7" w:rsidP="00DF7ED2">
            <w:pPr>
              <w:jc w:val="center"/>
              <w:rPr>
                <w:b/>
                <w:bCs/>
                <w:i/>
                <w:iCs/>
                <w:sz w:val="20"/>
                <w:szCs w:val="20"/>
              </w:rPr>
            </w:pPr>
            <w:r w:rsidRPr="00E923E7">
              <w:rPr>
                <w:b/>
                <w:bCs/>
                <w:i/>
                <w:iCs/>
                <w:sz w:val="20"/>
                <w:szCs w:val="20"/>
              </w:rPr>
              <w:t>Trade-off</w:t>
            </w:r>
            <w:r>
              <w:rPr>
                <w:b/>
                <w:bCs/>
                <w:i/>
                <w:iCs/>
                <w:sz w:val="20"/>
                <w:szCs w:val="20"/>
              </w:rPr>
              <w:t>s</w:t>
            </w:r>
            <w:r w:rsidRPr="00E923E7">
              <w:rPr>
                <w:b/>
                <w:bCs/>
                <w:i/>
                <w:iCs/>
                <w:sz w:val="20"/>
                <w:szCs w:val="20"/>
              </w:rPr>
              <w:t>/ dilemma</w:t>
            </w:r>
            <w:r>
              <w:rPr>
                <w:b/>
                <w:bCs/>
                <w:i/>
                <w:iCs/>
                <w:sz w:val="20"/>
                <w:szCs w:val="20"/>
              </w:rPr>
              <w:t>s</w:t>
            </w:r>
          </w:p>
        </w:tc>
      </w:tr>
      <w:tr w:rsidR="001609F7" w:rsidRPr="00E923E7" w14:paraId="4C817028" w14:textId="77777777" w:rsidTr="00DF7ED2">
        <w:tc>
          <w:tcPr>
            <w:tcW w:w="1384" w:type="dxa"/>
          </w:tcPr>
          <w:p w14:paraId="1C437960" w14:textId="77777777" w:rsidR="001609F7" w:rsidRPr="00E923E7" w:rsidRDefault="001609F7" w:rsidP="00DF7ED2">
            <w:pPr>
              <w:jc w:val="center"/>
              <w:rPr>
                <w:sz w:val="20"/>
                <w:szCs w:val="20"/>
              </w:rPr>
            </w:pPr>
            <w:r w:rsidRPr="00C554E1">
              <w:rPr>
                <w:i/>
                <w:sz w:val="20"/>
                <w:szCs w:val="20"/>
              </w:rPr>
              <w:t>Macro problem framing</w:t>
            </w:r>
          </w:p>
        </w:tc>
        <w:tc>
          <w:tcPr>
            <w:tcW w:w="2977" w:type="dxa"/>
          </w:tcPr>
          <w:p w14:paraId="63941B89" w14:textId="77777777" w:rsidR="001609F7" w:rsidRPr="00E923E7" w:rsidRDefault="001609F7" w:rsidP="00DF7ED2">
            <w:pPr>
              <w:ind w:left="-81"/>
              <w:rPr>
                <w:bCs/>
                <w:sz w:val="20"/>
                <w:szCs w:val="20"/>
              </w:rPr>
            </w:pPr>
            <w:r>
              <w:rPr>
                <w:bCs/>
                <w:sz w:val="20"/>
                <w:szCs w:val="20"/>
              </w:rPr>
              <w:t>The way that the overarching policy problem is constructed shapes what is regarded as a suitable solution, a ‘good outcome’ and an important (energy or environmental) resource</w:t>
            </w:r>
          </w:p>
        </w:tc>
        <w:tc>
          <w:tcPr>
            <w:tcW w:w="5103" w:type="dxa"/>
          </w:tcPr>
          <w:p w14:paraId="43F1316F" w14:textId="77777777" w:rsidR="001609F7" w:rsidRDefault="001609F7" w:rsidP="00DF7ED2">
            <w:pPr>
              <w:rPr>
                <w:rFonts w:cstheme="minorHAnsi"/>
                <w:sz w:val="20"/>
                <w:szCs w:val="20"/>
              </w:rPr>
            </w:pPr>
            <w:r>
              <w:rPr>
                <w:rFonts w:cstheme="minorHAnsi"/>
                <w:sz w:val="20"/>
                <w:szCs w:val="20"/>
              </w:rPr>
              <w:t xml:space="preserve">Are spatial planning approaches are used to deliver RE targets, defined </w:t>
            </w:r>
            <w:proofErr w:type="spellStart"/>
            <w:r>
              <w:rPr>
                <w:rFonts w:cstheme="minorHAnsi"/>
                <w:sz w:val="20"/>
                <w:szCs w:val="20"/>
              </w:rPr>
              <w:t>outwith</w:t>
            </w:r>
            <w:proofErr w:type="spellEnd"/>
            <w:r>
              <w:rPr>
                <w:rFonts w:cstheme="minorHAnsi"/>
                <w:sz w:val="20"/>
                <w:szCs w:val="20"/>
              </w:rPr>
              <w:t xml:space="preserve"> the planning process, or used to define what RE targets should be, based on spatial constraints?</w:t>
            </w:r>
          </w:p>
          <w:p w14:paraId="170240ED" w14:textId="77777777" w:rsidR="001609F7" w:rsidRPr="00E923E7" w:rsidRDefault="001609F7" w:rsidP="00DF7ED2">
            <w:pPr>
              <w:rPr>
                <w:sz w:val="20"/>
                <w:szCs w:val="20"/>
              </w:rPr>
            </w:pPr>
            <w:r>
              <w:rPr>
                <w:rFonts w:cstheme="minorHAnsi"/>
                <w:sz w:val="20"/>
                <w:szCs w:val="20"/>
              </w:rPr>
              <w:t>To what extent should landscape/ecological conservation be considered ex ante constraints on RE expansion?</w:t>
            </w:r>
          </w:p>
        </w:tc>
      </w:tr>
      <w:tr w:rsidR="001609F7" w:rsidRPr="00E923E7" w14:paraId="6E3E4033" w14:textId="77777777" w:rsidTr="00DF7ED2">
        <w:tc>
          <w:tcPr>
            <w:tcW w:w="1384" w:type="dxa"/>
          </w:tcPr>
          <w:p w14:paraId="1CB880E1" w14:textId="77777777" w:rsidR="001609F7" w:rsidRPr="006725D5" w:rsidRDefault="001609F7" w:rsidP="00DF7ED2">
            <w:pPr>
              <w:jc w:val="center"/>
              <w:rPr>
                <w:i/>
                <w:iCs/>
                <w:sz w:val="20"/>
                <w:szCs w:val="20"/>
              </w:rPr>
            </w:pPr>
            <w:r>
              <w:rPr>
                <w:rFonts w:cstheme="minorHAnsi"/>
                <w:i/>
                <w:iCs/>
                <w:sz w:val="20"/>
                <w:szCs w:val="20"/>
              </w:rPr>
              <w:t>S</w:t>
            </w:r>
            <w:r w:rsidRPr="006725D5">
              <w:rPr>
                <w:rFonts w:cstheme="minorHAnsi"/>
                <w:i/>
                <w:iCs/>
                <w:sz w:val="20"/>
                <w:szCs w:val="20"/>
              </w:rPr>
              <w:t>ocio-technical properties</w:t>
            </w:r>
          </w:p>
        </w:tc>
        <w:tc>
          <w:tcPr>
            <w:tcW w:w="2977" w:type="dxa"/>
          </w:tcPr>
          <w:p w14:paraId="6D35031D" w14:textId="77777777" w:rsidR="001609F7" w:rsidRPr="002D44C1" w:rsidRDefault="001609F7" w:rsidP="00DF7ED2">
            <w:pPr>
              <w:rPr>
                <w:bCs/>
                <w:sz w:val="20"/>
                <w:szCs w:val="20"/>
              </w:rPr>
            </w:pPr>
            <w:r w:rsidRPr="006725D5">
              <w:rPr>
                <w:bCs/>
                <w:sz w:val="20"/>
                <w:szCs w:val="20"/>
              </w:rPr>
              <w:t xml:space="preserve">The </w:t>
            </w:r>
            <w:r>
              <w:rPr>
                <w:bCs/>
                <w:sz w:val="20"/>
                <w:szCs w:val="20"/>
              </w:rPr>
              <w:t>‘</w:t>
            </w:r>
            <w:r w:rsidRPr="006725D5">
              <w:rPr>
                <w:bCs/>
                <w:sz w:val="20"/>
                <w:szCs w:val="20"/>
              </w:rPr>
              <w:t>internal</w:t>
            </w:r>
            <w:r>
              <w:rPr>
                <w:bCs/>
                <w:sz w:val="20"/>
                <w:szCs w:val="20"/>
              </w:rPr>
              <w:t>’</w:t>
            </w:r>
            <w:r w:rsidRPr="006725D5">
              <w:rPr>
                <w:bCs/>
                <w:sz w:val="20"/>
                <w:szCs w:val="20"/>
              </w:rPr>
              <w:t>, technical properties</w:t>
            </w:r>
            <w:r>
              <w:rPr>
                <w:bCs/>
                <w:sz w:val="20"/>
                <w:szCs w:val="20"/>
              </w:rPr>
              <w:t xml:space="preserve"> of spatial planning approaches i.e. the selection and calculations of indicators, the mapping processes involved, and the way that indicators are aggregated.</w:t>
            </w:r>
          </w:p>
        </w:tc>
        <w:tc>
          <w:tcPr>
            <w:tcW w:w="5103" w:type="dxa"/>
          </w:tcPr>
          <w:p w14:paraId="25C56566" w14:textId="77777777" w:rsidR="001609F7" w:rsidRDefault="001609F7" w:rsidP="00DF7ED2">
            <w:pPr>
              <w:rPr>
                <w:rFonts w:cstheme="minorHAnsi"/>
                <w:sz w:val="20"/>
                <w:szCs w:val="20"/>
              </w:rPr>
            </w:pPr>
            <w:r>
              <w:rPr>
                <w:rFonts w:cstheme="minorHAnsi"/>
                <w:sz w:val="20"/>
                <w:szCs w:val="20"/>
              </w:rPr>
              <w:t xml:space="preserve">Which environmental or social elements should be selected for inclusion in spatial planning approaches, and which values should thereby be represented? </w:t>
            </w:r>
          </w:p>
          <w:p w14:paraId="20CFC942" w14:textId="77777777" w:rsidR="001609F7" w:rsidRDefault="001609F7" w:rsidP="00DF7ED2">
            <w:pPr>
              <w:rPr>
                <w:rFonts w:cstheme="minorHAnsi"/>
                <w:sz w:val="20"/>
                <w:szCs w:val="20"/>
              </w:rPr>
            </w:pPr>
            <w:r>
              <w:rPr>
                <w:rFonts w:cstheme="minorHAnsi"/>
                <w:sz w:val="20"/>
                <w:szCs w:val="20"/>
              </w:rPr>
              <w:t>To what extent should the complexity of land and societal attachments to it be simplified?</w:t>
            </w:r>
          </w:p>
          <w:p w14:paraId="5E689C3A" w14:textId="77777777" w:rsidR="001609F7" w:rsidRPr="00E923E7" w:rsidRDefault="001609F7" w:rsidP="00DF7ED2">
            <w:pPr>
              <w:rPr>
                <w:sz w:val="20"/>
                <w:szCs w:val="20"/>
              </w:rPr>
            </w:pPr>
          </w:p>
        </w:tc>
      </w:tr>
      <w:tr w:rsidR="001609F7" w:rsidRPr="00E923E7" w14:paraId="30C6EF84" w14:textId="77777777" w:rsidTr="00DF7ED2">
        <w:tc>
          <w:tcPr>
            <w:tcW w:w="1384" w:type="dxa"/>
          </w:tcPr>
          <w:p w14:paraId="6531CA47" w14:textId="77777777" w:rsidR="001609F7" w:rsidRPr="00CF5DAB" w:rsidRDefault="001609F7" w:rsidP="00DF7ED2">
            <w:pPr>
              <w:jc w:val="center"/>
              <w:rPr>
                <w:i/>
                <w:iCs/>
                <w:sz w:val="20"/>
                <w:szCs w:val="20"/>
              </w:rPr>
            </w:pPr>
            <w:r w:rsidRPr="00CF5DAB">
              <w:rPr>
                <w:i/>
                <w:iCs/>
                <w:sz w:val="20"/>
                <w:szCs w:val="20"/>
              </w:rPr>
              <w:t>Spatial focus</w:t>
            </w:r>
          </w:p>
        </w:tc>
        <w:tc>
          <w:tcPr>
            <w:tcW w:w="2977" w:type="dxa"/>
          </w:tcPr>
          <w:p w14:paraId="4229F968" w14:textId="77777777" w:rsidR="001609F7" w:rsidRPr="00883C80" w:rsidRDefault="001609F7" w:rsidP="00DF7ED2">
            <w:pPr>
              <w:rPr>
                <w:rFonts w:cstheme="minorHAnsi"/>
                <w:sz w:val="20"/>
                <w:szCs w:val="20"/>
              </w:rPr>
            </w:pPr>
            <w:r>
              <w:rPr>
                <w:rFonts w:cstheme="minorHAnsi"/>
                <w:sz w:val="20"/>
                <w:szCs w:val="20"/>
              </w:rPr>
              <w:t>The spatial scale at which spatial planning approaches are constructed</w:t>
            </w:r>
          </w:p>
        </w:tc>
        <w:tc>
          <w:tcPr>
            <w:tcW w:w="5103" w:type="dxa"/>
          </w:tcPr>
          <w:p w14:paraId="5F51EF09" w14:textId="77777777" w:rsidR="001609F7" w:rsidRDefault="001609F7" w:rsidP="00DF7ED2">
            <w:pPr>
              <w:rPr>
                <w:sz w:val="20"/>
                <w:szCs w:val="20"/>
              </w:rPr>
            </w:pPr>
            <w:r>
              <w:rPr>
                <w:sz w:val="20"/>
                <w:szCs w:val="20"/>
              </w:rPr>
              <w:t>Should proponents defer to existing spatial jurisdictions or adopt a new, issue-appropriate spatial scale?</w:t>
            </w:r>
          </w:p>
          <w:p w14:paraId="654C0775" w14:textId="77777777" w:rsidR="001609F7" w:rsidRDefault="001609F7" w:rsidP="00DF7ED2">
            <w:pPr>
              <w:rPr>
                <w:sz w:val="20"/>
                <w:szCs w:val="20"/>
              </w:rPr>
            </w:pPr>
            <w:r>
              <w:rPr>
                <w:sz w:val="20"/>
                <w:szCs w:val="20"/>
              </w:rPr>
              <w:t xml:space="preserve">Is it more important to adopt a broader spatial scale, increasing the scope for strategic decision-making, but at the expense of reduced </w:t>
            </w:r>
            <w:r w:rsidRPr="00883C80">
              <w:rPr>
                <w:sz w:val="20"/>
                <w:szCs w:val="20"/>
              </w:rPr>
              <w:t>resolution</w:t>
            </w:r>
            <w:r>
              <w:rPr>
                <w:sz w:val="20"/>
                <w:szCs w:val="20"/>
              </w:rPr>
              <w:t>?</w:t>
            </w:r>
          </w:p>
        </w:tc>
      </w:tr>
      <w:tr w:rsidR="001609F7" w:rsidRPr="00E923E7" w14:paraId="5372E13E" w14:textId="77777777" w:rsidTr="00DF7ED2">
        <w:trPr>
          <w:trHeight w:val="521"/>
        </w:trPr>
        <w:tc>
          <w:tcPr>
            <w:tcW w:w="1384" w:type="dxa"/>
          </w:tcPr>
          <w:p w14:paraId="5ADF76E4" w14:textId="77777777" w:rsidR="001609F7" w:rsidRPr="00CF5DAB" w:rsidRDefault="001609F7" w:rsidP="00DF7ED2">
            <w:pPr>
              <w:jc w:val="center"/>
              <w:rPr>
                <w:i/>
                <w:iCs/>
                <w:sz w:val="20"/>
                <w:szCs w:val="20"/>
              </w:rPr>
            </w:pPr>
            <w:r>
              <w:rPr>
                <w:i/>
                <w:iCs/>
                <w:sz w:val="20"/>
                <w:szCs w:val="20"/>
              </w:rPr>
              <w:t>Participation</w:t>
            </w:r>
          </w:p>
        </w:tc>
        <w:tc>
          <w:tcPr>
            <w:tcW w:w="2977" w:type="dxa"/>
          </w:tcPr>
          <w:p w14:paraId="49E0DDCC" w14:textId="77777777" w:rsidR="001609F7" w:rsidRPr="00883C80" w:rsidRDefault="001609F7" w:rsidP="00DF7ED2">
            <w:pPr>
              <w:rPr>
                <w:rFonts w:cstheme="minorHAnsi"/>
                <w:sz w:val="20"/>
                <w:szCs w:val="20"/>
              </w:rPr>
            </w:pPr>
            <w:r>
              <w:rPr>
                <w:rFonts w:cstheme="minorHAnsi"/>
                <w:sz w:val="20"/>
                <w:szCs w:val="20"/>
              </w:rPr>
              <w:t>How publics and stakeholders</w:t>
            </w:r>
            <w:r w:rsidRPr="00CD366F">
              <w:rPr>
                <w:rFonts w:cstheme="minorHAnsi"/>
                <w:sz w:val="20"/>
                <w:szCs w:val="20"/>
              </w:rPr>
              <w:t xml:space="preserve"> </w:t>
            </w:r>
            <w:r>
              <w:rPr>
                <w:rFonts w:cstheme="minorHAnsi"/>
                <w:sz w:val="20"/>
                <w:szCs w:val="20"/>
              </w:rPr>
              <w:t>are</w:t>
            </w:r>
            <w:r w:rsidRPr="00CD366F">
              <w:rPr>
                <w:rFonts w:cstheme="minorHAnsi"/>
                <w:sz w:val="20"/>
                <w:szCs w:val="20"/>
              </w:rPr>
              <w:t xml:space="preserve"> involved in shaping the</w:t>
            </w:r>
            <w:r>
              <w:rPr>
                <w:rFonts w:cstheme="minorHAnsi"/>
                <w:sz w:val="20"/>
                <w:szCs w:val="20"/>
              </w:rPr>
              <w:t xml:space="preserve"> mapping </w:t>
            </w:r>
            <w:r w:rsidRPr="00CD366F">
              <w:rPr>
                <w:rFonts w:cstheme="minorHAnsi"/>
                <w:sz w:val="20"/>
                <w:szCs w:val="20"/>
              </w:rPr>
              <w:t>methodology</w:t>
            </w:r>
            <w:r>
              <w:rPr>
                <w:rFonts w:cstheme="minorHAnsi"/>
                <w:sz w:val="20"/>
                <w:szCs w:val="20"/>
              </w:rPr>
              <w:t xml:space="preserve"> or in implementation</w:t>
            </w:r>
          </w:p>
        </w:tc>
        <w:tc>
          <w:tcPr>
            <w:tcW w:w="5103" w:type="dxa"/>
          </w:tcPr>
          <w:p w14:paraId="52A9B433" w14:textId="77777777" w:rsidR="001609F7" w:rsidRPr="00883C80" w:rsidRDefault="001609F7" w:rsidP="00DF7ED2">
            <w:pPr>
              <w:rPr>
                <w:sz w:val="20"/>
                <w:szCs w:val="20"/>
              </w:rPr>
            </w:pPr>
            <w:r>
              <w:rPr>
                <w:rFonts w:cstheme="minorHAnsi"/>
                <w:sz w:val="20"/>
                <w:szCs w:val="20"/>
              </w:rPr>
              <w:t>How should the process balance the close involvement of key stakeholders with wider, inclusive public participation?</w:t>
            </w:r>
          </w:p>
        </w:tc>
      </w:tr>
      <w:tr w:rsidR="001609F7" w:rsidRPr="00E923E7" w14:paraId="6B756268" w14:textId="77777777" w:rsidTr="00DF7ED2">
        <w:tc>
          <w:tcPr>
            <w:tcW w:w="1384" w:type="dxa"/>
          </w:tcPr>
          <w:p w14:paraId="7937E3C2" w14:textId="77777777" w:rsidR="001609F7" w:rsidRPr="003906E3" w:rsidRDefault="001609F7" w:rsidP="00DF7ED2">
            <w:pPr>
              <w:jc w:val="center"/>
              <w:rPr>
                <w:i/>
                <w:iCs/>
                <w:sz w:val="20"/>
                <w:szCs w:val="20"/>
              </w:rPr>
            </w:pPr>
            <w:r>
              <w:rPr>
                <w:i/>
                <w:iCs/>
                <w:sz w:val="20"/>
                <w:szCs w:val="20"/>
              </w:rPr>
              <w:t>Actor alignment</w:t>
            </w:r>
          </w:p>
        </w:tc>
        <w:tc>
          <w:tcPr>
            <w:tcW w:w="2977" w:type="dxa"/>
          </w:tcPr>
          <w:p w14:paraId="70297A51" w14:textId="77777777" w:rsidR="001609F7" w:rsidRPr="00883C80" w:rsidRDefault="001609F7" w:rsidP="00DF7ED2">
            <w:pPr>
              <w:jc w:val="both"/>
              <w:rPr>
                <w:sz w:val="20"/>
                <w:szCs w:val="20"/>
              </w:rPr>
            </w:pPr>
            <w:r>
              <w:rPr>
                <w:sz w:val="20"/>
                <w:szCs w:val="20"/>
              </w:rPr>
              <w:t>H</w:t>
            </w:r>
            <w:r w:rsidRPr="00DE3E54">
              <w:rPr>
                <w:sz w:val="20"/>
                <w:szCs w:val="20"/>
              </w:rPr>
              <w:t xml:space="preserve">ow responsibility for creating and applying spatial planning exercises is distributed </w:t>
            </w:r>
            <w:r>
              <w:rPr>
                <w:sz w:val="20"/>
                <w:szCs w:val="20"/>
              </w:rPr>
              <w:t>across different tiers of governance, affecting</w:t>
            </w:r>
            <w:r w:rsidRPr="00DE3E54">
              <w:rPr>
                <w:sz w:val="20"/>
                <w:szCs w:val="20"/>
              </w:rPr>
              <w:t xml:space="preserve"> legitimacy and control</w:t>
            </w:r>
            <w:r>
              <w:rPr>
                <w:sz w:val="20"/>
                <w:szCs w:val="20"/>
              </w:rPr>
              <w:t xml:space="preserve">. This includes whether different levels of governance have flexibility to </w:t>
            </w:r>
            <w:r w:rsidRPr="00FC1301">
              <w:rPr>
                <w:iCs/>
                <w:sz w:val="20"/>
                <w:szCs w:val="20"/>
              </w:rPr>
              <w:t>interpret</w:t>
            </w:r>
            <w:r>
              <w:rPr>
                <w:i/>
                <w:iCs/>
                <w:sz w:val="20"/>
                <w:szCs w:val="20"/>
              </w:rPr>
              <w:t xml:space="preserve"> </w:t>
            </w:r>
            <w:r>
              <w:rPr>
                <w:iCs/>
                <w:sz w:val="20"/>
                <w:szCs w:val="20"/>
              </w:rPr>
              <w:t>i</w:t>
            </w:r>
            <w:r w:rsidRPr="003B5153">
              <w:rPr>
                <w:iCs/>
                <w:sz w:val="20"/>
                <w:szCs w:val="20"/>
              </w:rPr>
              <w:t>nstructions from other levels</w:t>
            </w:r>
          </w:p>
        </w:tc>
        <w:tc>
          <w:tcPr>
            <w:tcW w:w="5103" w:type="dxa"/>
          </w:tcPr>
          <w:p w14:paraId="0246648C" w14:textId="77777777" w:rsidR="001609F7" w:rsidRDefault="001609F7" w:rsidP="00DF7ED2">
            <w:pPr>
              <w:tabs>
                <w:tab w:val="left" w:pos="0"/>
              </w:tabs>
              <w:jc w:val="both"/>
              <w:rPr>
                <w:sz w:val="20"/>
                <w:szCs w:val="20"/>
              </w:rPr>
            </w:pPr>
            <w:r>
              <w:rPr>
                <w:sz w:val="20"/>
                <w:szCs w:val="20"/>
              </w:rPr>
              <w:t>Are spatial planning approaches designed and delivered ‘top-down’ or ‘bottom-up’, from local arenas?</w:t>
            </w:r>
          </w:p>
          <w:p w14:paraId="618C10B8" w14:textId="77777777" w:rsidR="001609F7" w:rsidRDefault="001609F7" w:rsidP="00DF7ED2">
            <w:pPr>
              <w:tabs>
                <w:tab w:val="left" w:pos="0"/>
              </w:tabs>
              <w:jc w:val="both"/>
              <w:rPr>
                <w:sz w:val="20"/>
                <w:szCs w:val="20"/>
              </w:rPr>
            </w:pPr>
            <w:r>
              <w:rPr>
                <w:sz w:val="20"/>
                <w:szCs w:val="20"/>
              </w:rPr>
              <w:t>Do spatial planning approaches defer to existing distribution of formal powers between government scales, or alter them?</w:t>
            </w:r>
          </w:p>
          <w:p w14:paraId="556A5616" w14:textId="77777777" w:rsidR="001609F7" w:rsidRPr="00683F35" w:rsidRDefault="001609F7" w:rsidP="00DF7ED2">
            <w:pPr>
              <w:tabs>
                <w:tab w:val="left" w:pos="0"/>
              </w:tabs>
              <w:jc w:val="both"/>
              <w:rPr>
                <w:sz w:val="20"/>
                <w:szCs w:val="20"/>
              </w:rPr>
            </w:pPr>
            <w:r>
              <w:rPr>
                <w:sz w:val="20"/>
                <w:szCs w:val="20"/>
              </w:rPr>
              <w:t>Are resultant spatial zones for RE development mandatory or advisory?</w:t>
            </w:r>
          </w:p>
        </w:tc>
      </w:tr>
    </w:tbl>
    <w:p w14:paraId="114D1683" w14:textId="77777777" w:rsidR="001609F7" w:rsidRDefault="001609F7" w:rsidP="001609F7">
      <w:pPr>
        <w:rPr>
          <w:b/>
          <w:sz w:val="24"/>
          <w:szCs w:val="24"/>
        </w:rPr>
      </w:pPr>
    </w:p>
    <w:p w14:paraId="55655443" w14:textId="4B737E7B" w:rsidR="001609F7" w:rsidRDefault="001609F7">
      <w:pPr>
        <w:spacing w:after="160" w:line="259" w:lineRule="auto"/>
      </w:pPr>
      <w:r>
        <w:br w:type="page"/>
      </w:r>
    </w:p>
    <w:p w14:paraId="4BD31385" w14:textId="77777777" w:rsidR="001609F7" w:rsidRDefault="001609F7" w:rsidP="001609F7">
      <w:pPr>
        <w:spacing w:line="259" w:lineRule="auto"/>
        <w:rPr>
          <w:b/>
          <w:sz w:val="24"/>
          <w:szCs w:val="24"/>
        </w:rPr>
      </w:pPr>
      <w:r w:rsidRPr="00E0296D">
        <w:rPr>
          <w:b/>
          <w:sz w:val="24"/>
          <w:szCs w:val="24"/>
        </w:rPr>
        <w:lastRenderedPageBreak/>
        <w:t xml:space="preserve">Table </w:t>
      </w:r>
      <w:r>
        <w:rPr>
          <w:b/>
          <w:sz w:val="24"/>
          <w:szCs w:val="24"/>
        </w:rPr>
        <w:t xml:space="preserve">2: The distribution of formal energy and spatial planning powers </w:t>
      </w:r>
      <w:r w:rsidRPr="00E0296D">
        <w:rPr>
          <w:b/>
          <w:sz w:val="24"/>
          <w:szCs w:val="24"/>
        </w:rPr>
        <w:t>in Italy</w:t>
      </w:r>
      <w:r>
        <w:rPr>
          <w:b/>
          <w:sz w:val="24"/>
          <w:szCs w:val="24"/>
        </w:rPr>
        <w:t xml:space="preserve"> and the UK</w:t>
      </w:r>
    </w:p>
    <w:p w14:paraId="7BA0A2B7" w14:textId="77777777" w:rsidR="001609F7" w:rsidRDefault="001609F7" w:rsidP="001609F7">
      <w:pPr>
        <w:spacing w:line="259" w:lineRule="auto"/>
        <w:rPr>
          <w:b/>
          <w:sz w:val="24"/>
          <w:szCs w:val="24"/>
        </w:rPr>
      </w:pPr>
    </w:p>
    <w:tbl>
      <w:tblPr>
        <w:tblStyle w:val="TableGrid1"/>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08"/>
        <w:gridCol w:w="911"/>
        <w:gridCol w:w="3980"/>
      </w:tblGrid>
      <w:tr w:rsidR="001609F7" w:rsidRPr="00E0296D" w14:paraId="39B4DD4B" w14:textId="77777777" w:rsidTr="00DF7ED2">
        <w:trPr>
          <w:trHeight w:val="721"/>
        </w:trPr>
        <w:tc>
          <w:tcPr>
            <w:tcW w:w="959" w:type="dxa"/>
            <w:vAlign w:val="center"/>
          </w:tcPr>
          <w:p w14:paraId="5C8F38AB" w14:textId="77777777" w:rsidR="001609F7" w:rsidRDefault="001609F7" w:rsidP="001609F7">
            <w:pPr>
              <w:spacing w:line="259" w:lineRule="auto"/>
              <w:ind w:left="-142" w:right="-108"/>
              <w:jc w:val="center"/>
              <w:rPr>
                <w:b/>
                <w:sz w:val="18"/>
                <w:szCs w:val="18"/>
              </w:rPr>
            </w:pPr>
            <w:r w:rsidRPr="00E0296D">
              <w:rPr>
                <w:b/>
                <w:sz w:val="18"/>
                <w:szCs w:val="18"/>
              </w:rPr>
              <w:t xml:space="preserve">Spatial </w:t>
            </w:r>
          </w:p>
          <w:p w14:paraId="7D7DF16D" w14:textId="77777777" w:rsidR="001609F7" w:rsidRPr="00E0296D" w:rsidRDefault="001609F7" w:rsidP="001609F7">
            <w:pPr>
              <w:spacing w:line="259" w:lineRule="auto"/>
              <w:ind w:left="-142" w:right="-108"/>
              <w:jc w:val="center"/>
              <w:rPr>
                <w:b/>
                <w:sz w:val="18"/>
                <w:szCs w:val="18"/>
              </w:rPr>
            </w:pPr>
            <w:r w:rsidRPr="00E0296D">
              <w:rPr>
                <w:b/>
                <w:sz w:val="18"/>
                <w:szCs w:val="18"/>
              </w:rPr>
              <w:t>level</w:t>
            </w:r>
          </w:p>
        </w:tc>
        <w:tc>
          <w:tcPr>
            <w:tcW w:w="3908" w:type="dxa"/>
            <w:vAlign w:val="center"/>
          </w:tcPr>
          <w:p w14:paraId="63A3E5B8" w14:textId="77777777" w:rsidR="001609F7" w:rsidRPr="00E0296D" w:rsidRDefault="001609F7" w:rsidP="001609F7">
            <w:pPr>
              <w:spacing w:line="259" w:lineRule="auto"/>
              <w:jc w:val="center"/>
              <w:rPr>
                <w:b/>
                <w:sz w:val="18"/>
                <w:szCs w:val="18"/>
              </w:rPr>
            </w:pPr>
            <w:r>
              <w:rPr>
                <w:b/>
                <w:sz w:val="18"/>
                <w:szCs w:val="18"/>
              </w:rPr>
              <w:t>Italy</w:t>
            </w:r>
          </w:p>
        </w:tc>
        <w:tc>
          <w:tcPr>
            <w:tcW w:w="911" w:type="dxa"/>
            <w:vAlign w:val="center"/>
          </w:tcPr>
          <w:p w14:paraId="21B0BF41" w14:textId="77777777" w:rsidR="001609F7" w:rsidRPr="00E0296D" w:rsidRDefault="001609F7" w:rsidP="001609F7">
            <w:pPr>
              <w:spacing w:line="259" w:lineRule="auto"/>
              <w:ind w:left="-47" w:right="-108"/>
              <w:jc w:val="center"/>
              <w:rPr>
                <w:b/>
                <w:sz w:val="18"/>
                <w:szCs w:val="18"/>
              </w:rPr>
            </w:pPr>
            <w:r w:rsidRPr="00E0296D">
              <w:rPr>
                <w:b/>
                <w:sz w:val="18"/>
                <w:szCs w:val="18"/>
              </w:rPr>
              <w:t>Spatial level</w:t>
            </w:r>
          </w:p>
        </w:tc>
        <w:tc>
          <w:tcPr>
            <w:tcW w:w="3980" w:type="dxa"/>
            <w:vAlign w:val="center"/>
          </w:tcPr>
          <w:p w14:paraId="14A5DA50" w14:textId="77777777" w:rsidR="001609F7" w:rsidRPr="00E0296D" w:rsidRDefault="001609F7" w:rsidP="001609F7">
            <w:pPr>
              <w:spacing w:line="259" w:lineRule="auto"/>
              <w:jc w:val="center"/>
              <w:rPr>
                <w:b/>
                <w:sz w:val="18"/>
                <w:szCs w:val="18"/>
              </w:rPr>
            </w:pPr>
            <w:r>
              <w:rPr>
                <w:b/>
                <w:sz w:val="18"/>
                <w:szCs w:val="18"/>
              </w:rPr>
              <w:t>UK</w:t>
            </w:r>
          </w:p>
        </w:tc>
      </w:tr>
      <w:tr w:rsidR="001609F7" w:rsidRPr="00E0296D" w14:paraId="26B8BC94" w14:textId="77777777" w:rsidTr="00DF7ED2">
        <w:trPr>
          <w:trHeight w:val="1993"/>
        </w:trPr>
        <w:tc>
          <w:tcPr>
            <w:tcW w:w="959" w:type="dxa"/>
            <w:vAlign w:val="center"/>
          </w:tcPr>
          <w:p w14:paraId="6A9A62DB" w14:textId="77777777" w:rsidR="001609F7" w:rsidRDefault="001609F7" w:rsidP="001609F7">
            <w:pPr>
              <w:spacing w:line="259" w:lineRule="auto"/>
              <w:ind w:left="-142" w:right="-108"/>
              <w:jc w:val="center"/>
              <w:rPr>
                <w:b/>
                <w:sz w:val="18"/>
                <w:szCs w:val="18"/>
              </w:rPr>
            </w:pPr>
          </w:p>
          <w:p w14:paraId="3FCF58E1" w14:textId="77777777" w:rsidR="001609F7" w:rsidRDefault="001609F7" w:rsidP="001609F7">
            <w:pPr>
              <w:spacing w:line="259" w:lineRule="auto"/>
              <w:ind w:left="-142" w:right="-108"/>
              <w:jc w:val="center"/>
              <w:rPr>
                <w:b/>
                <w:sz w:val="18"/>
                <w:szCs w:val="18"/>
              </w:rPr>
            </w:pPr>
            <w:r w:rsidRPr="00E0296D">
              <w:rPr>
                <w:b/>
                <w:sz w:val="18"/>
                <w:szCs w:val="18"/>
              </w:rPr>
              <w:t>National</w:t>
            </w:r>
          </w:p>
          <w:p w14:paraId="10918A1B" w14:textId="77777777" w:rsidR="001609F7" w:rsidRDefault="001609F7" w:rsidP="001609F7">
            <w:pPr>
              <w:spacing w:line="259" w:lineRule="auto"/>
              <w:ind w:left="-142" w:right="-108"/>
              <w:jc w:val="center"/>
              <w:rPr>
                <w:b/>
                <w:sz w:val="18"/>
                <w:szCs w:val="18"/>
              </w:rPr>
            </w:pPr>
          </w:p>
          <w:p w14:paraId="3A6BE388" w14:textId="77777777" w:rsidR="001609F7" w:rsidRDefault="001609F7" w:rsidP="001609F7">
            <w:pPr>
              <w:spacing w:line="259" w:lineRule="auto"/>
              <w:ind w:left="-142" w:right="-108"/>
              <w:jc w:val="center"/>
              <w:rPr>
                <w:b/>
                <w:sz w:val="18"/>
                <w:szCs w:val="18"/>
              </w:rPr>
            </w:pPr>
          </w:p>
          <w:p w14:paraId="5804BB4F" w14:textId="77777777" w:rsidR="001609F7" w:rsidRPr="00E0296D" w:rsidRDefault="001609F7" w:rsidP="001609F7">
            <w:pPr>
              <w:spacing w:line="259" w:lineRule="auto"/>
              <w:ind w:left="-142" w:right="-108"/>
              <w:jc w:val="center"/>
              <w:rPr>
                <w:b/>
                <w:sz w:val="18"/>
                <w:szCs w:val="18"/>
              </w:rPr>
            </w:pPr>
          </w:p>
        </w:tc>
        <w:tc>
          <w:tcPr>
            <w:tcW w:w="3908" w:type="dxa"/>
          </w:tcPr>
          <w:p w14:paraId="4892BCE9" w14:textId="77777777" w:rsidR="001609F7" w:rsidRPr="00894B27" w:rsidRDefault="001609F7" w:rsidP="001609F7">
            <w:pPr>
              <w:spacing w:line="259" w:lineRule="auto"/>
              <w:rPr>
                <w:noProof/>
                <w:sz w:val="18"/>
                <w:szCs w:val="18"/>
              </w:rPr>
            </w:pPr>
            <w:r>
              <w:rPr>
                <w:noProof/>
                <w:sz w:val="18"/>
                <w:szCs w:val="18"/>
              </w:rPr>
              <w:t>Energy policy: c</w:t>
            </w:r>
            <w:r w:rsidRPr="00894B27">
              <w:rPr>
                <w:noProof/>
                <w:sz w:val="18"/>
                <w:szCs w:val="18"/>
              </w:rPr>
              <w:t>ompliance with international law (e.g. EU Directives)</w:t>
            </w:r>
            <w:r>
              <w:rPr>
                <w:noProof/>
                <w:sz w:val="18"/>
                <w:szCs w:val="18"/>
              </w:rPr>
              <w:t xml:space="preserve">; market support for renewable energy (RE) and grid </w:t>
            </w:r>
            <w:r w:rsidRPr="00806450">
              <w:rPr>
                <w:noProof/>
                <w:sz w:val="18"/>
                <w:szCs w:val="18"/>
              </w:rPr>
              <w:t>regulation and long term infrastructure planning</w:t>
            </w:r>
          </w:p>
          <w:p w14:paraId="4066101C" w14:textId="77777777" w:rsidR="001609F7" w:rsidRDefault="001609F7" w:rsidP="001609F7">
            <w:pPr>
              <w:spacing w:line="259" w:lineRule="auto"/>
              <w:rPr>
                <w:noProof/>
                <w:sz w:val="18"/>
                <w:szCs w:val="18"/>
              </w:rPr>
            </w:pPr>
          </w:p>
          <w:p w14:paraId="2684D75E" w14:textId="77777777" w:rsidR="001609F7" w:rsidRPr="0098563D" w:rsidRDefault="001609F7" w:rsidP="001609F7">
            <w:pPr>
              <w:spacing w:line="259" w:lineRule="auto"/>
              <w:rPr>
                <w:noProof/>
                <w:sz w:val="18"/>
                <w:szCs w:val="18"/>
              </w:rPr>
            </w:pPr>
            <w:r>
              <w:rPr>
                <w:noProof/>
                <w:sz w:val="18"/>
                <w:szCs w:val="18"/>
              </w:rPr>
              <w:t>Energy strategy and spatial planning: the National Energy Plan-</w:t>
            </w:r>
            <w:r w:rsidRPr="00E0296D">
              <w:rPr>
                <w:noProof/>
                <w:sz w:val="18"/>
                <w:szCs w:val="18"/>
              </w:rPr>
              <w:t xml:space="preserve"> Piano Energetico Nazionale</w:t>
            </w:r>
            <w:r>
              <w:rPr>
                <w:noProof/>
                <w:sz w:val="18"/>
                <w:szCs w:val="18"/>
              </w:rPr>
              <w:t xml:space="preserve"> embraces (i) </w:t>
            </w:r>
            <w:r w:rsidRPr="0098563D">
              <w:rPr>
                <w:rFonts w:cstheme="minorHAnsi"/>
                <w:noProof/>
                <w:sz w:val="18"/>
                <w:szCs w:val="18"/>
              </w:rPr>
              <w:t>‘Burden Sharing’ Targets</w:t>
            </w:r>
            <w:r>
              <w:rPr>
                <w:noProof/>
                <w:sz w:val="18"/>
                <w:szCs w:val="18"/>
              </w:rPr>
              <w:t>; (ii) s</w:t>
            </w:r>
            <w:r w:rsidRPr="0098563D">
              <w:rPr>
                <w:rFonts w:cstheme="minorHAnsi"/>
                <w:noProof/>
                <w:sz w:val="18"/>
                <w:szCs w:val="18"/>
              </w:rPr>
              <w:t>implified authorisation</w:t>
            </w:r>
            <w:r>
              <w:rPr>
                <w:rFonts w:cstheme="minorHAnsi"/>
                <w:noProof/>
                <w:sz w:val="18"/>
                <w:szCs w:val="18"/>
              </w:rPr>
              <w:t xml:space="preserve"> procedures; (iii) </w:t>
            </w:r>
            <w:r>
              <w:rPr>
                <w:noProof/>
                <w:sz w:val="18"/>
                <w:szCs w:val="18"/>
              </w:rPr>
              <w:t xml:space="preserve">the </w:t>
            </w:r>
            <w:r w:rsidRPr="0098563D">
              <w:rPr>
                <w:rFonts w:cstheme="minorHAnsi"/>
                <w:noProof/>
                <w:sz w:val="18"/>
                <w:szCs w:val="18"/>
              </w:rPr>
              <w:t>Linee Guida</w:t>
            </w:r>
            <w:r>
              <w:rPr>
                <w:rFonts w:cstheme="minorHAnsi"/>
                <w:noProof/>
                <w:sz w:val="18"/>
                <w:szCs w:val="18"/>
              </w:rPr>
              <w:t>, including consistent cross-national rules for EIA (since 2017)</w:t>
            </w:r>
            <w:r>
              <w:rPr>
                <w:noProof/>
                <w:sz w:val="18"/>
                <w:szCs w:val="18"/>
              </w:rPr>
              <w:t xml:space="preserve">; (iv) </w:t>
            </w:r>
            <w:r>
              <w:rPr>
                <w:rFonts w:cstheme="minorHAnsi"/>
                <w:noProof/>
                <w:sz w:val="18"/>
                <w:szCs w:val="18"/>
              </w:rPr>
              <w:t>f</w:t>
            </w:r>
            <w:r w:rsidRPr="0098563D">
              <w:rPr>
                <w:rFonts w:cstheme="minorHAnsi"/>
                <w:noProof/>
                <w:sz w:val="18"/>
                <w:szCs w:val="18"/>
              </w:rPr>
              <w:t>acilitation of grid access and connections</w:t>
            </w:r>
          </w:p>
          <w:p w14:paraId="5146F8C7" w14:textId="77777777" w:rsidR="001609F7" w:rsidRPr="00E0296D" w:rsidRDefault="001609F7" w:rsidP="001609F7">
            <w:pPr>
              <w:spacing w:line="259" w:lineRule="auto"/>
              <w:rPr>
                <w:noProof/>
                <w:sz w:val="18"/>
                <w:szCs w:val="18"/>
              </w:rPr>
            </w:pPr>
            <w:r>
              <w:rPr>
                <w:noProof/>
                <w:sz w:val="18"/>
                <w:szCs w:val="18"/>
              </w:rPr>
              <w:t>Project consenting for: marine energy (including offshore wind),</w:t>
            </w:r>
            <w:r w:rsidRPr="00E0296D">
              <w:rPr>
                <w:noProof/>
                <w:sz w:val="18"/>
                <w:szCs w:val="18"/>
              </w:rPr>
              <w:t xml:space="preserve"> hydroelectric plants over 30 MW and thermal plants above 300 MW</w:t>
            </w:r>
          </w:p>
        </w:tc>
        <w:tc>
          <w:tcPr>
            <w:tcW w:w="911" w:type="dxa"/>
          </w:tcPr>
          <w:p w14:paraId="2AC2DD03" w14:textId="77777777" w:rsidR="001609F7" w:rsidRDefault="001609F7" w:rsidP="001609F7">
            <w:pPr>
              <w:spacing w:line="259" w:lineRule="auto"/>
              <w:ind w:left="-47" w:right="-108"/>
              <w:jc w:val="center"/>
              <w:rPr>
                <w:noProof/>
                <w:sz w:val="18"/>
                <w:szCs w:val="18"/>
              </w:rPr>
            </w:pPr>
          </w:p>
          <w:p w14:paraId="10A57317" w14:textId="77777777" w:rsidR="001609F7" w:rsidRDefault="001609F7" w:rsidP="001609F7">
            <w:pPr>
              <w:spacing w:line="259" w:lineRule="auto"/>
              <w:ind w:left="-47" w:right="-108"/>
              <w:jc w:val="center"/>
              <w:rPr>
                <w:noProof/>
                <w:sz w:val="18"/>
                <w:szCs w:val="18"/>
              </w:rPr>
            </w:pPr>
          </w:p>
          <w:p w14:paraId="363CF945" w14:textId="77777777" w:rsidR="001609F7" w:rsidRDefault="001609F7" w:rsidP="001609F7">
            <w:pPr>
              <w:spacing w:line="259" w:lineRule="auto"/>
              <w:ind w:left="-47" w:right="-108"/>
              <w:jc w:val="center"/>
              <w:rPr>
                <w:noProof/>
                <w:sz w:val="18"/>
                <w:szCs w:val="18"/>
              </w:rPr>
            </w:pPr>
          </w:p>
          <w:p w14:paraId="5C33A395" w14:textId="77777777" w:rsidR="001609F7" w:rsidRDefault="001609F7" w:rsidP="001609F7">
            <w:pPr>
              <w:spacing w:line="259" w:lineRule="auto"/>
              <w:ind w:left="-47" w:right="-108"/>
              <w:jc w:val="center"/>
              <w:rPr>
                <w:b/>
                <w:noProof/>
                <w:sz w:val="18"/>
                <w:szCs w:val="18"/>
              </w:rPr>
            </w:pPr>
          </w:p>
          <w:p w14:paraId="44176AF6" w14:textId="77777777" w:rsidR="001609F7" w:rsidRDefault="001609F7" w:rsidP="001609F7">
            <w:pPr>
              <w:spacing w:line="259" w:lineRule="auto"/>
              <w:ind w:left="-47" w:right="-108"/>
              <w:jc w:val="center"/>
              <w:rPr>
                <w:b/>
                <w:noProof/>
                <w:sz w:val="18"/>
                <w:szCs w:val="18"/>
              </w:rPr>
            </w:pPr>
          </w:p>
          <w:p w14:paraId="516F456B" w14:textId="77777777" w:rsidR="001609F7" w:rsidRDefault="001609F7" w:rsidP="001609F7">
            <w:pPr>
              <w:spacing w:line="259" w:lineRule="auto"/>
              <w:ind w:left="-47" w:right="-108"/>
              <w:jc w:val="center"/>
              <w:rPr>
                <w:b/>
                <w:noProof/>
                <w:sz w:val="18"/>
                <w:szCs w:val="18"/>
              </w:rPr>
            </w:pPr>
          </w:p>
          <w:p w14:paraId="34C702D9" w14:textId="77777777" w:rsidR="001609F7" w:rsidRPr="007E678C" w:rsidRDefault="001609F7" w:rsidP="001609F7">
            <w:pPr>
              <w:spacing w:line="259" w:lineRule="auto"/>
              <w:ind w:left="-47" w:right="-108"/>
              <w:jc w:val="center"/>
              <w:rPr>
                <w:b/>
                <w:noProof/>
                <w:sz w:val="18"/>
                <w:szCs w:val="18"/>
              </w:rPr>
            </w:pPr>
            <w:r w:rsidRPr="007E678C">
              <w:rPr>
                <w:b/>
                <w:noProof/>
                <w:sz w:val="18"/>
                <w:szCs w:val="18"/>
              </w:rPr>
              <w:t>National</w:t>
            </w:r>
          </w:p>
        </w:tc>
        <w:tc>
          <w:tcPr>
            <w:tcW w:w="3980" w:type="dxa"/>
            <w:shd w:val="clear" w:color="auto" w:fill="auto"/>
          </w:tcPr>
          <w:p w14:paraId="51C504AA" w14:textId="77777777" w:rsidR="001609F7" w:rsidRPr="00894B27" w:rsidRDefault="001609F7" w:rsidP="001609F7">
            <w:pPr>
              <w:spacing w:line="259" w:lineRule="auto"/>
              <w:ind w:left="34"/>
              <w:rPr>
                <w:noProof/>
                <w:sz w:val="18"/>
                <w:szCs w:val="18"/>
              </w:rPr>
            </w:pPr>
            <w:r>
              <w:rPr>
                <w:noProof/>
                <w:sz w:val="18"/>
                <w:szCs w:val="18"/>
              </w:rPr>
              <w:t>Energy policy: c</w:t>
            </w:r>
            <w:r w:rsidRPr="00894B27">
              <w:rPr>
                <w:noProof/>
                <w:sz w:val="18"/>
                <w:szCs w:val="18"/>
              </w:rPr>
              <w:t>ompliance with international law (e.g. EU Directives)</w:t>
            </w:r>
            <w:r>
              <w:rPr>
                <w:noProof/>
                <w:sz w:val="18"/>
                <w:szCs w:val="18"/>
              </w:rPr>
              <w:t>; m</w:t>
            </w:r>
            <w:r w:rsidRPr="00894B27">
              <w:rPr>
                <w:noProof/>
                <w:sz w:val="18"/>
                <w:szCs w:val="18"/>
              </w:rPr>
              <w:t xml:space="preserve">arket support for renewable energy </w:t>
            </w:r>
            <w:r>
              <w:rPr>
                <w:noProof/>
                <w:sz w:val="18"/>
                <w:szCs w:val="18"/>
              </w:rPr>
              <w:t>(RE) and grid regulation (not for Northern Ireland).</w:t>
            </w:r>
          </w:p>
          <w:p w14:paraId="0E50D2B1" w14:textId="77777777" w:rsidR="001609F7" w:rsidRDefault="001609F7" w:rsidP="001609F7">
            <w:pPr>
              <w:spacing w:line="259" w:lineRule="auto"/>
              <w:ind w:left="34"/>
              <w:rPr>
                <w:noProof/>
                <w:sz w:val="18"/>
                <w:szCs w:val="18"/>
              </w:rPr>
            </w:pPr>
          </w:p>
          <w:p w14:paraId="4DAF771D" w14:textId="77777777" w:rsidR="001609F7" w:rsidRPr="00894B27" w:rsidRDefault="001609F7" w:rsidP="001609F7">
            <w:pPr>
              <w:spacing w:line="259" w:lineRule="auto"/>
              <w:ind w:left="34"/>
              <w:rPr>
                <w:noProof/>
                <w:sz w:val="18"/>
                <w:szCs w:val="18"/>
              </w:rPr>
            </w:pPr>
            <w:r>
              <w:rPr>
                <w:noProof/>
                <w:sz w:val="18"/>
                <w:szCs w:val="18"/>
              </w:rPr>
              <w:t>Energy strategy and spatial planning: limited cross-UK energy strategy-making; UK government makes spatial planning policy for England only.</w:t>
            </w:r>
          </w:p>
          <w:p w14:paraId="5F7970D2" w14:textId="77777777" w:rsidR="001609F7" w:rsidRDefault="001609F7" w:rsidP="001609F7">
            <w:pPr>
              <w:spacing w:line="259" w:lineRule="auto"/>
              <w:ind w:left="34"/>
              <w:rPr>
                <w:noProof/>
                <w:sz w:val="18"/>
                <w:szCs w:val="18"/>
              </w:rPr>
            </w:pPr>
          </w:p>
          <w:p w14:paraId="50EA0799" w14:textId="77777777" w:rsidR="001609F7" w:rsidRDefault="001609F7" w:rsidP="001609F7">
            <w:pPr>
              <w:spacing w:line="259" w:lineRule="auto"/>
              <w:ind w:left="34"/>
              <w:rPr>
                <w:noProof/>
                <w:sz w:val="18"/>
                <w:szCs w:val="18"/>
              </w:rPr>
            </w:pPr>
          </w:p>
          <w:p w14:paraId="3D325438" w14:textId="77777777" w:rsidR="001609F7" w:rsidRDefault="001609F7" w:rsidP="001609F7">
            <w:pPr>
              <w:spacing w:line="259" w:lineRule="auto"/>
              <w:ind w:left="34"/>
              <w:rPr>
                <w:noProof/>
                <w:sz w:val="18"/>
                <w:szCs w:val="18"/>
              </w:rPr>
            </w:pPr>
          </w:p>
          <w:p w14:paraId="4ED5C7CD" w14:textId="77777777" w:rsidR="001609F7" w:rsidRDefault="001609F7" w:rsidP="001609F7">
            <w:pPr>
              <w:spacing w:line="259" w:lineRule="auto"/>
              <w:ind w:left="34"/>
              <w:rPr>
                <w:noProof/>
                <w:sz w:val="18"/>
                <w:szCs w:val="18"/>
              </w:rPr>
            </w:pPr>
          </w:p>
          <w:p w14:paraId="7A5EED0B" w14:textId="77777777" w:rsidR="001609F7" w:rsidRPr="00894B27" w:rsidRDefault="001609F7" w:rsidP="001609F7">
            <w:pPr>
              <w:spacing w:line="259" w:lineRule="auto"/>
              <w:ind w:left="34"/>
              <w:rPr>
                <w:noProof/>
                <w:sz w:val="18"/>
                <w:szCs w:val="18"/>
              </w:rPr>
            </w:pPr>
            <w:r>
              <w:rPr>
                <w:noProof/>
                <w:sz w:val="18"/>
                <w:szCs w:val="18"/>
              </w:rPr>
              <w:t xml:space="preserve">Project consenting: UK government authorises consents for energy generation projects of 50MW+ for England and Wales, </w:t>
            </w:r>
            <w:r w:rsidRPr="003D3BB2">
              <w:rPr>
                <w:i/>
                <w:noProof/>
                <w:sz w:val="18"/>
                <w:szCs w:val="18"/>
              </w:rPr>
              <w:t>but</w:t>
            </w:r>
            <w:r>
              <w:rPr>
                <w:noProof/>
                <w:sz w:val="18"/>
                <w:szCs w:val="18"/>
              </w:rPr>
              <w:t xml:space="preserve"> (i) after 2017 only over 350MW in Wales, and (ii) </w:t>
            </w:r>
            <w:r w:rsidRPr="00894B27">
              <w:rPr>
                <w:noProof/>
                <w:sz w:val="18"/>
                <w:szCs w:val="18"/>
              </w:rPr>
              <w:t>no</w:t>
            </w:r>
            <w:r>
              <w:rPr>
                <w:noProof/>
                <w:sz w:val="18"/>
                <w:szCs w:val="18"/>
              </w:rPr>
              <w:t>t for on-shore wind since 2016</w:t>
            </w:r>
          </w:p>
        </w:tc>
      </w:tr>
      <w:tr w:rsidR="001609F7" w:rsidRPr="00E0296D" w14:paraId="77D4F903" w14:textId="77777777" w:rsidTr="00DF7ED2">
        <w:trPr>
          <w:trHeight w:val="2897"/>
        </w:trPr>
        <w:tc>
          <w:tcPr>
            <w:tcW w:w="959" w:type="dxa"/>
            <w:vAlign w:val="center"/>
          </w:tcPr>
          <w:p w14:paraId="18273DBA" w14:textId="77777777" w:rsidR="001609F7" w:rsidRDefault="001609F7" w:rsidP="001609F7">
            <w:pPr>
              <w:spacing w:line="259" w:lineRule="auto"/>
              <w:ind w:left="-142" w:right="-108"/>
              <w:jc w:val="center"/>
              <w:rPr>
                <w:b/>
                <w:sz w:val="18"/>
                <w:szCs w:val="18"/>
              </w:rPr>
            </w:pPr>
          </w:p>
          <w:p w14:paraId="3477D8BF" w14:textId="77777777" w:rsidR="001609F7" w:rsidRDefault="001609F7" w:rsidP="001609F7">
            <w:pPr>
              <w:spacing w:line="259" w:lineRule="auto"/>
              <w:ind w:left="-142" w:right="-108"/>
              <w:jc w:val="center"/>
              <w:rPr>
                <w:b/>
                <w:sz w:val="18"/>
                <w:szCs w:val="18"/>
              </w:rPr>
            </w:pPr>
          </w:p>
          <w:p w14:paraId="74C2D87F" w14:textId="77777777" w:rsidR="001609F7" w:rsidRDefault="001609F7" w:rsidP="001609F7">
            <w:pPr>
              <w:spacing w:line="259" w:lineRule="auto"/>
              <w:ind w:left="-142" w:right="-108"/>
              <w:jc w:val="center"/>
              <w:rPr>
                <w:b/>
                <w:sz w:val="18"/>
                <w:szCs w:val="18"/>
              </w:rPr>
            </w:pPr>
            <w:r w:rsidRPr="00E0296D">
              <w:rPr>
                <w:b/>
                <w:sz w:val="18"/>
                <w:szCs w:val="18"/>
              </w:rPr>
              <w:t>Regional</w:t>
            </w:r>
          </w:p>
          <w:p w14:paraId="71F87A6B" w14:textId="77777777" w:rsidR="001609F7" w:rsidRDefault="001609F7" w:rsidP="001609F7">
            <w:pPr>
              <w:spacing w:line="259" w:lineRule="auto"/>
              <w:ind w:left="-142" w:right="-108"/>
              <w:jc w:val="center"/>
              <w:rPr>
                <w:b/>
                <w:sz w:val="18"/>
                <w:szCs w:val="18"/>
              </w:rPr>
            </w:pPr>
          </w:p>
          <w:p w14:paraId="647D457E" w14:textId="77777777" w:rsidR="001609F7" w:rsidRDefault="001609F7" w:rsidP="001609F7">
            <w:pPr>
              <w:spacing w:line="259" w:lineRule="auto"/>
              <w:ind w:left="-142" w:right="-108"/>
              <w:jc w:val="center"/>
              <w:rPr>
                <w:b/>
                <w:sz w:val="18"/>
                <w:szCs w:val="18"/>
              </w:rPr>
            </w:pPr>
          </w:p>
          <w:p w14:paraId="34DFDEE5" w14:textId="77777777" w:rsidR="001609F7" w:rsidRDefault="001609F7" w:rsidP="001609F7">
            <w:pPr>
              <w:spacing w:line="259" w:lineRule="auto"/>
              <w:ind w:left="-142" w:right="-108"/>
              <w:jc w:val="center"/>
              <w:rPr>
                <w:b/>
                <w:sz w:val="18"/>
                <w:szCs w:val="18"/>
              </w:rPr>
            </w:pPr>
          </w:p>
          <w:p w14:paraId="0B76D528" w14:textId="77777777" w:rsidR="001609F7" w:rsidRDefault="001609F7" w:rsidP="001609F7">
            <w:pPr>
              <w:spacing w:line="259" w:lineRule="auto"/>
              <w:ind w:left="-142" w:right="-108"/>
              <w:jc w:val="center"/>
              <w:rPr>
                <w:b/>
                <w:sz w:val="18"/>
                <w:szCs w:val="18"/>
              </w:rPr>
            </w:pPr>
          </w:p>
          <w:p w14:paraId="68DC0A77" w14:textId="77777777" w:rsidR="001609F7" w:rsidRDefault="001609F7" w:rsidP="001609F7">
            <w:pPr>
              <w:spacing w:line="259" w:lineRule="auto"/>
              <w:ind w:left="-142" w:right="-108"/>
              <w:jc w:val="center"/>
              <w:rPr>
                <w:b/>
                <w:sz w:val="18"/>
                <w:szCs w:val="18"/>
              </w:rPr>
            </w:pPr>
          </w:p>
          <w:p w14:paraId="5C8A5424" w14:textId="77777777" w:rsidR="001609F7" w:rsidRPr="00E0296D" w:rsidRDefault="001609F7" w:rsidP="001609F7">
            <w:pPr>
              <w:spacing w:line="259" w:lineRule="auto"/>
              <w:ind w:left="-142" w:right="-108"/>
              <w:jc w:val="center"/>
              <w:rPr>
                <w:b/>
                <w:sz w:val="18"/>
                <w:szCs w:val="18"/>
              </w:rPr>
            </w:pPr>
          </w:p>
        </w:tc>
        <w:tc>
          <w:tcPr>
            <w:tcW w:w="3908" w:type="dxa"/>
          </w:tcPr>
          <w:p w14:paraId="41CACBE9" w14:textId="77777777" w:rsidR="001609F7" w:rsidRDefault="001609F7" w:rsidP="001609F7">
            <w:pPr>
              <w:spacing w:line="259" w:lineRule="auto"/>
              <w:rPr>
                <w:noProof/>
                <w:sz w:val="18"/>
                <w:szCs w:val="18"/>
              </w:rPr>
            </w:pPr>
            <w:r>
              <w:rPr>
                <w:noProof/>
                <w:sz w:val="18"/>
                <w:szCs w:val="18"/>
              </w:rPr>
              <w:t>No powers over market support.</w:t>
            </w:r>
          </w:p>
          <w:p w14:paraId="1BFD7387" w14:textId="77777777" w:rsidR="001609F7" w:rsidRDefault="001609F7" w:rsidP="001609F7">
            <w:pPr>
              <w:spacing w:line="259" w:lineRule="auto"/>
              <w:rPr>
                <w:noProof/>
                <w:sz w:val="18"/>
                <w:szCs w:val="18"/>
              </w:rPr>
            </w:pPr>
          </w:p>
          <w:p w14:paraId="6545B943" w14:textId="77777777" w:rsidR="001609F7" w:rsidRDefault="001609F7" w:rsidP="001609F7">
            <w:pPr>
              <w:spacing w:line="259" w:lineRule="auto"/>
              <w:rPr>
                <w:noProof/>
                <w:sz w:val="18"/>
                <w:szCs w:val="18"/>
              </w:rPr>
            </w:pPr>
          </w:p>
          <w:p w14:paraId="3EE13A86" w14:textId="77777777" w:rsidR="001609F7" w:rsidRDefault="001609F7" w:rsidP="001609F7">
            <w:pPr>
              <w:spacing w:line="259" w:lineRule="auto"/>
              <w:rPr>
                <w:noProof/>
                <w:sz w:val="18"/>
                <w:szCs w:val="18"/>
              </w:rPr>
            </w:pPr>
          </w:p>
          <w:p w14:paraId="618EF1D5" w14:textId="77777777" w:rsidR="001609F7" w:rsidRDefault="001609F7" w:rsidP="001609F7">
            <w:pPr>
              <w:spacing w:line="259" w:lineRule="auto"/>
              <w:rPr>
                <w:noProof/>
                <w:sz w:val="18"/>
                <w:szCs w:val="18"/>
              </w:rPr>
            </w:pPr>
          </w:p>
          <w:p w14:paraId="43E05956" w14:textId="77777777" w:rsidR="001609F7" w:rsidRDefault="001609F7" w:rsidP="001609F7">
            <w:pPr>
              <w:spacing w:line="259" w:lineRule="auto"/>
              <w:rPr>
                <w:noProof/>
                <w:sz w:val="18"/>
                <w:szCs w:val="18"/>
              </w:rPr>
            </w:pPr>
          </w:p>
          <w:p w14:paraId="10D013BC" w14:textId="77777777" w:rsidR="001609F7" w:rsidRDefault="001609F7" w:rsidP="001609F7">
            <w:pPr>
              <w:spacing w:line="259" w:lineRule="auto"/>
              <w:rPr>
                <w:noProof/>
                <w:sz w:val="18"/>
                <w:szCs w:val="18"/>
              </w:rPr>
            </w:pPr>
            <w:r>
              <w:rPr>
                <w:noProof/>
                <w:sz w:val="18"/>
                <w:szCs w:val="18"/>
              </w:rPr>
              <w:t>Energy strategy and spatial planning: regions publishRegional Energy Plan(s), offering s</w:t>
            </w:r>
            <w:r w:rsidRPr="00E0296D">
              <w:rPr>
                <w:noProof/>
                <w:sz w:val="18"/>
                <w:szCs w:val="18"/>
              </w:rPr>
              <w:t>trat</w:t>
            </w:r>
            <w:r>
              <w:rPr>
                <w:noProof/>
                <w:sz w:val="18"/>
                <w:szCs w:val="18"/>
              </w:rPr>
              <w:t>egic direction and coordination.</w:t>
            </w:r>
          </w:p>
          <w:p w14:paraId="1991BE75" w14:textId="77777777" w:rsidR="001609F7" w:rsidRDefault="001609F7" w:rsidP="001609F7">
            <w:pPr>
              <w:spacing w:line="259" w:lineRule="auto"/>
              <w:rPr>
                <w:noProof/>
                <w:sz w:val="18"/>
                <w:szCs w:val="18"/>
              </w:rPr>
            </w:pPr>
          </w:p>
          <w:p w14:paraId="074459F6" w14:textId="77777777" w:rsidR="001609F7" w:rsidRPr="006829DF" w:rsidRDefault="001609F7" w:rsidP="001609F7">
            <w:pPr>
              <w:pStyle w:val="HTMLPreformatted"/>
              <w:shd w:val="clear" w:color="auto" w:fill="FFFFFF"/>
              <w:spacing w:line="259" w:lineRule="auto"/>
              <w:rPr>
                <w:rFonts w:asciiTheme="minorHAnsi" w:eastAsiaTheme="minorHAnsi" w:hAnsiTheme="minorHAnsi" w:cstheme="minorBidi"/>
                <w:noProof/>
                <w:sz w:val="18"/>
                <w:szCs w:val="18"/>
                <w:lang w:eastAsia="en-US"/>
              </w:rPr>
            </w:pPr>
            <w:r>
              <w:rPr>
                <w:rFonts w:asciiTheme="minorHAnsi" w:eastAsiaTheme="minorHAnsi" w:hAnsiTheme="minorHAnsi" w:cstheme="minorBidi"/>
                <w:noProof/>
                <w:sz w:val="18"/>
                <w:szCs w:val="18"/>
                <w:lang w:eastAsia="en-US"/>
              </w:rPr>
              <w:t>Project consenting for: grid/ infrastructure renewal</w:t>
            </w:r>
            <w:r w:rsidRPr="00806450">
              <w:rPr>
                <w:rFonts w:asciiTheme="minorHAnsi" w:eastAsiaTheme="minorHAnsi" w:hAnsiTheme="minorHAnsi" w:cstheme="minorBidi"/>
                <w:noProof/>
                <w:sz w:val="18"/>
                <w:szCs w:val="18"/>
                <w:lang w:eastAsia="en-US"/>
              </w:rPr>
              <w:t xml:space="preserve">; </w:t>
            </w:r>
            <w:r w:rsidRPr="00806450">
              <w:rPr>
                <w:rFonts w:asciiTheme="minorHAnsi" w:hAnsiTheme="minorHAnsi"/>
                <w:noProof/>
                <w:sz w:val="18"/>
                <w:szCs w:val="18"/>
              </w:rPr>
              <w:t xml:space="preserve"> for almost all types of plants requiring EIA</w:t>
            </w:r>
            <w:r>
              <w:rPr>
                <w:rFonts w:asciiTheme="minorHAnsi" w:hAnsiTheme="minorHAnsi"/>
                <w:noProof/>
                <w:sz w:val="18"/>
                <w:szCs w:val="18"/>
              </w:rPr>
              <w:t xml:space="preserve"> (i.e. wind &gt; 60kW). </w:t>
            </w:r>
          </w:p>
          <w:p w14:paraId="643BE278" w14:textId="77777777" w:rsidR="001609F7" w:rsidRDefault="001609F7" w:rsidP="0016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noProof/>
                <w:sz w:val="18"/>
                <w:szCs w:val="18"/>
              </w:rPr>
            </w:pPr>
            <w:r w:rsidRPr="00E0296D">
              <w:rPr>
                <w:noProof/>
                <w:sz w:val="18"/>
                <w:szCs w:val="18"/>
              </w:rPr>
              <w:t xml:space="preserve">Regions </w:t>
            </w:r>
            <w:r>
              <w:rPr>
                <w:noProof/>
                <w:sz w:val="18"/>
                <w:szCs w:val="18"/>
              </w:rPr>
              <w:t>can</w:t>
            </w:r>
            <w:r w:rsidRPr="00E0296D">
              <w:rPr>
                <w:noProof/>
                <w:sz w:val="18"/>
                <w:szCs w:val="18"/>
              </w:rPr>
              <w:t xml:space="preserve"> expand the scope of the ‘simplified authorization scheme’ (PAS)  to power plants up to 1 MW and delegate this to municipality level</w:t>
            </w:r>
          </w:p>
          <w:p w14:paraId="686C06F5" w14:textId="77777777" w:rsidR="001609F7" w:rsidRPr="00E0296D" w:rsidRDefault="001609F7" w:rsidP="0016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noProof/>
                <w:sz w:val="18"/>
                <w:szCs w:val="18"/>
              </w:rPr>
            </w:pPr>
            <w:r w:rsidRPr="006829DF">
              <w:rPr>
                <w:noProof/>
                <w:sz w:val="18"/>
                <w:szCs w:val="18"/>
              </w:rPr>
              <w:t xml:space="preserve">Regions can </w:t>
            </w:r>
            <w:r>
              <w:rPr>
                <w:noProof/>
                <w:sz w:val="18"/>
                <w:szCs w:val="18"/>
              </w:rPr>
              <w:t xml:space="preserve">also </w:t>
            </w:r>
            <w:r w:rsidRPr="006829DF">
              <w:rPr>
                <w:noProof/>
                <w:sz w:val="18"/>
                <w:szCs w:val="18"/>
              </w:rPr>
              <w:t xml:space="preserve">delegate their </w:t>
            </w:r>
            <w:r>
              <w:rPr>
                <w:noProof/>
                <w:sz w:val="18"/>
                <w:szCs w:val="18"/>
              </w:rPr>
              <w:t xml:space="preserve">consenting, </w:t>
            </w:r>
            <w:r w:rsidRPr="006829DF">
              <w:rPr>
                <w:noProof/>
                <w:sz w:val="18"/>
                <w:szCs w:val="18"/>
              </w:rPr>
              <w:t>EIA duties</w:t>
            </w:r>
            <w:r>
              <w:rPr>
                <w:noProof/>
                <w:sz w:val="18"/>
                <w:szCs w:val="18"/>
              </w:rPr>
              <w:t xml:space="preserve"> and simplified authorisation powers</w:t>
            </w:r>
            <w:r w:rsidRPr="006829DF">
              <w:rPr>
                <w:noProof/>
                <w:sz w:val="18"/>
                <w:szCs w:val="18"/>
              </w:rPr>
              <w:t xml:space="preserve"> to the Province</w:t>
            </w:r>
            <w:r>
              <w:rPr>
                <w:noProof/>
                <w:sz w:val="18"/>
                <w:szCs w:val="18"/>
              </w:rPr>
              <w:t>.</w:t>
            </w:r>
          </w:p>
        </w:tc>
        <w:tc>
          <w:tcPr>
            <w:tcW w:w="911" w:type="dxa"/>
          </w:tcPr>
          <w:p w14:paraId="1353DE64" w14:textId="77777777" w:rsidR="001609F7" w:rsidRDefault="001609F7" w:rsidP="001609F7">
            <w:pPr>
              <w:spacing w:line="259" w:lineRule="auto"/>
              <w:ind w:left="-47" w:right="-108"/>
              <w:jc w:val="center"/>
              <w:rPr>
                <w:noProof/>
                <w:sz w:val="18"/>
                <w:szCs w:val="18"/>
              </w:rPr>
            </w:pPr>
          </w:p>
          <w:p w14:paraId="13875FB3" w14:textId="77777777" w:rsidR="001609F7" w:rsidRDefault="001609F7" w:rsidP="001609F7">
            <w:pPr>
              <w:spacing w:line="259" w:lineRule="auto"/>
              <w:ind w:left="-47" w:right="-108"/>
              <w:jc w:val="center"/>
              <w:rPr>
                <w:noProof/>
                <w:sz w:val="18"/>
                <w:szCs w:val="18"/>
              </w:rPr>
            </w:pPr>
          </w:p>
          <w:p w14:paraId="4B6F0070" w14:textId="77777777" w:rsidR="001609F7" w:rsidRDefault="001609F7" w:rsidP="001609F7">
            <w:pPr>
              <w:spacing w:line="259" w:lineRule="auto"/>
              <w:ind w:left="-47" w:right="-108"/>
              <w:jc w:val="center"/>
              <w:rPr>
                <w:noProof/>
                <w:sz w:val="18"/>
                <w:szCs w:val="18"/>
              </w:rPr>
            </w:pPr>
          </w:p>
          <w:p w14:paraId="7C709B2E" w14:textId="77777777" w:rsidR="001609F7" w:rsidRDefault="001609F7" w:rsidP="001609F7">
            <w:pPr>
              <w:spacing w:line="259" w:lineRule="auto"/>
              <w:ind w:left="-47" w:right="-108"/>
              <w:jc w:val="center"/>
              <w:rPr>
                <w:noProof/>
                <w:sz w:val="18"/>
                <w:szCs w:val="18"/>
              </w:rPr>
            </w:pPr>
          </w:p>
          <w:p w14:paraId="06FE3364" w14:textId="77777777" w:rsidR="001609F7" w:rsidRDefault="001609F7" w:rsidP="001609F7">
            <w:pPr>
              <w:spacing w:line="259" w:lineRule="auto"/>
              <w:ind w:left="-47" w:right="-108"/>
              <w:jc w:val="center"/>
              <w:rPr>
                <w:b/>
                <w:noProof/>
                <w:sz w:val="18"/>
                <w:szCs w:val="18"/>
              </w:rPr>
            </w:pPr>
          </w:p>
          <w:p w14:paraId="61064A95" w14:textId="77777777" w:rsidR="001609F7" w:rsidRPr="007E678C" w:rsidRDefault="001609F7" w:rsidP="001609F7">
            <w:pPr>
              <w:spacing w:line="259" w:lineRule="auto"/>
              <w:ind w:left="-47" w:right="-108"/>
              <w:jc w:val="center"/>
              <w:rPr>
                <w:b/>
                <w:noProof/>
                <w:sz w:val="18"/>
                <w:szCs w:val="18"/>
              </w:rPr>
            </w:pPr>
            <w:r>
              <w:rPr>
                <w:b/>
                <w:noProof/>
                <w:sz w:val="18"/>
                <w:szCs w:val="18"/>
              </w:rPr>
              <w:t>Devolved (Northern</w:t>
            </w:r>
            <w:r w:rsidRPr="007E678C">
              <w:rPr>
                <w:b/>
                <w:noProof/>
                <w:sz w:val="18"/>
                <w:szCs w:val="18"/>
              </w:rPr>
              <w:t xml:space="preserve"> Ireland, Scotland and Wales)</w:t>
            </w:r>
          </w:p>
        </w:tc>
        <w:tc>
          <w:tcPr>
            <w:tcW w:w="3980" w:type="dxa"/>
          </w:tcPr>
          <w:p w14:paraId="49682C5E" w14:textId="77777777" w:rsidR="001609F7" w:rsidRPr="00894B27" w:rsidRDefault="001609F7" w:rsidP="001609F7">
            <w:pPr>
              <w:spacing w:line="259" w:lineRule="auto"/>
              <w:rPr>
                <w:noProof/>
                <w:sz w:val="18"/>
                <w:szCs w:val="18"/>
              </w:rPr>
            </w:pPr>
            <w:r>
              <w:rPr>
                <w:noProof/>
                <w:sz w:val="18"/>
                <w:szCs w:val="18"/>
              </w:rPr>
              <w:t>Northern Ireland has formal powers over m</w:t>
            </w:r>
            <w:r w:rsidRPr="00894B27">
              <w:rPr>
                <w:noProof/>
                <w:sz w:val="18"/>
                <w:szCs w:val="18"/>
              </w:rPr>
              <w:t xml:space="preserve">arket support for </w:t>
            </w:r>
            <w:r>
              <w:rPr>
                <w:noProof/>
                <w:sz w:val="18"/>
                <w:szCs w:val="18"/>
              </w:rPr>
              <w:t>RE</w:t>
            </w:r>
            <w:r w:rsidRPr="00894B27">
              <w:rPr>
                <w:noProof/>
                <w:sz w:val="18"/>
                <w:szCs w:val="18"/>
              </w:rPr>
              <w:t xml:space="preserve"> </w:t>
            </w:r>
            <w:r>
              <w:rPr>
                <w:noProof/>
                <w:sz w:val="18"/>
                <w:szCs w:val="18"/>
              </w:rPr>
              <w:t xml:space="preserve">and grid regulation in Northern Ireland; </w:t>
            </w:r>
            <w:r w:rsidRPr="007E678C">
              <w:rPr>
                <w:noProof/>
                <w:sz w:val="18"/>
                <w:szCs w:val="18"/>
              </w:rPr>
              <w:t>Scotland has limited executive powers over some, now historic, market support systems;</w:t>
            </w:r>
            <w:r>
              <w:rPr>
                <w:noProof/>
                <w:sz w:val="18"/>
                <w:szCs w:val="18"/>
              </w:rPr>
              <w:t xml:space="preserve"> Wales has no powers in these spheres.</w:t>
            </w:r>
          </w:p>
          <w:p w14:paraId="3C7ADDC0" w14:textId="77777777" w:rsidR="001609F7" w:rsidRDefault="001609F7" w:rsidP="001609F7">
            <w:pPr>
              <w:spacing w:line="259" w:lineRule="auto"/>
              <w:rPr>
                <w:noProof/>
                <w:sz w:val="18"/>
                <w:szCs w:val="18"/>
              </w:rPr>
            </w:pPr>
          </w:p>
          <w:p w14:paraId="5099F327" w14:textId="77777777" w:rsidR="001609F7" w:rsidRPr="007E678C" w:rsidRDefault="001609F7" w:rsidP="001609F7">
            <w:pPr>
              <w:spacing w:line="259" w:lineRule="auto"/>
              <w:rPr>
                <w:noProof/>
                <w:sz w:val="18"/>
                <w:szCs w:val="18"/>
              </w:rPr>
            </w:pPr>
            <w:r>
              <w:rPr>
                <w:noProof/>
                <w:sz w:val="18"/>
                <w:szCs w:val="18"/>
              </w:rPr>
              <w:t xml:space="preserve">Energy strategy and spatial planning: Devolved governments permitted to create energy strategies; each has full control over spatial plannig policy. </w:t>
            </w:r>
          </w:p>
          <w:p w14:paraId="3D12084B" w14:textId="77777777" w:rsidR="001609F7" w:rsidRPr="007E678C" w:rsidRDefault="001609F7" w:rsidP="001609F7">
            <w:pPr>
              <w:spacing w:line="259" w:lineRule="auto"/>
              <w:rPr>
                <w:noProof/>
                <w:sz w:val="18"/>
                <w:szCs w:val="18"/>
              </w:rPr>
            </w:pPr>
            <w:r w:rsidRPr="006829DF">
              <w:rPr>
                <w:noProof/>
                <w:sz w:val="18"/>
                <w:szCs w:val="18"/>
              </w:rPr>
              <w:t xml:space="preserve">Project consenting: </w:t>
            </w:r>
            <w:r>
              <w:rPr>
                <w:noProof/>
                <w:sz w:val="18"/>
                <w:szCs w:val="18"/>
              </w:rPr>
              <w:t>devolved governments authorise consent for some energy generation projects: over 50MW in Scotland; for all energy generation in Northern Ireland until 2015, thereafter only projects over 30MW; Wales acquired consenting powers on projects over 10MW (from 2016) up to 350MW (from 2017).</w:t>
            </w:r>
          </w:p>
        </w:tc>
      </w:tr>
      <w:tr w:rsidR="001609F7" w:rsidRPr="00E0296D" w14:paraId="30038211" w14:textId="77777777" w:rsidTr="00DF7ED2">
        <w:trPr>
          <w:trHeight w:val="2557"/>
        </w:trPr>
        <w:tc>
          <w:tcPr>
            <w:tcW w:w="959" w:type="dxa"/>
            <w:vAlign w:val="center"/>
          </w:tcPr>
          <w:p w14:paraId="4061EB24" w14:textId="77777777" w:rsidR="001609F7" w:rsidRPr="00E0296D" w:rsidRDefault="001609F7" w:rsidP="001609F7">
            <w:pPr>
              <w:spacing w:line="259" w:lineRule="auto"/>
              <w:ind w:left="-142" w:right="-108"/>
              <w:jc w:val="center"/>
              <w:rPr>
                <w:b/>
                <w:noProof/>
                <w:sz w:val="18"/>
                <w:szCs w:val="18"/>
              </w:rPr>
            </w:pPr>
            <w:r w:rsidRPr="00E0296D">
              <w:rPr>
                <w:b/>
                <w:noProof/>
                <w:sz w:val="18"/>
                <w:szCs w:val="18"/>
              </w:rPr>
              <w:t>Provincial</w:t>
            </w:r>
            <w:r>
              <w:rPr>
                <w:b/>
                <w:noProof/>
                <w:sz w:val="18"/>
                <w:szCs w:val="18"/>
              </w:rPr>
              <w:t xml:space="preserve">/ </w:t>
            </w:r>
            <w:r w:rsidRPr="007006ED">
              <w:rPr>
                <w:b/>
                <w:noProof/>
                <w:sz w:val="18"/>
                <w:szCs w:val="18"/>
              </w:rPr>
              <w:t>Municipality</w:t>
            </w:r>
            <w:r>
              <w:rPr>
                <w:b/>
                <w:noProof/>
                <w:sz w:val="18"/>
                <w:szCs w:val="18"/>
              </w:rPr>
              <w:t xml:space="preserve"> level</w:t>
            </w:r>
          </w:p>
        </w:tc>
        <w:tc>
          <w:tcPr>
            <w:tcW w:w="3908" w:type="dxa"/>
          </w:tcPr>
          <w:p w14:paraId="07869215" w14:textId="77777777" w:rsidR="001609F7" w:rsidRDefault="001609F7" w:rsidP="001609F7">
            <w:pPr>
              <w:spacing w:line="259" w:lineRule="auto"/>
              <w:rPr>
                <w:sz w:val="18"/>
                <w:szCs w:val="18"/>
              </w:rPr>
            </w:pPr>
            <w:r>
              <w:rPr>
                <w:sz w:val="18"/>
                <w:szCs w:val="18"/>
              </w:rPr>
              <w:t xml:space="preserve">Energy strategy and spatial planning: </w:t>
            </w:r>
            <w:r w:rsidRPr="00E0296D">
              <w:rPr>
                <w:sz w:val="18"/>
                <w:szCs w:val="18"/>
              </w:rPr>
              <w:t>Provincial</w:t>
            </w:r>
            <w:r>
              <w:rPr>
                <w:sz w:val="18"/>
                <w:szCs w:val="18"/>
              </w:rPr>
              <w:t xml:space="preserve">/ Municipal Energy Plan(s) and </w:t>
            </w:r>
            <w:r w:rsidRPr="00E0296D">
              <w:rPr>
                <w:sz w:val="18"/>
                <w:szCs w:val="18"/>
              </w:rPr>
              <w:t>EIA</w:t>
            </w:r>
            <w:r>
              <w:rPr>
                <w:sz w:val="18"/>
                <w:szCs w:val="18"/>
              </w:rPr>
              <w:t xml:space="preserve"> and Simplified authorisation duties, </w:t>
            </w:r>
            <w:r w:rsidRPr="0035142C">
              <w:rPr>
                <w:i/>
                <w:sz w:val="18"/>
                <w:szCs w:val="18"/>
              </w:rPr>
              <w:t>if delegated to them by region</w:t>
            </w:r>
            <w:r>
              <w:rPr>
                <w:sz w:val="18"/>
                <w:szCs w:val="18"/>
              </w:rPr>
              <w:t>; g</w:t>
            </w:r>
            <w:r w:rsidRPr="00E0296D">
              <w:rPr>
                <w:noProof/>
                <w:sz w:val="18"/>
                <w:szCs w:val="18"/>
              </w:rPr>
              <w:t>uidelines for interventions to planners;</w:t>
            </w:r>
          </w:p>
          <w:p w14:paraId="509EE67A" w14:textId="77777777" w:rsidR="001609F7" w:rsidRDefault="001609F7" w:rsidP="001609F7">
            <w:pPr>
              <w:spacing w:line="259" w:lineRule="auto"/>
              <w:rPr>
                <w:noProof/>
                <w:sz w:val="18"/>
                <w:szCs w:val="18"/>
              </w:rPr>
            </w:pPr>
          </w:p>
          <w:p w14:paraId="7AFCAEA8" w14:textId="77777777" w:rsidR="001609F7" w:rsidRPr="00E0296D" w:rsidRDefault="001609F7" w:rsidP="001609F7">
            <w:pPr>
              <w:spacing w:line="259" w:lineRule="auto"/>
              <w:rPr>
                <w:noProof/>
                <w:sz w:val="18"/>
                <w:szCs w:val="18"/>
              </w:rPr>
            </w:pPr>
            <w:r>
              <w:rPr>
                <w:noProof/>
                <w:sz w:val="18"/>
                <w:szCs w:val="18"/>
              </w:rPr>
              <w:t xml:space="preserve">Project consenting: issuing consent; providing </w:t>
            </w:r>
            <w:r w:rsidRPr="00806450">
              <w:rPr>
                <w:noProof/>
                <w:sz w:val="18"/>
                <w:szCs w:val="18"/>
              </w:rPr>
              <w:t>simplified authorization schemes (PAS)</w:t>
            </w:r>
            <w:r>
              <w:rPr>
                <w:noProof/>
                <w:sz w:val="18"/>
                <w:szCs w:val="18"/>
              </w:rPr>
              <w:t xml:space="preserve"> </w:t>
            </w:r>
            <w:r w:rsidRPr="00B93E83">
              <w:rPr>
                <w:sz w:val="18"/>
                <w:szCs w:val="18"/>
              </w:rPr>
              <w:t>for power plants up to: Wind 60 KW; PV 20 KW, hydro 100 KW, Biomass 200 KW; biogas 250 KW</w:t>
            </w:r>
          </w:p>
        </w:tc>
        <w:tc>
          <w:tcPr>
            <w:tcW w:w="911" w:type="dxa"/>
          </w:tcPr>
          <w:p w14:paraId="4AC56927" w14:textId="77777777" w:rsidR="001609F7" w:rsidRDefault="001609F7" w:rsidP="001609F7">
            <w:pPr>
              <w:spacing w:line="259" w:lineRule="auto"/>
              <w:ind w:left="-47" w:right="-108"/>
              <w:jc w:val="center"/>
              <w:rPr>
                <w:sz w:val="18"/>
                <w:szCs w:val="18"/>
              </w:rPr>
            </w:pPr>
          </w:p>
          <w:p w14:paraId="125FDC68" w14:textId="77777777" w:rsidR="001609F7" w:rsidRDefault="001609F7" w:rsidP="001609F7">
            <w:pPr>
              <w:spacing w:line="259" w:lineRule="auto"/>
              <w:ind w:left="-47" w:right="-108"/>
              <w:jc w:val="center"/>
              <w:rPr>
                <w:sz w:val="18"/>
                <w:szCs w:val="18"/>
              </w:rPr>
            </w:pPr>
          </w:p>
          <w:p w14:paraId="02973017" w14:textId="77777777" w:rsidR="001609F7" w:rsidRDefault="001609F7" w:rsidP="001609F7">
            <w:pPr>
              <w:spacing w:line="259" w:lineRule="auto"/>
              <w:ind w:left="-47" w:right="-108"/>
              <w:jc w:val="center"/>
              <w:rPr>
                <w:sz w:val="18"/>
                <w:szCs w:val="18"/>
              </w:rPr>
            </w:pPr>
          </w:p>
          <w:p w14:paraId="7D1C9F92" w14:textId="77777777" w:rsidR="001609F7" w:rsidRDefault="001609F7" w:rsidP="001609F7">
            <w:pPr>
              <w:spacing w:line="259" w:lineRule="auto"/>
              <w:ind w:left="-47" w:right="-108"/>
              <w:jc w:val="center"/>
              <w:rPr>
                <w:b/>
                <w:sz w:val="18"/>
                <w:szCs w:val="18"/>
              </w:rPr>
            </w:pPr>
          </w:p>
          <w:p w14:paraId="4E228D3D" w14:textId="77777777" w:rsidR="001609F7" w:rsidRPr="007E678C" w:rsidRDefault="001609F7" w:rsidP="001609F7">
            <w:pPr>
              <w:spacing w:line="259" w:lineRule="auto"/>
              <w:ind w:left="-47" w:right="-108"/>
              <w:jc w:val="center"/>
              <w:rPr>
                <w:b/>
                <w:sz w:val="18"/>
                <w:szCs w:val="18"/>
              </w:rPr>
            </w:pPr>
            <w:r w:rsidRPr="007E678C">
              <w:rPr>
                <w:b/>
                <w:sz w:val="18"/>
                <w:szCs w:val="18"/>
              </w:rPr>
              <w:t>Local gov</w:t>
            </w:r>
            <w:r>
              <w:rPr>
                <w:b/>
                <w:sz w:val="18"/>
                <w:szCs w:val="18"/>
              </w:rPr>
              <w:t>t.</w:t>
            </w:r>
          </w:p>
        </w:tc>
        <w:tc>
          <w:tcPr>
            <w:tcW w:w="3980" w:type="dxa"/>
          </w:tcPr>
          <w:p w14:paraId="1E914EFB" w14:textId="77777777" w:rsidR="001609F7" w:rsidRDefault="001609F7" w:rsidP="001609F7">
            <w:pPr>
              <w:spacing w:line="259" w:lineRule="auto"/>
              <w:rPr>
                <w:sz w:val="18"/>
                <w:szCs w:val="18"/>
              </w:rPr>
            </w:pPr>
            <w:r>
              <w:rPr>
                <w:sz w:val="18"/>
                <w:szCs w:val="18"/>
              </w:rPr>
              <w:t>Energy strategy and spatial planning: drawing up local land use plans (in Northern Ireland, from 2015)</w:t>
            </w:r>
          </w:p>
          <w:p w14:paraId="478FA34A" w14:textId="77777777" w:rsidR="001609F7" w:rsidRDefault="001609F7" w:rsidP="001609F7">
            <w:pPr>
              <w:spacing w:line="259" w:lineRule="auto"/>
              <w:rPr>
                <w:sz w:val="18"/>
                <w:szCs w:val="18"/>
              </w:rPr>
            </w:pPr>
          </w:p>
          <w:p w14:paraId="6C7818E2" w14:textId="77777777" w:rsidR="001609F7" w:rsidRDefault="001609F7" w:rsidP="001609F7">
            <w:pPr>
              <w:spacing w:line="259" w:lineRule="auto"/>
              <w:rPr>
                <w:sz w:val="18"/>
                <w:szCs w:val="18"/>
              </w:rPr>
            </w:pPr>
          </w:p>
          <w:p w14:paraId="565F8F7C" w14:textId="77777777" w:rsidR="001609F7" w:rsidRDefault="001609F7" w:rsidP="001609F7">
            <w:pPr>
              <w:spacing w:line="259" w:lineRule="auto"/>
              <w:rPr>
                <w:sz w:val="18"/>
                <w:szCs w:val="18"/>
              </w:rPr>
            </w:pPr>
          </w:p>
          <w:p w14:paraId="2B106BC7" w14:textId="77777777" w:rsidR="001609F7" w:rsidRPr="003C23E4" w:rsidRDefault="001609F7" w:rsidP="001609F7">
            <w:pPr>
              <w:spacing w:line="259" w:lineRule="auto"/>
              <w:rPr>
                <w:sz w:val="18"/>
                <w:szCs w:val="18"/>
              </w:rPr>
            </w:pPr>
            <w:r>
              <w:rPr>
                <w:sz w:val="18"/>
                <w:szCs w:val="18"/>
              </w:rPr>
              <w:t>Project consenting: for energy projects up to 50MW in England until 2016, thereafter for all onshore wind; up to 50MW in Scotland; up to 50MW in Wales (until 2016), thereafter up to 10MW; in Northern Ireland only since 2015 and projects up to 30MW</w:t>
            </w:r>
          </w:p>
        </w:tc>
      </w:tr>
    </w:tbl>
    <w:p w14:paraId="11A198AD" w14:textId="77777777" w:rsidR="001609F7" w:rsidRDefault="001609F7" w:rsidP="001609F7">
      <w:pPr>
        <w:spacing w:line="259" w:lineRule="auto"/>
        <w:rPr>
          <w:sz w:val="20"/>
          <w:szCs w:val="24"/>
        </w:rPr>
      </w:pPr>
    </w:p>
    <w:p w14:paraId="7F6AD7CC" w14:textId="77777777" w:rsidR="001609F7" w:rsidRPr="00811D5E" w:rsidRDefault="001609F7" w:rsidP="001609F7">
      <w:pPr>
        <w:spacing w:line="259" w:lineRule="auto"/>
        <w:rPr>
          <w:sz w:val="24"/>
          <w:szCs w:val="24"/>
        </w:rPr>
      </w:pPr>
      <w:r w:rsidRPr="00E0296D">
        <w:rPr>
          <w:sz w:val="20"/>
          <w:szCs w:val="24"/>
        </w:rPr>
        <w:t xml:space="preserve">Source: </w:t>
      </w:r>
      <w:r>
        <w:rPr>
          <w:sz w:val="20"/>
          <w:szCs w:val="24"/>
        </w:rPr>
        <w:t>the authors.</w:t>
      </w:r>
    </w:p>
    <w:p w14:paraId="1148E0C4" w14:textId="33E368B7" w:rsidR="001609F7" w:rsidRDefault="001609F7">
      <w:pPr>
        <w:spacing w:after="160" w:line="259" w:lineRule="auto"/>
      </w:pPr>
      <w:r>
        <w:br w:type="page"/>
      </w:r>
    </w:p>
    <w:p w14:paraId="260C6C1D" w14:textId="77777777" w:rsidR="001609F7" w:rsidRPr="0093603D" w:rsidRDefault="001609F7" w:rsidP="001609F7">
      <w:pPr>
        <w:spacing w:line="259" w:lineRule="auto"/>
        <w:jc w:val="both"/>
        <w:rPr>
          <w:rFonts w:cstheme="minorHAnsi"/>
          <w:b/>
        </w:rPr>
      </w:pPr>
      <w:r w:rsidRPr="0093603D">
        <w:rPr>
          <w:rFonts w:cstheme="minorHAnsi"/>
          <w:b/>
        </w:rPr>
        <w:lastRenderedPageBreak/>
        <w:t xml:space="preserve">Table 3: Modes of governing </w:t>
      </w:r>
      <w:proofErr w:type="gramStart"/>
      <w:r w:rsidRPr="0093603D">
        <w:rPr>
          <w:rFonts w:cstheme="minorHAnsi"/>
          <w:b/>
        </w:rPr>
        <w:t>on-shore</w:t>
      </w:r>
      <w:proofErr w:type="gramEnd"/>
      <w:r w:rsidRPr="0093603D">
        <w:rPr>
          <w:rFonts w:cstheme="minorHAnsi"/>
          <w:b/>
        </w:rPr>
        <w:t xml:space="preserve"> wind: diverse roles for spatial planning</w:t>
      </w:r>
    </w:p>
    <w:p w14:paraId="459C6D07" w14:textId="77777777" w:rsidR="001609F7" w:rsidRPr="0093603D" w:rsidRDefault="001609F7" w:rsidP="001609F7">
      <w:pPr>
        <w:spacing w:line="259" w:lineRule="auto"/>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2127"/>
        <w:gridCol w:w="1984"/>
      </w:tblGrid>
      <w:tr w:rsidR="001609F7" w:rsidRPr="0093603D" w14:paraId="7E51AF4D" w14:textId="77777777" w:rsidTr="00DF7ED2">
        <w:tc>
          <w:tcPr>
            <w:tcW w:w="4644" w:type="dxa"/>
            <w:gridSpan w:val="2"/>
          </w:tcPr>
          <w:p w14:paraId="1D0F6CE1" w14:textId="77777777" w:rsidR="001609F7" w:rsidRPr="0093603D" w:rsidRDefault="001609F7" w:rsidP="00DF7ED2">
            <w:pPr>
              <w:spacing w:line="259" w:lineRule="auto"/>
              <w:jc w:val="center"/>
              <w:rPr>
                <w:rFonts w:cstheme="minorHAnsi"/>
                <w:b/>
              </w:rPr>
            </w:pPr>
            <w:r w:rsidRPr="0093603D">
              <w:rPr>
                <w:rFonts w:cstheme="minorHAnsi"/>
                <w:b/>
              </w:rPr>
              <w:t>Mode of governing</w:t>
            </w:r>
          </w:p>
          <w:p w14:paraId="73D0A437" w14:textId="77777777" w:rsidR="001609F7" w:rsidRPr="0093603D" w:rsidRDefault="001609F7" w:rsidP="00DF7ED2">
            <w:pPr>
              <w:spacing w:line="259" w:lineRule="auto"/>
              <w:jc w:val="center"/>
              <w:rPr>
                <w:rFonts w:cstheme="minorHAnsi"/>
                <w:b/>
              </w:rPr>
            </w:pPr>
          </w:p>
        </w:tc>
        <w:tc>
          <w:tcPr>
            <w:tcW w:w="2127" w:type="dxa"/>
            <w:vMerge w:val="restart"/>
          </w:tcPr>
          <w:p w14:paraId="2638BFD4" w14:textId="77777777" w:rsidR="001609F7" w:rsidRPr="0093603D" w:rsidRDefault="001609F7" w:rsidP="00DF7ED2">
            <w:pPr>
              <w:spacing w:line="259" w:lineRule="auto"/>
              <w:jc w:val="center"/>
              <w:rPr>
                <w:rFonts w:cstheme="minorHAnsi"/>
                <w:b/>
              </w:rPr>
            </w:pPr>
            <w:r w:rsidRPr="0093603D">
              <w:rPr>
                <w:rFonts w:cstheme="minorHAnsi"/>
                <w:b/>
              </w:rPr>
              <w:t>Common characteristics</w:t>
            </w:r>
          </w:p>
        </w:tc>
        <w:tc>
          <w:tcPr>
            <w:tcW w:w="1984" w:type="dxa"/>
            <w:vMerge w:val="restart"/>
          </w:tcPr>
          <w:p w14:paraId="6A23E694" w14:textId="77777777" w:rsidR="001609F7" w:rsidRPr="0093603D" w:rsidRDefault="001609F7" w:rsidP="00DF7ED2">
            <w:pPr>
              <w:spacing w:line="259" w:lineRule="auto"/>
              <w:jc w:val="center"/>
              <w:rPr>
                <w:rFonts w:cstheme="minorHAnsi"/>
                <w:b/>
              </w:rPr>
            </w:pPr>
            <w:r w:rsidRPr="0093603D">
              <w:rPr>
                <w:rFonts w:cstheme="minorHAnsi"/>
                <w:b/>
              </w:rPr>
              <w:t>Examples</w:t>
            </w:r>
          </w:p>
        </w:tc>
      </w:tr>
      <w:tr w:rsidR="001609F7" w:rsidRPr="0093603D" w14:paraId="476B3E9D" w14:textId="77777777" w:rsidTr="00DF7ED2">
        <w:tc>
          <w:tcPr>
            <w:tcW w:w="1809" w:type="dxa"/>
          </w:tcPr>
          <w:p w14:paraId="1EBF20A0" w14:textId="77777777" w:rsidR="001609F7" w:rsidRPr="0093603D" w:rsidRDefault="001609F7" w:rsidP="00DF7ED2">
            <w:pPr>
              <w:spacing w:line="259" w:lineRule="auto"/>
              <w:jc w:val="center"/>
              <w:rPr>
                <w:rFonts w:cstheme="minorHAnsi"/>
                <w:b/>
              </w:rPr>
            </w:pPr>
            <w:r w:rsidRPr="0093603D">
              <w:rPr>
                <w:rFonts w:cstheme="minorHAnsi"/>
                <w:b/>
              </w:rPr>
              <w:t>Label</w:t>
            </w:r>
          </w:p>
        </w:tc>
        <w:tc>
          <w:tcPr>
            <w:tcW w:w="2835" w:type="dxa"/>
          </w:tcPr>
          <w:p w14:paraId="25535326" w14:textId="77777777" w:rsidR="001609F7" w:rsidRPr="0093603D" w:rsidRDefault="001609F7" w:rsidP="00DF7ED2">
            <w:pPr>
              <w:spacing w:line="259" w:lineRule="auto"/>
              <w:jc w:val="center"/>
              <w:rPr>
                <w:rFonts w:cstheme="minorHAnsi"/>
                <w:b/>
              </w:rPr>
            </w:pPr>
            <w:r w:rsidRPr="0093603D">
              <w:rPr>
                <w:rFonts w:cstheme="minorHAnsi"/>
                <w:b/>
              </w:rPr>
              <w:t>Description and goals</w:t>
            </w:r>
          </w:p>
        </w:tc>
        <w:tc>
          <w:tcPr>
            <w:tcW w:w="2127" w:type="dxa"/>
            <w:vMerge/>
          </w:tcPr>
          <w:p w14:paraId="08A9950D" w14:textId="77777777" w:rsidR="001609F7" w:rsidRPr="0093603D" w:rsidRDefault="001609F7" w:rsidP="00DF7ED2">
            <w:pPr>
              <w:spacing w:line="259" w:lineRule="auto"/>
              <w:rPr>
                <w:rFonts w:cstheme="minorHAnsi"/>
                <w:b/>
              </w:rPr>
            </w:pPr>
          </w:p>
        </w:tc>
        <w:tc>
          <w:tcPr>
            <w:tcW w:w="1984" w:type="dxa"/>
            <w:vMerge/>
          </w:tcPr>
          <w:p w14:paraId="6CC7C8B2" w14:textId="77777777" w:rsidR="001609F7" w:rsidRPr="0093603D" w:rsidRDefault="001609F7" w:rsidP="00DF7ED2">
            <w:pPr>
              <w:spacing w:line="259" w:lineRule="auto"/>
              <w:rPr>
                <w:rFonts w:cstheme="minorHAnsi"/>
                <w:b/>
              </w:rPr>
            </w:pPr>
          </w:p>
        </w:tc>
      </w:tr>
      <w:tr w:rsidR="001609F7" w:rsidRPr="0093603D" w14:paraId="131909AE" w14:textId="77777777" w:rsidTr="00DF7ED2">
        <w:tc>
          <w:tcPr>
            <w:tcW w:w="1809" w:type="dxa"/>
          </w:tcPr>
          <w:p w14:paraId="784DE0E0" w14:textId="77777777" w:rsidR="001609F7" w:rsidRPr="0093603D" w:rsidRDefault="001609F7" w:rsidP="00DF7ED2">
            <w:pPr>
              <w:spacing w:line="259" w:lineRule="auto"/>
              <w:rPr>
                <w:rFonts w:cstheme="minorHAnsi"/>
                <w:u w:val="single"/>
              </w:rPr>
            </w:pPr>
            <w:r w:rsidRPr="0093603D">
              <w:rPr>
                <w:rFonts w:cstheme="minorHAnsi"/>
                <w:u w:val="single"/>
              </w:rPr>
              <w:t>Developer siting flexibility</w:t>
            </w:r>
          </w:p>
          <w:p w14:paraId="5EB8FB64" w14:textId="77777777" w:rsidR="001609F7" w:rsidRPr="0093603D" w:rsidRDefault="001609F7" w:rsidP="00DF7ED2">
            <w:pPr>
              <w:spacing w:line="259" w:lineRule="auto"/>
              <w:rPr>
                <w:rFonts w:cstheme="minorHAnsi"/>
                <w:u w:val="single"/>
              </w:rPr>
            </w:pPr>
          </w:p>
        </w:tc>
        <w:tc>
          <w:tcPr>
            <w:tcW w:w="2835" w:type="dxa"/>
          </w:tcPr>
          <w:p w14:paraId="79911BA4" w14:textId="77777777" w:rsidR="001609F7" w:rsidRPr="0093603D" w:rsidRDefault="001609F7" w:rsidP="00DF7ED2">
            <w:pPr>
              <w:spacing w:line="259" w:lineRule="auto"/>
              <w:rPr>
                <w:rFonts w:cstheme="minorHAnsi"/>
              </w:rPr>
            </w:pPr>
            <w:r w:rsidRPr="0093603D">
              <w:rPr>
                <w:rFonts w:cstheme="minorHAnsi"/>
              </w:rPr>
              <w:t>Approach eschews or fails to effectively engage in robust spatial steering, leaving siting choice to developers, in belief that this best expedites RE expansion</w:t>
            </w:r>
          </w:p>
        </w:tc>
        <w:tc>
          <w:tcPr>
            <w:tcW w:w="2127" w:type="dxa"/>
          </w:tcPr>
          <w:p w14:paraId="4EDE6D7F" w14:textId="77777777" w:rsidR="001609F7" w:rsidRPr="0093603D" w:rsidRDefault="001609F7" w:rsidP="00DF7ED2">
            <w:pPr>
              <w:spacing w:line="259" w:lineRule="auto"/>
              <w:rPr>
                <w:rFonts w:cstheme="minorHAnsi"/>
              </w:rPr>
            </w:pPr>
            <w:r w:rsidRPr="0093603D">
              <w:rPr>
                <w:rFonts w:cstheme="minorHAnsi"/>
              </w:rPr>
              <w:t>Criteria-based approaches, no spatial zoning</w:t>
            </w:r>
          </w:p>
        </w:tc>
        <w:tc>
          <w:tcPr>
            <w:tcW w:w="1984" w:type="dxa"/>
          </w:tcPr>
          <w:p w14:paraId="461B71FC" w14:textId="77777777" w:rsidR="001609F7" w:rsidRPr="0093603D" w:rsidRDefault="001609F7" w:rsidP="00DF7ED2">
            <w:pPr>
              <w:spacing w:line="259" w:lineRule="auto"/>
              <w:rPr>
                <w:rFonts w:cstheme="minorHAnsi"/>
              </w:rPr>
            </w:pPr>
            <w:r w:rsidRPr="0093603D">
              <w:rPr>
                <w:rFonts w:cstheme="minorHAnsi"/>
              </w:rPr>
              <w:t xml:space="preserve">Apulia, Italy, (before publication of </w:t>
            </w:r>
            <w:proofErr w:type="spellStart"/>
            <w:r w:rsidRPr="0093603D">
              <w:rPr>
                <w:rFonts w:cstheme="minorHAnsi"/>
              </w:rPr>
              <w:t>Linee</w:t>
            </w:r>
            <w:proofErr w:type="spellEnd"/>
            <w:r w:rsidRPr="0093603D">
              <w:rPr>
                <w:rFonts w:cstheme="minorHAnsi"/>
              </w:rPr>
              <w:t xml:space="preserve"> </w:t>
            </w:r>
            <w:proofErr w:type="spellStart"/>
            <w:proofErr w:type="gramStart"/>
            <w:r w:rsidRPr="0093603D">
              <w:rPr>
                <w:rFonts w:cstheme="minorHAnsi"/>
              </w:rPr>
              <w:t>Guida</w:t>
            </w:r>
            <w:proofErr w:type="spellEnd"/>
            <w:r w:rsidRPr="0093603D">
              <w:rPr>
                <w:rFonts w:cstheme="minorHAnsi"/>
              </w:rPr>
              <w:t>(</w:t>
            </w:r>
            <w:proofErr w:type="gramEnd"/>
          </w:p>
          <w:p w14:paraId="25F0AA03" w14:textId="77777777" w:rsidR="001609F7" w:rsidRPr="0093603D" w:rsidRDefault="001609F7" w:rsidP="00DF7ED2">
            <w:pPr>
              <w:spacing w:line="259" w:lineRule="auto"/>
              <w:rPr>
                <w:rFonts w:cstheme="minorHAnsi"/>
              </w:rPr>
            </w:pPr>
          </w:p>
          <w:p w14:paraId="1CB70A49" w14:textId="77777777" w:rsidR="001609F7" w:rsidRPr="0093603D" w:rsidRDefault="001609F7" w:rsidP="00DF7ED2">
            <w:pPr>
              <w:spacing w:line="259" w:lineRule="auto"/>
              <w:rPr>
                <w:rFonts w:cstheme="minorHAnsi"/>
              </w:rPr>
            </w:pPr>
            <w:r w:rsidRPr="0093603D">
              <w:rPr>
                <w:rFonts w:cstheme="minorHAnsi"/>
              </w:rPr>
              <w:t>Northern Ireland</w:t>
            </w:r>
          </w:p>
          <w:p w14:paraId="35125A27" w14:textId="77777777" w:rsidR="001609F7" w:rsidRPr="0093603D" w:rsidRDefault="001609F7" w:rsidP="00DF7ED2">
            <w:pPr>
              <w:spacing w:line="259" w:lineRule="auto"/>
              <w:rPr>
                <w:rFonts w:cstheme="minorHAnsi"/>
              </w:rPr>
            </w:pPr>
          </w:p>
          <w:p w14:paraId="1C195686" w14:textId="77777777" w:rsidR="001609F7" w:rsidRPr="0093603D" w:rsidRDefault="001609F7" w:rsidP="00DF7ED2">
            <w:pPr>
              <w:spacing w:line="259" w:lineRule="auto"/>
              <w:rPr>
                <w:rFonts w:cstheme="minorHAnsi"/>
              </w:rPr>
            </w:pPr>
            <w:r w:rsidRPr="0093603D">
              <w:rPr>
                <w:rFonts w:cstheme="minorHAnsi"/>
              </w:rPr>
              <w:t>England, until 2010</w:t>
            </w:r>
          </w:p>
        </w:tc>
      </w:tr>
      <w:tr w:rsidR="001609F7" w:rsidRPr="0093603D" w14:paraId="0E053083" w14:textId="77777777" w:rsidTr="00DF7ED2">
        <w:tc>
          <w:tcPr>
            <w:tcW w:w="1809" w:type="dxa"/>
          </w:tcPr>
          <w:p w14:paraId="42951820" w14:textId="77777777" w:rsidR="001609F7" w:rsidRPr="0093603D" w:rsidRDefault="001609F7" w:rsidP="00DF7ED2">
            <w:pPr>
              <w:spacing w:line="259" w:lineRule="auto"/>
              <w:rPr>
                <w:rFonts w:cstheme="minorHAnsi"/>
                <w:u w:val="single"/>
              </w:rPr>
            </w:pPr>
            <w:r w:rsidRPr="0093603D">
              <w:rPr>
                <w:rFonts w:cstheme="minorHAnsi"/>
                <w:u w:val="single"/>
              </w:rPr>
              <w:t>Spatial puzzling</w:t>
            </w:r>
          </w:p>
        </w:tc>
        <w:tc>
          <w:tcPr>
            <w:tcW w:w="2835" w:type="dxa"/>
          </w:tcPr>
          <w:p w14:paraId="6CCB5B24" w14:textId="77777777" w:rsidR="001609F7" w:rsidRPr="0093603D" w:rsidRDefault="001609F7" w:rsidP="00DF7ED2">
            <w:pPr>
              <w:spacing w:line="259" w:lineRule="auto"/>
              <w:rPr>
                <w:rFonts w:cstheme="minorHAnsi"/>
              </w:rPr>
            </w:pPr>
            <w:r w:rsidRPr="0093603D">
              <w:rPr>
                <w:rFonts w:cstheme="minorHAnsi"/>
              </w:rPr>
              <w:t>A learning-based exercise, for refining technology choices and spatial targets</w:t>
            </w:r>
          </w:p>
        </w:tc>
        <w:tc>
          <w:tcPr>
            <w:tcW w:w="2127" w:type="dxa"/>
          </w:tcPr>
          <w:p w14:paraId="507453E9" w14:textId="77777777" w:rsidR="001609F7" w:rsidRPr="0093603D" w:rsidRDefault="001609F7" w:rsidP="00DF7ED2">
            <w:pPr>
              <w:spacing w:line="259" w:lineRule="auto"/>
              <w:rPr>
                <w:rFonts w:cstheme="minorHAnsi"/>
              </w:rPr>
            </w:pPr>
            <w:r w:rsidRPr="0093603D">
              <w:rPr>
                <w:rFonts w:cstheme="minorHAnsi"/>
              </w:rPr>
              <w:t>Assessing technologies against constraints; detached from regulatory role</w:t>
            </w:r>
          </w:p>
        </w:tc>
        <w:tc>
          <w:tcPr>
            <w:tcW w:w="1984" w:type="dxa"/>
          </w:tcPr>
          <w:p w14:paraId="19C3F7C6" w14:textId="77777777" w:rsidR="001609F7" w:rsidRPr="0093603D" w:rsidRDefault="001609F7" w:rsidP="00DF7ED2">
            <w:pPr>
              <w:spacing w:line="259" w:lineRule="auto"/>
              <w:rPr>
                <w:rFonts w:cstheme="minorHAnsi"/>
              </w:rPr>
            </w:pPr>
            <w:r w:rsidRPr="0093603D">
              <w:rPr>
                <w:rFonts w:cstheme="minorHAnsi"/>
              </w:rPr>
              <w:t>English regions, 1998-2010</w:t>
            </w:r>
          </w:p>
        </w:tc>
      </w:tr>
      <w:tr w:rsidR="001609F7" w:rsidRPr="0093603D" w14:paraId="6003C08E" w14:textId="77777777" w:rsidTr="00DF7ED2">
        <w:tc>
          <w:tcPr>
            <w:tcW w:w="1809" w:type="dxa"/>
          </w:tcPr>
          <w:p w14:paraId="7822D34D" w14:textId="77777777" w:rsidR="001609F7" w:rsidRPr="0093603D" w:rsidRDefault="001609F7" w:rsidP="00DF7ED2">
            <w:pPr>
              <w:spacing w:line="259" w:lineRule="auto"/>
              <w:rPr>
                <w:rFonts w:cstheme="minorHAnsi"/>
                <w:u w:val="single"/>
              </w:rPr>
            </w:pPr>
            <w:r w:rsidRPr="0093603D">
              <w:rPr>
                <w:rFonts w:cstheme="minorHAnsi"/>
                <w:u w:val="single"/>
              </w:rPr>
              <w:t>Local spatial control</w:t>
            </w:r>
          </w:p>
        </w:tc>
        <w:tc>
          <w:tcPr>
            <w:tcW w:w="2835" w:type="dxa"/>
          </w:tcPr>
          <w:p w14:paraId="6B111646" w14:textId="77777777" w:rsidR="001609F7" w:rsidRPr="0093603D" w:rsidRDefault="001609F7" w:rsidP="00DF7ED2">
            <w:pPr>
              <w:spacing w:line="259" w:lineRule="auto"/>
              <w:rPr>
                <w:rFonts w:cstheme="minorHAnsi"/>
              </w:rPr>
            </w:pPr>
            <w:r w:rsidRPr="0093603D">
              <w:rPr>
                <w:rFonts w:cstheme="minorHAnsi"/>
              </w:rPr>
              <w:t>Requires spatial zoning but gives task largely to local level government. Local environmental and economic concerns and control pre-eminent</w:t>
            </w:r>
          </w:p>
        </w:tc>
        <w:tc>
          <w:tcPr>
            <w:tcW w:w="2127" w:type="dxa"/>
          </w:tcPr>
          <w:p w14:paraId="09906B73" w14:textId="77777777" w:rsidR="001609F7" w:rsidRPr="0093603D" w:rsidRDefault="001609F7" w:rsidP="00DF7ED2">
            <w:pPr>
              <w:spacing w:line="259" w:lineRule="auto"/>
              <w:rPr>
                <w:rFonts w:cstheme="minorHAnsi"/>
              </w:rPr>
            </w:pPr>
            <w:r w:rsidRPr="0093603D">
              <w:rPr>
                <w:rFonts w:cstheme="minorHAnsi"/>
              </w:rPr>
              <w:t>Minimal central prescription of approach. Indifference to RE outcomes</w:t>
            </w:r>
          </w:p>
        </w:tc>
        <w:tc>
          <w:tcPr>
            <w:tcW w:w="1984" w:type="dxa"/>
          </w:tcPr>
          <w:p w14:paraId="0476E389" w14:textId="77777777" w:rsidR="001609F7" w:rsidRPr="0093603D" w:rsidRDefault="001609F7" w:rsidP="00DF7ED2">
            <w:pPr>
              <w:spacing w:line="259" w:lineRule="auto"/>
              <w:rPr>
                <w:rFonts w:cstheme="minorHAnsi"/>
              </w:rPr>
            </w:pPr>
            <w:r w:rsidRPr="0093603D">
              <w:rPr>
                <w:rFonts w:cstheme="minorHAnsi"/>
              </w:rPr>
              <w:t>England post-2016</w:t>
            </w:r>
          </w:p>
        </w:tc>
      </w:tr>
      <w:tr w:rsidR="001609F7" w:rsidRPr="0093603D" w14:paraId="0703FBFC" w14:textId="77777777" w:rsidTr="00DF7ED2">
        <w:tc>
          <w:tcPr>
            <w:tcW w:w="1809" w:type="dxa"/>
          </w:tcPr>
          <w:p w14:paraId="0AFEF3DC" w14:textId="77777777" w:rsidR="001609F7" w:rsidRPr="0093603D" w:rsidRDefault="001609F7" w:rsidP="00DF7ED2">
            <w:pPr>
              <w:spacing w:line="259" w:lineRule="auto"/>
              <w:rPr>
                <w:rFonts w:cstheme="minorHAnsi"/>
                <w:u w:val="single"/>
              </w:rPr>
            </w:pPr>
            <w:r w:rsidRPr="0093603D">
              <w:rPr>
                <w:rFonts w:cstheme="minorHAnsi"/>
                <w:u w:val="single"/>
              </w:rPr>
              <w:t>Meta-governance by methodology</w:t>
            </w:r>
            <w:r w:rsidRPr="0093603D">
              <w:rPr>
                <w:rFonts w:cstheme="minorHAnsi"/>
              </w:rPr>
              <w:t xml:space="preserve">, </w:t>
            </w:r>
          </w:p>
        </w:tc>
        <w:tc>
          <w:tcPr>
            <w:tcW w:w="2835" w:type="dxa"/>
          </w:tcPr>
          <w:p w14:paraId="71DE0474" w14:textId="77777777" w:rsidR="001609F7" w:rsidRPr="0093603D" w:rsidRDefault="001609F7" w:rsidP="00DF7ED2">
            <w:pPr>
              <w:spacing w:line="259" w:lineRule="auto"/>
              <w:rPr>
                <w:rFonts w:cstheme="minorHAnsi"/>
              </w:rPr>
            </w:pPr>
            <w:r w:rsidRPr="0093603D">
              <w:rPr>
                <w:rFonts w:cstheme="minorHAnsi"/>
              </w:rPr>
              <w:t>Spatial planning approaches required but ‘higher’ level government steers practice by setting down methodology, allowing flexibility to local actors.</w:t>
            </w:r>
          </w:p>
        </w:tc>
        <w:tc>
          <w:tcPr>
            <w:tcW w:w="2127" w:type="dxa"/>
          </w:tcPr>
          <w:p w14:paraId="6D5DC58E" w14:textId="77777777" w:rsidR="001609F7" w:rsidRPr="0093603D" w:rsidRDefault="001609F7" w:rsidP="00DF7ED2">
            <w:pPr>
              <w:spacing w:line="259" w:lineRule="auto"/>
              <w:rPr>
                <w:rFonts w:cstheme="minorHAnsi"/>
              </w:rPr>
            </w:pPr>
            <w:r w:rsidRPr="0093603D">
              <w:rPr>
                <w:rFonts w:cstheme="minorHAnsi"/>
              </w:rPr>
              <w:t>Lists of required characteristics to be considered and relative weighting; propensity for constant flux</w:t>
            </w:r>
          </w:p>
        </w:tc>
        <w:tc>
          <w:tcPr>
            <w:tcW w:w="1984" w:type="dxa"/>
          </w:tcPr>
          <w:p w14:paraId="4170DCAF" w14:textId="77777777" w:rsidR="001609F7" w:rsidRPr="0093603D" w:rsidRDefault="001609F7" w:rsidP="00DF7ED2">
            <w:pPr>
              <w:spacing w:line="259" w:lineRule="auto"/>
              <w:rPr>
                <w:rFonts w:cstheme="minorHAnsi"/>
              </w:rPr>
            </w:pPr>
            <w:r w:rsidRPr="0093603D">
              <w:rPr>
                <w:rFonts w:cstheme="minorHAnsi"/>
              </w:rPr>
              <w:t>Scotland</w:t>
            </w:r>
          </w:p>
          <w:p w14:paraId="21CF0868" w14:textId="77777777" w:rsidR="001609F7" w:rsidRPr="0093603D" w:rsidRDefault="001609F7" w:rsidP="00DF7ED2">
            <w:pPr>
              <w:spacing w:line="259" w:lineRule="auto"/>
              <w:rPr>
                <w:rFonts w:cstheme="minorHAnsi"/>
              </w:rPr>
            </w:pPr>
          </w:p>
          <w:p w14:paraId="1E8247AA" w14:textId="77777777" w:rsidR="001609F7" w:rsidRPr="0093603D" w:rsidRDefault="001609F7" w:rsidP="00DF7ED2">
            <w:pPr>
              <w:spacing w:line="259" w:lineRule="auto"/>
              <w:rPr>
                <w:rFonts w:cstheme="minorHAnsi"/>
              </w:rPr>
            </w:pPr>
            <w:r w:rsidRPr="0093603D">
              <w:rPr>
                <w:rFonts w:cstheme="minorHAnsi"/>
              </w:rPr>
              <w:t>Italy (</w:t>
            </w:r>
            <w:proofErr w:type="spellStart"/>
            <w:r w:rsidRPr="0093603D">
              <w:rPr>
                <w:rFonts w:cstheme="minorHAnsi"/>
              </w:rPr>
              <w:t>Linee</w:t>
            </w:r>
            <w:proofErr w:type="spellEnd"/>
            <w:r w:rsidRPr="0093603D">
              <w:rPr>
                <w:rFonts w:cstheme="minorHAnsi"/>
              </w:rPr>
              <w:t xml:space="preserve"> </w:t>
            </w:r>
            <w:proofErr w:type="spellStart"/>
            <w:r w:rsidRPr="0093603D">
              <w:rPr>
                <w:rFonts w:cstheme="minorHAnsi"/>
              </w:rPr>
              <w:t>Guida</w:t>
            </w:r>
            <w:proofErr w:type="spellEnd"/>
            <w:r w:rsidRPr="0093603D">
              <w:rPr>
                <w:rFonts w:cstheme="minorHAnsi"/>
              </w:rPr>
              <w:t>/ burden sharing)</w:t>
            </w:r>
          </w:p>
        </w:tc>
      </w:tr>
      <w:tr w:rsidR="001609F7" w:rsidRPr="0093603D" w14:paraId="2AF419BF" w14:textId="77777777" w:rsidTr="00DF7ED2">
        <w:tc>
          <w:tcPr>
            <w:tcW w:w="1809" w:type="dxa"/>
          </w:tcPr>
          <w:p w14:paraId="3EE6A101" w14:textId="77777777" w:rsidR="001609F7" w:rsidRPr="0093603D" w:rsidRDefault="001609F7" w:rsidP="00DF7ED2">
            <w:pPr>
              <w:spacing w:line="259" w:lineRule="auto"/>
              <w:rPr>
                <w:rFonts w:cstheme="minorHAnsi"/>
              </w:rPr>
            </w:pPr>
            <w:r w:rsidRPr="0093603D">
              <w:rPr>
                <w:rFonts w:cstheme="minorHAnsi"/>
                <w:u w:val="single"/>
              </w:rPr>
              <w:t>Central specification</w:t>
            </w:r>
          </w:p>
        </w:tc>
        <w:tc>
          <w:tcPr>
            <w:tcW w:w="2835" w:type="dxa"/>
          </w:tcPr>
          <w:p w14:paraId="30BB6E85" w14:textId="77777777" w:rsidR="001609F7" w:rsidRPr="0093603D" w:rsidRDefault="001609F7" w:rsidP="00DF7ED2">
            <w:pPr>
              <w:spacing w:line="259" w:lineRule="auto"/>
              <w:rPr>
                <w:rFonts w:cstheme="minorHAnsi"/>
              </w:rPr>
            </w:pPr>
            <w:r w:rsidRPr="0093603D">
              <w:rPr>
                <w:rFonts w:cstheme="minorHAnsi"/>
              </w:rPr>
              <w:t xml:space="preserve">Higher level government draws up spatial planning approach and specific development/ exclusion </w:t>
            </w:r>
            <w:proofErr w:type="gramStart"/>
            <w:r w:rsidRPr="0093603D">
              <w:rPr>
                <w:rFonts w:cstheme="minorHAnsi"/>
              </w:rPr>
              <w:t>zones;</w:t>
            </w:r>
            <w:proofErr w:type="gramEnd"/>
            <w:r w:rsidRPr="0093603D">
              <w:rPr>
                <w:rFonts w:cstheme="minorHAnsi"/>
              </w:rPr>
              <w:t xml:space="preserve"> expanding wind energy but co-delivering landscape outcomes</w:t>
            </w:r>
          </w:p>
        </w:tc>
        <w:tc>
          <w:tcPr>
            <w:tcW w:w="2127" w:type="dxa"/>
          </w:tcPr>
          <w:p w14:paraId="218B9EEA" w14:textId="77777777" w:rsidR="001609F7" w:rsidRPr="0093603D" w:rsidRDefault="001609F7" w:rsidP="00DF7ED2">
            <w:pPr>
              <w:spacing w:line="259" w:lineRule="auto"/>
              <w:rPr>
                <w:rFonts w:cstheme="minorHAnsi"/>
              </w:rPr>
            </w:pPr>
            <w:r w:rsidRPr="0093603D">
              <w:rPr>
                <w:rFonts w:cstheme="minorHAnsi"/>
              </w:rPr>
              <w:t>Defining preferred development areas and holding them over time</w:t>
            </w:r>
          </w:p>
        </w:tc>
        <w:tc>
          <w:tcPr>
            <w:tcW w:w="1984" w:type="dxa"/>
          </w:tcPr>
          <w:p w14:paraId="045C2C23" w14:textId="77777777" w:rsidR="001609F7" w:rsidRPr="0093603D" w:rsidRDefault="001609F7" w:rsidP="00DF7ED2">
            <w:pPr>
              <w:spacing w:line="259" w:lineRule="auto"/>
              <w:rPr>
                <w:rFonts w:cstheme="minorHAnsi"/>
              </w:rPr>
            </w:pPr>
            <w:r w:rsidRPr="0093603D">
              <w:rPr>
                <w:rFonts w:cstheme="minorHAnsi"/>
              </w:rPr>
              <w:t>Tuscany</w:t>
            </w:r>
          </w:p>
          <w:p w14:paraId="5F15E5DF" w14:textId="77777777" w:rsidR="001609F7" w:rsidRPr="0093603D" w:rsidRDefault="001609F7" w:rsidP="00DF7ED2">
            <w:pPr>
              <w:spacing w:line="259" w:lineRule="auto"/>
              <w:rPr>
                <w:rFonts w:cstheme="minorHAnsi"/>
              </w:rPr>
            </w:pPr>
          </w:p>
          <w:p w14:paraId="66208DD3" w14:textId="77777777" w:rsidR="001609F7" w:rsidRPr="0093603D" w:rsidRDefault="001609F7" w:rsidP="00DF7ED2">
            <w:pPr>
              <w:spacing w:line="259" w:lineRule="auto"/>
              <w:rPr>
                <w:rFonts w:cstheme="minorHAnsi"/>
              </w:rPr>
            </w:pPr>
            <w:r w:rsidRPr="0093603D">
              <w:rPr>
                <w:rFonts w:cstheme="minorHAnsi"/>
              </w:rPr>
              <w:t>Wales</w:t>
            </w:r>
          </w:p>
          <w:p w14:paraId="09EDD47D" w14:textId="77777777" w:rsidR="001609F7" w:rsidRPr="0093603D" w:rsidRDefault="001609F7" w:rsidP="00DF7ED2">
            <w:pPr>
              <w:spacing w:line="259" w:lineRule="auto"/>
              <w:rPr>
                <w:rFonts w:cstheme="minorHAnsi"/>
              </w:rPr>
            </w:pPr>
          </w:p>
          <w:p w14:paraId="03FD640E" w14:textId="77777777" w:rsidR="001609F7" w:rsidRPr="0093603D" w:rsidRDefault="001609F7" w:rsidP="00DF7ED2">
            <w:pPr>
              <w:spacing w:line="259" w:lineRule="auto"/>
              <w:rPr>
                <w:rFonts w:cstheme="minorHAnsi"/>
              </w:rPr>
            </w:pPr>
            <w:r w:rsidRPr="0093603D">
              <w:rPr>
                <w:rFonts w:cstheme="minorHAnsi"/>
              </w:rPr>
              <w:t xml:space="preserve">Apulia (after publication of </w:t>
            </w:r>
            <w:proofErr w:type="spellStart"/>
            <w:r w:rsidRPr="0093603D">
              <w:rPr>
                <w:rFonts w:cstheme="minorHAnsi"/>
              </w:rPr>
              <w:t>Linee</w:t>
            </w:r>
            <w:proofErr w:type="spellEnd"/>
            <w:r w:rsidRPr="0093603D">
              <w:rPr>
                <w:rFonts w:cstheme="minorHAnsi"/>
              </w:rPr>
              <w:t xml:space="preserve"> </w:t>
            </w:r>
            <w:proofErr w:type="spellStart"/>
            <w:r w:rsidRPr="0093603D">
              <w:rPr>
                <w:rFonts w:cstheme="minorHAnsi"/>
              </w:rPr>
              <w:t>Guida</w:t>
            </w:r>
            <w:proofErr w:type="spellEnd"/>
            <w:r w:rsidRPr="0093603D">
              <w:rPr>
                <w:rFonts w:cstheme="minorHAnsi"/>
              </w:rPr>
              <w:t xml:space="preserve">) </w:t>
            </w:r>
          </w:p>
        </w:tc>
      </w:tr>
    </w:tbl>
    <w:p w14:paraId="718C71C0" w14:textId="77777777" w:rsidR="001609F7" w:rsidRPr="0093603D" w:rsidRDefault="001609F7" w:rsidP="001609F7">
      <w:pPr>
        <w:spacing w:line="259" w:lineRule="auto"/>
        <w:rPr>
          <w:rFonts w:cstheme="minorHAnsi"/>
        </w:rPr>
      </w:pPr>
    </w:p>
    <w:p w14:paraId="36350016" w14:textId="77777777" w:rsidR="001609F7" w:rsidRDefault="001609F7" w:rsidP="001609F7">
      <w:pPr>
        <w:spacing w:line="259" w:lineRule="auto"/>
      </w:pPr>
    </w:p>
    <w:p w14:paraId="4A5185C1" w14:textId="34851E72" w:rsidR="001609F7" w:rsidRDefault="001609F7" w:rsidP="001609F7"/>
    <w:p w14:paraId="71EDD361" w14:textId="77777777" w:rsidR="001609F7" w:rsidRDefault="001609F7" w:rsidP="001609F7"/>
    <w:p w14:paraId="7943798B" w14:textId="77777777" w:rsidR="00BA382A" w:rsidRPr="006179BF" w:rsidRDefault="00BA382A" w:rsidP="006179BF">
      <w:pPr>
        <w:pStyle w:val="EndNoteBibliography"/>
        <w:spacing w:before="240"/>
        <w:ind w:left="720" w:hanging="720"/>
        <w:rPr>
          <w:rFonts w:asciiTheme="minorHAnsi" w:hAnsiTheme="minorHAnsi" w:cstheme="minorHAnsi"/>
          <w:sz w:val="24"/>
          <w:szCs w:val="24"/>
        </w:rPr>
      </w:pPr>
    </w:p>
    <w:sectPr w:rsidR="00BA382A" w:rsidRPr="006179BF" w:rsidSect="00D82E7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A02B" w14:textId="77777777" w:rsidR="007A691C" w:rsidRDefault="007A691C">
      <w:pPr>
        <w:spacing w:line="240" w:lineRule="auto"/>
      </w:pPr>
      <w:r>
        <w:separator/>
      </w:r>
    </w:p>
  </w:endnote>
  <w:endnote w:type="continuationSeparator" w:id="0">
    <w:p w14:paraId="6424C0F6" w14:textId="77777777" w:rsidR="007A691C" w:rsidRDefault="007A6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60018"/>
      <w:docPartObj>
        <w:docPartGallery w:val="Page Numbers (Bottom of Page)"/>
        <w:docPartUnique/>
      </w:docPartObj>
    </w:sdtPr>
    <w:sdtEndPr>
      <w:rPr>
        <w:noProof/>
      </w:rPr>
    </w:sdtEndPr>
    <w:sdtContent>
      <w:p w14:paraId="60E312AC" w14:textId="77777777" w:rsidR="000C6175" w:rsidRDefault="005D3B1F">
        <w:pPr>
          <w:pStyle w:val="Footer"/>
          <w:jc w:val="center"/>
        </w:pPr>
        <w:r>
          <w:fldChar w:fldCharType="begin"/>
        </w:r>
        <w:r>
          <w:instrText xml:space="preserve"> PAGE   \* MERGEFORMAT </w:instrText>
        </w:r>
        <w:r>
          <w:fldChar w:fldCharType="separate"/>
        </w:r>
        <w:r w:rsidR="009C248C">
          <w:rPr>
            <w:noProof/>
          </w:rPr>
          <w:t>23</w:t>
        </w:r>
        <w:r>
          <w:rPr>
            <w:noProof/>
          </w:rPr>
          <w:fldChar w:fldCharType="end"/>
        </w:r>
      </w:p>
    </w:sdtContent>
  </w:sdt>
  <w:p w14:paraId="0250430E" w14:textId="77777777" w:rsidR="000C6175" w:rsidRDefault="000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B08F" w14:textId="77777777" w:rsidR="007A691C" w:rsidRDefault="007A691C">
      <w:pPr>
        <w:spacing w:line="240" w:lineRule="auto"/>
      </w:pPr>
      <w:r>
        <w:separator/>
      </w:r>
    </w:p>
  </w:footnote>
  <w:footnote w:type="continuationSeparator" w:id="0">
    <w:p w14:paraId="515FD4F5" w14:textId="77777777" w:rsidR="007A691C" w:rsidRDefault="007A69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AB7"/>
    <w:multiLevelType w:val="hybridMultilevel"/>
    <w:tmpl w:val="7692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4E2F"/>
    <w:multiLevelType w:val="hybridMultilevel"/>
    <w:tmpl w:val="5386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4D4B"/>
    <w:multiLevelType w:val="hybridMultilevel"/>
    <w:tmpl w:val="521097E2"/>
    <w:lvl w:ilvl="0" w:tplc="AFA4B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35A2F"/>
    <w:multiLevelType w:val="hybridMultilevel"/>
    <w:tmpl w:val="0DA2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643A"/>
    <w:multiLevelType w:val="hybridMultilevel"/>
    <w:tmpl w:val="FB12A944"/>
    <w:lvl w:ilvl="0" w:tplc="59B4D89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42EAD"/>
    <w:multiLevelType w:val="hybridMultilevel"/>
    <w:tmpl w:val="B58E95DE"/>
    <w:lvl w:ilvl="0" w:tplc="599A006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8249A"/>
    <w:multiLevelType w:val="hybridMultilevel"/>
    <w:tmpl w:val="2C90FDC8"/>
    <w:lvl w:ilvl="0" w:tplc="FFA63FE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43572"/>
    <w:multiLevelType w:val="hybridMultilevel"/>
    <w:tmpl w:val="340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50D15"/>
    <w:multiLevelType w:val="hybridMultilevel"/>
    <w:tmpl w:val="1D1C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E0363"/>
    <w:multiLevelType w:val="hybridMultilevel"/>
    <w:tmpl w:val="1B4A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12E98"/>
    <w:multiLevelType w:val="hybridMultilevel"/>
    <w:tmpl w:val="6464AA84"/>
    <w:lvl w:ilvl="0" w:tplc="51D248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81722"/>
    <w:multiLevelType w:val="hybridMultilevel"/>
    <w:tmpl w:val="D63E9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D6094"/>
    <w:multiLevelType w:val="hybridMultilevel"/>
    <w:tmpl w:val="860E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D3C3A"/>
    <w:multiLevelType w:val="hybridMultilevel"/>
    <w:tmpl w:val="7C4A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763B9"/>
    <w:multiLevelType w:val="hybridMultilevel"/>
    <w:tmpl w:val="EFF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B0536"/>
    <w:multiLevelType w:val="hybridMultilevel"/>
    <w:tmpl w:val="33DC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02CF8"/>
    <w:multiLevelType w:val="hybridMultilevel"/>
    <w:tmpl w:val="CBFC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2037F"/>
    <w:multiLevelType w:val="hybridMultilevel"/>
    <w:tmpl w:val="B208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7014C"/>
    <w:multiLevelType w:val="hybridMultilevel"/>
    <w:tmpl w:val="E812969A"/>
    <w:lvl w:ilvl="0" w:tplc="FFA63FE8">
      <w:start w:val="1"/>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6F4CE4"/>
    <w:multiLevelType w:val="multilevel"/>
    <w:tmpl w:val="1EDAFD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2F26B5"/>
    <w:multiLevelType w:val="hybridMultilevel"/>
    <w:tmpl w:val="5284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553B3"/>
    <w:multiLevelType w:val="hybridMultilevel"/>
    <w:tmpl w:val="233C0B52"/>
    <w:lvl w:ilvl="0" w:tplc="86C824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F313C"/>
    <w:multiLevelType w:val="hybridMultilevel"/>
    <w:tmpl w:val="025E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370A8"/>
    <w:multiLevelType w:val="hybridMultilevel"/>
    <w:tmpl w:val="3D5E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2"/>
  </w:num>
  <w:num w:numId="5">
    <w:abstractNumId w:val="4"/>
  </w:num>
  <w:num w:numId="6">
    <w:abstractNumId w:val="21"/>
  </w:num>
  <w:num w:numId="7">
    <w:abstractNumId w:val="3"/>
  </w:num>
  <w:num w:numId="8">
    <w:abstractNumId w:val="20"/>
  </w:num>
  <w:num w:numId="9">
    <w:abstractNumId w:val="16"/>
  </w:num>
  <w:num w:numId="10">
    <w:abstractNumId w:val="11"/>
  </w:num>
  <w:num w:numId="11">
    <w:abstractNumId w:val="14"/>
  </w:num>
  <w:num w:numId="12">
    <w:abstractNumId w:val="19"/>
  </w:num>
  <w:num w:numId="13">
    <w:abstractNumId w:val="6"/>
  </w:num>
  <w:num w:numId="14">
    <w:abstractNumId w:val="18"/>
  </w:num>
  <w:num w:numId="15">
    <w:abstractNumId w:val="23"/>
  </w:num>
  <w:num w:numId="16">
    <w:abstractNumId w:val="15"/>
  </w:num>
  <w:num w:numId="17">
    <w:abstractNumId w:val="8"/>
  </w:num>
  <w:num w:numId="18">
    <w:abstractNumId w:val="0"/>
  </w:num>
  <w:num w:numId="19">
    <w:abstractNumId w:val="10"/>
  </w:num>
  <w:num w:numId="20">
    <w:abstractNumId w:val="5"/>
  </w:num>
  <w:num w:numId="21">
    <w:abstractNumId w:val="1"/>
  </w:num>
  <w:num w:numId="22">
    <w:abstractNumId w:val="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F3750"/>
    <w:rsid w:val="00014FDD"/>
    <w:rsid w:val="00022EA6"/>
    <w:rsid w:val="000406DA"/>
    <w:rsid w:val="00044671"/>
    <w:rsid w:val="0004475E"/>
    <w:rsid w:val="00047A99"/>
    <w:rsid w:val="00050CF2"/>
    <w:rsid w:val="00055082"/>
    <w:rsid w:val="00074CA4"/>
    <w:rsid w:val="00074FA2"/>
    <w:rsid w:val="00092CCF"/>
    <w:rsid w:val="000A4ACC"/>
    <w:rsid w:val="000B37F6"/>
    <w:rsid w:val="000C6175"/>
    <w:rsid w:val="000D6367"/>
    <w:rsid w:val="000E15CE"/>
    <w:rsid w:val="000E588D"/>
    <w:rsid w:val="000F353C"/>
    <w:rsid w:val="000F6332"/>
    <w:rsid w:val="0011382B"/>
    <w:rsid w:val="00120910"/>
    <w:rsid w:val="00123D89"/>
    <w:rsid w:val="0013102C"/>
    <w:rsid w:val="001520F2"/>
    <w:rsid w:val="001609F7"/>
    <w:rsid w:val="00163D03"/>
    <w:rsid w:val="00165F66"/>
    <w:rsid w:val="00167D62"/>
    <w:rsid w:val="00171F0C"/>
    <w:rsid w:val="001B486B"/>
    <w:rsid w:val="001B7465"/>
    <w:rsid w:val="001C496F"/>
    <w:rsid w:val="001C6D7A"/>
    <w:rsid w:val="001D184D"/>
    <w:rsid w:val="001D287C"/>
    <w:rsid w:val="001E69C5"/>
    <w:rsid w:val="001F00CF"/>
    <w:rsid w:val="00202B91"/>
    <w:rsid w:val="00207134"/>
    <w:rsid w:val="00215AEA"/>
    <w:rsid w:val="0022164D"/>
    <w:rsid w:val="0022267E"/>
    <w:rsid w:val="0024534E"/>
    <w:rsid w:val="002548F5"/>
    <w:rsid w:val="00260603"/>
    <w:rsid w:val="002657E9"/>
    <w:rsid w:val="00275715"/>
    <w:rsid w:val="0028214B"/>
    <w:rsid w:val="00290B9C"/>
    <w:rsid w:val="002974FE"/>
    <w:rsid w:val="002A764D"/>
    <w:rsid w:val="002B4405"/>
    <w:rsid w:val="002B5C4A"/>
    <w:rsid w:val="002C14FE"/>
    <w:rsid w:val="002C1C45"/>
    <w:rsid w:val="002C4D18"/>
    <w:rsid w:val="002C6C3B"/>
    <w:rsid w:val="002D285F"/>
    <w:rsid w:val="002E02B5"/>
    <w:rsid w:val="002E284E"/>
    <w:rsid w:val="002F0622"/>
    <w:rsid w:val="00307603"/>
    <w:rsid w:val="00310AEA"/>
    <w:rsid w:val="00316A4E"/>
    <w:rsid w:val="00324F16"/>
    <w:rsid w:val="003310F9"/>
    <w:rsid w:val="00334BA3"/>
    <w:rsid w:val="00345DF6"/>
    <w:rsid w:val="00354D1D"/>
    <w:rsid w:val="00356FE9"/>
    <w:rsid w:val="00364242"/>
    <w:rsid w:val="00371C2B"/>
    <w:rsid w:val="00374E00"/>
    <w:rsid w:val="00390990"/>
    <w:rsid w:val="003A5216"/>
    <w:rsid w:val="003C31C4"/>
    <w:rsid w:val="003D3436"/>
    <w:rsid w:val="003E09B5"/>
    <w:rsid w:val="003E1CA3"/>
    <w:rsid w:val="003E5224"/>
    <w:rsid w:val="003E5712"/>
    <w:rsid w:val="00407511"/>
    <w:rsid w:val="00423F1E"/>
    <w:rsid w:val="004324DE"/>
    <w:rsid w:val="0043448C"/>
    <w:rsid w:val="004353F0"/>
    <w:rsid w:val="00436088"/>
    <w:rsid w:val="004450B8"/>
    <w:rsid w:val="0044541F"/>
    <w:rsid w:val="004469ED"/>
    <w:rsid w:val="00446E4C"/>
    <w:rsid w:val="0044719E"/>
    <w:rsid w:val="0045304E"/>
    <w:rsid w:val="00454B2B"/>
    <w:rsid w:val="004553D6"/>
    <w:rsid w:val="00464FAF"/>
    <w:rsid w:val="004765CC"/>
    <w:rsid w:val="004826CA"/>
    <w:rsid w:val="004868D6"/>
    <w:rsid w:val="00492426"/>
    <w:rsid w:val="00493A8A"/>
    <w:rsid w:val="0049730B"/>
    <w:rsid w:val="004A1897"/>
    <w:rsid w:val="004A71F8"/>
    <w:rsid w:val="004B2355"/>
    <w:rsid w:val="004B2B85"/>
    <w:rsid w:val="004C08FA"/>
    <w:rsid w:val="004D23A6"/>
    <w:rsid w:val="004D5B22"/>
    <w:rsid w:val="004D7BF6"/>
    <w:rsid w:val="004E2EEA"/>
    <w:rsid w:val="004E371D"/>
    <w:rsid w:val="004F1F7C"/>
    <w:rsid w:val="004F3750"/>
    <w:rsid w:val="00500E50"/>
    <w:rsid w:val="0050433A"/>
    <w:rsid w:val="005059EC"/>
    <w:rsid w:val="00515325"/>
    <w:rsid w:val="00537AF2"/>
    <w:rsid w:val="00551AD7"/>
    <w:rsid w:val="00557723"/>
    <w:rsid w:val="00562199"/>
    <w:rsid w:val="00566583"/>
    <w:rsid w:val="00571E00"/>
    <w:rsid w:val="00582519"/>
    <w:rsid w:val="00585F73"/>
    <w:rsid w:val="005953B7"/>
    <w:rsid w:val="00595860"/>
    <w:rsid w:val="005B2076"/>
    <w:rsid w:val="005C5F4D"/>
    <w:rsid w:val="005D3B1F"/>
    <w:rsid w:val="005D6D1E"/>
    <w:rsid w:val="005E2979"/>
    <w:rsid w:val="005E7958"/>
    <w:rsid w:val="005F4CAE"/>
    <w:rsid w:val="005F57FA"/>
    <w:rsid w:val="00606DB7"/>
    <w:rsid w:val="0061215D"/>
    <w:rsid w:val="00616CA4"/>
    <w:rsid w:val="006179BF"/>
    <w:rsid w:val="006220B8"/>
    <w:rsid w:val="0062250C"/>
    <w:rsid w:val="00623F2D"/>
    <w:rsid w:val="0062697E"/>
    <w:rsid w:val="006315D6"/>
    <w:rsid w:val="006349F1"/>
    <w:rsid w:val="0063534E"/>
    <w:rsid w:val="00650CD4"/>
    <w:rsid w:val="00651F05"/>
    <w:rsid w:val="00677108"/>
    <w:rsid w:val="00690009"/>
    <w:rsid w:val="00690AE7"/>
    <w:rsid w:val="006931D9"/>
    <w:rsid w:val="006972D7"/>
    <w:rsid w:val="006A7FE9"/>
    <w:rsid w:val="006B324F"/>
    <w:rsid w:val="006B6B73"/>
    <w:rsid w:val="006C25B9"/>
    <w:rsid w:val="006C60AE"/>
    <w:rsid w:val="006C6D70"/>
    <w:rsid w:val="006D3BDF"/>
    <w:rsid w:val="006D45EB"/>
    <w:rsid w:val="006E7895"/>
    <w:rsid w:val="006F3F0A"/>
    <w:rsid w:val="006F6C14"/>
    <w:rsid w:val="00701DAA"/>
    <w:rsid w:val="007034FD"/>
    <w:rsid w:val="00715E67"/>
    <w:rsid w:val="007225BA"/>
    <w:rsid w:val="00730477"/>
    <w:rsid w:val="00735E90"/>
    <w:rsid w:val="00741D52"/>
    <w:rsid w:val="007553FF"/>
    <w:rsid w:val="00756DAF"/>
    <w:rsid w:val="00762AEF"/>
    <w:rsid w:val="00763926"/>
    <w:rsid w:val="00766A9C"/>
    <w:rsid w:val="00767A26"/>
    <w:rsid w:val="00771811"/>
    <w:rsid w:val="00776DFB"/>
    <w:rsid w:val="00781714"/>
    <w:rsid w:val="00786559"/>
    <w:rsid w:val="00795B93"/>
    <w:rsid w:val="007A691C"/>
    <w:rsid w:val="007C2AF9"/>
    <w:rsid w:val="007C50E0"/>
    <w:rsid w:val="007D1DD0"/>
    <w:rsid w:val="007D27B4"/>
    <w:rsid w:val="007D5129"/>
    <w:rsid w:val="007E35A4"/>
    <w:rsid w:val="007F674D"/>
    <w:rsid w:val="00806424"/>
    <w:rsid w:val="00824E8F"/>
    <w:rsid w:val="00834613"/>
    <w:rsid w:val="00836422"/>
    <w:rsid w:val="0083686D"/>
    <w:rsid w:val="008371DF"/>
    <w:rsid w:val="0085790B"/>
    <w:rsid w:val="00865AD2"/>
    <w:rsid w:val="00887525"/>
    <w:rsid w:val="00887C45"/>
    <w:rsid w:val="008C0889"/>
    <w:rsid w:val="008C19C1"/>
    <w:rsid w:val="008C2843"/>
    <w:rsid w:val="008C5590"/>
    <w:rsid w:val="008C6F28"/>
    <w:rsid w:val="008D1C7D"/>
    <w:rsid w:val="008D40C3"/>
    <w:rsid w:val="008D7C3C"/>
    <w:rsid w:val="008E08D8"/>
    <w:rsid w:val="008E747C"/>
    <w:rsid w:val="008E7F76"/>
    <w:rsid w:val="008F739E"/>
    <w:rsid w:val="009241A4"/>
    <w:rsid w:val="00935B89"/>
    <w:rsid w:val="00953E1A"/>
    <w:rsid w:val="00961857"/>
    <w:rsid w:val="0097202F"/>
    <w:rsid w:val="00974484"/>
    <w:rsid w:val="00980BF7"/>
    <w:rsid w:val="009957DD"/>
    <w:rsid w:val="009B7329"/>
    <w:rsid w:val="009C0837"/>
    <w:rsid w:val="009C0D25"/>
    <w:rsid w:val="009C248C"/>
    <w:rsid w:val="009C29A3"/>
    <w:rsid w:val="009C390C"/>
    <w:rsid w:val="009C4A44"/>
    <w:rsid w:val="009C6EA6"/>
    <w:rsid w:val="009D1BC6"/>
    <w:rsid w:val="009E4D7F"/>
    <w:rsid w:val="009E7C9D"/>
    <w:rsid w:val="009F24C4"/>
    <w:rsid w:val="00A0731C"/>
    <w:rsid w:val="00A118F7"/>
    <w:rsid w:val="00A15DB6"/>
    <w:rsid w:val="00A21465"/>
    <w:rsid w:val="00A21A6C"/>
    <w:rsid w:val="00A31E47"/>
    <w:rsid w:val="00A4551C"/>
    <w:rsid w:val="00A73C7B"/>
    <w:rsid w:val="00A74F93"/>
    <w:rsid w:val="00A757D4"/>
    <w:rsid w:val="00A77A10"/>
    <w:rsid w:val="00AC69C2"/>
    <w:rsid w:val="00AD2891"/>
    <w:rsid w:val="00AD4907"/>
    <w:rsid w:val="00AE122A"/>
    <w:rsid w:val="00AE1616"/>
    <w:rsid w:val="00B12289"/>
    <w:rsid w:val="00B13E97"/>
    <w:rsid w:val="00B173D7"/>
    <w:rsid w:val="00B630C5"/>
    <w:rsid w:val="00B63385"/>
    <w:rsid w:val="00B63516"/>
    <w:rsid w:val="00B70F6D"/>
    <w:rsid w:val="00B73116"/>
    <w:rsid w:val="00B76CBE"/>
    <w:rsid w:val="00B830B6"/>
    <w:rsid w:val="00B9669F"/>
    <w:rsid w:val="00BA382A"/>
    <w:rsid w:val="00BB7312"/>
    <w:rsid w:val="00BC13F0"/>
    <w:rsid w:val="00BC2E41"/>
    <w:rsid w:val="00BC6B58"/>
    <w:rsid w:val="00BD1A58"/>
    <w:rsid w:val="00BE0A85"/>
    <w:rsid w:val="00BE63CF"/>
    <w:rsid w:val="00BF7A31"/>
    <w:rsid w:val="00C010FF"/>
    <w:rsid w:val="00C06373"/>
    <w:rsid w:val="00C14167"/>
    <w:rsid w:val="00C24FCB"/>
    <w:rsid w:val="00C440A9"/>
    <w:rsid w:val="00C52624"/>
    <w:rsid w:val="00C5791B"/>
    <w:rsid w:val="00C71273"/>
    <w:rsid w:val="00C75596"/>
    <w:rsid w:val="00C776D2"/>
    <w:rsid w:val="00C91E44"/>
    <w:rsid w:val="00CA210B"/>
    <w:rsid w:val="00CA73F3"/>
    <w:rsid w:val="00CB702D"/>
    <w:rsid w:val="00CC6771"/>
    <w:rsid w:val="00CD14D1"/>
    <w:rsid w:val="00CE25C7"/>
    <w:rsid w:val="00CE4985"/>
    <w:rsid w:val="00D0036F"/>
    <w:rsid w:val="00D049D6"/>
    <w:rsid w:val="00D11B8A"/>
    <w:rsid w:val="00D2228A"/>
    <w:rsid w:val="00D317BD"/>
    <w:rsid w:val="00D32D29"/>
    <w:rsid w:val="00D44B84"/>
    <w:rsid w:val="00D44F9E"/>
    <w:rsid w:val="00D47559"/>
    <w:rsid w:val="00D514B4"/>
    <w:rsid w:val="00D57DC6"/>
    <w:rsid w:val="00D66F53"/>
    <w:rsid w:val="00D67D5A"/>
    <w:rsid w:val="00D82E73"/>
    <w:rsid w:val="00D83E7A"/>
    <w:rsid w:val="00D9149F"/>
    <w:rsid w:val="00D92E73"/>
    <w:rsid w:val="00DB14EA"/>
    <w:rsid w:val="00DB2B22"/>
    <w:rsid w:val="00DB365A"/>
    <w:rsid w:val="00DD0F23"/>
    <w:rsid w:val="00DD3B8B"/>
    <w:rsid w:val="00DE05F9"/>
    <w:rsid w:val="00DE1FEC"/>
    <w:rsid w:val="00DE6C73"/>
    <w:rsid w:val="00DF3EDD"/>
    <w:rsid w:val="00DF7B0A"/>
    <w:rsid w:val="00E07DC7"/>
    <w:rsid w:val="00E35DCA"/>
    <w:rsid w:val="00E428EB"/>
    <w:rsid w:val="00E45529"/>
    <w:rsid w:val="00E569D4"/>
    <w:rsid w:val="00E61F04"/>
    <w:rsid w:val="00E638CB"/>
    <w:rsid w:val="00E64B38"/>
    <w:rsid w:val="00E82CB8"/>
    <w:rsid w:val="00E82DA4"/>
    <w:rsid w:val="00E94E87"/>
    <w:rsid w:val="00EA3FA7"/>
    <w:rsid w:val="00EA5A9B"/>
    <w:rsid w:val="00EB50C8"/>
    <w:rsid w:val="00EC1B35"/>
    <w:rsid w:val="00EC7BC3"/>
    <w:rsid w:val="00ED4144"/>
    <w:rsid w:val="00ED5E91"/>
    <w:rsid w:val="00EE1630"/>
    <w:rsid w:val="00EE2E4D"/>
    <w:rsid w:val="00EF7711"/>
    <w:rsid w:val="00F03833"/>
    <w:rsid w:val="00F220B8"/>
    <w:rsid w:val="00F45A19"/>
    <w:rsid w:val="00F50FAE"/>
    <w:rsid w:val="00F5237F"/>
    <w:rsid w:val="00F526CF"/>
    <w:rsid w:val="00F52C77"/>
    <w:rsid w:val="00F54C38"/>
    <w:rsid w:val="00F61CE9"/>
    <w:rsid w:val="00F61F91"/>
    <w:rsid w:val="00F64618"/>
    <w:rsid w:val="00F74235"/>
    <w:rsid w:val="00F762A4"/>
    <w:rsid w:val="00F77BB4"/>
    <w:rsid w:val="00F816C1"/>
    <w:rsid w:val="00F840AF"/>
    <w:rsid w:val="00F93AA1"/>
    <w:rsid w:val="00FA72B6"/>
    <w:rsid w:val="00FB5408"/>
    <w:rsid w:val="00FB5D68"/>
    <w:rsid w:val="00FB6462"/>
    <w:rsid w:val="00FC108C"/>
    <w:rsid w:val="00FD421D"/>
    <w:rsid w:val="00FE049D"/>
    <w:rsid w:val="00FE1BCC"/>
    <w:rsid w:val="00FE5E31"/>
    <w:rsid w:val="00FF19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5987"/>
  <w15:docId w15:val="{A34335C4-DE10-49E3-B92B-44756D4F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50"/>
    <w:pPr>
      <w:spacing w:after="0" w:line="276" w:lineRule="auto"/>
    </w:pPr>
  </w:style>
  <w:style w:type="paragraph" w:styleId="Heading1">
    <w:name w:val="heading 1"/>
    <w:basedOn w:val="Normal"/>
    <w:next w:val="Normal"/>
    <w:link w:val="Heading1Char"/>
    <w:uiPriority w:val="9"/>
    <w:qFormat/>
    <w:rsid w:val="004F37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7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375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37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375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F3750"/>
    <w:rPr>
      <w:sz w:val="16"/>
      <w:szCs w:val="16"/>
    </w:rPr>
  </w:style>
  <w:style w:type="paragraph" w:styleId="CommentText">
    <w:name w:val="annotation text"/>
    <w:basedOn w:val="Normal"/>
    <w:link w:val="CommentTextChar"/>
    <w:uiPriority w:val="99"/>
    <w:unhideWhenUsed/>
    <w:rsid w:val="004F3750"/>
    <w:pPr>
      <w:spacing w:line="240" w:lineRule="auto"/>
    </w:pPr>
    <w:rPr>
      <w:sz w:val="20"/>
      <w:szCs w:val="20"/>
    </w:rPr>
  </w:style>
  <w:style w:type="character" w:customStyle="1" w:styleId="CommentTextChar">
    <w:name w:val="Comment Text Char"/>
    <w:basedOn w:val="DefaultParagraphFont"/>
    <w:link w:val="CommentText"/>
    <w:uiPriority w:val="99"/>
    <w:rsid w:val="004F3750"/>
    <w:rPr>
      <w:sz w:val="20"/>
      <w:szCs w:val="20"/>
    </w:rPr>
  </w:style>
  <w:style w:type="paragraph" w:styleId="CommentSubject">
    <w:name w:val="annotation subject"/>
    <w:basedOn w:val="CommentText"/>
    <w:next w:val="CommentText"/>
    <w:link w:val="CommentSubjectChar"/>
    <w:uiPriority w:val="99"/>
    <w:semiHidden/>
    <w:unhideWhenUsed/>
    <w:rsid w:val="004F3750"/>
    <w:rPr>
      <w:b/>
      <w:bCs/>
    </w:rPr>
  </w:style>
  <w:style w:type="character" w:customStyle="1" w:styleId="CommentSubjectChar">
    <w:name w:val="Comment Subject Char"/>
    <w:basedOn w:val="CommentTextChar"/>
    <w:link w:val="CommentSubject"/>
    <w:uiPriority w:val="99"/>
    <w:semiHidden/>
    <w:rsid w:val="004F3750"/>
    <w:rPr>
      <w:b/>
      <w:bCs/>
      <w:sz w:val="20"/>
      <w:szCs w:val="20"/>
    </w:rPr>
  </w:style>
  <w:style w:type="paragraph" w:styleId="BalloonText">
    <w:name w:val="Balloon Text"/>
    <w:basedOn w:val="Normal"/>
    <w:link w:val="BalloonTextChar"/>
    <w:uiPriority w:val="99"/>
    <w:semiHidden/>
    <w:unhideWhenUsed/>
    <w:rsid w:val="004F3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50"/>
    <w:rPr>
      <w:rFonts w:ascii="Tahoma" w:hAnsi="Tahoma" w:cs="Tahoma"/>
      <w:sz w:val="16"/>
      <w:szCs w:val="16"/>
    </w:rPr>
  </w:style>
  <w:style w:type="paragraph" w:styleId="ListParagraph">
    <w:name w:val="List Paragraph"/>
    <w:basedOn w:val="Normal"/>
    <w:link w:val="ListParagraphChar"/>
    <w:uiPriority w:val="34"/>
    <w:qFormat/>
    <w:rsid w:val="004F3750"/>
    <w:pPr>
      <w:ind w:left="720"/>
      <w:contextualSpacing/>
    </w:pPr>
  </w:style>
  <w:style w:type="paragraph" w:styleId="FootnoteText">
    <w:name w:val="footnote text"/>
    <w:basedOn w:val="Normal"/>
    <w:link w:val="FootnoteTextChar"/>
    <w:uiPriority w:val="99"/>
    <w:unhideWhenUsed/>
    <w:rsid w:val="004F3750"/>
    <w:pPr>
      <w:spacing w:line="240" w:lineRule="auto"/>
    </w:pPr>
    <w:rPr>
      <w:sz w:val="20"/>
      <w:szCs w:val="20"/>
    </w:rPr>
  </w:style>
  <w:style w:type="character" w:customStyle="1" w:styleId="FootnoteTextChar">
    <w:name w:val="Footnote Text Char"/>
    <w:basedOn w:val="DefaultParagraphFont"/>
    <w:link w:val="FootnoteText"/>
    <w:uiPriority w:val="99"/>
    <w:rsid w:val="004F3750"/>
    <w:rPr>
      <w:sz w:val="20"/>
      <w:szCs w:val="20"/>
    </w:rPr>
  </w:style>
  <w:style w:type="character" w:styleId="FootnoteReference">
    <w:name w:val="footnote reference"/>
    <w:basedOn w:val="DefaultParagraphFont"/>
    <w:uiPriority w:val="99"/>
    <w:unhideWhenUsed/>
    <w:rsid w:val="004F3750"/>
    <w:rPr>
      <w:vertAlign w:val="superscript"/>
    </w:rPr>
  </w:style>
  <w:style w:type="paragraph" w:styleId="Header">
    <w:name w:val="header"/>
    <w:basedOn w:val="Normal"/>
    <w:link w:val="HeaderChar"/>
    <w:uiPriority w:val="99"/>
    <w:unhideWhenUsed/>
    <w:rsid w:val="004F3750"/>
    <w:pPr>
      <w:tabs>
        <w:tab w:val="center" w:pos="4513"/>
        <w:tab w:val="right" w:pos="9026"/>
      </w:tabs>
      <w:spacing w:line="240" w:lineRule="auto"/>
    </w:pPr>
  </w:style>
  <w:style w:type="character" w:customStyle="1" w:styleId="HeaderChar">
    <w:name w:val="Header Char"/>
    <w:basedOn w:val="DefaultParagraphFont"/>
    <w:link w:val="Header"/>
    <w:uiPriority w:val="99"/>
    <w:rsid w:val="004F3750"/>
  </w:style>
  <w:style w:type="paragraph" w:styleId="Footer">
    <w:name w:val="footer"/>
    <w:basedOn w:val="Normal"/>
    <w:link w:val="FooterChar"/>
    <w:uiPriority w:val="99"/>
    <w:unhideWhenUsed/>
    <w:rsid w:val="004F3750"/>
    <w:pPr>
      <w:tabs>
        <w:tab w:val="center" w:pos="4513"/>
        <w:tab w:val="right" w:pos="9026"/>
      </w:tabs>
      <w:spacing w:line="240" w:lineRule="auto"/>
    </w:pPr>
  </w:style>
  <w:style w:type="character" w:customStyle="1" w:styleId="FooterChar">
    <w:name w:val="Footer Char"/>
    <w:basedOn w:val="DefaultParagraphFont"/>
    <w:link w:val="Footer"/>
    <w:uiPriority w:val="99"/>
    <w:rsid w:val="004F3750"/>
  </w:style>
  <w:style w:type="paragraph" w:customStyle="1" w:styleId="EndNoteBibliographyTitle">
    <w:name w:val="EndNote Bibliography Title"/>
    <w:basedOn w:val="Normal"/>
    <w:link w:val="EndNoteBibliographyTitleChar"/>
    <w:rsid w:val="004F3750"/>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F3750"/>
    <w:rPr>
      <w:rFonts w:ascii="Calibri" w:hAnsi="Calibri" w:cs="Calibri"/>
      <w:noProof/>
      <w:lang w:val="en-US"/>
    </w:rPr>
  </w:style>
  <w:style w:type="paragraph" w:customStyle="1" w:styleId="EndNoteBibliography">
    <w:name w:val="EndNote Bibliography"/>
    <w:basedOn w:val="Normal"/>
    <w:link w:val="EndNoteBibliographyChar"/>
    <w:rsid w:val="004F375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F3750"/>
    <w:rPr>
      <w:rFonts w:ascii="Calibri" w:hAnsi="Calibri" w:cs="Calibri"/>
      <w:noProof/>
      <w:lang w:val="en-US"/>
    </w:rPr>
  </w:style>
  <w:style w:type="paragraph" w:customStyle="1" w:styleId="Default">
    <w:name w:val="Default"/>
    <w:rsid w:val="004F375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F3750"/>
    <w:pPr>
      <w:spacing w:after="0" w:line="240" w:lineRule="auto"/>
    </w:pPr>
  </w:style>
  <w:style w:type="table" w:styleId="TableGrid">
    <w:name w:val="Table Grid"/>
    <w:basedOn w:val="TableNormal"/>
    <w:uiPriority w:val="59"/>
    <w:rsid w:val="004F3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4F3750"/>
  </w:style>
  <w:style w:type="paragraph" w:styleId="HTMLPreformatted">
    <w:name w:val="HTML Preformatted"/>
    <w:basedOn w:val="Normal"/>
    <w:link w:val="HTMLPreformattedChar"/>
    <w:uiPriority w:val="99"/>
    <w:unhideWhenUsed/>
    <w:rsid w:val="004F3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F3750"/>
    <w:rPr>
      <w:rFonts w:ascii="Courier New" w:eastAsia="Times New Roman" w:hAnsi="Courier New" w:cs="Courier New"/>
      <w:sz w:val="20"/>
      <w:szCs w:val="20"/>
      <w:lang w:eastAsia="en-GB"/>
    </w:rPr>
  </w:style>
  <w:style w:type="character" w:styleId="Hyperlink">
    <w:name w:val="Hyperlink"/>
    <w:basedOn w:val="DefaultParagraphFont"/>
    <w:unhideWhenUsed/>
    <w:rsid w:val="004F3750"/>
    <w:rPr>
      <w:color w:val="0000FF"/>
      <w:u w:val="single"/>
    </w:rPr>
  </w:style>
  <w:style w:type="paragraph" w:styleId="EndnoteText">
    <w:name w:val="endnote text"/>
    <w:basedOn w:val="Normal"/>
    <w:link w:val="EndnoteTextChar1"/>
    <w:rsid w:val="004F3750"/>
    <w:pPr>
      <w:spacing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uiPriority w:val="99"/>
    <w:semiHidden/>
    <w:rsid w:val="004F3750"/>
    <w:rPr>
      <w:sz w:val="20"/>
      <w:szCs w:val="20"/>
    </w:rPr>
  </w:style>
  <w:style w:type="character" w:customStyle="1" w:styleId="EndnoteTextChar1">
    <w:name w:val="Endnote Text Char1"/>
    <w:basedOn w:val="DefaultParagraphFont"/>
    <w:link w:val="EndnoteText"/>
    <w:rsid w:val="004F3750"/>
    <w:rPr>
      <w:rFonts w:ascii="Arial" w:eastAsia="Times New Roman" w:hAnsi="Arial" w:cs="Times New Roman"/>
      <w:sz w:val="20"/>
      <w:szCs w:val="20"/>
      <w:lang w:eastAsia="en-GB"/>
    </w:rPr>
  </w:style>
  <w:style w:type="paragraph" w:styleId="NormalWeb">
    <w:name w:val="Normal (Web)"/>
    <w:basedOn w:val="Normal"/>
    <w:uiPriority w:val="99"/>
    <w:unhideWhenUsed/>
    <w:rsid w:val="004F3750"/>
    <w:pPr>
      <w:spacing w:before="100" w:beforeAutospacing="1" w:after="119"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F3750"/>
    <w:rPr>
      <w:i/>
      <w:iCs/>
    </w:rPr>
  </w:style>
  <w:style w:type="table" w:customStyle="1" w:styleId="TableGrid1">
    <w:name w:val="Table Grid1"/>
    <w:basedOn w:val="TableNormal"/>
    <w:next w:val="TableGrid"/>
    <w:uiPriority w:val="59"/>
    <w:rsid w:val="004F3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
    <w:name w:val="REF"/>
    <w:rsid w:val="007225BA"/>
    <w:pPr>
      <w:spacing w:after="0" w:line="220" w:lineRule="exact"/>
      <w:ind w:left="280" w:hanging="280"/>
      <w:jc w:val="both"/>
    </w:pPr>
    <w:rPr>
      <w:rFonts w:ascii="Times New Roman" w:eastAsia="Times New Roman" w:hAnsi="Times New Roman" w:cs="Times New Roman"/>
      <w:color w:val="000000" w:themeColor="text1"/>
      <w:sz w:val="18"/>
      <w:szCs w:val="24"/>
      <w:lang w:val="en-US"/>
    </w:rPr>
  </w:style>
  <w:style w:type="character" w:customStyle="1" w:styleId="author">
    <w:name w:val="author"/>
    <w:basedOn w:val="DefaultParagraphFont"/>
    <w:rsid w:val="007225BA"/>
    <w:rPr>
      <w:color w:val="000000"/>
    </w:rPr>
  </w:style>
  <w:style w:type="character" w:customStyle="1" w:styleId="adate">
    <w:name w:val="adate"/>
    <w:basedOn w:val="DefaultParagraphFont"/>
    <w:rsid w:val="007225BA"/>
    <w:rPr>
      <w:color w:val="FF0000"/>
    </w:rPr>
  </w:style>
  <w:style w:type="character" w:customStyle="1" w:styleId="atl">
    <w:name w:val="atl"/>
    <w:basedOn w:val="DefaultParagraphFont"/>
    <w:rsid w:val="007225BA"/>
    <w:rPr>
      <w:color w:val="008000"/>
    </w:rPr>
  </w:style>
  <w:style w:type="character" w:customStyle="1" w:styleId="first-page">
    <w:name w:val="first-page"/>
    <w:basedOn w:val="DefaultParagraphFont"/>
    <w:rsid w:val="007225BA"/>
    <w:rPr>
      <w:color w:val="0866C6"/>
    </w:rPr>
  </w:style>
  <w:style w:type="character" w:customStyle="1" w:styleId="last-page">
    <w:name w:val="last-page"/>
    <w:basedOn w:val="DefaultParagraphFont"/>
    <w:rsid w:val="007225BA"/>
    <w:rPr>
      <w:color w:val="800040"/>
    </w:rPr>
  </w:style>
  <w:style w:type="character" w:customStyle="1" w:styleId="vol">
    <w:name w:val="vol"/>
    <w:basedOn w:val="DefaultParagraphFont"/>
    <w:rsid w:val="007225BA"/>
    <w:rPr>
      <w:color w:val="FF8000"/>
    </w:rPr>
  </w:style>
  <w:style w:type="character" w:customStyle="1" w:styleId="stl">
    <w:name w:val="stl"/>
    <w:basedOn w:val="DefaultParagraphFont"/>
    <w:rsid w:val="007225BA"/>
    <w:rPr>
      <w:i/>
      <w:iCs/>
    </w:rPr>
  </w:style>
  <w:style w:type="character" w:customStyle="1" w:styleId="publication-article-publication">
    <w:name w:val="publication-article-publication"/>
    <w:basedOn w:val="DefaultParagraphFont"/>
    <w:rsid w:val="00551AD7"/>
  </w:style>
  <w:style w:type="character" w:customStyle="1" w:styleId="authors">
    <w:name w:val="authors"/>
    <w:basedOn w:val="DefaultParagraphFont"/>
    <w:rsid w:val="001D184D"/>
  </w:style>
  <w:style w:type="character" w:customStyle="1" w:styleId="Date1">
    <w:name w:val="Date1"/>
    <w:basedOn w:val="DefaultParagraphFont"/>
    <w:rsid w:val="001D184D"/>
  </w:style>
  <w:style w:type="character" w:customStyle="1" w:styleId="arttitle">
    <w:name w:val="art_title"/>
    <w:basedOn w:val="DefaultParagraphFont"/>
    <w:rsid w:val="001D184D"/>
  </w:style>
  <w:style w:type="character" w:customStyle="1" w:styleId="serialtitle">
    <w:name w:val="serial_title"/>
    <w:basedOn w:val="DefaultParagraphFont"/>
    <w:rsid w:val="001D184D"/>
  </w:style>
  <w:style w:type="character" w:customStyle="1" w:styleId="volumeissue">
    <w:name w:val="volume_issue"/>
    <w:basedOn w:val="DefaultParagraphFont"/>
    <w:rsid w:val="001D184D"/>
  </w:style>
  <w:style w:type="character" w:customStyle="1" w:styleId="pagerange">
    <w:name w:val="page_range"/>
    <w:basedOn w:val="DefaultParagraphFont"/>
    <w:rsid w:val="001D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rca.cf.ac.uk/10764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wellrj@cardiff.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https://cf-my.sharepoint.com/personal/delaurentisc_cardiff_ac_uk/Documents/RE%20differences%20by%20region%20Italy%20&amp;%20U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896663900973014E-2"/>
          <c:y val="0.1213704354916801"/>
          <c:w val="0.88929282144816668"/>
          <c:h val="0.62885619856671893"/>
        </c:manualLayout>
      </c:layout>
      <c:lineChart>
        <c:grouping val="standard"/>
        <c:varyColors val="0"/>
        <c:ser>
          <c:idx val="0"/>
          <c:order val="0"/>
          <c:tx>
            <c:strRef>
              <c:f>Sheet8!$A$5</c:f>
              <c:strCache>
                <c:ptCount val="1"/>
                <c:pt idx="0">
                  <c:v>England Onshore wind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Sheet8!$B$3:$R$4</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Sheet8!$B$5:$R$5</c:f>
              <c:numCache>
                <c:formatCode>General</c:formatCode>
                <c:ptCount val="17"/>
                <c:pt idx="0">
                  <c:v>164</c:v>
                </c:pt>
                <c:pt idx="1">
                  <c:v>178</c:v>
                </c:pt>
                <c:pt idx="2">
                  <c:v>164</c:v>
                </c:pt>
                <c:pt idx="3">
                  <c:v>242</c:v>
                </c:pt>
                <c:pt idx="4">
                  <c:v>378</c:v>
                </c:pt>
                <c:pt idx="5">
                  <c:v>565</c:v>
                </c:pt>
                <c:pt idx="6">
                  <c:v>748</c:v>
                </c:pt>
                <c:pt idx="7">
                  <c:v>865</c:v>
                </c:pt>
                <c:pt idx="8">
                  <c:v>1022</c:v>
                </c:pt>
                <c:pt idx="9">
                  <c:v>1315</c:v>
                </c:pt>
                <c:pt idx="10" formatCode="#,##0">
                  <c:v>1837</c:v>
                </c:pt>
                <c:pt idx="11">
                  <c:v>2169</c:v>
                </c:pt>
                <c:pt idx="12">
                  <c:v>2432</c:v>
                </c:pt>
                <c:pt idx="13">
                  <c:v>2804</c:v>
                </c:pt>
                <c:pt idx="14">
                  <c:v>3059</c:v>
                </c:pt>
                <c:pt idx="15" formatCode="#,##0">
                  <c:v>3084</c:v>
                </c:pt>
                <c:pt idx="16">
                  <c:v>3092</c:v>
                </c:pt>
              </c:numCache>
            </c:numRef>
          </c:val>
          <c:smooth val="0"/>
          <c:extLst>
            <c:ext xmlns:c16="http://schemas.microsoft.com/office/drawing/2014/chart" uri="{C3380CC4-5D6E-409C-BE32-E72D297353CC}">
              <c16:uniqueId val="{00000000-D630-4232-A0C7-BA7E94C745D8}"/>
            </c:ext>
          </c:extLst>
        </c:ser>
        <c:ser>
          <c:idx val="1"/>
          <c:order val="1"/>
          <c:tx>
            <c:strRef>
              <c:f>Sheet8!$A$6</c:f>
              <c:strCache>
                <c:ptCount val="1"/>
                <c:pt idx="0">
                  <c:v>Scotland Onshore wind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Sheet8!$B$3:$R$4</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Sheet8!$B$6:$R$6</c:f>
              <c:numCache>
                <c:formatCode>General</c:formatCode>
                <c:ptCount val="17"/>
                <c:pt idx="0">
                  <c:v>308</c:v>
                </c:pt>
                <c:pt idx="1">
                  <c:v>411</c:v>
                </c:pt>
                <c:pt idx="2">
                  <c:v>746</c:v>
                </c:pt>
                <c:pt idx="3">
                  <c:v>946</c:v>
                </c:pt>
                <c:pt idx="4">
                  <c:v>1139</c:v>
                </c:pt>
                <c:pt idx="5" formatCode="#,##0">
                  <c:v>1735</c:v>
                </c:pt>
                <c:pt idx="6">
                  <c:v>2021</c:v>
                </c:pt>
                <c:pt idx="7">
                  <c:v>2486</c:v>
                </c:pt>
                <c:pt idx="8">
                  <c:v>2897</c:v>
                </c:pt>
                <c:pt idx="9">
                  <c:v>3764</c:v>
                </c:pt>
                <c:pt idx="10" formatCode="#,##0">
                  <c:v>4586</c:v>
                </c:pt>
                <c:pt idx="11">
                  <c:v>5066</c:v>
                </c:pt>
                <c:pt idx="12">
                  <c:v>5403</c:v>
                </c:pt>
                <c:pt idx="13">
                  <c:v>6300</c:v>
                </c:pt>
                <c:pt idx="14">
                  <c:v>7322</c:v>
                </c:pt>
                <c:pt idx="15" formatCode="#,##0">
                  <c:v>7935</c:v>
                </c:pt>
                <c:pt idx="16">
                  <c:v>8352</c:v>
                </c:pt>
              </c:numCache>
            </c:numRef>
          </c:val>
          <c:smooth val="0"/>
          <c:extLst>
            <c:ext xmlns:c16="http://schemas.microsoft.com/office/drawing/2014/chart" uri="{C3380CC4-5D6E-409C-BE32-E72D297353CC}">
              <c16:uniqueId val="{00000001-D630-4232-A0C7-BA7E94C745D8}"/>
            </c:ext>
          </c:extLst>
        </c:ser>
        <c:ser>
          <c:idx val="2"/>
          <c:order val="2"/>
          <c:tx>
            <c:strRef>
              <c:f>Sheet8!$A$7</c:f>
              <c:strCache>
                <c:ptCount val="1"/>
                <c:pt idx="0">
                  <c:v>N Ireland Onshore wind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Sheet8!$B$3:$R$4</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Sheet8!$B$7:$R$7</c:f>
              <c:numCache>
                <c:formatCode>General</c:formatCode>
                <c:ptCount val="17"/>
                <c:pt idx="0">
                  <c:v>38</c:v>
                </c:pt>
                <c:pt idx="1">
                  <c:v>45</c:v>
                </c:pt>
                <c:pt idx="2">
                  <c:v>117</c:v>
                </c:pt>
                <c:pt idx="3">
                  <c:v>110</c:v>
                </c:pt>
                <c:pt idx="4">
                  <c:v>203</c:v>
                </c:pt>
                <c:pt idx="5">
                  <c:v>214</c:v>
                </c:pt>
                <c:pt idx="6">
                  <c:v>299</c:v>
                </c:pt>
                <c:pt idx="7">
                  <c:v>341</c:v>
                </c:pt>
                <c:pt idx="8">
                  <c:v>409</c:v>
                </c:pt>
                <c:pt idx="9">
                  <c:v>460</c:v>
                </c:pt>
                <c:pt idx="10">
                  <c:v>581</c:v>
                </c:pt>
                <c:pt idx="11">
                  <c:v>696</c:v>
                </c:pt>
                <c:pt idx="12">
                  <c:v>731</c:v>
                </c:pt>
                <c:pt idx="13">
                  <c:v>886</c:v>
                </c:pt>
                <c:pt idx="14">
                  <c:v>1187</c:v>
                </c:pt>
                <c:pt idx="15">
                  <c:v>1393</c:v>
                </c:pt>
                <c:pt idx="16">
                  <c:v>1402</c:v>
                </c:pt>
              </c:numCache>
            </c:numRef>
          </c:val>
          <c:smooth val="0"/>
          <c:extLst>
            <c:ext xmlns:c16="http://schemas.microsoft.com/office/drawing/2014/chart" uri="{C3380CC4-5D6E-409C-BE32-E72D297353CC}">
              <c16:uniqueId val="{00000002-D630-4232-A0C7-BA7E94C745D8}"/>
            </c:ext>
          </c:extLst>
        </c:ser>
        <c:ser>
          <c:idx val="3"/>
          <c:order val="3"/>
          <c:tx>
            <c:strRef>
              <c:f>Sheet8!$A$8</c:f>
              <c:strCache>
                <c:ptCount val="1"/>
                <c:pt idx="0">
                  <c:v>Wales Onshore wind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Sheet8!$B$3:$R$4</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Sheet8!$B$8:$R$8</c:f>
              <c:numCache>
                <c:formatCode>General</c:formatCode>
                <c:ptCount val="17"/>
                <c:pt idx="0">
                  <c:v>172</c:v>
                </c:pt>
                <c:pt idx="1">
                  <c:v>171</c:v>
                </c:pt>
                <c:pt idx="2">
                  <c:v>270</c:v>
                </c:pt>
                <c:pt idx="3">
                  <c:v>299</c:v>
                </c:pt>
                <c:pt idx="4">
                  <c:v>303</c:v>
                </c:pt>
                <c:pt idx="5">
                  <c:v>315</c:v>
                </c:pt>
                <c:pt idx="6">
                  <c:v>383</c:v>
                </c:pt>
                <c:pt idx="7">
                  <c:v>388</c:v>
                </c:pt>
                <c:pt idx="8">
                  <c:v>429</c:v>
                </c:pt>
                <c:pt idx="9">
                  <c:v>494</c:v>
                </c:pt>
                <c:pt idx="10">
                  <c:v>576</c:v>
                </c:pt>
                <c:pt idx="11">
                  <c:v>604</c:v>
                </c:pt>
                <c:pt idx="12">
                  <c:v>644</c:v>
                </c:pt>
                <c:pt idx="13">
                  <c:v>841</c:v>
                </c:pt>
                <c:pt idx="14">
                  <c:v>1027</c:v>
                </c:pt>
                <c:pt idx="15" formatCode="#,##0">
                  <c:v>1137</c:v>
                </c:pt>
                <c:pt idx="16">
                  <c:v>1276</c:v>
                </c:pt>
              </c:numCache>
            </c:numRef>
          </c:val>
          <c:smooth val="0"/>
          <c:extLst>
            <c:ext xmlns:c16="http://schemas.microsoft.com/office/drawing/2014/chart" uri="{C3380CC4-5D6E-409C-BE32-E72D297353CC}">
              <c16:uniqueId val="{00000003-D630-4232-A0C7-BA7E94C745D8}"/>
            </c:ext>
          </c:extLst>
        </c:ser>
        <c:ser>
          <c:idx val="4"/>
          <c:order val="4"/>
          <c:tx>
            <c:strRef>
              <c:f>Sheet8!$A$9</c:f>
              <c:strCache>
                <c:ptCount val="1"/>
                <c:pt idx="0">
                  <c:v>Tuscany onshore wind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Sheet8!$B$3:$R$4</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Sheet8!$B$9:$R$9</c:f>
              <c:numCache>
                <c:formatCode>General</c:formatCode>
                <c:ptCount val="17"/>
                <c:pt idx="4" formatCode="_-* #,##0_-;\-* #,##0_-;_-* &quot;-&quot;??_-;_-@_-">
                  <c:v>28</c:v>
                </c:pt>
                <c:pt idx="5" formatCode="_-* #,##0_-;\-* #,##0_-;_-* &quot;-&quot;??_-;_-@_-">
                  <c:v>28</c:v>
                </c:pt>
                <c:pt idx="6" formatCode="_-* #,##0_-;\-* #,##0_-;_-* &quot;-&quot;??_-;_-@_-">
                  <c:v>36</c:v>
                </c:pt>
                <c:pt idx="7" formatCode="_-* #,##0_-;\-* #,##0_-;_-* &quot;-&quot;??_-;_-@_-">
                  <c:v>45</c:v>
                </c:pt>
                <c:pt idx="8" formatCode="_-* #,##0_-;\-* #,##0_-;_-* &quot;-&quot;??_-;_-@_-">
                  <c:v>46</c:v>
                </c:pt>
                <c:pt idx="9" formatCode="_-* #,##0_-;\-* #,##0_-;_-* &quot;-&quot;??_-;_-@_-">
                  <c:v>87</c:v>
                </c:pt>
                <c:pt idx="10" formatCode="_-* #,##0_-;\-* #,##0_-;_-* &quot;-&quot;??_-;_-@_-">
                  <c:v>122</c:v>
                </c:pt>
                <c:pt idx="11" formatCode="_-* #,##0_-;\-* #,##0_-;_-* &quot;-&quot;??_-;_-@_-">
                  <c:v>122</c:v>
                </c:pt>
                <c:pt idx="12" formatCode="_-* #,##0_-;\-* #,##0_-;_-* &quot;-&quot;??_-;_-@_-">
                  <c:v>123</c:v>
                </c:pt>
                <c:pt idx="13" formatCode="_-* #,##0_-;\-* #,##0_-;_-* &quot;-&quot;??_-;_-@_-">
                  <c:v>123</c:v>
                </c:pt>
                <c:pt idx="14" formatCode="_-* #,##0_-;\-* #,##0_-;_-* &quot;-&quot;??_-;_-@_-">
                  <c:v>124</c:v>
                </c:pt>
                <c:pt idx="15" formatCode="_-* #,##0_-;\-* #,##0_-;_-* &quot;-&quot;??_-;_-@_-">
                  <c:v>124</c:v>
                </c:pt>
                <c:pt idx="16" formatCode="_-* #,##0_-;\-* #,##0_-;_-* &quot;-&quot;??_-;_-@_-">
                  <c:v>143</c:v>
                </c:pt>
              </c:numCache>
            </c:numRef>
          </c:val>
          <c:smooth val="0"/>
          <c:extLst>
            <c:ext xmlns:c16="http://schemas.microsoft.com/office/drawing/2014/chart" uri="{C3380CC4-5D6E-409C-BE32-E72D297353CC}">
              <c16:uniqueId val="{00000004-D630-4232-A0C7-BA7E94C745D8}"/>
            </c:ext>
          </c:extLst>
        </c:ser>
        <c:ser>
          <c:idx val="5"/>
          <c:order val="5"/>
          <c:tx>
            <c:strRef>
              <c:f>Sheet8!$A$10</c:f>
              <c:strCache>
                <c:ptCount val="1"/>
                <c:pt idx="0">
                  <c:v>Apulia onshore wind</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Sheet8!$B$3:$R$4</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Sheet8!$B$10:$R$10</c:f>
              <c:numCache>
                <c:formatCode>General</c:formatCode>
                <c:ptCount val="17"/>
                <c:pt idx="4" formatCode="_-* #,##0_-;\-* #,##0_-;_-* &quot;-&quot;??_-;_-@_-">
                  <c:v>640</c:v>
                </c:pt>
                <c:pt idx="5" formatCode="_-* #,##0_-;\-* #,##0_-;_-* &quot;-&quot;??_-;_-@_-">
                  <c:v>862</c:v>
                </c:pt>
                <c:pt idx="6" formatCode="_-* #,##0_-;\-* #,##0_-;_-* &quot;-&quot;??_-;_-@_-">
                  <c:v>1152</c:v>
                </c:pt>
                <c:pt idx="7" formatCode="_-* #,##0_-;\-* #,##0_-;_-* &quot;-&quot;??_-;_-@_-">
                  <c:v>1288</c:v>
                </c:pt>
                <c:pt idx="8" formatCode="_-* #,##0_-;\-* #,##0_-;_-* &quot;-&quot;??_-;_-@_-">
                  <c:v>1394</c:v>
                </c:pt>
                <c:pt idx="9" formatCode="_-* #,##0_-;\-* #,##0_-;_-* &quot;-&quot;??_-;_-@_-">
                  <c:v>1985</c:v>
                </c:pt>
                <c:pt idx="10" formatCode="_-* #,##0_-;\-* #,##0_-;_-* &quot;-&quot;??_-;_-@_-">
                  <c:v>2266</c:v>
                </c:pt>
                <c:pt idx="11" formatCode="_-* #,##0_-;\-* #,##0_-;_-* &quot;-&quot;??_-;_-@_-">
                  <c:v>2339</c:v>
                </c:pt>
                <c:pt idx="12" formatCode="_-* #,##0_-;\-* #,##0_-;_-* &quot;-&quot;??_-;_-@_-">
                  <c:v>2360</c:v>
                </c:pt>
                <c:pt idx="13" formatCode="_-* #,##0_-;\-* #,##0_-;_-* &quot;-&quot;??_-;_-@_-">
                  <c:v>2441</c:v>
                </c:pt>
                <c:pt idx="14" formatCode="_-* #,##0_-;\-* #,##0_-;_-* &quot;-&quot;??_-;_-@_-">
                  <c:v>2473</c:v>
                </c:pt>
                <c:pt idx="15" formatCode="_-* #,##0_-;\-* #,##0_-;_-* &quot;-&quot;??_-;_-@_-">
                  <c:v>2525</c:v>
                </c:pt>
                <c:pt idx="16" formatCode="_-* #,##0_-;\-* #,##0_-;_-* &quot;-&quot;??_-;_-@_-">
                  <c:v>2571</c:v>
                </c:pt>
              </c:numCache>
            </c:numRef>
          </c:val>
          <c:smooth val="0"/>
          <c:extLst>
            <c:ext xmlns:c16="http://schemas.microsoft.com/office/drawing/2014/chart" uri="{C3380CC4-5D6E-409C-BE32-E72D297353CC}">
              <c16:uniqueId val="{00000005-D630-4232-A0C7-BA7E94C745D8}"/>
            </c:ext>
          </c:extLst>
        </c:ser>
        <c:dLbls>
          <c:showLegendKey val="0"/>
          <c:showVal val="0"/>
          <c:showCatName val="0"/>
          <c:showSerName val="0"/>
          <c:showPercent val="0"/>
          <c:showBubbleSize val="0"/>
        </c:dLbls>
        <c:marker val="1"/>
        <c:smooth val="0"/>
        <c:axId val="65607552"/>
        <c:axId val="65617920"/>
      </c:lineChart>
      <c:catAx>
        <c:axId val="6560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617920"/>
        <c:crosses val="autoZero"/>
        <c:auto val="1"/>
        <c:lblAlgn val="ctr"/>
        <c:lblOffset val="100"/>
        <c:noMultiLvlLbl val="0"/>
      </c:catAx>
      <c:valAx>
        <c:axId val="6561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60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BDBDF9836D94CAA24E6E3726A7069" ma:contentTypeVersion="13" ma:contentTypeDescription="Create a new document." ma:contentTypeScope="" ma:versionID="63c8cbc4e710feae788485abe05bd71d">
  <xsd:schema xmlns:xsd="http://www.w3.org/2001/XMLSchema" xmlns:xs="http://www.w3.org/2001/XMLSchema" xmlns:p="http://schemas.microsoft.com/office/2006/metadata/properties" xmlns:ns3="cc317dab-e887-4126-a2b8-345a61efbccb" xmlns:ns4="e491e23b-7924-4a3f-be0a-b007c6dd34dd" targetNamespace="http://schemas.microsoft.com/office/2006/metadata/properties" ma:root="true" ma:fieldsID="25a865f785c036521abb379560572413" ns3:_="" ns4:_="">
    <xsd:import namespace="cc317dab-e887-4126-a2b8-345a61efbccb"/>
    <xsd:import namespace="e491e23b-7924-4a3f-be0a-b007c6dd34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17dab-e887-4126-a2b8-345a61efb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1e23b-7924-4a3f-be0a-b007c6dd3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B9CF1-1D3E-4CF4-9B71-AB733CD39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17dab-e887-4126-a2b8-345a61efbccb"/>
    <ds:schemaRef ds:uri="e491e23b-7924-4a3f-be0a-b007c6dd3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69FB7-BB01-410A-89D6-1E5B25C58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72DF3-663A-41ED-B187-CE7BC1969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11482</Words>
  <Characters>65448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De Laurentis</dc:creator>
  <cp:lastModifiedBy>Richard Cowell</cp:lastModifiedBy>
  <cp:revision>2</cp:revision>
  <cp:lastPrinted>2021-09-06T11:49:00Z</cp:lastPrinted>
  <dcterms:created xsi:type="dcterms:W3CDTF">2021-09-13T07:52:00Z</dcterms:created>
  <dcterms:modified xsi:type="dcterms:W3CDTF">2021-09-13T07:52:00Z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0x010100E37BDBDF9836D94CAA24E6E3726A7069</vt:lpwstr>
  </property>
</Properties>
</file>