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CE9E0" w14:textId="77777777" w:rsidR="00E638A0" w:rsidRPr="00E638A0" w:rsidRDefault="00E638A0">
      <w:pPr>
        <w:rPr>
          <w:b/>
          <w:bCs/>
        </w:rPr>
      </w:pPr>
      <w:r w:rsidRPr="00E638A0">
        <w:rPr>
          <w:b/>
          <w:bCs/>
        </w:rPr>
        <w:t xml:space="preserve">The STEP Safely guidelines: A catalyst to address the burden of falls in children and adolescents </w:t>
      </w:r>
    </w:p>
    <w:p w14:paraId="43C1D091" w14:textId="355DEE54" w:rsidR="002A36F9" w:rsidRDefault="002A36F9">
      <w:r w:rsidRPr="001D4EF1">
        <w:rPr>
          <w:b/>
          <w:bCs/>
        </w:rPr>
        <w:t>Authors</w:t>
      </w:r>
      <w:r>
        <w:t xml:space="preserve"> </w:t>
      </w:r>
      <w:r w:rsidRPr="001D4EF1">
        <w:rPr>
          <w:highlight w:val="yellow"/>
        </w:rPr>
        <w:t>order to be agreed, but please add your details</w:t>
      </w:r>
    </w:p>
    <w:p w14:paraId="7F4CEE99" w14:textId="0C8CA53A" w:rsidR="002A36F9" w:rsidRDefault="00730870">
      <w:r>
        <w:t xml:space="preserve">* </w:t>
      </w:r>
      <w:r w:rsidR="002A36F9">
        <w:t>Margie Peden</w:t>
      </w:r>
      <w:r>
        <w:t xml:space="preserve">, </w:t>
      </w:r>
      <w:r w:rsidR="002A36F9">
        <w:t xml:space="preserve">Head Global Injury, The George Institute UK, Imperial College London, United Kingdom, Email: </w:t>
      </w:r>
      <w:hyperlink r:id="rId8" w:history="1">
        <w:r w:rsidR="002A36F9" w:rsidRPr="00363653">
          <w:rPr>
            <w:rStyle w:val="Hyperlink"/>
          </w:rPr>
          <w:t>mpeden@georgeinstitute.org.uk</w:t>
        </w:r>
      </w:hyperlink>
      <w:r>
        <w:t xml:space="preserve">, </w:t>
      </w:r>
    </w:p>
    <w:p w14:paraId="13D82964" w14:textId="0FB2469F" w:rsidR="00730870" w:rsidRDefault="00730870">
      <w:r>
        <w:t>Shant</w:t>
      </w:r>
      <w:r w:rsidR="00E4308F">
        <w:t>h</w:t>
      </w:r>
      <w:r>
        <w:t>i Ameratunga</w:t>
      </w:r>
      <w:r w:rsidR="00E4308F">
        <w:t xml:space="preserve">, Honorary Professor, Section of Epidemiology &amp; Biostatistics, School of Population Health, Faculty of Medical &amp; Health Sciences, University of Auckland, New Zealand. Email: </w:t>
      </w:r>
      <w:hyperlink r:id="rId9" w:history="1">
        <w:r w:rsidR="00E4308F" w:rsidRPr="00656130">
          <w:rPr>
            <w:rStyle w:val="Hyperlink"/>
          </w:rPr>
          <w:t>s.ameratunga@auckland.ac.nz</w:t>
        </w:r>
      </w:hyperlink>
      <w:r w:rsidR="00E4308F">
        <w:t xml:space="preserve"> </w:t>
      </w:r>
    </w:p>
    <w:p w14:paraId="6DEF3DA1" w14:textId="5C956FA0" w:rsidR="00730870" w:rsidRDefault="00730870">
      <w:r>
        <w:t>Julie Mytton</w:t>
      </w:r>
      <w:r w:rsidR="002858E3">
        <w:t xml:space="preserve">, Professor of Public Health, School of Health and Social Wellbeing, </w:t>
      </w:r>
      <w:r w:rsidR="00947034">
        <w:t xml:space="preserve">University of the West of England, Bristol, UK. Email: </w:t>
      </w:r>
      <w:hyperlink r:id="rId10" w:history="1">
        <w:r w:rsidR="00947034" w:rsidRPr="00365A8A">
          <w:rPr>
            <w:rStyle w:val="Hyperlink"/>
          </w:rPr>
          <w:t>julie.mytton@uwe.ac.uk</w:t>
        </w:r>
      </w:hyperlink>
      <w:r w:rsidR="00947034">
        <w:t xml:space="preserve"> </w:t>
      </w:r>
      <w:r>
        <w:t xml:space="preserve"> </w:t>
      </w:r>
    </w:p>
    <w:p w14:paraId="540ACC2D" w14:textId="1B887F24" w:rsidR="00730870" w:rsidRDefault="00730870">
      <w:r>
        <w:t>Joanne Vincenten</w:t>
      </w:r>
      <w:r w:rsidR="00C73B92">
        <w:t xml:space="preserve">, Health Specialist, Child Injury Prevention and Environmental Health, UNICEF Headquarters, New York, USA </w:t>
      </w:r>
      <w:r w:rsidR="00C73B92">
        <w:br/>
        <w:t xml:space="preserve">Email: </w:t>
      </w:r>
      <w:hyperlink r:id="rId11" w:history="1">
        <w:r w:rsidR="00C73B92" w:rsidRPr="00364E1C">
          <w:rPr>
            <w:rStyle w:val="Hyperlink"/>
          </w:rPr>
          <w:t>jvincenten@unicef.org</w:t>
        </w:r>
      </w:hyperlink>
      <w:r w:rsidR="00C73B92">
        <w:t xml:space="preserve"> </w:t>
      </w:r>
    </w:p>
    <w:p w14:paraId="06F8C9A6" w14:textId="6368CEBD" w:rsidR="00BD756B" w:rsidRDefault="00BD756B">
      <w:r>
        <w:t xml:space="preserve">Iris Wainiqolo, Senior Lecturer, Centre for Pacific Health, University of Otago, Dunedin, New Zealand. Email: </w:t>
      </w:r>
      <w:hyperlink r:id="rId12" w:history="1">
        <w:r w:rsidR="00E25235" w:rsidRPr="004A1985">
          <w:rPr>
            <w:rStyle w:val="Hyperlink"/>
          </w:rPr>
          <w:t>iris.wainiqolo@otago.ac.nz</w:t>
        </w:r>
      </w:hyperlink>
    </w:p>
    <w:p w14:paraId="131FF594" w14:textId="730E8688" w:rsidR="00E25235" w:rsidRDefault="00E25235">
      <w:r>
        <w:t xml:space="preserve">Prasanthi Puvanachandra, Injury Epidemiologist, The George Institute UK, Imperial College London, United Kingdom, Email: </w:t>
      </w:r>
      <w:hyperlink r:id="rId13" w:history="1">
        <w:r w:rsidRPr="004A1985">
          <w:rPr>
            <w:rStyle w:val="Hyperlink"/>
          </w:rPr>
          <w:t>pattwood@georgeinstitute.org.uk</w:t>
        </w:r>
      </w:hyperlink>
    </w:p>
    <w:p w14:paraId="7241B39A" w14:textId="597FDC49" w:rsidR="003E0063" w:rsidRDefault="003E0063">
      <w:r>
        <w:t xml:space="preserve">Caroline </w:t>
      </w:r>
      <w:r w:rsidRPr="003E0063">
        <w:t>L</w:t>
      </w:r>
      <w:r>
        <w:t xml:space="preserve">ukaszyk, Technical Officer, Department of Social </w:t>
      </w:r>
      <w:proofErr w:type="spellStart"/>
      <w:r>
        <w:t>Determinant</w:t>
      </w:r>
      <w:r w:rsidR="004D2FA8">
        <w:t>S</w:t>
      </w:r>
      <w:proofErr w:type="spellEnd"/>
      <w:r>
        <w:t xml:space="preserve"> of Health, World Health Organization, Geneva, Switzerland, Email:</w:t>
      </w:r>
      <w:r w:rsidRPr="003E0063">
        <w:t xml:space="preserve"> </w:t>
      </w:r>
      <w:hyperlink r:id="rId14" w:history="1">
        <w:r w:rsidRPr="004A1985">
          <w:rPr>
            <w:rStyle w:val="Hyperlink"/>
          </w:rPr>
          <w:t>lukaszykc@who.int</w:t>
        </w:r>
      </w:hyperlink>
    </w:p>
    <w:p w14:paraId="12141406" w14:textId="66A8BC03" w:rsidR="00730870" w:rsidRDefault="00730870">
      <w:r>
        <w:t>* Corresponding author</w:t>
      </w:r>
    </w:p>
    <w:p w14:paraId="52F87704" w14:textId="1F77C63B" w:rsidR="00034467" w:rsidRDefault="007103C5" w:rsidP="00983E5F">
      <w:pPr>
        <w:ind w:firstLine="720"/>
      </w:pPr>
      <w:bookmarkStart w:id="0" w:name="_GoBack"/>
      <w:r>
        <w:t>Globally, f</w:t>
      </w:r>
      <w:r w:rsidR="00730870">
        <w:t xml:space="preserve">alls </w:t>
      </w:r>
      <w:r>
        <w:t>cause</w:t>
      </w:r>
      <w:r w:rsidR="00755B77">
        <w:t>d</w:t>
      </w:r>
      <w:r>
        <w:t xml:space="preserve"> </w:t>
      </w:r>
      <w:r w:rsidR="00730870">
        <w:t>an estimated 684,</w:t>
      </w:r>
      <w:r w:rsidR="00755B77">
        <w:t>277</w:t>
      </w:r>
      <w:r w:rsidR="00730870">
        <w:t xml:space="preserve"> deaths </w:t>
      </w:r>
      <w:r w:rsidR="00755B77">
        <w:t xml:space="preserve">in 2019 </w:t>
      </w:r>
      <w:r w:rsidR="005246EB">
        <w:fldChar w:fldCharType="begin"/>
      </w:r>
      <w:r w:rsidR="005246EB">
        <w:instrText xml:space="preserve"> ADDIN EN.CITE &lt;EndNote&gt;&lt;Cite&gt;&lt;Year&gt;2020&lt;/Year&gt;&lt;RecNum&gt;15988&lt;/RecNum&gt;&lt;DisplayText&gt;[1]&lt;/DisplayText&gt;&lt;record&gt;&lt;rec-number&gt;15988&lt;/rec-number&gt;&lt;foreign-keys&gt;&lt;key app="EN" db-id="eed02eppgapwveer00ovae9q2vs2ssaezvt5" timestamp="1652972471"&gt;15988&lt;/key&gt;&lt;/foreign-keys&gt;&lt;ref-type name="Dataset"&gt;59&lt;/ref-type&gt;&lt;contributors&gt;&lt;/contributors&gt;&lt;titles&gt;&lt;title&gt;Global Health Estimates 2020: Disease burden by Cause, Age, Sex, by Country and by Region, 2000-2019&lt;/title&gt;&lt;/titles&gt;&lt;dates&gt;&lt;year&gt;2020&lt;/year&gt;&lt;/dates&gt;&lt;pub-location&gt; Geneva, Switzerland&lt;/pub-location&gt;&lt;publisher&gt;World Health Organization &lt;/publisher&gt;&lt;urls&gt;&lt;related-urls&gt;&lt;url&gt;https://www.who.int/data/gho/data/themes/mortality-and-global-health-estimates/global-health-estimates-leading-causes-of-dalys&lt;/url&gt;&lt;/related-urls&gt;&lt;/urls&gt;&lt;/record&gt;&lt;/Cite&gt;&lt;/EndNote&gt;</w:instrText>
      </w:r>
      <w:r w:rsidR="005246EB">
        <w:fldChar w:fldCharType="separate"/>
      </w:r>
      <w:r w:rsidR="005246EB">
        <w:rPr>
          <w:noProof/>
        </w:rPr>
        <w:t>[1]</w:t>
      </w:r>
      <w:r w:rsidR="005246EB">
        <w:fldChar w:fldCharType="end"/>
      </w:r>
      <w:r w:rsidR="005246EB">
        <w:t xml:space="preserve"> </w:t>
      </w:r>
      <w:r w:rsidR="00730870">
        <w:t xml:space="preserve">and </w:t>
      </w:r>
      <w:r w:rsidR="005246EB">
        <w:t xml:space="preserve">36.4 million DALYs </w:t>
      </w:r>
      <w:r w:rsidR="005246EB">
        <w:fldChar w:fldCharType="begin"/>
      </w:r>
      <w:r w:rsidR="005246EB">
        <w:instrText xml:space="preserve"> ADDIN EN.CITE &lt;EndNote&gt;&lt;Cite&gt;&lt;Author&gt;James&lt;/Author&gt;&lt;Year&gt;2020&lt;/Year&gt;&lt;RecNum&gt;15982&lt;/RecNum&gt;&lt;DisplayText&gt;[2]&lt;/DisplayText&gt;&lt;record&gt;&lt;rec-number&gt;15982&lt;/rec-number&gt;&lt;foreign-keys&gt;&lt;key app="EN" db-id="eed02eppgapwveer00ovae9q2vs2ssaezvt5" timestamp="1651588793"&gt;15982&lt;/key&gt;&lt;/foreign-keys&gt;&lt;ref-type name="Journal Article"&gt;17&lt;/ref-type&gt;&lt;contributors&gt;&lt;authors&gt;&lt;author&gt;James, Spencer L&lt;/author&gt;&lt;author&gt;Lucchesi, Lydia R&lt;/author&gt;&lt;author&gt;Bisignano, Catherine&lt;/author&gt;&lt;author&gt;Castle, Chris D&lt;/author&gt;&lt;author&gt;Dingels, Zachary V&lt;/author&gt;&lt;author&gt;Fox, Jack T&lt;/author&gt;&lt;author&gt;Hamilton, Erin B&lt;/author&gt;&lt;author&gt;Henry, Nathaniel J&lt;/author&gt;&lt;author&gt;Krohn, Kris J&lt;/author&gt;&lt;author&gt;Liu, Zichen&lt;/author&gt;&lt;/authors&gt;&lt;/contributors&gt;&lt;titles&gt;&lt;title&gt;The global burden of falls: global, regional and national estimates of morbidity and mortality from the Global Burden of Disease Study 2017&lt;/title&gt;&lt;secondary-title&gt;Injury prevention&lt;/secondary-title&gt;&lt;/titles&gt;&lt;periodical&gt;&lt;full-title&gt;Injury Prevention&lt;/full-title&gt;&lt;abbr-1&gt;Inj. Prev.&lt;/abbr-1&gt;&lt;abbr-2&gt;Inj Prev&lt;/abbr-2&gt;&lt;/periodical&gt;&lt;pages&gt;i3-i11&lt;/pages&gt;&lt;volume&gt;26&lt;/volume&gt;&lt;number&gt;Suppl 2&lt;/number&gt;&lt;dates&gt;&lt;year&gt;2020&lt;/year&gt;&lt;/dates&gt;&lt;isbn&gt;1353-8047&lt;/isbn&gt;&lt;urls&gt;&lt;/urls&gt;&lt;/record&gt;&lt;/Cite&gt;&lt;/EndNote&gt;</w:instrText>
      </w:r>
      <w:r w:rsidR="005246EB">
        <w:fldChar w:fldCharType="separate"/>
      </w:r>
      <w:r w:rsidR="005246EB">
        <w:rPr>
          <w:noProof/>
        </w:rPr>
        <w:t>[2]</w:t>
      </w:r>
      <w:r w:rsidR="005246EB">
        <w:fldChar w:fldCharType="end"/>
      </w:r>
      <w:r>
        <w:t xml:space="preserve">. </w:t>
      </w:r>
      <w:r w:rsidR="005246EB">
        <w:t>Although the majority of these are</w:t>
      </w:r>
      <w:r w:rsidR="00581B02">
        <w:t xml:space="preserve"> in older</w:t>
      </w:r>
      <w:r w:rsidR="005246EB">
        <w:t xml:space="preserve"> adults, they are also a leading cause of injury for children and adolescents (&lt;19 years) accounting for m</w:t>
      </w:r>
      <w:r w:rsidR="005E175B">
        <w:t xml:space="preserve">ore than 100 </w:t>
      </w:r>
      <w:r w:rsidR="005246EB">
        <w:t>children dying every day or</w:t>
      </w:r>
      <w:r w:rsidR="005E175B">
        <w:t xml:space="preserve"> 38,000 every year </w:t>
      </w:r>
      <w:r w:rsidR="005246EB">
        <w:fldChar w:fldCharType="begin"/>
      </w:r>
      <w:r w:rsidR="005246EB">
        <w:instrText xml:space="preserve"> ADDIN EN.CITE &lt;EndNote&gt;&lt;Cite&gt;&lt;Year&gt;2020&lt;/Year&gt;&lt;RecNum&gt;15988&lt;/RecNum&gt;&lt;DisplayText&gt;[1]&lt;/DisplayText&gt;&lt;record&gt;&lt;rec-number&gt;15988&lt;/rec-number&gt;&lt;foreign-keys&gt;&lt;key app="EN" db-id="eed02eppgapwveer00ovae9q2vs2ssaezvt5" timestamp="1652972471"&gt;15988&lt;/key&gt;&lt;/foreign-keys&gt;&lt;ref-type name="Dataset"&gt;59&lt;/ref-type&gt;&lt;contributors&gt;&lt;/contributors&gt;&lt;titles&gt;&lt;title&gt;Global Health Estimates 2020: Disease burden by Cause, Age, Sex, by Country and by Region, 2000-2019&lt;/title&gt;&lt;/titles&gt;&lt;dates&gt;&lt;year&gt;2020&lt;/year&gt;&lt;/dates&gt;&lt;pub-location&gt; Geneva, Switzerland&lt;/pub-location&gt;&lt;publisher&gt;World Health Organization &lt;/publisher&gt;&lt;urls&gt;&lt;related-urls&gt;&lt;url&gt;https://www.who.int/data/gho/data/themes/mortality-and-global-health-estimates/global-health-estimates-leading-causes-of-dalys&lt;/url&gt;&lt;/related-urls&gt;&lt;/urls&gt;&lt;/record&gt;&lt;/Cite&gt;&lt;/EndNote&gt;</w:instrText>
      </w:r>
      <w:r w:rsidR="005246EB">
        <w:fldChar w:fldCharType="separate"/>
      </w:r>
      <w:r w:rsidR="005246EB">
        <w:rPr>
          <w:noProof/>
        </w:rPr>
        <w:t>[1]</w:t>
      </w:r>
      <w:r w:rsidR="005246EB">
        <w:fldChar w:fldCharType="end"/>
      </w:r>
      <w:r w:rsidR="005E175B">
        <w:t xml:space="preserve">.  </w:t>
      </w:r>
      <w:r w:rsidR="00791814">
        <w:t>Additionally</w:t>
      </w:r>
      <w:r w:rsidR="005246EB">
        <w:t>, falls account</w:t>
      </w:r>
      <w:r>
        <w:t xml:space="preserve"> for up to 56% of all </w:t>
      </w:r>
      <w:r w:rsidR="005246EB">
        <w:t xml:space="preserve">injury-related </w:t>
      </w:r>
      <w:r>
        <w:t xml:space="preserve">hospital visits </w:t>
      </w:r>
      <w:r w:rsidR="005246EB">
        <w:t xml:space="preserve">by children </w:t>
      </w:r>
      <w:r>
        <w:t xml:space="preserve">in less resourced settings </w:t>
      </w:r>
      <w:r>
        <w:fldChar w:fldCharType="begin"/>
      </w:r>
      <w:r w:rsidR="005246EB">
        <w:instrText xml:space="preserve"> ADDIN EN.CITE &lt;EndNote&gt;&lt;Cite&gt;&lt;Author&gt;Hyder&lt;/Author&gt;&lt;Year&gt;2009&lt;/Year&gt;&lt;RecNum&gt;15553&lt;/RecNum&gt;&lt;DisplayText&gt;[3]&lt;/DisplayText&gt;&lt;record&gt;&lt;rec-number&gt;15553&lt;/rec-number&gt;&lt;foreign-keys&gt;&lt;key app="EN" db-id="eed02eppgapwveer00ovae9q2vs2ssaezvt5" timestamp="1648224623"&gt;15553&lt;/key&gt;&lt;/foreign-keys&gt;&lt;ref-type name="Journal Article"&gt;17&lt;/ref-type&gt;&lt;contributors&gt;&lt;authors&gt;&lt;author&gt;Hyder, A. A.&lt;/author&gt;&lt;author&gt;Sugerman, D. E.&lt;/author&gt;&lt;author&gt;Puvanachandra, P.&lt;/author&gt;&lt;author&gt;Razzak, J.&lt;/author&gt;&lt;author&gt;El-Sayed, H.&lt;/author&gt;&lt;author&gt;Isaza, A.&lt;/author&gt;&lt;author&gt;Rahman, F.&lt;/author&gt;&lt;author&gt;Peden, M.&lt;/author&gt;&lt;/authors&gt;&lt;/contributors&gt;&lt;titles&gt;&lt;title&gt;Global childhood unintentional injury surveillance in four cities in developing countries: a pilot study&lt;/title&gt;&lt;secondary-title&gt;Bull World Health Organ&lt;/secondary-title&gt;&lt;/titles&gt;&lt;periodical&gt;&lt;full-title&gt;Bulletin of the World Health Organization&lt;/full-title&gt;&lt;abbr-1&gt;Bull. World Health Organ.&lt;/abbr-1&gt;&lt;abbr-2&gt;Bull World Health Organ&lt;/abbr-2&gt;&lt;/periodical&gt;&lt;pages&gt;345-52&lt;/pages&gt;&lt;volume&gt;87&lt;/volume&gt;&lt;number&gt;5&lt;/number&gt;&lt;keywords&gt;&lt;keyword&gt;Accidents&lt;/keyword&gt;&lt;keyword&gt;Child&lt;/keyword&gt;&lt;keyword&gt;Child, Preschool&lt;/keyword&gt;&lt;keyword&gt;Developing Countries&lt;/keyword&gt;&lt;keyword&gt;Female&lt;/keyword&gt;&lt;keyword&gt;Global Health&lt;/keyword&gt;&lt;keyword&gt;Humans&lt;/keyword&gt;&lt;keyword&gt;Infant&lt;/keyword&gt;&lt;keyword&gt;Male&lt;/keyword&gt;&lt;keyword&gt;Pilot Projects&lt;/keyword&gt;&lt;keyword&gt;Urban Health&lt;/keyword&gt;&lt;keyword&gt;Wounds and Injuries&lt;/keyword&gt;&lt;/keywords&gt;&lt;dates&gt;&lt;year&gt;2009&lt;/year&gt;&lt;pub-dates&gt;&lt;date&gt;May&lt;/date&gt;&lt;/pub-dates&gt;&lt;/dates&gt;&lt;isbn&gt;1564-0604&lt;/isbn&gt;&lt;accession-num&gt;19551252&lt;/accession-num&gt;&lt;urls&gt;&lt;related-urls&gt;&lt;url&gt;https://www.ncbi.nlm.nih.gov/pubmed/19551252&lt;/url&gt;&lt;/related-urls&gt;&lt;/urls&gt;&lt;custom2&gt;PMC2678776&lt;/custom2&gt;&lt;language&gt;eng&lt;/language&gt;&lt;/record&gt;&lt;/Cite&gt;&lt;/EndNote&gt;</w:instrText>
      </w:r>
      <w:r>
        <w:fldChar w:fldCharType="separate"/>
      </w:r>
      <w:r w:rsidR="005246EB">
        <w:rPr>
          <w:noProof/>
        </w:rPr>
        <w:t>[3]</w:t>
      </w:r>
      <w:r>
        <w:fldChar w:fldCharType="end"/>
      </w:r>
      <w:r w:rsidR="005246EB">
        <w:t xml:space="preserve"> and are a </w:t>
      </w:r>
      <w:r w:rsidR="005E175B">
        <w:t>top 10 cause of years lived with a disability for those 5-19 years</w:t>
      </w:r>
      <w:r w:rsidR="005246EB">
        <w:t xml:space="preserve"> </w:t>
      </w:r>
      <w:r w:rsidR="005246EB">
        <w:fldChar w:fldCharType="begin"/>
      </w:r>
      <w:r w:rsidR="005246EB">
        <w:instrText xml:space="preserve"> ADDIN EN.CITE &lt;EndNote&gt;&lt;Cite&gt;&lt;Year&gt;2020&lt;/Year&gt;&lt;RecNum&gt;15988&lt;/RecNum&gt;&lt;DisplayText&gt;[1]&lt;/DisplayText&gt;&lt;record&gt;&lt;rec-number&gt;15988&lt;/rec-number&gt;&lt;foreign-keys&gt;&lt;key app="EN" db-id="eed02eppgapwveer00ovae9q2vs2ssaezvt5" timestamp="1652972471"&gt;15988&lt;/key&gt;&lt;/foreign-keys&gt;&lt;ref-type name="Dataset"&gt;59&lt;/ref-type&gt;&lt;contributors&gt;&lt;/contributors&gt;&lt;titles&gt;&lt;title&gt;Global Health Estimates 2020: Disease burden by Cause, Age, Sex, by Country and by Region, 2000-2019&lt;/title&gt;&lt;/titles&gt;&lt;dates&gt;&lt;year&gt;2020&lt;/year&gt;&lt;/dates&gt;&lt;pub-location&gt; Geneva, Switzerland&lt;/pub-location&gt;&lt;publisher&gt;World Health Organization &lt;/publisher&gt;&lt;urls&gt;&lt;related-urls&gt;&lt;url&gt;https://www.who.int/data/gho/data/themes/mortality-and-global-health-estimates/global-health-estimates-leading-causes-of-dalys&lt;/url&gt;&lt;/related-urls&gt;&lt;/urls&gt;&lt;/record&gt;&lt;/Cite&gt;&lt;/EndNote&gt;</w:instrText>
      </w:r>
      <w:r w:rsidR="005246EB">
        <w:fldChar w:fldCharType="separate"/>
      </w:r>
      <w:r w:rsidR="005246EB">
        <w:rPr>
          <w:noProof/>
        </w:rPr>
        <w:t>[1]</w:t>
      </w:r>
      <w:r w:rsidR="005246EB">
        <w:fldChar w:fldCharType="end"/>
      </w:r>
      <w:r w:rsidR="005E175B">
        <w:t xml:space="preserve">. </w:t>
      </w:r>
      <w:r w:rsidR="005F2443">
        <w:t xml:space="preserve"> </w:t>
      </w:r>
      <w:r w:rsidR="00791814">
        <w:t>The recently published</w:t>
      </w:r>
      <w:r w:rsidR="005F2443">
        <w:t xml:space="preserve"> </w:t>
      </w:r>
      <w:r w:rsidR="005F2443" w:rsidRPr="005246EB">
        <w:rPr>
          <w:i/>
          <w:iCs/>
        </w:rPr>
        <w:t>STEP Safely technical package</w:t>
      </w:r>
      <w:r w:rsidR="005F2443">
        <w:t xml:space="preserve"> by WHO </w:t>
      </w:r>
      <w:r w:rsidR="009779DE">
        <w:t xml:space="preserve">provides evidence for action </w:t>
      </w:r>
      <w:r w:rsidR="00286417">
        <w:t xml:space="preserve">– at primary, secondary, and tertiary prevention levels - </w:t>
      </w:r>
      <w:r w:rsidR="009779DE">
        <w:t xml:space="preserve">on </w:t>
      </w:r>
      <w:r w:rsidR="005F2443">
        <w:t xml:space="preserve">this important </w:t>
      </w:r>
      <w:r w:rsidR="00286417">
        <w:t xml:space="preserve">child and adolescent public health </w:t>
      </w:r>
      <w:r w:rsidR="005F2443">
        <w:t xml:space="preserve">issue </w:t>
      </w:r>
      <w:r w:rsidR="005F2443">
        <w:fldChar w:fldCharType="begin"/>
      </w:r>
      <w:r w:rsidR="005246EB">
        <w:instrText xml:space="preserve"> ADDIN EN.CITE &lt;EndNote&gt;&lt;Cite&gt;&lt;Year&gt;2021&lt;/Year&gt;&lt;RecNum&gt;15981&lt;/RecNum&gt;&lt;DisplayText&gt;[4]&lt;/DisplayText&gt;&lt;record&gt;&lt;rec-number&gt;15981&lt;/rec-number&gt;&lt;foreign-keys&gt;&lt;key app="EN" db-id="eed02eppgapwveer00ovae9q2vs2ssaezvt5" timestamp="1651588457"&gt;15981&lt;/key&gt;&lt;/foreign-keys&gt;&lt;ref-type name="Report"&gt;27&lt;/ref-type&gt;&lt;contributors&gt;&lt;/contributors&gt;&lt;titles&gt;&lt;title&gt;Step safely: strategies for preventing and managing falls across the life-course &lt;/title&gt;&lt;/titles&gt;&lt;number&gt;CC BY-NC-SA 3.0 IGO&lt;/number&gt;&lt;dates&gt;&lt;year&gt;2021&lt;/year&gt;&lt;/dates&gt;&lt;pub-location&gt;Geneva, Switzerland&lt;/pub-location&gt;&lt;publisher&gt;World Health Organization&lt;/publisher&gt;&lt;urls&gt;&lt;related-urls&gt;&lt;url&gt;https://apps.who.int/iris/rest/bitstreams/1343716/retrieve&lt;/url&gt;&lt;/related-urls&gt;&lt;/urls&gt;&lt;/record&gt;&lt;/Cite&gt;&lt;/EndNote&gt;</w:instrText>
      </w:r>
      <w:r w:rsidR="005F2443">
        <w:fldChar w:fldCharType="separate"/>
      </w:r>
      <w:r w:rsidR="005246EB">
        <w:rPr>
          <w:noProof/>
        </w:rPr>
        <w:t>[4]</w:t>
      </w:r>
      <w:r w:rsidR="005F2443">
        <w:fldChar w:fldCharType="end"/>
      </w:r>
      <w:r w:rsidR="005F2443">
        <w:t xml:space="preserve">. </w:t>
      </w:r>
      <w:r w:rsidR="00060811">
        <w:t xml:space="preserve">However, most evidence is from high-income countries and is not easily generalized to low-resourced settings where the greatest burden of childhood falls occurs. </w:t>
      </w:r>
    </w:p>
    <w:p w14:paraId="0DCFC0B8" w14:textId="3D909371" w:rsidR="001F76C2" w:rsidRDefault="00060811" w:rsidP="009A7DAB">
      <w:pPr>
        <w:ind w:firstLine="720"/>
      </w:pPr>
      <w:r>
        <w:t xml:space="preserve">All children fall – it’s a part of their development – but not all falls need to </w:t>
      </w:r>
      <w:r w:rsidR="003419F3">
        <w:t>result in serious</w:t>
      </w:r>
      <w:r w:rsidR="00581B02">
        <w:t xml:space="preserve"> injury</w:t>
      </w:r>
      <w:r>
        <w:t xml:space="preserve">. Every child has the right to a healthy and safe environment - this includes settings </w:t>
      </w:r>
      <w:r w:rsidR="00173AF2">
        <w:t>that</w:t>
      </w:r>
      <w:r>
        <w:t xml:space="preserve"> reduce </w:t>
      </w:r>
      <w:r w:rsidR="00173AF2">
        <w:t xml:space="preserve">risks of injurious </w:t>
      </w:r>
      <w:r w:rsidR="00276352">
        <w:t>falls</w:t>
      </w:r>
      <w:r>
        <w:t xml:space="preserve">. </w:t>
      </w:r>
      <w:r w:rsidR="009A7DAB">
        <w:t>W</w:t>
      </w:r>
      <w:r w:rsidR="00D45054">
        <w:t xml:space="preserve">hat is critical to understand </w:t>
      </w:r>
      <w:r w:rsidR="00590DC6">
        <w:t>to optimize prevention</w:t>
      </w:r>
      <w:r w:rsidR="00BD10D0">
        <w:t xml:space="preserve"> </w:t>
      </w:r>
      <w:r>
        <w:t>is</w:t>
      </w:r>
      <w:r w:rsidR="00D45054">
        <w:t xml:space="preserve"> the context in which </w:t>
      </w:r>
      <w:r w:rsidR="001263B0">
        <w:t>these</w:t>
      </w:r>
      <w:r w:rsidR="001263B0">
        <w:t xml:space="preserve"> </w:t>
      </w:r>
      <w:r w:rsidR="00D45054">
        <w:t>fall</w:t>
      </w:r>
      <w:r w:rsidR="001263B0">
        <w:t>s</w:t>
      </w:r>
      <w:r w:rsidR="00D45054">
        <w:t xml:space="preserve"> occur</w:t>
      </w:r>
      <w:r w:rsidR="00590DC6">
        <w:t>.</w:t>
      </w:r>
      <w:r w:rsidR="009A7DAB">
        <w:t xml:space="preserve"> </w:t>
      </w:r>
    </w:p>
    <w:p w14:paraId="37E01DAB" w14:textId="5D5D5177" w:rsidR="009A7DAB" w:rsidRDefault="009A7DAB" w:rsidP="009A7DAB">
      <w:pPr>
        <w:ind w:firstLine="720"/>
      </w:pPr>
      <w:r>
        <w:t xml:space="preserve">In Nepal, for example, </w:t>
      </w:r>
      <w:r w:rsidR="000B19FA">
        <w:t xml:space="preserve">most children </w:t>
      </w:r>
      <w:r w:rsidR="00E04055">
        <w:t xml:space="preserve">live in rural communities where </w:t>
      </w:r>
      <w:r w:rsidR="00254BF8">
        <w:t xml:space="preserve">typical homes </w:t>
      </w:r>
      <w:r w:rsidR="00E04055">
        <w:t xml:space="preserve">are </w:t>
      </w:r>
      <w:r w:rsidR="00B70D56">
        <w:t>two-</w:t>
      </w:r>
      <w:proofErr w:type="spellStart"/>
      <w:r w:rsidR="00B70D56">
        <w:t>storey</w:t>
      </w:r>
      <w:proofErr w:type="spellEnd"/>
      <w:r w:rsidR="00E04055">
        <w:t xml:space="preserve"> wooden buildings with an open external staircase leading to a balcony running around the building. Play areas are informal</w:t>
      </w:r>
      <w:r w:rsidR="003849C5">
        <w:t xml:space="preserve">, often on steeply terraced land, and many children will support family </w:t>
      </w:r>
      <w:r w:rsidR="00B70D56">
        <w:t>smallholdings</w:t>
      </w:r>
      <w:r w:rsidR="003849C5">
        <w:t>, including climbing trees to cut leaves to feed buffalo. Falls from trees are the leading cause of spinal injury in Nepal</w:t>
      </w:r>
      <w:r w:rsidR="00060811">
        <w:t xml:space="preserve"> </w:t>
      </w:r>
      <w:r w:rsidR="00060811">
        <w:fldChar w:fldCharType="begin"/>
      </w:r>
      <w:r w:rsidR="00060811">
        <w:instrText xml:space="preserve"> ADDIN EN.CITE &lt;EndNote&gt;&lt;Cite&gt;&lt;Author&gt;Willott&lt;/Author&gt;&lt;Year&gt;2021&lt;/Year&gt;&lt;RecNum&gt;15989&lt;/RecNum&gt;&lt;DisplayText&gt;[5]&lt;/DisplayText&gt;&lt;record&gt;&lt;rec-number&gt;15989&lt;/rec-number&gt;&lt;foreign-keys&gt;&lt;key app="EN" db-id="eed02eppgapwveer00ovae9q2vs2ssaezvt5" timestamp="1652974061"&gt;15989&lt;/key&gt;&lt;/foreign-keys&gt;&lt;ref-type name="Journal Article"&gt;17&lt;/ref-type&gt;&lt;contributors&gt;&lt;authors&gt;&lt;author&gt;Willott, Arran&lt;/author&gt;&lt;author&gt;Dhakal, Raju&lt;/author&gt;&lt;author&gt;Groves, Christine&lt;/author&gt;&lt;author&gt;Mytton, Julie&lt;/author&gt;&lt;author&gt;Ellis, Matthew&lt;/author&gt;&lt;/authors&gt;&lt;/contributors&gt;&lt;titles&gt;&lt;title&gt;The demographics and traumatic causes of spinal cord injury in Nepal: an observational study&lt;/title&gt;&lt;secondary-title&gt;Trauma&lt;/secondary-title&gt;&lt;/titles&gt;&lt;periodical&gt;&lt;full-title&gt;Trauma&lt;/full-title&gt;&lt;/periodical&gt;&lt;pages&gt;330-337&lt;/pages&gt;&lt;volume&gt;23&lt;/volume&gt;&lt;number&gt;4&lt;/number&gt;&lt;dates&gt;&lt;year&gt;2021&lt;/year&gt;&lt;/dates&gt;&lt;isbn&gt;1460-4086&lt;/isbn&gt;&lt;urls&gt;&lt;/urls&gt;&lt;/record&gt;&lt;/Cite&gt;&lt;/EndNote&gt;</w:instrText>
      </w:r>
      <w:r w:rsidR="00060811">
        <w:fldChar w:fldCharType="separate"/>
      </w:r>
      <w:r w:rsidR="00060811">
        <w:rPr>
          <w:noProof/>
        </w:rPr>
        <w:t>[5]</w:t>
      </w:r>
      <w:r w:rsidR="00060811">
        <w:fldChar w:fldCharType="end"/>
      </w:r>
      <w:r w:rsidR="003849C5">
        <w:t xml:space="preserve">. </w:t>
      </w:r>
    </w:p>
    <w:p w14:paraId="111F9E52" w14:textId="05A2AF22" w:rsidR="009A7DAB" w:rsidRDefault="009A7DAB" w:rsidP="009A7DAB">
      <w:pPr>
        <w:ind w:firstLine="720"/>
      </w:pPr>
      <w:r>
        <w:t xml:space="preserve">In </w:t>
      </w:r>
      <w:r w:rsidR="009F745A">
        <w:t xml:space="preserve">a population-based injury surveillance study in </w:t>
      </w:r>
      <w:r>
        <w:t xml:space="preserve">Fiji, </w:t>
      </w:r>
      <w:r w:rsidR="00A00983">
        <w:t>falls account</w:t>
      </w:r>
      <w:r w:rsidR="009F745A">
        <w:t>ed</w:t>
      </w:r>
      <w:r w:rsidR="00A00983">
        <w:t xml:space="preserve"> for 48% of injury admissions in childhood with fractures and head trauma </w:t>
      </w:r>
      <w:r w:rsidR="00791814">
        <w:t xml:space="preserve">being </w:t>
      </w:r>
      <w:r w:rsidR="00A00983">
        <w:t>among the commonest types of injury</w:t>
      </w:r>
      <w:r w:rsidR="002F70A2">
        <w:t xml:space="preserve"> </w:t>
      </w:r>
      <w:r w:rsidR="00060811">
        <w:fldChar w:fldCharType="begin"/>
      </w:r>
      <w:r w:rsidR="00060811">
        <w:instrText xml:space="preserve"> ADDIN EN.CITE &lt;EndNote&gt;&lt;Cite&gt;&lt;Author&gt;Naisaki&lt;/Author&gt;&lt;Year&gt;2013&lt;/Year&gt;&lt;RecNum&gt;15990&lt;/RecNum&gt;&lt;DisplayText&gt;[6]&lt;/DisplayText&gt;&lt;record&gt;&lt;rec-number&gt;15990&lt;/rec-number&gt;&lt;foreign-keys&gt;&lt;key app="EN" db-id="eed02eppgapwveer00ovae9q2vs2ssaezvt5" timestamp="1652974137"&gt;15990&lt;/key&gt;&lt;/foreign-keys&gt;&lt;ref-type name="Journal Article"&gt;17&lt;/ref-type&gt;&lt;contributors&gt;&lt;authors&gt;&lt;author&gt;Naisaki, Asilika&lt;/author&gt;&lt;author&gt;Wainiqolo, Iris&lt;/author&gt;&lt;author&gt;Kafoa, Berlin&lt;/author&gt;&lt;author&gt;Kool, Bridget&lt;/author&gt;&lt;author&gt;Taoi, Mabel&lt;/author&gt;&lt;author&gt;McCaig, Eddie&lt;/author&gt;&lt;author&gt;Ameratunga, Shanthi&lt;/author&gt;&lt;author&gt;TRIP Project Team&lt;/author&gt;&lt;/authors&gt;&lt;/contributors&gt;&lt;titles&gt;&lt;title&gt;Fatal and hospitalised childhood injuries in F iji (TRIP P roject‐3)&lt;/title&gt;&lt;secondary-title&gt;Journal of Paediatrics and Child Health&lt;/secondary-title&gt;&lt;/titles&gt;&lt;periodical&gt;&lt;full-title&gt;Journal of Paediatrics and Child Health&lt;/full-title&gt;&lt;abbr-1&gt;J. Paediatr. Child Health&lt;/abbr-1&gt;&lt;abbr-2&gt;J Paediatr Child Health&lt;/abbr-2&gt;&lt;abbr-3&gt;Journal of Paediatrics &amp;amp; Child Health&lt;/abbr-3&gt;&lt;/periodical&gt;&lt;pages&gt;63-67&lt;/pages&gt;&lt;volume&gt;49&lt;/volume&gt;&lt;number&gt;1&lt;/number&gt;&lt;dates&gt;&lt;year&gt;2013&lt;/year&gt;&lt;/dates&gt;&lt;isbn&gt;1034-4810&lt;/isbn&gt;&lt;urls&gt;&lt;/urls&gt;&lt;/record&gt;&lt;/Cite&gt;&lt;/EndNote&gt;</w:instrText>
      </w:r>
      <w:r w:rsidR="00060811">
        <w:fldChar w:fldCharType="separate"/>
      </w:r>
      <w:r w:rsidR="00060811">
        <w:rPr>
          <w:noProof/>
        </w:rPr>
        <w:t>[6]</w:t>
      </w:r>
      <w:r w:rsidR="00060811">
        <w:fldChar w:fldCharType="end"/>
      </w:r>
      <w:r w:rsidR="00A00983">
        <w:t xml:space="preserve">. </w:t>
      </w:r>
      <w:r w:rsidR="009F745A">
        <w:t xml:space="preserve">Some of the strongest advocates for fall prevention interventions in this context were clinicians </w:t>
      </w:r>
      <w:r w:rsidR="009F745A">
        <w:lastRenderedPageBreak/>
        <w:t xml:space="preserve">concerned about </w:t>
      </w:r>
      <w:r w:rsidR="004F7E7C">
        <w:t xml:space="preserve">the </w:t>
      </w:r>
      <w:r w:rsidR="009F745A">
        <w:t>unmet needs in health</w:t>
      </w:r>
      <w:r w:rsidR="001B148B">
        <w:t xml:space="preserve"> and trauma care</w:t>
      </w:r>
      <w:r w:rsidR="009F745A">
        <w:t>, rehabilitation, education</w:t>
      </w:r>
      <w:r w:rsidR="004F7E7C">
        <w:t>, disability</w:t>
      </w:r>
      <w:r w:rsidR="009F745A">
        <w:t xml:space="preserve"> and social support</w:t>
      </w:r>
      <w:r w:rsidR="00A00983">
        <w:t xml:space="preserve"> </w:t>
      </w:r>
      <w:r w:rsidR="009F745A">
        <w:t>for children surviving these injuries.</w:t>
      </w:r>
      <w:r w:rsidR="00A00983">
        <w:t xml:space="preserve"> </w:t>
      </w:r>
    </w:p>
    <w:p w14:paraId="2844B8FD" w14:textId="50439344" w:rsidR="009704E8" w:rsidRDefault="009A7DAB" w:rsidP="003E0063">
      <w:pPr>
        <w:ind w:firstLine="720"/>
      </w:pPr>
      <w:r>
        <w:t xml:space="preserve">In Uganda, </w:t>
      </w:r>
      <w:r w:rsidR="00DE022F">
        <w:t xml:space="preserve">falls </w:t>
      </w:r>
      <w:r w:rsidR="00060811">
        <w:t xml:space="preserve">account for 57% </w:t>
      </w:r>
      <w:r w:rsidR="00DE022F">
        <w:t xml:space="preserve">of </w:t>
      </w:r>
      <w:r w:rsidR="00E24CFF">
        <w:t xml:space="preserve">all </w:t>
      </w:r>
      <w:r w:rsidR="00DE022F">
        <w:t>unintentional injur</w:t>
      </w:r>
      <w:r w:rsidR="00E24CFF">
        <w:t>ies</w:t>
      </w:r>
      <w:r w:rsidR="003B2BA1">
        <w:t xml:space="preserve"> among children</w:t>
      </w:r>
      <w:r w:rsidR="00DE022F">
        <w:t xml:space="preserve">. Most are the result of playing </w:t>
      </w:r>
      <w:r w:rsidR="001263B0">
        <w:t xml:space="preserve">on </w:t>
      </w:r>
      <w:r w:rsidR="00DE022F">
        <w:t>and fall</w:t>
      </w:r>
      <w:r w:rsidR="00590DC6">
        <w:t>ing</w:t>
      </w:r>
      <w:r w:rsidR="00DE022F">
        <w:t xml:space="preserve"> off double/triple bunk beds in </w:t>
      </w:r>
      <w:proofErr w:type="spellStart"/>
      <w:r w:rsidR="00DE022F">
        <w:t>crampedhomesteads</w:t>
      </w:r>
      <w:proofErr w:type="spellEnd"/>
      <w:r w:rsidR="00DE022F">
        <w:t xml:space="preserve"> or down </w:t>
      </w:r>
      <w:r w:rsidR="001263B0">
        <w:t xml:space="preserve">inadequately covered </w:t>
      </w:r>
      <w:r w:rsidR="00DE022F">
        <w:t xml:space="preserve">pit latrines. Utilizing a Human Centered Design process, which puts end users at the </w:t>
      </w:r>
      <w:proofErr w:type="spellStart"/>
      <w:r w:rsidR="00DE022F">
        <w:t>centre</w:t>
      </w:r>
      <w:proofErr w:type="spellEnd"/>
      <w:r w:rsidR="00DE022F">
        <w:t xml:space="preserve"> </w:t>
      </w:r>
      <w:r w:rsidR="00590DC6">
        <w:t xml:space="preserve">of developing solutions to the challenges they face </w:t>
      </w:r>
      <w:r w:rsidR="00DE022F">
        <w:fldChar w:fldCharType="begin"/>
      </w:r>
      <w:r w:rsidR="00060811">
        <w:instrText xml:space="preserve"> ADDIN EN.CITE &lt;EndNote&gt;&lt;Cite&gt;&lt;Author&gt;Chen&lt;/Author&gt;&lt;Year&gt;2020&lt;/Year&gt;&lt;RecNum&gt;15986&lt;/RecNum&gt;&lt;DisplayText&gt;[7]&lt;/DisplayText&gt;&lt;record&gt;&lt;rec-number&gt;15986&lt;/rec-number&gt;&lt;foreign-keys&gt;&lt;key app="EN" db-id="eed02eppgapwveer00ovae9q2vs2ssaezvt5" timestamp="1651691679"&gt;15986&lt;/key&gt;&lt;/foreign-keys&gt;&lt;ref-type name="Journal Article"&gt;17&lt;/ref-type&gt;&lt;contributors&gt;&lt;authors&gt;&lt;author&gt;Chen, Elizabeth&lt;/author&gt;&lt;author&gt;Leos, Cristina&lt;/author&gt;&lt;author&gt;Kowitt, Sarah D&lt;/author&gt;&lt;author&gt;Moracco, Kathryn E&lt;/author&gt;&lt;/authors&gt;&lt;/contributors&gt;&lt;titles&gt;&lt;title&gt;Enhancing community-based participatory research through human-centered design strategies&lt;/title&gt;&lt;secondary-title&gt;Health promotion practice&lt;/secondary-title&gt;&lt;/titles&gt;&lt;periodical&gt;&lt;full-title&gt;Health promotion practice&lt;/full-title&gt;&lt;/periodical&gt;&lt;pages&gt;37-48&lt;/pages&gt;&lt;volume&gt;21&lt;/volume&gt;&lt;number&gt;1&lt;/number&gt;&lt;dates&gt;&lt;year&gt;2020&lt;/year&gt;&lt;/dates&gt;&lt;isbn&gt;1524-8399&lt;/isbn&gt;&lt;urls&gt;&lt;/urls&gt;&lt;/record&gt;&lt;/Cite&gt;&lt;/EndNote&gt;</w:instrText>
      </w:r>
      <w:r w:rsidR="00DE022F">
        <w:fldChar w:fldCharType="separate"/>
      </w:r>
      <w:r w:rsidR="00060811">
        <w:rPr>
          <w:noProof/>
        </w:rPr>
        <w:t>[7]</w:t>
      </w:r>
      <w:r w:rsidR="00DE022F">
        <w:fldChar w:fldCharType="end"/>
      </w:r>
      <w:r w:rsidR="00DE022F">
        <w:t xml:space="preserve">, </w:t>
      </w:r>
      <w:r w:rsidR="00E24CFF">
        <w:t xml:space="preserve">work is being undertaken to develop a multipurpose playmat </w:t>
      </w:r>
      <w:r w:rsidR="00590DC6">
        <w:t>which absorb</w:t>
      </w:r>
      <w:r w:rsidR="001263B0">
        <w:t>s</w:t>
      </w:r>
      <w:r w:rsidR="00590DC6">
        <w:t xml:space="preserve"> the impact when children f</w:t>
      </w:r>
      <w:r w:rsidR="00736750">
        <w:t>a</w:t>
      </w:r>
      <w:r w:rsidR="00590DC6">
        <w:t xml:space="preserve">ll from beds. </w:t>
      </w:r>
    </w:p>
    <w:p w14:paraId="33D9655A" w14:textId="1475ECE3" w:rsidR="000258E6" w:rsidRDefault="00173AF2" w:rsidP="00173AF2">
      <w:pPr>
        <w:ind w:firstLine="720"/>
      </w:pPr>
      <w:r>
        <w:t xml:space="preserve">The WHO STEP Safely technical package recommends several proven and promising interventions for children in three settings: home, school and sport/recreation (Table 1). </w:t>
      </w:r>
      <w:r w:rsidR="00791814">
        <w:t>P</w:t>
      </w:r>
      <w:r>
        <w:t>arent awareness o</w:t>
      </w:r>
      <w:r w:rsidR="00791814">
        <w:t>f</w:t>
      </w:r>
      <w:r>
        <w:t xml:space="preserve"> child falls risk </w:t>
      </w:r>
      <w:r w:rsidR="00791814">
        <w:t xml:space="preserve">can be increased </w:t>
      </w:r>
      <w:r>
        <w:t>through home safety education delivered through parenting programmes. Installing</w:t>
      </w:r>
      <w:r w:rsidRPr="00700A41">
        <w:t xml:space="preserve"> </w:t>
      </w:r>
      <w:r w:rsidRPr="00382F7E">
        <w:t>soft-fall surfaces below and around play equipment</w:t>
      </w:r>
      <w:r>
        <w:t>, alongside providing school-based teaching on safe falls techniques, are promising interventions in schools and playgrounds. P</w:t>
      </w:r>
      <w:r w:rsidRPr="00F33DAF">
        <w:t xml:space="preserve">olicies </w:t>
      </w:r>
      <w:r>
        <w:t>that ensure the use of</w:t>
      </w:r>
      <w:r w:rsidRPr="00F33DAF">
        <w:t xml:space="preserve"> protective equipment</w:t>
      </w:r>
      <w:r>
        <w:t>,</w:t>
      </w:r>
      <w:r w:rsidRPr="00F33DAF">
        <w:t xml:space="preserve"> such as helmets</w:t>
      </w:r>
      <w:r>
        <w:t xml:space="preserve">, </w:t>
      </w:r>
      <w:r w:rsidR="00B62223">
        <w:t xml:space="preserve">can reduce fall injury risks </w:t>
      </w:r>
      <w:r>
        <w:t xml:space="preserve">during sports and activities. </w:t>
      </w:r>
      <w:r w:rsidR="001F76C2">
        <w:t xml:space="preserve">The </w:t>
      </w:r>
      <w:r w:rsidR="00B62223">
        <w:t xml:space="preserve">notable </w:t>
      </w:r>
      <w:r w:rsidR="001F76C2">
        <w:t xml:space="preserve">lack of </w:t>
      </w:r>
      <w:r>
        <w:t>evidence-based interventions for preventing falls specifically among children in workplace</w:t>
      </w:r>
      <w:r w:rsidR="001F76C2">
        <w:t>s require</w:t>
      </w:r>
      <w:r w:rsidR="000258E6">
        <w:t>s</w:t>
      </w:r>
      <w:r w:rsidR="001F76C2">
        <w:t xml:space="preserve"> attention, especially given the diversity of work environments involved</w:t>
      </w:r>
      <w:r>
        <w:t xml:space="preserve">. </w:t>
      </w:r>
    </w:p>
    <w:p w14:paraId="5252AE8C" w14:textId="3CD76BE8" w:rsidR="00060811" w:rsidRDefault="00BD10D0" w:rsidP="00173AF2">
      <w:pPr>
        <w:ind w:firstLine="720"/>
      </w:pPr>
      <w:r>
        <w:t>Over the coming months and years</w:t>
      </w:r>
      <w:r w:rsidR="006F624C">
        <w:t>,</w:t>
      </w:r>
      <w:r>
        <w:t xml:space="preserve"> WHO </w:t>
      </w:r>
      <w:r w:rsidR="00E24CFF">
        <w:t xml:space="preserve">will increase its support for falls prevention. UNICEF has also raised its commitment to act </w:t>
      </w:r>
      <w:r w:rsidR="004C3500">
        <w:t xml:space="preserve">on child and adolescent injuries </w:t>
      </w:r>
      <w:r w:rsidR="00E24CFF">
        <w:t xml:space="preserve">– including falls prevention – through their current strategic plan </w:t>
      </w:r>
      <w:r w:rsidR="00E24CFF">
        <w:fldChar w:fldCharType="begin"/>
      </w:r>
      <w:r w:rsidR="00E24CFF">
        <w:instrText xml:space="preserve"> ADDIN EN.CITE &lt;EndNote&gt;&lt;Cite&gt;&lt;Year&gt;2022&lt;/Year&gt;&lt;RecNum&gt;15991&lt;/RecNum&gt;&lt;DisplayText&gt;[8]&lt;/DisplayText&gt;&lt;record&gt;&lt;rec-number&gt;15991&lt;/rec-number&gt;&lt;foreign-keys&gt;&lt;key app="EN" db-id="eed02eppgapwveer00ovae9q2vs2ssaezvt5" timestamp="1652974682"&gt;15991&lt;/key&gt;&lt;/foreign-keys&gt;&lt;ref-type name="Report"&gt;27&lt;/ref-type&gt;&lt;contributors&gt;&lt;/contributors&gt;&lt;titles&gt;&lt;title&gt;UNICEF Strategic Plan 2022–2025&lt;/title&gt;&lt;/titles&gt;&lt;dates&gt;&lt;year&gt;2022&lt;/year&gt;&lt;/dates&gt;&lt;pub-location&gt;New York, USA&lt;/pub-location&gt;&lt;publisher&gt;UNICEF&lt;/publisher&gt;&lt;urls&gt;&lt;related-urls&gt;&lt;url&gt;https://www.unicef.org/reports/unicef-strategic-plan-2022-2025&lt;/url&gt;&lt;/related-urls&gt;&lt;/urls&gt;&lt;/record&gt;&lt;/Cite&gt;&lt;/EndNote&gt;</w:instrText>
      </w:r>
      <w:r w:rsidR="00E24CFF">
        <w:fldChar w:fldCharType="separate"/>
      </w:r>
      <w:r w:rsidR="00E24CFF">
        <w:rPr>
          <w:noProof/>
        </w:rPr>
        <w:t>[8]</w:t>
      </w:r>
      <w:r w:rsidR="00E24CFF">
        <w:fldChar w:fldCharType="end"/>
      </w:r>
      <w:r w:rsidR="00E24CFF">
        <w:t>.</w:t>
      </w:r>
      <w:r w:rsidR="00173AF2">
        <w:t xml:space="preserve"> </w:t>
      </w:r>
      <w:r w:rsidR="00060811">
        <w:t xml:space="preserve">Mainstreaming </w:t>
      </w:r>
      <w:r w:rsidR="00C924F5">
        <w:t xml:space="preserve">recommended </w:t>
      </w:r>
      <w:r w:rsidR="00060811">
        <w:t>and promising interventions</w:t>
      </w:r>
      <w:r w:rsidR="000B5A9F">
        <w:t xml:space="preserve"> </w:t>
      </w:r>
      <w:r w:rsidR="00060811">
        <w:t>can support the scale up and sustainability of falls prevention efforts</w:t>
      </w:r>
      <w:r w:rsidR="004C3500">
        <w:t xml:space="preserve"> – including programming and polices by governments</w:t>
      </w:r>
      <w:r w:rsidR="00E24CFF">
        <w:t xml:space="preserve">. </w:t>
      </w:r>
      <w:r w:rsidR="00E638A0">
        <w:t xml:space="preserve">We encourage general practitioners, </w:t>
      </w:r>
      <w:proofErr w:type="spellStart"/>
      <w:r w:rsidR="00E638A0">
        <w:t>paediatricians</w:t>
      </w:r>
      <w:proofErr w:type="spellEnd"/>
      <w:r w:rsidR="00E638A0">
        <w:t>, nurses and other health care worker</w:t>
      </w:r>
      <w:r w:rsidR="00060811">
        <w:t xml:space="preserve">s </w:t>
      </w:r>
      <w:r w:rsidR="00E638A0">
        <w:t xml:space="preserve">who attend to children who have been injured in a fall to utilize the teachable moment to raise awareness </w:t>
      </w:r>
      <w:r w:rsidR="00791814">
        <w:t>among</w:t>
      </w:r>
      <w:r w:rsidR="00791814">
        <w:t xml:space="preserve"> </w:t>
      </w:r>
      <w:r w:rsidR="00E638A0">
        <w:t xml:space="preserve">parents and caregivers </w:t>
      </w:r>
      <w:r w:rsidR="001263B0">
        <w:t>and</w:t>
      </w:r>
      <w:r w:rsidR="001263B0">
        <w:t xml:space="preserve"> </w:t>
      </w:r>
      <w:r w:rsidR="00E638A0">
        <w:t xml:space="preserve">enable them to take preventive action or be referred to preventive services </w:t>
      </w:r>
      <w:r w:rsidR="00E858EB">
        <w:t>where</w:t>
      </w:r>
      <w:r w:rsidR="00E638A0">
        <w:t xml:space="preserve"> these exist. </w:t>
      </w:r>
      <w:r w:rsidR="00B8421A">
        <w:t>Health providers can be powe</w:t>
      </w:r>
      <w:r w:rsidR="00173AF2">
        <w:t>r</w:t>
      </w:r>
      <w:r w:rsidR="00B8421A">
        <w:t>ful advocates for intersectoral action addressing safer environments (e.g</w:t>
      </w:r>
      <w:r w:rsidR="00585AC4">
        <w:t>.</w:t>
      </w:r>
      <w:r w:rsidR="00B8421A">
        <w:t>, housing,</w:t>
      </w:r>
      <w:r w:rsidR="008B55D6">
        <w:t xml:space="preserve"> schools,</w:t>
      </w:r>
      <w:r w:rsidR="00B8421A">
        <w:t xml:space="preserve"> playgrounds and employment settings) and </w:t>
      </w:r>
      <w:r w:rsidR="00BB6E11">
        <w:t xml:space="preserve">the </w:t>
      </w:r>
      <w:r w:rsidR="00BF2041">
        <w:t xml:space="preserve">wider </w:t>
      </w:r>
      <w:r w:rsidR="00B8421A">
        <w:t>social determinants of health (e.g., poverty alleviation</w:t>
      </w:r>
      <w:r w:rsidR="003B2369">
        <w:t>,</w:t>
      </w:r>
      <w:r w:rsidR="00AB57F3">
        <w:t xml:space="preserve"> community </w:t>
      </w:r>
      <w:r w:rsidR="00D1102C">
        <w:t>support</w:t>
      </w:r>
      <w:r w:rsidR="00AB57F3">
        <w:t>,</w:t>
      </w:r>
      <w:r w:rsidR="0079703B">
        <w:t xml:space="preserve"> access to education and healthcare</w:t>
      </w:r>
      <w:r w:rsidR="00B8421A">
        <w:t xml:space="preserve">). </w:t>
      </w:r>
      <w:r w:rsidR="00E638A0">
        <w:t>In addition, we call for more participatory and qualitative research to be conducted to better understand contextual issues around falls in less resourced settings so that locally owned, sourced and evaluated solutions can be developed</w:t>
      </w:r>
      <w:r w:rsidR="00A37B23">
        <w:t xml:space="preserve"> and implemented</w:t>
      </w:r>
      <w:r w:rsidR="00E638A0">
        <w:t xml:space="preserve">. </w:t>
      </w:r>
    </w:p>
    <w:p w14:paraId="2B185B5B" w14:textId="580B91E5" w:rsidR="00C15FFD" w:rsidRDefault="00C15FFD" w:rsidP="00C15FFD">
      <w:pPr>
        <w:ind w:firstLine="720"/>
      </w:pPr>
      <w:r>
        <w:t>In summary, through creating safe physical environments, underpinned by supportive legislation and informed by context-specific data, a holistic and evidence-based approach can be taken towards promoting safe and healthy development. All health care workers, those that see children in primary care as well as educators</w:t>
      </w:r>
      <w:r w:rsidR="004C3500">
        <w:t>,</w:t>
      </w:r>
      <w:r w:rsidR="006A328A">
        <w:t xml:space="preserve"> </w:t>
      </w:r>
      <w:r>
        <w:t>caregivers</w:t>
      </w:r>
      <w:r w:rsidR="004C3500">
        <w:t xml:space="preserve"> and governments</w:t>
      </w:r>
      <w:r>
        <w:t xml:space="preserve"> have a role to play in prevention and management.  </w:t>
      </w:r>
    </w:p>
    <w:bookmarkEnd w:id="0"/>
    <w:p w14:paraId="614E4F52" w14:textId="77777777" w:rsidR="00C15FFD" w:rsidRDefault="00C15FFD" w:rsidP="00173AF2">
      <w:pPr>
        <w:ind w:firstLine="720"/>
      </w:pPr>
    </w:p>
    <w:p w14:paraId="57246C06" w14:textId="77777777" w:rsidR="007051BB" w:rsidRDefault="007051BB">
      <w:pPr>
        <w:rPr>
          <w:b/>
          <w:bCs/>
        </w:rPr>
      </w:pPr>
      <w:r>
        <w:rPr>
          <w:b/>
          <w:bCs/>
        </w:rPr>
        <w:br w:type="page"/>
      </w:r>
    </w:p>
    <w:p w14:paraId="29DA5207" w14:textId="4EE8E19F" w:rsidR="00983E5F" w:rsidRPr="008E5363" w:rsidRDefault="00983E5F">
      <w:pPr>
        <w:rPr>
          <w:b/>
          <w:bCs/>
        </w:rPr>
      </w:pPr>
      <w:r w:rsidRPr="008E5363">
        <w:rPr>
          <w:b/>
          <w:bCs/>
        </w:rPr>
        <w:lastRenderedPageBreak/>
        <w:t xml:space="preserve">Table 1: Proven and promising interventions </w:t>
      </w:r>
      <w:r w:rsidR="00B816E4">
        <w:rPr>
          <w:b/>
          <w:bCs/>
        </w:rPr>
        <w:fldChar w:fldCharType="begin"/>
      </w:r>
      <w:r w:rsidR="00B816E4">
        <w:rPr>
          <w:b/>
          <w:bCs/>
        </w:rPr>
        <w:instrText xml:space="preserve"> ADDIN EN.CITE &lt;EndNote&gt;&lt;Cite&gt;&lt;Year&gt;2021&lt;/Year&gt;&lt;RecNum&gt;15981&lt;/RecNum&gt;&lt;DisplayText&gt;[4]&lt;/DisplayText&gt;&lt;record&gt;&lt;rec-number&gt;15981&lt;/rec-number&gt;&lt;foreign-keys&gt;&lt;key app="EN" db-id="eed02eppgapwveer00ovae9q2vs2ssaezvt5" timestamp="1651588457"&gt;15981&lt;/key&gt;&lt;/foreign-keys&gt;&lt;ref-type name="Report"&gt;27&lt;/ref-type&gt;&lt;contributors&gt;&lt;/contributors&gt;&lt;titles&gt;&lt;title&gt;Step safely: strategies for preventing and managing falls across the life-course &lt;/title&gt;&lt;/titles&gt;&lt;number&gt;CC BY-NC-SA 3.0 IGO&lt;/number&gt;&lt;dates&gt;&lt;year&gt;2021&lt;/year&gt;&lt;/dates&gt;&lt;pub-location&gt;Geneva, Switzerland&lt;/pub-location&gt;&lt;publisher&gt;World Health Organization&lt;/publisher&gt;&lt;urls&gt;&lt;related-urls&gt;&lt;url&gt;https://apps.who.int/iris/rest/bitstreams/1343716/retrieve&lt;/url&gt;&lt;/related-urls&gt;&lt;/urls&gt;&lt;/record&gt;&lt;/Cite&gt;&lt;/EndNote&gt;</w:instrText>
      </w:r>
      <w:r w:rsidR="00B816E4">
        <w:rPr>
          <w:b/>
          <w:bCs/>
        </w:rPr>
        <w:fldChar w:fldCharType="separate"/>
      </w:r>
      <w:r w:rsidR="00B816E4">
        <w:rPr>
          <w:b/>
          <w:bCs/>
          <w:noProof/>
        </w:rPr>
        <w:t>[4]</w:t>
      </w:r>
      <w:r w:rsidR="00B816E4">
        <w:rPr>
          <w:b/>
          <w:bCs/>
        </w:rPr>
        <w:fldChar w:fldCharType="end"/>
      </w:r>
      <w:r w:rsidR="00B816E4">
        <w:rPr>
          <w:b/>
          <w:bCs/>
        </w:rPr>
        <w:t xml:space="preserve"> </w:t>
      </w:r>
      <w:r w:rsidRPr="008E5363">
        <w:rPr>
          <w:b/>
          <w:bCs/>
        </w:rPr>
        <w:t>to prevent or mitigate childhood falls</w:t>
      </w:r>
      <w:r w:rsidR="00424ED1">
        <w:rPr>
          <w:b/>
          <w:bCs/>
        </w:rPr>
        <w:t xml:space="preserve"> </w:t>
      </w:r>
    </w:p>
    <w:tbl>
      <w:tblPr>
        <w:tblStyle w:val="TableGrid"/>
        <w:tblW w:w="8926" w:type="dxa"/>
        <w:jc w:val="center"/>
        <w:tblLook w:val="04A0" w:firstRow="1" w:lastRow="0" w:firstColumn="1" w:lastColumn="0" w:noHBand="0" w:noVBand="1"/>
      </w:tblPr>
      <w:tblGrid>
        <w:gridCol w:w="1555"/>
        <w:gridCol w:w="4363"/>
        <w:gridCol w:w="1595"/>
        <w:gridCol w:w="1413"/>
      </w:tblGrid>
      <w:tr w:rsidR="00BD10D0" w14:paraId="18856EC6" w14:textId="5FEC0F52" w:rsidTr="00B816E4">
        <w:trPr>
          <w:jc w:val="center"/>
        </w:trPr>
        <w:tc>
          <w:tcPr>
            <w:tcW w:w="1555" w:type="dxa"/>
            <w:vMerge w:val="restart"/>
            <w:shd w:val="clear" w:color="auto" w:fill="F2F2F2" w:themeFill="background1" w:themeFillShade="F2"/>
          </w:tcPr>
          <w:p w14:paraId="0B89BD32" w14:textId="30DD1D2F" w:rsidR="00BD10D0" w:rsidRPr="00034467" w:rsidRDefault="00BD10D0">
            <w:pPr>
              <w:rPr>
                <w:b/>
                <w:bCs/>
              </w:rPr>
            </w:pPr>
            <w:r w:rsidRPr="00034467">
              <w:rPr>
                <w:b/>
                <w:bCs/>
              </w:rPr>
              <w:t>Setting</w:t>
            </w:r>
          </w:p>
        </w:tc>
        <w:tc>
          <w:tcPr>
            <w:tcW w:w="4363" w:type="dxa"/>
            <w:vMerge w:val="restart"/>
            <w:shd w:val="clear" w:color="auto" w:fill="F2F2F2" w:themeFill="background1" w:themeFillShade="F2"/>
          </w:tcPr>
          <w:p w14:paraId="3E2BE0B6" w14:textId="58422E03" w:rsidR="00BD10D0" w:rsidRPr="00034467" w:rsidRDefault="00BD10D0">
            <w:pPr>
              <w:rPr>
                <w:b/>
                <w:bCs/>
              </w:rPr>
            </w:pPr>
            <w:r w:rsidRPr="00034467">
              <w:rPr>
                <w:b/>
                <w:bCs/>
              </w:rPr>
              <w:t>Intervention</w:t>
            </w:r>
          </w:p>
        </w:tc>
        <w:tc>
          <w:tcPr>
            <w:tcW w:w="3008" w:type="dxa"/>
            <w:gridSpan w:val="2"/>
            <w:shd w:val="clear" w:color="auto" w:fill="F2F2F2" w:themeFill="background1" w:themeFillShade="F2"/>
          </w:tcPr>
          <w:p w14:paraId="192E6BA6" w14:textId="6FD55DB6" w:rsidR="00BD10D0" w:rsidRPr="00034467" w:rsidRDefault="00BD10D0" w:rsidP="00BD10D0">
            <w:pPr>
              <w:jc w:val="center"/>
              <w:rPr>
                <w:b/>
                <w:bCs/>
              </w:rPr>
            </w:pPr>
            <w:r w:rsidRPr="00034467">
              <w:rPr>
                <w:b/>
                <w:bCs/>
              </w:rPr>
              <w:t>Strength of intervention</w:t>
            </w:r>
          </w:p>
        </w:tc>
      </w:tr>
      <w:tr w:rsidR="00BD10D0" w14:paraId="64DD3F22" w14:textId="77777777" w:rsidTr="00B816E4">
        <w:trPr>
          <w:jc w:val="center"/>
        </w:trPr>
        <w:tc>
          <w:tcPr>
            <w:tcW w:w="1555" w:type="dxa"/>
            <w:vMerge/>
            <w:shd w:val="clear" w:color="auto" w:fill="F2F2F2" w:themeFill="background1" w:themeFillShade="F2"/>
          </w:tcPr>
          <w:p w14:paraId="46E56E39" w14:textId="77777777" w:rsidR="00BD10D0" w:rsidRPr="00034467" w:rsidRDefault="00BD10D0">
            <w:pPr>
              <w:rPr>
                <w:b/>
                <w:bCs/>
              </w:rPr>
            </w:pPr>
          </w:p>
        </w:tc>
        <w:tc>
          <w:tcPr>
            <w:tcW w:w="4363" w:type="dxa"/>
            <w:vMerge/>
            <w:shd w:val="clear" w:color="auto" w:fill="F2F2F2" w:themeFill="background1" w:themeFillShade="F2"/>
          </w:tcPr>
          <w:p w14:paraId="6AC26003" w14:textId="77777777" w:rsidR="00BD10D0" w:rsidRPr="00034467" w:rsidRDefault="00BD10D0">
            <w:pPr>
              <w:rPr>
                <w:b/>
                <w:bCs/>
              </w:rPr>
            </w:pPr>
          </w:p>
        </w:tc>
        <w:tc>
          <w:tcPr>
            <w:tcW w:w="1595" w:type="dxa"/>
            <w:shd w:val="clear" w:color="auto" w:fill="F2F2F2" w:themeFill="background1" w:themeFillShade="F2"/>
          </w:tcPr>
          <w:p w14:paraId="3DEA5517" w14:textId="6D2ADD9D" w:rsidR="00BD10D0" w:rsidRPr="00034467" w:rsidRDefault="00BD10D0">
            <w:pPr>
              <w:rPr>
                <w:b/>
                <w:bCs/>
              </w:rPr>
            </w:pPr>
            <w:r w:rsidRPr="00034467">
              <w:rPr>
                <w:b/>
                <w:bCs/>
              </w:rPr>
              <w:t>Recommended</w:t>
            </w:r>
          </w:p>
        </w:tc>
        <w:tc>
          <w:tcPr>
            <w:tcW w:w="1413" w:type="dxa"/>
            <w:shd w:val="clear" w:color="auto" w:fill="F2F2F2" w:themeFill="background1" w:themeFillShade="F2"/>
          </w:tcPr>
          <w:p w14:paraId="61CF32D0" w14:textId="5F03CE1A" w:rsidR="00BD10D0" w:rsidRPr="00034467" w:rsidRDefault="00BD10D0">
            <w:pPr>
              <w:rPr>
                <w:b/>
                <w:bCs/>
              </w:rPr>
            </w:pPr>
            <w:r w:rsidRPr="00034467">
              <w:rPr>
                <w:b/>
                <w:bCs/>
              </w:rPr>
              <w:t>Promising</w:t>
            </w:r>
          </w:p>
        </w:tc>
      </w:tr>
      <w:tr w:rsidR="00034467" w14:paraId="504A1BEA" w14:textId="767BF4D0" w:rsidTr="00B816E4">
        <w:trPr>
          <w:jc w:val="center"/>
        </w:trPr>
        <w:tc>
          <w:tcPr>
            <w:tcW w:w="1555" w:type="dxa"/>
            <w:vMerge w:val="restart"/>
          </w:tcPr>
          <w:p w14:paraId="51F76FA1" w14:textId="5400EDCE" w:rsidR="00034467" w:rsidRDefault="00034467">
            <w:r>
              <w:t>In the home</w:t>
            </w:r>
          </w:p>
        </w:tc>
        <w:tc>
          <w:tcPr>
            <w:tcW w:w="4363" w:type="dxa"/>
          </w:tcPr>
          <w:p w14:paraId="1C825B31" w14:textId="6DA6D4DE" w:rsidR="00034467" w:rsidRDefault="00034467" w:rsidP="00983E5F">
            <w:r>
              <w:t>Parental information about risks and risk reduction</w:t>
            </w:r>
          </w:p>
        </w:tc>
        <w:tc>
          <w:tcPr>
            <w:tcW w:w="1595" w:type="dxa"/>
            <w:shd w:val="clear" w:color="auto" w:fill="auto"/>
            <w:vAlign w:val="center"/>
          </w:tcPr>
          <w:p w14:paraId="4FF12943" w14:textId="4F283917" w:rsidR="00034467" w:rsidRDefault="00276352" w:rsidP="00B816E4">
            <w:pPr>
              <w:jc w:val="center"/>
            </w:pPr>
            <w:bookmarkStart w:id="1" w:name="_Hlk104231408"/>
            <w:r>
              <w:sym w:font="Wingdings" w:char="F0FC"/>
            </w:r>
            <w:bookmarkEnd w:id="1"/>
          </w:p>
        </w:tc>
        <w:tc>
          <w:tcPr>
            <w:tcW w:w="1413" w:type="dxa"/>
            <w:shd w:val="clear" w:color="auto" w:fill="auto"/>
            <w:vAlign w:val="center"/>
          </w:tcPr>
          <w:p w14:paraId="6D9B0E3B" w14:textId="77777777" w:rsidR="00034467" w:rsidRDefault="00034467" w:rsidP="00B816E4">
            <w:pPr>
              <w:jc w:val="center"/>
            </w:pPr>
          </w:p>
        </w:tc>
      </w:tr>
      <w:tr w:rsidR="00034467" w14:paraId="4F63AC1E" w14:textId="1E3F6D44" w:rsidTr="00B816E4">
        <w:trPr>
          <w:jc w:val="center"/>
        </w:trPr>
        <w:tc>
          <w:tcPr>
            <w:tcW w:w="1555" w:type="dxa"/>
            <w:vMerge/>
          </w:tcPr>
          <w:p w14:paraId="461DB846" w14:textId="77777777" w:rsidR="00034467" w:rsidRDefault="00034467"/>
        </w:tc>
        <w:tc>
          <w:tcPr>
            <w:tcW w:w="4363" w:type="dxa"/>
          </w:tcPr>
          <w:p w14:paraId="7D332E37" w14:textId="47D14312" w:rsidR="00034467" w:rsidRDefault="00034467" w:rsidP="008E5363">
            <w:r>
              <w:t>Parenting programme for vulnerable families</w:t>
            </w:r>
          </w:p>
        </w:tc>
        <w:tc>
          <w:tcPr>
            <w:tcW w:w="1595" w:type="dxa"/>
            <w:shd w:val="clear" w:color="auto" w:fill="auto"/>
            <w:vAlign w:val="center"/>
          </w:tcPr>
          <w:p w14:paraId="2F80FD8D" w14:textId="5522F9C7" w:rsidR="00034467" w:rsidRDefault="00276352" w:rsidP="00B816E4">
            <w:pPr>
              <w:jc w:val="center"/>
            </w:pPr>
            <w:r>
              <w:sym w:font="Wingdings" w:char="F0FC"/>
            </w:r>
          </w:p>
        </w:tc>
        <w:tc>
          <w:tcPr>
            <w:tcW w:w="1413" w:type="dxa"/>
            <w:shd w:val="clear" w:color="auto" w:fill="auto"/>
            <w:vAlign w:val="center"/>
          </w:tcPr>
          <w:p w14:paraId="27AB33A4" w14:textId="77777777" w:rsidR="00034467" w:rsidRDefault="00034467" w:rsidP="00B816E4">
            <w:pPr>
              <w:jc w:val="center"/>
            </w:pPr>
          </w:p>
        </w:tc>
      </w:tr>
      <w:tr w:rsidR="00034467" w14:paraId="39F32FEF" w14:textId="3DF545B8" w:rsidTr="00B816E4">
        <w:trPr>
          <w:jc w:val="center"/>
        </w:trPr>
        <w:tc>
          <w:tcPr>
            <w:tcW w:w="1555" w:type="dxa"/>
            <w:vMerge/>
          </w:tcPr>
          <w:p w14:paraId="76E7B1B7" w14:textId="77777777" w:rsidR="00034467" w:rsidRDefault="00034467"/>
        </w:tc>
        <w:tc>
          <w:tcPr>
            <w:tcW w:w="4363" w:type="dxa"/>
          </w:tcPr>
          <w:p w14:paraId="3199C36D" w14:textId="5DDF88CA" w:rsidR="00034467" w:rsidRDefault="00034467" w:rsidP="008E5363">
            <w:r>
              <w:t>Home visits and safety assessments</w:t>
            </w:r>
          </w:p>
        </w:tc>
        <w:tc>
          <w:tcPr>
            <w:tcW w:w="1595" w:type="dxa"/>
            <w:shd w:val="clear" w:color="auto" w:fill="auto"/>
            <w:vAlign w:val="center"/>
          </w:tcPr>
          <w:p w14:paraId="72EAEF81" w14:textId="1D8AF91B" w:rsidR="00034467" w:rsidRDefault="00034467" w:rsidP="00B816E4">
            <w:pPr>
              <w:jc w:val="center"/>
            </w:pPr>
          </w:p>
        </w:tc>
        <w:tc>
          <w:tcPr>
            <w:tcW w:w="1413" w:type="dxa"/>
            <w:shd w:val="clear" w:color="auto" w:fill="auto"/>
            <w:vAlign w:val="center"/>
          </w:tcPr>
          <w:p w14:paraId="18217628" w14:textId="39D519A4" w:rsidR="00034467" w:rsidRDefault="00276352" w:rsidP="00B816E4">
            <w:pPr>
              <w:jc w:val="center"/>
            </w:pPr>
            <w:r>
              <w:sym w:font="Wingdings" w:char="F0FC"/>
            </w:r>
          </w:p>
        </w:tc>
      </w:tr>
      <w:tr w:rsidR="00034467" w14:paraId="0738C8DD" w14:textId="2ED55A91" w:rsidTr="00B816E4">
        <w:trPr>
          <w:jc w:val="center"/>
        </w:trPr>
        <w:tc>
          <w:tcPr>
            <w:tcW w:w="1555" w:type="dxa"/>
            <w:vMerge/>
          </w:tcPr>
          <w:p w14:paraId="4ED6994A" w14:textId="77777777" w:rsidR="00034467" w:rsidRDefault="00034467"/>
        </w:tc>
        <w:tc>
          <w:tcPr>
            <w:tcW w:w="4363" w:type="dxa"/>
          </w:tcPr>
          <w:p w14:paraId="19C383DA" w14:textId="02B76A7E" w:rsidR="00034467" w:rsidRDefault="00034467" w:rsidP="008E5363">
            <w:r>
              <w:t>Window guards, bars and childproof window locks in high-rise blocks</w:t>
            </w:r>
          </w:p>
        </w:tc>
        <w:tc>
          <w:tcPr>
            <w:tcW w:w="1595" w:type="dxa"/>
            <w:shd w:val="clear" w:color="auto" w:fill="auto"/>
            <w:vAlign w:val="center"/>
          </w:tcPr>
          <w:p w14:paraId="7CA5FF1C" w14:textId="7783393A" w:rsidR="00034467" w:rsidRDefault="00034467" w:rsidP="00B816E4">
            <w:pPr>
              <w:jc w:val="center"/>
            </w:pPr>
          </w:p>
        </w:tc>
        <w:tc>
          <w:tcPr>
            <w:tcW w:w="1413" w:type="dxa"/>
            <w:shd w:val="clear" w:color="auto" w:fill="auto"/>
            <w:vAlign w:val="center"/>
          </w:tcPr>
          <w:p w14:paraId="68AFE280" w14:textId="3F4573F5" w:rsidR="00034467" w:rsidRDefault="00276352" w:rsidP="00B816E4">
            <w:pPr>
              <w:jc w:val="center"/>
            </w:pPr>
            <w:r>
              <w:sym w:font="Wingdings" w:char="F0FC"/>
            </w:r>
          </w:p>
        </w:tc>
      </w:tr>
      <w:tr w:rsidR="00034467" w14:paraId="143B6012" w14:textId="0702CE9D" w:rsidTr="00B816E4">
        <w:trPr>
          <w:jc w:val="center"/>
        </w:trPr>
        <w:tc>
          <w:tcPr>
            <w:tcW w:w="1555" w:type="dxa"/>
            <w:vMerge/>
          </w:tcPr>
          <w:p w14:paraId="6CA7A373" w14:textId="77777777" w:rsidR="00034467" w:rsidRDefault="00034467"/>
        </w:tc>
        <w:tc>
          <w:tcPr>
            <w:tcW w:w="4363" w:type="dxa"/>
          </w:tcPr>
          <w:p w14:paraId="76365980" w14:textId="48E044AD" w:rsidR="00034467" w:rsidRDefault="00034467">
            <w:r>
              <w:t>S</w:t>
            </w:r>
            <w:r w:rsidRPr="008E5363">
              <w:t>tair guards or gates</w:t>
            </w:r>
          </w:p>
        </w:tc>
        <w:tc>
          <w:tcPr>
            <w:tcW w:w="1595" w:type="dxa"/>
            <w:shd w:val="clear" w:color="auto" w:fill="auto"/>
            <w:vAlign w:val="center"/>
          </w:tcPr>
          <w:p w14:paraId="1E1484E7" w14:textId="00376C0C" w:rsidR="00034467" w:rsidRDefault="00034467" w:rsidP="00B816E4">
            <w:pPr>
              <w:jc w:val="center"/>
            </w:pPr>
          </w:p>
        </w:tc>
        <w:tc>
          <w:tcPr>
            <w:tcW w:w="1413" w:type="dxa"/>
            <w:shd w:val="clear" w:color="auto" w:fill="auto"/>
            <w:vAlign w:val="center"/>
          </w:tcPr>
          <w:p w14:paraId="617A6E4B" w14:textId="667E4D80" w:rsidR="00034467" w:rsidRDefault="00276352" w:rsidP="00B816E4">
            <w:pPr>
              <w:jc w:val="center"/>
            </w:pPr>
            <w:r>
              <w:sym w:font="Wingdings" w:char="F0FC"/>
            </w:r>
          </w:p>
        </w:tc>
      </w:tr>
      <w:tr w:rsidR="00034467" w14:paraId="0E838252" w14:textId="1BF8D13B" w:rsidTr="00B816E4">
        <w:trPr>
          <w:jc w:val="center"/>
        </w:trPr>
        <w:tc>
          <w:tcPr>
            <w:tcW w:w="1555" w:type="dxa"/>
            <w:vMerge/>
          </w:tcPr>
          <w:p w14:paraId="0C6F1885" w14:textId="77777777" w:rsidR="00034467" w:rsidRDefault="00034467"/>
        </w:tc>
        <w:tc>
          <w:tcPr>
            <w:tcW w:w="4363" w:type="dxa"/>
          </w:tcPr>
          <w:p w14:paraId="1D0C6A34" w14:textId="5EB77D9B" w:rsidR="00034467" w:rsidRDefault="00034467">
            <w:r w:rsidRPr="008E5363">
              <w:t>Discourage baby walkers</w:t>
            </w:r>
          </w:p>
        </w:tc>
        <w:tc>
          <w:tcPr>
            <w:tcW w:w="1595" w:type="dxa"/>
            <w:shd w:val="clear" w:color="auto" w:fill="auto"/>
            <w:vAlign w:val="center"/>
          </w:tcPr>
          <w:p w14:paraId="0053161A" w14:textId="6938B324" w:rsidR="00034467" w:rsidRDefault="00034467" w:rsidP="00B816E4">
            <w:pPr>
              <w:jc w:val="center"/>
            </w:pPr>
          </w:p>
        </w:tc>
        <w:tc>
          <w:tcPr>
            <w:tcW w:w="1413" w:type="dxa"/>
            <w:shd w:val="clear" w:color="auto" w:fill="auto"/>
            <w:vAlign w:val="center"/>
          </w:tcPr>
          <w:p w14:paraId="05A4CA41" w14:textId="16701CFE" w:rsidR="00034467" w:rsidRDefault="00276352" w:rsidP="00B816E4">
            <w:pPr>
              <w:jc w:val="center"/>
            </w:pPr>
            <w:r>
              <w:sym w:font="Wingdings" w:char="F0FC"/>
            </w:r>
          </w:p>
        </w:tc>
      </w:tr>
      <w:tr w:rsidR="00034467" w14:paraId="36BAADC3" w14:textId="3F8C1043" w:rsidTr="00B816E4">
        <w:trPr>
          <w:jc w:val="center"/>
        </w:trPr>
        <w:tc>
          <w:tcPr>
            <w:tcW w:w="1555" w:type="dxa"/>
            <w:vMerge w:val="restart"/>
          </w:tcPr>
          <w:p w14:paraId="3DCEE094" w14:textId="7F59BDF1" w:rsidR="00034467" w:rsidRDefault="00034467">
            <w:r>
              <w:t>In school</w:t>
            </w:r>
          </w:p>
        </w:tc>
        <w:tc>
          <w:tcPr>
            <w:tcW w:w="4363" w:type="dxa"/>
          </w:tcPr>
          <w:p w14:paraId="448A53E6" w14:textId="24AFDCCF" w:rsidR="00034467" w:rsidRDefault="00034467">
            <w:r>
              <w:t>Soft-fall surface playgrounds and playing fields</w:t>
            </w:r>
          </w:p>
        </w:tc>
        <w:tc>
          <w:tcPr>
            <w:tcW w:w="1595" w:type="dxa"/>
            <w:shd w:val="clear" w:color="auto" w:fill="auto"/>
            <w:vAlign w:val="center"/>
          </w:tcPr>
          <w:p w14:paraId="09C178FF" w14:textId="77777777" w:rsidR="00034467" w:rsidRDefault="00034467" w:rsidP="00B816E4">
            <w:pPr>
              <w:jc w:val="center"/>
            </w:pPr>
          </w:p>
        </w:tc>
        <w:tc>
          <w:tcPr>
            <w:tcW w:w="1413" w:type="dxa"/>
            <w:shd w:val="clear" w:color="auto" w:fill="auto"/>
            <w:vAlign w:val="center"/>
          </w:tcPr>
          <w:p w14:paraId="12A4C080" w14:textId="6614E88E" w:rsidR="00034467" w:rsidRDefault="00276352" w:rsidP="00B816E4">
            <w:pPr>
              <w:jc w:val="center"/>
            </w:pPr>
            <w:r>
              <w:sym w:font="Wingdings" w:char="F0FC"/>
            </w:r>
          </w:p>
        </w:tc>
      </w:tr>
      <w:tr w:rsidR="00034467" w14:paraId="6C2CF371" w14:textId="126A3864" w:rsidTr="00B816E4">
        <w:trPr>
          <w:jc w:val="center"/>
        </w:trPr>
        <w:tc>
          <w:tcPr>
            <w:tcW w:w="1555" w:type="dxa"/>
            <w:vMerge/>
          </w:tcPr>
          <w:p w14:paraId="32A8DB58" w14:textId="77777777" w:rsidR="00034467" w:rsidRDefault="00034467"/>
        </w:tc>
        <w:tc>
          <w:tcPr>
            <w:tcW w:w="4363" w:type="dxa"/>
          </w:tcPr>
          <w:p w14:paraId="12F3A014" w14:textId="7570BCD2" w:rsidR="00034467" w:rsidRDefault="00034467">
            <w:r>
              <w:t>Teaching martial arts-based fall techniques and exercises</w:t>
            </w:r>
          </w:p>
        </w:tc>
        <w:tc>
          <w:tcPr>
            <w:tcW w:w="1595" w:type="dxa"/>
            <w:shd w:val="clear" w:color="auto" w:fill="auto"/>
            <w:vAlign w:val="center"/>
          </w:tcPr>
          <w:p w14:paraId="2750E254" w14:textId="77777777" w:rsidR="00034467" w:rsidRDefault="00034467" w:rsidP="00B816E4">
            <w:pPr>
              <w:jc w:val="center"/>
            </w:pPr>
          </w:p>
        </w:tc>
        <w:tc>
          <w:tcPr>
            <w:tcW w:w="1413" w:type="dxa"/>
            <w:shd w:val="clear" w:color="auto" w:fill="auto"/>
            <w:vAlign w:val="center"/>
          </w:tcPr>
          <w:p w14:paraId="353F5164" w14:textId="4B2A76D6" w:rsidR="00034467" w:rsidRDefault="00276352" w:rsidP="00B816E4">
            <w:pPr>
              <w:jc w:val="center"/>
            </w:pPr>
            <w:r>
              <w:sym w:font="Wingdings" w:char="F0FC"/>
            </w:r>
          </w:p>
        </w:tc>
      </w:tr>
      <w:tr w:rsidR="00034467" w14:paraId="316D4221" w14:textId="3873C133" w:rsidTr="00B816E4">
        <w:trPr>
          <w:jc w:val="center"/>
        </w:trPr>
        <w:tc>
          <w:tcPr>
            <w:tcW w:w="1555" w:type="dxa"/>
          </w:tcPr>
          <w:p w14:paraId="38EB5D9E" w14:textId="64C757B2" w:rsidR="00034467" w:rsidRDefault="00034467">
            <w:r>
              <w:t>During sport &amp; leisure</w:t>
            </w:r>
          </w:p>
        </w:tc>
        <w:tc>
          <w:tcPr>
            <w:tcW w:w="4363" w:type="dxa"/>
          </w:tcPr>
          <w:p w14:paraId="387359E7" w14:textId="2D0F3F59" w:rsidR="00034467" w:rsidRDefault="00034467">
            <w:r>
              <w:t>Policies requiring protective equipment such as helmets</w:t>
            </w:r>
          </w:p>
        </w:tc>
        <w:tc>
          <w:tcPr>
            <w:tcW w:w="1595" w:type="dxa"/>
            <w:shd w:val="clear" w:color="auto" w:fill="auto"/>
            <w:vAlign w:val="center"/>
          </w:tcPr>
          <w:p w14:paraId="3C4CD526" w14:textId="77777777" w:rsidR="00034467" w:rsidRDefault="00034467" w:rsidP="00B816E4">
            <w:pPr>
              <w:jc w:val="center"/>
            </w:pPr>
          </w:p>
        </w:tc>
        <w:tc>
          <w:tcPr>
            <w:tcW w:w="1413" w:type="dxa"/>
            <w:shd w:val="clear" w:color="auto" w:fill="auto"/>
            <w:vAlign w:val="center"/>
          </w:tcPr>
          <w:p w14:paraId="11B9E2D5" w14:textId="371DD51F" w:rsidR="00034467" w:rsidRDefault="00276352" w:rsidP="00B816E4">
            <w:pPr>
              <w:jc w:val="center"/>
            </w:pPr>
            <w:r>
              <w:sym w:font="Wingdings" w:char="F0FC"/>
            </w:r>
          </w:p>
        </w:tc>
      </w:tr>
    </w:tbl>
    <w:p w14:paraId="6A2E8B55" w14:textId="59E10DC6" w:rsidR="00730870" w:rsidRDefault="00730870">
      <w:r>
        <w:t xml:space="preserve"> </w:t>
      </w:r>
    </w:p>
    <w:p w14:paraId="727C20A3" w14:textId="77777777" w:rsidR="007103C5" w:rsidRDefault="007103C5"/>
    <w:p w14:paraId="6AAB4E34" w14:textId="7E6A3235" w:rsidR="007103C5" w:rsidRPr="00983E5F" w:rsidRDefault="00983E5F">
      <w:pPr>
        <w:rPr>
          <w:b/>
          <w:bCs/>
        </w:rPr>
      </w:pPr>
      <w:r w:rsidRPr="00983E5F">
        <w:rPr>
          <w:b/>
          <w:bCs/>
        </w:rPr>
        <w:t>References</w:t>
      </w:r>
    </w:p>
    <w:p w14:paraId="4774D4A8" w14:textId="77777777" w:rsidR="00B816E4" w:rsidRPr="00B816E4" w:rsidRDefault="007103C5" w:rsidP="00B816E4">
      <w:pPr>
        <w:pStyle w:val="EndNoteBibliography"/>
        <w:spacing w:after="0"/>
        <w:ind w:left="720" w:hanging="720"/>
      </w:pPr>
      <w:r>
        <w:fldChar w:fldCharType="begin"/>
      </w:r>
      <w:r>
        <w:instrText xml:space="preserve"> ADDIN EN.REFLIST </w:instrText>
      </w:r>
      <w:r>
        <w:fldChar w:fldCharType="separate"/>
      </w:r>
      <w:r w:rsidR="00B816E4" w:rsidRPr="00B816E4">
        <w:t>1.</w:t>
      </w:r>
      <w:r w:rsidR="00B816E4" w:rsidRPr="00B816E4">
        <w:tab/>
      </w:r>
      <w:r w:rsidR="00B816E4" w:rsidRPr="00B816E4">
        <w:rPr>
          <w:i/>
        </w:rPr>
        <w:t>Global Health Estimates 2020: Disease burden by Cause, Age, Sex, by Country and by Region, 2000-2019</w:t>
      </w:r>
      <w:r w:rsidR="00B816E4" w:rsidRPr="00B816E4">
        <w:t>. 2020, World Health Organization  Geneva, Switzerland.</w:t>
      </w:r>
    </w:p>
    <w:p w14:paraId="124B0A6F" w14:textId="77777777" w:rsidR="00B816E4" w:rsidRPr="00B816E4" w:rsidRDefault="00B816E4" w:rsidP="00B816E4">
      <w:pPr>
        <w:pStyle w:val="EndNoteBibliography"/>
        <w:spacing w:after="0"/>
        <w:ind w:left="720" w:hanging="720"/>
      </w:pPr>
      <w:r w:rsidRPr="00B816E4">
        <w:t>2.</w:t>
      </w:r>
      <w:r w:rsidRPr="00B816E4">
        <w:tab/>
        <w:t xml:space="preserve">James, S.L., et al., </w:t>
      </w:r>
      <w:r w:rsidRPr="00B816E4">
        <w:rPr>
          <w:i/>
        </w:rPr>
        <w:t>The global burden of falls: global, regional and national estimates of morbidity and mortality from the Global Burden of Disease Study 2017.</w:t>
      </w:r>
      <w:r w:rsidRPr="00B816E4">
        <w:t xml:space="preserve"> Injury prevention, 2020. </w:t>
      </w:r>
      <w:r w:rsidRPr="00B816E4">
        <w:rPr>
          <w:b/>
        </w:rPr>
        <w:t>26</w:t>
      </w:r>
      <w:r w:rsidRPr="00B816E4">
        <w:t>(Suppl 2): p. i3-i11.</w:t>
      </w:r>
    </w:p>
    <w:p w14:paraId="1DDDB822" w14:textId="77777777" w:rsidR="00B816E4" w:rsidRPr="00B816E4" w:rsidRDefault="00B816E4" w:rsidP="00B816E4">
      <w:pPr>
        <w:pStyle w:val="EndNoteBibliography"/>
        <w:spacing w:after="0"/>
        <w:ind w:left="720" w:hanging="720"/>
      </w:pPr>
      <w:r w:rsidRPr="00B816E4">
        <w:t>3.</w:t>
      </w:r>
      <w:r w:rsidRPr="00B816E4">
        <w:tab/>
        <w:t xml:space="preserve">Hyder, A.A., et al., </w:t>
      </w:r>
      <w:r w:rsidRPr="00B816E4">
        <w:rPr>
          <w:i/>
        </w:rPr>
        <w:t>Global childhood unintentional injury surveillance in four cities in developing countries: a pilot study.</w:t>
      </w:r>
      <w:r w:rsidRPr="00B816E4">
        <w:t xml:space="preserve"> Bull World Health Organ, 2009. </w:t>
      </w:r>
      <w:r w:rsidRPr="00B816E4">
        <w:rPr>
          <w:b/>
        </w:rPr>
        <w:t>87</w:t>
      </w:r>
      <w:r w:rsidRPr="00B816E4">
        <w:t>(5): p. 345-52.</w:t>
      </w:r>
    </w:p>
    <w:p w14:paraId="04F71C8C" w14:textId="77777777" w:rsidR="00B816E4" w:rsidRPr="00B816E4" w:rsidRDefault="00B816E4" w:rsidP="00B816E4">
      <w:pPr>
        <w:pStyle w:val="EndNoteBibliography"/>
        <w:spacing w:after="0"/>
        <w:ind w:left="720" w:hanging="720"/>
      </w:pPr>
      <w:r w:rsidRPr="00B816E4">
        <w:t>4.</w:t>
      </w:r>
      <w:r w:rsidRPr="00B816E4">
        <w:tab/>
      </w:r>
      <w:r w:rsidRPr="00B816E4">
        <w:rPr>
          <w:i/>
        </w:rPr>
        <w:t xml:space="preserve">Step safely: strategies for preventing and managing falls across the life-course </w:t>
      </w:r>
      <w:r w:rsidRPr="00B816E4">
        <w:t>2021, World Health Organization: Geneva, Switzerland.</w:t>
      </w:r>
    </w:p>
    <w:p w14:paraId="07810B00" w14:textId="77777777" w:rsidR="00B816E4" w:rsidRPr="00B816E4" w:rsidRDefault="00B816E4" w:rsidP="00B816E4">
      <w:pPr>
        <w:pStyle w:val="EndNoteBibliography"/>
        <w:spacing w:after="0"/>
        <w:ind w:left="720" w:hanging="720"/>
      </w:pPr>
      <w:r w:rsidRPr="00B816E4">
        <w:t>5.</w:t>
      </w:r>
      <w:r w:rsidRPr="00B816E4">
        <w:tab/>
        <w:t xml:space="preserve">Willott, A., et al., </w:t>
      </w:r>
      <w:r w:rsidRPr="00B816E4">
        <w:rPr>
          <w:i/>
        </w:rPr>
        <w:t>The demographics and traumatic causes of spinal cord injury in Nepal: an observational study.</w:t>
      </w:r>
      <w:r w:rsidRPr="00B816E4">
        <w:t xml:space="preserve"> Trauma, 2021. </w:t>
      </w:r>
      <w:r w:rsidRPr="00B816E4">
        <w:rPr>
          <w:b/>
        </w:rPr>
        <w:t>23</w:t>
      </w:r>
      <w:r w:rsidRPr="00B816E4">
        <w:t>(4): p. 330-337.</w:t>
      </w:r>
    </w:p>
    <w:p w14:paraId="2D1582A5" w14:textId="77777777" w:rsidR="00B816E4" w:rsidRPr="00B816E4" w:rsidRDefault="00B816E4" w:rsidP="00B816E4">
      <w:pPr>
        <w:pStyle w:val="EndNoteBibliography"/>
        <w:spacing w:after="0"/>
        <w:ind w:left="720" w:hanging="720"/>
      </w:pPr>
      <w:r w:rsidRPr="00B816E4">
        <w:t>6.</w:t>
      </w:r>
      <w:r w:rsidRPr="00B816E4">
        <w:tab/>
        <w:t xml:space="preserve">Naisaki, A., et al., </w:t>
      </w:r>
      <w:r w:rsidRPr="00B816E4">
        <w:rPr>
          <w:i/>
        </w:rPr>
        <w:t>Fatal and hospitalised childhood injuries in F iji (TRIP P roject‐3).</w:t>
      </w:r>
      <w:r w:rsidRPr="00B816E4">
        <w:t xml:space="preserve"> Journal of Paediatrics and Child Health, 2013. </w:t>
      </w:r>
      <w:r w:rsidRPr="00B816E4">
        <w:rPr>
          <w:b/>
        </w:rPr>
        <w:t>49</w:t>
      </w:r>
      <w:r w:rsidRPr="00B816E4">
        <w:t>(1): p. 63-67.</w:t>
      </w:r>
    </w:p>
    <w:p w14:paraId="6A1321BC" w14:textId="77777777" w:rsidR="00B816E4" w:rsidRPr="00B816E4" w:rsidRDefault="00B816E4" w:rsidP="00B816E4">
      <w:pPr>
        <w:pStyle w:val="EndNoteBibliography"/>
        <w:spacing w:after="0"/>
        <w:ind w:left="720" w:hanging="720"/>
      </w:pPr>
      <w:r w:rsidRPr="00B816E4">
        <w:t>7.</w:t>
      </w:r>
      <w:r w:rsidRPr="00B816E4">
        <w:tab/>
        <w:t xml:space="preserve">Chen, E., et al., </w:t>
      </w:r>
      <w:r w:rsidRPr="00B816E4">
        <w:rPr>
          <w:i/>
        </w:rPr>
        <w:t>Enhancing community-based participatory research through human-centered design strategies.</w:t>
      </w:r>
      <w:r w:rsidRPr="00B816E4">
        <w:t xml:space="preserve"> Health promotion practice, 2020. </w:t>
      </w:r>
      <w:r w:rsidRPr="00B816E4">
        <w:rPr>
          <w:b/>
        </w:rPr>
        <w:t>21</w:t>
      </w:r>
      <w:r w:rsidRPr="00B816E4">
        <w:t>(1): p. 37-48.</w:t>
      </w:r>
    </w:p>
    <w:p w14:paraId="1CAB88ED" w14:textId="77777777" w:rsidR="00B816E4" w:rsidRPr="00B816E4" w:rsidRDefault="00B816E4" w:rsidP="00B816E4">
      <w:pPr>
        <w:pStyle w:val="EndNoteBibliography"/>
        <w:ind w:left="720" w:hanging="720"/>
      </w:pPr>
      <w:r w:rsidRPr="00B816E4">
        <w:t>8.</w:t>
      </w:r>
      <w:r w:rsidRPr="00B816E4">
        <w:tab/>
      </w:r>
      <w:r w:rsidRPr="00B816E4">
        <w:rPr>
          <w:i/>
        </w:rPr>
        <w:t>UNICEF Strategic Plan 2022–2025</w:t>
      </w:r>
      <w:r w:rsidRPr="00B816E4">
        <w:t>. 2022, UNICEF: New York, USA.</w:t>
      </w:r>
    </w:p>
    <w:p w14:paraId="1E629982" w14:textId="47CFAD99" w:rsidR="00730870" w:rsidRDefault="007103C5">
      <w:r>
        <w:fldChar w:fldCharType="end"/>
      </w:r>
    </w:p>
    <w:sectPr w:rsidR="0073087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59E34" w16cex:dateUtc="2022-05-23T09:4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Premr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e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ed02eppgapwveer00ovae9q2vs2ssaezvt5&quot;&gt;All references-Converted&lt;record-ids&gt;&lt;item&gt;15553&lt;/item&gt;&lt;item&gt;15981&lt;/item&gt;&lt;item&gt;15982&lt;/item&gt;&lt;item&gt;15986&lt;/item&gt;&lt;item&gt;15988&lt;/item&gt;&lt;item&gt;15989&lt;/item&gt;&lt;item&gt;15990&lt;/item&gt;&lt;item&gt;15991&lt;/item&gt;&lt;/record-ids&gt;&lt;/item&gt;&lt;/Libraries&gt;"/>
  </w:docVars>
  <w:rsids>
    <w:rsidRoot w:val="002A36F9"/>
    <w:rsid w:val="0000770A"/>
    <w:rsid w:val="000133C9"/>
    <w:rsid w:val="000258E6"/>
    <w:rsid w:val="00034467"/>
    <w:rsid w:val="000415DE"/>
    <w:rsid w:val="00044D40"/>
    <w:rsid w:val="00060811"/>
    <w:rsid w:val="000704CA"/>
    <w:rsid w:val="00076AE9"/>
    <w:rsid w:val="000A66AC"/>
    <w:rsid w:val="000B19FA"/>
    <w:rsid w:val="000B5A9F"/>
    <w:rsid w:val="000D753B"/>
    <w:rsid w:val="00100737"/>
    <w:rsid w:val="00123E12"/>
    <w:rsid w:val="001263B0"/>
    <w:rsid w:val="00137B72"/>
    <w:rsid w:val="00163089"/>
    <w:rsid w:val="00173AF2"/>
    <w:rsid w:val="001B148B"/>
    <w:rsid w:val="001C3E33"/>
    <w:rsid w:val="001D4EF1"/>
    <w:rsid w:val="001F5C2C"/>
    <w:rsid w:val="001F76C2"/>
    <w:rsid w:val="0020109E"/>
    <w:rsid w:val="00217EA4"/>
    <w:rsid w:val="00225D8B"/>
    <w:rsid w:val="002327C2"/>
    <w:rsid w:val="002469DC"/>
    <w:rsid w:val="00253D0B"/>
    <w:rsid w:val="00254BF8"/>
    <w:rsid w:val="0026317C"/>
    <w:rsid w:val="00264B46"/>
    <w:rsid w:val="00276352"/>
    <w:rsid w:val="00277F4C"/>
    <w:rsid w:val="002858E3"/>
    <w:rsid w:val="00286417"/>
    <w:rsid w:val="002876EA"/>
    <w:rsid w:val="002A0014"/>
    <w:rsid w:val="002A36F9"/>
    <w:rsid w:val="002A4990"/>
    <w:rsid w:val="002B03E1"/>
    <w:rsid w:val="002D751F"/>
    <w:rsid w:val="002F70A2"/>
    <w:rsid w:val="00306D9F"/>
    <w:rsid w:val="003071BC"/>
    <w:rsid w:val="00323322"/>
    <w:rsid w:val="003412A0"/>
    <w:rsid w:val="003419F3"/>
    <w:rsid w:val="00374CA3"/>
    <w:rsid w:val="00382F7E"/>
    <w:rsid w:val="003849C5"/>
    <w:rsid w:val="003A19C7"/>
    <w:rsid w:val="003B2369"/>
    <w:rsid w:val="003B2BA1"/>
    <w:rsid w:val="003B2E39"/>
    <w:rsid w:val="003B3DB1"/>
    <w:rsid w:val="003B3DB3"/>
    <w:rsid w:val="003B50CB"/>
    <w:rsid w:val="003C07D8"/>
    <w:rsid w:val="003C1E81"/>
    <w:rsid w:val="003E0063"/>
    <w:rsid w:val="003E114D"/>
    <w:rsid w:val="003E491A"/>
    <w:rsid w:val="003F7D77"/>
    <w:rsid w:val="00414785"/>
    <w:rsid w:val="00424ED1"/>
    <w:rsid w:val="00442E3C"/>
    <w:rsid w:val="00443597"/>
    <w:rsid w:val="00444FAC"/>
    <w:rsid w:val="00454D80"/>
    <w:rsid w:val="00465D7F"/>
    <w:rsid w:val="00472002"/>
    <w:rsid w:val="00491FE3"/>
    <w:rsid w:val="004969BC"/>
    <w:rsid w:val="00496C46"/>
    <w:rsid w:val="00496DC4"/>
    <w:rsid w:val="004C3500"/>
    <w:rsid w:val="004C7834"/>
    <w:rsid w:val="004D1026"/>
    <w:rsid w:val="004D239B"/>
    <w:rsid w:val="004D2FA8"/>
    <w:rsid w:val="004D6E5B"/>
    <w:rsid w:val="004F3627"/>
    <w:rsid w:val="004F7E7C"/>
    <w:rsid w:val="00514CE5"/>
    <w:rsid w:val="005246EB"/>
    <w:rsid w:val="0053308C"/>
    <w:rsid w:val="0054171D"/>
    <w:rsid w:val="005425E8"/>
    <w:rsid w:val="0055637A"/>
    <w:rsid w:val="005646EB"/>
    <w:rsid w:val="00581B02"/>
    <w:rsid w:val="00585AC4"/>
    <w:rsid w:val="00590DC6"/>
    <w:rsid w:val="005A07C6"/>
    <w:rsid w:val="005A114A"/>
    <w:rsid w:val="005A7FA9"/>
    <w:rsid w:val="005B6B7D"/>
    <w:rsid w:val="005E175B"/>
    <w:rsid w:val="005E760F"/>
    <w:rsid w:val="005F2443"/>
    <w:rsid w:val="005F544F"/>
    <w:rsid w:val="0061631B"/>
    <w:rsid w:val="00622E01"/>
    <w:rsid w:val="00633E8F"/>
    <w:rsid w:val="006A328A"/>
    <w:rsid w:val="006B0EC7"/>
    <w:rsid w:val="006C375F"/>
    <w:rsid w:val="006C6E4F"/>
    <w:rsid w:val="006F624C"/>
    <w:rsid w:val="00700A41"/>
    <w:rsid w:val="00705164"/>
    <w:rsid w:val="007051BB"/>
    <w:rsid w:val="007103C5"/>
    <w:rsid w:val="007110F3"/>
    <w:rsid w:val="00720445"/>
    <w:rsid w:val="00722378"/>
    <w:rsid w:val="00726898"/>
    <w:rsid w:val="00730870"/>
    <w:rsid w:val="00736750"/>
    <w:rsid w:val="007441AC"/>
    <w:rsid w:val="00754C5A"/>
    <w:rsid w:val="00755B77"/>
    <w:rsid w:val="00791814"/>
    <w:rsid w:val="00792DDE"/>
    <w:rsid w:val="0079703B"/>
    <w:rsid w:val="007B3F1E"/>
    <w:rsid w:val="007C3D45"/>
    <w:rsid w:val="007E6A53"/>
    <w:rsid w:val="00815DD7"/>
    <w:rsid w:val="00821DBC"/>
    <w:rsid w:val="0087115D"/>
    <w:rsid w:val="00896CB4"/>
    <w:rsid w:val="008B46FE"/>
    <w:rsid w:val="008B55D6"/>
    <w:rsid w:val="008E5363"/>
    <w:rsid w:val="008F7EF7"/>
    <w:rsid w:val="00923D3C"/>
    <w:rsid w:val="009302F9"/>
    <w:rsid w:val="009417B3"/>
    <w:rsid w:val="00947034"/>
    <w:rsid w:val="00952CD5"/>
    <w:rsid w:val="00966659"/>
    <w:rsid w:val="0096717E"/>
    <w:rsid w:val="009704E8"/>
    <w:rsid w:val="009712A8"/>
    <w:rsid w:val="009779DE"/>
    <w:rsid w:val="00983E5F"/>
    <w:rsid w:val="00984ACD"/>
    <w:rsid w:val="00991D68"/>
    <w:rsid w:val="0099718B"/>
    <w:rsid w:val="009A7DAB"/>
    <w:rsid w:val="009B0878"/>
    <w:rsid w:val="009C6255"/>
    <w:rsid w:val="009F03AC"/>
    <w:rsid w:val="009F745A"/>
    <w:rsid w:val="00A00983"/>
    <w:rsid w:val="00A2202A"/>
    <w:rsid w:val="00A37B23"/>
    <w:rsid w:val="00A56B7C"/>
    <w:rsid w:val="00A6064A"/>
    <w:rsid w:val="00A611F0"/>
    <w:rsid w:val="00A71AA3"/>
    <w:rsid w:val="00A83C42"/>
    <w:rsid w:val="00A976CC"/>
    <w:rsid w:val="00AB57F3"/>
    <w:rsid w:val="00AD51B0"/>
    <w:rsid w:val="00AF094B"/>
    <w:rsid w:val="00B01CC8"/>
    <w:rsid w:val="00B15392"/>
    <w:rsid w:val="00B2776B"/>
    <w:rsid w:val="00B62223"/>
    <w:rsid w:val="00B70D56"/>
    <w:rsid w:val="00B761C3"/>
    <w:rsid w:val="00B816E4"/>
    <w:rsid w:val="00B8421A"/>
    <w:rsid w:val="00B94594"/>
    <w:rsid w:val="00B96EFD"/>
    <w:rsid w:val="00BB6E11"/>
    <w:rsid w:val="00BC4645"/>
    <w:rsid w:val="00BD0F25"/>
    <w:rsid w:val="00BD10D0"/>
    <w:rsid w:val="00BD756B"/>
    <w:rsid w:val="00BE2609"/>
    <w:rsid w:val="00BF2041"/>
    <w:rsid w:val="00C04161"/>
    <w:rsid w:val="00C15FFD"/>
    <w:rsid w:val="00C24268"/>
    <w:rsid w:val="00C250E8"/>
    <w:rsid w:val="00C269E5"/>
    <w:rsid w:val="00C30573"/>
    <w:rsid w:val="00C40077"/>
    <w:rsid w:val="00C420FA"/>
    <w:rsid w:val="00C55C59"/>
    <w:rsid w:val="00C60E63"/>
    <w:rsid w:val="00C627CE"/>
    <w:rsid w:val="00C73B92"/>
    <w:rsid w:val="00C80262"/>
    <w:rsid w:val="00C83B25"/>
    <w:rsid w:val="00C924F5"/>
    <w:rsid w:val="00CA1EDD"/>
    <w:rsid w:val="00CA2A48"/>
    <w:rsid w:val="00D1102C"/>
    <w:rsid w:val="00D22F2D"/>
    <w:rsid w:val="00D33E55"/>
    <w:rsid w:val="00D45054"/>
    <w:rsid w:val="00D817B1"/>
    <w:rsid w:val="00D943AC"/>
    <w:rsid w:val="00DA32FD"/>
    <w:rsid w:val="00DE022F"/>
    <w:rsid w:val="00DE17C0"/>
    <w:rsid w:val="00DE4E08"/>
    <w:rsid w:val="00DE6655"/>
    <w:rsid w:val="00E04055"/>
    <w:rsid w:val="00E0405F"/>
    <w:rsid w:val="00E04650"/>
    <w:rsid w:val="00E11C9A"/>
    <w:rsid w:val="00E169F7"/>
    <w:rsid w:val="00E24CFF"/>
    <w:rsid w:val="00E25235"/>
    <w:rsid w:val="00E4308F"/>
    <w:rsid w:val="00E431B5"/>
    <w:rsid w:val="00E638A0"/>
    <w:rsid w:val="00E858EB"/>
    <w:rsid w:val="00EA2E8B"/>
    <w:rsid w:val="00EE09E0"/>
    <w:rsid w:val="00EF152D"/>
    <w:rsid w:val="00EF5178"/>
    <w:rsid w:val="00F11733"/>
    <w:rsid w:val="00F33DAF"/>
    <w:rsid w:val="00F7187E"/>
    <w:rsid w:val="00F726F7"/>
    <w:rsid w:val="00F958AD"/>
    <w:rsid w:val="00FB4CAA"/>
    <w:rsid w:val="00FB7DA1"/>
    <w:rsid w:val="00FC1456"/>
    <w:rsid w:val="00FD2311"/>
    <w:rsid w:val="00FF1CEE"/>
    <w:rsid w:val="00FF4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4CD1E"/>
  <w15:chartTrackingRefBased/>
  <w15:docId w15:val="{34C64ABE-6C4F-43BB-913C-5D234293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317C"/>
    <w:rPr>
      <w:lang w:val="en-US"/>
    </w:rPr>
  </w:style>
  <w:style w:type="paragraph" w:styleId="Heading1">
    <w:name w:val="heading 1"/>
    <w:basedOn w:val="Normal"/>
    <w:next w:val="Normal"/>
    <w:link w:val="Heading1Char"/>
    <w:uiPriority w:val="9"/>
    <w:qFormat/>
    <w:rsid w:val="002631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unhideWhenUsed/>
    <w:qFormat/>
    <w:rsid w:val="0026317C"/>
    <w:pPr>
      <w:widowControl w:val="0"/>
      <w:autoSpaceDE w:val="0"/>
      <w:autoSpaceDN w:val="0"/>
      <w:spacing w:before="218" w:after="0" w:line="240" w:lineRule="auto"/>
      <w:outlineLvl w:val="1"/>
    </w:pPr>
    <w:rPr>
      <w:rFonts w:ascii="Calibri" w:eastAsia="Trebuchet MS" w:hAnsi="Calibri" w:cs="Trebuchet MS"/>
      <w:b/>
      <w:bCs/>
      <w:sz w:val="28"/>
      <w:szCs w:val="40"/>
    </w:rPr>
  </w:style>
  <w:style w:type="paragraph" w:styleId="Heading3">
    <w:name w:val="heading 3"/>
    <w:basedOn w:val="Normal"/>
    <w:next w:val="Normal"/>
    <w:link w:val="Heading3Char"/>
    <w:uiPriority w:val="9"/>
    <w:unhideWhenUsed/>
    <w:qFormat/>
    <w:rsid w:val="0026317C"/>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631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1"/>
    <w:semiHidden/>
    <w:unhideWhenUsed/>
    <w:qFormat/>
    <w:rsid w:val="0026317C"/>
    <w:pPr>
      <w:widowControl w:val="0"/>
      <w:autoSpaceDE w:val="0"/>
      <w:autoSpaceDN w:val="0"/>
      <w:spacing w:after="0" w:line="240" w:lineRule="auto"/>
      <w:ind w:left="2536"/>
      <w:outlineLvl w:val="4"/>
    </w:pPr>
    <w:rPr>
      <w:rFonts w:ascii="Trebuchet MS" w:eastAsia="Trebuchet MS" w:hAnsi="Trebuchet MS" w:cs="Trebuchet MS"/>
      <w:b/>
      <w:bCs/>
      <w:sz w:val="24"/>
      <w:szCs w:val="24"/>
    </w:rPr>
  </w:style>
  <w:style w:type="paragraph" w:styleId="Heading6">
    <w:name w:val="heading 6"/>
    <w:basedOn w:val="Normal"/>
    <w:next w:val="Normal"/>
    <w:link w:val="Heading6Char"/>
    <w:uiPriority w:val="9"/>
    <w:unhideWhenUsed/>
    <w:qFormat/>
    <w:rsid w:val="0026317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31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12">
    <w:name w:val="Pa12"/>
    <w:basedOn w:val="Normal"/>
    <w:next w:val="Normal"/>
    <w:uiPriority w:val="99"/>
    <w:rsid w:val="0026317C"/>
    <w:pPr>
      <w:autoSpaceDE w:val="0"/>
      <w:autoSpaceDN w:val="0"/>
      <w:adjustRightInd w:val="0"/>
      <w:spacing w:after="0" w:line="241" w:lineRule="atLeast"/>
    </w:pPr>
    <w:rPr>
      <w:rFonts w:ascii="Garamond Premr Pro" w:hAnsi="Garamond Premr Pro"/>
      <w:sz w:val="24"/>
      <w:szCs w:val="24"/>
    </w:rPr>
  </w:style>
  <w:style w:type="paragraph" w:customStyle="1" w:styleId="TableParagraph">
    <w:name w:val="Table Paragraph"/>
    <w:basedOn w:val="Normal"/>
    <w:uiPriority w:val="1"/>
    <w:qFormat/>
    <w:rsid w:val="0026317C"/>
    <w:pPr>
      <w:widowControl w:val="0"/>
      <w:autoSpaceDE w:val="0"/>
      <w:autoSpaceDN w:val="0"/>
      <w:spacing w:after="0" w:line="240" w:lineRule="auto"/>
    </w:pPr>
    <w:rPr>
      <w:rFonts w:ascii="Arial" w:eastAsia="Arial" w:hAnsi="Arial" w:cs="Arial"/>
    </w:rPr>
  </w:style>
  <w:style w:type="character" w:customStyle="1" w:styleId="Heading1Char">
    <w:name w:val="Heading 1 Char"/>
    <w:basedOn w:val="DefaultParagraphFont"/>
    <w:link w:val="Heading1"/>
    <w:uiPriority w:val="9"/>
    <w:rsid w:val="0026317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1"/>
    <w:rsid w:val="0026317C"/>
    <w:rPr>
      <w:rFonts w:ascii="Calibri" w:eastAsia="Trebuchet MS" w:hAnsi="Calibri" w:cs="Trebuchet MS"/>
      <w:b/>
      <w:bCs/>
      <w:sz w:val="28"/>
      <w:szCs w:val="40"/>
      <w:lang w:val="en-US"/>
    </w:rPr>
  </w:style>
  <w:style w:type="character" w:customStyle="1" w:styleId="Heading3Char">
    <w:name w:val="Heading 3 Char"/>
    <w:basedOn w:val="DefaultParagraphFont"/>
    <w:link w:val="Heading3"/>
    <w:uiPriority w:val="9"/>
    <w:rsid w:val="0026317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26317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1"/>
    <w:semiHidden/>
    <w:rsid w:val="0026317C"/>
    <w:rPr>
      <w:rFonts w:ascii="Trebuchet MS" w:eastAsia="Trebuchet MS" w:hAnsi="Trebuchet MS" w:cs="Trebuchet MS"/>
      <w:b/>
      <w:bCs/>
      <w:sz w:val="24"/>
      <w:szCs w:val="24"/>
      <w:lang w:val="en-US"/>
    </w:rPr>
  </w:style>
  <w:style w:type="character" w:customStyle="1" w:styleId="Heading6Char">
    <w:name w:val="Heading 6 Char"/>
    <w:basedOn w:val="DefaultParagraphFont"/>
    <w:link w:val="Heading6"/>
    <w:uiPriority w:val="9"/>
    <w:rsid w:val="0026317C"/>
    <w:rPr>
      <w:rFonts w:asciiTheme="majorHAnsi" w:eastAsiaTheme="majorEastAsia" w:hAnsiTheme="majorHAnsi" w:cstheme="majorBidi"/>
      <w:color w:val="1F3763" w:themeColor="accent1" w:themeShade="7F"/>
      <w:lang w:val="en-US"/>
    </w:rPr>
  </w:style>
  <w:style w:type="paragraph" w:styleId="TOC1">
    <w:name w:val="toc 1"/>
    <w:basedOn w:val="Normal"/>
    <w:next w:val="Normal"/>
    <w:autoRedefine/>
    <w:uiPriority w:val="39"/>
    <w:unhideWhenUsed/>
    <w:rsid w:val="0026317C"/>
    <w:pPr>
      <w:spacing w:after="100"/>
    </w:pPr>
  </w:style>
  <w:style w:type="paragraph" w:styleId="TOC2">
    <w:name w:val="toc 2"/>
    <w:basedOn w:val="Normal"/>
    <w:next w:val="Normal"/>
    <w:autoRedefine/>
    <w:uiPriority w:val="39"/>
    <w:unhideWhenUsed/>
    <w:rsid w:val="0026317C"/>
    <w:pPr>
      <w:spacing w:after="100"/>
      <w:ind w:left="220"/>
    </w:pPr>
    <w:rPr>
      <w:rFonts w:eastAsiaTheme="minorEastAsia" w:cs="Times New Roman"/>
    </w:rPr>
  </w:style>
  <w:style w:type="paragraph" w:styleId="TOC3">
    <w:name w:val="toc 3"/>
    <w:basedOn w:val="Normal"/>
    <w:autoRedefine/>
    <w:uiPriority w:val="39"/>
    <w:unhideWhenUsed/>
    <w:qFormat/>
    <w:rsid w:val="0026317C"/>
    <w:pPr>
      <w:widowControl w:val="0"/>
      <w:autoSpaceDE w:val="0"/>
      <w:autoSpaceDN w:val="0"/>
      <w:spacing w:before="68" w:after="0" w:line="240" w:lineRule="auto"/>
      <w:ind w:left="1328"/>
    </w:pPr>
    <w:rPr>
      <w:rFonts w:ascii="Arial" w:eastAsia="Arial" w:hAnsi="Arial" w:cs="Arial"/>
    </w:rPr>
  </w:style>
  <w:style w:type="paragraph" w:styleId="CommentText">
    <w:name w:val="annotation text"/>
    <w:basedOn w:val="Normal"/>
    <w:link w:val="CommentTextChar"/>
    <w:uiPriority w:val="99"/>
    <w:unhideWhenUsed/>
    <w:rsid w:val="0026317C"/>
    <w:pPr>
      <w:spacing w:line="240" w:lineRule="auto"/>
    </w:pPr>
    <w:rPr>
      <w:sz w:val="20"/>
      <w:szCs w:val="20"/>
    </w:rPr>
  </w:style>
  <w:style w:type="character" w:customStyle="1" w:styleId="CommentTextChar">
    <w:name w:val="Comment Text Char"/>
    <w:basedOn w:val="DefaultParagraphFont"/>
    <w:link w:val="CommentText"/>
    <w:uiPriority w:val="99"/>
    <w:rsid w:val="0026317C"/>
    <w:rPr>
      <w:sz w:val="20"/>
      <w:szCs w:val="20"/>
      <w:lang w:val="en-US"/>
    </w:rPr>
  </w:style>
  <w:style w:type="paragraph" w:styleId="Header">
    <w:name w:val="header"/>
    <w:basedOn w:val="Normal"/>
    <w:link w:val="HeaderChar"/>
    <w:uiPriority w:val="99"/>
    <w:semiHidden/>
    <w:unhideWhenUsed/>
    <w:rsid w:val="002631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317C"/>
    <w:rPr>
      <w:lang w:val="en-US"/>
    </w:rPr>
  </w:style>
  <w:style w:type="paragraph" w:styleId="Footer">
    <w:name w:val="footer"/>
    <w:basedOn w:val="Normal"/>
    <w:link w:val="FooterChar"/>
    <w:uiPriority w:val="99"/>
    <w:unhideWhenUsed/>
    <w:rsid w:val="00263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17C"/>
    <w:rPr>
      <w:lang w:val="en-US"/>
    </w:rPr>
  </w:style>
  <w:style w:type="character" w:styleId="CommentReference">
    <w:name w:val="annotation reference"/>
    <w:basedOn w:val="DefaultParagraphFont"/>
    <w:uiPriority w:val="99"/>
    <w:semiHidden/>
    <w:unhideWhenUsed/>
    <w:rsid w:val="0026317C"/>
    <w:rPr>
      <w:sz w:val="16"/>
      <w:szCs w:val="16"/>
    </w:rPr>
  </w:style>
  <w:style w:type="paragraph" w:styleId="Title">
    <w:name w:val="Title"/>
    <w:basedOn w:val="Normal"/>
    <w:next w:val="Normal"/>
    <w:link w:val="TitleChar"/>
    <w:uiPriority w:val="10"/>
    <w:qFormat/>
    <w:rsid w:val="002631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17C"/>
    <w:rPr>
      <w:rFonts w:asciiTheme="majorHAnsi" w:eastAsiaTheme="majorEastAsia" w:hAnsiTheme="majorHAnsi" w:cstheme="majorBidi"/>
      <w:spacing w:val="-10"/>
      <w:kern w:val="28"/>
      <w:sz w:val="56"/>
      <w:szCs w:val="56"/>
      <w:lang w:val="en-US"/>
    </w:rPr>
  </w:style>
  <w:style w:type="paragraph" w:styleId="BodyText">
    <w:name w:val="Body Text"/>
    <w:basedOn w:val="Normal"/>
    <w:link w:val="BodyTextChar"/>
    <w:uiPriority w:val="1"/>
    <w:unhideWhenUsed/>
    <w:qFormat/>
    <w:rsid w:val="0026317C"/>
    <w:pPr>
      <w:widowControl w:val="0"/>
      <w:autoSpaceDE w:val="0"/>
      <w:autoSpaceDN w:val="0"/>
      <w:spacing w:after="0" w:line="240" w:lineRule="auto"/>
    </w:pPr>
    <w:rPr>
      <w:rFonts w:ascii="FreeSerif" w:eastAsia="FreeSerif" w:hAnsi="FreeSerif" w:cs="FreeSerif"/>
      <w:sz w:val="24"/>
      <w:szCs w:val="24"/>
    </w:rPr>
  </w:style>
  <w:style w:type="character" w:customStyle="1" w:styleId="BodyTextChar">
    <w:name w:val="Body Text Char"/>
    <w:basedOn w:val="DefaultParagraphFont"/>
    <w:link w:val="BodyText"/>
    <w:uiPriority w:val="1"/>
    <w:rsid w:val="0026317C"/>
    <w:rPr>
      <w:rFonts w:ascii="FreeSerif" w:eastAsia="FreeSerif" w:hAnsi="FreeSerif" w:cs="FreeSerif"/>
      <w:sz w:val="24"/>
      <w:szCs w:val="24"/>
      <w:lang w:val="en-US"/>
    </w:rPr>
  </w:style>
  <w:style w:type="paragraph" w:styleId="Subtitle">
    <w:name w:val="Subtitle"/>
    <w:basedOn w:val="Normal"/>
    <w:next w:val="Normal"/>
    <w:link w:val="SubtitleChar"/>
    <w:uiPriority w:val="11"/>
    <w:qFormat/>
    <w:rsid w:val="0026317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317C"/>
    <w:rPr>
      <w:rFonts w:eastAsiaTheme="minorEastAsia"/>
      <w:color w:val="5A5A5A" w:themeColor="text1" w:themeTint="A5"/>
      <w:spacing w:val="15"/>
      <w:lang w:val="en-US"/>
    </w:rPr>
  </w:style>
  <w:style w:type="character" w:styleId="Hyperlink">
    <w:name w:val="Hyperlink"/>
    <w:basedOn w:val="DefaultParagraphFont"/>
    <w:uiPriority w:val="99"/>
    <w:unhideWhenUsed/>
    <w:rsid w:val="0026317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6317C"/>
    <w:rPr>
      <w:b/>
      <w:bCs/>
    </w:rPr>
  </w:style>
  <w:style w:type="character" w:customStyle="1" w:styleId="CommentSubjectChar">
    <w:name w:val="Comment Subject Char"/>
    <w:basedOn w:val="CommentTextChar"/>
    <w:link w:val="CommentSubject"/>
    <w:uiPriority w:val="99"/>
    <w:semiHidden/>
    <w:rsid w:val="0026317C"/>
    <w:rPr>
      <w:b/>
      <w:bCs/>
      <w:sz w:val="20"/>
      <w:szCs w:val="20"/>
      <w:lang w:val="en-US"/>
    </w:rPr>
  </w:style>
  <w:style w:type="paragraph" w:styleId="BalloonText">
    <w:name w:val="Balloon Text"/>
    <w:basedOn w:val="Normal"/>
    <w:link w:val="BalloonTextChar"/>
    <w:uiPriority w:val="99"/>
    <w:semiHidden/>
    <w:unhideWhenUsed/>
    <w:rsid w:val="00263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17C"/>
    <w:rPr>
      <w:rFonts w:ascii="Segoe UI" w:hAnsi="Segoe UI" w:cs="Segoe UI"/>
      <w:sz w:val="18"/>
      <w:szCs w:val="18"/>
      <w:lang w:val="en-US"/>
    </w:rPr>
  </w:style>
  <w:style w:type="paragraph" w:styleId="ListParagraph">
    <w:name w:val="List Paragraph"/>
    <w:basedOn w:val="Normal"/>
    <w:uiPriority w:val="1"/>
    <w:qFormat/>
    <w:rsid w:val="0026317C"/>
    <w:pPr>
      <w:ind w:left="720"/>
      <w:contextualSpacing/>
    </w:pPr>
  </w:style>
  <w:style w:type="paragraph" w:styleId="TOCHeading">
    <w:name w:val="TOC Heading"/>
    <w:basedOn w:val="Heading1"/>
    <w:next w:val="Normal"/>
    <w:uiPriority w:val="39"/>
    <w:unhideWhenUsed/>
    <w:qFormat/>
    <w:rsid w:val="0026317C"/>
    <w:pPr>
      <w:outlineLvl w:val="9"/>
    </w:pPr>
  </w:style>
  <w:style w:type="character" w:styleId="UnresolvedMention">
    <w:name w:val="Unresolved Mention"/>
    <w:basedOn w:val="DefaultParagraphFont"/>
    <w:uiPriority w:val="99"/>
    <w:semiHidden/>
    <w:unhideWhenUsed/>
    <w:rsid w:val="002A36F9"/>
    <w:rPr>
      <w:color w:val="605E5C"/>
      <w:shd w:val="clear" w:color="auto" w:fill="E1DFDD"/>
    </w:rPr>
  </w:style>
  <w:style w:type="paragraph" w:customStyle="1" w:styleId="EndNoteBibliographyTitle">
    <w:name w:val="EndNote Bibliography Title"/>
    <w:basedOn w:val="Normal"/>
    <w:link w:val="EndNoteBibliographyTitleChar"/>
    <w:rsid w:val="007103C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103C5"/>
    <w:rPr>
      <w:rFonts w:ascii="Calibri" w:hAnsi="Calibri" w:cs="Calibri"/>
      <w:noProof/>
      <w:lang w:val="en-US"/>
    </w:rPr>
  </w:style>
  <w:style w:type="paragraph" w:customStyle="1" w:styleId="EndNoteBibliography">
    <w:name w:val="EndNote Bibliography"/>
    <w:basedOn w:val="Normal"/>
    <w:link w:val="EndNoteBibliographyChar"/>
    <w:rsid w:val="007103C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103C5"/>
    <w:rPr>
      <w:rFonts w:ascii="Calibri" w:hAnsi="Calibri" w:cs="Calibri"/>
      <w:noProof/>
      <w:lang w:val="en-US"/>
    </w:rPr>
  </w:style>
  <w:style w:type="table" w:styleId="TableGrid">
    <w:name w:val="Table Grid"/>
    <w:basedOn w:val="TableNormal"/>
    <w:uiPriority w:val="39"/>
    <w:rsid w:val="00983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417B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0608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eden@georgeinstitute.org.uk" TargetMode="External"/><Relationship Id="rId13" Type="http://schemas.openxmlformats.org/officeDocument/2006/relationships/hyperlink" Target="mailto:pattwood@georgeinstitute.org.uk"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ris.wainiqolo@otago.ac.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vincenten@unicef.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ulie.mytton@uwe.ac.uk" TargetMode="External"/><Relationship Id="rId4" Type="http://schemas.openxmlformats.org/officeDocument/2006/relationships/customXml" Target="../customXml/item4.xml"/><Relationship Id="rId9" Type="http://schemas.openxmlformats.org/officeDocument/2006/relationships/hyperlink" Target="mailto:s.ameratunga@auckland.ac.nz" TargetMode="External"/><Relationship Id="rId14" Type="http://schemas.openxmlformats.org/officeDocument/2006/relationships/hyperlink" Target="mailto:lukaszykc@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CF1A8436F93D4084683BA8AF2B41BC" ma:contentTypeVersion="13" ma:contentTypeDescription="Create a new document." ma:contentTypeScope="" ma:versionID="dd46d0a9878efbcff33c6c67a23ad622">
  <xsd:schema xmlns:xsd="http://www.w3.org/2001/XMLSchema" xmlns:xs="http://www.w3.org/2001/XMLSchema" xmlns:p="http://schemas.microsoft.com/office/2006/metadata/properties" xmlns:ns3="44d0ad69-5f62-49c1-9320-0e5c9ef71a31" xmlns:ns4="16f44a0c-1b35-41cf-9d8a-ff66baf472b6" targetNamespace="http://schemas.microsoft.com/office/2006/metadata/properties" ma:root="true" ma:fieldsID="ffeb3cf86c9ade90c33bae9eae473b3f" ns3:_="" ns4:_="">
    <xsd:import namespace="44d0ad69-5f62-49c1-9320-0e5c9ef71a31"/>
    <xsd:import namespace="16f44a0c-1b35-41cf-9d8a-ff66baf472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0ad69-5f62-49c1-9320-0e5c9ef71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44a0c-1b35-41cf-9d8a-ff66baf472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63FD-E5D8-4B06-9108-26DD59B424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2BEB41-7F1F-4F03-9FC0-EF2412376A36}">
  <ds:schemaRefs>
    <ds:schemaRef ds:uri="http://schemas.microsoft.com/sharepoint/v3/contenttype/forms"/>
  </ds:schemaRefs>
</ds:datastoreItem>
</file>

<file path=customXml/itemProps3.xml><?xml version="1.0" encoding="utf-8"?>
<ds:datastoreItem xmlns:ds="http://schemas.openxmlformats.org/officeDocument/2006/customXml" ds:itemID="{B2C532FD-39EC-4A6D-B24B-B30AA2877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0ad69-5f62-49c1-9320-0e5c9ef71a31"/>
    <ds:schemaRef ds:uri="16f44a0c-1b35-41cf-9d8a-ff66baf47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0405FA-44E2-4B2D-BF6F-F7370060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2842</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Peden</dc:creator>
  <cp:keywords/>
  <dc:description/>
  <cp:lastModifiedBy>Prasanthi Attwood</cp:lastModifiedBy>
  <cp:revision>3</cp:revision>
  <dcterms:created xsi:type="dcterms:W3CDTF">2022-05-23T13:23:00Z</dcterms:created>
  <dcterms:modified xsi:type="dcterms:W3CDTF">2022-05-23T13:38:00Z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0x010100E6CF1A8436F93D4084683BA8AF2B41BC</vt:lpwstr>
  </property>
</Properties>
</file>