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3A" w:rsidRPr="00E20A3A" w:rsidRDefault="00C6758B" w:rsidP="00436472">
      <w:pPr>
        <w:spacing w:line="360" w:lineRule="auto"/>
        <w:rPr>
          <w:b/>
          <w:sz w:val="36"/>
          <w:szCs w:val="36"/>
        </w:rPr>
      </w:pPr>
      <w:r>
        <w:rPr>
          <w:b/>
          <w:sz w:val="36"/>
          <w:szCs w:val="36"/>
        </w:rPr>
        <w:t>Success, proof, fairness, causes and consequences: f</w:t>
      </w:r>
      <w:r w:rsidR="00E20A3A" w:rsidRPr="00E20A3A">
        <w:rPr>
          <w:b/>
          <w:sz w:val="36"/>
          <w:szCs w:val="36"/>
        </w:rPr>
        <w:t xml:space="preserve">ive </w:t>
      </w:r>
      <w:r w:rsidR="00D17E7D">
        <w:rPr>
          <w:b/>
          <w:sz w:val="36"/>
          <w:szCs w:val="36"/>
        </w:rPr>
        <w:t>unanswered questions for the future of</w:t>
      </w:r>
      <w:r w:rsidR="00E20A3A" w:rsidRPr="00E20A3A">
        <w:rPr>
          <w:b/>
          <w:sz w:val="36"/>
          <w:szCs w:val="36"/>
        </w:rPr>
        <w:t xml:space="preserve"> widening participation in </w:t>
      </w:r>
      <w:r w:rsidR="006E3347">
        <w:rPr>
          <w:b/>
          <w:sz w:val="36"/>
          <w:szCs w:val="36"/>
        </w:rPr>
        <w:t>higher education</w:t>
      </w:r>
      <w:r w:rsidR="00E20A3A" w:rsidRPr="00E20A3A">
        <w:rPr>
          <w:b/>
          <w:sz w:val="36"/>
          <w:szCs w:val="36"/>
        </w:rPr>
        <w:t xml:space="preserve"> in the UK</w:t>
      </w:r>
    </w:p>
    <w:p w:rsidR="003572C9" w:rsidRDefault="003572C9" w:rsidP="00436472">
      <w:pPr>
        <w:spacing w:line="360" w:lineRule="auto"/>
        <w:rPr>
          <w:b/>
          <w:sz w:val="30"/>
          <w:szCs w:val="30"/>
        </w:rPr>
      </w:pPr>
    </w:p>
    <w:p w:rsidR="00C6758B" w:rsidRDefault="00C6758B" w:rsidP="00436472">
      <w:pPr>
        <w:spacing w:line="360" w:lineRule="auto"/>
        <w:rPr>
          <w:b/>
          <w:sz w:val="30"/>
          <w:szCs w:val="30"/>
        </w:rPr>
      </w:pPr>
    </w:p>
    <w:p w:rsidR="00E20A3A" w:rsidRPr="002025AE" w:rsidRDefault="00E20A3A" w:rsidP="00436472">
      <w:pPr>
        <w:spacing w:line="360" w:lineRule="auto"/>
        <w:rPr>
          <w:b/>
          <w:i/>
          <w:sz w:val="30"/>
          <w:szCs w:val="30"/>
        </w:rPr>
      </w:pPr>
      <w:r w:rsidRPr="00373EF8">
        <w:rPr>
          <w:b/>
          <w:i/>
          <w:sz w:val="30"/>
          <w:szCs w:val="30"/>
        </w:rPr>
        <w:t>Neil Harrison (University of the West of England)</w:t>
      </w:r>
    </w:p>
    <w:p w:rsidR="006C1C87" w:rsidRPr="006C1C87" w:rsidRDefault="006C1C87" w:rsidP="00436472">
      <w:pPr>
        <w:spacing w:line="360" w:lineRule="auto"/>
        <w:rPr>
          <w:b/>
          <w:sz w:val="26"/>
          <w:szCs w:val="26"/>
        </w:rPr>
      </w:pPr>
      <w:r w:rsidRPr="006C1C87">
        <w:rPr>
          <w:b/>
          <w:sz w:val="26"/>
          <w:szCs w:val="26"/>
        </w:rPr>
        <w:t>E-mail: neil.harrison@uwe.ac.uk</w:t>
      </w:r>
    </w:p>
    <w:p w:rsidR="006C1C87" w:rsidRPr="006C1C87" w:rsidRDefault="006C1C87" w:rsidP="00436472">
      <w:pPr>
        <w:spacing w:line="360" w:lineRule="auto"/>
        <w:rPr>
          <w:b/>
          <w:sz w:val="26"/>
          <w:szCs w:val="26"/>
        </w:rPr>
      </w:pPr>
      <w:r w:rsidRPr="006C1C87">
        <w:rPr>
          <w:b/>
          <w:sz w:val="26"/>
          <w:szCs w:val="26"/>
        </w:rPr>
        <w:t>Telephone: 0117 328 4190</w:t>
      </w:r>
    </w:p>
    <w:p w:rsidR="006C1C87" w:rsidRDefault="006C1C87" w:rsidP="00436472">
      <w:pPr>
        <w:spacing w:line="360" w:lineRule="auto"/>
        <w:rPr>
          <w:b/>
          <w:sz w:val="30"/>
          <w:szCs w:val="30"/>
        </w:rPr>
      </w:pPr>
    </w:p>
    <w:p w:rsidR="006C1C87" w:rsidRDefault="006C1C87" w:rsidP="00436472">
      <w:pPr>
        <w:spacing w:line="360" w:lineRule="auto"/>
        <w:rPr>
          <w:b/>
          <w:sz w:val="30"/>
          <w:szCs w:val="30"/>
        </w:rPr>
      </w:pPr>
    </w:p>
    <w:p w:rsidR="00C6758B" w:rsidRDefault="00C6758B" w:rsidP="00436472">
      <w:pPr>
        <w:spacing w:line="360" w:lineRule="auto"/>
        <w:rPr>
          <w:b/>
          <w:sz w:val="30"/>
          <w:szCs w:val="30"/>
        </w:rPr>
      </w:pPr>
    </w:p>
    <w:p w:rsidR="00436472" w:rsidRPr="00B02752" w:rsidRDefault="00436472" w:rsidP="00436472">
      <w:pPr>
        <w:spacing w:line="360" w:lineRule="auto"/>
        <w:rPr>
          <w:b/>
          <w:sz w:val="30"/>
          <w:szCs w:val="30"/>
        </w:rPr>
      </w:pPr>
      <w:r>
        <w:rPr>
          <w:b/>
          <w:sz w:val="30"/>
          <w:szCs w:val="30"/>
        </w:rPr>
        <w:t>Introduction</w:t>
      </w:r>
    </w:p>
    <w:p w:rsidR="00436472" w:rsidRDefault="00436472" w:rsidP="00436472">
      <w:pPr>
        <w:spacing w:line="360" w:lineRule="auto"/>
      </w:pPr>
    </w:p>
    <w:p w:rsidR="00436472" w:rsidRDefault="00436472" w:rsidP="00436472">
      <w:pPr>
        <w:spacing w:line="360" w:lineRule="auto"/>
      </w:pPr>
      <w:r>
        <w:t xml:space="preserve">This </w:t>
      </w:r>
      <w:r w:rsidR="002A7E05">
        <w:t>chapter</w:t>
      </w:r>
      <w:r>
        <w:t xml:space="preserve"> has its roots in a </w:t>
      </w:r>
      <w:r w:rsidR="005C5C47">
        <w:t>paper</w:t>
      </w:r>
      <w:r>
        <w:t xml:space="preserve"> delivered at the 2012 FACE conference examining the misspecification of statistical performance indicators around the widening participation (WP) agenda in UK</w:t>
      </w:r>
      <w:r w:rsidR="005C5C47">
        <w:t xml:space="preserve"> </w:t>
      </w:r>
      <w:r w:rsidR="00D17E7D">
        <w:t>higher education</w:t>
      </w:r>
      <w:r w:rsidR="005C5C47">
        <w:t xml:space="preserve"> (HE)</w:t>
      </w:r>
      <w:r>
        <w:t xml:space="preserve">.  However, rather than reflecting the </w:t>
      </w:r>
      <w:r w:rsidR="005C5C47">
        <w:t xml:space="preserve">main </w:t>
      </w:r>
      <w:r>
        <w:t xml:space="preserve">content of the </w:t>
      </w:r>
      <w:r w:rsidR="005C5C47">
        <w:t>paper itself (</w:t>
      </w:r>
      <w:r>
        <w:t xml:space="preserve">largely published as Harrison, </w:t>
      </w:r>
      <w:r w:rsidR="00E92BA7">
        <w:t>2012</w:t>
      </w:r>
      <w:r>
        <w:t xml:space="preserve">), this </w:t>
      </w:r>
      <w:r w:rsidR="002A7E05">
        <w:t>chapter</w:t>
      </w:r>
      <w:r>
        <w:t xml:space="preserve"> re</w:t>
      </w:r>
      <w:r w:rsidR="00034E67">
        <w:t>-</w:t>
      </w:r>
      <w:r>
        <w:t xml:space="preserve">poses </w:t>
      </w:r>
      <w:r w:rsidR="005C5C47">
        <w:t xml:space="preserve">the </w:t>
      </w:r>
      <w:r>
        <w:t xml:space="preserve">five ‘looking forwards’ questions </w:t>
      </w:r>
      <w:r w:rsidR="005C5C47">
        <w:t>posed at the end</w:t>
      </w:r>
      <w:r w:rsidR="002A7E05">
        <w:t>.  This chapter</w:t>
      </w:r>
      <w:r>
        <w:t xml:space="preserve"> develops some of the themes explored in the discussion </w:t>
      </w:r>
      <w:r w:rsidR="005C5C47">
        <w:t>following</w:t>
      </w:r>
      <w:r>
        <w:t xml:space="preserve"> the </w:t>
      </w:r>
      <w:r w:rsidR="005C5C47">
        <w:t>paper</w:t>
      </w:r>
      <w:r>
        <w:t xml:space="preserve"> and elsewhere in the conference</w:t>
      </w:r>
      <w:r w:rsidR="00D17E7D">
        <w:t xml:space="preserve">, including </w:t>
      </w:r>
      <w:r>
        <w:t xml:space="preserve">the </w:t>
      </w:r>
      <w:r w:rsidR="00D17E7D">
        <w:t>(de)construction</w:t>
      </w:r>
      <w:r>
        <w:t xml:space="preserve"> of the key </w:t>
      </w:r>
      <w:r w:rsidR="00D17E7D">
        <w:t xml:space="preserve">WP </w:t>
      </w:r>
      <w:r>
        <w:t xml:space="preserve">outcomes, the contested nature </w:t>
      </w:r>
      <w:r w:rsidR="00034E67">
        <w:t xml:space="preserve">of </w:t>
      </w:r>
      <w:r w:rsidR="00D17E7D">
        <w:t>‘what works’ in educational research</w:t>
      </w:r>
      <w:r>
        <w:t xml:space="preserve">, fairness </w:t>
      </w:r>
      <w:r w:rsidR="00D17E7D">
        <w:t xml:space="preserve">and equality, </w:t>
      </w:r>
      <w:r>
        <w:t>and the wider societal impacts of WP policy and practice.</w:t>
      </w:r>
    </w:p>
    <w:p w:rsidR="00436472" w:rsidRDefault="00436472" w:rsidP="00436472"/>
    <w:p w:rsidR="00436472" w:rsidRDefault="00436472" w:rsidP="00436472"/>
    <w:p w:rsidR="00436472" w:rsidRPr="00C77015" w:rsidRDefault="00436472" w:rsidP="00436472">
      <w:pPr>
        <w:spacing w:line="360" w:lineRule="auto"/>
        <w:rPr>
          <w:b/>
          <w:sz w:val="30"/>
          <w:szCs w:val="30"/>
        </w:rPr>
      </w:pPr>
      <w:r>
        <w:rPr>
          <w:b/>
          <w:sz w:val="30"/>
          <w:szCs w:val="30"/>
        </w:rPr>
        <w:t>Context</w:t>
      </w:r>
    </w:p>
    <w:p w:rsidR="00436472" w:rsidRDefault="00436472" w:rsidP="00436472">
      <w:pPr>
        <w:spacing w:line="360" w:lineRule="auto"/>
      </w:pPr>
    </w:p>
    <w:p w:rsidR="00436472" w:rsidRDefault="00436472" w:rsidP="00436472">
      <w:pPr>
        <w:spacing w:line="360" w:lineRule="auto"/>
      </w:pPr>
      <w:r>
        <w:t xml:space="preserve">The </w:t>
      </w:r>
      <w:r w:rsidR="00D17E7D">
        <w:t>original</w:t>
      </w:r>
      <w:r>
        <w:t xml:space="preserve"> paper </w:t>
      </w:r>
      <w:r w:rsidR="00D17E7D">
        <w:t>addressed</w:t>
      </w:r>
      <w:r>
        <w:t xml:space="preserve"> the demise of the national Aimhigher </w:t>
      </w:r>
      <w:r w:rsidR="00034E67">
        <w:t>programme</w:t>
      </w:r>
      <w:r>
        <w:t xml:space="preserve">, launched in 2004 and cancelled in 2011.  Approaching £1 billion was expended </w:t>
      </w:r>
      <w:r w:rsidR="00D17E7D">
        <w:t>to increase</w:t>
      </w:r>
      <w:r>
        <w:t xml:space="preserve"> the proportion of young people from identified under-represented groups (</w:t>
      </w:r>
      <w:r w:rsidR="009C30C1">
        <w:t>Higher Education Funding Council for England [</w:t>
      </w:r>
      <w:r>
        <w:t>HEFCE</w:t>
      </w:r>
      <w:r w:rsidR="009C30C1">
        <w:t>],</w:t>
      </w:r>
      <w:r>
        <w:t xml:space="preserve"> </w:t>
      </w:r>
      <w:r w:rsidR="005C5C47">
        <w:t>2004; HEFCE</w:t>
      </w:r>
      <w:r w:rsidR="009C30C1">
        <w:t>,</w:t>
      </w:r>
      <w:r w:rsidR="005C5C47">
        <w:t xml:space="preserve"> 2007) applying to (and, by implication, entering)</w:t>
      </w:r>
      <w:r>
        <w:t xml:space="preserve"> </w:t>
      </w:r>
      <w:r w:rsidR="005C5C47">
        <w:t>HE</w:t>
      </w:r>
      <w:r>
        <w:t xml:space="preserve">.  This was </w:t>
      </w:r>
      <w:r w:rsidR="00454AD3">
        <w:t xml:space="preserve">primarily </w:t>
      </w:r>
      <w:r>
        <w:t>intended to close the so-called ‘social class gap’ (N</w:t>
      </w:r>
      <w:r w:rsidR="009C30C1">
        <w:t xml:space="preserve">ational </w:t>
      </w:r>
      <w:r>
        <w:t>A</w:t>
      </w:r>
      <w:r w:rsidR="009C30C1">
        <w:t xml:space="preserve">udit </w:t>
      </w:r>
      <w:r>
        <w:t>O</w:t>
      </w:r>
      <w:r w:rsidR="009C30C1">
        <w:t>ffice [NAO],</w:t>
      </w:r>
      <w:r>
        <w:t xml:space="preserve"> 2008) that saw </w:t>
      </w:r>
      <w:r w:rsidR="005C5C47">
        <w:lastRenderedPageBreak/>
        <w:t xml:space="preserve">participation </w:t>
      </w:r>
      <w:r>
        <w:t>among the highest socio-economic group being around six times that of the lowest.  Aimhigher offered a wide range of interventions at national, regional and sub-regional levels, including summer schools, university taster days, tutoring/mentoring, work experience, enhanced information/advice/guidance and similar.</w:t>
      </w:r>
      <w:r w:rsidR="00454AD3">
        <w:t xml:space="preserve">  Aimhigher was the main exposition of the WP agenda across this period, although individual universities and other organisations have made their own contribution; before, during and since.</w:t>
      </w:r>
    </w:p>
    <w:p w:rsidR="00436472" w:rsidRDefault="00436472" w:rsidP="00436472">
      <w:pPr>
        <w:spacing w:line="360" w:lineRule="auto"/>
      </w:pPr>
    </w:p>
    <w:p w:rsidR="00436472" w:rsidRDefault="00D17E7D" w:rsidP="00436472">
      <w:pPr>
        <w:spacing w:line="360" w:lineRule="auto"/>
      </w:pPr>
      <w:r>
        <w:t>One can</w:t>
      </w:r>
      <w:r w:rsidR="00436472">
        <w:t xml:space="preserve"> </w:t>
      </w:r>
      <w:r w:rsidR="005C5C47">
        <w:t>analyse</w:t>
      </w:r>
      <w:r w:rsidR="00436472">
        <w:t xml:space="preserve"> the cancellation of Aimhigher through a variety of lenses.  A critical perspective </w:t>
      </w:r>
      <w:r w:rsidR="00454AD3">
        <w:t>might</w:t>
      </w:r>
      <w:r w:rsidR="00436472">
        <w:t xml:space="preserve"> assert that the incoming Coalition government was </w:t>
      </w:r>
      <w:r>
        <w:t>ideologically</w:t>
      </w:r>
      <w:r w:rsidR="00436472">
        <w:t xml:space="preserve"> hostile to the challenge to the </w:t>
      </w:r>
      <w:r w:rsidR="00436472">
        <w:rPr>
          <w:i/>
        </w:rPr>
        <w:t>status quo</w:t>
      </w:r>
      <w:r w:rsidR="00436472">
        <w:t xml:space="preserve"> of wealthy families using their cultural, economic and social capital to secure university places for their children, especially in elite institutions.  This is</w:t>
      </w:r>
      <w:r w:rsidR="00454AD3">
        <w:t xml:space="preserve"> </w:t>
      </w:r>
      <w:r w:rsidR="00436472">
        <w:t xml:space="preserve">challenged by continuing </w:t>
      </w:r>
      <w:r>
        <w:t>policy</w:t>
      </w:r>
      <w:r w:rsidR="00436472">
        <w:t xml:space="preserve"> around social mobility within the 2011 White Paper (</w:t>
      </w:r>
      <w:r w:rsidR="009C30C1">
        <w:t>Department for Business, Innovation and Skills [DBIS],</w:t>
      </w:r>
      <w:r w:rsidR="0070581E">
        <w:t xml:space="preserve"> 2011</w:t>
      </w:r>
      <w:r w:rsidR="004506C0">
        <w:t>a</w:t>
      </w:r>
      <w:r w:rsidR="00436472">
        <w:t>)</w:t>
      </w:r>
      <w:r w:rsidR="003D2BCE">
        <w:t>,</w:t>
      </w:r>
      <w:r w:rsidR="00436472">
        <w:t xml:space="preserve"> alongside initiatives led by the Deputy Prime Minister (</w:t>
      </w:r>
      <w:r w:rsidR="0070581E">
        <w:t>Cabinet Office</w:t>
      </w:r>
      <w:r w:rsidR="009C30C1">
        <w:t>,</w:t>
      </w:r>
      <w:r w:rsidR="0070581E">
        <w:t xml:space="preserve"> 2011</w:t>
      </w:r>
      <w:r w:rsidR="00436472">
        <w:t>) and the social mobility ‘tsar’ (</w:t>
      </w:r>
      <w:r w:rsidR="003D2BCE">
        <w:t>Cabinet Office</w:t>
      </w:r>
      <w:r w:rsidR="009C30C1">
        <w:t>,</w:t>
      </w:r>
      <w:r w:rsidR="00436472">
        <w:t xml:space="preserve"> 2012).  A more pragmatic analysis might conclude that Aimhigher was collateral damage in the ‘bonfire of quangos’</w:t>
      </w:r>
      <w:r>
        <w:t>,</w:t>
      </w:r>
      <w:r w:rsidR="00436472">
        <w:t xml:space="preserve"> cut</w:t>
      </w:r>
      <w:r>
        <w:t>ting</w:t>
      </w:r>
      <w:r w:rsidR="00436472">
        <w:t xml:space="preserve"> costs </w:t>
      </w:r>
      <w:r w:rsidR="0073093B">
        <w:t>in a period of austerity</w:t>
      </w:r>
      <w:r w:rsidR="00436472">
        <w:t xml:space="preserve">.  Indeed, </w:t>
      </w:r>
      <w:r w:rsidR="00034E67">
        <w:t xml:space="preserve">the Labour government had nearly halved </w:t>
      </w:r>
      <w:r>
        <w:t xml:space="preserve">Aimhigher’s </w:t>
      </w:r>
      <w:r w:rsidR="00436472">
        <w:t>budget in 2008.</w:t>
      </w:r>
    </w:p>
    <w:p w:rsidR="00436472" w:rsidRDefault="00436472" w:rsidP="00436472">
      <w:pPr>
        <w:spacing w:line="360" w:lineRule="auto"/>
      </w:pPr>
    </w:p>
    <w:p w:rsidR="00436472" w:rsidRDefault="00D17E7D" w:rsidP="00436472">
      <w:pPr>
        <w:spacing w:line="360" w:lineRule="auto"/>
      </w:pPr>
      <w:r>
        <w:t>A</w:t>
      </w:r>
      <w:r w:rsidR="00436472">
        <w:t>lternative</w:t>
      </w:r>
      <w:r>
        <w:t>ly</w:t>
      </w:r>
      <w:r w:rsidR="00436472">
        <w:t xml:space="preserve"> there was simply no evidence that it was working; at least, not </w:t>
      </w:r>
      <w:r w:rsidR="00034E67">
        <w:t>under the</w:t>
      </w:r>
      <w:r w:rsidR="00436472">
        <w:t xml:space="preserve"> official statistic designed to </w:t>
      </w:r>
      <w:r w:rsidR="00436472" w:rsidRPr="004506C0">
        <w:t>track progress.  Harrison (</w:t>
      </w:r>
      <w:r w:rsidR="00E92BA7">
        <w:t>2012</w:t>
      </w:r>
      <w:r w:rsidR="00436472" w:rsidRPr="004506C0">
        <w:t>) argues that p</w:t>
      </w:r>
      <w:r w:rsidRPr="004506C0">
        <w:t xml:space="preserve">roblems with data definitions </w:t>
      </w:r>
      <w:r w:rsidR="00436472" w:rsidRPr="004506C0">
        <w:t xml:space="preserve">and processing, coupled with a poor </w:t>
      </w:r>
      <w:r w:rsidRPr="004506C0">
        <w:t xml:space="preserve">mission </w:t>
      </w:r>
      <w:r w:rsidR="00436472" w:rsidRPr="004506C0">
        <w:t xml:space="preserve">specification and understanding of what </w:t>
      </w:r>
      <w:r w:rsidR="00034E67" w:rsidRPr="004506C0">
        <w:t xml:space="preserve">constituted </w:t>
      </w:r>
      <w:r w:rsidR="00436472" w:rsidRPr="004506C0">
        <w:t>‘policy success’ (</w:t>
      </w:r>
      <w:r w:rsidR="004506C0" w:rsidRPr="004506C0">
        <w:rPr>
          <w:bCs/>
          <w:iCs/>
          <w:color w:val="000000" w:themeColor="text1"/>
        </w:rPr>
        <w:t>McConnell</w:t>
      </w:r>
      <w:r w:rsidR="009C30C1">
        <w:rPr>
          <w:bCs/>
          <w:iCs/>
          <w:color w:val="000000" w:themeColor="text1"/>
        </w:rPr>
        <w:t>,</w:t>
      </w:r>
      <w:r w:rsidR="004506C0" w:rsidRPr="004506C0">
        <w:rPr>
          <w:bCs/>
          <w:iCs/>
          <w:color w:val="000000" w:themeColor="text1"/>
        </w:rPr>
        <w:t xml:space="preserve"> 2010</w:t>
      </w:r>
      <w:r w:rsidR="00436472" w:rsidRPr="004506C0">
        <w:t>),</w:t>
      </w:r>
      <w:r w:rsidR="00034E67" w:rsidRPr="004506C0">
        <w:t xml:space="preserve"> made</w:t>
      </w:r>
      <w:r w:rsidR="00034E67">
        <w:t xml:space="preserve"> it </w:t>
      </w:r>
      <w:r w:rsidR="00436472">
        <w:t xml:space="preserve">inevitable that Aimhigher’s impact </w:t>
      </w:r>
      <w:r w:rsidR="00034E67">
        <w:t xml:space="preserve">was </w:t>
      </w:r>
      <w:r w:rsidR="00436472">
        <w:t xml:space="preserve">contested.  A new performance indicator (‘Full-time Young Participation by Socio-Economic </w:t>
      </w:r>
      <w:r w:rsidR="005C5C47">
        <w:t>Class’</w:t>
      </w:r>
      <w:r w:rsidR="00436472">
        <w:t xml:space="preserve"> or FYPSEC) was created in 2008 (</w:t>
      </w:r>
      <w:r w:rsidR="004506C0">
        <w:t xml:space="preserve">Kelly </w:t>
      </w:r>
      <w:r w:rsidR="006C1C87">
        <w:t>and</w:t>
      </w:r>
      <w:r w:rsidR="004506C0">
        <w:t xml:space="preserve"> Cook</w:t>
      </w:r>
      <w:r w:rsidR="009C30C1">
        <w:t>,</w:t>
      </w:r>
      <w:r w:rsidR="004506C0">
        <w:t xml:space="preserve"> 2008</w:t>
      </w:r>
      <w:r w:rsidR="00436472">
        <w:t>) and then abandoned in 2011 (</w:t>
      </w:r>
      <w:r w:rsidR="009C30C1">
        <w:t>D</w:t>
      </w:r>
      <w:r w:rsidR="00436472">
        <w:t>BIS</w:t>
      </w:r>
      <w:r w:rsidR="009C30C1">
        <w:t>,</w:t>
      </w:r>
      <w:r w:rsidR="00436472">
        <w:t xml:space="preserve"> 2011</w:t>
      </w:r>
      <w:r w:rsidR="004506C0">
        <w:t>b</w:t>
      </w:r>
      <w:r w:rsidR="00436472">
        <w:t>).  The official reason was that there were data issues – which there undoubtedly were – but FYPSEC was showing very modest returns on the government’s investment in Aimhigher</w:t>
      </w:r>
      <w:r w:rsidR="0073093B">
        <w:t>.</w:t>
      </w:r>
    </w:p>
    <w:p w:rsidR="00436472" w:rsidRDefault="00436472" w:rsidP="00436472">
      <w:pPr>
        <w:spacing w:line="360" w:lineRule="auto"/>
      </w:pPr>
    </w:p>
    <w:p w:rsidR="00436472" w:rsidRDefault="00034E67" w:rsidP="00436472">
      <w:pPr>
        <w:spacing w:line="360" w:lineRule="auto"/>
      </w:pPr>
      <w:r>
        <w:t>However, a</w:t>
      </w:r>
      <w:r w:rsidR="00436472">
        <w:t xml:space="preserve"> number of other official sources (notably HEFCE</w:t>
      </w:r>
      <w:r w:rsidR="009C30C1">
        <w:t>,</w:t>
      </w:r>
      <w:r w:rsidR="00436472">
        <w:t xml:space="preserve"> 2010) suggested that the social composition of </w:t>
      </w:r>
      <w:r w:rsidR="006E3347">
        <w:t>HE</w:t>
      </w:r>
      <w:r w:rsidR="00436472">
        <w:t xml:space="preserve"> was shifting and that the change was accelerating through the latter years of Aimhigher’s life.  This chimed with the perceptions of chalk-face practitioners (</w:t>
      </w:r>
      <w:r w:rsidR="00BF7483">
        <w:t xml:space="preserve">Moore </w:t>
      </w:r>
      <w:r w:rsidR="006C1C87">
        <w:t>and</w:t>
      </w:r>
      <w:r w:rsidR="00BF7483">
        <w:t xml:space="preserve"> </w:t>
      </w:r>
      <w:proofErr w:type="spellStart"/>
      <w:r w:rsidR="00BF7483">
        <w:t>Dunworth</w:t>
      </w:r>
      <w:proofErr w:type="spellEnd"/>
      <w:r w:rsidR="009C30C1">
        <w:t>,</w:t>
      </w:r>
      <w:r w:rsidR="00BF7483">
        <w:t xml:space="preserve"> 2011</w:t>
      </w:r>
      <w:r w:rsidR="00436472">
        <w:t>), academic researchers (</w:t>
      </w:r>
      <w:proofErr w:type="spellStart"/>
      <w:r w:rsidR="00D545D3">
        <w:t>Chilosi</w:t>
      </w:r>
      <w:proofErr w:type="spellEnd"/>
      <w:r w:rsidR="00D545D3">
        <w:t xml:space="preserve"> </w:t>
      </w:r>
      <w:r w:rsidR="006C1C87">
        <w:t>et al.</w:t>
      </w:r>
      <w:r w:rsidR="009C30C1">
        <w:t>,</w:t>
      </w:r>
      <w:r w:rsidR="00D545D3">
        <w:t xml:space="preserve"> 2010</w:t>
      </w:r>
      <w:r w:rsidR="00436472">
        <w:t>) and the early national evaluations (</w:t>
      </w:r>
      <w:r w:rsidR="00B0307A">
        <w:t xml:space="preserve">e.g. </w:t>
      </w:r>
      <w:proofErr w:type="spellStart"/>
      <w:r w:rsidR="00B0307A">
        <w:t>Emmerson</w:t>
      </w:r>
      <w:proofErr w:type="spellEnd"/>
      <w:r w:rsidR="00B0307A">
        <w:t xml:space="preserve"> </w:t>
      </w:r>
      <w:r w:rsidR="006C1C87">
        <w:t>et al.</w:t>
      </w:r>
      <w:r w:rsidR="009C30C1">
        <w:t>,</w:t>
      </w:r>
      <w:r w:rsidR="00B0307A">
        <w:t xml:space="preserve"> 2005</w:t>
      </w:r>
      <w:r w:rsidR="00436472">
        <w:t>).</w:t>
      </w:r>
      <w:r w:rsidR="0073093B">
        <w:t xml:space="preserve">  The </w:t>
      </w:r>
      <w:r w:rsidR="00DF1C2F">
        <w:t>trend</w:t>
      </w:r>
      <w:r w:rsidR="0073093B">
        <w:t xml:space="preserve"> was even more marked </w:t>
      </w:r>
      <w:r w:rsidR="00DF1C2F">
        <w:t>in</w:t>
      </w:r>
      <w:r w:rsidR="0073093B">
        <w:t xml:space="preserve"> applications than admissions</w:t>
      </w:r>
      <w:r w:rsidR="005C5C47">
        <w:t xml:space="preserve"> (</w:t>
      </w:r>
      <w:r w:rsidR="00E92BA7">
        <w:t>2012</w:t>
      </w:r>
      <w:r w:rsidR="005C5C47">
        <w:t>)</w:t>
      </w:r>
      <w:r w:rsidR="0073093B">
        <w:t>.</w:t>
      </w:r>
    </w:p>
    <w:p w:rsidR="00436472" w:rsidRDefault="00436472" w:rsidP="00436472">
      <w:pPr>
        <w:spacing w:line="360" w:lineRule="auto"/>
      </w:pPr>
    </w:p>
    <w:p w:rsidR="00436472" w:rsidRDefault="00436472" w:rsidP="00436472">
      <w:pPr>
        <w:spacing w:line="360" w:lineRule="auto"/>
      </w:pPr>
      <w:r>
        <w:t xml:space="preserve">So, was Aimhigher a success?  Its supporters could not </w:t>
      </w:r>
      <w:r w:rsidR="00CC1C13">
        <w:t>point to</w:t>
      </w:r>
      <w:r>
        <w:t xml:space="preserve"> cast-iron evidence that it was.  There was a consensus around the organisation and its partners that, after a rocky and ill-focused birth, Aimhigher had found its feet and was delivering the agenda asked of it.  However, the </w:t>
      </w:r>
      <w:r w:rsidR="0073093B">
        <w:t xml:space="preserve">‘hard’ </w:t>
      </w:r>
      <w:r>
        <w:lastRenderedPageBreak/>
        <w:t xml:space="preserve">evidence to support this view was partial and poorly grounded.  The national evaluation designed to quantitatively isolate Aimhigher’s contribution failed to fulfil its brief, citing data problems and falling back on ‘soft’ descriptive </w:t>
      </w:r>
      <w:r w:rsidR="005C5C47">
        <w:t>data</w:t>
      </w:r>
      <w:r>
        <w:t xml:space="preserve"> (</w:t>
      </w:r>
      <w:r w:rsidR="00B0307A">
        <w:t xml:space="preserve">Passy </w:t>
      </w:r>
      <w:r w:rsidR="006C1C87">
        <w:t>and</w:t>
      </w:r>
      <w:r w:rsidR="00B0307A">
        <w:t xml:space="preserve"> Morris</w:t>
      </w:r>
      <w:r w:rsidR="009C30C1">
        <w:t>,</w:t>
      </w:r>
      <w:r w:rsidR="00B0307A">
        <w:t xml:space="preserve"> 2010</w:t>
      </w:r>
      <w:r>
        <w:t xml:space="preserve">).  Aimhigher’s sceptics could point to other possible </w:t>
      </w:r>
      <w:r w:rsidR="00034E67">
        <w:t>causes</w:t>
      </w:r>
      <w:r>
        <w:t xml:space="preserve"> for positive trends in </w:t>
      </w:r>
      <w:r w:rsidR="00CC1C13">
        <w:t xml:space="preserve">HE </w:t>
      </w:r>
      <w:r>
        <w:t>applications and admissions.</w:t>
      </w:r>
    </w:p>
    <w:p w:rsidR="00436472" w:rsidRPr="007830AB" w:rsidRDefault="00436472" w:rsidP="00436472">
      <w:pPr>
        <w:spacing w:line="360" w:lineRule="auto"/>
      </w:pPr>
    </w:p>
    <w:p w:rsidR="00A8555F" w:rsidRPr="007830AB" w:rsidRDefault="00A8555F" w:rsidP="0088009C">
      <w:pPr>
        <w:spacing w:line="360" w:lineRule="auto"/>
      </w:pPr>
    </w:p>
    <w:p w:rsidR="00436472" w:rsidRPr="0088009C" w:rsidRDefault="0088009C" w:rsidP="0088009C">
      <w:pPr>
        <w:spacing w:line="360" w:lineRule="auto"/>
        <w:rPr>
          <w:b/>
          <w:sz w:val="30"/>
          <w:szCs w:val="30"/>
        </w:rPr>
      </w:pPr>
      <w:r w:rsidRPr="0088009C">
        <w:rPr>
          <w:b/>
          <w:sz w:val="30"/>
          <w:szCs w:val="30"/>
        </w:rPr>
        <w:t>Five questions in search of answers</w:t>
      </w:r>
    </w:p>
    <w:p w:rsidR="00436472" w:rsidRDefault="00436472" w:rsidP="0088009C">
      <w:pPr>
        <w:spacing w:line="360" w:lineRule="auto"/>
      </w:pPr>
    </w:p>
    <w:p w:rsidR="00436472" w:rsidRDefault="0088009C" w:rsidP="0088009C">
      <w:pPr>
        <w:spacing w:line="360" w:lineRule="auto"/>
      </w:pPr>
      <w:r>
        <w:t xml:space="preserve">The conference </w:t>
      </w:r>
      <w:r w:rsidR="00430A6C">
        <w:t>paper</w:t>
      </w:r>
      <w:r>
        <w:t xml:space="preserve"> posed five questions</w:t>
      </w:r>
      <w:r w:rsidR="00034E67">
        <w:t xml:space="preserve"> that</w:t>
      </w:r>
      <w:r w:rsidR="00430A6C">
        <w:t xml:space="preserve"> </w:t>
      </w:r>
      <w:r>
        <w:t>are</w:t>
      </w:r>
      <w:r w:rsidR="00034E67">
        <w:t xml:space="preserve"> </w:t>
      </w:r>
      <w:r>
        <w:t>re</w:t>
      </w:r>
      <w:r w:rsidR="00034E67">
        <w:t>-</w:t>
      </w:r>
      <w:r>
        <w:t>posed</w:t>
      </w:r>
      <w:r w:rsidR="00034E67">
        <w:t xml:space="preserve">, </w:t>
      </w:r>
      <w:r w:rsidR="006C1C87">
        <w:t xml:space="preserve">in a </w:t>
      </w:r>
      <w:r>
        <w:t>slightly amended</w:t>
      </w:r>
      <w:r w:rsidR="006C1C87">
        <w:t xml:space="preserve"> form</w:t>
      </w:r>
      <w:r w:rsidR="00034E67">
        <w:t>,</w:t>
      </w:r>
      <w:r>
        <w:t xml:space="preserve"> </w:t>
      </w:r>
      <w:r w:rsidR="00034E67">
        <w:t>below</w:t>
      </w:r>
      <w:r>
        <w:t>:</w:t>
      </w:r>
    </w:p>
    <w:p w:rsidR="00436472" w:rsidRDefault="00436472" w:rsidP="0088009C">
      <w:pPr>
        <w:spacing w:line="360" w:lineRule="auto"/>
        <w:ind w:left="720"/>
      </w:pPr>
    </w:p>
    <w:p w:rsidR="00EF29FD" w:rsidRPr="00436472" w:rsidRDefault="006C7DEE" w:rsidP="0088009C">
      <w:pPr>
        <w:numPr>
          <w:ilvl w:val="0"/>
          <w:numId w:val="1"/>
        </w:numPr>
        <w:spacing w:line="360" w:lineRule="auto"/>
      </w:pPr>
      <w:r w:rsidRPr="00436472">
        <w:t xml:space="preserve">Is </w:t>
      </w:r>
      <w:r w:rsidR="00430A6C">
        <w:t>WP</w:t>
      </w:r>
      <w:r w:rsidRPr="00436472">
        <w:t xml:space="preserve"> about school attainment, aspirations, applications, admissions or something else?</w:t>
      </w:r>
    </w:p>
    <w:p w:rsidR="0088009C" w:rsidRPr="00436472" w:rsidRDefault="0088009C" w:rsidP="0088009C">
      <w:pPr>
        <w:numPr>
          <w:ilvl w:val="0"/>
          <w:numId w:val="1"/>
        </w:numPr>
        <w:spacing w:line="360" w:lineRule="auto"/>
      </w:pPr>
      <w:r w:rsidRPr="00436472">
        <w:t xml:space="preserve">Is it enough to know that </w:t>
      </w:r>
      <w:r>
        <w:t>young people</w:t>
      </w:r>
      <w:r w:rsidRPr="00436472">
        <w:t xml:space="preserve"> enjoy and value </w:t>
      </w:r>
      <w:r w:rsidR="00430A6C">
        <w:t>WP</w:t>
      </w:r>
      <w:r w:rsidRPr="00436472">
        <w:t xml:space="preserve"> interventions – what about behaviour change?</w:t>
      </w:r>
    </w:p>
    <w:p w:rsidR="00B018C5" w:rsidRPr="00436472" w:rsidRDefault="00B018C5" w:rsidP="00B018C5">
      <w:pPr>
        <w:numPr>
          <w:ilvl w:val="0"/>
          <w:numId w:val="1"/>
        </w:numPr>
        <w:spacing w:line="360" w:lineRule="auto"/>
      </w:pPr>
      <w:r w:rsidRPr="00436472">
        <w:t xml:space="preserve">Are area-based approaches </w:t>
      </w:r>
      <w:r>
        <w:t xml:space="preserve">to </w:t>
      </w:r>
      <w:r w:rsidR="00430A6C">
        <w:t>WP</w:t>
      </w:r>
      <w:r>
        <w:t xml:space="preserve"> </w:t>
      </w:r>
      <w:r w:rsidRPr="00436472">
        <w:t>fair?</w:t>
      </w:r>
    </w:p>
    <w:p w:rsidR="00EF29FD" w:rsidRPr="00436472" w:rsidRDefault="006C7DEE" w:rsidP="0088009C">
      <w:pPr>
        <w:numPr>
          <w:ilvl w:val="0"/>
          <w:numId w:val="1"/>
        </w:numPr>
        <w:spacing w:line="360" w:lineRule="auto"/>
      </w:pPr>
      <w:r w:rsidRPr="00436472">
        <w:t xml:space="preserve">Is social class the </w:t>
      </w:r>
      <w:r w:rsidRPr="00436472">
        <w:rPr>
          <w:i/>
          <w:iCs/>
        </w:rPr>
        <w:t>cause</w:t>
      </w:r>
      <w:r w:rsidRPr="00436472">
        <w:t xml:space="preserve"> or a </w:t>
      </w:r>
      <w:r w:rsidRPr="00436472">
        <w:rPr>
          <w:i/>
          <w:iCs/>
        </w:rPr>
        <w:t>symptom</w:t>
      </w:r>
      <w:r w:rsidR="0088009C">
        <w:t xml:space="preserve"> of </w:t>
      </w:r>
      <w:r w:rsidR="00E20A3A">
        <w:t>educational inequalities</w:t>
      </w:r>
      <w:r w:rsidR="00034E67">
        <w:t xml:space="preserve"> – and which</w:t>
      </w:r>
      <w:r w:rsidRPr="00436472">
        <w:t>?</w:t>
      </w:r>
    </w:p>
    <w:p w:rsidR="00EF29FD" w:rsidRPr="00436472" w:rsidRDefault="006C7DEE" w:rsidP="0088009C">
      <w:pPr>
        <w:numPr>
          <w:ilvl w:val="0"/>
          <w:numId w:val="1"/>
        </w:numPr>
        <w:spacing w:line="360" w:lineRule="auto"/>
      </w:pPr>
      <w:r w:rsidRPr="00436472">
        <w:t xml:space="preserve">Is participation without economic regeneration </w:t>
      </w:r>
      <w:r w:rsidRPr="0088009C">
        <w:rPr>
          <w:i/>
        </w:rPr>
        <w:t>solving</w:t>
      </w:r>
      <w:r w:rsidRPr="00436472">
        <w:t xml:space="preserve"> or </w:t>
      </w:r>
      <w:r w:rsidRPr="0088009C">
        <w:rPr>
          <w:i/>
        </w:rPr>
        <w:t>worsening</w:t>
      </w:r>
      <w:r w:rsidRPr="00436472">
        <w:t xml:space="preserve"> the problem?</w:t>
      </w:r>
    </w:p>
    <w:p w:rsidR="003F536D" w:rsidRDefault="003F536D" w:rsidP="0088009C">
      <w:pPr>
        <w:spacing w:line="360" w:lineRule="auto"/>
      </w:pPr>
    </w:p>
    <w:p w:rsidR="0088009C" w:rsidRDefault="00B67E7B" w:rsidP="0088009C">
      <w:pPr>
        <w:spacing w:line="360" w:lineRule="auto"/>
      </w:pPr>
      <w:r>
        <w:t>We will take each of these questions in turn, develop the thinking that underpins them</w:t>
      </w:r>
      <w:r w:rsidR="00B018C5">
        <w:t>, review the evidence</w:t>
      </w:r>
      <w:r>
        <w:t xml:space="preserve"> and attempt to pr</w:t>
      </w:r>
      <w:r w:rsidR="00B018C5">
        <w:t>ovide pathways towards answering them.</w:t>
      </w:r>
    </w:p>
    <w:p w:rsidR="00B018C5" w:rsidRDefault="00B018C5" w:rsidP="0088009C">
      <w:pPr>
        <w:spacing w:line="360" w:lineRule="auto"/>
      </w:pPr>
    </w:p>
    <w:p w:rsidR="00B018C5" w:rsidRDefault="00B018C5" w:rsidP="0088009C">
      <w:pPr>
        <w:spacing w:line="360" w:lineRule="auto"/>
      </w:pPr>
    </w:p>
    <w:p w:rsidR="00B018C5" w:rsidRDefault="00B018C5" w:rsidP="0088009C">
      <w:pPr>
        <w:spacing w:line="360" w:lineRule="auto"/>
        <w:rPr>
          <w:b/>
          <w:sz w:val="26"/>
          <w:szCs w:val="26"/>
        </w:rPr>
      </w:pPr>
      <w:r w:rsidRPr="00B018C5">
        <w:rPr>
          <w:b/>
          <w:sz w:val="26"/>
          <w:szCs w:val="26"/>
        </w:rPr>
        <w:t xml:space="preserve">Question 1: outcomes and measures of success </w:t>
      </w:r>
    </w:p>
    <w:p w:rsidR="00B018C5" w:rsidRDefault="00B018C5" w:rsidP="0088009C">
      <w:pPr>
        <w:spacing w:line="360" w:lineRule="auto"/>
      </w:pPr>
    </w:p>
    <w:p w:rsidR="00690A33" w:rsidRDefault="00B018C5" w:rsidP="0088009C">
      <w:pPr>
        <w:spacing w:line="360" w:lineRule="auto"/>
      </w:pPr>
      <w:r>
        <w:t>Aimhigher’s mission shifted markedly during its seven years of existence.  While the Dearing Report (</w:t>
      </w:r>
      <w:r w:rsidR="009C30C1">
        <w:t>National Committee of Inquiry into Higher Education</w:t>
      </w:r>
      <w:r w:rsidR="00507FF7">
        <w:t xml:space="preserve"> [NCIHE]</w:t>
      </w:r>
      <w:r w:rsidR="009C30C1">
        <w:t>,</w:t>
      </w:r>
      <w:r>
        <w:t xml:space="preserve"> 1997) and the 2003 White Paper (</w:t>
      </w:r>
      <w:r w:rsidR="009C30C1">
        <w:t>Department for Education and Skills [</w:t>
      </w:r>
      <w:proofErr w:type="spellStart"/>
      <w:r w:rsidR="009C30C1">
        <w:t>DfES</w:t>
      </w:r>
      <w:proofErr w:type="spellEnd"/>
      <w:r w:rsidR="009C30C1">
        <w:t>],</w:t>
      </w:r>
      <w:r>
        <w:t xml:space="preserve"> 2003</w:t>
      </w:r>
      <w:r w:rsidR="001063AE">
        <w:t>a</w:t>
      </w:r>
      <w:r>
        <w:t xml:space="preserve">) </w:t>
      </w:r>
      <w:r w:rsidR="005C5C47">
        <w:t xml:space="preserve">focused on </w:t>
      </w:r>
      <w:r>
        <w:t xml:space="preserve">those </w:t>
      </w:r>
      <w:r w:rsidR="00DF1C2F">
        <w:t xml:space="preserve">already </w:t>
      </w:r>
      <w:r>
        <w:t xml:space="preserve">studying, Aimhigher was originally charged to focus on aspirations for </w:t>
      </w:r>
      <w:r w:rsidR="006E3347">
        <w:t>HE</w:t>
      </w:r>
      <w:r>
        <w:t>, as manifested in young people maki</w:t>
      </w:r>
      <w:r w:rsidR="005C5C47">
        <w:t>ng applications (HEFCE</w:t>
      </w:r>
      <w:r w:rsidR="009C30C1">
        <w:t>,</w:t>
      </w:r>
      <w:r w:rsidR="005C5C47">
        <w:t xml:space="preserve"> 2004)</w:t>
      </w:r>
      <w:r w:rsidR="00B166F5">
        <w:t>, with</w:t>
      </w:r>
      <w:r>
        <w:t xml:space="preserve"> a tacit assumption that applications would inexorably lead to admissions.  </w:t>
      </w:r>
      <w:r w:rsidR="00DF1C2F">
        <w:t>Many</w:t>
      </w:r>
      <w:r w:rsidR="00690A33">
        <w:t xml:space="preserve"> WP practitioners demurred from se</w:t>
      </w:r>
      <w:r w:rsidR="005C5C47">
        <w:t xml:space="preserve">eing admissions as their </w:t>
      </w:r>
      <w:r w:rsidR="00DF1C2F">
        <w:t>concern</w:t>
      </w:r>
      <w:r w:rsidR="005C5C47">
        <w:t xml:space="preserve">, as </w:t>
      </w:r>
      <w:r w:rsidR="00690A33">
        <w:t xml:space="preserve">these decisions were firmly within the remit of individual universities.  </w:t>
      </w:r>
      <w:r w:rsidR="00DF1C2F">
        <w:t>However,</w:t>
      </w:r>
      <w:r w:rsidR="00690A33">
        <w:t xml:space="preserve"> there are many ways in which young people can be taught to ‘play the game’ of university admissions, whether by making </w:t>
      </w:r>
      <w:r w:rsidR="00DF1C2F">
        <w:t>tactical</w:t>
      </w:r>
      <w:r w:rsidR="00690A33">
        <w:t xml:space="preserve"> choices or enriching the personal statement that looms so large, especially for elite universities</w:t>
      </w:r>
      <w:r w:rsidR="005C5C47">
        <w:t xml:space="preserve"> (</w:t>
      </w:r>
      <w:r w:rsidR="00B0307A">
        <w:t>Jones</w:t>
      </w:r>
      <w:r w:rsidR="009C30C1">
        <w:t>,</w:t>
      </w:r>
      <w:r w:rsidR="00B0307A">
        <w:t xml:space="preserve"> 2012</w:t>
      </w:r>
      <w:r w:rsidR="005C5C47">
        <w:t>)</w:t>
      </w:r>
      <w:r w:rsidR="00690A33">
        <w:t>.</w:t>
      </w:r>
    </w:p>
    <w:p w:rsidR="00690A33" w:rsidRDefault="00690A33" w:rsidP="0088009C">
      <w:pPr>
        <w:spacing w:line="360" w:lineRule="auto"/>
      </w:pPr>
    </w:p>
    <w:p w:rsidR="00690A33" w:rsidRDefault="002D1752" w:rsidP="0088009C">
      <w:pPr>
        <w:spacing w:line="360" w:lineRule="auto"/>
      </w:pPr>
      <w:r>
        <w:lastRenderedPageBreak/>
        <w:t xml:space="preserve">The essential problem, though, was that the relationship between applications and admissions began to break down in the late 2000s.  </w:t>
      </w:r>
      <w:r>
        <w:rPr>
          <w:rFonts w:cs="Arial"/>
          <w:color w:val="000000" w:themeColor="text1"/>
        </w:rPr>
        <w:t xml:space="preserve">Coleman and </w:t>
      </w:r>
      <w:proofErr w:type="spellStart"/>
      <w:r w:rsidRPr="007854F7">
        <w:rPr>
          <w:rFonts w:cs="Arial"/>
          <w:color w:val="000000" w:themeColor="text1"/>
        </w:rPr>
        <w:t>Bekhradnia</w:t>
      </w:r>
      <w:proofErr w:type="spellEnd"/>
      <w:r>
        <w:rPr>
          <w:rFonts w:cs="Arial"/>
          <w:color w:val="000000" w:themeColor="text1"/>
        </w:rPr>
        <w:t xml:space="preserve"> (2011) note</w:t>
      </w:r>
      <w:r w:rsidR="005C5C47" w:rsidRPr="005C5C47">
        <w:rPr>
          <w:rFonts w:cs="Arial"/>
          <w:color w:val="000000" w:themeColor="text1"/>
        </w:rPr>
        <w:t xml:space="preserve"> </w:t>
      </w:r>
      <w:r w:rsidR="005C5C47">
        <w:rPr>
          <w:rFonts w:cs="Arial"/>
          <w:color w:val="000000" w:themeColor="text1"/>
        </w:rPr>
        <w:t>that from 2009 onwards</w:t>
      </w:r>
      <w:r>
        <w:rPr>
          <w:rFonts w:cs="Arial"/>
          <w:color w:val="000000" w:themeColor="text1"/>
        </w:rPr>
        <w:t xml:space="preserve">, </w:t>
      </w:r>
      <w:r w:rsidR="001009B0">
        <w:rPr>
          <w:rFonts w:cs="Arial"/>
          <w:color w:val="000000" w:themeColor="text1"/>
        </w:rPr>
        <w:t xml:space="preserve">demand for </w:t>
      </w:r>
      <w:r w:rsidR="006E3347">
        <w:rPr>
          <w:rFonts w:cs="Arial"/>
          <w:color w:val="000000" w:themeColor="text1"/>
        </w:rPr>
        <w:t>HE</w:t>
      </w:r>
      <w:r w:rsidR="001009B0">
        <w:rPr>
          <w:rFonts w:cs="Arial"/>
          <w:color w:val="000000" w:themeColor="text1"/>
        </w:rPr>
        <w:t xml:space="preserve"> began to serious</w:t>
      </w:r>
      <w:r w:rsidR="005C5C47">
        <w:rPr>
          <w:rFonts w:cs="Arial"/>
          <w:color w:val="000000" w:themeColor="text1"/>
        </w:rPr>
        <w:t>ly</w:t>
      </w:r>
      <w:r w:rsidR="001009B0">
        <w:rPr>
          <w:rFonts w:cs="Arial"/>
          <w:color w:val="000000" w:themeColor="text1"/>
        </w:rPr>
        <w:t xml:space="preserve"> outstrip </w:t>
      </w:r>
      <w:r w:rsidR="00B166F5">
        <w:rPr>
          <w:rFonts w:cs="Arial"/>
          <w:color w:val="000000" w:themeColor="text1"/>
        </w:rPr>
        <w:t xml:space="preserve">the </w:t>
      </w:r>
      <w:r w:rsidR="001009B0">
        <w:rPr>
          <w:rFonts w:cs="Arial"/>
          <w:color w:val="000000" w:themeColor="text1"/>
        </w:rPr>
        <w:t>supply, constrained b</w:t>
      </w:r>
      <w:r w:rsidR="005C5C47">
        <w:rPr>
          <w:rFonts w:cs="Arial"/>
          <w:color w:val="000000" w:themeColor="text1"/>
        </w:rPr>
        <w:t>y government funding levers</w:t>
      </w:r>
      <w:r w:rsidR="001009B0">
        <w:rPr>
          <w:rFonts w:cs="Arial"/>
          <w:color w:val="000000" w:themeColor="text1"/>
        </w:rPr>
        <w:t xml:space="preserve">.  There was a new competitiveness bubbling up, signalling the end of the Robbins principle of a </w:t>
      </w:r>
      <w:r w:rsidR="00272532">
        <w:rPr>
          <w:rFonts w:cs="Arial"/>
          <w:color w:val="000000" w:themeColor="text1"/>
        </w:rPr>
        <w:t xml:space="preserve">university </w:t>
      </w:r>
      <w:r w:rsidR="005C5C47">
        <w:rPr>
          <w:rFonts w:cs="Arial"/>
          <w:color w:val="000000" w:themeColor="text1"/>
        </w:rPr>
        <w:t>place for every qualified person</w:t>
      </w:r>
      <w:r w:rsidR="001009B0">
        <w:rPr>
          <w:rFonts w:cs="Arial"/>
          <w:color w:val="000000" w:themeColor="text1"/>
        </w:rPr>
        <w:t xml:space="preserve"> who </w:t>
      </w:r>
      <w:r w:rsidR="00DF1C2F">
        <w:rPr>
          <w:rFonts w:cs="Arial"/>
          <w:color w:val="000000" w:themeColor="text1"/>
        </w:rPr>
        <w:t>wanted</w:t>
      </w:r>
      <w:r w:rsidR="00272532">
        <w:rPr>
          <w:rFonts w:cs="Arial"/>
          <w:color w:val="000000" w:themeColor="text1"/>
        </w:rPr>
        <w:t xml:space="preserve"> one</w:t>
      </w:r>
      <w:r w:rsidR="001009B0">
        <w:rPr>
          <w:rFonts w:cs="Arial"/>
          <w:color w:val="000000" w:themeColor="text1"/>
        </w:rPr>
        <w:t>.</w:t>
      </w:r>
      <w:r w:rsidR="00272532">
        <w:rPr>
          <w:rFonts w:cs="Arial"/>
          <w:color w:val="000000" w:themeColor="text1"/>
        </w:rPr>
        <w:t xml:space="preserve">  </w:t>
      </w:r>
      <w:r w:rsidR="00B166F5">
        <w:rPr>
          <w:rFonts w:cs="Arial"/>
          <w:color w:val="000000" w:themeColor="text1"/>
        </w:rPr>
        <w:t xml:space="preserve">As a result, the </w:t>
      </w:r>
      <w:r w:rsidR="00272532">
        <w:rPr>
          <w:rFonts w:cs="Arial"/>
          <w:color w:val="000000" w:themeColor="text1"/>
        </w:rPr>
        <w:t>growth of applications from lower socio-economic groups radically out</w:t>
      </w:r>
      <w:r w:rsidR="005C5C47">
        <w:rPr>
          <w:rFonts w:cs="Arial"/>
          <w:color w:val="000000" w:themeColor="text1"/>
        </w:rPr>
        <w:t>pac</w:t>
      </w:r>
      <w:r w:rsidR="00272532">
        <w:rPr>
          <w:rFonts w:cs="Arial"/>
          <w:color w:val="000000" w:themeColor="text1"/>
        </w:rPr>
        <w:t>ed that of their admissions by 2010 (Harrison</w:t>
      </w:r>
      <w:r w:rsidR="009C30C1">
        <w:rPr>
          <w:rFonts w:cs="Arial"/>
          <w:color w:val="000000" w:themeColor="text1"/>
        </w:rPr>
        <w:t>,</w:t>
      </w:r>
      <w:r w:rsidR="00272532">
        <w:rPr>
          <w:rFonts w:cs="Arial"/>
          <w:color w:val="000000" w:themeColor="text1"/>
        </w:rPr>
        <w:t xml:space="preserve"> </w:t>
      </w:r>
      <w:r w:rsidR="00E92BA7">
        <w:t>2012</w:t>
      </w:r>
      <w:r w:rsidR="00272532">
        <w:rPr>
          <w:rFonts w:cs="Arial"/>
          <w:color w:val="000000" w:themeColor="text1"/>
        </w:rPr>
        <w:t xml:space="preserve">).  In other words, schools </w:t>
      </w:r>
      <w:r w:rsidR="00FF6EB6">
        <w:rPr>
          <w:rFonts w:cs="Arial"/>
          <w:color w:val="000000" w:themeColor="text1"/>
        </w:rPr>
        <w:t>(</w:t>
      </w:r>
      <w:r w:rsidR="00272532">
        <w:rPr>
          <w:rFonts w:cs="Arial"/>
          <w:color w:val="000000" w:themeColor="text1"/>
        </w:rPr>
        <w:t xml:space="preserve">and </w:t>
      </w:r>
      <w:r w:rsidR="00274B82">
        <w:rPr>
          <w:rFonts w:cs="Arial"/>
          <w:color w:val="000000" w:themeColor="text1"/>
        </w:rPr>
        <w:t xml:space="preserve">probably </w:t>
      </w:r>
      <w:r w:rsidR="00272532">
        <w:rPr>
          <w:rFonts w:cs="Arial"/>
          <w:color w:val="000000" w:themeColor="text1"/>
        </w:rPr>
        <w:t>Aimhigher</w:t>
      </w:r>
      <w:r w:rsidR="00FF6EB6">
        <w:rPr>
          <w:rFonts w:cs="Arial"/>
          <w:color w:val="000000" w:themeColor="text1"/>
        </w:rPr>
        <w:t>)</w:t>
      </w:r>
      <w:r w:rsidR="00272532">
        <w:rPr>
          <w:rFonts w:cs="Arial"/>
          <w:color w:val="000000" w:themeColor="text1"/>
        </w:rPr>
        <w:t xml:space="preserve"> produc</w:t>
      </w:r>
      <w:r w:rsidR="00B166F5">
        <w:rPr>
          <w:rFonts w:cs="Arial"/>
          <w:color w:val="000000" w:themeColor="text1"/>
        </w:rPr>
        <w:t>ed</w:t>
      </w:r>
      <w:r w:rsidR="00272532">
        <w:rPr>
          <w:rFonts w:cs="Arial"/>
          <w:color w:val="000000" w:themeColor="text1"/>
        </w:rPr>
        <w:t xml:space="preserve"> too many inspired and qualified young people for the sector to accommodate.</w:t>
      </w:r>
    </w:p>
    <w:p w:rsidR="00690A33" w:rsidRDefault="00690A33" w:rsidP="0088009C">
      <w:pPr>
        <w:spacing w:line="360" w:lineRule="auto"/>
      </w:pPr>
    </w:p>
    <w:p w:rsidR="00F1216F" w:rsidRDefault="00274B82" w:rsidP="0088009C">
      <w:pPr>
        <w:spacing w:line="360" w:lineRule="auto"/>
      </w:pPr>
      <w:r>
        <w:t>T</w:t>
      </w:r>
      <w:r w:rsidR="00271306">
        <w:t>hrough its life</w:t>
      </w:r>
      <w:r>
        <w:t>,</w:t>
      </w:r>
      <w:r w:rsidR="00690A33">
        <w:t xml:space="preserve"> </w:t>
      </w:r>
      <w:r w:rsidR="006332E5">
        <w:t>Aimhigher’s</w:t>
      </w:r>
      <w:r w:rsidR="00690A33">
        <w:t xml:space="preserve"> focus changed </w:t>
      </w:r>
      <w:r>
        <w:t xml:space="preserve">gradually, to the point that raising attainment became its key objective </w:t>
      </w:r>
      <w:r w:rsidR="00690A33">
        <w:t>(HEFCE</w:t>
      </w:r>
      <w:r w:rsidR="009C30C1">
        <w:t>,</w:t>
      </w:r>
      <w:r>
        <w:t xml:space="preserve"> 2008)</w:t>
      </w:r>
      <w:r w:rsidR="00F1216F">
        <w:t xml:space="preserve">.  This was partly due to feedback from practitioners who were increasingly finding better results in terms of challenging traditional </w:t>
      </w:r>
      <w:r w:rsidR="005C5C47">
        <w:t xml:space="preserve">educational </w:t>
      </w:r>
      <w:r w:rsidR="00F1216F">
        <w:t>patterns when working with younger age groups, even down to primary school in some cases</w:t>
      </w:r>
      <w:r w:rsidR="00DF1C2F">
        <w:t>;</w:t>
      </w:r>
      <w:r w:rsidR="00F1216F">
        <w:t xml:space="preserve"> more a codification of evolved practice than a sea change in policy.  However, it </w:t>
      </w:r>
      <w:r w:rsidR="004661E0">
        <w:t>also</w:t>
      </w:r>
      <w:r w:rsidR="00F1216F">
        <w:t xml:space="preserve"> r</w:t>
      </w:r>
      <w:r w:rsidR="004661E0">
        <w:t>eflected</w:t>
      </w:r>
      <w:r w:rsidR="00F1216F">
        <w:t xml:space="preserve"> a growing belief that the most effective</w:t>
      </w:r>
      <w:r w:rsidR="004661E0">
        <w:t xml:space="preserve"> way to increase progressio</w:t>
      </w:r>
      <w:r w:rsidR="00B166F5">
        <w:t>n</w:t>
      </w:r>
      <w:r w:rsidR="00F1216F">
        <w:t xml:space="preserve"> fr</w:t>
      </w:r>
      <w:r w:rsidR="004661E0">
        <w:t>om lower socio-economic groups wa</w:t>
      </w:r>
      <w:r w:rsidR="00F1216F">
        <w:t>s to improve</w:t>
      </w:r>
      <w:r w:rsidR="00B166F5">
        <w:t xml:space="preserve"> their educational outcomes, </w:t>
      </w:r>
      <w:r w:rsidR="004661E0">
        <w:t>promot</w:t>
      </w:r>
      <w:r w:rsidR="00B166F5">
        <w:t>ing</w:t>
      </w:r>
      <w:r w:rsidR="004661E0">
        <w:t xml:space="preserve"> </w:t>
      </w:r>
      <w:r w:rsidR="00F1216F">
        <w:t>progress</w:t>
      </w:r>
      <w:r w:rsidR="004661E0">
        <w:t>ion</w:t>
      </w:r>
      <w:r w:rsidR="00F1216F">
        <w:t xml:space="preserve"> into Level 3 study.  This </w:t>
      </w:r>
      <w:r w:rsidR="004661E0">
        <w:t>gained support from</w:t>
      </w:r>
      <w:r w:rsidR="005C5C47">
        <w:t xml:space="preserve"> </w:t>
      </w:r>
      <w:proofErr w:type="spellStart"/>
      <w:r w:rsidR="005C5C47">
        <w:t>Df</w:t>
      </w:r>
      <w:r w:rsidR="006D5817">
        <w:t>ES</w:t>
      </w:r>
      <w:proofErr w:type="spellEnd"/>
      <w:r w:rsidR="006D5817">
        <w:t xml:space="preserve"> (2003b), </w:t>
      </w:r>
      <w:r w:rsidR="006D5817">
        <w:rPr>
          <w:rFonts w:cs="Arial"/>
          <w:color w:val="000000" w:themeColor="text1"/>
        </w:rPr>
        <w:t xml:space="preserve">Coleman and </w:t>
      </w:r>
      <w:proofErr w:type="spellStart"/>
      <w:r w:rsidR="006D5817" w:rsidRPr="007854F7">
        <w:rPr>
          <w:rFonts w:cs="Arial"/>
          <w:color w:val="000000" w:themeColor="text1"/>
        </w:rPr>
        <w:t>Bekhradnia</w:t>
      </w:r>
      <w:proofErr w:type="spellEnd"/>
      <w:r w:rsidR="006D5817">
        <w:rPr>
          <w:rFonts w:cs="Arial"/>
          <w:color w:val="000000" w:themeColor="text1"/>
        </w:rPr>
        <w:t xml:space="preserve"> (2011) and </w:t>
      </w:r>
      <w:r w:rsidR="009C30C1">
        <w:rPr>
          <w:rFonts w:cs="Arial"/>
          <w:color w:val="000000" w:themeColor="text1"/>
        </w:rPr>
        <w:t>Department of Children, Schools and Families</w:t>
      </w:r>
      <w:r w:rsidR="006D5817">
        <w:rPr>
          <w:rFonts w:cs="Arial"/>
          <w:color w:val="000000" w:themeColor="text1"/>
        </w:rPr>
        <w:t xml:space="preserve"> (2010) </w:t>
      </w:r>
      <w:r w:rsidR="000F7AD5">
        <w:t xml:space="preserve">which found that the proportion of young people progressing to </w:t>
      </w:r>
      <w:r w:rsidR="006E3347">
        <w:t>HE</w:t>
      </w:r>
      <w:r w:rsidR="000F7AD5">
        <w:t xml:space="preserve"> with various GCSE and A Level profiles </w:t>
      </w:r>
      <w:r w:rsidR="005C5C47">
        <w:t xml:space="preserve">were broadly </w:t>
      </w:r>
      <w:r w:rsidR="000F7AD5">
        <w:t xml:space="preserve">constant and </w:t>
      </w:r>
      <w:r w:rsidR="004661E0">
        <w:t>independent of</w:t>
      </w:r>
      <w:r w:rsidR="00FF6EB6">
        <w:t xml:space="preserve"> social class.</w:t>
      </w:r>
    </w:p>
    <w:p w:rsidR="00F1216F" w:rsidRDefault="00F1216F" w:rsidP="0088009C">
      <w:pPr>
        <w:spacing w:line="360" w:lineRule="auto"/>
      </w:pPr>
    </w:p>
    <w:p w:rsidR="000F7AD5" w:rsidRDefault="00DF43DB" w:rsidP="000F7AD5">
      <w:pPr>
        <w:spacing w:line="360" w:lineRule="auto"/>
      </w:pPr>
      <w:r>
        <w:t>Various</w:t>
      </w:r>
      <w:r w:rsidR="00F13088">
        <w:t xml:space="preserve"> studies</w:t>
      </w:r>
      <w:r w:rsidR="000F7AD5">
        <w:t xml:space="preserve"> </w:t>
      </w:r>
      <w:r w:rsidR="00F1216F">
        <w:t>(</w:t>
      </w:r>
      <w:proofErr w:type="spellStart"/>
      <w:r w:rsidR="00F1216F" w:rsidRPr="006D5817">
        <w:t>Chowdry</w:t>
      </w:r>
      <w:proofErr w:type="spellEnd"/>
      <w:r w:rsidR="00F1216F" w:rsidRPr="006D5817">
        <w:t xml:space="preserve"> </w:t>
      </w:r>
      <w:r w:rsidR="006C1C87">
        <w:t>et al.</w:t>
      </w:r>
      <w:r w:rsidR="009C30C1">
        <w:t>,</w:t>
      </w:r>
      <w:r w:rsidR="006D5817" w:rsidRPr="006D5817">
        <w:t xml:space="preserve"> 2008</w:t>
      </w:r>
      <w:r w:rsidR="006D5817" w:rsidRPr="0055041A">
        <w:t xml:space="preserve">; </w:t>
      </w:r>
      <w:proofErr w:type="spellStart"/>
      <w:r w:rsidR="0055041A" w:rsidRPr="0055041A">
        <w:rPr>
          <w:rFonts w:cs="Arial"/>
        </w:rPr>
        <w:t>Marcenaro</w:t>
      </w:r>
      <w:proofErr w:type="spellEnd"/>
      <w:r w:rsidR="0055041A" w:rsidRPr="0055041A">
        <w:rPr>
          <w:rFonts w:cs="Arial"/>
        </w:rPr>
        <w:t>-Gutierrez, Galindo-</w:t>
      </w:r>
      <w:proofErr w:type="spellStart"/>
      <w:r w:rsidR="0055041A" w:rsidRPr="0055041A">
        <w:rPr>
          <w:rFonts w:cs="Arial"/>
        </w:rPr>
        <w:t>Rueda</w:t>
      </w:r>
      <w:proofErr w:type="spellEnd"/>
      <w:r w:rsidR="0055041A" w:rsidRPr="0055041A">
        <w:rPr>
          <w:rFonts w:cs="Arial"/>
        </w:rPr>
        <w:t xml:space="preserve"> and </w:t>
      </w:r>
      <w:proofErr w:type="spellStart"/>
      <w:r w:rsidR="0055041A" w:rsidRPr="0055041A">
        <w:rPr>
          <w:rFonts w:cs="Arial"/>
        </w:rPr>
        <w:t>Vignoles</w:t>
      </w:r>
      <w:proofErr w:type="spellEnd"/>
      <w:r w:rsidR="0055041A" w:rsidRPr="0055041A">
        <w:rPr>
          <w:rFonts w:cs="Arial"/>
        </w:rPr>
        <w:t xml:space="preserve">, </w:t>
      </w:r>
      <w:r w:rsidR="006D5817" w:rsidRPr="0055041A">
        <w:rPr>
          <w:rFonts w:cs="Arial"/>
        </w:rPr>
        <w:t>2008</w:t>
      </w:r>
      <w:r w:rsidR="00F1216F" w:rsidRPr="006D5817">
        <w:t xml:space="preserve">; </w:t>
      </w:r>
      <w:r w:rsidR="00FF6EB6">
        <w:t xml:space="preserve">Anders, 2012) </w:t>
      </w:r>
      <w:r w:rsidR="00F13088">
        <w:t>have</w:t>
      </w:r>
      <w:r w:rsidR="000F7AD5">
        <w:t xml:space="preserve"> reinforced this view</w:t>
      </w:r>
      <w:r w:rsidR="00FF6EB6">
        <w:t xml:space="preserve"> </w:t>
      </w:r>
      <w:r w:rsidR="000F7AD5">
        <w:t xml:space="preserve">arguing that while issues such as social class may impact </w:t>
      </w:r>
      <w:r w:rsidR="00B166F5">
        <w:t>on</w:t>
      </w:r>
      <w:r w:rsidR="000F7AD5">
        <w:t xml:space="preserve"> lower levels of educational attainment, it is a young person’s performance at </w:t>
      </w:r>
      <w:r w:rsidR="00FF6EB6">
        <w:t xml:space="preserve">11 or </w:t>
      </w:r>
      <w:r w:rsidR="000F7AD5">
        <w:t xml:space="preserve">16 and their subsequent decision to pass into Level 3 study (especially A Levels) that </w:t>
      </w:r>
      <w:r w:rsidR="00FF6EB6">
        <w:t xml:space="preserve">largely </w:t>
      </w:r>
      <w:r w:rsidR="000F7AD5">
        <w:t xml:space="preserve">dictates behaviour at 18.  Crudely, if they are still on the academic conveyor belt at 16, they will continue to university </w:t>
      </w:r>
      <w:r w:rsidR="00FF6EB6">
        <w:t xml:space="preserve">almost </w:t>
      </w:r>
      <w:r w:rsidR="000F7AD5">
        <w:t>regardless of family background.  This conclusion is generally grounded in quantitative analysis of national figur</w:t>
      </w:r>
      <w:r w:rsidR="006E3347">
        <w:t>es</w:t>
      </w:r>
      <w:r w:rsidR="009E2434">
        <w:t xml:space="preserve"> and</w:t>
      </w:r>
      <w:r w:rsidR="000F7AD5">
        <w:t xml:space="preserve"> has been received by policymakers as robust and objective evidence providing easily-understood and apparently compelling conclusions.</w:t>
      </w:r>
    </w:p>
    <w:p w:rsidR="00FF6EB6" w:rsidRDefault="00FF6EB6" w:rsidP="000F7AD5">
      <w:pPr>
        <w:spacing w:line="360" w:lineRule="auto"/>
      </w:pPr>
    </w:p>
    <w:p w:rsidR="00734060" w:rsidRDefault="0056435B" w:rsidP="0056435B">
      <w:pPr>
        <w:spacing w:line="360" w:lineRule="auto"/>
      </w:pPr>
      <w:r>
        <w:t>However, th</w:t>
      </w:r>
      <w:r w:rsidR="00B166F5">
        <w:t>is</w:t>
      </w:r>
      <w:r>
        <w:t xml:space="preserve"> ground perhaps needs contesting more than </w:t>
      </w:r>
      <w:r w:rsidR="005E0929">
        <w:t xml:space="preserve">it has </w:t>
      </w:r>
      <w:r>
        <w:t xml:space="preserve">to date.  As </w:t>
      </w:r>
      <w:r w:rsidR="00734060" w:rsidRPr="00734060">
        <w:t>Figure</w:t>
      </w:r>
      <w:r w:rsidRPr="00734060">
        <w:t xml:space="preserve"> 1</w:t>
      </w:r>
      <w:r>
        <w:t xml:space="preserve"> shows, the headline GCSE pass rate has indeed risen sharply since 2002.  This main measure is constructed from the proportion achieving five passes at grades A* to C, including so-called ‘equivalents’</w:t>
      </w:r>
      <w:r w:rsidR="009E2434">
        <w:t xml:space="preserve"> – </w:t>
      </w:r>
      <w:r>
        <w:t xml:space="preserve"> vocational and skills-based qualifications undertaken al</w:t>
      </w:r>
      <w:r w:rsidR="009E2434">
        <w:t>ongside, or instead of, GCSEs (</w:t>
      </w:r>
      <w:r>
        <w:t>e.g. BTEC</w:t>
      </w:r>
      <w:r w:rsidR="009E2434">
        <w:t>s)</w:t>
      </w:r>
      <w:r>
        <w:t xml:space="preserve">.  </w:t>
      </w:r>
      <w:r w:rsidR="00734060">
        <w:t>Figure 1 also</w:t>
      </w:r>
      <w:r>
        <w:t xml:space="preserve"> shows the pattern of GCSE passes once these ‘equivalents’ are removed and once the condition that the five passes include</w:t>
      </w:r>
      <w:r w:rsidR="00734060">
        <w:t>s</w:t>
      </w:r>
      <w:r>
        <w:t xml:space="preserve"> both English and mathematics</w:t>
      </w:r>
      <w:r w:rsidR="007830AB">
        <w:t xml:space="preserve"> (generally required for HE entry)</w:t>
      </w:r>
      <w:r>
        <w:t xml:space="preserve"> is imposed.  </w:t>
      </w:r>
      <w:r>
        <w:lastRenderedPageBreak/>
        <w:t xml:space="preserve">It is immediately obvious </w:t>
      </w:r>
      <w:r w:rsidR="007830AB">
        <w:t xml:space="preserve">that </w:t>
      </w:r>
      <w:r>
        <w:t>the majority of improvement in GCSE results during the last decade as actually been not in GCSEs, but rather in the ‘equivalents’; analysis and commentary often makes th</w:t>
      </w:r>
      <w:r w:rsidR="006E3347">
        <w:t>e</w:t>
      </w:r>
      <w:r>
        <w:t xml:space="preserve"> category error</w:t>
      </w:r>
      <w:r w:rsidR="006E3347">
        <w:t xml:space="preserve"> of confounding the two</w:t>
      </w:r>
      <w:r>
        <w:t>.</w:t>
      </w:r>
      <w:r w:rsidR="00734060">
        <w:t xml:space="preserve">  This is important as the main focus of the ‘equivalents’ has been in state schools serving deprived areas and </w:t>
      </w:r>
      <w:r w:rsidR="00E37D4D">
        <w:t>pupils</w:t>
      </w:r>
      <w:r w:rsidR="00734060">
        <w:t xml:space="preserve"> not well-suited to traditional GCSE courses</w:t>
      </w:r>
      <w:r w:rsidR="007830AB">
        <w:t xml:space="preserve"> – although many </w:t>
      </w:r>
      <w:r w:rsidR="00E37D4D">
        <w:t xml:space="preserve">have </w:t>
      </w:r>
      <w:r w:rsidR="007830AB">
        <w:t>gone on to HE</w:t>
      </w:r>
      <w:r w:rsidR="00734060">
        <w:t>.</w:t>
      </w:r>
    </w:p>
    <w:p w:rsidR="007830AB" w:rsidRDefault="007830AB" w:rsidP="0056435B">
      <w:pPr>
        <w:spacing w:line="360" w:lineRule="auto"/>
      </w:pPr>
    </w:p>
    <w:p w:rsidR="00E37D4D" w:rsidRDefault="00F940AB" w:rsidP="0056435B">
      <w:pPr>
        <w:spacing w:line="360" w:lineRule="auto"/>
      </w:pPr>
      <w:r w:rsidRPr="00F940AB">
        <w:rPr>
          <w:i/>
        </w:rPr>
        <w:t xml:space="preserve">Figure 1: GCSE pass rates (2002 to 2011) using different </w:t>
      </w:r>
      <w:r>
        <w:rPr>
          <w:i/>
        </w:rPr>
        <w:t xml:space="preserve">threshold </w:t>
      </w:r>
      <w:r w:rsidRPr="00F940AB">
        <w:rPr>
          <w:i/>
        </w:rPr>
        <w:t>definitions</w:t>
      </w:r>
    </w:p>
    <w:p w:rsidR="00F940AB" w:rsidRPr="00F940AB" w:rsidRDefault="00F940AB" w:rsidP="0056435B">
      <w:pPr>
        <w:spacing w:line="360" w:lineRule="auto"/>
      </w:pPr>
      <w:r w:rsidRPr="00F940AB">
        <w:rPr>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4060" w:rsidRDefault="00F940AB" w:rsidP="00F940AB">
      <w:pPr>
        <w:spacing w:line="360" w:lineRule="auto"/>
        <w:rPr>
          <w:rStyle w:val="HTMLCite"/>
          <w:iCs w:val="0"/>
        </w:rPr>
      </w:pPr>
      <w:r w:rsidRPr="00F940AB">
        <w:rPr>
          <w:noProof/>
          <w:lang w:eastAsia="en-GB"/>
        </w:rPr>
        <w:t xml:space="preserve">Source: </w:t>
      </w:r>
      <w:r>
        <w:rPr>
          <w:rStyle w:val="HTMLCite"/>
          <w:iCs w:val="0"/>
        </w:rPr>
        <w:t>Department for Education</w:t>
      </w:r>
    </w:p>
    <w:p w:rsidR="00B8430F" w:rsidRPr="00F940AB" w:rsidRDefault="00B8430F" w:rsidP="00F940AB">
      <w:pPr>
        <w:spacing w:line="360" w:lineRule="auto"/>
        <w:rPr>
          <w:noProof/>
          <w:lang w:eastAsia="en-GB"/>
        </w:rPr>
      </w:pPr>
    </w:p>
    <w:p w:rsidR="0056435B" w:rsidRDefault="0056435B" w:rsidP="0056435B">
      <w:pPr>
        <w:spacing w:line="360" w:lineRule="auto"/>
      </w:pPr>
      <w:r>
        <w:t>Not only was Aimhigher engaged in interventions designed to directly impact on attainment such as mentoring/tutoring</w:t>
      </w:r>
      <w:r w:rsidR="00005473">
        <w:t xml:space="preserve"> (</w:t>
      </w:r>
      <w:proofErr w:type="spellStart"/>
      <w:r w:rsidR="002025AE">
        <w:t>Goodlad</w:t>
      </w:r>
      <w:proofErr w:type="spellEnd"/>
      <w:r w:rsidR="009C30C1">
        <w:t>,</w:t>
      </w:r>
      <w:r w:rsidR="002025AE">
        <w:t xml:space="preserve"> 199</w:t>
      </w:r>
      <w:r w:rsidR="00BB5B89">
        <w:t>6</w:t>
      </w:r>
      <w:r w:rsidR="00005473">
        <w:t>)</w:t>
      </w:r>
      <w:r>
        <w:t xml:space="preserve">, but it was also contextualising attainment for young people in deprived areas in </w:t>
      </w:r>
      <w:r w:rsidR="009E2434">
        <w:t xml:space="preserve">new </w:t>
      </w:r>
      <w:r>
        <w:t xml:space="preserve">ways.  </w:t>
      </w:r>
      <w:r w:rsidR="006E3347">
        <w:t>Initiatives</w:t>
      </w:r>
      <w:r>
        <w:t xml:space="preserve"> like summer schools and university taster days </w:t>
      </w:r>
      <w:r w:rsidR="00163092">
        <w:t>carried the message</w:t>
      </w:r>
      <w:r>
        <w:t xml:space="preserve"> that strong </w:t>
      </w:r>
      <w:r w:rsidR="009E2434">
        <w:t xml:space="preserve">school </w:t>
      </w:r>
      <w:r>
        <w:t xml:space="preserve">achievement could lead to university, even </w:t>
      </w:r>
      <w:r w:rsidR="009E2434">
        <w:t xml:space="preserve">where </w:t>
      </w:r>
      <w:r w:rsidR="00163092">
        <w:t>this was</w:t>
      </w:r>
      <w:r>
        <w:t xml:space="preserve"> tradition</w:t>
      </w:r>
      <w:r w:rsidR="00163092">
        <w:t>ally</w:t>
      </w:r>
      <w:r>
        <w:t xml:space="preserve"> </w:t>
      </w:r>
      <w:r w:rsidR="00163092">
        <w:t>unusual</w:t>
      </w:r>
      <w:r>
        <w:t xml:space="preserve">.  There is </w:t>
      </w:r>
      <w:r w:rsidR="006E3347">
        <w:t>good</w:t>
      </w:r>
      <w:r>
        <w:t xml:space="preserve"> evidence (</w:t>
      </w:r>
      <w:r w:rsidR="003D2D7A">
        <w:t xml:space="preserve">Moore </w:t>
      </w:r>
      <w:r w:rsidR="006C1C87">
        <w:t>and</w:t>
      </w:r>
      <w:r w:rsidR="003D2D7A">
        <w:t xml:space="preserve"> </w:t>
      </w:r>
      <w:proofErr w:type="spellStart"/>
      <w:r w:rsidR="003D2D7A">
        <w:t>Dunworth</w:t>
      </w:r>
      <w:proofErr w:type="spellEnd"/>
      <w:r w:rsidR="009C30C1">
        <w:t>,</w:t>
      </w:r>
      <w:r w:rsidR="003D2D7A">
        <w:t xml:space="preserve"> 2011</w:t>
      </w:r>
      <w:r>
        <w:t>) of Aimhigher activities rais</w:t>
      </w:r>
      <w:r w:rsidR="00163092">
        <w:t xml:space="preserve">ing motivation for school, which </w:t>
      </w:r>
      <w:r w:rsidR="009E2434">
        <w:t xml:space="preserve">is </w:t>
      </w:r>
      <w:r>
        <w:t xml:space="preserve">likely to have been </w:t>
      </w:r>
      <w:r w:rsidR="009E2434">
        <w:t>one</w:t>
      </w:r>
      <w:r>
        <w:t xml:space="preserve"> contributory factor in improved outcomes</w:t>
      </w:r>
      <w:r w:rsidR="009E2434">
        <w:t xml:space="preserve">; indeed, </w:t>
      </w:r>
      <w:r>
        <w:t>teachers consistently reported this</w:t>
      </w:r>
      <w:r w:rsidR="009E2434">
        <w:t xml:space="preserve"> (</w:t>
      </w:r>
      <w:r w:rsidR="00B9449C">
        <w:t xml:space="preserve">Hatt, Baxter </w:t>
      </w:r>
      <w:r w:rsidR="006C1C87">
        <w:t>and</w:t>
      </w:r>
      <w:r w:rsidR="00B9449C">
        <w:t xml:space="preserve"> Tate</w:t>
      </w:r>
      <w:r w:rsidR="009C30C1">
        <w:t>,</w:t>
      </w:r>
      <w:r w:rsidR="00B9449C">
        <w:t xml:space="preserve"> 2008</w:t>
      </w:r>
      <w:r w:rsidR="009E2434">
        <w:t>)</w:t>
      </w:r>
      <w:r>
        <w:t xml:space="preserve">.  Finally, Aimhigher </w:t>
      </w:r>
      <w:r w:rsidR="009E2434">
        <w:t>helped to raise</w:t>
      </w:r>
      <w:r>
        <w:t xml:space="preserve"> the status of vocational qualifications and work-based learning as valid routes into </w:t>
      </w:r>
      <w:r w:rsidR="006E3347">
        <w:t>HE</w:t>
      </w:r>
      <w:r>
        <w:t>, promoting these pathways as alternative reasons to ‘stay on’ at 16.</w:t>
      </w:r>
    </w:p>
    <w:p w:rsidR="0056435B" w:rsidRDefault="0056435B" w:rsidP="0056435B">
      <w:pPr>
        <w:spacing w:line="360" w:lineRule="auto"/>
      </w:pPr>
    </w:p>
    <w:p w:rsidR="0056435B" w:rsidRPr="0036629D" w:rsidRDefault="0056435B" w:rsidP="0056435B">
      <w:pPr>
        <w:spacing w:line="360" w:lineRule="auto"/>
      </w:pPr>
      <w:r>
        <w:t>Aimhigher was thus providing at least three forms of impetus towards attainment at 16 and</w:t>
      </w:r>
      <w:r w:rsidR="006E3347">
        <w:t xml:space="preserve"> staying-on</w:t>
      </w:r>
      <w:r>
        <w:t xml:space="preserve">.  Rather than sitting alongside improving GCSE results as a competing (and losing) explanation for increases in </w:t>
      </w:r>
      <w:r w:rsidR="006E3347">
        <w:t>HE</w:t>
      </w:r>
      <w:r>
        <w:t xml:space="preserve"> demand, it underpinn</w:t>
      </w:r>
      <w:r w:rsidR="008E6B34">
        <w:t>ed</w:t>
      </w:r>
      <w:r>
        <w:t xml:space="preserve"> these improvements by adding value to other </w:t>
      </w:r>
      <w:r w:rsidR="002D26B7">
        <w:t>initiatives</w:t>
      </w:r>
      <w:r>
        <w:t xml:space="preserve">.  </w:t>
      </w:r>
      <w:r w:rsidRPr="0036629D">
        <w:t>Harrison (</w:t>
      </w:r>
      <w:r w:rsidR="00773EC6">
        <w:t>in press</w:t>
      </w:r>
      <w:r w:rsidRPr="0036629D">
        <w:t xml:space="preserve">) </w:t>
      </w:r>
      <w:r>
        <w:t>finds that local authority</w:t>
      </w:r>
      <w:r w:rsidRPr="0036629D">
        <w:t xml:space="preserve"> areas with the lowest demand in 2004 showed the greatest improvement by 2009, even once GCSE </w:t>
      </w:r>
      <w:r w:rsidR="008E6B34" w:rsidRPr="0036629D">
        <w:t xml:space="preserve">improvements </w:t>
      </w:r>
      <w:r w:rsidRPr="0036629D">
        <w:t>were account</w:t>
      </w:r>
      <w:r w:rsidR="002D26B7">
        <w:t>ed for</w:t>
      </w:r>
      <w:r w:rsidRPr="0036629D">
        <w:t xml:space="preserve">.  As these were </w:t>
      </w:r>
      <w:r w:rsidRPr="0036629D">
        <w:lastRenderedPageBreak/>
        <w:t xml:space="preserve">the very areas targeted by Aimhigher and other </w:t>
      </w:r>
      <w:r w:rsidR="006E3347">
        <w:t>WP</w:t>
      </w:r>
      <w:r w:rsidRPr="0036629D">
        <w:t xml:space="preserve"> initiatives, parsimony suggest</w:t>
      </w:r>
      <w:r w:rsidR="006E3347">
        <w:t>s</w:t>
      </w:r>
      <w:r w:rsidRPr="0036629D">
        <w:t xml:space="preserve"> </w:t>
      </w:r>
      <w:r w:rsidR="002D26B7">
        <w:t>a link</w:t>
      </w:r>
      <w:r w:rsidRPr="0036629D">
        <w:t xml:space="preserve"> between </w:t>
      </w:r>
      <w:r w:rsidR="006001DD">
        <w:t>intervention</w:t>
      </w:r>
      <w:r w:rsidRPr="0036629D">
        <w:t xml:space="preserve"> and </w:t>
      </w:r>
      <w:r w:rsidR="006001DD">
        <w:t>outcome</w:t>
      </w:r>
      <w:r w:rsidRPr="0036629D">
        <w:t>.</w:t>
      </w:r>
    </w:p>
    <w:p w:rsidR="0056435B" w:rsidRDefault="0056435B" w:rsidP="000F7AD5">
      <w:pPr>
        <w:spacing w:line="360" w:lineRule="auto"/>
      </w:pPr>
    </w:p>
    <w:p w:rsidR="006001DD" w:rsidRDefault="006E3347" w:rsidP="000F7AD5">
      <w:pPr>
        <w:spacing w:line="360" w:lineRule="auto"/>
      </w:pPr>
      <w:r>
        <w:t>H</w:t>
      </w:r>
      <w:r w:rsidR="006001DD">
        <w:t xml:space="preserve">ow do these observations lead us towards an answer?  </w:t>
      </w:r>
      <w:r>
        <w:t>Firstly,</w:t>
      </w:r>
      <w:r w:rsidR="006001DD">
        <w:t xml:space="preserve"> an appreciation is needed of the </w:t>
      </w:r>
      <w:r w:rsidR="000F0C16">
        <w:t xml:space="preserve">complex </w:t>
      </w:r>
      <w:r w:rsidR="006001DD">
        <w:t xml:space="preserve">processes </w:t>
      </w:r>
      <w:r w:rsidR="008E6B34">
        <w:t>leading to</w:t>
      </w:r>
      <w:r w:rsidR="006001DD">
        <w:t xml:space="preserve"> </w:t>
      </w:r>
      <w:r>
        <w:t>HE</w:t>
      </w:r>
      <w:r w:rsidR="006001DD">
        <w:t xml:space="preserve"> admission.  Aimhigher suffered from a dissonance between its mission (to raise attainment at 16, from 2008 onwards) and the measure by which it was </w:t>
      </w:r>
      <w:r w:rsidR="00274B82">
        <w:t xml:space="preserve">effectively </w:t>
      </w:r>
      <w:r w:rsidR="006001DD">
        <w:t xml:space="preserve">judged </w:t>
      </w:r>
      <w:r w:rsidR="00274B82">
        <w:t xml:space="preserve">by the main published performance indicator </w:t>
      </w:r>
      <w:r w:rsidR="006001DD">
        <w:t xml:space="preserve">(entry to </w:t>
      </w:r>
      <w:r>
        <w:t>HE</w:t>
      </w:r>
      <w:r w:rsidR="006001DD">
        <w:t xml:space="preserve"> and persi</w:t>
      </w:r>
      <w:r>
        <w:t>stence for the first two months</w:t>
      </w:r>
      <w:r w:rsidR="006001DD">
        <w:t>).</w:t>
      </w:r>
      <w:r w:rsidR="00005473">
        <w:t xml:space="preserve">  Furthermore, </w:t>
      </w:r>
      <w:r w:rsidR="00E277D4">
        <w:t>a</w:t>
      </w:r>
      <w:r w:rsidR="00005473">
        <w:t xml:space="preserve"> more nuanced appreciation of the role of WP interventions not only in raising aspirations, but also in raising attainment both directly and indirect</w:t>
      </w:r>
      <w:r>
        <w:t>ly</w:t>
      </w:r>
      <w:r w:rsidR="00E277D4">
        <w:t>, is needed.  T</w:t>
      </w:r>
      <w:r w:rsidR="00005473">
        <w:t xml:space="preserve">his link needs evidencing more closely to become </w:t>
      </w:r>
      <w:r w:rsidR="00E277D4">
        <w:t>ingrained</w:t>
      </w:r>
      <w:r w:rsidR="00005473">
        <w:t xml:space="preserve"> </w:t>
      </w:r>
      <w:r w:rsidR="00E277D4">
        <w:t xml:space="preserve">within </w:t>
      </w:r>
      <w:r w:rsidR="00005473">
        <w:t xml:space="preserve">the discourse </w:t>
      </w:r>
      <w:r w:rsidR="008E6B34">
        <w:t>around</w:t>
      </w:r>
      <w:r w:rsidR="00005473">
        <w:t xml:space="preserve"> GCSEs and university </w:t>
      </w:r>
      <w:r w:rsidR="00E277D4">
        <w:t>demand</w:t>
      </w:r>
      <w:r w:rsidR="00005473">
        <w:t>.</w:t>
      </w:r>
    </w:p>
    <w:p w:rsidR="00005473" w:rsidRDefault="00005473" w:rsidP="000F7AD5">
      <w:pPr>
        <w:spacing w:line="360" w:lineRule="auto"/>
      </w:pPr>
    </w:p>
    <w:p w:rsidR="005D7B8A" w:rsidRDefault="00934988" w:rsidP="005D7B8A">
      <w:pPr>
        <w:spacing w:line="360" w:lineRule="auto"/>
      </w:pPr>
      <w:r>
        <w:t>S</w:t>
      </w:r>
      <w:r w:rsidR="00005473">
        <w:t>econd</w:t>
      </w:r>
      <w:r>
        <w:t xml:space="preserve">ly, </w:t>
      </w:r>
      <w:r w:rsidR="00005473">
        <w:t>it would be a fallacy to assume that the connection between GCSE result</w:t>
      </w:r>
      <w:r w:rsidR="008E6B34">
        <w:t>s</w:t>
      </w:r>
      <w:r w:rsidR="00005473">
        <w:t xml:space="preserve"> and entry to </w:t>
      </w:r>
      <w:r w:rsidR="006E3347">
        <w:t>HE</w:t>
      </w:r>
      <w:r w:rsidR="00005473">
        <w:t xml:space="preserve"> will remain static</w:t>
      </w:r>
      <w:r w:rsidR="006E3347">
        <w:t xml:space="preserve"> indefinitely</w:t>
      </w:r>
      <w:r w:rsidR="00005473">
        <w:t xml:space="preserve">.  </w:t>
      </w:r>
      <w:r w:rsidR="006E3347">
        <w:t>Given</w:t>
      </w:r>
      <w:r w:rsidR="00005473">
        <w:t xml:space="preserve"> a period of excess demand where the competition for places is more cutt</w:t>
      </w:r>
      <w:r w:rsidR="006E3347">
        <w:t xml:space="preserve">hroat than </w:t>
      </w:r>
      <w:r w:rsidR="008E6B34">
        <w:t>previously</w:t>
      </w:r>
      <w:r w:rsidR="006E3347">
        <w:t>, i</w:t>
      </w:r>
      <w:r w:rsidR="005D7B8A">
        <w:t xml:space="preserve">t </w:t>
      </w:r>
      <w:r>
        <w:t>can be</w:t>
      </w:r>
      <w:r w:rsidR="005D7B8A">
        <w:t xml:space="preserve"> hypothesise</w:t>
      </w:r>
      <w:r>
        <w:t>d</w:t>
      </w:r>
      <w:r w:rsidR="005D7B8A">
        <w:t xml:space="preserve"> that young people from lower socio-economic groups m</w:t>
      </w:r>
      <w:r w:rsidR="006E3347">
        <w:t>ay increasingly</w:t>
      </w:r>
      <w:r w:rsidR="005D7B8A">
        <w:t xml:space="preserve"> </w:t>
      </w:r>
      <w:r w:rsidR="008E6B34">
        <w:t>lose out</w:t>
      </w:r>
      <w:r w:rsidR="005D7B8A">
        <w:t xml:space="preserve">.  </w:t>
      </w:r>
      <w:r w:rsidR="00734060">
        <w:t>The extension of the compulsory leaving age to 18 will also impact on achievement patterns as the concept of ‘staying on’ changes.</w:t>
      </w:r>
    </w:p>
    <w:p w:rsidR="005D7B8A" w:rsidRDefault="005D7B8A" w:rsidP="005D7B8A">
      <w:pPr>
        <w:spacing w:line="360" w:lineRule="auto"/>
      </w:pPr>
    </w:p>
    <w:p w:rsidR="005D7B8A" w:rsidRDefault="00934988" w:rsidP="005D7B8A">
      <w:pPr>
        <w:spacing w:line="360" w:lineRule="auto"/>
      </w:pPr>
      <w:r>
        <w:t>Thirdly, a</w:t>
      </w:r>
      <w:r w:rsidR="005D7B8A">
        <w:t xml:space="preserve"> possibly more seismic change will </w:t>
      </w:r>
      <w:r>
        <w:t>result from</w:t>
      </w:r>
      <w:r w:rsidR="005D7B8A">
        <w:t xml:space="preserve"> th</w:t>
      </w:r>
      <w:r w:rsidR="006E3347">
        <w:t>e</w:t>
      </w:r>
      <w:r w:rsidR="006E3347" w:rsidRPr="006E3347">
        <w:t xml:space="preserve"> </w:t>
      </w:r>
      <w:r w:rsidR="006E3347">
        <w:t>removal or downgrading (e.g. from three GCSE</w:t>
      </w:r>
      <w:r>
        <w:t>s</w:t>
      </w:r>
      <w:r w:rsidR="006E3347">
        <w:t xml:space="preserve"> to one)</w:t>
      </w:r>
      <w:r w:rsidR="005D7B8A">
        <w:t xml:space="preserve"> of most of the ‘GCSE equivalents’ from 2014</w:t>
      </w:r>
      <w:r w:rsidR="00081BA9">
        <w:t xml:space="preserve"> (</w:t>
      </w:r>
      <w:r w:rsidR="009C30C1">
        <w:t>Department for Education,</w:t>
      </w:r>
      <w:r w:rsidR="00081BA9">
        <w:t xml:space="preserve"> 2012)</w:t>
      </w:r>
      <w:r w:rsidR="005D7B8A">
        <w:t xml:space="preserve">.  Schools </w:t>
      </w:r>
      <w:r>
        <w:t>are</w:t>
      </w:r>
      <w:r w:rsidR="005D7B8A">
        <w:t xml:space="preserve"> hurrying to divest themselves of the very qualifications which have been at the heart of their improved results.  </w:t>
      </w:r>
      <w:r w:rsidR="0033597F">
        <w:t>We may well find</w:t>
      </w:r>
      <w:r w:rsidR="005D7B8A">
        <w:t xml:space="preserve"> that the schools with the greatest improvements in results </w:t>
      </w:r>
      <w:r w:rsidR="0033597F">
        <w:t xml:space="preserve">since </w:t>
      </w:r>
      <w:r w:rsidR="005D7B8A">
        <w:t>200</w:t>
      </w:r>
      <w:r w:rsidR="0033597F">
        <w:t>2</w:t>
      </w:r>
      <w:r w:rsidR="005D7B8A">
        <w:t xml:space="preserve"> will see a reversal in the mid 2010s as pupils </w:t>
      </w:r>
      <w:r w:rsidR="006E3347">
        <w:t>struggle</w:t>
      </w:r>
      <w:r w:rsidR="005D7B8A">
        <w:t xml:space="preserve"> to adapt back into t</w:t>
      </w:r>
      <w:r w:rsidR="0033597F">
        <w:t xml:space="preserve">he GCSE curricula; the </w:t>
      </w:r>
      <w:r w:rsidR="005D7B8A">
        <w:t>abolition of GCSEs themselves is an</w:t>
      </w:r>
      <w:r w:rsidR="0033597F">
        <w:t>other</w:t>
      </w:r>
      <w:r w:rsidR="005D7B8A">
        <w:t xml:space="preserve"> spectre on the horizon.  </w:t>
      </w:r>
    </w:p>
    <w:p w:rsidR="005D7B8A" w:rsidRDefault="005D7B8A" w:rsidP="005D7B8A">
      <w:pPr>
        <w:spacing w:line="360" w:lineRule="auto"/>
      </w:pPr>
    </w:p>
    <w:p w:rsidR="005D7B8A" w:rsidRDefault="005D7B8A" w:rsidP="005D7B8A">
      <w:pPr>
        <w:spacing w:line="360" w:lineRule="auto"/>
      </w:pPr>
      <w:r>
        <w:t xml:space="preserve">The </w:t>
      </w:r>
      <w:r w:rsidR="0033597F">
        <w:t>final</w:t>
      </w:r>
      <w:r>
        <w:t xml:space="preserve"> thread to weave in is the radical growth of apprenticeships undertaken by the Coalition government.  If apprenticeships gain credibility with young people as a means to ‘get on’ into a high-quality career, the choice envelope surrounding </w:t>
      </w:r>
      <w:r w:rsidR="006E3347">
        <w:t>HE</w:t>
      </w:r>
      <w:r>
        <w:t xml:space="preserve"> </w:t>
      </w:r>
      <w:r w:rsidR="0033597F">
        <w:t>will</w:t>
      </w:r>
      <w:r>
        <w:t xml:space="preserve"> change </w:t>
      </w:r>
      <w:r w:rsidR="007E3751">
        <w:t>significantly</w:t>
      </w:r>
      <w:r>
        <w:t xml:space="preserve">, especially </w:t>
      </w:r>
      <w:r w:rsidR="00184012">
        <w:t>with</w:t>
      </w:r>
      <w:r>
        <w:t xml:space="preserve"> rising </w:t>
      </w:r>
      <w:r w:rsidR="00184012">
        <w:t>university costs</w:t>
      </w:r>
      <w:r>
        <w:t>.</w:t>
      </w:r>
    </w:p>
    <w:p w:rsidR="006E3347" w:rsidRDefault="006E3347" w:rsidP="005D7B8A">
      <w:pPr>
        <w:spacing w:line="360" w:lineRule="auto"/>
      </w:pPr>
    </w:p>
    <w:p w:rsidR="006E3347" w:rsidRDefault="006E3347" w:rsidP="005D7B8A">
      <w:pPr>
        <w:spacing w:line="360" w:lineRule="auto"/>
      </w:pPr>
      <w:r>
        <w:t xml:space="preserve">So, the future needs both more clarity about </w:t>
      </w:r>
      <w:r w:rsidR="0033597F">
        <w:t xml:space="preserve">specifically </w:t>
      </w:r>
      <w:r>
        <w:t xml:space="preserve">what </w:t>
      </w:r>
      <w:r w:rsidR="0033597F">
        <w:t xml:space="preserve">outcome </w:t>
      </w:r>
      <w:r>
        <w:t>measures WP initiatives are intended to impact upon</w:t>
      </w:r>
      <w:r w:rsidR="0033597F">
        <w:t xml:space="preserve"> and over what timescales</w:t>
      </w:r>
      <w:r>
        <w:t xml:space="preserve">, </w:t>
      </w:r>
      <w:r w:rsidR="0033597F">
        <w:t>alongside</w:t>
      </w:r>
      <w:r>
        <w:t xml:space="preserve"> a healthy scepticism that the past will be a good predictor for future demand</w:t>
      </w:r>
      <w:r w:rsidR="00184012" w:rsidRPr="00184012">
        <w:t xml:space="preserve"> </w:t>
      </w:r>
      <w:r w:rsidR="00184012">
        <w:t>patterns</w:t>
      </w:r>
      <w:r>
        <w:t>.</w:t>
      </w:r>
    </w:p>
    <w:p w:rsidR="005D7B8A" w:rsidRDefault="005D7B8A" w:rsidP="000F7AD5">
      <w:pPr>
        <w:spacing w:line="360" w:lineRule="auto"/>
      </w:pPr>
    </w:p>
    <w:p w:rsidR="006001DD" w:rsidRDefault="006001DD" w:rsidP="000F7AD5">
      <w:pPr>
        <w:spacing w:line="360" w:lineRule="auto"/>
      </w:pPr>
    </w:p>
    <w:p w:rsidR="007E3751" w:rsidRDefault="007E3751" w:rsidP="007E3751">
      <w:pPr>
        <w:spacing w:line="360" w:lineRule="auto"/>
        <w:rPr>
          <w:b/>
          <w:sz w:val="26"/>
          <w:szCs w:val="26"/>
        </w:rPr>
      </w:pPr>
      <w:r w:rsidRPr="00B018C5">
        <w:rPr>
          <w:b/>
          <w:sz w:val="26"/>
          <w:szCs w:val="26"/>
        </w:rPr>
        <w:lastRenderedPageBreak/>
        <w:t xml:space="preserve">Question </w:t>
      </w:r>
      <w:r>
        <w:rPr>
          <w:b/>
          <w:sz w:val="26"/>
          <w:szCs w:val="26"/>
        </w:rPr>
        <w:t>2</w:t>
      </w:r>
      <w:r w:rsidRPr="00B018C5">
        <w:rPr>
          <w:b/>
          <w:sz w:val="26"/>
          <w:szCs w:val="26"/>
        </w:rPr>
        <w:t xml:space="preserve">: </w:t>
      </w:r>
      <w:r w:rsidR="00BA71EA">
        <w:rPr>
          <w:b/>
          <w:sz w:val="26"/>
          <w:szCs w:val="26"/>
        </w:rPr>
        <w:t xml:space="preserve">causality and </w:t>
      </w:r>
      <w:r w:rsidR="0033597F">
        <w:rPr>
          <w:b/>
          <w:sz w:val="26"/>
          <w:szCs w:val="26"/>
        </w:rPr>
        <w:t>proof</w:t>
      </w:r>
      <w:r w:rsidRPr="00B018C5">
        <w:rPr>
          <w:b/>
          <w:sz w:val="26"/>
          <w:szCs w:val="26"/>
        </w:rPr>
        <w:t xml:space="preserve"> </w:t>
      </w:r>
    </w:p>
    <w:p w:rsidR="006001DD" w:rsidRDefault="006001DD" w:rsidP="000F7AD5">
      <w:pPr>
        <w:spacing w:line="360" w:lineRule="auto"/>
      </w:pPr>
    </w:p>
    <w:p w:rsidR="006001DD" w:rsidRDefault="004F713D" w:rsidP="000F7AD5">
      <w:pPr>
        <w:spacing w:line="360" w:lineRule="auto"/>
      </w:pPr>
      <w:r>
        <w:t>C</w:t>
      </w:r>
      <w:r w:rsidR="00BA71EA">
        <w:t xml:space="preserve">ausality in educational research has been a hot topic since the late 1990s, when there was a strong move towards a more (arguably) rigorous and quantitatively-based epistemology to underpin evidence-based practice – crudely, a ‘what works’ approach to research.  Supporters </w:t>
      </w:r>
      <w:r w:rsidR="00B254B7">
        <w:t xml:space="preserve">(e.g. </w:t>
      </w:r>
      <w:proofErr w:type="spellStart"/>
      <w:r w:rsidR="00F261D7">
        <w:t>Hillage</w:t>
      </w:r>
      <w:proofErr w:type="spellEnd"/>
      <w:r w:rsidR="00F261D7">
        <w:t xml:space="preserve"> </w:t>
      </w:r>
      <w:r w:rsidR="006C1C87">
        <w:t>et al.</w:t>
      </w:r>
      <w:r w:rsidR="009C30C1">
        <w:t>,</w:t>
      </w:r>
      <w:r w:rsidR="00F261D7">
        <w:t xml:space="preserve"> 1998; </w:t>
      </w:r>
      <w:r w:rsidR="00B254B7">
        <w:t>Hargreaves</w:t>
      </w:r>
      <w:r w:rsidR="009C30C1">
        <w:t>,</w:t>
      </w:r>
      <w:r w:rsidR="00B254B7">
        <w:t xml:space="preserve"> 1999) </w:t>
      </w:r>
      <w:r w:rsidR="00BA71EA">
        <w:t xml:space="preserve">claimed that too much research </w:t>
      </w:r>
      <w:r>
        <w:t xml:space="preserve">derived from </w:t>
      </w:r>
      <w:r w:rsidR="00BA71EA">
        <w:t xml:space="preserve">subjective self-reports from practitioners </w:t>
      </w:r>
      <w:r>
        <w:t>with</w:t>
      </w:r>
      <w:r w:rsidR="00BA71EA">
        <w:t xml:space="preserve"> a vested interest in proving the success of an intervention, while too little effort was expended on demonstrating objective changes to outcomes or behaviours.  In particular</w:t>
      </w:r>
      <w:r>
        <w:t xml:space="preserve">, there was a strong call for </w:t>
      </w:r>
      <w:r w:rsidR="00BA71EA">
        <w:t xml:space="preserve">greater use of experimental research designs incorporating control groups.  Opponents </w:t>
      </w:r>
      <w:r w:rsidR="00BE35F0">
        <w:t xml:space="preserve">(e.g. </w:t>
      </w:r>
      <w:proofErr w:type="spellStart"/>
      <w:r w:rsidR="00BE35F0">
        <w:t>Hodkinson</w:t>
      </w:r>
      <w:proofErr w:type="spellEnd"/>
      <w:r w:rsidR="009C30C1">
        <w:t>,</w:t>
      </w:r>
      <w:r w:rsidR="00BE35F0">
        <w:t xml:space="preserve"> 2004</w:t>
      </w:r>
      <w:r w:rsidR="00DB0B0B">
        <w:t>; Lather</w:t>
      </w:r>
      <w:r w:rsidR="009C30C1">
        <w:t>,</w:t>
      </w:r>
      <w:r w:rsidR="00DB0B0B">
        <w:t xml:space="preserve"> 2004</w:t>
      </w:r>
      <w:r w:rsidR="00BE35F0">
        <w:t xml:space="preserve">) </w:t>
      </w:r>
      <w:r w:rsidR="00BA71EA">
        <w:t xml:space="preserve">argued that such approaches </w:t>
      </w:r>
      <w:r w:rsidR="006E3347">
        <w:t>are</w:t>
      </w:r>
      <w:r w:rsidR="00BA71EA">
        <w:t xml:space="preserve"> highly mechanistic and simplistic in what are naturally complex fields </w:t>
      </w:r>
      <w:r w:rsidR="000231B5">
        <w:t xml:space="preserve">and that a ‘stimulus-response’ approach is not always, if ever, appropriate.  Furthermore, they argued that it devalued the role of the reflexive practitioner and implied an inability to be objective.  </w:t>
      </w:r>
      <w:r>
        <w:t>For example, Doyle</w:t>
      </w:r>
      <w:r w:rsidR="00ED30C5">
        <w:t xml:space="preserve"> </w:t>
      </w:r>
      <w:r w:rsidR="006C1C87">
        <w:t>and</w:t>
      </w:r>
      <w:r w:rsidR="00ED30C5">
        <w:t xml:space="preserve"> Griffin</w:t>
      </w:r>
      <w:r>
        <w:t xml:space="preserve"> (2012) reject reductionist epistemology that misses the wider</w:t>
      </w:r>
      <w:r w:rsidR="00ED30C5">
        <w:t xml:space="preserve"> and indirect value in WP work.</w:t>
      </w:r>
    </w:p>
    <w:p w:rsidR="000231B5" w:rsidRDefault="000231B5" w:rsidP="000F7AD5">
      <w:pPr>
        <w:spacing w:line="360" w:lineRule="auto"/>
      </w:pPr>
    </w:p>
    <w:p w:rsidR="000231B5" w:rsidRDefault="00857EF0" w:rsidP="000F7AD5">
      <w:pPr>
        <w:spacing w:line="360" w:lineRule="auto"/>
      </w:pPr>
      <w:r>
        <w:t>This debate continues</w:t>
      </w:r>
      <w:r w:rsidR="00D325BD">
        <w:t>: a</w:t>
      </w:r>
      <w:r>
        <w:t xml:space="preserve">s former senior civil servant Jon Coles explored in his keynote address to the 2012 </w:t>
      </w:r>
      <w:r w:rsidR="001F7270">
        <w:t xml:space="preserve">British Educational Research </w:t>
      </w:r>
      <w:r>
        <w:t xml:space="preserve"> </w:t>
      </w:r>
      <w:r w:rsidR="001F7270">
        <w:t xml:space="preserve">Association </w:t>
      </w:r>
      <w:r>
        <w:t xml:space="preserve">conference, education policy is littered with initiatives that were </w:t>
      </w:r>
      <w:r w:rsidR="001F7270">
        <w:t>ma</w:t>
      </w:r>
      <w:r w:rsidR="00D325BD">
        <w:t xml:space="preserve">ssively popular </w:t>
      </w:r>
      <w:r w:rsidR="001F7270">
        <w:t xml:space="preserve">and well-regarded by </w:t>
      </w:r>
      <w:r>
        <w:t>stakeholders, practitioners and/or participants, but which were either un</w:t>
      </w:r>
      <w:r w:rsidR="00BD4DF3">
        <w:t>researched</w:t>
      </w:r>
      <w:r>
        <w:t xml:space="preserve"> or where research was unable to find any positive </w:t>
      </w:r>
      <w:r w:rsidR="001F7270">
        <w:t>impact</w:t>
      </w:r>
      <w:r>
        <w:t xml:space="preserve"> (Coles</w:t>
      </w:r>
      <w:r w:rsidR="009C30C1">
        <w:t>,</w:t>
      </w:r>
      <w:r>
        <w:t xml:space="preserve"> 2012).</w:t>
      </w:r>
    </w:p>
    <w:p w:rsidR="00857EF0" w:rsidRDefault="00857EF0" w:rsidP="000F7AD5">
      <w:pPr>
        <w:spacing w:line="360" w:lineRule="auto"/>
      </w:pPr>
    </w:p>
    <w:p w:rsidR="002D361B" w:rsidRDefault="00463FA4" w:rsidP="00463FA4">
      <w:pPr>
        <w:spacing w:line="360" w:lineRule="auto"/>
      </w:pPr>
      <w:r>
        <w:t xml:space="preserve">WP </w:t>
      </w:r>
      <w:r w:rsidR="006E3347">
        <w:t>activities</w:t>
      </w:r>
      <w:r>
        <w:t xml:space="preserve"> have not been immune to this critique. </w:t>
      </w:r>
      <w:r w:rsidR="006E3347">
        <w:t xml:space="preserve"> Early </w:t>
      </w:r>
      <w:r w:rsidR="001F7270">
        <w:t xml:space="preserve">reviews </w:t>
      </w:r>
      <w:r w:rsidR="00AD5F98">
        <w:t>(e.g. Universities UK</w:t>
      </w:r>
      <w:r w:rsidR="009C30C1">
        <w:t>,</w:t>
      </w:r>
      <w:r w:rsidR="00AD5F98">
        <w:t xml:space="preserve"> 1998) </w:t>
      </w:r>
      <w:r w:rsidR="001F7270">
        <w:t>tended to be compendia</w:t>
      </w:r>
      <w:r w:rsidR="006E3347">
        <w:t xml:space="preserve"> of perceived good practice rather than a critical e</w:t>
      </w:r>
      <w:r w:rsidR="001F7270">
        <w:t>valu</w:t>
      </w:r>
      <w:r w:rsidR="006E3347">
        <w:t xml:space="preserve">ation of results. </w:t>
      </w:r>
      <w:r>
        <w:t xml:space="preserve"> Since the</w:t>
      </w:r>
      <w:r w:rsidR="006E3347">
        <w:t>n</w:t>
      </w:r>
      <w:r>
        <w:t xml:space="preserve">, there have been misgivings about the robustness of </w:t>
      </w:r>
      <w:r w:rsidR="001F7270">
        <w:t>WP</w:t>
      </w:r>
      <w:r>
        <w:t xml:space="preserve"> research.  </w:t>
      </w:r>
      <w:proofErr w:type="spellStart"/>
      <w:r>
        <w:t>Gorard</w:t>
      </w:r>
      <w:proofErr w:type="spellEnd"/>
      <w:r>
        <w:t xml:space="preserve"> </w:t>
      </w:r>
      <w:r w:rsidR="006C1C87">
        <w:t>et al.</w:t>
      </w:r>
      <w:r>
        <w:t>’s (</w:t>
      </w:r>
      <w:r w:rsidR="00AD5F98">
        <w:t>2006</w:t>
      </w:r>
      <w:r>
        <w:t xml:space="preserve">) critique of the literature characterised it as small-scale, descriptive and overly reliant on ‘soft’ measures from practitioners, teachers and young people.  </w:t>
      </w:r>
      <w:r w:rsidR="001F7270">
        <w:t xml:space="preserve">Their </w:t>
      </w:r>
      <w:r w:rsidR="006C7DEE">
        <w:t xml:space="preserve">assessment </w:t>
      </w:r>
      <w:r w:rsidR="009F0F64">
        <w:t xml:space="preserve">initially </w:t>
      </w:r>
      <w:r w:rsidR="006C7DEE">
        <w:t>sent shockwaves through the WP community,</w:t>
      </w:r>
      <w:r w:rsidR="006E3347">
        <w:t xml:space="preserve"> although</w:t>
      </w:r>
      <w:r w:rsidR="006C7DEE">
        <w:t xml:space="preserve"> little changed as a result.  </w:t>
      </w:r>
      <w:r w:rsidR="00BD4DF3">
        <w:t>M</w:t>
      </w:r>
      <w:r w:rsidR="006C7DEE">
        <w:t>any practical difficulties (</w:t>
      </w:r>
      <w:r w:rsidR="006E3347">
        <w:t>e.g. with data availability and comparability</w:t>
      </w:r>
      <w:r w:rsidR="00BD4DF3">
        <w:t>)</w:t>
      </w:r>
      <w:r w:rsidR="006C7DEE">
        <w:t xml:space="preserve"> meant it </w:t>
      </w:r>
      <w:r w:rsidR="001F7270">
        <w:t>proved</w:t>
      </w:r>
      <w:r w:rsidR="006C7DEE">
        <w:t xml:space="preserve"> difficult for practitioners and researchers to adopt a </w:t>
      </w:r>
      <w:r w:rsidR="006E3347">
        <w:t>more quanti</w:t>
      </w:r>
      <w:r w:rsidR="001F7270">
        <w:t>t</w:t>
      </w:r>
      <w:r w:rsidR="006E3347">
        <w:t>ative</w:t>
      </w:r>
      <w:r w:rsidR="006C7DEE">
        <w:t xml:space="preserve"> approach.  </w:t>
      </w:r>
      <w:r w:rsidR="001F7270">
        <w:t xml:space="preserve">As mentioned </w:t>
      </w:r>
      <w:r w:rsidR="006C1C87">
        <w:t>earlier</w:t>
      </w:r>
      <w:r w:rsidR="006C7DEE">
        <w:t xml:space="preserve">, even </w:t>
      </w:r>
      <w:r w:rsidR="001F7270">
        <w:t>Aimhigher’s</w:t>
      </w:r>
      <w:r w:rsidR="006C7DEE">
        <w:t xml:space="preserve"> independent evaluators </w:t>
      </w:r>
      <w:r w:rsidR="001F7270">
        <w:t>succumbed to these difficulties</w:t>
      </w:r>
      <w:r w:rsidR="006C7DEE">
        <w:t xml:space="preserve"> (</w:t>
      </w:r>
      <w:r w:rsidR="000D18DB">
        <w:t xml:space="preserve">Passy </w:t>
      </w:r>
      <w:r w:rsidR="006C1C87">
        <w:t>and</w:t>
      </w:r>
      <w:r w:rsidR="000D18DB">
        <w:t xml:space="preserve"> Morris</w:t>
      </w:r>
      <w:r w:rsidR="009C30C1">
        <w:t>,</w:t>
      </w:r>
      <w:r w:rsidR="000D18DB">
        <w:t xml:space="preserve"> 2010</w:t>
      </w:r>
      <w:r w:rsidR="006C7DEE">
        <w:t>).</w:t>
      </w:r>
    </w:p>
    <w:p w:rsidR="009F0F64" w:rsidRDefault="009F0F64" w:rsidP="00463FA4">
      <w:pPr>
        <w:spacing w:line="360" w:lineRule="auto"/>
      </w:pPr>
    </w:p>
    <w:p w:rsidR="009F0F64" w:rsidRDefault="009F0F64" w:rsidP="00463FA4">
      <w:pPr>
        <w:spacing w:line="360" w:lineRule="auto"/>
      </w:pPr>
      <w:r>
        <w:t xml:space="preserve">Moore and </w:t>
      </w:r>
      <w:proofErr w:type="spellStart"/>
      <w:r>
        <w:t>Dunworth’s</w:t>
      </w:r>
      <w:proofErr w:type="spellEnd"/>
      <w:r>
        <w:t xml:space="preserve"> (2011) end-of-life review of </w:t>
      </w:r>
      <w:r w:rsidR="00FE3A12">
        <w:t>62</w:t>
      </w:r>
      <w:r>
        <w:t xml:space="preserve"> research studies from Aimhigher partnerships </w:t>
      </w:r>
      <w:r w:rsidR="001F7270">
        <w:t>synthesised</w:t>
      </w:r>
      <w:r>
        <w:t xml:space="preserve"> an impressive corpus of positive opinions of activities from </w:t>
      </w:r>
      <w:r w:rsidR="001F7270">
        <w:t>stakeholders</w:t>
      </w:r>
      <w:r>
        <w:t xml:space="preserve">.  Aspirations had been raised, motivation for school was higher, career pathways were better defined in young </w:t>
      </w:r>
      <w:r>
        <w:lastRenderedPageBreak/>
        <w:t xml:space="preserve">people’s minds </w:t>
      </w:r>
      <w:r w:rsidR="001F7270">
        <w:t>–</w:t>
      </w:r>
      <w:r>
        <w:t xml:space="preserve"> overall the story was of an enjoyable and efficacious portfolio of activities.  There were some quantitative studies suggesting raised attainment and </w:t>
      </w:r>
      <w:r w:rsidR="001F7270">
        <w:t>demand for</w:t>
      </w:r>
      <w:r>
        <w:t xml:space="preserve"> </w:t>
      </w:r>
      <w:r w:rsidR="001F7270">
        <w:t>HE</w:t>
      </w:r>
      <w:r>
        <w:t xml:space="preserve"> (echoing </w:t>
      </w:r>
      <w:proofErr w:type="spellStart"/>
      <w:r>
        <w:t>Chilosi</w:t>
      </w:r>
      <w:proofErr w:type="spellEnd"/>
      <w:r>
        <w:t xml:space="preserve"> </w:t>
      </w:r>
      <w:r w:rsidR="006C1C87">
        <w:t>et al.</w:t>
      </w:r>
      <w:r w:rsidR="009C30C1">
        <w:t>,</w:t>
      </w:r>
      <w:r>
        <w:t xml:space="preserve"> 2011), but these suffered from being small-</w:t>
      </w:r>
      <w:r w:rsidR="009B4221">
        <w:t xml:space="preserve">scale </w:t>
      </w:r>
      <w:r w:rsidR="001F7270">
        <w:t>and/</w:t>
      </w:r>
      <w:r w:rsidR="009B4221">
        <w:t xml:space="preserve">or of dubious robustness; </w:t>
      </w:r>
      <w:r>
        <w:t xml:space="preserve">there were no </w:t>
      </w:r>
      <w:r w:rsidR="009B4221">
        <w:t xml:space="preserve">truly </w:t>
      </w:r>
      <w:r>
        <w:t>experimental studies.</w:t>
      </w:r>
    </w:p>
    <w:p w:rsidR="009F0F64" w:rsidRDefault="009F0F64" w:rsidP="00463FA4">
      <w:pPr>
        <w:spacing w:line="360" w:lineRule="auto"/>
      </w:pPr>
    </w:p>
    <w:p w:rsidR="009F0F64" w:rsidRDefault="009F0F64" w:rsidP="00463FA4">
      <w:pPr>
        <w:spacing w:line="360" w:lineRule="auto"/>
      </w:pPr>
      <w:r>
        <w:t xml:space="preserve">What it does not evidence is any changes in </w:t>
      </w:r>
      <w:r w:rsidRPr="009B4221">
        <w:rPr>
          <w:i/>
        </w:rPr>
        <w:t>behaviour</w:t>
      </w:r>
      <w:r>
        <w:t xml:space="preserve"> – essentially, that any individual changed their educational trajectory as a result of Aimhigher.  Given known </w:t>
      </w:r>
      <w:r w:rsidR="00BD4DF3">
        <w:t xml:space="preserve">targeting </w:t>
      </w:r>
      <w:r>
        <w:t>difficulties (</w:t>
      </w:r>
      <w:r w:rsidR="00C35BDD" w:rsidRPr="002B1945">
        <w:t>Thomas</w:t>
      </w:r>
      <w:r w:rsidR="009C30C1">
        <w:t>,</w:t>
      </w:r>
      <w:r w:rsidR="002B1945" w:rsidRPr="002B1945">
        <w:t xml:space="preserve"> 2001</w:t>
      </w:r>
      <w:r w:rsidR="00C35BDD" w:rsidRPr="002B1945">
        <w:t>;</w:t>
      </w:r>
      <w:r w:rsidRPr="002B1945">
        <w:t xml:space="preserve"> </w:t>
      </w:r>
      <w:r w:rsidR="00C35BDD">
        <w:t>Hatt, Baxter and Tate</w:t>
      </w:r>
      <w:r w:rsidR="009C30C1">
        <w:t>,</w:t>
      </w:r>
      <w:r w:rsidR="00C35BDD">
        <w:t xml:space="preserve"> 2005</w:t>
      </w:r>
      <w:r>
        <w:t xml:space="preserve">), </w:t>
      </w:r>
      <w:r w:rsidR="002B1945">
        <w:t xml:space="preserve">apparently </w:t>
      </w:r>
      <w:r>
        <w:t xml:space="preserve">positive </w:t>
      </w:r>
      <w:r w:rsidR="002B1945">
        <w:t>outcomes</w:t>
      </w:r>
      <w:r>
        <w:t xml:space="preserve"> could simply have </w:t>
      </w:r>
      <w:r w:rsidR="001F7270">
        <w:t>reflected</w:t>
      </w:r>
      <w:r>
        <w:t xml:space="preserve"> those already </w:t>
      </w:r>
      <w:r w:rsidR="00BD4DF3" w:rsidRPr="00BD4DF3">
        <w:rPr>
          <w:i/>
        </w:rPr>
        <w:t xml:space="preserve">en </w:t>
      </w:r>
      <w:r w:rsidRPr="00BD4DF3">
        <w:rPr>
          <w:i/>
        </w:rPr>
        <w:t>route</w:t>
      </w:r>
      <w:r>
        <w:t xml:space="preserve"> to university – ‘deadweight’</w:t>
      </w:r>
      <w:r w:rsidR="001F7270">
        <w:t>,</w:t>
      </w:r>
      <w:r>
        <w:t xml:space="preserve"> in </w:t>
      </w:r>
      <w:r w:rsidR="001F7270">
        <w:t xml:space="preserve">social </w:t>
      </w:r>
      <w:r>
        <w:t>policy terms.</w:t>
      </w:r>
    </w:p>
    <w:p w:rsidR="009F0F64" w:rsidRDefault="009F0F64" w:rsidP="00463FA4">
      <w:pPr>
        <w:spacing w:line="360" w:lineRule="auto"/>
      </w:pPr>
    </w:p>
    <w:p w:rsidR="009F0F64" w:rsidRDefault="00B8498B" w:rsidP="009F0F64">
      <w:pPr>
        <w:spacing w:line="360" w:lineRule="auto"/>
      </w:pPr>
      <w:r>
        <w:t xml:space="preserve">So, there is </w:t>
      </w:r>
      <w:r w:rsidR="009F0F64">
        <w:t>paucity of evidence, but is this the same as evide</w:t>
      </w:r>
      <w:r>
        <w:t>nce of paucity?  Should a seven-</w:t>
      </w:r>
      <w:r w:rsidR="009F0F64">
        <w:t xml:space="preserve">year multi-million pound national </w:t>
      </w:r>
      <w:r>
        <w:t>programme</w:t>
      </w:r>
      <w:r w:rsidR="009F0F64">
        <w:t xml:space="preserve"> not be reasonably expected to provide compelling, robust and reliable research to prove itself a success?  Should the absence of such an evidence base not be taken as a strong signal </w:t>
      </w:r>
      <w:r w:rsidR="009B4221">
        <w:t>of</w:t>
      </w:r>
      <w:r w:rsidR="009F0F64">
        <w:t xml:space="preserve"> failure?</w:t>
      </w:r>
    </w:p>
    <w:p w:rsidR="00857EF0" w:rsidRDefault="00857EF0" w:rsidP="000F7AD5">
      <w:pPr>
        <w:spacing w:line="360" w:lineRule="auto"/>
      </w:pPr>
    </w:p>
    <w:p w:rsidR="00C24416" w:rsidRDefault="008C1EFF" w:rsidP="00C24416">
      <w:pPr>
        <w:spacing w:line="360" w:lineRule="auto"/>
      </w:pPr>
      <w:r>
        <w:t>Firstly, t</w:t>
      </w:r>
      <w:r w:rsidR="009A56EF">
        <w:t>here is</w:t>
      </w:r>
      <w:r>
        <w:t xml:space="preserve"> </w:t>
      </w:r>
      <w:r w:rsidR="009A56EF">
        <w:t xml:space="preserve">a danger of blaming the victim.  Aimhigher’s birth was marked </w:t>
      </w:r>
      <w:r w:rsidR="00447796">
        <w:t>by</w:t>
      </w:r>
      <w:r w:rsidR="009A56EF">
        <w:t xml:space="preserve"> a confusion about mission, performance measures and data</w:t>
      </w:r>
      <w:r w:rsidR="009B4221">
        <w:t xml:space="preserve"> (Harrison, </w:t>
      </w:r>
      <w:r w:rsidR="00E92BA7">
        <w:t>2012</w:t>
      </w:r>
      <w:r w:rsidR="009B4221">
        <w:t>)</w:t>
      </w:r>
      <w:r w:rsidR="009A56EF">
        <w:t>.</w:t>
      </w:r>
      <w:r>
        <w:t xml:space="preserve"> </w:t>
      </w:r>
      <w:r w:rsidR="00447796">
        <w:t xml:space="preserve"> While not </w:t>
      </w:r>
      <w:r w:rsidR="00B82B91">
        <w:t>exempting it</w:t>
      </w:r>
      <w:r w:rsidR="00447796">
        <w:t xml:space="preserve"> </w:t>
      </w:r>
      <w:r w:rsidR="00B82B91">
        <w:t>from</w:t>
      </w:r>
      <w:r w:rsidR="00447796">
        <w:t xml:space="preserve"> responsibility, this did weigh heavily on the ability of Aimhigher partnerships to engage in high-quality and compelling research – as did the removal of the regional infrastructure </w:t>
      </w:r>
      <w:r w:rsidR="00B82B91">
        <w:t>in</w:t>
      </w:r>
      <w:r w:rsidR="00447796">
        <w:t xml:space="preserve"> 2008. </w:t>
      </w:r>
    </w:p>
    <w:p w:rsidR="00C24416" w:rsidRDefault="00C24416" w:rsidP="00C24416">
      <w:pPr>
        <w:spacing w:line="360" w:lineRule="auto"/>
      </w:pPr>
    </w:p>
    <w:p w:rsidR="00C24416" w:rsidRDefault="008C1EFF" w:rsidP="000F7AD5">
      <w:pPr>
        <w:spacing w:line="360" w:lineRule="auto"/>
        <w:rPr>
          <w:rFonts w:cstheme="minorHAnsi"/>
        </w:rPr>
      </w:pPr>
      <w:r w:rsidRPr="00C24416">
        <w:rPr>
          <w:rFonts w:cstheme="minorHAnsi"/>
        </w:rPr>
        <w:t xml:space="preserve">Secondly, </w:t>
      </w:r>
      <w:r w:rsidR="00447796" w:rsidRPr="00C24416">
        <w:rPr>
          <w:rFonts w:cstheme="minorHAnsi"/>
        </w:rPr>
        <w:t>there is a continuing issue</w:t>
      </w:r>
      <w:r w:rsidR="00677AA1">
        <w:rPr>
          <w:rFonts w:cstheme="minorHAnsi"/>
        </w:rPr>
        <w:t xml:space="preserve"> with research design, with no </w:t>
      </w:r>
      <w:r w:rsidR="00447796" w:rsidRPr="00C24416">
        <w:rPr>
          <w:rFonts w:cstheme="minorHAnsi"/>
        </w:rPr>
        <w:t>easy solution.  Some suggest that educational research should learn from the field of medical research, with its rigorously controlled expe</w:t>
      </w:r>
      <w:r w:rsidR="00C24416" w:rsidRPr="00C24416">
        <w:rPr>
          <w:rFonts w:cstheme="minorHAnsi"/>
        </w:rPr>
        <w:t xml:space="preserve">rimental testing that enables ‘what works’ to be deduced with a high degree of certainty.  This is </w:t>
      </w:r>
      <w:r w:rsidR="009B4221">
        <w:rPr>
          <w:rFonts w:cstheme="minorHAnsi"/>
        </w:rPr>
        <w:t>often</w:t>
      </w:r>
      <w:r w:rsidR="00C24416" w:rsidRPr="00C24416">
        <w:rPr>
          <w:rFonts w:cstheme="minorHAnsi"/>
        </w:rPr>
        <w:t xml:space="preserve"> advanced by those with a misunderstanding of both medical and educational research.  </w:t>
      </w:r>
    </w:p>
    <w:p w:rsidR="00B82B91" w:rsidRDefault="00B82B91" w:rsidP="000F7AD5">
      <w:pPr>
        <w:spacing w:line="360" w:lineRule="auto"/>
      </w:pPr>
    </w:p>
    <w:p w:rsidR="00C24416" w:rsidRDefault="009B4221" w:rsidP="000F7AD5">
      <w:pPr>
        <w:spacing w:line="360" w:lineRule="auto"/>
      </w:pPr>
      <w:r>
        <w:t>T</w:t>
      </w:r>
      <w:r w:rsidR="00C24416">
        <w:t>here are a number of feature</w:t>
      </w:r>
      <w:r w:rsidR="0079369D">
        <w:t>s</w:t>
      </w:r>
      <w:r w:rsidR="00C24416">
        <w:t xml:space="preserve"> that are simply not transferable.  </w:t>
      </w:r>
      <w:r>
        <w:t xml:space="preserve">In </w:t>
      </w:r>
      <w:r w:rsidR="00B22B1A">
        <w:t xml:space="preserve">experimental </w:t>
      </w:r>
      <w:r>
        <w:t xml:space="preserve">medical </w:t>
      </w:r>
      <w:r w:rsidR="00B82B91">
        <w:t>trials</w:t>
      </w:r>
      <w:r>
        <w:t>,</w:t>
      </w:r>
      <w:r w:rsidR="00C24416">
        <w:t xml:space="preserve"> the symptoms are known and only those </w:t>
      </w:r>
      <w:r w:rsidR="00677AA1">
        <w:t>displaying them</w:t>
      </w:r>
      <w:r w:rsidR="00C24416">
        <w:t xml:space="preserve"> are involved in the trial; there is no deadweight.  </w:t>
      </w:r>
      <w:r>
        <w:t>T</w:t>
      </w:r>
      <w:r w:rsidR="00C24416">
        <w:t xml:space="preserve">he dose of the experimental treatment is not only known, but carefully controlled, usually to the exclusion of other treatments.  Schools, on the other hand, are messy places </w:t>
      </w:r>
      <w:r w:rsidR="00B82B91">
        <w:t>with</w:t>
      </w:r>
      <w:r w:rsidR="00C24416">
        <w:t xml:space="preserve"> multiple </w:t>
      </w:r>
      <w:r w:rsidR="00B82B91">
        <w:t xml:space="preserve">overlapping and interacting </w:t>
      </w:r>
      <w:r w:rsidR="00C24416">
        <w:t>inventions, while the ‘dose’ of WP that they receive is hard to measure, l</w:t>
      </w:r>
      <w:r w:rsidR="009C30C1">
        <w:t>et al</w:t>
      </w:r>
      <w:r w:rsidR="00C24416">
        <w:t>one control</w:t>
      </w:r>
      <w:r>
        <w:t>:</w:t>
      </w:r>
      <w:r w:rsidR="00B82B91">
        <w:t xml:space="preserve"> is one summer school </w:t>
      </w:r>
      <w:r w:rsidR="00C24416">
        <w:t xml:space="preserve">more </w:t>
      </w:r>
      <w:r w:rsidR="00B82B91">
        <w:t>effective</w:t>
      </w:r>
      <w:r w:rsidR="00C24416">
        <w:t xml:space="preserve"> than three taster days or ten mentoring sessions?</w:t>
      </w:r>
      <w:r w:rsidR="0079369D">
        <w:t xml:space="preserve">  Medical trials include</w:t>
      </w:r>
      <w:r w:rsidR="00B22B1A">
        <w:t xml:space="preserve"> placebos in order to provide a non-treatment control</w:t>
      </w:r>
      <w:r w:rsidR="0079369D">
        <w:t xml:space="preserve">, but replicating this in schools would be mindlessly perverse!  </w:t>
      </w:r>
      <w:r w:rsidR="00B22B1A">
        <w:t>Medical trials</w:t>
      </w:r>
      <w:r w:rsidR="0079369D">
        <w:t xml:space="preserve"> also </w:t>
      </w:r>
      <w:r w:rsidR="00C24416">
        <w:t xml:space="preserve">rarely last over timescales measured in years and, when they do, their </w:t>
      </w:r>
      <w:r w:rsidR="0079369D">
        <w:t xml:space="preserve">statistical </w:t>
      </w:r>
      <w:r w:rsidR="00C24416">
        <w:t xml:space="preserve">power declines rapidly as </w:t>
      </w:r>
      <w:r w:rsidR="0079369D">
        <w:t>participants</w:t>
      </w:r>
      <w:r w:rsidR="00C24416">
        <w:t xml:space="preserve"> fall away.</w:t>
      </w:r>
      <w:r w:rsidR="0079369D">
        <w:t xml:space="preserve">  </w:t>
      </w:r>
    </w:p>
    <w:p w:rsidR="00C90798" w:rsidRDefault="00C90798" w:rsidP="000F7AD5">
      <w:pPr>
        <w:spacing w:line="360" w:lineRule="auto"/>
      </w:pPr>
    </w:p>
    <w:p w:rsidR="00C90798" w:rsidRDefault="00C90798" w:rsidP="000F7AD5">
      <w:pPr>
        <w:spacing w:line="360" w:lineRule="auto"/>
      </w:pPr>
      <w:r>
        <w:t>This is not to argue for ‘business as usual’.  It is clear that something need</w:t>
      </w:r>
      <w:r w:rsidR="00BD3EB2">
        <w:t>s</w:t>
      </w:r>
      <w:r>
        <w:t xml:space="preserve"> to change if WP practitioners are to have their work and voices adequately respected in future.  </w:t>
      </w:r>
      <w:r w:rsidR="000712B9">
        <w:t>C</w:t>
      </w:r>
      <w:r>
        <w:t>larity of mission and desired outcomes will provide a useful step forwards.  Another would be to robustly evidence small st</w:t>
      </w:r>
      <w:r w:rsidR="000712B9">
        <w:t>age</w:t>
      </w:r>
      <w:r w:rsidR="00BD3EB2">
        <w:t>s</w:t>
      </w:r>
      <w:r>
        <w:t xml:space="preserve"> from intervention to outcome, rather than trying to show large</w:t>
      </w:r>
      <w:r w:rsidR="000712B9">
        <w:t>-</w:t>
      </w:r>
      <w:r>
        <w:t>scale impact on behaviour over many years.  A third approach has</w:t>
      </w:r>
      <w:r w:rsidR="009B4221">
        <w:t xml:space="preserve"> </w:t>
      </w:r>
      <w:r>
        <w:t xml:space="preserve">to be a move towards a more quantitative approach to research design.  In some instances, experimental design can be appropriate, albeit with an appreciation of the ‘messiness’ of educational research.  However, other approaches – some of which are also employed in medical research – can offer value, such as quasi-experimental studies that </w:t>
      </w:r>
      <w:r w:rsidR="009B4221">
        <w:t xml:space="preserve">retrospectively </w:t>
      </w:r>
      <w:r>
        <w:t>examine behaviours over time.</w:t>
      </w:r>
    </w:p>
    <w:p w:rsidR="00C90798" w:rsidRDefault="00C90798" w:rsidP="000F7AD5">
      <w:pPr>
        <w:spacing w:line="360" w:lineRule="auto"/>
      </w:pPr>
    </w:p>
    <w:p w:rsidR="00C90798" w:rsidRDefault="00C90798" w:rsidP="000F7AD5">
      <w:pPr>
        <w:spacing w:line="360" w:lineRule="auto"/>
      </w:pPr>
      <w:r>
        <w:t xml:space="preserve">Perhaps the biggest sticking point is the trade-off between the aims of professional practice and the aims of research design.  In the former instance, </w:t>
      </w:r>
      <w:r w:rsidR="000712B9">
        <w:t xml:space="preserve">practitioners strive to provide </w:t>
      </w:r>
      <w:r w:rsidR="00220E10">
        <w:t xml:space="preserve">activities for </w:t>
      </w:r>
      <w:r>
        <w:t xml:space="preserve">the most ‘deserving’ </w:t>
      </w:r>
      <w:r w:rsidR="000712B9">
        <w:t>or ‘receptive’</w:t>
      </w:r>
      <w:r>
        <w:t xml:space="preserve"> </w:t>
      </w:r>
      <w:r w:rsidR="00220E10">
        <w:t xml:space="preserve">individuals, </w:t>
      </w:r>
      <w:r w:rsidR="00BD3EB2">
        <w:t>effectively violating</w:t>
      </w:r>
      <w:r w:rsidR="00220E10">
        <w:t xml:space="preserve"> the preconditions for experimental research designs by removing the scope for a randomised control group.  Conversely, a randomised approach to the allocation of places </w:t>
      </w:r>
      <w:r w:rsidR="000712B9">
        <w:t xml:space="preserve">(e.g. </w:t>
      </w:r>
      <w:r w:rsidR="00220E10">
        <w:t>on</w:t>
      </w:r>
      <w:r w:rsidR="000712B9">
        <w:t xml:space="preserve"> </w:t>
      </w:r>
      <w:r w:rsidR="00220E10">
        <w:t>a summer school</w:t>
      </w:r>
      <w:r w:rsidR="000712B9">
        <w:t>)</w:t>
      </w:r>
      <w:r w:rsidR="00220E10">
        <w:t xml:space="preserve"> would increase the deadweight.  </w:t>
      </w:r>
      <w:r w:rsidR="009B4221">
        <w:t>T</w:t>
      </w:r>
      <w:r w:rsidR="00220E10">
        <w:t xml:space="preserve">his would dull </w:t>
      </w:r>
      <w:r w:rsidR="009B4221">
        <w:t>and disguis</w:t>
      </w:r>
      <w:r w:rsidR="000712B9">
        <w:t>e</w:t>
      </w:r>
      <w:r w:rsidR="009B4221">
        <w:t xml:space="preserve"> </w:t>
      </w:r>
      <w:r w:rsidR="00220E10">
        <w:t xml:space="preserve">any </w:t>
      </w:r>
      <w:r w:rsidR="000712B9">
        <w:t>c</w:t>
      </w:r>
      <w:r w:rsidR="00220E10">
        <w:t xml:space="preserve">ausal effect from the activity </w:t>
      </w:r>
      <w:r w:rsidR="00BD3EB2">
        <w:t>–</w:t>
      </w:r>
      <w:r w:rsidR="00220E10">
        <w:t xml:space="preserve"> the equivalent of including people without symptoms in a </w:t>
      </w:r>
      <w:r w:rsidR="000712B9">
        <w:t xml:space="preserve">medical </w:t>
      </w:r>
      <w:r w:rsidR="00220E10">
        <w:t>tria</w:t>
      </w:r>
      <w:r w:rsidR="000712B9">
        <w:t>l and then being surprised that they showed no improvement</w:t>
      </w:r>
      <w:r w:rsidR="00220E10">
        <w:t>!  There are constructive compromises to be made, but they require a much closer and earlier co-operation between practitioner and researcher than has generally been the pattern to date.</w:t>
      </w:r>
    </w:p>
    <w:p w:rsidR="00C24416" w:rsidRDefault="00C24416" w:rsidP="000F7AD5">
      <w:pPr>
        <w:spacing w:line="360" w:lineRule="auto"/>
      </w:pPr>
    </w:p>
    <w:p w:rsidR="001B5DEE" w:rsidRDefault="001B5DEE" w:rsidP="000F7AD5">
      <w:pPr>
        <w:spacing w:line="360" w:lineRule="auto"/>
      </w:pPr>
    </w:p>
    <w:p w:rsidR="001B5DEE" w:rsidRDefault="001B5DEE" w:rsidP="001B5DEE">
      <w:pPr>
        <w:spacing w:line="360" w:lineRule="auto"/>
      </w:pPr>
      <w:r w:rsidRPr="00B018C5">
        <w:rPr>
          <w:b/>
          <w:sz w:val="26"/>
          <w:szCs w:val="26"/>
        </w:rPr>
        <w:t xml:space="preserve">Question </w:t>
      </w:r>
      <w:r>
        <w:rPr>
          <w:b/>
          <w:sz w:val="26"/>
          <w:szCs w:val="26"/>
        </w:rPr>
        <w:t>3</w:t>
      </w:r>
      <w:r w:rsidRPr="00B018C5">
        <w:rPr>
          <w:b/>
          <w:sz w:val="26"/>
          <w:szCs w:val="26"/>
        </w:rPr>
        <w:t xml:space="preserve">: </w:t>
      </w:r>
      <w:r>
        <w:rPr>
          <w:b/>
          <w:sz w:val="26"/>
          <w:szCs w:val="26"/>
        </w:rPr>
        <w:t>geography and fairness</w:t>
      </w:r>
    </w:p>
    <w:p w:rsidR="001B5DEE" w:rsidRDefault="001B5DEE" w:rsidP="001B5DEE">
      <w:pPr>
        <w:spacing w:line="360" w:lineRule="auto"/>
      </w:pPr>
    </w:p>
    <w:p w:rsidR="001B5DEE" w:rsidRDefault="00A42DD7" w:rsidP="001B5DEE">
      <w:pPr>
        <w:spacing w:line="360" w:lineRule="auto"/>
      </w:pPr>
      <w:r>
        <w:t>There has always been a geographical component to WP activity, both in terms of targeting interventions and the pragmatics of delivery; these continue to frame ongoing questions about fairness and equality of opportunity.</w:t>
      </w:r>
      <w:r w:rsidR="00E24ECA">
        <w:t xml:space="preserve">  </w:t>
      </w:r>
    </w:p>
    <w:p w:rsidR="00E24ECA" w:rsidRDefault="00E24ECA" w:rsidP="001B5DEE">
      <w:pPr>
        <w:spacing w:line="360" w:lineRule="auto"/>
      </w:pPr>
    </w:p>
    <w:p w:rsidR="00E24ECA" w:rsidRDefault="00E24ECA" w:rsidP="001B5DEE">
      <w:pPr>
        <w:spacing w:line="360" w:lineRule="auto"/>
      </w:pPr>
      <w:r>
        <w:t xml:space="preserve">The idea that the ‘right’ young people for WP activities are concentrated in certain geographical areas is deeply ingrained for policymakers and practitioners.  </w:t>
      </w:r>
      <w:r w:rsidR="00F909DB">
        <w:t>T</w:t>
      </w:r>
      <w:r>
        <w:t xml:space="preserve">his has revolved around the concept of ‘low participation neighbourhoods’ (LPNs) </w:t>
      </w:r>
      <w:r w:rsidR="00602472">
        <w:t>with a lower-than-</w:t>
      </w:r>
      <w:r>
        <w:t xml:space="preserve">average propensity to send young people to university, </w:t>
      </w:r>
      <w:r w:rsidR="00F909DB">
        <w:t xml:space="preserve">particularly </w:t>
      </w:r>
      <w:r>
        <w:t>as specified by HEFCE’s POLAR statistic (HEFCE</w:t>
      </w:r>
      <w:r w:rsidR="009C30C1">
        <w:t>,</w:t>
      </w:r>
      <w:r>
        <w:t xml:space="preserve"> 2005).  This was augmented by the </w:t>
      </w:r>
      <w:r w:rsidR="0097309F">
        <w:t>targeting</w:t>
      </w:r>
      <w:r>
        <w:t xml:space="preserve"> of deprived neighbourhoods</w:t>
      </w:r>
      <w:r w:rsidR="00F909DB">
        <w:t>,</w:t>
      </w:r>
      <w:r>
        <w:t xml:space="preserve"> as defined by the Index of Multiple Deprivation (HEFCE</w:t>
      </w:r>
      <w:r w:rsidR="009C30C1">
        <w:t>,</w:t>
      </w:r>
      <w:r>
        <w:t xml:space="preserve"> 2007)</w:t>
      </w:r>
      <w:r w:rsidR="00F909DB">
        <w:t>,</w:t>
      </w:r>
      <w:r>
        <w:t xml:space="preserve"> </w:t>
      </w:r>
      <w:r w:rsidR="00F909DB">
        <w:t>to enable LPNs to be ranked further</w:t>
      </w:r>
      <w:r>
        <w:t>.</w:t>
      </w:r>
    </w:p>
    <w:p w:rsidR="00DF6F71" w:rsidRDefault="00DF6F71" w:rsidP="001B5DEE">
      <w:pPr>
        <w:spacing w:line="360" w:lineRule="auto"/>
      </w:pPr>
    </w:p>
    <w:p w:rsidR="00DF6F71" w:rsidRDefault="00DF6F71" w:rsidP="001B5DEE">
      <w:pPr>
        <w:spacing w:line="360" w:lineRule="auto"/>
      </w:pPr>
      <w:r>
        <w:t>Harrison and Hatt (2009</w:t>
      </w:r>
      <w:r w:rsidR="00FB3372">
        <w:t>b</w:t>
      </w:r>
      <w:r>
        <w:t>; 20</w:t>
      </w:r>
      <w:r w:rsidR="00F909DB">
        <w:t xml:space="preserve">10) critiqued this approach, </w:t>
      </w:r>
      <w:r>
        <w:t>point</w:t>
      </w:r>
      <w:r w:rsidR="00F909DB">
        <w:t>ing</w:t>
      </w:r>
      <w:r>
        <w:t xml:space="preserve"> out fundamental problems with the conceptualisation.</w:t>
      </w:r>
      <w:r w:rsidR="00EB2BAC">
        <w:t xml:space="preserve">  LPNs are not neighbourhoods at all, being based around </w:t>
      </w:r>
      <w:r w:rsidR="00F909DB">
        <w:t xml:space="preserve">artificial </w:t>
      </w:r>
      <w:r w:rsidR="00EB2BAC">
        <w:t>local government wards that often contain 10,000 people or more.  The level of granularity is far lower than presumed, with very large areas in most cities bei</w:t>
      </w:r>
      <w:r w:rsidR="00246C78">
        <w:t xml:space="preserve">ng included.  </w:t>
      </w:r>
      <w:r w:rsidR="00EB2BAC">
        <w:t>Furthermore, the ap</w:t>
      </w:r>
      <w:r w:rsidR="00246C78">
        <w:t xml:space="preserve">proach tends to privilege urban forms of deprivation, both in terms of what constitutes deprivation and how it is concentrated.  For example, </w:t>
      </w:r>
      <w:r w:rsidR="00F909DB">
        <w:t xml:space="preserve">rural wards </w:t>
      </w:r>
      <w:proofErr w:type="spellStart"/>
      <w:r w:rsidR="00246C78">
        <w:t>cover</w:t>
      </w:r>
      <w:proofErr w:type="spellEnd"/>
      <w:r w:rsidR="00246C78">
        <w:t xml:space="preserve"> vast area</w:t>
      </w:r>
      <w:r w:rsidR="00F909DB">
        <w:t xml:space="preserve">s, perhaps taking in </w:t>
      </w:r>
      <w:r w:rsidR="001903E3">
        <w:t>ten villages</w:t>
      </w:r>
      <w:r w:rsidR="00F909DB">
        <w:t xml:space="preserve"> or more, with the</w:t>
      </w:r>
      <w:r w:rsidR="001903E3">
        <w:t xml:space="preserve"> effect of averaging deprivation, such that </w:t>
      </w:r>
      <w:r w:rsidR="0097309F">
        <w:t>few</w:t>
      </w:r>
      <w:r w:rsidR="001903E3">
        <w:t xml:space="preserve"> area</w:t>
      </w:r>
      <w:r w:rsidR="0097309F">
        <w:t>s reach</w:t>
      </w:r>
      <w:r w:rsidR="00F909DB">
        <w:t xml:space="preserve"> the concentrations found in cities.</w:t>
      </w:r>
    </w:p>
    <w:p w:rsidR="001903E3" w:rsidRDefault="001903E3" w:rsidP="001B5DEE">
      <w:pPr>
        <w:spacing w:line="360" w:lineRule="auto"/>
      </w:pPr>
    </w:p>
    <w:p w:rsidR="007D157B" w:rsidRDefault="00014FBF" w:rsidP="001B5DEE">
      <w:pPr>
        <w:spacing w:line="360" w:lineRule="auto"/>
      </w:pPr>
      <w:r>
        <w:t>Perh</w:t>
      </w:r>
      <w:r w:rsidR="00437060">
        <w:t xml:space="preserve">aps the most important finding </w:t>
      </w:r>
      <w:r>
        <w:t>was that, crudely, while rich</w:t>
      </w:r>
      <w:r w:rsidR="00AF2DA4">
        <w:t>er</w:t>
      </w:r>
      <w:r>
        <w:t xml:space="preserve"> people tend only to live in affluent areas, poor</w:t>
      </w:r>
      <w:r w:rsidR="00AF2DA4">
        <w:t>er</w:t>
      </w:r>
      <w:r>
        <w:t xml:space="preserve"> people are to be found much more widely</w:t>
      </w:r>
      <w:r w:rsidR="00AF2DA4">
        <w:t>, especially</w:t>
      </w:r>
      <w:r>
        <w:t xml:space="preserve"> in rural areas and those </w:t>
      </w:r>
      <w:r w:rsidR="00AF2DA4">
        <w:t xml:space="preserve">urban </w:t>
      </w:r>
      <w:r>
        <w:t xml:space="preserve">areas </w:t>
      </w:r>
      <w:r w:rsidR="00437060">
        <w:t>with a dispersed</w:t>
      </w:r>
      <w:r>
        <w:t xml:space="preserve"> approach to social housing.  The conceptual problem, therefore, is that area-based initiatives miss as many </w:t>
      </w:r>
      <w:r w:rsidR="007D157B">
        <w:t>‘</w:t>
      </w:r>
      <w:r w:rsidR="00AF2DA4">
        <w:t>right’ people as they hit; t</w:t>
      </w:r>
      <w:r>
        <w:t>his finding is congruent with similar studies in other areas of social policy (</w:t>
      </w:r>
      <w:proofErr w:type="spellStart"/>
      <w:r w:rsidR="00855874">
        <w:t>Tunstall</w:t>
      </w:r>
      <w:proofErr w:type="spellEnd"/>
      <w:r w:rsidR="00855874">
        <w:t xml:space="preserve"> </w:t>
      </w:r>
      <w:r w:rsidR="006C1C87">
        <w:t>and</w:t>
      </w:r>
      <w:r w:rsidR="00855874">
        <w:t xml:space="preserve"> Lupton</w:t>
      </w:r>
      <w:r w:rsidR="009C30C1">
        <w:t>,</w:t>
      </w:r>
      <w:r w:rsidR="00855874">
        <w:t xml:space="preserve"> 2003</w:t>
      </w:r>
      <w:r w:rsidR="0011200D">
        <w:t xml:space="preserve">; </w:t>
      </w:r>
      <w:r w:rsidR="00855874">
        <w:t xml:space="preserve">Rees, Power </w:t>
      </w:r>
      <w:r w:rsidR="006C1C87">
        <w:t>and</w:t>
      </w:r>
      <w:r w:rsidR="00855874">
        <w:t xml:space="preserve"> Taylor</w:t>
      </w:r>
      <w:r w:rsidR="009C30C1">
        <w:t>,</w:t>
      </w:r>
      <w:r w:rsidR="0011200D">
        <w:t xml:space="preserve"> 2007</w:t>
      </w:r>
      <w:r>
        <w:t>)</w:t>
      </w:r>
      <w:r w:rsidR="007D157B">
        <w:t>.</w:t>
      </w:r>
    </w:p>
    <w:p w:rsidR="0041004E" w:rsidRDefault="0041004E" w:rsidP="001B5DEE">
      <w:pPr>
        <w:spacing w:line="360" w:lineRule="auto"/>
      </w:pPr>
    </w:p>
    <w:p w:rsidR="0041004E" w:rsidRDefault="0041004E" w:rsidP="001B5DEE">
      <w:pPr>
        <w:spacing w:line="360" w:lineRule="auto"/>
      </w:pPr>
      <w:r>
        <w:t>Targeting by LPN remains the dominant paradigm</w:t>
      </w:r>
      <w:r w:rsidR="00DB5B9F">
        <w:t>.</w:t>
      </w:r>
      <w:r>
        <w:t xml:space="preserve"> </w:t>
      </w:r>
      <w:r w:rsidR="00DB5B9F">
        <w:t xml:space="preserve"> I</w:t>
      </w:r>
      <w:r>
        <w:t xml:space="preserve">t is ubiquitous within university Access Agreements, echoing the </w:t>
      </w:r>
      <w:r w:rsidR="00AF2DA4">
        <w:t>annual</w:t>
      </w:r>
      <w:r>
        <w:t xml:space="preserve"> data published by the </w:t>
      </w:r>
      <w:r w:rsidR="006E3347">
        <w:t>H</w:t>
      </w:r>
      <w:r w:rsidR="00DB5B9F">
        <w:t xml:space="preserve">igher </w:t>
      </w:r>
      <w:r w:rsidR="006E3347">
        <w:t>E</w:t>
      </w:r>
      <w:r w:rsidR="00DB5B9F">
        <w:t>ducation</w:t>
      </w:r>
      <w:r>
        <w:t xml:space="preserve"> Statistic</w:t>
      </w:r>
      <w:r w:rsidR="00DB5B9F">
        <w:t>s</w:t>
      </w:r>
      <w:r>
        <w:t xml:space="preserve"> Agency (e.g. HESA</w:t>
      </w:r>
      <w:r w:rsidR="009C30C1">
        <w:t>,</w:t>
      </w:r>
      <w:r>
        <w:t xml:space="preserve"> </w:t>
      </w:r>
      <w:r w:rsidR="000D7E7A">
        <w:t>2012</w:t>
      </w:r>
      <w:r>
        <w:t>).  Indeed, as other forms of targeting (e.g. by social class) have waned in popularity, the role of LPNs has become firmer.  A third phase of</w:t>
      </w:r>
      <w:r w:rsidR="00DA6649">
        <w:t xml:space="preserve"> POLAR data </w:t>
      </w:r>
      <w:r w:rsidR="00773EC6">
        <w:t>was released in late 2012 and is being</w:t>
      </w:r>
      <w:r w:rsidR="00DA6649">
        <w:t xml:space="preserve"> absorbed intently </w:t>
      </w:r>
      <w:r w:rsidR="00AF2DA4">
        <w:t>by</w:t>
      </w:r>
      <w:r w:rsidR="00DA6649">
        <w:t xml:space="preserve"> the sector.</w:t>
      </w:r>
      <w:r w:rsidR="00C933D8">
        <w:t xml:space="preserve">  We are likely to see, therefore, an even more reductionist approach to targeting activity in the future.</w:t>
      </w:r>
    </w:p>
    <w:p w:rsidR="00C933D8" w:rsidRDefault="00C933D8" w:rsidP="001B5DEE">
      <w:pPr>
        <w:spacing w:line="360" w:lineRule="auto"/>
      </w:pPr>
    </w:p>
    <w:p w:rsidR="00C933D8" w:rsidRDefault="00AF2DA4" w:rsidP="001B5DEE">
      <w:pPr>
        <w:spacing w:line="360" w:lineRule="auto"/>
      </w:pPr>
      <w:r>
        <w:t>The danger is</w:t>
      </w:r>
      <w:r w:rsidR="00C933D8">
        <w:t xml:space="preserve"> that this </w:t>
      </w:r>
      <w:r w:rsidR="00602472">
        <w:t>is</w:t>
      </w:r>
      <w:r w:rsidR="00C933D8">
        <w:t xml:space="preserve"> magnified by the pragmatics of delivery.  WP activities are, by their nature, human-intensive and based on social interaction.  They typically involve a person from the world of </w:t>
      </w:r>
      <w:r w:rsidR="006E3347">
        <w:t>HE</w:t>
      </w:r>
      <w:r w:rsidR="00C933D8">
        <w:t xml:space="preserve"> (lecturer, outreach worker or student) travelling to a school or for pupils to travel to a university.  The practicalities of this are obvious – it is always easier and cheaper to m</w:t>
      </w:r>
      <w:r w:rsidR="00DB5B9F">
        <w:t>ake this occur where the school and</w:t>
      </w:r>
      <w:r w:rsidR="00C933D8">
        <w:t xml:space="preserve"> university are near to each other.</w:t>
      </w:r>
    </w:p>
    <w:p w:rsidR="00A41BE9" w:rsidRDefault="00A41BE9" w:rsidP="001B5DEE">
      <w:pPr>
        <w:spacing w:line="360" w:lineRule="auto"/>
      </w:pPr>
    </w:p>
    <w:p w:rsidR="00A41BE9" w:rsidRPr="00EB2BAC" w:rsidRDefault="00C933D8" w:rsidP="001B5DEE">
      <w:pPr>
        <w:spacing w:line="360" w:lineRule="auto"/>
      </w:pPr>
      <w:r>
        <w:t xml:space="preserve">One of the undervalued roles of Aimhigher was to ensure a degree of equitability about the rationing of access to WP </w:t>
      </w:r>
      <w:r w:rsidR="00DB5B9F">
        <w:t>activities</w:t>
      </w:r>
      <w:r>
        <w:t xml:space="preserve">.  Universities were required to spread their work into areas beyond their normal </w:t>
      </w:r>
      <w:r w:rsidR="00DB5B9F">
        <w:t>sphere of influence</w:t>
      </w:r>
      <w:r w:rsidR="00AF2DA4">
        <w:t>,</w:t>
      </w:r>
      <w:r>
        <w:t xml:space="preserve"> </w:t>
      </w:r>
      <w:r w:rsidR="00AF2DA4">
        <w:t>ensuring</w:t>
      </w:r>
      <w:r>
        <w:t xml:space="preserve"> at least some coverage in areas distant from </w:t>
      </w:r>
      <w:r w:rsidR="006E3347">
        <w:t>HE</w:t>
      </w:r>
      <w:r>
        <w:t xml:space="preserve"> provision.  Funds were directly or indirectly provided to schools to enable them to meet travel costs for them or their pupils’ parents.</w:t>
      </w:r>
    </w:p>
    <w:p w:rsidR="001B5DEE" w:rsidRDefault="001B5DEE" w:rsidP="000F7AD5">
      <w:pPr>
        <w:spacing w:line="360" w:lineRule="auto"/>
      </w:pPr>
    </w:p>
    <w:p w:rsidR="00014FBF" w:rsidRDefault="006F11BF" w:rsidP="000F7AD5">
      <w:pPr>
        <w:spacing w:line="360" w:lineRule="auto"/>
      </w:pPr>
      <w:r>
        <w:lastRenderedPageBreak/>
        <w:t xml:space="preserve">One effect of the demise of Aimhigher is </w:t>
      </w:r>
      <w:r w:rsidR="00AF2DA4">
        <w:t xml:space="preserve">an inevitable </w:t>
      </w:r>
      <w:r>
        <w:t>retraction of the geographical reach of universities’ WP operations.  With less money in the system, there will be an increasingly close concentration on the local to the detriment of those living further afield</w:t>
      </w:r>
      <w:r w:rsidR="00DB5B9F">
        <w:t>; this is also being seen in bursary programmes</w:t>
      </w:r>
      <w:r>
        <w:t xml:space="preserve">.  In areas with multiple universities, </w:t>
      </w:r>
      <w:r w:rsidR="00DB5B9F">
        <w:t xml:space="preserve">we should expect to see a new </w:t>
      </w:r>
      <w:r>
        <w:t xml:space="preserve">‘game’ of chasing well-qualified young people from LPNs (whether or not they are deadweight) </w:t>
      </w:r>
      <w:r w:rsidR="00AF2DA4">
        <w:t>to meet</w:t>
      </w:r>
      <w:r>
        <w:t xml:space="preserve"> </w:t>
      </w:r>
      <w:r w:rsidR="00DB5B9F">
        <w:t>Access Agreement promises</w:t>
      </w:r>
      <w:r>
        <w:t>.  This supply</w:t>
      </w:r>
      <w:r w:rsidR="00AF2DA4">
        <w:t>-</w:t>
      </w:r>
      <w:r>
        <w:t xml:space="preserve">chain focus </w:t>
      </w:r>
      <w:r w:rsidR="00AF2DA4">
        <w:t xml:space="preserve">will see </w:t>
      </w:r>
      <w:r>
        <w:t xml:space="preserve">some schools and young people being courted by multiple </w:t>
      </w:r>
      <w:r w:rsidR="00DB5B9F">
        <w:t>suitors</w:t>
      </w:r>
      <w:r>
        <w:t xml:space="preserve"> while others </w:t>
      </w:r>
      <w:r w:rsidR="00AF2DA4">
        <w:t>get</w:t>
      </w:r>
      <w:r>
        <w:t xml:space="preserve"> little or no </w:t>
      </w:r>
      <w:r w:rsidR="00DB5B9F">
        <w:t>attention.</w:t>
      </w:r>
      <w:r>
        <w:t xml:space="preserve">  </w:t>
      </w:r>
    </w:p>
    <w:p w:rsidR="006F11BF" w:rsidRDefault="006F11BF" w:rsidP="000F7AD5">
      <w:pPr>
        <w:spacing w:line="360" w:lineRule="auto"/>
      </w:pPr>
    </w:p>
    <w:p w:rsidR="006F11BF" w:rsidRDefault="006F11BF" w:rsidP="000F7AD5">
      <w:pPr>
        <w:spacing w:line="360" w:lineRule="auto"/>
      </w:pPr>
      <w:r>
        <w:t xml:space="preserve">This analysis poses serious questions about fairness.  WP is in danger of being </w:t>
      </w:r>
      <w:r w:rsidR="00DB5B9F">
        <w:t>commoditised</w:t>
      </w:r>
      <w:r>
        <w:t>, with more concern about where someone lives (close and deprived being preferred) than whether any outcomes, attitudes or behaviours have actually been changed.</w:t>
      </w:r>
    </w:p>
    <w:p w:rsidR="00014FBF" w:rsidRDefault="00014FBF" w:rsidP="000F7AD5">
      <w:pPr>
        <w:spacing w:line="360" w:lineRule="auto"/>
      </w:pPr>
    </w:p>
    <w:p w:rsidR="00697FF8" w:rsidRDefault="00697FF8" w:rsidP="000F7AD5">
      <w:pPr>
        <w:spacing w:line="360" w:lineRule="auto"/>
      </w:pPr>
    </w:p>
    <w:p w:rsidR="00697FF8" w:rsidRDefault="00697FF8" w:rsidP="00697FF8">
      <w:pPr>
        <w:spacing w:line="360" w:lineRule="auto"/>
      </w:pPr>
      <w:r w:rsidRPr="00B018C5">
        <w:rPr>
          <w:b/>
          <w:sz w:val="26"/>
          <w:szCs w:val="26"/>
        </w:rPr>
        <w:t xml:space="preserve">Question </w:t>
      </w:r>
      <w:r>
        <w:rPr>
          <w:b/>
          <w:sz w:val="26"/>
          <w:szCs w:val="26"/>
        </w:rPr>
        <w:t>4</w:t>
      </w:r>
      <w:r w:rsidRPr="00B018C5">
        <w:rPr>
          <w:b/>
          <w:sz w:val="26"/>
          <w:szCs w:val="26"/>
        </w:rPr>
        <w:t xml:space="preserve">: </w:t>
      </w:r>
      <w:r w:rsidR="003507F5">
        <w:rPr>
          <w:b/>
          <w:sz w:val="26"/>
          <w:szCs w:val="26"/>
        </w:rPr>
        <w:t xml:space="preserve">social class as </w:t>
      </w:r>
      <w:r w:rsidR="00AB3E1B">
        <w:rPr>
          <w:b/>
          <w:sz w:val="26"/>
          <w:szCs w:val="26"/>
        </w:rPr>
        <w:t>symptom or cause</w:t>
      </w:r>
    </w:p>
    <w:p w:rsidR="00697FF8" w:rsidRDefault="00697FF8" w:rsidP="000F7AD5">
      <w:pPr>
        <w:spacing w:line="360" w:lineRule="auto"/>
      </w:pPr>
    </w:p>
    <w:p w:rsidR="00697FF8" w:rsidRDefault="00697FF8" w:rsidP="000F7AD5">
      <w:pPr>
        <w:spacing w:line="360" w:lineRule="auto"/>
      </w:pPr>
      <w:r>
        <w:t>The Dearing Report (NCIHE</w:t>
      </w:r>
      <w:r w:rsidR="009C30C1">
        <w:t>,</w:t>
      </w:r>
      <w:r>
        <w:t xml:space="preserve"> 1997) </w:t>
      </w:r>
      <w:r w:rsidR="00730FBE">
        <w:t xml:space="preserve">established social class as a causal factor in </w:t>
      </w:r>
      <w:r w:rsidR="006E3347">
        <w:t>HE</w:t>
      </w:r>
      <w:r w:rsidR="00730FBE">
        <w:t xml:space="preserve"> participation</w:t>
      </w:r>
      <w:r w:rsidR="00662ACC">
        <w:t xml:space="preserve"> in the minds of policymakers</w:t>
      </w:r>
      <w:r w:rsidR="00A42494">
        <w:t xml:space="preserve"> and</w:t>
      </w:r>
      <w:r w:rsidR="006D7E0E">
        <w:t xml:space="preserve"> Aimhigher was established with a clear remit to ch</w:t>
      </w:r>
      <w:r w:rsidR="00B22B1A">
        <w:t>allenge social class differences as experienced by young people</w:t>
      </w:r>
      <w:r w:rsidR="006D7E0E">
        <w:t xml:space="preserve"> (HEFCE</w:t>
      </w:r>
      <w:r w:rsidR="009C30C1">
        <w:t>,</w:t>
      </w:r>
      <w:r w:rsidR="006D7E0E">
        <w:t xml:space="preserve"> 2004).  </w:t>
      </w:r>
      <w:r w:rsidR="00730FBE">
        <w:t xml:space="preserve">In a sense, this was a positive step forwards in </w:t>
      </w:r>
      <w:r w:rsidR="006D7E0E">
        <w:t>describing</w:t>
      </w:r>
      <w:r w:rsidR="00730FBE">
        <w:t xml:space="preserve"> the obvious inequalities, but it missed a vital </w:t>
      </w:r>
      <w:r w:rsidR="00A42494">
        <w:t>conceptual link</w:t>
      </w:r>
      <w:r w:rsidR="00730FBE">
        <w:t xml:space="preserve"> which may have led to </w:t>
      </w:r>
      <w:r w:rsidR="00DA64A6">
        <w:t xml:space="preserve">fifteen years of misdirection </w:t>
      </w:r>
      <w:r w:rsidR="00A42494">
        <w:t xml:space="preserve">away </w:t>
      </w:r>
      <w:r w:rsidR="00DA64A6">
        <w:t>from deeper</w:t>
      </w:r>
      <w:r w:rsidR="00730FBE">
        <w:t xml:space="preserve"> understanding.</w:t>
      </w:r>
    </w:p>
    <w:p w:rsidR="00DA64A6" w:rsidRDefault="00DA64A6" w:rsidP="000F7AD5">
      <w:pPr>
        <w:spacing w:line="360" w:lineRule="auto"/>
      </w:pPr>
    </w:p>
    <w:p w:rsidR="000F5C11" w:rsidRDefault="00DA64A6" w:rsidP="000F5C11">
      <w:pPr>
        <w:spacing w:line="360" w:lineRule="auto"/>
      </w:pPr>
      <w:r>
        <w:t xml:space="preserve">As noted </w:t>
      </w:r>
      <w:r w:rsidR="006C1C87">
        <w:t>earlier</w:t>
      </w:r>
      <w:r>
        <w:t xml:space="preserve">, a number of researchers </w:t>
      </w:r>
      <w:r w:rsidR="000F5C11">
        <w:t>use quantitative analysis assert</w:t>
      </w:r>
      <w:r>
        <w:t xml:space="preserve"> that</w:t>
      </w:r>
      <w:r w:rsidR="00AF2DA4">
        <w:t xml:space="preserve"> </w:t>
      </w:r>
      <w:r>
        <w:t xml:space="preserve">social class </w:t>
      </w:r>
      <w:r w:rsidR="000F5C11">
        <w:t>(</w:t>
      </w:r>
      <w:r>
        <w:t xml:space="preserve">as </w:t>
      </w:r>
      <w:r w:rsidR="00AF2DA4">
        <w:t>they</w:t>
      </w:r>
      <w:r>
        <w:t xml:space="preserve"> </w:t>
      </w:r>
      <w:r w:rsidR="00A42494">
        <w:t>define</w:t>
      </w:r>
      <w:r>
        <w:t xml:space="preserve"> it</w:t>
      </w:r>
      <w:r w:rsidR="000F5C11">
        <w:t>)</w:t>
      </w:r>
      <w:r>
        <w:t xml:space="preserve"> is not a good proximal predictor for </w:t>
      </w:r>
      <w:r w:rsidR="006E3347">
        <w:t>HE</w:t>
      </w:r>
      <w:r w:rsidR="00AF2DA4">
        <w:t xml:space="preserve"> </w:t>
      </w:r>
      <w:r w:rsidR="00A42494">
        <w:t>participation</w:t>
      </w:r>
      <w:r w:rsidR="00AF2DA4">
        <w:t>.  Following this logic, d</w:t>
      </w:r>
      <w:r>
        <w:t>espite the apparently deterministic relationship enshrined in the Dearing Report, social class is</w:t>
      </w:r>
      <w:r w:rsidR="00AF2DA4">
        <w:t xml:space="preserve"> </w:t>
      </w:r>
      <w:r>
        <w:t xml:space="preserve">a mere proxy </w:t>
      </w:r>
      <w:r w:rsidR="0055473A">
        <w:t>variable</w:t>
      </w:r>
      <w:r w:rsidR="000F5C11">
        <w:t>.</w:t>
      </w:r>
      <w:r w:rsidR="00A42494">
        <w:t xml:space="preserve"> </w:t>
      </w:r>
      <w:r w:rsidR="000F5C11">
        <w:t xml:space="preserve"> The bald statistics suggest that those from the lower socio-economic groups go on to HE in roughly the ‘right’ numbers in relation to their school attainment.  If this is true, </w:t>
      </w:r>
      <w:r w:rsidR="00B22B1A">
        <w:t xml:space="preserve">social class differences at 18 are </w:t>
      </w:r>
      <w:r w:rsidR="000F5C11">
        <w:t xml:space="preserve">a </w:t>
      </w:r>
      <w:r w:rsidR="000F5C11">
        <w:rPr>
          <w:i/>
        </w:rPr>
        <w:t>symptom</w:t>
      </w:r>
      <w:r w:rsidR="000F5C11">
        <w:t xml:space="preserve"> </w:t>
      </w:r>
      <w:r w:rsidR="00B22B1A">
        <w:t xml:space="preserve">(of deep-rooted inequality) </w:t>
      </w:r>
      <w:r w:rsidR="000F5C11">
        <w:t xml:space="preserve">and not a </w:t>
      </w:r>
      <w:r w:rsidR="000F5C11" w:rsidRPr="004453F4">
        <w:rPr>
          <w:i/>
        </w:rPr>
        <w:t>cause</w:t>
      </w:r>
      <w:r w:rsidR="000F5C11">
        <w:t xml:space="preserve"> </w:t>
      </w:r>
      <w:r w:rsidR="00B22B1A">
        <w:t>(of low participation)</w:t>
      </w:r>
      <w:r w:rsidR="000F5C11">
        <w:t>.</w:t>
      </w:r>
    </w:p>
    <w:p w:rsidR="000F5C11" w:rsidRDefault="000F5C11" w:rsidP="000F7AD5">
      <w:pPr>
        <w:spacing w:line="360" w:lineRule="auto"/>
      </w:pPr>
    </w:p>
    <w:p w:rsidR="000F5C11" w:rsidRDefault="00B22B1A" w:rsidP="000F5C11">
      <w:pPr>
        <w:spacing w:line="360" w:lineRule="auto"/>
      </w:pPr>
      <w:r>
        <w:t>They are</w:t>
      </w:r>
      <w:r w:rsidR="000F5C11">
        <w:t xml:space="preserve"> a symptom of the fact that school-based outcomes are not evenly distributed.  There is not space here to investigate this in any depth, but factors including parental support for education, school ‘choice’, school quality and leadership, and the ability of families to lever in additional resources are all salient.  For example, Raphael Reed et al. (2007) found that a drop-off in school performance in a deprived area was associated with a reduction in parental involvement in homework and parent-teacher evenings.  </w:t>
      </w:r>
      <w:r w:rsidR="000F5C11" w:rsidRPr="00007D22">
        <w:t>Similarly Lupton (2005) finds that</w:t>
      </w:r>
      <w:r w:rsidR="000F5C11">
        <w:t xml:space="preserve"> schools serving deprived </w:t>
      </w:r>
      <w:r w:rsidR="000F5C11">
        <w:lastRenderedPageBreak/>
        <w:t>neighbourhoods have lower resources available to them when compared to those in richer areas; an inequality now targeted by the ‘pupil premium’.  Both these examples show a clear pathway by which elements of classed lives can impact on school outcomes.</w:t>
      </w:r>
    </w:p>
    <w:p w:rsidR="000F5C11" w:rsidRDefault="000F5C11" w:rsidP="000F7AD5">
      <w:pPr>
        <w:spacing w:line="360" w:lineRule="auto"/>
      </w:pPr>
    </w:p>
    <w:p w:rsidR="000F5C11" w:rsidRDefault="000F5C11" w:rsidP="000F5C11">
      <w:pPr>
        <w:spacing w:line="360" w:lineRule="auto"/>
      </w:pPr>
      <w:r>
        <w:t>If it is during school that social class differences in HE participation are formed, then the WP community has, to an extent at least, being labouring under a misapprehension for the last fifteen years with its structuralist discourse of ‘barriers’ to overcome, alien ‘habitus’ and aspirational deficits.  Instead, they needed to be focusing more on how social class becomes a symptom and less on its role as cause.</w:t>
      </w:r>
    </w:p>
    <w:p w:rsidR="000F5C11" w:rsidRDefault="000F5C11" w:rsidP="000F7AD5">
      <w:pPr>
        <w:spacing w:line="360" w:lineRule="auto"/>
      </w:pPr>
    </w:p>
    <w:p w:rsidR="000F5C11" w:rsidRDefault="000F5C11" w:rsidP="000F7AD5">
      <w:pPr>
        <w:spacing w:line="360" w:lineRule="auto"/>
      </w:pPr>
      <w:r>
        <w:t xml:space="preserve">However, there remain misunderstandings and unanswered questions about these studies.  </w:t>
      </w:r>
      <w:r w:rsidR="00981E0A">
        <w:t xml:space="preserve">All neglect the role of WP programmes in mitigating social class inequalities in earlier school and at 18.  </w:t>
      </w:r>
      <w:r>
        <w:t xml:space="preserve">Most use data that is old, some predating Aimhigher completely.  Some do find a small social class effect; </w:t>
      </w:r>
      <w:proofErr w:type="spellStart"/>
      <w:r>
        <w:t>Chowdry</w:t>
      </w:r>
      <w:proofErr w:type="spellEnd"/>
      <w:r>
        <w:t xml:space="preserve"> et al. (2010) estimate it at around ten percent, while Anders (2012) find that household income and parental education (both correlates for social class) are significant predictors for HE applications.</w:t>
      </w:r>
      <w:r w:rsidR="00981E0A">
        <w:t xml:space="preserve">  These findings suggest that </w:t>
      </w:r>
      <w:r w:rsidR="00830971">
        <w:t>remains</w:t>
      </w:r>
      <w:r w:rsidR="00981E0A">
        <w:t xml:space="preserve"> some classed inequality at 18 which is causal to participation and on which WP practitioners can </w:t>
      </w:r>
      <w:r w:rsidR="007458A4">
        <w:t>get to work on</w:t>
      </w:r>
      <w:r w:rsidR="00830971">
        <w:t xml:space="preserve">; social class is thus both symptom </w:t>
      </w:r>
      <w:r w:rsidR="00830971" w:rsidRPr="00830971">
        <w:rPr>
          <w:i/>
        </w:rPr>
        <w:t>and</w:t>
      </w:r>
      <w:r w:rsidR="00830971">
        <w:t xml:space="preserve"> cause.</w:t>
      </w:r>
    </w:p>
    <w:p w:rsidR="00096865" w:rsidRDefault="00096865" w:rsidP="000F7AD5">
      <w:pPr>
        <w:spacing w:line="360" w:lineRule="auto"/>
      </w:pPr>
    </w:p>
    <w:p w:rsidR="00A42494" w:rsidRDefault="00B42701" w:rsidP="00A42494">
      <w:pPr>
        <w:spacing w:line="360" w:lineRule="auto"/>
      </w:pPr>
      <w:r>
        <w:t>Another</w:t>
      </w:r>
      <w:r w:rsidR="00A42494">
        <w:t xml:space="preserve"> problem is how we measure social clas</w:t>
      </w:r>
      <w:r>
        <w:t xml:space="preserve">s.  The </w:t>
      </w:r>
      <w:r w:rsidR="00A42494">
        <w:t xml:space="preserve">dominant method </w:t>
      </w:r>
      <w:r w:rsidR="007458A4">
        <w:t>has been</w:t>
      </w:r>
      <w:r w:rsidR="00A42494">
        <w:t xml:space="preserve"> through the occupation of a young person’s parents.  This has a wide-range of pitfalls that touch on data collection, reliability, gender assumptions and the changing nature of the British workforce.  The categorisation that underpins both official statistics and individual research projects is often so strained that it is difficult to draw any strong conclusions from it</w:t>
      </w:r>
      <w:r w:rsidR="00007D22">
        <w:t xml:space="preserve"> (Harrison and Hatt</w:t>
      </w:r>
      <w:r w:rsidR="00507FF7">
        <w:t>,</w:t>
      </w:r>
      <w:r w:rsidR="00007D22">
        <w:t xml:space="preserve"> 20</w:t>
      </w:r>
      <w:r w:rsidR="007458A4">
        <w:t>09</w:t>
      </w:r>
      <w:r w:rsidR="00FB3372">
        <w:t>a</w:t>
      </w:r>
      <w:r>
        <w:t>)</w:t>
      </w:r>
      <w:r w:rsidR="00A42494">
        <w:t xml:space="preserve">. </w:t>
      </w:r>
      <w:r w:rsidR="004A1755">
        <w:t xml:space="preserve"> This </w:t>
      </w:r>
      <w:r w:rsidR="008059FA">
        <w:t xml:space="preserve">alone </w:t>
      </w:r>
      <w:r w:rsidR="004A1755">
        <w:t xml:space="preserve">is grounds to question </w:t>
      </w:r>
      <w:r w:rsidR="00422BC9">
        <w:t>any</w:t>
      </w:r>
      <w:r w:rsidR="004A1755">
        <w:t xml:space="preserve"> </w:t>
      </w:r>
      <w:r w:rsidR="00072B0C">
        <w:t>denial</w:t>
      </w:r>
      <w:r w:rsidR="004A1755">
        <w:t xml:space="preserve"> of social class as a cause.</w:t>
      </w:r>
    </w:p>
    <w:p w:rsidR="00A42494" w:rsidRDefault="00A42494" w:rsidP="00A42494">
      <w:pPr>
        <w:spacing w:line="360" w:lineRule="auto"/>
      </w:pPr>
    </w:p>
    <w:p w:rsidR="00A42494" w:rsidRDefault="005D589D" w:rsidP="00A42494">
      <w:pPr>
        <w:spacing w:line="360" w:lineRule="auto"/>
      </w:pPr>
      <w:r>
        <w:t>More broadly,</w:t>
      </w:r>
      <w:r w:rsidR="00A42494">
        <w:t xml:space="preserve"> the structuralist approach to social class </w:t>
      </w:r>
      <w:r>
        <w:t>underplay</w:t>
      </w:r>
      <w:r w:rsidR="005839F0">
        <w:t>s</w:t>
      </w:r>
      <w:r w:rsidR="00A42494">
        <w:t xml:space="preserve"> </w:t>
      </w:r>
      <w:r>
        <w:t>individual</w:t>
      </w:r>
      <w:r w:rsidR="00A42494">
        <w:t xml:space="preserve"> agency.  </w:t>
      </w:r>
      <w:r>
        <w:t>Y</w:t>
      </w:r>
      <w:r w:rsidR="00A42494">
        <w:t xml:space="preserve">oung people from lower socio-economic groups have </w:t>
      </w:r>
      <w:r w:rsidR="005839F0">
        <w:t>progressed</w:t>
      </w:r>
      <w:r w:rsidR="00A42494">
        <w:t xml:space="preserve"> t</w:t>
      </w:r>
      <w:r>
        <w:t xml:space="preserve">o university for many decades and every family with </w:t>
      </w:r>
      <w:r w:rsidR="00A42494">
        <w:t>HE experience has had one pioneer who was ‘the first’.  Much thought has been given to barriers to progression (</w:t>
      </w:r>
      <w:proofErr w:type="spellStart"/>
      <w:r w:rsidR="00A42494">
        <w:t>Gorard</w:t>
      </w:r>
      <w:proofErr w:type="spellEnd"/>
      <w:r w:rsidR="00A42494">
        <w:t xml:space="preserve"> </w:t>
      </w:r>
      <w:r w:rsidR="006C1C87">
        <w:t>et al.</w:t>
      </w:r>
      <w:r w:rsidR="00507FF7">
        <w:t>,</w:t>
      </w:r>
      <w:r w:rsidR="00A42494">
        <w:t xml:space="preserve"> </w:t>
      </w:r>
      <w:r w:rsidR="00E61530">
        <w:t>2007</w:t>
      </w:r>
      <w:r w:rsidR="00A42494">
        <w:t>), but little to why some have always been able to overc</w:t>
      </w:r>
      <w:r>
        <w:t>ome those barriers and thrive.</w:t>
      </w:r>
    </w:p>
    <w:p w:rsidR="00A42494" w:rsidRDefault="00A42494" w:rsidP="000F7AD5">
      <w:pPr>
        <w:spacing w:line="360" w:lineRule="auto"/>
      </w:pPr>
    </w:p>
    <w:p w:rsidR="00A4092A" w:rsidRDefault="00096865" w:rsidP="00DB5B9F">
      <w:pPr>
        <w:spacing w:line="360" w:lineRule="auto"/>
      </w:pPr>
      <w:r>
        <w:t xml:space="preserve">Looking forward, then, there needs to be more clarity about what social class actually </w:t>
      </w:r>
      <w:r w:rsidRPr="00492A28">
        <w:t>means</w:t>
      </w:r>
      <w:r>
        <w:t xml:space="preserve"> in terms of participation, rather than using it as a </w:t>
      </w:r>
      <w:r w:rsidR="005839F0">
        <w:t>poor and unreliable</w:t>
      </w:r>
      <w:r w:rsidR="006D7E0E">
        <w:t xml:space="preserve"> </w:t>
      </w:r>
      <w:r>
        <w:t>proxy</w:t>
      </w:r>
      <w:r w:rsidR="006D7E0E">
        <w:t xml:space="preserve"> for a complex web</w:t>
      </w:r>
      <w:r w:rsidR="003507F5">
        <w:t xml:space="preserve"> of factors</w:t>
      </w:r>
      <w:r w:rsidR="00492A28">
        <w:t xml:space="preserve"> that may only exert a meaningful influence prior to 16</w:t>
      </w:r>
      <w:r w:rsidR="003507F5">
        <w:t>.</w:t>
      </w:r>
      <w:r w:rsidR="006D7E0E">
        <w:t xml:space="preserve">  </w:t>
      </w:r>
      <w:r w:rsidR="00492A28">
        <w:t xml:space="preserve">The WP community needs to plug into the </w:t>
      </w:r>
      <w:r w:rsidR="00492A28">
        <w:lastRenderedPageBreak/>
        <w:t>literature around class and school outcomes more closely to understand what the</w:t>
      </w:r>
      <w:r w:rsidR="006D7E0E">
        <w:t xml:space="preserve"> right levers are and when</w:t>
      </w:r>
      <w:r w:rsidR="005839F0">
        <w:t>/how</w:t>
      </w:r>
      <w:r w:rsidR="006D7E0E">
        <w:t xml:space="preserve"> they </w:t>
      </w:r>
      <w:r w:rsidR="005839F0">
        <w:t>are best</w:t>
      </w:r>
      <w:r w:rsidR="006D7E0E">
        <w:t xml:space="preserve"> pulled.</w:t>
      </w:r>
      <w:r w:rsidR="00492A28">
        <w:t xml:space="preserve">  They also need to think more about why seemingly similar individuals do and do not participate in HE, respecting individuality </w:t>
      </w:r>
      <w:r w:rsidR="005839F0">
        <w:t>alongside</w:t>
      </w:r>
      <w:r w:rsidR="00492A28">
        <w:t xml:space="preserve"> structural constraints.</w:t>
      </w:r>
    </w:p>
    <w:p w:rsidR="009668FE" w:rsidRDefault="009668FE" w:rsidP="00DB5B9F">
      <w:pPr>
        <w:spacing w:line="360" w:lineRule="auto"/>
      </w:pPr>
    </w:p>
    <w:p w:rsidR="009668FE" w:rsidRDefault="009668FE" w:rsidP="00DB5B9F">
      <w:pPr>
        <w:spacing w:line="360" w:lineRule="auto"/>
      </w:pPr>
    </w:p>
    <w:p w:rsidR="009668FE" w:rsidRPr="00DB5B9F" w:rsidRDefault="009668FE" w:rsidP="00DB5B9F">
      <w:pPr>
        <w:spacing w:line="360" w:lineRule="auto"/>
        <w:rPr>
          <w:b/>
          <w:sz w:val="26"/>
          <w:szCs w:val="26"/>
        </w:rPr>
      </w:pPr>
      <w:r w:rsidRPr="00DB5B9F">
        <w:rPr>
          <w:b/>
          <w:sz w:val="26"/>
          <w:szCs w:val="26"/>
        </w:rPr>
        <w:t xml:space="preserve">Question 5: the </w:t>
      </w:r>
      <w:r w:rsidR="00787BA2">
        <w:rPr>
          <w:b/>
          <w:sz w:val="26"/>
          <w:szCs w:val="26"/>
        </w:rPr>
        <w:t>wider impacts</w:t>
      </w:r>
    </w:p>
    <w:p w:rsidR="009668FE" w:rsidRDefault="009668FE" w:rsidP="00DB5B9F">
      <w:pPr>
        <w:spacing w:line="360" w:lineRule="auto"/>
        <w:rPr>
          <w:b/>
        </w:rPr>
      </w:pPr>
    </w:p>
    <w:p w:rsidR="009668FE" w:rsidRDefault="009668FE" w:rsidP="00DB5B9F">
      <w:pPr>
        <w:spacing w:line="360" w:lineRule="auto"/>
      </w:pPr>
      <w:r>
        <w:t xml:space="preserve">The underpinning philosophy of WP </w:t>
      </w:r>
      <w:r w:rsidR="00AF70E2">
        <w:t xml:space="preserve">for most practitioners </w:t>
      </w:r>
      <w:r>
        <w:t xml:space="preserve">has </w:t>
      </w:r>
      <w:r w:rsidR="00AF70E2">
        <w:t xml:space="preserve">been </w:t>
      </w:r>
      <w:r w:rsidR="00B8233D">
        <w:t>around challenging social inequalities</w:t>
      </w:r>
      <w:r w:rsidR="00AF70E2">
        <w:t xml:space="preserve"> by providing fairer access to HE and graduate careers.  The question is whether the second part of the assertion is truly associated with th</w:t>
      </w:r>
      <w:r w:rsidR="00B8233D">
        <w:t>e</w:t>
      </w:r>
      <w:r w:rsidR="00AF70E2">
        <w:t xml:space="preserve"> first: could the impact actually be the opposite?</w:t>
      </w:r>
    </w:p>
    <w:p w:rsidR="009668FE" w:rsidRDefault="009668FE" w:rsidP="009668FE">
      <w:pPr>
        <w:spacing w:line="360" w:lineRule="auto"/>
      </w:pPr>
    </w:p>
    <w:p w:rsidR="009668FE" w:rsidRDefault="009668FE" w:rsidP="009668FE">
      <w:pPr>
        <w:spacing w:line="360" w:lineRule="auto"/>
      </w:pPr>
      <w:r>
        <w:t xml:space="preserve">There is a significant gap in the evidence base concerning what happens </w:t>
      </w:r>
      <w:r w:rsidR="005405C1">
        <w:t xml:space="preserve">after graduation </w:t>
      </w:r>
      <w:r>
        <w:t xml:space="preserve">to </w:t>
      </w:r>
      <w:r w:rsidR="005405C1">
        <w:t>those</w:t>
      </w:r>
      <w:r>
        <w:t xml:space="preserve"> </w:t>
      </w:r>
      <w:r w:rsidR="0040117D">
        <w:t>exposed to</w:t>
      </w:r>
      <w:r>
        <w:t xml:space="preserve"> WP </w:t>
      </w:r>
      <w:r w:rsidR="0040117D">
        <w:t>activities</w:t>
      </w:r>
      <w:r>
        <w:t xml:space="preserve">.  While we have </w:t>
      </w:r>
      <w:r w:rsidR="00AF2DA4">
        <w:t>reasonable</w:t>
      </w:r>
      <w:r>
        <w:t xml:space="preserve"> information about where they came from, we are far less informed about where they went next.</w:t>
      </w:r>
      <w:r w:rsidR="00B8233D">
        <w:t xml:space="preserve">  </w:t>
      </w:r>
      <w:r>
        <w:t>For example, w</w:t>
      </w:r>
      <w:r w:rsidR="00AF2DA4">
        <w:t>e do not know how many return</w:t>
      </w:r>
      <w:r>
        <w:t xml:space="preserve"> to the communities from which they </w:t>
      </w:r>
      <w:r w:rsidR="00AF2DA4">
        <w:t>came</w:t>
      </w:r>
      <w:r>
        <w:t>.  We do know that students from lower socio-economic groups are more likely to live at home while they are studying (</w:t>
      </w:r>
      <w:r w:rsidR="00507FF7">
        <w:t>Universities and Colleges Admissions Service,</w:t>
      </w:r>
      <w:r w:rsidRPr="00715777">
        <w:t xml:space="preserve"> </w:t>
      </w:r>
      <w:r w:rsidR="00715777">
        <w:t>2008</w:t>
      </w:r>
      <w:r>
        <w:t xml:space="preserve">).  Were </w:t>
      </w:r>
      <w:r w:rsidR="0040117D">
        <w:t xml:space="preserve">these </w:t>
      </w:r>
      <w:r>
        <w:t>able to find graduate employment locally</w:t>
      </w:r>
      <w:r w:rsidR="00B51E7A">
        <w:t xml:space="preserve"> or d</w:t>
      </w:r>
      <w:r>
        <w:t xml:space="preserve">id they move away into </w:t>
      </w:r>
      <w:r w:rsidR="00AF2DA4">
        <w:t>richer areas</w:t>
      </w:r>
      <w:r>
        <w:t xml:space="preserve">?  </w:t>
      </w:r>
      <w:r w:rsidR="00AF2DA4">
        <w:t xml:space="preserve">Did </w:t>
      </w:r>
      <w:r w:rsidR="0040117D">
        <w:t>those that went away to study remain</w:t>
      </w:r>
      <w:r w:rsidR="00AF2DA4">
        <w:t xml:space="preserve"> in their university city</w:t>
      </w:r>
      <w:r w:rsidR="0040117D">
        <w:t xml:space="preserve"> o</w:t>
      </w:r>
      <w:r>
        <w:t>r did they re</w:t>
      </w:r>
      <w:r w:rsidR="0040117D">
        <w:t>turn</w:t>
      </w:r>
      <w:r>
        <w:t xml:space="preserve"> </w:t>
      </w:r>
      <w:r w:rsidR="0040117D">
        <w:t>to their original community to pursue</w:t>
      </w:r>
      <w:r>
        <w:t xml:space="preserve"> their career?</w:t>
      </w:r>
    </w:p>
    <w:p w:rsidR="009668FE" w:rsidRDefault="009668FE" w:rsidP="009668FE">
      <w:pPr>
        <w:spacing w:line="360" w:lineRule="auto"/>
      </w:pPr>
    </w:p>
    <w:p w:rsidR="009668FE" w:rsidRDefault="009668FE" w:rsidP="009668FE">
      <w:pPr>
        <w:spacing w:line="360" w:lineRule="auto"/>
      </w:pPr>
      <w:r>
        <w:t xml:space="preserve">One view of </w:t>
      </w:r>
      <w:r w:rsidR="006E3347">
        <w:t>HE</w:t>
      </w:r>
      <w:r>
        <w:t xml:space="preserve"> </w:t>
      </w:r>
      <w:r w:rsidR="00A11FAA">
        <w:t>is that it is</w:t>
      </w:r>
      <w:r>
        <w:t xml:space="preserve"> training for entry into t</w:t>
      </w:r>
      <w:r w:rsidR="00A11FAA">
        <w:t>he middle classes,</w:t>
      </w:r>
      <w:r>
        <w:t xml:space="preserve"> </w:t>
      </w:r>
      <w:r w:rsidR="005405C1">
        <w:t>offering</w:t>
      </w:r>
      <w:r>
        <w:t xml:space="preserve"> new cultural and social capital and the qualifications to access increased economic capital.  Students from lower socio-economic groups talk about a social class transition or having ‘a foot in two camps’ </w:t>
      </w:r>
      <w:r w:rsidR="00A11FAA">
        <w:t>(</w:t>
      </w:r>
      <w:r w:rsidR="002A71CD">
        <w:t xml:space="preserve">e.g. Clayton, </w:t>
      </w:r>
      <w:proofErr w:type="spellStart"/>
      <w:r w:rsidR="002A71CD">
        <w:t>Crozier</w:t>
      </w:r>
      <w:proofErr w:type="spellEnd"/>
      <w:r w:rsidR="002A71CD">
        <w:t xml:space="preserve"> and </w:t>
      </w:r>
      <w:proofErr w:type="spellStart"/>
      <w:r w:rsidR="002A71CD">
        <w:t>Reay</w:t>
      </w:r>
      <w:proofErr w:type="spellEnd"/>
      <w:r w:rsidR="00507FF7">
        <w:t>,</w:t>
      </w:r>
      <w:r w:rsidR="002A71CD">
        <w:t xml:space="preserve"> 2009</w:t>
      </w:r>
      <w:r w:rsidR="00A11FAA">
        <w:t xml:space="preserve">) </w:t>
      </w:r>
      <w:r>
        <w:t xml:space="preserve">as they gain middle class </w:t>
      </w:r>
      <w:r w:rsidR="00187474">
        <w:t xml:space="preserve">capitals and </w:t>
      </w:r>
      <w:r>
        <w:t xml:space="preserve">traits alongside their working class ones, </w:t>
      </w:r>
      <w:r w:rsidR="00A11FAA">
        <w:t>sometimes</w:t>
      </w:r>
      <w:r>
        <w:t xml:space="preserve"> leading to tensions </w:t>
      </w:r>
      <w:r w:rsidR="00A11FAA">
        <w:t>within their</w:t>
      </w:r>
      <w:r>
        <w:t xml:space="preserve"> family, friends and community.</w:t>
      </w:r>
    </w:p>
    <w:p w:rsidR="009668FE" w:rsidRDefault="009668FE" w:rsidP="009668FE">
      <w:pPr>
        <w:spacing w:line="360" w:lineRule="auto"/>
      </w:pPr>
    </w:p>
    <w:p w:rsidR="009668FE" w:rsidRDefault="009668FE" w:rsidP="009668FE">
      <w:pPr>
        <w:spacing w:line="360" w:lineRule="auto"/>
      </w:pPr>
      <w:r>
        <w:t>This</w:t>
      </w:r>
      <w:r w:rsidR="00A11FAA">
        <w:t xml:space="preserve"> final</w:t>
      </w:r>
      <w:r>
        <w:t xml:space="preserve"> question draws from this observation and hypothesises that for a significant proportion of such students, it is the middle class ‘foot’ that wins out.  They do not return to their deprived neighbourhoods with their degrees and </w:t>
      </w:r>
      <w:r w:rsidR="00AF2DA4">
        <w:t>find</w:t>
      </w:r>
      <w:r>
        <w:t xml:space="preserve"> graduate </w:t>
      </w:r>
      <w:r w:rsidR="00AF2DA4">
        <w:t>work</w:t>
      </w:r>
      <w:r>
        <w:t xml:space="preserve">.  Rather, they enter the middle classes, live in affluent neighbourhoods and </w:t>
      </w:r>
      <w:r w:rsidR="00A11FAA">
        <w:t xml:space="preserve">begin to </w:t>
      </w:r>
      <w:r>
        <w:t>sever ties with their pre-university past</w:t>
      </w:r>
      <w:r w:rsidR="00A11FAA">
        <w:t>, perhaps remaining conscious of a duality or fluidity in their identity</w:t>
      </w:r>
      <w:r>
        <w:t xml:space="preserve">.  Clearly this is a choice for </w:t>
      </w:r>
      <w:r w:rsidR="00A11FAA">
        <w:t>an</w:t>
      </w:r>
      <w:r>
        <w:t xml:space="preserve"> individual empowered by education.</w:t>
      </w:r>
    </w:p>
    <w:p w:rsidR="009668FE" w:rsidRDefault="009668FE" w:rsidP="009668FE">
      <w:pPr>
        <w:spacing w:line="360" w:lineRule="auto"/>
      </w:pPr>
    </w:p>
    <w:p w:rsidR="009668FE" w:rsidRDefault="009668FE" w:rsidP="009668FE">
      <w:pPr>
        <w:spacing w:line="360" w:lineRule="auto"/>
      </w:pPr>
      <w:r>
        <w:lastRenderedPageBreak/>
        <w:t xml:space="preserve">One driver for this behaviour </w:t>
      </w:r>
      <w:r w:rsidR="00A11FAA">
        <w:t>would</w:t>
      </w:r>
      <w:r>
        <w:t xml:space="preserve"> be the distribution of graduate jobs.  They are heavily co</w:t>
      </w:r>
      <w:r w:rsidR="00A11FAA">
        <w:t xml:space="preserve">ncentrated in certain locations – </w:t>
      </w:r>
      <w:r>
        <w:t>national</w:t>
      </w:r>
      <w:r w:rsidR="00A11FAA">
        <w:t>ly</w:t>
      </w:r>
      <w:r>
        <w:t>, regional</w:t>
      </w:r>
      <w:r w:rsidR="00A11FAA">
        <w:t>ly</w:t>
      </w:r>
      <w:r>
        <w:t xml:space="preserve"> and local</w:t>
      </w:r>
      <w:r w:rsidR="00A11FAA">
        <w:t>ly</w:t>
      </w:r>
      <w:r>
        <w:t>.  London</w:t>
      </w:r>
      <w:r w:rsidR="005405C1">
        <w:t xml:space="preserve"> and the</w:t>
      </w:r>
      <w:r>
        <w:t xml:space="preserve"> other major cities</w:t>
      </w:r>
      <w:r w:rsidR="005405C1">
        <w:t xml:space="preserve"> are obvious critical masses</w:t>
      </w:r>
      <w:r>
        <w:t>.  Within cities, graduate jobs are generally to be found in the centr</w:t>
      </w:r>
      <w:r w:rsidR="00AF2DA4">
        <w:t>al area</w:t>
      </w:r>
      <w:r>
        <w:t>, affluent suburbs and the out-of-town business</w:t>
      </w:r>
      <w:r w:rsidR="00A11FAA">
        <w:t>/</w:t>
      </w:r>
      <w:r>
        <w:t xml:space="preserve">science parks that have </w:t>
      </w:r>
      <w:r w:rsidR="00A11FAA">
        <w:t>flourished</w:t>
      </w:r>
      <w:r>
        <w:t xml:space="preserve"> </w:t>
      </w:r>
      <w:r w:rsidR="00A11FAA">
        <w:t>of late</w:t>
      </w:r>
      <w:r>
        <w:t xml:space="preserve">.  Where they are not, generally, is in the poor urban neighbourhoods and </w:t>
      </w:r>
      <w:r w:rsidR="00AF2DA4">
        <w:t>the rural/</w:t>
      </w:r>
      <w:r>
        <w:t xml:space="preserve">coastal areas </w:t>
      </w:r>
      <w:r w:rsidR="00AF2DA4">
        <w:t xml:space="preserve">targeted by WP initiatives </w:t>
      </w:r>
      <w:r w:rsidRPr="00745365">
        <w:t>(</w:t>
      </w:r>
      <w:r w:rsidR="00745365" w:rsidRPr="00745365">
        <w:t xml:space="preserve">Raphael Reed </w:t>
      </w:r>
      <w:r w:rsidR="006C1C87">
        <w:t>et al.</w:t>
      </w:r>
      <w:r w:rsidR="00507FF7">
        <w:t>,</w:t>
      </w:r>
      <w:r w:rsidR="00745365" w:rsidRPr="00745365">
        <w:t xml:space="preserve"> 2007; </w:t>
      </w:r>
      <w:proofErr w:type="spellStart"/>
      <w:r w:rsidR="00745365" w:rsidRPr="00745365">
        <w:t>Shucksmith</w:t>
      </w:r>
      <w:proofErr w:type="spellEnd"/>
      <w:r w:rsidR="00507FF7">
        <w:t>,</w:t>
      </w:r>
      <w:r w:rsidR="00745365" w:rsidRPr="00745365">
        <w:t xml:space="preserve"> 2000</w:t>
      </w:r>
      <w:r w:rsidRPr="00745365">
        <w:t>).  In short, it may be challenging for a graduate to find</w:t>
      </w:r>
      <w:r>
        <w:t xml:space="preserve"> work at an appropriate level and live within a deprived</w:t>
      </w:r>
      <w:r w:rsidR="005405C1">
        <w:t xml:space="preserve"> or remote</w:t>
      </w:r>
      <w:r>
        <w:t xml:space="preserve"> neighbourhood, even if they want to.  Clearly practical considerations like transport links and </w:t>
      </w:r>
      <w:r w:rsidR="001D1C3A">
        <w:t>ability</w:t>
      </w:r>
      <w:r>
        <w:t xml:space="preserve"> to commute are factors.</w:t>
      </w:r>
    </w:p>
    <w:p w:rsidR="009668FE" w:rsidRDefault="009668FE" w:rsidP="009668FE">
      <w:pPr>
        <w:spacing w:line="360" w:lineRule="auto"/>
      </w:pPr>
    </w:p>
    <w:p w:rsidR="009668FE" w:rsidRDefault="00A11FAA" w:rsidP="009668FE">
      <w:pPr>
        <w:spacing w:line="360" w:lineRule="auto"/>
      </w:pPr>
      <w:r>
        <w:t>Under this hypothesis</w:t>
      </w:r>
      <w:r w:rsidR="009668FE">
        <w:t>, it is possible to interpret WP as an exercise in well-</w:t>
      </w:r>
      <w:r>
        <w:t>intentioned</w:t>
      </w:r>
      <w:r w:rsidR="00541853">
        <w:t xml:space="preserve"> ‘cream-</w:t>
      </w:r>
      <w:r w:rsidR="009668FE">
        <w:t>skimming’.  The highest attaining and most ambitious young people from each generation are given various helping hands to get to university from the LPNs in which they grew up.  However, the majority take their new</w:t>
      </w:r>
      <w:r w:rsidR="001D1C3A">
        <w:t>-</w:t>
      </w:r>
      <w:r w:rsidR="009668FE">
        <w:t>found middle class capitals and never return.  They do not inspire a new generati</w:t>
      </w:r>
      <w:r w:rsidR="001D1C3A">
        <w:t xml:space="preserve">on of working class applicants </w:t>
      </w:r>
      <w:r w:rsidR="009668FE">
        <w:t xml:space="preserve">and they do not </w:t>
      </w:r>
      <w:r w:rsidR="00541853">
        <w:t xml:space="preserve">attract </w:t>
      </w:r>
      <w:r w:rsidR="009668FE">
        <w:t>new business investment into the</w:t>
      </w:r>
      <w:r w:rsidR="00541853">
        <w:t>ir neighbourhood</w:t>
      </w:r>
      <w:r w:rsidR="009668FE">
        <w:t xml:space="preserve">.  Instead, they move to a middle class area, get a middle class job and </w:t>
      </w:r>
      <w:r>
        <w:t>rarely</w:t>
      </w:r>
      <w:r w:rsidR="009668FE">
        <w:t xml:space="preserve"> look back.  </w:t>
      </w:r>
    </w:p>
    <w:p w:rsidR="009668FE" w:rsidRDefault="009668FE" w:rsidP="009668FE">
      <w:pPr>
        <w:spacing w:line="360" w:lineRule="auto"/>
      </w:pPr>
    </w:p>
    <w:p w:rsidR="009668FE" w:rsidRDefault="00343609" w:rsidP="009668FE">
      <w:pPr>
        <w:spacing w:line="360" w:lineRule="auto"/>
      </w:pPr>
      <w:r>
        <w:t>Through this lens</w:t>
      </w:r>
      <w:r w:rsidR="009668FE">
        <w:t xml:space="preserve">, WP </w:t>
      </w:r>
      <w:r>
        <w:t>becomes</w:t>
      </w:r>
      <w:r w:rsidR="009668FE">
        <w:t xml:space="preserve"> an exercise in upward social mobility, but it fails to address the underlying social divisions.  It is a means by which a number of ‘deserving’ individuals are ‘rescued’ from their deprivation and </w:t>
      </w:r>
      <w:r>
        <w:t>given access to</w:t>
      </w:r>
      <w:r w:rsidR="009668FE">
        <w:t xml:space="preserve"> the ranks of educated professionals.  It is a social ladder lowered down by those that have gone before.</w:t>
      </w:r>
    </w:p>
    <w:p w:rsidR="009668FE" w:rsidRDefault="009668FE" w:rsidP="009668FE">
      <w:pPr>
        <w:spacing w:line="360" w:lineRule="auto"/>
      </w:pPr>
    </w:p>
    <w:p w:rsidR="009668FE" w:rsidRDefault="009668FE" w:rsidP="009668FE">
      <w:pPr>
        <w:spacing w:line="360" w:lineRule="auto"/>
      </w:pPr>
      <w:r>
        <w:t>What it is not, therefore, is a true challenge to structural social inequality.  Indeed, it may even serve to worsen inequaliti</w:t>
      </w:r>
      <w:r w:rsidR="00A44DF0">
        <w:t xml:space="preserve">es by </w:t>
      </w:r>
      <w:r w:rsidR="001D1C3A">
        <w:t xml:space="preserve">permanently </w:t>
      </w:r>
      <w:r w:rsidR="00A44DF0">
        <w:t>removing some of the most intelligent, motivated and talented individuals from their communities.  Dorling (</w:t>
      </w:r>
      <w:r w:rsidR="00745365">
        <w:t>2011</w:t>
      </w:r>
      <w:r w:rsidR="00A44DF0">
        <w:t xml:space="preserve">) suggests that those born into deprived communities with ‘get up and go’ are prone to have ‘gotten up and gone’ as soon as they can, leaving their neighbourhood with less collective capability to drive social or economic change.  By lowering </w:t>
      </w:r>
      <w:r w:rsidR="00343609">
        <w:t>a community’s skill base</w:t>
      </w:r>
      <w:r w:rsidR="00A44DF0">
        <w:t xml:space="preserve">, </w:t>
      </w:r>
      <w:r w:rsidR="00343609">
        <w:t>aspirational</w:t>
      </w:r>
      <w:r w:rsidR="00A44DF0">
        <w:t xml:space="preserve"> employers are even less likely to move into the area and create well-paid jobs.</w:t>
      </w:r>
      <w:r w:rsidR="00343609">
        <w:t xml:space="preserve">  The wheel turns for another generation.</w:t>
      </w:r>
    </w:p>
    <w:p w:rsidR="00222C25" w:rsidRDefault="00222C25" w:rsidP="009668FE">
      <w:pPr>
        <w:spacing w:line="360" w:lineRule="auto"/>
      </w:pPr>
    </w:p>
    <w:p w:rsidR="00A44DF0" w:rsidRDefault="00A44DF0" w:rsidP="009668FE">
      <w:pPr>
        <w:spacing w:line="360" w:lineRule="auto"/>
      </w:pPr>
      <w:r>
        <w:t xml:space="preserve">This is the least well-explored of the five questions presented.  It is crying out for an </w:t>
      </w:r>
      <w:r w:rsidRPr="00343609">
        <w:t xml:space="preserve">improved evidence base </w:t>
      </w:r>
      <w:r w:rsidR="00541853">
        <w:t>around</w:t>
      </w:r>
      <w:r w:rsidRPr="00343609">
        <w:t xml:space="preserve"> how WP initiatives might best fit into an holistic programme for regeneration and renewal</w:t>
      </w:r>
      <w:r w:rsidR="00343609" w:rsidRPr="00343609">
        <w:t xml:space="preserve"> in particular communities with multi-faceted and multi-generational forms of disadvantage</w:t>
      </w:r>
      <w:r w:rsidR="001D1C3A" w:rsidRPr="00343609">
        <w:t>,</w:t>
      </w:r>
      <w:r w:rsidR="00A11330" w:rsidRPr="00343609">
        <w:t xml:space="preserve"> rather</w:t>
      </w:r>
      <w:r w:rsidR="00A11330">
        <w:t xml:space="preserve"> than stand</w:t>
      </w:r>
      <w:r w:rsidR="00343609">
        <w:t>ing</w:t>
      </w:r>
      <w:r w:rsidR="00A11330">
        <w:t xml:space="preserve"> apart and potentially exacerbat</w:t>
      </w:r>
      <w:r w:rsidR="00343609">
        <w:t>ing the</w:t>
      </w:r>
      <w:r w:rsidR="00A11330">
        <w:t xml:space="preserve"> problems</w:t>
      </w:r>
      <w:r>
        <w:t xml:space="preserve">.  Some progress </w:t>
      </w:r>
      <w:r>
        <w:lastRenderedPageBreak/>
        <w:t xml:space="preserve">was made through the four reports commissioned by HEFCE </w:t>
      </w:r>
      <w:r w:rsidR="00A11330">
        <w:t>into some of the most deprived urban areas (Raphael Reed, Gates and Last</w:t>
      </w:r>
      <w:r w:rsidR="00507FF7">
        <w:t>,</w:t>
      </w:r>
      <w:r w:rsidR="00A11330">
        <w:t xml:space="preserve"> 2007), but this focused methodology was not pursued, l</w:t>
      </w:r>
      <w:r w:rsidR="006C1C87">
        <w:t>et al</w:t>
      </w:r>
      <w:r w:rsidR="00A11330">
        <w:t>one backed with appropriate policy and resourcing.</w:t>
      </w:r>
    </w:p>
    <w:p w:rsidR="009668FE" w:rsidRDefault="009668FE" w:rsidP="009668FE">
      <w:pPr>
        <w:spacing w:line="360" w:lineRule="auto"/>
      </w:pPr>
    </w:p>
    <w:p w:rsidR="00F10897" w:rsidRDefault="00F10897" w:rsidP="009668FE">
      <w:pPr>
        <w:spacing w:line="360" w:lineRule="auto"/>
      </w:pPr>
    </w:p>
    <w:p w:rsidR="00F10897" w:rsidRDefault="00F10897" w:rsidP="009668FE">
      <w:pPr>
        <w:spacing w:line="360" w:lineRule="auto"/>
      </w:pPr>
      <w:r w:rsidRPr="00F10897">
        <w:rPr>
          <w:b/>
          <w:sz w:val="30"/>
          <w:szCs w:val="30"/>
        </w:rPr>
        <w:t>Conclusions</w:t>
      </w:r>
    </w:p>
    <w:p w:rsidR="00F10897" w:rsidRDefault="00F10897" w:rsidP="009668FE">
      <w:pPr>
        <w:spacing w:line="360" w:lineRule="auto"/>
      </w:pPr>
    </w:p>
    <w:p w:rsidR="009668FE" w:rsidRDefault="00015238" w:rsidP="000F7AD5">
      <w:pPr>
        <w:spacing w:line="360" w:lineRule="auto"/>
      </w:pPr>
      <w:r>
        <w:t xml:space="preserve">The purpose of this </w:t>
      </w:r>
      <w:r w:rsidR="002A7E05">
        <w:t>chapter</w:t>
      </w:r>
      <w:r>
        <w:t xml:space="preserve"> has been to explore some outstanding unanswered questions from the realm of </w:t>
      </w:r>
      <w:r w:rsidR="00F959C1">
        <w:t>WP</w:t>
      </w:r>
      <w:r>
        <w:t xml:space="preserve"> research and practice.  It does not seek to answer them in detail, largely as </w:t>
      </w:r>
      <w:r w:rsidR="00541853">
        <w:t>much</w:t>
      </w:r>
      <w:r>
        <w:t xml:space="preserve"> of the required evidence base missing.  However, it is hoped that posing them will give pause for thought before the </w:t>
      </w:r>
      <w:r w:rsidR="006E3347">
        <w:t>HE</w:t>
      </w:r>
      <w:r>
        <w:t xml:space="preserve"> sector moves into the post-Aimhigher world with less inter-university co-ordination, less resource for research and a more confused policy horizon.</w:t>
      </w:r>
    </w:p>
    <w:p w:rsidR="003E711E" w:rsidRDefault="003E711E" w:rsidP="000F7AD5">
      <w:pPr>
        <w:spacing w:line="360" w:lineRule="auto"/>
      </w:pPr>
    </w:p>
    <w:p w:rsidR="003E711E" w:rsidRDefault="003E711E">
      <w:r>
        <w:br w:type="page"/>
      </w:r>
    </w:p>
    <w:p w:rsidR="003E711E" w:rsidRDefault="003E711E" w:rsidP="00700A6D">
      <w:pPr>
        <w:spacing w:line="360" w:lineRule="auto"/>
        <w:rPr>
          <w:b/>
        </w:rPr>
      </w:pPr>
      <w:r w:rsidRPr="003E711E">
        <w:rPr>
          <w:b/>
          <w:sz w:val="30"/>
          <w:szCs w:val="30"/>
        </w:rPr>
        <w:lastRenderedPageBreak/>
        <w:t>References</w:t>
      </w:r>
    </w:p>
    <w:p w:rsidR="0070581E" w:rsidRPr="009B3413" w:rsidRDefault="0070581E" w:rsidP="009B3413">
      <w:pPr>
        <w:autoSpaceDE w:val="0"/>
        <w:autoSpaceDN w:val="0"/>
        <w:adjustRightInd w:val="0"/>
        <w:spacing w:line="360" w:lineRule="auto"/>
        <w:rPr>
          <w:b/>
        </w:rPr>
      </w:pPr>
    </w:p>
    <w:p w:rsidR="00CB5B4D" w:rsidRPr="00CB5B4D" w:rsidRDefault="00CB5B4D" w:rsidP="00FB51A2">
      <w:pPr>
        <w:autoSpaceDE w:val="0"/>
        <w:autoSpaceDN w:val="0"/>
        <w:adjustRightInd w:val="0"/>
        <w:spacing w:line="360" w:lineRule="auto"/>
        <w:ind w:left="425" w:hanging="425"/>
        <w:rPr>
          <w:color w:val="000000" w:themeColor="text1"/>
        </w:rPr>
      </w:pPr>
      <w:r>
        <w:rPr>
          <w:color w:val="000000" w:themeColor="text1"/>
        </w:rPr>
        <w:t xml:space="preserve">Anders, J. (2012) The link between household income, university applications and university attendance, </w:t>
      </w:r>
      <w:r>
        <w:rPr>
          <w:i/>
          <w:color w:val="000000" w:themeColor="text1"/>
        </w:rPr>
        <w:t>Fiscal Studies</w:t>
      </w:r>
      <w:r>
        <w:rPr>
          <w:color w:val="000000" w:themeColor="text1"/>
        </w:rPr>
        <w:t xml:space="preserve"> 33, 2: 185-210.</w:t>
      </w:r>
    </w:p>
    <w:p w:rsidR="003D2BCE" w:rsidRPr="00FB51A2" w:rsidRDefault="00807554" w:rsidP="00FB51A2">
      <w:pPr>
        <w:autoSpaceDE w:val="0"/>
        <w:autoSpaceDN w:val="0"/>
        <w:adjustRightInd w:val="0"/>
        <w:spacing w:line="360" w:lineRule="auto"/>
        <w:ind w:left="425" w:hanging="425"/>
        <w:rPr>
          <w:rFonts w:cs="Times New Roman"/>
        </w:rPr>
      </w:pPr>
      <w:r>
        <w:rPr>
          <w:color w:val="000000" w:themeColor="text1"/>
        </w:rPr>
        <w:t>Cabinet Office (2011)</w:t>
      </w:r>
      <w:r w:rsidR="0070581E" w:rsidRPr="00FB51A2">
        <w:rPr>
          <w:color w:val="000000" w:themeColor="text1"/>
        </w:rPr>
        <w:t xml:space="preserve"> </w:t>
      </w:r>
      <w:r w:rsidR="0070581E" w:rsidRPr="00FB51A2">
        <w:rPr>
          <w:rFonts w:cs="Times New Roman"/>
          <w:i/>
        </w:rPr>
        <w:t>Opening doors, breaking barriers: a strategy for social mobility</w:t>
      </w:r>
      <w:r w:rsidR="0025110B">
        <w:rPr>
          <w:rFonts w:cs="Times New Roman"/>
          <w:i/>
        </w:rPr>
        <w:t>,</w:t>
      </w:r>
      <w:r w:rsidR="0070581E" w:rsidRPr="00FB51A2">
        <w:rPr>
          <w:rFonts w:cs="Times New Roman"/>
        </w:rPr>
        <w:t xml:space="preserve"> London: Cabinet Office.</w:t>
      </w:r>
    </w:p>
    <w:p w:rsidR="003D2BCE" w:rsidRPr="00FB51A2" w:rsidRDefault="00807554" w:rsidP="00FB51A2">
      <w:pPr>
        <w:autoSpaceDE w:val="0"/>
        <w:autoSpaceDN w:val="0"/>
        <w:adjustRightInd w:val="0"/>
        <w:spacing w:line="360" w:lineRule="auto"/>
        <w:ind w:left="425" w:hanging="425"/>
        <w:rPr>
          <w:rFonts w:cs="Times New Roman"/>
        </w:rPr>
      </w:pPr>
      <w:r>
        <w:rPr>
          <w:color w:val="000000" w:themeColor="text1"/>
        </w:rPr>
        <w:t>Cabinet Office (2012)</w:t>
      </w:r>
      <w:r w:rsidR="003D2BCE" w:rsidRPr="00FB51A2">
        <w:rPr>
          <w:color w:val="000000" w:themeColor="text1"/>
        </w:rPr>
        <w:t xml:space="preserve"> </w:t>
      </w:r>
      <w:r w:rsidR="003D2BCE" w:rsidRPr="00FB51A2">
        <w:rPr>
          <w:i/>
          <w:color w:val="000000"/>
        </w:rPr>
        <w:t xml:space="preserve">Fair access to professional careers: </w:t>
      </w:r>
      <w:r w:rsidR="003D2BCE" w:rsidRPr="00FB51A2">
        <w:rPr>
          <w:i/>
        </w:rPr>
        <w:t>a progress report by the Independent Reviewer on Social Mobility and Child Poverty</w:t>
      </w:r>
      <w:r w:rsidR="0025110B">
        <w:rPr>
          <w:rFonts w:cs="Times New Roman"/>
          <w:i/>
        </w:rPr>
        <w:t>,</w:t>
      </w:r>
      <w:r w:rsidR="003D2BCE" w:rsidRPr="00FB51A2">
        <w:rPr>
          <w:rFonts w:cs="Times New Roman"/>
        </w:rPr>
        <w:t xml:space="preserve"> London: Cabinet Office.</w:t>
      </w:r>
    </w:p>
    <w:p w:rsidR="00AC02AE" w:rsidRPr="00FB51A2" w:rsidRDefault="00AC02AE" w:rsidP="00FB51A2">
      <w:pPr>
        <w:spacing w:line="360" w:lineRule="auto"/>
        <w:ind w:left="426" w:hanging="426"/>
        <w:rPr>
          <w:color w:val="000000" w:themeColor="text1"/>
        </w:rPr>
      </w:pPr>
      <w:proofErr w:type="spellStart"/>
      <w:r w:rsidRPr="00FB51A2">
        <w:rPr>
          <w:color w:val="000000" w:themeColor="text1"/>
        </w:rPr>
        <w:t>Chilosi</w:t>
      </w:r>
      <w:proofErr w:type="spellEnd"/>
      <w:r w:rsidRPr="00FB51A2">
        <w:rPr>
          <w:color w:val="000000" w:themeColor="text1"/>
        </w:rPr>
        <w:t>, D</w:t>
      </w:r>
      <w:r w:rsidR="00807554">
        <w:rPr>
          <w:color w:val="000000" w:themeColor="text1"/>
        </w:rPr>
        <w:t>.</w:t>
      </w:r>
      <w:r w:rsidRPr="00FB51A2">
        <w:rPr>
          <w:color w:val="000000" w:themeColor="text1"/>
        </w:rPr>
        <w:t>, Noble, M</w:t>
      </w:r>
      <w:r w:rsidR="00807554">
        <w:rPr>
          <w:color w:val="000000" w:themeColor="text1"/>
        </w:rPr>
        <w:t>.</w:t>
      </w:r>
      <w:r w:rsidRPr="00FB51A2">
        <w:rPr>
          <w:color w:val="000000" w:themeColor="text1"/>
        </w:rPr>
        <w:t xml:space="preserve">, </w:t>
      </w:r>
      <w:proofErr w:type="spellStart"/>
      <w:r w:rsidRPr="00FB51A2">
        <w:rPr>
          <w:color w:val="000000" w:themeColor="text1"/>
        </w:rPr>
        <w:t>Broadhead</w:t>
      </w:r>
      <w:proofErr w:type="spellEnd"/>
      <w:r w:rsidRPr="00FB51A2">
        <w:rPr>
          <w:color w:val="000000" w:themeColor="text1"/>
        </w:rPr>
        <w:t>, P</w:t>
      </w:r>
      <w:r w:rsidR="00807554">
        <w:rPr>
          <w:color w:val="000000" w:themeColor="text1"/>
        </w:rPr>
        <w:t>.</w:t>
      </w:r>
      <w:r w:rsidRPr="00FB51A2">
        <w:rPr>
          <w:color w:val="000000" w:themeColor="text1"/>
        </w:rPr>
        <w:t xml:space="preserve"> and Wilkinson, M</w:t>
      </w:r>
      <w:r w:rsidR="00807554">
        <w:rPr>
          <w:color w:val="000000" w:themeColor="text1"/>
        </w:rPr>
        <w:t>.</w:t>
      </w:r>
      <w:r w:rsidRPr="00FB51A2">
        <w:rPr>
          <w:color w:val="000000" w:themeColor="text1"/>
        </w:rPr>
        <w:t xml:space="preserve"> (2010) Measuring the effect of Aimhigher on schooling attainment and higher educ</w:t>
      </w:r>
      <w:r w:rsidR="0025110B">
        <w:rPr>
          <w:color w:val="000000" w:themeColor="text1"/>
        </w:rPr>
        <w:t>ation applications and entries,</w:t>
      </w:r>
      <w:r w:rsidRPr="00FB51A2">
        <w:rPr>
          <w:color w:val="000000" w:themeColor="text1"/>
        </w:rPr>
        <w:t xml:space="preserve"> </w:t>
      </w:r>
      <w:r w:rsidRPr="00FB51A2">
        <w:rPr>
          <w:i/>
          <w:color w:val="000000" w:themeColor="text1"/>
        </w:rPr>
        <w:t>Journal of Further and Higher Education</w:t>
      </w:r>
      <w:r w:rsidRPr="00FB51A2">
        <w:rPr>
          <w:color w:val="000000" w:themeColor="text1"/>
        </w:rPr>
        <w:t xml:space="preserve"> 34</w:t>
      </w:r>
      <w:r w:rsidR="00807554">
        <w:rPr>
          <w:color w:val="000000" w:themeColor="text1"/>
        </w:rPr>
        <w:t>, 1</w:t>
      </w:r>
      <w:r w:rsidRPr="00FB51A2">
        <w:rPr>
          <w:color w:val="000000" w:themeColor="text1"/>
        </w:rPr>
        <w:t>: 1-10.</w:t>
      </w:r>
    </w:p>
    <w:p w:rsidR="006D5817" w:rsidRDefault="00807554" w:rsidP="00FB51A2">
      <w:pPr>
        <w:autoSpaceDE w:val="0"/>
        <w:autoSpaceDN w:val="0"/>
        <w:adjustRightInd w:val="0"/>
        <w:spacing w:line="360" w:lineRule="auto"/>
        <w:ind w:left="425" w:hanging="425"/>
        <w:rPr>
          <w:rFonts w:eastAsia="Calibri" w:cs="Arial"/>
        </w:rPr>
      </w:pPr>
      <w:proofErr w:type="spellStart"/>
      <w:r>
        <w:rPr>
          <w:rFonts w:eastAsia="Calibri" w:cs="Arial"/>
        </w:rPr>
        <w:t>Chowdry</w:t>
      </w:r>
      <w:proofErr w:type="spellEnd"/>
      <w:r>
        <w:rPr>
          <w:rFonts w:eastAsia="Calibri" w:cs="Arial"/>
        </w:rPr>
        <w:t>, H., </w:t>
      </w:r>
      <w:r w:rsidR="006D5817" w:rsidRPr="00FB51A2">
        <w:rPr>
          <w:rFonts w:eastAsia="Calibri" w:cs="Arial"/>
        </w:rPr>
        <w:t>Crawford, </w:t>
      </w:r>
      <w:r>
        <w:rPr>
          <w:rFonts w:eastAsia="Calibri" w:cs="Arial"/>
        </w:rPr>
        <w:t xml:space="preserve">C., </w:t>
      </w:r>
      <w:proofErr w:type="spellStart"/>
      <w:r w:rsidR="006D5817" w:rsidRPr="00FB51A2">
        <w:rPr>
          <w:rFonts w:eastAsia="Calibri" w:cs="Arial"/>
        </w:rPr>
        <w:t>Dearden</w:t>
      </w:r>
      <w:proofErr w:type="spellEnd"/>
      <w:r>
        <w:rPr>
          <w:rFonts w:eastAsia="Calibri" w:cs="Arial"/>
        </w:rPr>
        <w:t>, L.</w:t>
      </w:r>
      <w:r w:rsidR="006D5817" w:rsidRPr="00FB51A2">
        <w:rPr>
          <w:rFonts w:eastAsia="Calibri" w:cs="Arial"/>
        </w:rPr>
        <w:t>, Goodman</w:t>
      </w:r>
      <w:r>
        <w:rPr>
          <w:rFonts w:eastAsia="Calibri" w:cs="Arial"/>
        </w:rPr>
        <w:t>, A.</w:t>
      </w:r>
      <w:r w:rsidR="006D5817" w:rsidRPr="00FB51A2">
        <w:rPr>
          <w:rFonts w:eastAsia="Calibri" w:cs="Arial"/>
        </w:rPr>
        <w:t xml:space="preserve"> and </w:t>
      </w:r>
      <w:proofErr w:type="spellStart"/>
      <w:r w:rsidR="006D5817" w:rsidRPr="00FB51A2">
        <w:rPr>
          <w:rFonts w:eastAsia="Calibri" w:cs="Arial"/>
        </w:rPr>
        <w:t>Vignoles</w:t>
      </w:r>
      <w:proofErr w:type="spellEnd"/>
      <w:r>
        <w:rPr>
          <w:rFonts w:eastAsia="Calibri" w:cs="Arial"/>
        </w:rPr>
        <w:t>, A. (</w:t>
      </w:r>
      <w:r w:rsidR="006D5817" w:rsidRPr="00FB51A2">
        <w:rPr>
          <w:rFonts w:eastAsia="Calibri" w:cs="Arial"/>
        </w:rPr>
        <w:t>200</w:t>
      </w:r>
      <w:r>
        <w:rPr>
          <w:rFonts w:eastAsia="Calibri" w:cs="Arial"/>
        </w:rPr>
        <w:t>8)</w:t>
      </w:r>
      <w:r w:rsidR="006D5817" w:rsidRPr="00FB51A2">
        <w:rPr>
          <w:rFonts w:eastAsia="Calibri" w:cs="Arial"/>
        </w:rPr>
        <w:t xml:space="preserve"> </w:t>
      </w:r>
      <w:r w:rsidR="006D5817" w:rsidRPr="00FB51A2">
        <w:rPr>
          <w:rFonts w:eastAsia="Calibri" w:cs="Arial"/>
          <w:i/>
        </w:rPr>
        <w:t>Widening participation in higher education using linked administrative data</w:t>
      </w:r>
      <w:r w:rsidR="0025110B">
        <w:rPr>
          <w:rFonts w:eastAsia="Calibri" w:cs="Arial"/>
        </w:rPr>
        <w:t>, IFS Reports R69,</w:t>
      </w:r>
      <w:r w:rsidR="006D5817" w:rsidRPr="00FB51A2">
        <w:rPr>
          <w:rFonts w:eastAsia="Calibri" w:cs="Arial"/>
        </w:rPr>
        <w:t xml:space="preserve"> London: Institute for Fiscal Studies.</w:t>
      </w:r>
    </w:p>
    <w:p w:rsidR="002A71CD" w:rsidRPr="002A71CD" w:rsidRDefault="002A71CD" w:rsidP="002A71CD">
      <w:pPr>
        <w:spacing w:line="480" w:lineRule="auto"/>
        <w:ind w:left="426" w:hanging="426"/>
        <w:rPr>
          <w:color w:val="000000"/>
        </w:rPr>
      </w:pPr>
      <w:r w:rsidRPr="002A71CD">
        <w:rPr>
          <w:color w:val="000000"/>
        </w:rPr>
        <w:t xml:space="preserve">Clayton, J., </w:t>
      </w:r>
      <w:proofErr w:type="spellStart"/>
      <w:r w:rsidRPr="002A71CD">
        <w:rPr>
          <w:color w:val="000000"/>
        </w:rPr>
        <w:t>Crozier</w:t>
      </w:r>
      <w:proofErr w:type="spellEnd"/>
      <w:r w:rsidRPr="002A71CD">
        <w:rPr>
          <w:color w:val="000000"/>
        </w:rPr>
        <w:t xml:space="preserve">, </w:t>
      </w:r>
      <w:r w:rsidR="00807554">
        <w:rPr>
          <w:color w:val="000000"/>
        </w:rPr>
        <w:t xml:space="preserve">G. </w:t>
      </w:r>
      <w:r w:rsidRPr="002A71CD">
        <w:rPr>
          <w:color w:val="000000"/>
        </w:rPr>
        <w:t xml:space="preserve">and </w:t>
      </w:r>
      <w:proofErr w:type="spellStart"/>
      <w:r w:rsidRPr="002A71CD">
        <w:rPr>
          <w:color w:val="000000"/>
        </w:rPr>
        <w:t>Reay</w:t>
      </w:r>
      <w:proofErr w:type="spellEnd"/>
      <w:r w:rsidR="00807554">
        <w:rPr>
          <w:color w:val="000000"/>
        </w:rPr>
        <w:t>, D. (2009)</w:t>
      </w:r>
      <w:r w:rsidRPr="002A71CD">
        <w:rPr>
          <w:color w:val="000000"/>
        </w:rPr>
        <w:t xml:space="preserve"> Home and away: risk, familiarity and the multiple geographies of the hig</w:t>
      </w:r>
      <w:r w:rsidR="0025110B">
        <w:rPr>
          <w:color w:val="000000"/>
        </w:rPr>
        <w:t>her education experience,</w:t>
      </w:r>
      <w:r w:rsidRPr="002A71CD">
        <w:rPr>
          <w:color w:val="000000"/>
        </w:rPr>
        <w:t xml:space="preserve"> </w:t>
      </w:r>
      <w:r w:rsidRPr="002A71CD">
        <w:rPr>
          <w:i/>
          <w:color w:val="000000"/>
        </w:rPr>
        <w:t>International Studies in Sociology of Education</w:t>
      </w:r>
      <w:r w:rsidRPr="002A71CD">
        <w:rPr>
          <w:color w:val="000000"/>
        </w:rPr>
        <w:t xml:space="preserve"> 19</w:t>
      </w:r>
      <w:r w:rsidR="00807554">
        <w:rPr>
          <w:color w:val="000000"/>
        </w:rPr>
        <w:t>, 3-4</w:t>
      </w:r>
      <w:r w:rsidRPr="002A71CD">
        <w:rPr>
          <w:color w:val="000000"/>
        </w:rPr>
        <w:t>: 157-174.</w:t>
      </w:r>
    </w:p>
    <w:p w:rsidR="00122B29" w:rsidRPr="00FB51A2" w:rsidRDefault="00122B29" w:rsidP="00FB51A2">
      <w:pPr>
        <w:spacing w:line="360" w:lineRule="auto"/>
        <w:ind w:left="426" w:hanging="426"/>
        <w:rPr>
          <w:rFonts w:cs="Arial"/>
          <w:color w:val="000000" w:themeColor="text1"/>
        </w:rPr>
      </w:pPr>
      <w:r w:rsidRPr="00FB51A2">
        <w:rPr>
          <w:rFonts w:cs="Arial"/>
          <w:color w:val="000000" w:themeColor="text1"/>
        </w:rPr>
        <w:t>Coleman, R</w:t>
      </w:r>
      <w:r w:rsidR="00807554">
        <w:rPr>
          <w:rFonts w:cs="Arial"/>
          <w:color w:val="000000" w:themeColor="text1"/>
        </w:rPr>
        <w:t>.</w:t>
      </w:r>
      <w:r w:rsidRPr="00FB51A2">
        <w:rPr>
          <w:rFonts w:cs="Arial"/>
          <w:color w:val="000000" w:themeColor="text1"/>
        </w:rPr>
        <w:t xml:space="preserve"> and </w:t>
      </w:r>
      <w:proofErr w:type="spellStart"/>
      <w:r w:rsidRPr="00FB51A2">
        <w:rPr>
          <w:rFonts w:cs="Arial"/>
          <w:color w:val="000000" w:themeColor="text1"/>
        </w:rPr>
        <w:t>Bekhradnia</w:t>
      </w:r>
      <w:proofErr w:type="spellEnd"/>
      <w:r w:rsidRPr="00FB51A2">
        <w:rPr>
          <w:rFonts w:cs="Arial"/>
          <w:color w:val="000000" w:themeColor="text1"/>
        </w:rPr>
        <w:t>, B</w:t>
      </w:r>
      <w:r w:rsidR="00807554">
        <w:rPr>
          <w:rFonts w:cs="Arial"/>
          <w:color w:val="000000" w:themeColor="text1"/>
        </w:rPr>
        <w:t>.</w:t>
      </w:r>
      <w:r w:rsidRPr="00FB51A2">
        <w:rPr>
          <w:rFonts w:cs="Arial"/>
          <w:color w:val="000000" w:themeColor="text1"/>
        </w:rPr>
        <w:t xml:space="preserve"> (2011) </w:t>
      </w:r>
      <w:r w:rsidRPr="00FB51A2">
        <w:rPr>
          <w:rFonts w:cs="Arial"/>
          <w:i/>
          <w:color w:val="000000" w:themeColor="text1"/>
        </w:rPr>
        <w:t>Higher education supply and demand to 2020</w:t>
      </w:r>
      <w:r w:rsidR="0025110B">
        <w:rPr>
          <w:rFonts w:cs="Arial"/>
          <w:color w:val="000000" w:themeColor="text1"/>
        </w:rPr>
        <w:t xml:space="preserve">, </w:t>
      </w:r>
      <w:r w:rsidRPr="00FB51A2">
        <w:rPr>
          <w:rFonts w:cs="Arial"/>
          <w:color w:val="000000" w:themeColor="text1"/>
        </w:rPr>
        <w:t>Oxford: Higher Education Policy Institute.</w:t>
      </w:r>
    </w:p>
    <w:p w:rsidR="00C42205" w:rsidRPr="00FB51A2" w:rsidRDefault="00807554" w:rsidP="00FB51A2">
      <w:pPr>
        <w:spacing w:line="360" w:lineRule="auto"/>
        <w:ind w:left="426" w:hanging="426"/>
        <w:rPr>
          <w:color w:val="000000" w:themeColor="text1"/>
        </w:rPr>
      </w:pPr>
      <w:r>
        <w:rPr>
          <w:rFonts w:cs="Arial"/>
          <w:color w:val="000000" w:themeColor="text1"/>
        </w:rPr>
        <w:t>Coles, J. (2012)</w:t>
      </w:r>
      <w:r w:rsidR="00C42205" w:rsidRPr="00FB51A2">
        <w:rPr>
          <w:rFonts w:cs="Arial"/>
          <w:color w:val="000000" w:themeColor="text1"/>
        </w:rPr>
        <w:t xml:space="preserve"> Keynote address to </w:t>
      </w:r>
      <w:r w:rsidR="00C42205" w:rsidRPr="0055041A">
        <w:rPr>
          <w:rFonts w:cs="Arial"/>
          <w:i/>
          <w:color w:val="000000" w:themeColor="text1"/>
        </w:rPr>
        <w:t xml:space="preserve">British Educational Research Association </w:t>
      </w:r>
      <w:r w:rsidR="00101398" w:rsidRPr="0055041A">
        <w:rPr>
          <w:rFonts w:cs="Arial"/>
          <w:i/>
          <w:color w:val="000000" w:themeColor="text1"/>
        </w:rPr>
        <w:t>Annual C</w:t>
      </w:r>
      <w:r w:rsidR="00C42205" w:rsidRPr="0055041A">
        <w:rPr>
          <w:rFonts w:cs="Arial"/>
          <w:i/>
          <w:color w:val="000000" w:themeColor="text1"/>
        </w:rPr>
        <w:t>onference</w:t>
      </w:r>
      <w:r w:rsidR="00C42205" w:rsidRPr="00FB51A2">
        <w:rPr>
          <w:rFonts w:cs="Arial"/>
          <w:color w:val="000000" w:themeColor="text1"/>
        </w:rPr>
        <w:t xml:space="preserve">, </w:t>
      </w:r>
      <w:r w:rsidRPr="00FB51A2">
        <w:rPr>
          <w:rFonts w:cs="Arial"/>
          <w:color w:val="000000" w:themeColor="text1"/>
        </w:rPr>
        <w:t>Manchester</w:t>
      </w:r>
      <w:r>
        <w:rPr>
          <w:rFonts w:cs="Arial"/>
          <w:color w:val="000000" w:themeColor="text1"/>
        </w:rPr>
        <w:t>,</w:t>
      </w:r>
      <w:r w:rsidRPr="00FB51A2">
        <w:rPr>
          <w:rFonts w:cs="Arial"/>
          <w:color w:val="000000" w:themeColor="text1"/>
        </w:rPr>
        <w:t xml:space="preserve"> </w:t>
      </w:r>
      <w:r w:rsidR="00C42205" w:rsidRPr="00FB51A2">
        <w:rPr>
          <w:rFonts w:cs="Arial"/>
          <w:color w:val="000000" w:themeColor="text1"/>
        </w:rPr>
        <w:t>6</w:t>
      </w:r>
      <w:r>
        <w:rPr>
          <w:rFonts w:cs="Arial"/>
          <w:color w:val="000000" w:themeColor="text1"/>
        </w:rPr>
        <w:t xml:space="preserve"> September 2012</w:t>
      </w:r>
      <w:r w:rsidR="00C42205" w:rsidRPr="00FB51A2">
        <w:rPr>
          <w:rFonts w:cs="Arial"/>
          <w:color w:val="000000" w:themeColor="text1"/>
        </w:rPr>
        <w:t>.</w:t>
      </w:r>
    </w:p>
    <w:p w:rsidR="0070581E" w:rsidRPr="00FB51A2" w:rsidRDefault="0070581E" w:rsidP="00FB51A2">
      <w:pPr>
        <w:spacing w:line="360" w:lineRule="auto"/>
        <w:ind w:left="425" w:hanging="425"/>
        <w:rPr>
          <w:color w:val="000000" w:themeColor="text1"/>
        </w:rPr>
      </w:pPr>
      <w:r w:rsidRPr="00FB51A2">
        <w:rPr>
          <w:color w:val="000000" w:themeColor="text1"/>
        </w:rPr>
        <w:t>Department for Business, Innovation and Skills [DBIS] (2011</w:t>
      </w:r>
      <w:r w:rsidR="004506C0" w:rsidRPr="00FB51A2">
        <w:rPr>
          <w:color w:val="000000" w:themeColor="text1"/>
        </w:rPr>
        <w:t>a</w:t>
      </w:r>
      <w:r w:rsidRPr="00FB51A2">
        <w:rPr>
          <w:color w:val="000000" w:themeColor="text1"/>
        </w:rPr>
        <w:t xml:space="preserve">) </w:t>
      </w:r>
      <w:r w:rsidRPr="00FB51A2">
        <w:rPr>
          <w:i/>
          <w:iCs/>
          <w:color w:val="000000" w:themeColor="text1"/>
        </w:rPr>
        <w:t>Students at the heart of the system</w:t>
      </w:r>
      <w:r w:rsidR="0025110B">
        <w:rPr>
          <w:color w:val="000000" w:themeColor="text1"/>
        </w:rPr>
        <w:t>, London: DBIS.</w:t>
      </w:r>
    </w:p>
    <w:p w:rsidR="00B0307A" w:rsidRPr="00FB51A2" w:rsidRDefault="004506C0" w:rsidP="00FB51A2">
      <w:pPr>
        <w:spacing w:line="360" w:lineRule="auto"/>
        <w:ind w:left="426" w:hanging="426"/>
        <w:rPr>
          <w:color w:val="000000" w:themeColor="text1"/>
        </w:rPr>
      </w:pPr>
      <w:r w:rsidRPr="00FB51A2">
        <w:rPr>
          <w:color w:val="000000" w:themeColor="text1"/>
        </w:rPr>
        <w:t xml:space="preserve">Department for Business, Innovation and Skills [DBIS] (2011b) </w:t>
      </w:r>
      <w:r w:rsidRPr="00FB51A2">
        <w:rPr>
          <w:i/>
          <w:iCs/>
          <w:color w:val="000000" w:themeColor="text1"/>
        </w:rPr>
        <w:t xml:space="preserve">Findings from the public consultation on statistics that measure the progress of children from disadvantaged </w:t>
      </w:r>
      <w:r w:rsidR="0025110B">
        <w:rPr>
          <w:i/>
          <w:iCs/>
          <w:color w:val="000000" w:themeColor="text1"/>
        </w:rPr>
        <w:t>backgrounds to higher education,</w:t>
      </w:r>
      <w:r w:rsidRPr="00FB51A2">
        <w:rPr>
          <w:i/>
          <w:iCs/>
          <w:color w:val="000000" w:themeColor="text1"/>
        </w:rPr>
        <w:t xml:space="preserve"> </w:t>
      </w:r>
      <w:r w:rsidRPr="00FB51A2">
        <w:rPr>
          <w:color w:val="000000" w:themeColor="text1"/>
        </w:rPr>
        <w:t>London: DBIS.</w:t>
      </w:r>
    </w:p>
    <w:p w:rsidR="00081BA9" w:rsidRPr="00FB51A2" w:rsidRDefault="006D5817" w:rsidP="00FB51A2">
      <w:pPr>
        <w:autoSpaceDE w:val="0"/>
        <w:autoSpaceDN w:val="0"/>
        <w:adjustRightInd w:val="0"/>
        <w:spacing w:line="360" w:lineRule="auto"/>
        <w:ind w:left="425" w:hanging="425"/>
        <w:rPr>
          <w:rFonts w:cs="Arial"/>
        </w:rPr>
      </w:pPr>
      <w:r w:rsidRPr="00FB51A2">
        <w:rPr>
          <w:rFonts w:cs="Arial"/>
        </w:rPr>
        <w:t>Department of Children, Schools and Fa</w:t>
      </w:r>
      <w:r w:rsidR="00807554">
        <w:rPr>
          <w:rFonts w:cs="Arial"/>
        </w:rPr>
        <w:t>milies [DCSF] (2010)</w:t>
      </w:r>
      <w:r w:rsidRPr="00FB51A2">
        <w:rPr>
          <w:rFonts w:cs="Arial"/>
        </w:rPr>
        <w:t xml:space="preserve"> </w:t>
      </w:r>
      <w:r w:rsidRPr="00FB51A2">
        <w:rPr>
          <w:rFonts w:cs="Arial"/>
          <w:i/>
        </w:rPr>
        <w:t>Youth cohort study and longitudinal study of young people in England: the activities and experiences of 18 year olds: England 2009</w:t>
      </w:r>
      <w:r w:rsidR="0025110B">
        <w:rPr>
          <w:rFonts w:cs="Arial"/>
          <w:i/>
        </w:rPr>
        <w:t xml:space="preserve">, </w:t>
      </w:r>
      <w:r w:rsidRPr="00FB51A2">
        <w:rPr>
          <w:rFonts w:cs="Arial"/>
        </w:rPr>
        <w:t>Sheffield: DCSF.</w:t>
      </w:r>
    </w:p>
    <w:p w:rsidR="00081BA9" w:rsidRPr="00FB51A2" w:rsidRDefault="00081BA9" w:rsidP="00FB51A2">
      <w:pPr>
        <w:autoSpaceDE w:val="0"/>
        <w:autoSpaceDN w:val="0"/>
        <w:adjustRightInd w:val="0"/>
        <w:spacing w:line="360" w:lineRule="auto"/>
        <w:ind w:left="425" w:hanging="425"/>
        <w:rPr>
          <w:rFonts w:cs="Arial"/>
        </w:rPr>
      </w:pPr>
      <w:r w:rsidRPr="00FB51A2">
        <w:rPr>
          <w:rFonts w:cs="Arial"/>
        </w:rPr>
        <w:t xml:space="preserve">Department </w:t>
      </w:r>
      <w:r w:rsidR="005A0534" w:rsidRPr="00FB51A2">
        <w:rPr>
          <w:rFonts w:cs="Arial"/>
        </w:rPr>
        <w:t>f</w:t>
      </w:r>
      <w:r w:rsidR="00807554">
        <w:rPr>
          <w:rFonts w:cs="Arial"/>
        </w:rPr>
        <w:t>or Education [DFE] (2012)</w:t>
      </w:r>
      <w:r w:rsidRPr="00FB51A2">
        <w:rPr>
          <w:rFonts w:cs="Arial"/>
        </w:rPr>
        <w:t xml:space="preserve"> </w:t>
      </w:r>
      <w:r w:rsidRPr="00FB51A2">
        <w:rPr>
          <w:i/>
        </w:rPr>
        <w:t xml:space="preserve">Only the highest quality qualifications to </w:t>
      </w:r>
      <w:r w:rsidR="00807554">
        <w:rPr>
          <w:i/>
        </w:rPr>
        <w:t>be included in performance t</w:t>
      </w:r>
      <w:r w:rsidRPr="00FB51A2">
        <w:rPr>
          <w:i/>
        </w:rPr>
        <w:t>able</w:t>
      </w:r>
      <w:r w:rsidR="00A25AFF">
        <w:rPr>
          <w:i/>
        </w:rPr>
        <w:t>,</w:t>
      </w:r>
      <w:r w:rsidR="00A25AFF">
        <w:t xml:space="preserve"> at</w:t>
      </w:r>
      <w:r w:rsidRPr="00FB51A2">
        <w:t xml:space="preserve"> </w:t>
      </w:r>
      <w:r w:rsidR="00A25AFF" w:rsidRPr="00A25AFF">
        <w:rPr>
          <w:rFonts w:cs="Arial"/>
        </w:rPr>
        <w:t>www.education.gov.uk/inthenews/a00202885/performancejan12</w:t>
      </w:r>
      <w:r w:rsidR="00A25AFF">
        <w:rPr>
          <w:rFonts w:cs="Arial"/>
        </w:rPr>
        <w:t xml:space="preserve"> (ac</w:t>
      </w:r>
      <w:r w:rsidR="00A25AFF">
        <w:t>cessed 28</w:t>
      </w:r>
      <w:r w:rsidR="00A25AFF">
        <w:rPr>
          <w:vertAlign w:val="superscript"/>
        </w:rPr>
        <w:t xml:space="preserve"> </w:t>
      </w:r>
      <w:r w:rsidR="00A25AFF">
        <w:t>September 2012)</w:t>
      </w:r>
      <w:r w:rsidRPr="00FB51A2">
        <w:rPr>
          <w:rFonts w:cs="Arial"/>
        </w:rPr>
        <w:t>.</w:t>
      </w:r>
    </w:p>
    <w:p w:rsidR="00B0307A" w:rsidRPr="00FB51A2" w:rsidRDefault="00B0307A" w:rsidP="00FB51A2">
      <w:pPr>
        <w:spacing w:line="360" w:lineRule="auto"/>
        <w:ind w:left="426" w:hanging="426"/>
        <w:rPr>
          <w:color w:val="000000" w:themeColor="text1"/>
        </w:rPr>
      </w:pPr>
      <w:r w:rsidRPr="00FB51A2">
        <w:rPr>
          <w:color w:val="000000" w:themeColor="text1"/>
        </w:rPr>
        <w:t>Department for Education and Skills [</w:t>
      </w:r>
      <w:proofErr w:type="spellStart"/>
      <w:r w:rsidRPr="00FB51A2">
        <w:rPr>
          <w:color w:val="000000" w:themeColor="text1"/>
        </w:rPr>
        <w:t>DfES</w:t>
      </w:r>
      <w:proofErr w:type="spellEnd"/>
      <w:r w:rsidRPr="00FB51A2">
        <w:rPr>
          <w:color w:val="000000" w:themeColor="text1"/>
        </w:rPr>
        <w:t>] (2003</w:t>
      </w:r>
      <w:r w:rsidR="001063AE" w:rsidRPr="00FB51A2">
        <w:rPr>
          <w:color w:val="000000" w:themeColor="text1"/>
        </w:rPr>
        <w:t>a</w:t>
      </w:r>
      <w:r w:rsidRPr="00FB51A2">
        <w:rPr>
          <w:color w:val="000000" w:themeColor="text1"/>
        </w:rPr>
        <w:t xml:space="preserve">) </w:t>
      </w:r>
      <w:r w:rsidRPr="00FB51A2">
        <w:rPr>
          <w:i/>
          <w:iCs/>
          <w:color w:val="000000" w:themeColor="text1"/>
        </w:rPr>
        <w:t>The future of higher education</w:t>
      </w:r>
      <w:r w:rsidR="0025110B">
        <w:rPr>
          <w:color w:val="000000" w:themeColor="text1"/>
        </w:rPr>
        <w:t xml:space="preserve">, </w:t>
      </w:r>
      <w:r w:rsidRPr="00FB51A2">
        <w:rPr>
          <w:color w:val="000000" w:themeColor="text1"/>
        </w:rPr>
        <w:t xml:space="preserve">London: </w:t>
      </w:r>
      <w:proofErr w:type="spellStart"/>
      <w:r w:rsidR="0025110B">
        <w:rPr>
          <w:color w:val="000000" w:themeColor="text1"/>
        </w:rPr>
        <w:t>DfES</w:t>
      </w:r>
      <w:proofErr w:type="spellEnd"/>
      <w:r w:rsidRPr="00FB51A2">
        <w:rPr>
          <w:color w:val="000000" w:themeColor="text1"/>
        </w:rPr>
        <w:t xml:space="preserve">. </w:t>
      </w:r>
    </w:p>
    <w:p w:rsidR="001063AE" w:rsidRPr="00FB51A2" w:rsidRDefault="001063AE" w:rsidP="00FB51A2">
      <w:pPr>
        <w:spacing w:line="360" w:lineRule="auto"/>
        <w:ind w:left="426" w:hanging="426"/>
        <w:rPr>
          <w:color w:val="000000" w:themeColor="text1"/>
        </w:rPr>
      </w:pPr>
      <w:r w:rsidRPr="00FB51A2">
        <w:rPr>
          <w:color w:val="000000" w:themeColor="text1"/>
        </w:rPr>
        <w:lastRenderedPageBreak/>
        <w:t>Department for Education and Skills [</w:t>
      </w:r>
      <w:proofErr w:type="spellStart"/>
      <w:r w:rsidRPr="00FB51A2">
        <w:rPr>
          <w:color w:val="000000" w:themeColor="text1"/>
        </w:rPr>
        <w:t>DfES</w:t>
      </w:r>
      <w:proofErr w:type="spellEnd"/>
      <w:r w:rsidRPr="00FB51A2">
        <w:rPr>
          <w:color w:val="000000" w:themeColor="text1"/>
        </w:rPr>
        <w:t xml:space="preserve">] (2003b) </w:t>
      </w:r>
      <w:r w:rsidRPr="00FB51A2">
        <w:rPr>
          <w:i/>
          <w:iCs/>
          <w:color w:val="000000" w:themeColor="text1"/>
        </w:rPr>
        <w:t>Widening participation in higher education</w:t>
      </w:r>
      <w:r w:rsidR="0025110B">
        <w:rPr>
          <w:color w:val="000000" w:themeColor="text1"/>
        </w:rPr>
        <w:t xml:space="preserve">, </w:t>
      </w:r>
      <w:r w:rsidRPr="00FB51A2">
        <w:rPr>
          <w:color w:val="000000" w:themeColor="text1"/>
        </w:rPr>
        <w:t xml:space="preserve">London: </w:t>
      </w:r>
      <w:proofErr w:type="spellStart"/>
      <w:r w:rsidR="0025110B">
        <w:rPr>
          <w:color w:val="000000" w:themeColor="text1"/>
        </w:rPr>
        <w:t>DfES</w:t>
      </w:r>
      <w:proofErr w:type="spellEnd"/>
      <w:r w:rsidRPr="00FB51A2">
        <w:rPr>
          <w:color w:val="000000" w:themeColor="text1"/>
        </w:rPr>
        <w:t>.</w:t>
      </w:r>
    </w:p>
    <w:p w:rsidR="00745365" w:rsidRPr="00FB51A2" w:rsidRDefault="00807554" w:rsidP="00FB51A2">
      <w:pPr>
        <w:spacing w:line="360" w:lineRule="auto"/>
        <w:ind w:left="425" w:hanging="425"/>
        <w:rPr>
          <w:color w:val="000000" w:themeColor="text1"/>
        </w:rPr>
      </w:pPr>
      <w:r>
        <w:rPr>
          <w:color w:val="000000" w:themeColor="text1"/>
        </w:rPr>
        <w:t>Dorling, D. (2011)</w:t>
      </w:r>
      <w:r w:rsidR="00745365" w:rsidRPr="00FB51A2">
        <w:rPr>
          <w:color w:val="000000" w:themeColor="text1"/>
        </w:rPr>
        <w:t xml:space="preserve"> </w:t>
      </w:r>
      <w:r w:rsidR="00745365" w:rsidRPr="00FB51A2">
        <w:rPr>
          <w:i/>
          <w:color w:val="000000" w:themeColor="text1"/>
        </w:rPr>
        <w:t>So you think you know about Britain?</w:t>
      </w:r>
      <w:r w:rsidR="0025110B">
        <w:rPr>
          <w:i/>
          <w:color w:val="000000" w:themeColor="text1"/>
        </w:rPr>
        <w:t>,</w:t>
      </w:r>
      <w:r w:rsidR="00745365" w:rsidRPr="00FB51A2">
        <w:rPr>
          <w:color w:val="000000" w:themeColor="text1"/>
        </w:rPr>
        <w:t xml:space="preserve"> London: Constable and Robinson.</w:t>
      </w:r>
    </w:p>
    <w:p w:rsidR="002025AE" w:rsidRPr="00FB51A2" w:rsidRDefault="00B0307A" w:rsidP="00FB51A2">
      <w:pPr>
        <w:spacing w:line="360" w:lineRule="auto"/>
        <w:ind w:left="426" w:hanging="426"/>
        <w:rPr>
          <w:rFonts w:cs="TimesNewRoman,BoldItalic"/>
          <w:bCs/>
          <w:iCs/>
          <w:color w:val="000000" w:themeColor="text1"/>
        </w:rPr>
      </w:pPr>
      <w:proofErr w:type="spellStart"/>
      <w:r w:rsidRPr="00FB51A2">
        <w:rPr>
          <w:rFonts w:cs="TimesNewRoman,BoldItalic"/>
          <w:bCs/>
          <w:iCs/>
          <w:color w:val="000000" w:themeColor="text1"/>
        </w:rPr>
        <w:t>Emmerson</w:t>
      </w:r>
      <w:proofErr w:type="spellEnd"/>
      <w:r w:rsidRPr="00FB51A2">
        <w:rPr>
          <w:rFonts w:cs="TimesNewRoman,BoldItalic"/>
          <w:bCs/>
          <w:iCs/>
          <w:color w:val="000000" w:themeColor="text1"/>
        </w:rPr>
        <w:t>, C</w:t>
      </w:r>
      <w:r w:rsidR="00807554">
        <w:rPr>
          <w:rFonts w:cs="TimesNewRoman,BoldItalic"/>
          <w:bCs/>
          <w:iCs/>
          <w:color w:val="000000" w:themeColor="text1"/>
        </w:rPr>
        <w:t>.</w:t>
      </w:r>
      <w:r w:rsidRPr="00FB51A2">
        <w:rPr>
          <w:rFonts w:cs="TimesNewRoman,BoldItalic"/>
          <w:bCs/>
          <w:iCs/>
          <w:color w:val="000000" w:themeColor="text1"/>
        </w:rPr>
        <w:t>, Frayne, C</w:t>
      </w:r>
      <w:r w:rsidR="00807554">
        <w:rPr>
          <w:rFonts w:cs="TimesNewRoman,BoldItalic"/>
          <w:bCs/>
          <w:iCs/>
          <w:color w:val="000000" w:themeColor="text1"/>
        </w:rPr>
        <w:t>.</w:t>
      </w:r>
      <w:r w:rsidRPr="00FB51A2">
        <w:rPr>
          <w:rFonts w:cs="TimesNewRoman,BoldItalic"/>
          <w:bCs/>
          <w:iCs/>
          <w:color w:val="000000" w:themeColor="text1"/>
        </w:rPr>
        <w:t>, McNally, S</w:t>
      </w:r>
      <w:r w:rsidR="00807554">
        <w:rPr>
          <w:rFonts w:cs="TimesNewRoman,BoldItalic"/>
          <w:bCs/>
          <w:iCs/>
          <w:color w:val="000000" w:themeColor="text1"/>
        </w:rPr>
        <w:t>.</w:t>
      </w:r>
      <w:r w:rsidRPr="00FB51A2">
        <w:rPr>
          <w:rFonts w:cs="TimesNewRoman,BoldItalic"/>
          <w:bCs/>
          <w:iCs/>
          <w:color w:val="000000" w:themeColor="text1"/>
        </w:rPr>
        <w:t xml:space="preserve"> and Silva, O</w:t>
      </w:r>
      <w:r w:rsidR="00807554">
        <w:rPr>
          <w:rFonts w:cs="TimesNewRoman,BoldItalic"/>
          <w:bCs/>
          <w:iCs/>
          <w:color w:val="000000" w:themeColor="text1"/>
        </w:rPr>
        <w:t>.</w:t>
      </w:r>
      <w:r w:rsidRPr="00FB51A2">
        <w:rPr>
          <w:rFonts w:cs="TimesNewRoman,BoldItalic"/>
          <w:bCs/>
          <w:iCs/>
          <w:color w:val="000000" w:themeColor="text1"/>
        </w:rPr>
        <w:t xml:space="preserve"> (2005) </w:t>
      </w:r>
      <w:r w:rsidRPr="00FB51A2">
        <w:rPr>
          <w:rFonts w:cs="TimesNewRoman,BoldItalic"/>
          <w:bCs/>
          <w:i/>
          <w:iCs/>
          <w:color w:val="000000" w:themeColor="text1"/>
        </w:rPr>
        <w:t>The early impact of Aimhigher: Excellence Challenge on pre-16 outcomes:</w:t>
      </w:r>
      <w:r w:rsidRPr="00FB51A2">
        <w:rPr>
          <w:i/>
          <w:color w:val="000000" w:themeColor="text1"/>
        </w:rPr>
        <w:t xml:space="preserve"> </w:t>
      </w:r>
      <w:r w:rsidRPr="00FB51A2">
        <w:rPr>
          <w:rFonts w:cs="TimesNewRoman,BoldItalic"/>
          <w:bCs/>
          <w:i/>
          <w:iCs/>
          <w:color w:val="000000" w:themeColor="text1"/>
        </w:rPr>
        <w:t>an economic evaluation</w:t>
      </w:r>
      <w:r w:rsidR="0025110B">
        <w:rPr>
          <w:rFonts w:cs="TimesNewRoman,BoldItalic"/>
          <w:bCs/>
          <w:i/>
          <w:iCs/>
          <w:color w:val="000000" w:themeColor="text1"/>
        </w:rPr>
        <w:t xml:space="preserve">, </w:t>
      </w:r>
      <w:r w:rsidRPr="00FB51A2">
        <w:rPr>
          <w:rFonts w:cs="TimesNewRoman,BoldItalic"/>
          <w:bCs/>
          <w:iCs/>
          <w:color w:val="000000" w:themeColor="text1"/>
        </w:rPr>
        <w:t>Slough: N</w:t>
      </w:r>
      <w:r w:rsidR="00807554">
        <w:rPr>
          <w:rFonts w:cs="TimesNewRoman,BoldItalic"/>
          <w:bCs/>
          <w:iCs/>
          <w:color w:val="000000" w:themeColor="text1"/>
        </w:rPr>
        <w:t xml:space="preserve">ational Foundation for </w:t>
      </w:r>
      <w:r w:rsidRPr="00FB51A2">
        <w:rPr>
          <w:rFonts w:cs="TimesNewRoman,BoldItalic"/>
          <w:bCs/>
          <w:iCs/>
          <w:color w:val="000000" w:themeColor="text1"/>
        </w:rPr>
        <w:t>E</w:t>
      </w:r>
      <w:r w:rsidR="00807554">
        <w:rPr>
          <w:rFonts w:cs="TimesNewRoman,BoldItalic"/>
          <w:bCs/>
          <w:iCs/>
          <w:color w:val="000000" w:themeColor="text1"/>
        </w:rPr>
        <w:t xml:space="preserve">ducational </w:t>
      </w:r>
      <w:r w:rsidRPr="00FB51A2">
        <w:rPr>
          <w:rFonts w:cs="TimesNewRoman,BoldItalic"/>
          <w:bCs/>
          <w:iCs/>
          <w:color w:val="000000" w:themeColor="text1"/>
        </w:rPr>
        <w:t>R</w:t>
      </w:r>
      <w:r w:rsidR="00807554">
        <w:rPr>
          <w:rFonts w:cs="TimesNewRoman,BoldItalic"/>
          <w:bCs/>
          <w:iCs/>
          <w:color w:val="000000" w:themeColor="text1"/>
        </w:rPr>
        <w:t>esearch</w:t>
      </w:r>
      <w:r w:rsidRPr="00FB51A2">
        <w:rPr>
          <w:rFonts w:cs="TimesNewRoman,BoldItalic"/>
          <w:bCs/>
          <w:iCs/>
          <w:color w:val="000000" w:themeColor="text1"/>
        </w:rPr>
        <w:t>.</w:t>
      </w:r>
    </w:p>
    <w:p w:rsidR="00AD5F98" w:rsidRPr="00FB51A2" w:rsidRDefault="00807554" w:rsidP="00FB51A2">
      <w:pPr>
        <w:spacing w:line="360" w:lineRule="auto"/>
        <w:ind w:left="426" w:hanging="426"/>
        <w:rPr>
          <w:rFonts w:cs="TimesNewRoman,BoldItalic"/>
          <w:bCs/>
          <w:iCs/>
          <w:color w:val="000000" w:themeColor="text1"/>
        </w:rPr>
      </w:pPr>
      <w:proofErr w:type="spellStart"/>
      <w:r>
        <w:rPr>
          <w:rFonts w:cs="TimesNewRoman,BoldItalic"/>
          <w:bCs/>
          <w:iCs/>
          <w:color w:val="000000" w:themeColor="text1"/>
        </w:rPr>
        <w:t>Goodlad</w:t>
      </w:r>
      <w:proofErr w:type="spellEnd"/>
      <w:r>
        <w:rPr>
          <w:rFonts w:cs="TimesNewRoman,BoldItalic"/>
          <w:bCs/>
          <w:iCs/>
          <w:color w:val="000000" w:themeColor="text1"/>
        </w:rPr>
        <w:t>, S. (</w:t>
      </w:r>
      <w:proofErr w:type="spellStart"/>
      <w:r>
        <w:rPr>
          <w:rFonts w:cs="TimesNewRoman,BoldItalic"/>
          <w:bCs/>
          <w:iCs/>
          <w:color w:val="000000" w:themeColor="text1"/>
        </w:rPr>
        <w:t>ed</w:t>
      </w:r>
      <w:proofErr w:type="spellEnd"/>
      <w:r>
        <w:rPr>
          <w:rFonts w:cs="TimesNewRoman,BoldItalic"/>
          <w:bCs/>
          <w:iCs/>
          <w:color w:val="000000" w:themeColor="text1"/>
        </w:rPr>
        <w:t>) (1996)</w:t>
      </w:r>
      <w:r w:rsidR="002025AE" w:rsidRPr="00FB51A2">
        <w:rPr>
          <w:rFonts w:cs="TimesNewRoman,BoldItalic"/>
          <w:bCs/>
          <w:iCs/>
          <w:color w:val="000000" w:themeColor="text1"/>
        </w:rPr>
        <w:t xml:space="preserve"> </w:t>
      </w:r>
      <w:r w:rsidR="002025AE" w:rsidRPr="00FB51A2">
        <w:rPr>
          <w:rFonts w:cs="TimesNewRoman,BoldItalic"/>
          <w:bCs/>
          <w:i/>
          <w:iCs/>
          <w:color w:val="000000" w:themeColor="text1"/>
        </w:rPr>
        <w:t>Students at tutors and mentors</w:t>
      </w:r>
      <w:r w:rsidR="0025110B">
        <w:rPr>
          <w:rFonts w:cs="TimesNewRoman,BoldItalic"/>
          <w:bCs/>
          <w:iCs/>
          <w:color w:val="000000" w:themeColor="text1"/>
        </w:rPr>
        <w:t xml:space="preserve">, </w:t>
      </w:r>
      <w:r w:rsidR="002025AE" w:rsidRPr="00FB51A2">
        <w:rPr>
          <w:rFonts w:cs="TimesNewRoman,BoldItalic"/>
          <w:bCs/>
          <w:iCs/>
          <w:color w:val="000000" w:themeColor="text1"/>
        </w:rPr>
        <w:t xml:space="preserve">London: </w:t>
      </w:r>
      <w:proofErr w:type="spellStart"/>
      <w:r w:rsidR="002025AE" w:rsidRPr="00FB51A2">
        <w:rPr>
          <w:rFonts w:cs="TimesNewRoman,BoldItalic"/>
          <w:bCs/>
          <w:iCs/>
          <w:color w:val="000000" w:themeColor="text1"/>
        </w:rPr>
        <w:t>Kogan</w:t>
      </w:r>
      <w:proofErr w:type="spellEnd"/>
      <w:r w:rsidR="002025AE" w:rsidRPr="00FB51A2">
        <w:rPr>
          <w:rFonts w:cs="TimesNewRoman,BoldItalic"/>
          <w:bCs/>
          <w:iCs/>
          <w:color w:val="000000" w:themeColor="text1"/>
        </w:rPr>
        <w:t xml:space="preserve"> Page.</w:t>
      </w:r>
    </w:p>
    <w:p w:rsidR="00E61530" w:rsidRPr="00FB51A2" w:rsidRDefault="00AD5F98" w:rsidP="00FB51A2">
      <w:pPr>
        <w:spacing w:line="360" w:lineRule="auto"/>
        <w:ind w:left="426" w:hanging="426"/>
        <w:rPr>
          <w:rFonts w:cs="Helvetica"/>
        </w:rPr>
      </w:pPr>
      <w:proofErr w:type="spellStart"/>
      <w:r w:rsidRPr="00FB51A2">
        <w:rPr>
          <w:rFonts w:cs="Helvetica"/>
        </w:rPr>
        <w:t>Gorard</w:t>
      </w:r>
      <w:proofErr w:type="spellEnd"/>
      <w:r w:rsidRPr="00FB51A2">
        <w:rPr>
          <w:rFonts w:cs="Helvetica"/>
        </w:rPr>
        <w:t xml:space="preserve">, S., Smith, </w:t>
      </w:r>
      <w:r w:rsidR="00807554">
        <w:rPr>
          <w:rFonts w:cs="Helvetica"/>
        </w:rPr>
        <w:t xml:space="preserve">E., </w:t>
      </w:r>
      <w:r w:rsidRPr="00FB51A2">
        <w:rPr>
          <w:rFonts w:cs="Helvetica"/>
        </w:rPr>
        <w:t>Thomas</w:t>
      </w:r>
      <w:r w:rsidR="00807554">
        <w:rPr>
          <w:rFonts w:cs="Helvetica"/>
        </w:rPr>
        <w:t>, L.</w:t>
      </w:r>
      <w:r w:rsidRPr="00FB51A2">
        <w:rPr>
          <w:rFonts w:cs="Helvetica"/>
        </w:rPr>
        <w:t xml:space="preserve">, </w:t>
      </w:r>
      <w:proofErr w:type="spellStart"/>
      <w:r w:rsidRPr="00FB51A2">
        <w:rPr>
          <w:rFonts w:cs="Helvetica"/>
        </w:rPr>
        <w:t>Adnett</w:t>
      </w:r>
      <w:proofErr w:type="spellEnd"/>
      <w:r w:rsidR="00807554">
        <w:rPr>
          <w:rFonts w:cs="Helvetica"/>
        </w:rPr>
        <w:t>, N.</w:t>
      </w:r>
      <w:r w:rsidRPr="00FB51A2">
        <w:rPr>
          <w:rFonts w:cs="Helvetica"/>
        </w:rPr>
        <w:t xml:space="preserve"> and Slack</w:t>
      </w:r>
      <w:r w:rsidR="00807554">
        <w:rPr>
          <w:rFonts w:cs="Helvetica"/>
        </w:rPr>
        <w:t>, K.</w:t>
      </w:r>
      <w:r w:rsidRPr="00FB51A2">
        <w:rPr>
          <w:rFonts w:cs="Helvetica"/>
        </w:rPr>
        <w:t xml:space="preserve"> (2006) </w:t>
      </w:r>
      <w:r w:rsidRPr="00FB51A2">
        <w:rPr>
          <w:rFonts w:cs="Helvetica-Oblique"/>
          <w:i/>
          <w:iCs/>
        </w:rPr>
        <w:t xml:space="preserve">Review of widening participation research: addressing the barriers to participation in </w:t>
      </w:r>
      <w:r w:rsidR="00CA75C1" w:rsidRPr="00FB51A2">
        <w:rPr>
          <w:rFonts w:cs="Helvetica-Oblique"/>
          <w:i/>
          <w:iCs/>
        </w:rPr>
        <w:t>higher education</w:t>
      </w:r>
      <w:r w:rsidR="0025110B" w:rsidRPr="0025110B">
        <w:rPr>
          <w:rFonts w:cs="Helvetica-Oblique"/>
          <w:iCs/>
        </w:rPr>
        <w:t>, B</w:t>
      </w:r>
      <w:r w:rsidRPr="00FB51A2">
        <w:rPr>
          <w:rFonts w:cs="Helvetica"/>
        </w:rPr>
        <w:t xml:space="preserve">ristol: </w:t>
      </w:r>
      <w:r w:rsidR="0025110B">
        <w:rPr>
          <w:rFonts w:cs="Helvetica"/>
        </w:rPr>
        <w:t>Higher Education Funding Council for England</w:t>
      </w:r>
      <w:r w:rsidRPr="00FB51A2">
        <w:rPr>
          <w:rFonts w:cs="Helvetica"/>
        </w:rPr>
        <w:t>.</w:t>
      </w:r>
    </w:p>
    <w:p w:rsidR="004506C0" w:rsidRPr="00FB51A2" w:rsidRDefault="00E61530" w:rsidP="00FB51A2">
      <w:pPr>
        <w:autoSpaceDE w:val="0"/>
        <w:autoSpaceDN w:val="0"/>
        <w:adjustRightInd w:val="0"/>
        <w:spacing w:line="360" w:lineRule="auto"/>
        <w:ind w:left="425" w:hanging="425"/>
        <w:rPr>
          <w:rFonts w:cs="Arial"/>
          <w:bCs/>
        </w:rPr>
      </w:pPr>
      <w:proofErr w:type="spellStart"/>
      <w:r w:rsidRPr="00FB51A2">
        <w:rPr>
          <w:rFonts w:eastAsia="Calibri" w:cs="Arial"/>
        </w:rPr>
        <w:t>Gorard</w:t>
      </w:r>
      <w:proofErr w:type="spellEnd"/>
      <w:r w:rsidRPr="00FB51A2">
        <w:rPr>
          <w:rFonts w:eastAsia="Calibri" w:cs="Arial"/>
        </w:rPr>
        <w:t xml:space="preserve">, S., </w:t>
      </w:r>
      <w:proofErr w:type="spellStart"/>
      <w:r w:rsidRPr="00FB51A2">
        <w:rPr>
          <w:rFonts w:eastAsia="Calibri" w:cs="Arial"/>
        </w:rPr>
        <w:t>Adnett</w:t>
      </w:r>
      <w:proofErr w:type="spellEnd"/>
      <w:r w:rsidRPr="00FB51A2">
        <w:rPr>
          <w:rFonts w:eastAsia="Calibri" w:cs="Arial"/>
        </w:rPr>
        <w:t xml:space="preserve">, </w:t>
      </w:r>
      <w:r w:rsidR="00807554">
        <w:rPr>
          <w:rFonts w:eastAsia="Calibri" w:cs="Arial"/>
        </w:rPr>
        <w:t xml:space="preserve">N., </w:t>
      </w:r>
      <w:r w:rsidRPr="00FB51A2">
        <w:rPr>
          <w:rFonts w:eastAsia="Calibri" w:cs="Arial"/>
        </w:rPr>
        <w:t xml:space="preserve">May, </w:t>
      </w:r>
      <w:r w:rsidR="00807554">
        <w:rPr>
          <w:rFonts w:eastAsia="Calibri" w:cs="Arial"/>
        </w:rPr>
        <w:t xml:space="preserve">H., </w:t>
      </w:r>
      <w:r w:rsidRPr="00FB51A2">
        <w:rPr>
          <w:rFonts w:eastAsia="Calibri" w:cs="Arial"/>
        </w:rPr>
        <w:t xml:space="preserve">Slack, </w:t>
      </w:r>
      <w:r w:rsidR="00807554">
        <w:rPr>
          <w:rFonts w:eastAsia="Calibri" w:cs="Arial"/>
        </w:rPr>
        <w:t xml:space="preserve">K., </w:t>
      </w:r>
      <w:r w:rsidRPr="00FB51A2">
        <w:rPr>
          <w:rFonts w:eastAsia="Calibri" w:cs="Arial"/>
        </w:rPr>
        <w:t>Smith</w:t>
      </w:r>
      <w:r w:rsidR="00807554">
        <w:rPr>
          <w:rFonts w:eastAsia="Calibri" w:cs="Arial"/>
        </w:rPr>
        <w:t>, E.</w:t>
      </w:r>
      <w:r w:rsidRPr="00FB51A2">
        <w:rPr>
          <w:rFonts w:eastAsia="Calibri" w:cs="Arial"/>
        </w:rPr>
        <w:t xml:space="preserve"> and Thomas</w:t>
      </w:r>
      <w:r w:rsidR="00807554">
        <w:rPr>
          <w:rFonts w:eastAsia="Calibri" w:cs="Arial"/>
        </w:rPr>
        <w:t>, L. (2007)</w:t>
      </w:r>
      <w:r w:rsidRPr="00FB51A2">
        <w:rPr>
          <w:rFonts w:eastAsia="Calibri" w:cs="Arial"/>
        </w:rPr>
        <w:t xml:space="preserve"> </w:t>
      </w:r>
      <w:r w:rsidRPr="00FB51A2">
        <w:rPr>
          <w:rFonts w:eastAsia="Calibri" w:cs="Arial"/>
          <w:i/>
        </w:rPr>
        <w:t>Overcoming the barriers to higher education</w:t>
      </w:r>
      <w:r w:rsidR="0025110B">
        <w:rPr>
          <w:rFonts w:eastAsia="Calibri" w:cs="Arial"/>
        </w:rPr>
        <w:t xml:space="preserve">, </w:t>
      </w:r>
      <w:r w:rsidRPr="00FB51A2">
        <w:rPr>
          <w:rFonts w:eastAsia="Calibri" w:cs="Arial"/>
        </w:rPr>
        <w:t xml:space="preserve">Stoke-on-Trent: </w:t>
      </w:r>
      <w:proofErr w:type="spellStart"/>
      <w:r w:rsidRPr="00FB51A2">
        <w:rPr>
          <w:rFonts w:eastAsia="Calibri" w:cs="Arial"/>
        </w:rPr>
        <w:t>Trentham</w:t>
      </w:r>
      <w:proofErr w:type="spellEnd"/>
      <w:r w:rsidRPr="00FB51A2">
        <w:rPr>
          <w:rFonts w:eastAsia="Calibri" w:cs="Arial"/>
        </w:rPr>
        <w:t xml:space="preserve"> Books.</w:t>
      </w:r>
      <w:r w:rsidR="004506C0" w:rsidRPr="00FB51A2">
        <w:rPr>
          <w:i/>
          <w:iCs/>
          <w:color w:val="000000" w:themeColor="text1"/>
        </w:rPr>
        <w:t xml:space="preserve"> </w:t>
      </w:r>
    </w:p>
    <w:p w:rsidR="00B254B7" w:rsidRDefault="00B254B7" w:rsidP="00FB51A2">
      <w:pPr>
        <w:spacing w:line="360" w:lineRule="auto"/>
        <w:ind w:left="426" w:hanging="426"/>
        <w:rPr>
          <w:rFonts w:eastAsia="Times New Roman" w:cs="Times New Roman"/>
          <w:bCs/>
          <w:kern w:val="36"/>
          <w:lang w:eastAsia="en-GB"/>
        </w:rPr>
      </w:pPr>
      <w:r w:rsidRPr="00FB51A2">
        <w:rPr>
          <w:rFonts w:cs="TimesNewRoman,BoldItalic"/>
          <w:bCs/>
          <w:iCs/>
          <w:color w:val="000000" w:themeColor="text1"/>
        </w:rPr>
        <w:t>Hargreaves, D</w:t>
      </w:r>
      <w:r w:rsidR="00807554">
        <w:rPr>
          <w:rFonts w:cs="TimesNewRoman,BoldItalic"/>
          <w:bCs/>
          <w:iCs/>
          <w:color w:val="000000" w:themeColor="text1"/>
        </w:rPr>
        <w:t>.</w:t>
      </w:r>
      <w:r w:rsidRPr="00FB51A2">
        <w:rPr>
          <w:rFonts w:cs="TimesNewRoman,BoldItalic"/>
          <w:bCs/>
          <w:iCs/>
          <w:color w:val="000000" w:themeColor="text1"/>
        </w:rPr>
        <w:t xml:space="preserve"> (1999) </w:t>
      </w:r>
      <w:r w:rsidRPr="00FB51A2">
        <w:rPr>
          <w:rFonts w:eastAsia="Times New Roman" w:cs="Times New Roman"/>
          <w:bCs/>
          <w:kern w:val="36"/>
          <w:lang w:eastAsia="en-GB"/>
        </w:rPr>
        <w:t>Revitalising educational research: lessons from the pas</w:t>
      </w:r>
      <w:r w:rsidR="0025110B">
        <w:rPr>
          <w:rFonts w:eastAsia="Times New Roman" w:cs="Times New Roman"/>
          <w:bCs/>
          <w:kern w:val="36"/>
          <w:lang w:eastAsia="en-GB"/>
        </w:rPr>
        <w:t>t and proposals for the future,</w:t>
      </w:r>
      <w:r w:rsidRPr="00FB51A2">
        <w:rPr>
          <w:rFonts w:eastAsia="Times New Roman" w:cs="Times New Roman"/>
          <w:bCs/>
          <w:kern w:val="36"/>
          <w:lang w:eastAsia="en-GB"/>
        </w:rPr>
        <w:t xml:space="preserve"> </w:t>
      </w:r>
      <w:r w:rsidRPr="00FB51A2">
        <w:rPr>
          <w:rFonts w:eastAsia="Times New Roman" w:cs="Times New Roman"/>
          <w:bCs/>
          <w:i/>
          <w:kern w:val="36"/>
          <w:lang w:eastAsia="en-GB"/>
        </w:rPr>
        <w:t>Cambridge Journal of Education</w:t>
      </w:r>
      <w:r w:rsidRPr="00FB51A2">
        <w:rPr>
          <w:rFonts w:eastAsia="Times New Roman" w:cs="Times New Roman"/>
          <w:bCs/>
          <w:kern w:val="36"/>
          <w:lang w:eastAsia="en-GB"/>
        </w:rPr>
        <w:t xml:space="preserve"> 29</w:t>
      </w:r>
      <w:r w:rsidR="00B23196">
        <w:rPr>
          <w:rFonts w:eastAsia="Times New Roman" w:cs="Times New Roman"/>
          <w:bCs/>
          <w:kern w:val="36"/>
          <w:lang w:eastAsia="en-GB"/>
        </w:rPr>
        <w:t>, 2</w:t>
      </w:r>
      <w:r w:rsidRPr="00FB51A2">
        <w:rPr>
          <w:rFonts w:eastAsia="Times New Roman" w:cs="Times New Roman"/>
          <w:bCs/>
          <w:kern w:val="36"/>
          <w:lang w:eastAsia="en-GB"/>
        </w:rPr>
        <w:t>: 239-249.</w:t>
      </w:r>
    </w:p>
    <w:p w:rsidR="00E92BA7" w:rsidRPr="00E92BA7" w:rsidRDefault="00E92BA7" w:rsidP="00E92BA7">
      <w:pPr>
        <w:spacing w:line="360" w:lineRule="auto"/>
        <w:ind w:left="425" w:hanging="425"/>
        <w:rPr>
          <w:bCs/>
          <w:i/>
          <w:color w:val="000000" w:themeColor="text1"/>
        </w:rPr>
      </w:pPr>
      <w:r>
        <w:rPr>
          <w:rFonts w:ascii="Calibri" w:hAnsi="Calibri"/>
          <w:bCs/>
        </w:rPr>
        <w:t>Harrison, N. (i</w:t>
      </w:r>
      <w:r w:rsidRPr="00FE485C">
        <w:rPr>
          <w:rFonts w:ascii="Calibri" w:hAnsi="Calibri"/>
          <w:bCs/>
        </w:rPr>
        <w:t>n press</w:t>
      </w:r>
      <w:r>
        <w:rPr>
          <w:rFonts w:ascii="Calibri" w:hAnsi="Calibri"/>
          <w:bCs/>
        </w:rPr>
        <w:t xml:space="preserve">) </w:t>
      </w:r>
      <w:r w:rsidRPr="00FE485C">
        <w:rPr>
          <w:bCs/>
        </w:rPr>
        <w:t>Modelling the demand for higher education by local authority area in England using academic, economic and social data</w:t>
      </w:r>
      <w:r>
        <w:rPr>
          <w:bCs/>
        </w:rPr>
        <w:t xml:space="preserve">, </w:t>
      </w:r>
      <w:r w:rsidRPr="003572C9">
        <w:rPr>
          <w:rFonts w:cstheme="minorHAnsi"/>
          <w:bCs/>
          <w:i/>
        </w:rPr>
        <w:t>British Educational Research Journal</w:t>
      </w:r>
      <w:r>
        <w:rPr>
          <w:rFonts w:cstheme="minorHAnsi"/>
          <w:bCs/>
        </w:rPr>
        <w:t xml:space="preserve"> (awaiting publication)</w:t>
      </w:r>
      <w:r w:rsidRPr="003572C9">
        <w:rPr>
          <w:rFonts w:cstheme="minorHAnsi"/>
          <w:bCs/>
        </w:rPr>
        <w:t>.</w:t>
      </w:r>
    </w:p>
    <w:p w:rsidR="003572C9" w:rsidRDefault="00E92BA7" w:rsidP="003572C9">
      <w:pPr>
        <w:spacing w:line="360" w:lineRule="auto"/>
        <w:ind w:left="425" w:hanging="425"/>
        <w:rPr>
          <w:bCs/>
          <w:color w:val="000000" w:themeColor="text1"/>
        </w:rPr>
      </w:pPr>
      <w:r>
        <w:rPr>
          <w:color w:val="000000" w:themeColor="text1"/>
        </w:rPr>
        <w:t xml:space="preserve">Harrison, N. </w:t>
      </w:r>
      <w:r w:rsidR="008C7816">
        <w:rPr>
          <w:color w:val="000000" w:themeColor="text1"/>
        </w:rPr>
        <w:t>(</w:t>
      </w:r>
      <w:r>
        <w:rPr>
          <w:color w:val="000000" w:themeColor="text1"/>
        </w:rPr>
        <w:t>2012</w:t>
      </w:r>
      <w:r w:rsidR="008C7816">
        <w:rPr>
          <w:color w:val="000000" w:themeColor="text1"/>
        </w:rPr>
        <w:t>)</w:t>
      </w:r>
      <w:r w:rsidR="003E711E" w:rsidRPr="00FB51A2">
        <w:rPr>
          <w:color w:val="000000" w:themeColor="text1"/>
        </w:rPr>
        <w:t xml:space="preserve"> </w:t>
      </w:r>
      <w:r w:rsidR="003E711E" w:rsidRPr="00FB51A2">
        <w:rPr>
          <w:bCs/>
          <w:color w:val="000000" w:themeColor="text1"/>
        </w:rPr>
        <w:t xml:space="preserve">The </w:t>
      </w:r>
      <w:proofErr w:type="spellStart"/>
      <w:r w:rsidR="003E711E" w:rsidRPr="00FB51A2">
        <w:rPr>
          <w:bCs/>
          <w:color w:val="000000" w:themeColor="text1"/>
        </w:rPr>
        <w:t>mismeasure</w:t>
      </w:r>
      <w:proofErr w:type="spellEnd"/>
      <w:r w:rsidR="003E711E" w:rsidRPr="00FB51A2">
        <w:rPr>
          <w:bCs/>
          <w:color w:val="000000" w:themeColor="text1"/>
        </w:rPr>
        <w:t xml:space="preserve"> of participation: how choosing the ‘wrong’ statistic helpe</w:t>
      </w:r>
      <w:r w:rsidR="0025110B">
        <w:rPr>
          <w:bCs/>
          <w:color w:val="000000" w:themeColor="text1"/>
        </w:rPr>
        <w:t xml:space="preserve">d seal the fate of Aimhigher, </w:t>
      </w:r>
      <w:r w:rsidR="003E711E" w:rsidRPr="00FB51A2">
        <w:rPr>
          <w:bCs/>
          <w:i/>
          <w:color w:val="000000" w:themeColor="text1"/>
        </w:rPr>
        <w:t>Higher Education Review</w:t>
      </w:r>
      <w:r w:rsidR="0025110B">
        <w:rPr>
          <w:bCs/>
          <w:i/>
          <w:color w:val="000000" w:themeColor="text1"/>
        </w:rPr>
        <w:t xml:space="preserve"> </w:t>
      </w:r>
      <w:r>
        <w:rPr>
          <w:bCs/>
          <w:color w:val="000000" w:themeColor="text1"/>
        </w:rPr>
        <w:t>45, 1: 30-61.</w:t>
      </w:r>
    </w:p>
    <w:p w:rsidR="00E92BA7" w:rsidRPr="00FB51A2" w:rsidRDefault="00E92BA7" w:rsidP="00E92BA7">
      <w:pPr>
        <w:autoSpaceDE w:val="0"/>
        <w:autoSpaceDN w:val="0"/>
        <w:adjustRightInd w:val="0"/>
        <w:spacing w:line="360" w:lineRule="auto"/>
        <w:ind w:left="426" w:hanging="426"/>
      </w:pPr>
      <w:r w:rsidRPr="00FB51A2">
        <w:t xml:space="preserve">Harrison, N. </w:t>
      </w:r>
      <w:r>
        <w:t>and Hatt, S.</w:t>
      </w:r>
      <w:r w:rsidRPr="00FB51A2">
        <w:t xml:space="preserve"> </w:t>
      </w:r>
      <w:r>
        <w:t>(</w:t>
      </w:r>
      <w:r w:rsidRPr="00FB51A2">
        <w:t>2010</w:t>
      </w:r>
      <w:r>
        <w:t xml:space="preserve">) </w:t>
      </w:r>
      <w:r w:rsidRPr="00FB51A2">
        <w:t>‘Disadvantaged learners’: who are we targeting?  Understanding the targeting of widening participation activity using geo-demograph</w:t>
      </w:r>
      <w:r>
        <w:t>ic data from Southwest England,</w:t>
      </w:r>
      <w:r w:rsidRPr="00FB51A2">
        <w:t xml:space="preserve"> </w:t>
      </w:r>
      <w:r w:rsidRPr="00FB51A2">
        <w:rPr>
          <w:i/>
        </w:rPr>
        <w:t>Higher Education Quarterly</w:t>
      </w:r>
      <w:r w:rsidRPr="00FB51A2">
        <w:t xml:space="preserve"> 64</w:t>
      </w:r>
      <w:r>
        <w:t>, 1</w:t>
      </w:r>
      <w:r w:rsidRPr="00FB51A2">
        <w:t>: 65-88.</w:t>
      </w:r>
    </w:p>
    <w:p w:rsidR="00E92BA7" w:rsidRPr="00E92BA7" w:rsidRDefault="00E92BA7" w:rsidP="00E92BA7">
      <w:pPr>
        <w:autoSpaceDE w:val="0"/>
        <w:autoSpaceDN w:val="0"/>
        <w:adjustRightInd w:val="0"/>
        <w:spacing w:line="360" w:lineRule="auto"/>
        <w:ind w:left="426" w:hanging="426"/>
        <w:rPr>
          <w:rFonts w:cs="Arial"/>
          <w:bCs/>
        </w:rPr>
      </w:pPr>
      <w:r w:rsidRPr="00FB51A2">
        <w:t xml:space="preserve">Harrison, N. </w:t>
      </w:r>
      <w:r>
        <w:t xml:space="preserve">and </w:t>
      </w:r>
      <w:r w:rsidRPr="00FB51A2">
        <w:t>Hatt</w:t>
      </w:r>
      <w:r>
        <w:t>, S. (20</w:t>
      </w:r>
      <w:r w:rsidR="007458A4">
        <w:t>09a</w:t>
      </w:r>
      <w:r>
        <w:t>)</w:t>
      </w:r>
      <w:r w:rsidRPr="00FB51A2">
        <w:t xml:space="preserve"> </w:t>
      </w:r>
      <w:r w:rsidRPr="00FB51A2">
        <w:rPr>
          <w:rFonts w:cs="Arial"/>
          <w:bCs/>
        </w:rPr>
        <w:t>Knowing the ‘unknowns’: investigating the students whose social class is not know</w:t>
      </w:r>
      <w:r>
        <w:rPr>
          <w:rFonts w:cs="Arial"/>
          <w:bCs/>
        </w:rPr>
        <w:t>n at entry to higher education,</w:t>
      </w:r>
      <w:r w:rsidRPr="00FB51A2">
        <w:rPr>
          <w:rFonts w:cs="Arial"/>
          <w:bCs/>
        </w:rPr>
        <w:t xml:space="preserve"> </w:t>
      </w:r>
      <w:r w:rsidRPr="00FB51A2">
        <w:rPr>
          <w:rFonts w:cs="Arial"/>
          <w:bCs/>
          <w:i/>
        </w:rPr>
        <w:t xml:space="preserve">Journal of Further </w:t>
      </w:r>
      <w:r>
        <w:rPr>
          <w:rFonts w:cs="Arial"/>
          <w:bCs/>
          <w:i/>
        </w:rPr>
        <w:t>and</w:t>
      </w:r>
      <w:r w:rsidRPr="00FB51A2">
        <w:rPr>
          <w:rFonts w:cs="Arial"/>
          <w:bCs/>
          <w:i/>
        </w:rPr>
        <w:t xml:space="preserve"> Higher Education</w:t>
      </w:r>
      <w:r w:rsidRPr="00FB51A2">
        <w:rPr>
          <w:rFonts w:cs="Arial"/>
          <w:bCs/>
        </w:rPr>
        <w:t xml:space="preserve"> 33</w:t>
      </w:r>
      <w:r>
        <w:rPr>
          <w:rFonts w:cs="Arial"/>
          <w:bCs/>
        </w:rPr>
        <w:t>, 4</w:t>
      </w:r>
      <w:r w:rsidRPr="00FB51A2">
        <w:rPr>
          <w:rFonts w:cs="Arial"/>
          <w:bCs/>
        </w:rPr>
        <w:t>: 347-357.</w:t>
      </w:r>
    </w:p>
    <w:p w:rsidR="0011200D" w:rsidRPr="00FB51A2" w:rsidRDefault="0011200D" w:rsidP="00FB51A2">
      <w:pPr>
        <w:autoSpaceDE w:val="0"/>
        <w:autoSpaceDN w:val="0"/>
        <w:adjustRightInd w:val="0"/>
        <w:spacing w:line="360" w:lineRule="auto"/>
        <w:ind w:left="426" w:hanging="426"/>
      </w:pPr>
      <w:r w:rsidRPr="00FB51A2">
        <w:rPr>
          <w:rFonts w:cs="Arial"/>
        </w:rPr>
        <w:t xml:space="preserve">Harrison, N. </w:t>
      </w:r>
      <w:r w:rsidR="006C1C87">
        <w:rPr>
          <w:rFonts w:cs="Arial"/>
        </w:rPr>
        <w:t>and</w:t>
      </w:r>
      <w:r w:rsidRPr="00FB51A2">
        <w:rPr>
          <w:rFonts w:cs="Arial"/>
        </w:rPr>
        <w:t xml:space="preserve"> Hatt</w:t>
      </w:r>
      <w:r w:rsidR="008C7816">
        <w:rPr>
          <w:rFonts w:cs="Arial"/>
        </w:rPr>
        <w:t>, S. (2009</w:t>
      </w:r>
      <w:r w:rsidR="007458A4">
        <w:rPr>
          <w:rFonts w:cs="Arial"/>
        </w:rPr>
        <w:t>b</w:t>
      </w:r>
      <w:r w:rsidR="008C7816">
        <w:rPr>
          <w:rFonts w:cs="Arial"/>
        </w:rPr>
        <w:t>)</w:t>
      </w:r>
      <w:r w:rsidRPr="00FB51A2">
        <w:rPr>
          <w:rFonts w:cs="Arial"/>
        </w:rPr>
        <w:t xml:space="preserve"> </w:t>
      </w:r>
      <w:r w:rsidRPr="00FB51A2">
        <w:t>“Targeting disadvantaged learners”: will we really narrow the social class gap in participation by targeting our most deprived communities first?</w:t>
      </w:r>
      <w:r w:rsidR="0025110B">
        <w:t>,</w:t>
      </w:r>
      <w:r w:rsidRPr="00FB51A2">
        <w:t xml:space="preserve"> </w:t>
      </w:r>
      <w:r w:rsidRPr="00FB51A2">
        <w:rPr>
          <w:i/>
        </w:rPr>
        <w:t>Journal of Access Policy and Practice</w:t>
      </w:r>
      <w:r w:rsidRPr="00FB51A2">
        <w:t xml:space="preserve"> 6</w:t>
      </w:r>
      <w:r w:rsidR="008C7816">
        <w:t>, 2</w:t>
      </w:r>
      <w:r w:rsidRPr="00FB51A2">
        <w:t>: 61-80.</w:t>
      </w:r>
    </w:p>
    <w:p w:rsidR="00C35BDD" w:rsidRPr="00FB51A2" w:rsidRDefault="00C35BDD" w:rsidP="00FB51A2">
      <w:pPr>
        <w:spacing w:line="360" w:lineRule="auto"/>
        <w:ind w:left="426" w:hanging="426"/>
        <w:rPr>
          <w:color w:val="000000" w:themeColor="text1"/>
        </w:rPr>
      </w:pPr>
      <w:r w:rsidRPr="00FB51A2">
        <w:rPr>
          <w:color w:val="000000" w:themeColor="text1"/>
        </w:rPr>
        <w:t>Hatt, S</w:t>
      </w:r>
      <w:r w:rsidR="00233E49">
        <w:rPr>
          <w:color w:val="000000" w:themeColor="text1"/>
        </w:rPr>
        <w:t>.</w:t>
      </w:r>
      <w:r w:rsidRPr="00FB51A2">
        <w:rPr>
          <w:color w:val="000000" w:themeColor="text1"/>
        </w:rPr>
        <w:t>, Baxter, A</w:t>
      </w:r>
      <w:r w:rsidR="00233E49">
        <w:rPr>
          <w:color w:val="000000" w:themeColor="text1"/>
        </w:rPr>
        <w:t>.</w:t>
      </w:r>
      <w:r w:rsidRPr="00FB51A2">
        <w:rPr>
          <w:color w:val="000000" w:themeColor="text1"/>
        </w:rPr>
        <w:t xml:space="preserve"> and Tate, J</w:t>
      </w:r>
      <w:r w:rsidR="00233E49">
        <w:rPr>
          <w:color w:val="000000" w:themeColor="text1"/>
        </w:rPr>
        <w:t>.</w:t>
      </w:r>
      <w:r w:rsidRPr="00FB51A2">
        <w:rPr>
          <w:color w:val="000000" w:themeColor="text1"/>
        </w:rPr>
        <w:t xml:space="preserve"> (2005) Who benefits from widening participation? A study of targetin</w:t>
      </w:r>
      <w:r w:rsidR="0025110B">
        <w:rPr>
          <w:color w:val="000000" w:themeColor="text1"/>
        </w:rPr>
        <w:t>g in the South West of England,</w:t>
      </w:r>
      <w:r w:rsidRPr="00FB51A2">
        <w:rPr>
          <w:color w:val="000000" w:themeColor="text1"/>
        </w:rPr>
        <w:t xml:space="preserve"> </w:t>
      </w:r>
      <w:r w:rsidRPr="00FB51A2">
        <w:rPr>
          <w:i/>
          <w:color w:val="000000" w:themeColor="text1"/>
        </w:rPr>
        <w:t>Journal of Further and Higher Education</w:t>
      </w:r>
      <w:r w:rsidRPr="00FB51A2">
        <w:rPr>
          <w:color w:val="000000" w:themeColor="text1"/>
        </w:rPr>
        <w:t xml:space="preserve"> 29</w:t>
      </w:r>
      <w:r w:rsidR="00233E49">
        <w:rPr>
          <w:color w:val="000000" w:themeColor="text1"/>
        </w:rPr>
        <w:t>, 4</w:t>
      </w:r>
      <w:r w:rsidRPr="00FB51A2">
        <w:rPr>
          <w:color w:val="000000" w:themeColor="text1"/>
        </w:rPr>
        <w:t>: 341-351.</w:t>
      </w:r>
    </w:p>
    <w:p w:rsidR="00B9449C" w:rsidRPr="00FB51A2" w:rsidRDefault="00B9449C" w:rsidP="00FB51A2">
      <w:pPr>
        <w:spacing w:line="360" w:lineRule="auto"/>
        <w:ind w:left="426" w:hanging="426"/>
        <w:rPr>
          <w:color w:val="000000" w:themeColor="text1"/>
        </w:rPr>
      </w:pPr>
      <w:r w:rsidRPr="00FB51A2">
        <w:rPr>
          <w:color w:val="000000" w:themeColor="text1"/>
        </w:rPr>
        <w:t>Hatt, S</w:t>
      </w:r>
      <w:r w:rsidR="00233E49">
        <w:rPr>
          <w:color w:val="000000" w:themeColor="text1"/>
        </w:rPr>
        <w:t>.</w:t>
      </w:r>
      <w:r w:rsidRPr="00FB51A2">
        <w:rPr>
          <w:color w:val="000000" w:themeColor="text1"/>
        </w:rPr>
        <w:t>, Baxter, A</w:t>
      </w:r>
      <w:r w:rsidR="00233E49">
        <w:rPr>
          <w:color w:val="000000" w:themeColor="text1"/>
        </w:rPr>
        <w:t>.</w:t>
      </w:r>
      <w:r w:rsidRPr="00FB51A2">
        <w:rPr>
          <w:color w:val="000000" w:themeColor="text1"/>
        </w:rPr>
        <w:t xml:space="preserve"> and Tate, J</w:t>
      </w:r>
      <w:r w:rsidR="00233E49">
        <w:rPr>
          <w:color w:val="000000" w:themeColor="text1"/>
        </w:rPr>
        <w:t>.</w:t>
      </w:r>
      <w:r w:rsidRPr="00FB51A2">
        <w:rPr>
          <w:color w:val="000000" w:themeColor="text1"/>
        </w:rPr>
        <w:t xml:space="preserve"> (2008) ‘The best government initiative in recent years’</w:t>
      </w:r>
      <w:r w:rsidR="0025110B">
        <w:rPr>
          <w:color w:val="000000" w:themeColor="text1"/>
        </w:rPr>
        <w:t>: t</w:t>
      </w:r>
      <w:r w:rsidRPr="00FB51A2">
        <w:rPr>
          <w:color w:val="000000" w:themeColor="text1"/>
        </w:rPr>
        <w:t>eachers' perceptions of the Aimhigher programm</w:t>
      </w:r>
      <w:r w:rsidR="0025110B">
        <w:rPr>
          <w:color w:val="000000" w:themeColor="text1"/>
        </w:rPr>
        <w:t>e in the South West of England,</w:t>
      </w:r>
      <w:r w:rsidRPr="00FB51A2">
        <w:rPr>
          <w:color w:val="000000" w:themeColor="text1"/>
        </w:rPr>
        <w:t xml:space="preserve"> </w:t>
      </w:r>
      <w:r w:rsidRPr="00FB51A2">
        <w:rPr>
          <w:i/>
          <w:color w:val="000000" w:themeColor="text1"/>
        </w:rPr>
        <w:t>Journal of Further and Higher Education</w:t>
      </w:r>
      <w:r w:rsidRPr="00FB51A2">
        <w:rPr>
          <w:color w:val="000000" w:themeColor="text1"/>
        </w:rPr>
        <w:t xml:space="preserve"> 32</w:t>
      </w:r>
      <w:r w:rsidR="00233E49">
        <w:rPr>
          <w:color w:val="000000" w:themeColor="text1"/>
        </w:rPr>
        <w:t>, 2</w:t>
      </w:r>
      <w:r w:rsidRPr="00FB51A2">
        <w:rPr>
          <w:color w:val="000000" w:themeColor="text1"/>
        </w:rPr>
        <w:t xml:space="preserve">: 129-138. </w:t>
      </w:r>
    </w:p>
    <w:p w:rsidR="00BF7483" w:rsidRPr="00FB51A2" w:rsidRDefault="003E711E" w:rsidP="00FB51A2">
      <w:pPr>
        <w:spacing w:line="360" w:lineRule="auto"/>
        <w:ind w:left="425" w:hanging="425"/>
        <w:rPr>
          <w:color w:val="000000" w:themeColor="text1"/>
        </w:rPr>
      </w:pPr>
      <w:r w:rsidRPr="00FB51A2">
        <w:rPr>
          <w:color w:val="000000" w:themeColor="text1"/>
        </w:rPr>
        <w:t xml:space="preserve">Higher Education Funding Council for England [HEFCE] (2004) </w:t>
      </w:r>
      <w:r w:rsidRPr="00FB51A2">
        <w:rPr>
          <w:i/>
          <w:iCs/>
          <w:color w:val="000000" w:themeColor="text1"/>
        </w:rPr>
        <w:t>Aimhigher: guidance notes for integration</w:t>
      </w:r>
      <w:r w:rsidR="0025110B">
        <w:rPr>
          <w:color w:val="000000" w:themeColor="text1"/>
        </w:rPr>
        <w:t xml:space="preserve">, Report 2004/08, </w:t>
      </w:r>
      <w:r w:rsidRPr="00FB51A2">
        <w:rPr>
          <w:color w:val="000000" w:themeColor="text1"/>
        </w:rPr>
        <w:t>Bristol: HEFCE.</w:t>
      </w:r>
    </w:p>
    <w:p w:rsidR="0011200D" w:rsidRPr="00FB51A2" w:rsidRDefault="0011200D" w:rsidP="00FB51A2">
      <w:pPr>
        <w:autoSpaceDE w:val="0"/>
        <w:autoSpaceDN w:val="0"/>
        <w:adjustRightInd w:val="0"/>
        <w:spacing w:line="360" w:lineRule="auto"/>
        <w:ind w:left="425" w:hanging="425"/>
        <w:rPr>
          <w:rFonts w:cs="Arial"/>
          <w:bCs/>
        </w:rPr>
      </w:pPr>
      <w:r w:rsidRPr="00FB51A2">
        <w:rPr>
          <w:rFonts w:cs="Arial"/>
          <w:bCs/>
        </w:rPr>
        <w:lastRenderedPageBreak/>
        <w:t>Higher Education Funding Council for England [HEFCE].  2005</w:t>
      </w:r>
      <w:r w:rsidRPr="00FB51A2">
        <w:rPr>
          <w:rFonts w:cs="Arial"/>
          <w:bCs/>
          <w:i/>
          <w:iCs/>
        </w:rPr>
        <w:t>. Young participation in higher education</w:t>
      </w:r>
      <w:r w:rsidR="0025110B">
        <w:rPr>
          <w:rFonts w:cs="Arial"/>
          <w:bCs/>
        </w:rPr>
        <w:t xml:space="preserve">, Report 2005/03, </w:t>
      </w:r>
      <w:r w:rsidRPr="00FB51A2">
        <w:rPr>
          <w:rFonts w:cs="Arial"/>
          <w:bCs/>
        </w:rPr>
        <w:t>Bristol: HEFCE.</w:t>
      </w:r>
    </w:p>
    <w:p w:rsidR="00122B29" w:rsidRPr="00FB51A2" w:rsidRDefault="003E711E" w:rsidP="00FB51A2">
      <w:pPr>
        <w:spacing w:line="360" w:lineRule="auto"/>
        <w:ind w:left="425" w:hanging="425"/>
        <w:rPr>
          <w:color w:val="000000" w:themeColor="text1"/>
        </w:rPr>
      </w:pPr>
      <w:r w:rsidRPr="00FB51A2">
        <w:rPr>
          <w:color w:val="000000" w:themeColor="text1"/>
        </w:rPr>
        <w:t xml:space="preserve">Higher Education Funding Council for England [HEFCE] (2007) </w:t>
      </w:r>
      <w:r w:rsidRPr="00FB51A2">
        <w:rPr>
          <w:i/>
          <w:iCs/>
          <w:color w:val="000000" w:themeColor="text1"/>
        </w:rPr>
        <w:t>Higher education outreach: targeting disadvantaged learners</w:t>
      </w:r>
      <w:r w:rsidR="0025110B">
        <w:rPr>
          <w:color w:val="000000" w:themeColor="text1"/>
        </w:rPr>
        <w:t>, Report 2007/12,</w:t>
      </w:r>
      <w:r w:rsidRPr="00FB51A2">
        <w:rPr>
          <w:color w:val="000000" w:themeColor="text1"/>
        </w:rPr>
        <w:t xml:space="preserve"> Bristol: HEFCE.</w:t>
      </w:r>
    </w:p>
    <w:p w:rsidR="00122B29" w:rsidRPr="00FB51A2" w:rsidRDefault="00122B29" w:rsidP="00FB51A2">
      <w:pPr>
        <w:spacing w:line="360" w:lineRule="auto"/>
        <w:ind w:left="425" w:hanging="425"/>
        <w:rPr>
          <w:color w:val="000000" w:themeColor="text1"/>
        </w:rPr>
      </w:pPr>
      <w:r w:rsidRPr="00FB51A2">
        <w:rPr>
          <w:color w:val="000000" w:themeColor="text1"/>
        </w:rPr>
        <w:t xml:space="preserve">Higher Education Funding Council for England [HEFCE] (2008) </w:t>
      </w:r>
      <w:r w:rsidRPr="00FB51A2">
        <w:rPr>
          <w:rFonts w:eastAsia="Times New Roman" w:cs="Times New Roman"/>
          <w:bCs/>
          <w:i/>
          <w:kern w:val="36"/>
          <w:lang w:eastAsia="en-GB"/>
        </w:rPr>
        <w:t xml:space="preserve">Guidance for Aimhigher partnerships: </w:t>
      </w:r>
      <w:r w:rsidR="00A707A6" w:rsidRPr="00FB51A2">
        <w:rPr>
          <w:rFonts w:eastAsia="Times New Roman" w:cs="Times New Roman"/>
          <w:bCs/>
          <w:i/>
          <w:kern w:val="36"/>
          <w:lang w:eastAsia="en-GB"/>
        </w:rPr>
        <w:t>u</w:t>
      </w:r>
      <w:r w:rsidRPr="00FB51A2">
        <w:rPr>
          <w:rFonts w:eastAsia="Times New Roman" w:cs="Times New Roman"/>
          <w:bCs/>
          <w:i/>
          <w:kern w:val="36"/>
          <w:lang w:eastAsia="en-GB"/>
        </w:rPr>
        <w:t>pdated for the 2008-2011 programme</w:t>
      </w:r>
      <w:r w:rsidR="0025110B">
        <w:rPr>
          <w:rFonts w:eastAsia="Times New Roman" w:cs="Times New Roman"/>
          <w:bCs/>
          <w:kern w:val="36"/>
          <w:lang w:eastAsia="en-GB"/>
        </w:rPr>
        <w:t>, Report 2008/05,</w:t>
      </w:r>
      <w:r w:rsidRPr="00FB51A2">
        <w:rPr>
          <w:rFonts w:eastAsia="Times New Roman" w:cs="Times New Roman"/>
          <w:bCs/>
          <w:kern w:val="36"/>
          <w:lang w:eastAsia="en-GB"/>
        </w:rPr>
        <w:t xml:space="preserve"> Bristol: HEFCE.</w:t>
      </w:r>
    </w:p>
    <w:p w:rsidR="00B0307A" w:rsidRPr="00FB51A2" w:rsidRDefault="00122B29" w:rsidP="00FB51A2">
      <w:pPr>
        <w:spacing w:line="360" w:lineRule="auto"/>
        <w:ind w:left="426" w:hanging="426"/>
        <w:rPr>
          <w:color w:val="000000" w:themeColor="text1"/>
        </w:rPr>
      </w:pPr>
      <w:r w:rsidRPr="00FB51A2">
        <w:rPr>
          <w:color w:val="000000" w:themeColor="text1"/>
        </w:rPr>
        <w:t xml:space="preserve">Higher Education Funding Council for England [HEFCE] (2010) </w:t>
      </w:r>
      <w:r w:rsidRPr="00FB51A2">
        <w:rPr>
          <w:i/>
          <w:iCs/>
          <w:color w:val="000000" w:themeColor="text1"/>
        </w:rPr>
        <w:t>Trends in young participation in higher education: core results for England</w:t>
      </w:r>
      <w:r w:rsidR="0025110B">
        <w:rPr>
          <w:color w:val="000000" w:themeColor="text1"/>
        </w:rPr>
        <w:t xml:space="preserve">, Report 2010/03, </w:t>
      </w:r>
      <w:r w:rsidRPr="00FB51A2">
        <w:rPr>
          <w:color w:val="000000" w:themeColor="text1"/>
        </w:rPr>
        <w:t>Bristol: HEFCE.</w:t>
      </w:r>
    </w:p>
    <w:p w:rsidR="000D7E7A" w:rsidRPr="00FB51A2" w:rsidRDefault="000D7E7A" w:rsidP="00FB51A2">
      <w:pPr>
        <w:spacing w:line="360" w:lineRule="auto"/>
        <w:ind w:left="426" w:hanging="426"/>
        <w:rPr>
          <w:color w:val="000000" w:themeColor="text1"/>
        </w:rPr>
      </w:pPr>
      <w:r w:rsidRPr="00FB51A2">
        <w:rPr>
          <w:color w:val="000000" w:themeColor="text1"/>
        </w:rPr>
        <w:t xml:space="preserve">Higher Education Statistics Agency [HESA] (2012) </w:t>
      </w:r>
      <w:r w:rsidRPr="00FB51A2">
        <w:rPr>
          <w:i/>
          <w:color w:val="000000" w:themeColor="text1"/>
        </w:rPr>
        <w:t>Performance indicators</w:t>
      </w:r>
      <w:r w:rsidR="002E0474" w:rsidRPr="00FB51A2">
        <w:rPr>
          <w:i/>
          <w:color w:val="000000" w:themeColor="text1"/>
        </w:rPr>
        <w:t xml:space="preserve"> </w:t>
      </w:r>
      <w:r w:rsidR="0025110B">
        <w:rPr>
          <w:i/>
          <w:color w:val="000000" w:themeColor="text1"/>
        </w:rPr>
        <w:t xml:space="preserve">in higher education in the UK, </w:t>
      </w:r>
      <w:r w:rsidR="002E0474" w:rsidRPr="00FB51A2">
        <w:rPr>
          <w:color w:val="000000" w:themeColor="text1"/>
        </w:rPr>
        <w:t xml:space="preserve">at: </w:t>
      </w:r>
      <w:r w:rsidR="00A25AFF" w:rsidRPr="00A25AFF">
        <w:rPr>
          <w:color w:val="000000" w:themeColor="text1"/>
        </w:rPr>
        <w:t>www.hesa.ac.uk/content/view/2072/141</w:t>
      </w:r>
      <w:r w:rsidR="00A25AFF">
        <w:rPr>
          <w:color w:val="000000" w:themeColor="text1"/>
        </w:rPr>
        <w:t xml:space="preserve"> (</w:t>
      </w:r>
      <w:r w:rsidR="00A25AFF" w:rsidRPr="0025110B">
        <w:rPr>
          <w:color w:val="000000" w:themeColor="text1"/>
        </w:rPr>
        <w:t>accessed 28 September 2012</w:t>
      </w:r>
      <w:r w:rsidR="00A25AFF">
        <w:rPr>
          <w:color w:val="000000" w:themeColor="text1"/>
        </w:rPr>
        <w:t>).</w:t>
      </w:r>
    </w:p>
    <w:p w:rsidR="00F261D7" w:rsidRPr="00FB51A2" w:rsidRDefault="00F261D7" w:rsidP="00FB51A2">
      <w:pPr>
        <w:spacing w:line="360" w:lineRule="auto"/>
        <w:ind w:left="426" w:hanging="426"/>
        <w:rPr>
          <w:rFonts w:cs="Arial"/>
          <w:color w:val="000000" w:themeColor="text1"/>
        </w:rPr>
      </w:pPr>
      <w:proofErr w:type="spellStart"/>
      <w:r w:rsidRPr="00FB51A2">
        <w:rPr>
          <w:rFonts w:cs="RealpagePLA3"/>
        </w:rPr>
        <w:t>Hillage</w:t>
      </w:r>
      <w:proofErr w:type="spellEnd"/>
      <w:r w:rsidRPr="00FB51A2">
        <w:rPr>
          <w:rFonts w:cs="RealpagePLA3"/>
        </w:rPr>
        <w:t>, J</w:t>
      </w:r>
      <w:r w:rsidR="0055041A">
        <w:rPr>
          <w:rFonts w:cs="RealpagePLA3"/>
        </w:rPr>
        <w:t>.</w:t>
      </w:r>
      <w:r w:rsidRPr="00FB51A2">
        <w:rPr>
          <w:rFonts w:cs="RealpagePLA3"/>
        </w:rPr>
        <w:t>, Pearson, R</w:t>
      </w:r>
      <w:r w:rsidR="0055041A">
        <w:rPr>
          <w:rFonts w:cs="RealpagePLA3"/>
        </w:rPr>
        <w:t>.</w:t>
      </w:r>
      <w:r w:rsidRPr="00FB51A2">
        <w:rPr>
          <w:rFonts w:cs="RealpagePLA3"/>
        </w:rPr>
        <w:t>, Anderson, A</w:t>
      </w:r>
      <w:r w:rsidR="0055041A">
        <w:rPr>
          <w:rFonts w:cs="RealpagePLA3"/>
        </w:rPr>
        <w:t>.</w:t>
      </w:r>
      <w:r w:rsidRPr="00FB51A2">
        <w:rPr>
          <w:rFonts w:cs="RealpagePLA3"/>
        </w:rPr>
        <w:t xml:space="preserve"> and </w:t>
      </w:r>
      <w:proofErr w:type="spellStart"/>
      <w:r w:rsidRPr="00FB51A2">
        <w:rPr>
          <w:rFonts w:cs="RealpagePLA3"/>
        </w:rPr>
        <w:t>Tamkin</w:t>
      </w:r>
      <w:proofErr w:type="spellEnd"/>
      <w:r w:rsidRPr="00FB51A2">
        <w:rPr>
          <w:rFonts w:cs="RealpagePLA3"/>
        </w:rPr>
        <w:t>, P</w:t>
      </w:r>
      <w:r w:rsidR="0055041A">
        <w:rPr>
          <w:rFonts w:cs="RealpagePLA3"/>
        </w:rPr>
        <w:t>.</w:t>
      </w:r>
      <w:r w:rsidRPr="00FB51A2">
        <w:rPr>
          <w:rFonts w:cs="RealpagePLA3"/>
        </w:rPr>
        <w:t xml:space="preserve"> (1998) </w:t>
      </w:r>
      <w:r w:rsidRPr="00FB51A2">
        <w:rPr>
          <w:rFonts w:cs="RealpagePLA3-Italic"/>
          <w:i/>
          <w:iCs/>
        </w:rPr>
        <w:t>Excellence in research on schools</w:t>
      </w:r>
      <w:r w:rsidR="0025110B">
        <w:rPr>
          <w:rFonts w:cs="RealpagePLA3-Italic"/>
          <w:iCs/>
        </w:rPr>
        <w:t>,</w:t>
      </w:r>
      <w:r w:rsidR="0055041A">
        <w:rPr>
          <w:rFonts w:cs="RealpagePLA3-Italic"/>
          <w:iCs/>
        </w:rPr>
        <w:t xml:space="preserve"> </w:t>
      </w:r>
      <w:r w:rsidRPr="00FB51A2">
        <w:rPr>
          <w:rFonts w:cs="RealpagePLA3-Italic"/>
          <w:iCs/>
        </w:rPr>
        <w:t>D</w:t>
      </w:r>
      <w:r w:rsidR="0055041A">
        <w:rPr>
          <w:rFonts w:cs="RealpagePLA3-Italic"/>
          <w:iCs/>
        </w:rPr>
        <w:t>FEE Research Report RR74</w:t>
      </w:r>
      <w:r w:rsidR="0025110B">
        <w:rPr>
          <w:rFonts w:cs="RealpagePLA3-Italic"/>
          <w:iCs/>
        </w:rPr>
        <w:t xml:space="preserve">, </w:t>
      </w:r>
      <w:r w:rsidRPr="00FB51A2">
        <w:rPr>
          <w:rFonts w:cs="RealpagePLA3-Italic"/>
          <w:i/>
          <w:iCs/>
        </w:rPr>
        <w:t xml:space="preserve"> </w:t>
      </w:r>
      <w:r w:rsidR="0055041A">
        <w:rPr>
          <w:rFonts w:cs="RealpagePLA3"/>
        </w:rPr>
        <w:t>Sudbury:</w:t>
      </w:r>
      <w:r w:rsidRPr="00FB51A2">
        <w:rPr>
          <w:rFonts w:cs="RealpagePLA3"/>
        </w:rPr>
        <w:t xml:space="preserve"> D</w:t>
      </w:r>
      <w:r w:rsidR="0055041A">
        <w:rPr>
          <w:rFonts w:cs="RealpagePLA3"/>
        </w:rPr>
        <w:t xml:space="preserve">epartment for </w:t>
      </w:r>
      <w:r w:rsidRPr="00FB51A2">
        <w:rPr>
          <w:rFonts w:cs="RealpagePLA3"/>
        </w:rPr>
        <w:t>E</w:t>
      </w:r>
      <w:r w:rsidR="0055041A">
        <w:rPr>
          <w:rFonts w:cs="RealpagePLA3"/>
        </w:rPr>
        <w:t xml:space="preserve">ducation and </w:t>
      </w:r>
      <w:r w:rsidRPr="00FB51A2">
        <w:rPr>
          <w:rFonts w:cs="RealpagePLA3"/>
        </w:rPr>
        <w:t>E</w:t>
      </w:r>
      <w:r w:rsidR="0055041A">
        <w:rPr>
          <w:rFonts w:cs="RealpagePLA3"/>
        </w:rPr>
        <w:t>mployment</w:t>
      </w:r>
      <w:r w:rsidRPr="00FB51A2">
        <w:rPr>
          <w:rFonts w:cs="RealpagePLA3"/>
        </w:rPr>
        <w:t>.</w:t>
      </w:r>
    </w:p>
    <w:p w:rsidR="00BE35F0" w:rsidRPr="00FB51A2" w:rsidRDefault="00BE35F0" w:rsidP="00FB51A2">
      <w:pPr>
        <w:spacing w:line="360" w:lineRule="auto"/>
        <w:ind w:left="426" w:hanging="426"/>
        <w:rPr>
          <w:color w:val="000000" w:themeColor="text1"/>
        </w:rPr>
      </w:pPr>
      <w:proofErr w:type="spellStart"/>
      <w:r w:rsidRPr="00FB51A2">
        <w:rPr>
          <w:color w:val="000000" w:themeColor="text1"/>
        </w:rPr>
        <w:t>Hodkinson</w:t>
      </w:r>
      <w:proofErr w:type="spellEnd"/>
      <w:r w:rsidRPr="00FB51A2">
        <w:rPr>
          <w:color w:val="000000" w:themeColor="text1"/>
        </w:rPr>
        <w:t>, P</w:t>
      </w:r>
      <w:r w:rsidR="0055041A">
        <w:rPr>
          <w:color w:val="000000" w:themeColor="text1"/>
        </w:rPr>
        <w:t>.</w:t>
      </w:r>
      <w:r w:rsidRPr="00FB51A2">
        <w:rPr>
          <w:color w:val="000000" w:themeColor="text1"/>
        </w:rPr>
        <w:t xml:space="preserve"> (2004) </w:t>
      </w:r>
      <w:r w:rsidRPr="00FB51A2">
        <w:t xml:space="preserve">Research as a form of work: expertise, community </w:t>
      </w:r>
      <w:r w:rsidR="0025110B">
        <w:t>and methodological objectivity,</w:t>
      </w:r>
      <w:r w:rsidRPr="00FB51A2">
        <w:t xml:space="preserve"> </w:t>
      </w:r>
      <w:r w:rsidRPr="00FB51A2">
        <w:rPr>
          <w:i/>
        </w:rPr>
        <w:t>British Educational Research Journal</w:t>
      </w:r>
      <w:r w:rsidRPr="00FB51A2">
        <w:t xml:space="preserve"> 30</w:t>
      </w:r>
      <w:r w:rsidR="0055041A">
        <w:t>, 1</w:t>
      </w:r>
      <w:r w:rsidRPr="00FB51A2">
        <w:t>: 9-26.</w:t>
      </w:r>
    </w:p>
    <w:p w:rsidR="00B0307A" w:rsidRPr="00FB51A2" w:rsidRDefault="0055041A" w:rsidP="00FB51A2">
      <w:pPr>
        <w:spacing w:line="360" w:lineRule="auto"/>
        <w:ind w:left="425" w:hanging="425"/>
        <w:rPr>
          <w:color w:val="000000" w:themeColor="text1"/>
        </w:rPr>
      </w:pPr>
      <w:r>
        <w:rPr>
          <w:color w:val="000000" w:themeColor="text1"/>
        </w:rPr>
        <w:t>Jones, S. (2012)</w:t>
      </w:r>
      <w:r w:rsidR="00B0307A" w:rsidRPr="00FB51A2">
        <w:rPr>
          <w:color w:val="000000" w:themeColor="text1"/>
        </w:rPr>
        <w:t xml:space="preserve"> </w:t>
      </w:r>
      <w:r w:rsidR="00B0307A" w:rsidRPr="0055041A">
        <w:t>Work experience and the UK university admissions system: comparing UCAS statements according to school type</w:t>
      </w:r>
      <w:r w:rsidR="0025110B">
        <w:rPr>
          <w:i/>
        </w:rPr>
        <w:t>,</w:t>
      </w:r>
      <w:r w:rsidR="0025110B">
        <w:t xml:space="preserve"> p</w:t>
      </w:r>
      <w:r w:rsidR="00B0307A" w:rsidRPr="00FB51A2">
        <w:t xml:space="preserve">aper delivered to </w:t>
      </w:r>
      <w:r w:rsidR="00B0307A" w:rsidRPr="0055041A">
        <w:rPr>
          <w:i/>
        </w:rPr>
        <w:t>Education and Employers Taskforce</w:t>
      </w:r>
      <w:r w:rsidR="00B0307A" w:rsidRPr="00FB51A2">
        <w:t>, London, 20 March 2012.</w:t>
      </w:r>
    </w:p>
    <w:p w:rsidR="004506C0" w:rsidRPr="00FB51A2" w:rsidRDefault="004506C0" w:rsidP="00FB51A2">
      <w:pPr>
        <w:spacing w:line="360" w:lineRule="auto"/>
        <w:ind w:left="426" w:hanging="426"/>
        <w:rPr>
          <w:color w:val="000000" w:themeColor="text1"/>
        </w:rPr>
      </w:pPr>
      <w:r w:rsidRPr="00FB51A2">
        <w:rPr>
          <w:color w:val="000000" w:themeColor="text1"/>
        </w:rPr>
        <w:t>Kelly, K</w:t>
      </w:r>
      <w:r w:rsidR="0055041A">
        <w:rPr>
          <w:color w:val="000000" w:themeColor="text1"/>
        </w:rPr>
        <w:t>.</w:t>
      </w:r>
      <w:r w:rsidRPr="00FB51A2">
        <w:rPr>
          <w:color w:val="000000" w:themeColor="text1"/>
        </w:rPr>
        <w:t xml:space="preserve"> and Cook, S</w:t>
      </w:r>
      <w:r w:rsidR="0055041A">
        <w:rPr>
          <w:color w:val="000000" w:themeColor="text1"/>
        </w:rPr>
        <w:t>.</w:t>
      </w:r>
      <w:r w:rsidRPr="00FB51A2">
        <w:rPr>
          <w:color w:val="000000" w:themeColor="text1"/>
        </w:rPr>
        <w:t xml:space="preserve"> (2007) </w:t>
      </w:r>
      <w:r w:rsidRPr="00FB51A2">
        <w:rPr>
          <w:i/>
          <w:iCs/>
          <w:color w:val="000000" w:themeColor="text1"/>
        </w:rPr>
        <w:t>Full-time young participation by socio-economic class: a new widening participation measure in higher education</w:t>
      </w:r>
      <w:r w:rsidR="0025110B">
        <w:rPr>
          <w:i/>
          <w:iCs/>
          <w:color w:val="000000" w:themeColor="text1"/>
        </w:rPr>
        <w:t>,</w:t>
      </w:r>
      <w:r w:rsidR="0025110B">
        <w:rPr>
          <w:color w:val="000000" w:themeColor="text1"/>
        </w:rPr>
        <w:t xml:space="preserve"> </w:t>
      </w:r>
      <w:proofErr w:type="spellStart"/>
      <w:r w:rsidR="0025110B">
        <w:rPr>
          <w:color w:val="000000" w:themeColor="text1"/>
        </w:rPr>
        <w:t>DfES</w:t>
      </w:r>
      <w:proofErr w:type="spellEnd"/>
      <w:r w:rsidR="0025110B">
        <w:rPr>
          <w:color w:val="000000" w:themeColor="text1"/>
        </w:rPr>
        <w:t xml:space="preserve"> Report RR806, </w:t>
      </w:r>
      <w:r w:rsidRPr="00FB51A2">
        <w:rPr>
          <w:color w:val="000000" w:themeColor="text1"/>
        </w:rPr>
        <w:t xml:space="preserve">London: </w:t>
      </w:r>
      <w:r w:rsidR="0055041A">
        <w:rPr>
          <w:color w:val="000000" w:themeColor="text1"/>
        </w:rPr>
        <w:t>Department for Education and Skills</w:t>
      </w:r>
      <w:r w:rsidRPr="00FB51A2">
        <w:rPr>
          <w:color w:val="000000" w:themeColor="text1"/>
        </w:rPr>
        <w:t>.</w:t>
      </w:r>
    </w:p>
    <w:p w:rsidR="00DB0B0B" w:rsidRPr="00FB51A2" w:rsidRDefault="00DB0B0B" w:rsidP="00FB51A2">
      <w:pPr>
        <w:spacing w:line="360" w:lineRule="auto"/>
        <w:ind w:left="426" w:hanging="426"/>
      </w:pPr>
      <w:r w:rsidRPr="00FB51A2">
        <w:rPr>
          <w:color w:val="000000" w:themeColor="text1"/>
        </w:rPr>
        <w:t>Lather, P</w:t>
      </w:r>
      <w:r w:rsidR="0055041A">
        <w:rPr>
          <w:color w:val="000000" w:themeColor="text1"/>
        </w:rPr>
        <w:t>.</w:t>
      </w:r>
      <w:r w:rsidRPr="00FB51A2">
        <w:rPr>
          <w:color w:val="000000" w:themeColor="text1"/>
        </w:rPr>
        <w:t xml:space="preserve"> (2004) </w:t>
      </w:r>
      <w:r w:rsidRPr="00FB51A2">
        <w:t>Scientific research in edu</w:t>
      </w:r>
      <w:r w:rsidR="0025110B">
        <w:t>cation: a critical perspective,</w:t>
      </w:r>
      <w:r w:rsidRPr="00FB51A2">
        <w:t xml:space="preserve"> </w:t>
      </w:r>
      <w:r w:rsidRPr="00FB51A2">
        <w:rPr>
          <w:i/>
        </w:rPr>
        <w:t>British Educational Research Journal</w:t>
      </w:r>
      <w:r w:rsidRPr="00FB51A2">
        <w:t xml:space="preserve"> 30</w:t>
      </w:r>
      <w:r w:rsidR="0055041A">
        <w:t>, 6</w:t>
      </w:r>
      <w:r w:rsidRPr="00FB51A2">
        <w:t>: 759-772.</w:t>
      </w:r>
    </w:p>
    <w:p w:rsidR="00007D22" w:rsidRPr="00FB51A2" w:rsidRDefault="00007D22" w:rsidP="00FB51A2">
      <w:pPr>
        <w:spacing w:line="360" w:lineRule="auto"/>
        <w:ind w:left="567" w:hanging="567"/>
      </w:pPr>
      <w:r w:rsidRPr="00FB51A2">
        <w:t xml:space="preserve">Lupton, R. (2005) Social justice and school improvement: improving the quality of schooling in poorest neighbourhoods, </w:t>
      </w:r>
      <w:r w:rsidRPr="00FB51A2">
        <w:rPr>
          <w:i/>
        </w:rPr>
        <w:t>British Educational Research Journal</w:t>
      </w:r>
      <w:r w:rsidR="0055041A">
        <w:t xml:space="preserve"> 31, 5: </w:t>
      </w:r>
      <w:r w:rsidRPr="00FB51A2">
        <w:t>589-604.</w:t>
      </w:r>
    </w:p>
    <w:p w:rsidR="006D5817" w:rsidRPr="00FB51A2" w:rsidRDefault="0055041A" w:rsidP="00FB51A2">
      <w:pPr>
        <w:autoSpaceDE w:val="0"/>
        <w:autoSpaceDN w:val="0"/>
        <w:adjustRightInd w:val="0"/>
        <w:spacing w:line="360" w:lineRule="auto"/>
        <w:ind w:left="425" w:hanging="425"/>
        <w:rPr>
          <w:rFonts w:eastAsia="Times New Roman" w:cs="Arial"/>
          <w:bCs/>
          <w:kern w:val="36"/>
          <w:lang w:eastAsia="en-GB"/>
        </w:rPr>
      </w:pPr>
      <w:proofErr w:type="spellStart"/>
      <w:r w:rsidRPr="008D0067">
        <w:rPr>
          <w:rFonts w:cs="Arial"/>
        </w:rPr>
        <w:t>Marcenaro</w:t>
      </w:r>
      <w:proofErr w:type="spellEnd"/>
      <w:r w:rsidRPr="008D0067">
        <w:rPr>
          <w:rFonts w:cs="Arial"/>
        </w:rPr>
        <w:t xml:space="preserve">-Gutierrez, O., </w:t>
      </w:r>
      <w:r w:rsidR="006D5817" w:rsidRPr="008D0067">
        <w:rPr>
          <w:rFonts w:cs="Arial"/>
        </w:rPr>
        <w:t>Galindo-</w:t>
      </w:r>
      <w:proofErr w:type="spellStart"/>
      <w:r w:rsidR="006D5817" w:rsidRPr="008D0067">
        <w:rPr>
          <w:rFonts w:cs="Arial"/>
        </w:rPr>
        <w:t>Rueda</w:t>
      </w:r>
      <w:proofErr w:type="spellEnd"/>
      <w:r w:rsidRPr="008D0067">
        <w:rPr>
          <w:rFonts w:cs="Arial"/>
        </w:rPr>
        <w:t>, F.</w:t>
      </w:r>
      <w:r w:rsidR="006D5817" w:rsidRPr="008D0067">
        <w:rPr>
          <w:rFonts w:cs="Arial"/>
        </w:rPr>
        <w:t xml:space="preserve"> and </w:t>
      </w:r>
      <w:proofErr w:type="spellStart"/>
      <w:r w:rsidR="006D5817" w:rsidRPr="008D0067">
        <w:rPr>
          <w:rFonts w:cs="Arial"/>
        </w:rPr>
        <w:t>Vignoles</w:t>
      </w:r>
      <w:proofErr w:type="spellEnd"/>
      <w:r w:rsidRPr="008D0067">
        <w:rPr>
          <w:rFonts w:cs="Arial"/>
        </w:rPr>
        <w:t>, A. (2008)</w:t>
      </w:r>
      <w:r w:rsidR="006D5817" w:rsidRPr="008D0067">
        <w:rPr>
          <w:rFonts w:eastAsia="Times New Roman" w:cs="Arial"/>
          <w:bCs/>
          <w:kern w:val="36"/>
          <w:lang w:eastAsia="en-GB"/>
        </w:rPr>
        <w:t xml:space="preserve"> </w:t>
      </w:r>
      <w:r w:rsidR="008D0067">
        <w:rPr>
          <w:rFonts w:eastAsia="Times New Roman" w:cs="Arial"/>
          <w:bCs/>
          <w:kern w:val="36"/>
          <w:lang w:eastAsia="en-GB"/>
        </w:rPr>
        <w:t>‘</w:t>
      </w:r>
      <w:r w:rsidR="006D5817" w:rsidRPr="008D0067">
        <w:rPr>
          <w:rFonts w:eastAsia="Times New Roman" w:cs="Arial"/>
          <w:bCs/>
          <w:kern w:val="36"/>
          <w:lang w:eastAsia="en-GB"/>
        </w:rPr>
        <w:t>Who actually</w:t>
      </w:r>
      <w:r w:rsidRPr="008D0067">
        <w:rPr>
          <w:rFonts w:eastAsia="Times New Roman" w:cs="Arial"/>
          <w:bCs/>
          <w:kern w:val="36"/>
          <w:lang w:eastAsia="en-GB"/>
        </w:rPr>
        <w:t xml:space="preserve"> goes to university?</w:t>
      </w:r>
      <w:r w:rsidR="008D0067">
        <w:rPr>
          <w:rFonts w:eastAsia="Times New Roman" w:cs="Arial"/>
          <w:bCs/>
          <w:kern w:val="36"/>
          <w:lang w:eastAsia="en-GB"/>
        </w:rPr>
        <w:t>’</w:t>
      </w:r>
      <w:r w:rsidRPr="008D0067">
        <w:rPr>
          <w:rFonts w:eastAsia="Times New Roman" w:cs="Arial"/>
          <w:bCs/>
          <w:kern w:val="36"/>
          <w:lang w:eastAsia="en-GB"/>
        </w:rPr>
        <w:t xml:space="preserve"> i</w:t>
      </w:r>
      <w:r w:rsidR="008D0067">
        <w:rPr>
          <w:rFonts w:eastAsia="Times New Roman" w:cs="Arial"/>
          <w:bCs/>
          <w:kern w:val="36"/>
          <w:lang w:eastAsia="en-GB"/>
        </w:rPr>
        <w:t xml:space="preserve">n </w:t>
      </w:r>
      <w:proofErr w:type="spellStart"/>
      <w:r w:rsidR="006D5817" w:rsidRPr="008D0067">
        <w:rPr>
          <w:rFonts w:eastAsia="Times New Roman" w:cs="Arial"/>
          <w:bCs/>
          <w:kern w:val="36"/>
          <w:lang w:eastAsia="en-GB"/>
        </w:rPr>
        <w:t>Dustmann</w:t>
      </w:r>
      <w:proofErr w:type="spellEnd"/>
      <w:r w:rsidR="008D0067">
        <w:rPr>
          <w:rFonts w:eastAsia="Times New Roman" w:cs="Arial"/>
          <w:bCs/>
          <w:kern w:val="36"/>
          <w:lang w:eastAsia="en-GB"/>
        </w:rPr>
        <w:t>, C.</w:t>
      </w:r>
      <w:r w:rsidR="006D5817" w:rsidRPr="008D0067">
        <w:rPr>
          <w:rFonts w:eastAsia="Times New Roman" w:cs="Arial"/>
          <w:bCs/>
          <w:kern w:val="36"/>
          <w:lang w:eastAsia="en-GB"/>
        </w:rPr>
        <w:t xml:space="preserve">, </w:t>
      </w:r>
      <w:proofErr w:type="spellStart"/>
      <w:r w:rsidR="006D5817" w:rsidRPr="008D0067">
        <w:rPr>
          <w:rFonts w:eastAsia="Times New Roman" w:cs="Arial"/>
          <w:bCs/>
          <w:kern w:val="36"/>
          <w:lang w:eastAsia="en-GB"/>
        </w:rPr>
        <w:t>Fitzenberger</w:t>
      </w:r>
      <w:proofErr w:type="spellEnd"/>
      <w:r w:rsidR="008D0067">
        <w:rPr>
          <w:rFonts w:eastAsia="Times New Roman" w:cs="Arial"/>
          <w:bCs/>
          <w:kern w:val="36"/>
          <w:lang w:eastAsia="en-GB"/>
        </w:rPr>
        <w:t>, B.</w:t>
      </w:r>
      <w:r w:rsidR="006D5817" w:rsidRPr="008D0067">
        <w:rPr>
          <w:rFonts w:eastAsia="Times New Roman" w:cs="Arial"/>
          <w:bCs/>
          <w:kern w:val="36"/>
          <w:lang w:eastAsia="en-GB"/>
        </w:rPr>
        <w:t xml:space="preserve"> and </w:t>
      </w:r>
      <w:proofErr w:type="spellStart"/>
      <w:r w:rsidR="006D5817" w:rsidRPr="008D0067">
        <w:rPr>
          <w:rFonts w:eastAsia="Times New Roman" w:cs="Arial"/>
          <w:bCs/>
          <w:kern w:val="36"/>
          <w:lang w:eastAsia="en-GB"/>
        </w:rPr>
        <w:t>Machin</w:t>
      </w:r>
      <w:proofErr w:type="spellEnd"/>
      <w:r w:rsidR="008D0067">
        <w:rPr>
          <w:rFonts w:eastAsia="Times New Roman" w:cs="Arial"/>
          <w:bCs/>
          <w:kern w:val="36"/>
          <w:lang w:eastAsia="en-GB"/>
        </w:rPr>
        <w:t>, S.</w:t>
      </w:r>
      <w:r w:rsidR="006D5817" w:rsidRPr="008D0067">
        <w:rPr>
          <w:rFonts w:eastAsia="Times New Roman" w:cs="Arial"/>
          <w:bCs/>
          <w:kern w:val="36"/>
          <w:lang w:eastAsia="en-GB"/>
        </w:rPr>
        <w:t xml:space="preserve"> (eds</w:t>
      </w:r>
      <w:r w:rsidR="008D0067">
        <w:rPr>
          <w:rFonts w:eastAsia="Times New Roman" w:cs="Arial"/>
          <w:bCs/>
          <w:kern w:val="36"/>
          <w:lang w:eastAsia="en-GB"/>
        </w:rPr>
        <w:t>.</w:t>
      </w:r>
      <w:r w:rsidR="006D5817" w:rsidRPr="008D0067">
        <w:rPr>
          <w:rFonts w:eastAsia="Times New Roman" w:cs="Arial"/>
          <w:bCs/>
          <w:kern w:val="36"/>
          <w:lang w:eastAsia="en-GB"/>
        </w:rPr>
        <w:t xml:space="preserve">) </w:t>
      </w:r>
      <w:r w:rsidR="006D5817" w:rsidRPr="008D0067">
        <w:rPr>
          <w:rFonts w:eastAsia="Times New Roman" w:cs="Arial"/>
          <w:bCs/>
          <w:i/>
          <w:kern w:val="36"/>
          <w:lang w:eastAsia="en-GB"/>
        </w:rPr>
        <w:t>The economics of education and training</w:t>
      </w:r>
      <w:r w:rsidR="0025110B">
        <w:rPr>
          <w:rFonts w:eastAsia="Times New Roman" w:cs="Arial"/>
          <w:bCs/>
          <w:kern w:val="36"/>
          <w:lang w:eastAsia="en-GB"/>
        </w:rPr>
        <w:t>,</w:t>
      </w:r>
      <w:r w:rsidR="006D5817" w:rsidRPr="008D0067">
        <w:rPr>
          <w:rFonts w:eastAsia="Times New Roman" w:cs="Arial"/>
          <w:bCs/>
          <w:kern w:val="36"/>
          <w:lang w:eastAsia="en-GB"/>
        </w:rPr>
        <w:t xml:space="preserve"> </w:t>
      </w:r>
      <w:r w:rsidR="006D5817" w:rsidRPr="008D0067">
        <w:rPr>
          <w:rFonts w:cs="Arial"/>
        </w:rPr>
        <w:t>Heidelberg:</w:t>
      </w:r>
      <w:r w:rsidR="006D5817" w:rsidRPr="008D0067">
        <w:rPr>
          <w:rFonts w:eastAsia="Times New Roman" w:cs="Arial"/>
          <w:bCs/>
          <w:kern w:val="36"/>
          <w:lang w:eastAsia="en-GB"/>
        </w:rPr>
        <w:t xml:space="preserve"> </w:t>
      </w:r>
      <w:proofErr w:type="spellStart"/>
      <w:r w:rsidR="006D5817" w:rsidRPr="008D0067">
        <w:rPr>
          <w:rFonts w:eastAsia="Times New Roman" w:cs="Arial"/>
          <w:bCs/>
          <w:kern w:val="36"/>
          <w:lang w:eastAsia="en-GB"/>
        </w:rPr>
        <w:t>Physica-Vurlag</w:t>
      </w:r>
      <w:proofErr w:type="spellEnd"/>
      <w:r w:rsidR="006D5817" w:rsidRPr="008D0067">
        <w:rPr>
          <w:rFonts w:eastAsia="Times New Roman" w:cs="Arial"/>
          <w:bCs/>
          <w:kern w:val="36"/>
          <w:lang w:eastAsia="en-GB"/>
        </w:rPr>
        <w:t>.</w:t>
      </w:r>
    </w:p>
    <w:p w:rsidR="004506C0" w:rsidRPr="00FB51A2" w:rsidRDefault="004506C0" w:rsidP="00FB51A2">
      <w:pPr>
        <w:spacing w:line="360" w:lineRule="auto"/>
        <w:ind w:left="426" w:hanging="426"/>
        <w:rPr>
          <w:color w:val="000000" w:themeColor="text1"/>
        </w:rPr>
      </w:pPr>
      <w:r w:rsidRPr="00FB51A2">
        <w:rPr>
          <w:color w:val="000000" w:themeColor="text1"/>
        </w:rPr>
        <w:t>McConnell, A</w:t>
      </w:r>
      <w:r w:rsidR="008D0067">
        <w:rPr>
          <w:color w:val="000000" w:themeColor="text1"/>
        </w:rPr>
        <w:t>.</w:t>
      </w:r>
      <w:r w:rsidRPr="00FB51A2">
        <w:rPr>
          <w:color w:val="000000" w:themeColor="text1"/>
        </w:rPr>
        <w:t xml:space="preserve"> (2010) </w:t>
      </w:r>
      <w:r w:rsidRPr="00FB51A2">
        <w:rPr>
          <w:i/>
          <w:color w:val="000000" w:themeColor="text1"/>
        </w:rPr>
        <w:t>Understanding policy success: rethinking public policy</w:t>
      </w:r>
      <w:r w:rsidR="0025110B">
        <w:rPr>
          <w:color w:val="000000" w:themeColor="text1"/>
        </w:rPr>
        <w:t>,</w:t>
      </w:r>
      <w:r w:rsidRPr="00FB51A2">
        <w:rPr>
          <w:color w:val="000000" w:themeColor="text1"/>
        </w:rPr>
        <w:t xml:space="preserve"> Basingstoke: Palgrave Macmillan.</w:t>
      </w:r>
    </w:p>
    <w:p w:rsidR="00BF7483" w:rsidRPr="00FB51A2" w:rsidRDefault="00BF7483" w:rsidP="00FB51A2">
      <w:pPr>
        <w:spacing w:line="360" w:lineRule="auto"/>
        <w:ind w:left="426" w:hanging="426"/>
        <w:rPr>
          <w:rFonts w:eastAsia="Times New Roman" w:cs="Arial"/>
          <w:color w:val="000000" w:themeColor="text1"/>
        </w:rPr>
      </w:pPr>
      <w:r w:rsidRPr="00FB51A2">
        <w:rPr>
          <w:rFonts w:eastAsia="Times New Roman" w:cs="Arial"/>
          <w:color w:val="000000" w:themeColor="text1"/>
        </w:rPr>
        <w:t>Moore, J</w:t>
      </w:r>
      <w:r w:rsidR="008D0067">
        <w:rPr>
          <w:rFonts w:eastAsia="Times New Roman" w:cs="Arial"/>
          <w:color w:val="000000" w:themeColor="text1"/>
        </w:rPr>
        <w:t>.</w:t>
      </w:r>
      <w:r w:rsidRPr="00FB51A2">
        <w:rPr>
          <w:rFonts w:eastAsia="Times New Roman" w:cs="Arial"/>
          <w:color w:val="000000" w:themeColor="text1"/>
        </w:rPr>
        <w:t xml:space="preserve"> and </w:t>
      </w:r>
      <w:proofErr w:type="spellStart"/>
      <w:r w:rsidRPr="00FB51A2">
        <w:rPr>
          <w:rFonts w:eastAsia="Times New Roman" w:cs="Arial"/>
          <w:color w:val="000000" w:themeColor="text1"/>
        </w:rPr>
        <w:t>Dunworth</w:t>
      </w:r>
      <w:proofErr w:type="spellEnd"/>
      <w:r w:rsidRPr="00FB51A2">
        <w:rPr>
          <w:rFonts w:eastAsia="Times New Roman" w:cs="Arial"/>
          <w:color w:val="000000" w:themeColor="text1"/>
        </w:rPr>
        <w:t>, F</w:t>
      </w:r>
      <w:r w:rsidR="008D0067">
        <w:rPr>
          <w:rFonts w:eastAsia="Times New Roman" w:cs="Arial"/>
          <w:color w:val="000000" w:themeColor="text1"/>
        </w:rPr>
        <w:t>.</w:t>
      </w:r>
      <w:r w:rsidRPr="00FB51A2">
        <w:rPr>
          <w:rFonts w:eastAsia="Times New Roman" w:cs="Arial"/>
          <w:color w:val="000000" w:themeColor="text1"/>
        </w:rPr>
        <w:t xml:space="preserve"> (2011) </w:t>
      </w:r>
      <w:r w:rsidRPr="00FB51A2">
        <w:rPr>
          <w:rFonts w:eastAsia="Times New Roman" w:cs="Arial"/>
          <w:i/>
          <w:color w:val="000000" w:themeColor="text1"/>
        </w:rPr>
        <w:t>Review of evidence from Aimhigher Area Partnerships of the impact of Aimhigher</w:t>
      </w:r>
      <w:r w:rsidR="0025110B">
        <w:rPr>
          <w:rFonts w:eastAsia="Times New Roman" w:cs="Arial"/>
          <w:color w:val="000000" w:themeColor="text1"/>
        </w:rPr>
        <w:t>,</w:t>
      </w:r>
      <w:r w:rsidRPr="00FB51A2">
        <w:rPr>
          <w:rFonts w:eastAsia="Times New Roman" w:cs="Arial"/>
          <w:color w:val="000000" w:themeColor="text1"/>
        </w:rPr>
        <w:t xml:space="preserve"> </w:t>
      </w:r>
      <w:r w:rsidR="008D0067">
        <w:rPr>
          <w:rFonts w:eastAsia="Times New Roman" w:cs="Arial"/>
          <w:color w:val="000000" w:themeColor="text1"/>
        </w:rPr>
        <w:t>London: Aimhigher</w:t>
      </w:r>
      <w:r w:rsidRPr="00FB51A2">
        <w:rPr>
          <w:rFonts w:eastAsia="Times New Roman" w:cs="Arial"/>
          <w:color w:val="000000" w:themeColor="text1"/>
        </w:rPr>
        <w:t>.</w:t>
      </w:r>
    </w:p>
    <w:p w:rsidR="003E711E" w:rsidRPr="00FB51A2" w:rsidRDefault="003E711E" w:rsidP="00FB51A2">
      <w:pPr>
        <w:spacing w:line="360" w:lineRule="auto"/>
        <w:ind w:left="425" w:hanging="425"/>
        <w:rPr>
          <w:rFonts w:cs="TimesNewRoman,BoldItalic"/>
          <w:bCs/>
          <w:iCs/>
          <w:color w:val="000000" w:themeColor="text1"/>
        </w:rPr>
      </w:pPr>
      <w:r w:rsidRPr="00FB51A2">
        <w:rPr>
          <w:rFonts w:cs="TimesNewRoman,BoldItalic"/>
          <w:bCs/>
          <w:iCs/>
          <w:color w:val="000000" w:themeColor="text1"/>
        </w:rPr>
        <w:t xml:space="preserve">National Audit Office [NAO] (2008) </w:t>
      </w:r>
      <w:r w:rsidRPr="00FB51A2">
        <w:rPr>
          <w:rFonts w:cs="TimesNewRoman,BoldItalic"/>
          <w:bCs/>
          <w:i/>
          <w:iCs/>
          <w:color w:val="000000" w:themeColor="text1"/>
        </w:rPr>
        <w:t>Widening participation in higher education</w:t>
      </w:r>
      <w:r w:rsidR="0025110B">
        <w:rPr>
          <w:rFonts w:cs="TimesNewRoman,BoldItalic"/>
          <w:bCs/>
          <w:iCs/>
          <w:color w:val="000000" w:themeColor="text1"/>
        </w:rPr>
        <w:t>,</w:t>
      </w:r>
      <w:r w:rsidRPr="00FB51A2">
        <w:rPr>
          <w:rFonts w:cs="TimesNewRoman,BoldItalic"/>
          <w:bCs/>
          <w:iCs/>
          <w:color w:val="000000" w:themeColor="text1"/>
        </w:rPr>
        <w:t xml:space="preserve"> London: N</w:t>
      </w:r>
      <w:r w:rsidR="0025110B">
        <w:rPr>
          <w:rFonts w:cs="TimesNewRoman,BoldItalic"/>
          <w:bCs/>
          <w:iCs/>
          <w:color w:val="000000" w:themeColor="text1"/>
        </w:rPr>
        <w:t>AO.</w:t>
      </w:r>
    </w:p>
    <w:p w:rsidR="00B0307A" w:rsidRPr="00FB51A2" w:rsidRDefault="00B0307A" w:rsidP="00FB51A2">
      <w:pPr>
        <w:spacing w:line="360" w:lineRule="auto"/>
        <w:ind w:left="426" w:hanging="426"/>
        <w:rPr>
          <w:color w:val="000000" w:themeColor="text1"/>
        </w:rPr>
      </w:pPr>
      <w:r w:rsidRPr="00FB51A2">
        <w:rPr>
          <w:color w:val="000000" w:themeColor="text1"/>
        </w:rPr>
        <w:t xml:space="preserve">National Committee of Inquiry into Higher Education [NCIHE] (1997) </w:t>
      </w:r>
      <w:r w:rsidRPr="00FB51A2">
        <w:rPr>
          <w:i/>
          <w:iCs/>
          <w:color w:val="000000" w:themeColor="text1"/>
        </w:rPr>
        <w:t xml:space="preserve">Higher education in the learning society </w:t>
      </w:r>
      <w:r w:rsidR="0025110B">
        <w:rPr>
          <w:color w:val="000000" w:themeColor="text1"/>
        </w:rPr>
        <w:t xml:space="preserve">(known as the Dearing Report), </w:t>
      </w:r>
      <w:r w:rsidRPr="00FB51A2">
        <w:rPr>
          <w:color w:val="000000" w:themeColor="text1"/>
        </w:rPr>
        <w:t>Norwich: HMSO.</w:t>
      </w:r>
    </w:p>
    <w:p w:rsidR="00B0307A" w:rsidRPr="00FB51A2" w:rsidRDefault="00B0307A" w:rsidP="00FB51A2">
      <w:pPr>
        <w:spacing w:line="360" w:lineRule="auto"/>
        <w:ind w:left="426" w:hanging="426"/>
        <w:rPr>
          <w:bCs/>
          <w:color w:val="000000" w:themeColor="text1"/>
        </w:rPr>
      </w:pPr>
      <w:r w:rsidRPr="00FB51A2">
        <w:rPr>
          <w:color w:val="000000" w:themeColor="text1"/>
        </w:rPr>
        <w:lastRenderedPageBreak/>
        <w:t>Passy, R</w:t>
      </w:r>
      <w:r w:rsidR="008D0067">
        <w:rPr>
          <w:color w:val="000000" w:themeColor="text1"/>
        </w:rPr>
        <w:t>.</w:t>
      </w:r>
      <w:r w:rsidRPr="00FB51A2">
        <w:rPr>
          <w:color w:val="000000" w:themeColor="text1"/>
        </w:rPr>
        <w:t xml:space="preserve"> and Morris, M</w:t>
      </w:r>
      <w:r w:rsidR="008D0067">
        <w:rPr>
          <w:color w:val="000000" w:themeColor="text1"/>
        </w:rPr>
        <w:t>.</w:t>
      </w:r>
      <w:r w:rsidRPr="00FB51A2">
        <w:rPr>
          <w:color w:val="000000" w:themeColor="text1"/>
        </w:rPr>
        <w:t xml:space="preserve"> (2010) </w:t>
      </w:r>
      <w:r w:rsidRPr="00FB51A2">
        <w:rPr>
          <w:bCs/>
          <w:i/>
          <w:color w:val="000000" w:themeColor="text1"/>
        </w:rPr>
        <w:t>Evaluation of Aimhigher: learner attainment and progression</w:t>
      </w:r>
      <w:r w:rsidR="0025110B">
        <w:rPr>
          <w:bCs/>
          <w:color w:val="000000" w:themeColor="text1"/>
        </w:rPr>
        <w:t xml:space="preserve">, </w:t>
      </w:r>
      <w:r w:rsidRPr="00FB51A2">
        <w:rPr>
          <w:bCs/>
          <w:color w:val="000000" w:themeColor="text1"/>
        </w:rPr>
        <w:t xml:space="preserve">Slough: </w:t>
      </w:r>
      <w:r w:rsidR="008D0067">
        <w:rPr>
          <w:bCs/>
          <w:color w:val="000000" w:themeColor="text1"/>
        </w:rPr>
        <w:t>National Foundation for Educational Research</w:t>
      </w:r>
      <w:r w:rsidRPr="00FB51A2">
        <w:rPr>
          <w:bCs/>
          <w:color w:val="000000" w:themeColor="text1"/>
        </w:rPr>
        <w:t>.</w:t>
      </w:r>
    </w:p>
    <w:p w:rsidR="008E60CE" w:rsidRPr="00FB51A2" w:rsidRDefault="008E60CE" w:rsidP="00FB51A2">
      <w:pPr>
        <w:spacing w:line="360" w:lineRule="auto"/>
        <w:ind w:left="425" w:hanging="425"/>
        <w:rPr>
          <w:rFonts w:cs="Arial"/>
        </w:rPr>
      </w:pPr>
      <w:r w:rsidRPr="00FB51A2">
        <w:rPr>
          <w:rFonts w:cs="Arial"/>
          <w:lang w:eastAsia="en-GB"/>
        </w:rPr>
        <w:t xml:space="preserve">Raphael Reed, L., </w:t>
      </w:r>
      <w:proofErr w:type="spellStart"/>
      <w:r w:rsidRPr="00FB51A2">
        <w:rPr>
          <w:rFonts w:cs="Arial"/>
          <w:lang w:eastAsia="en-GB"/>
        </w:rPr>
        <w:t>Croudace</w:t>
      </w:r>
      <w:proofErr w:type="spellEnd"/>
      <w:r w:rsidR="00D66881">
        <w:rPr>
          <w:rFonts w:cs="Arial"/>
          <w:lang w:eastAsia="en-GB"/>
        </w:rPr>
        <w:t>, C.</w:t>
      </w:r>
      <w:r w:rsidRPr="00FB51A2">
        <w:rPr>
          <w:rFonts w:cs="Arial"/>
          <w:lang w:eastAsia="en-GB"/>
        </w:rPr>
        <w:t>, Ha</w:t>
      </w:r>
      <w:r w:rsidR="00D66881">
        <w:rPr>
          <w:rFonts w:cs="Arial"/>
          <w:lang w:eastAsia="en-GB"/>
        </w:rPr>
        <w:t xml:space="preserve">rrison, N., Baxter, A. and Last, K. (2007) </w:t>
      </w:r>
      <w:r w:rsidRPr="00FB51A2">
        <w:rPr>
          <w:rFonts w:cs="Arial"/>
          <w:i/>
        </w:rPr>
        <w:t xml:space="preserve">A </w:t>
      </w:r>
      <w:proofErr w:type="spellStart"/>
      <w:r w:rsidRPr="00FB51A2">
        <w:rPr>
          <w:rFonts w:cs="Arial"/>
          <w:i/>
        </w:rPr>
        <w:t>sociocultural</w:t>
      </w:r>
      <w:proofErr w:type="spellEnd"/>
      <w:r w:rsidRPr="00FB51A2">
        <w:rPr>
          <w:rFonts w:cs="Arial"/>
          <w:i/>
        </w:rPr>
        <w:t xml:space="preserve"> study of educational engagement in Bristol South parliamentary constituency</w:t>
      </w:r>
      <w:r w:rsidR="0025110B">
        <w:rPr>
          <w:rFonts w:cs="Arial"/>
        </w:rPr>
        <w:t>,</w:t>
      </w:r>
      <w:r w:rsidRPr="00FB51A2">
        <w:rPr>
          <w:rFonts w:cs="Arial"/>
        </w:rPr>
        <w:t xml:space="preserve"> Bristol: </w:t>
      </w:r>
      <w:r w:rsidR="0025110B">
        <w:rPr>
          <w:rFonts w:cs="Arial"/>
        </w:rPr>
        <w:t>University of the West of England</w:t>
      </w:r>
      <w:r w:rsidRPr="00FB51A2">
        <w:rPr>
          <w:rFonts w:cs="Arial"/>
        </w:rPr>
        <w:t>.</w:t>
      </w:r>
    </w:p>
    <w:p w:rsidR="008E60CE" w:rsidRPr="00FB51A2" w:rsidRDefault="008E60CE" w:rsidP="00FB51A2">
      <w:pPr>
        <w:spacing w:line="360" w:lineRule="auto"/>
        <w:ind w:left="425" w:hanging="425"/>
        <w:rPr>
          <w:rFonts w:cs="Arial"/>
          <w:lang w:eastAsia="en-GB"/>
        </w:rPr>
      </w:pPr>
      <w:r w:rsidRPr="00FB51A2">
        <w:rPr>
          <w:rFonts w:cs="Arial"/>
        </w:rPr>
        <w:t>Raphael Reed, L., Gates</w:t>
      </w:r>
      <w:r w:rsidR="00D66881">
        <w:rPr>
          <w:rFonts w:cs="Arial"/>
        </w:rPr>
        <w:t>, P.</w:t>
      </w:r>
      <w:r w:rsidRPr="00FB51A2">
        <w:rPr>
          <w:rFonts w:cs="Arial"/>
        </w:rPr>
        <w:t xml:space="preserve"> </w:t>
      </w:r>
      <w:r w:rsidR="006C1C87">
        <w:rPr>
          <w:rFonts w:cs="Arial"/>
        </w:rPr>
        <w:t>and</w:t>
      </w:r>
      <w:r w:rsidRPr="00FB51A2">
        <w:rPr>
          <w:rFonts w:cs="Arial"/>
        </w:rPr>
        <w:t xml:space="preserve"> Last</w:t>
      </w:r>
      <w:r w:rsidR="00D66881">
        <w:rPr>
          <w:rFonts w:cs="Arial"/>
        </w:rPr>
        <w:t>, K. (2007)</w:t>
      </w:r>
      <w:r w:rsidRPr="00FB51A2">
        <w:rPr>
          <w:rFonts w:cs="Arial"/>
        </w:rPr>
        <w:t xml:space="preserve"> </w:t>
      </w:r>
      <w:r w:rsidRPr="00FB51A2">
        <w:rPr>
          <w:rFonts w:cs="Arial"/>
          <w:i/>
          <w:iCs/>
        </w:rPr>
        <w:t>Young Participation in Higher Education in the Parliamentary Constituencies of Birmingham Hodge Hill, Bristol South, Nottingham North and Sheffield Brightside</w:t>
      </w:r>
      <w:r w:rsidRPr="00FB51A2">
        <w:rPr>
          <w:rFonts w:cs="Arial"/>
        </w:rPr>
        <w:t xml:space="preserve">.  </w:t>
      </w:r>
      <w:r w:rsidR="00D66881" w:rsidRPr="00FB51A2">
        <w:rPr>
          <w:rFonts w:cs="Arial"/>
        </w:rPr>
        <w:t>Bristol</w:t>
      </w:r>
      <w:r w:rsidR="00D66881">
        <w:rPr>
          <w:rFonts w:cs="Arial"/>
        </w:rPr>
        <w:t>:</w:t>
      </w:r>
      <w:r w:rsidR="00D66881" w:rsidRPr="00FB51A2">
        <w:rPr>
          <w:rFonts w:cs="Arial"/>
        </w:rPr>
        <w:t xml:space="preserve"> </w:t>
      </w:r>
      <w:r w:rsidR="0025110B">
        <w:rPr>
          <w:rFonts w:cs="Arial"/>
        </w:rPr>
        <w:t>Higher Education Funding Council for England</w:t>
      </w:r>
      <w:r w:rsidRPr="00FB51A2">
        <w:rPr>
          <w:rFonts w:cs="Arial"/>
        </w:rPr>
        <w:t>.</w:t>
      </w:r>
    </w:p>
    <w:p w:rsidR="0011200D" w:rsidRPr="00FB51A2" w:rsidRDefault="0011200D" w:rsidP="00FB51A2">
      <w:pPr>
        <w:spacing w:line="360" w:lineRule="auto"/>
        <w:ind w:left="567" w:hanging="567"/>
        <w:rPr>
          <w:lang w:eastAsia="en-GB"/>
        </w:rPr>
      </w:pPr>
      <w:r w:rsidRPr="00FB51A2">
        <w:rPr>
          <w:lang w:eastAsia="en-GB"/>
        </w:rPr>
        <w:t xml:space="preserve">Rees, G., Power, S. </w:t>
      </w:r>
      <w:r w:rsidR="006C1C87">
        <w:rPr>
          <w:lang w:eastAsia="en-GB"/>
        </w:rPr>
        <w:t>and</w:t>
      </w:r>
      <w:r w:rsidRPr="00FB51A2">
        <w:rPr>
          <w:lang w:eastAsia="en-GB"/>
        </w:rPr>
        <w:t xml:space="preserve"> Taylor, C. (2007) The governance of educational inequalities: The limits of area-based initiatives, </w:t>
      </w:r>
      <w:r w:rsidRPr="00FB51A2">
        <w:rPr>
          <w:i/>
          <w:lang w:eastAsia="en-GB"/>
        </w:rPr>
        <w:t>Journal of Comparative Policy Analysis: Research and Practice</w:t>
      </w:r>
      <w:r w:rsidR="0025110B">
        <w:rPr>
          <w:lang w:eastAsia="en-GB"/>
        </w:rPr>
        <w:t xml:space="preserve"> 9, 3:</w:t>
      </w:r>
      <w:r w:rsidRPr="00FB51A2">
        <w:rPr>
          <w:lang w:eastAsia="en-GB"/>
        </w:rPr>
        <w:t xml:space="preserve"> 261-274.</w:t>
      </w:r>
    </w:p>
    <w:p w:rsidR="00745365" w:rsidRPr="00FB51A2" w:rsidRDefault="00745365" w:rsidP="00FB51A2">
      <w:pPr>
        <w:autoSpaceDE w:val="0"/>
        <w:autoSpaceDN w:val="0"/>
        <w:adjustRightInd w:val="0"/>
        <w:spacing w:line="360" w:lineRule="auto"/>
        <w:ind w:left="425" w:hanging="425"/>
        <w:rPr>
          <w:rFonts w:cs="Arial"/>
          <w:lang w:eastAsia="en-GB"/>
        </w:rPr>
      </w:pPr>
      <w:proofErr w:type="spellStart"/>
      <w:r w:rsidRPr="00FB51A2">
        <w:rPr>
          <w:rFonts w:eastAsia="Calibri" w:cs="Arial"/>
        </w:rPr>
        <w:t>Shu</w:t>
      </w:r>
      <w:r w:rsidR="000E5B1C">
        <w:rPr>
          <w:rFonts w:cs="Arial"/>
        </w:rPr>
        <w:t>cksmith</w:t>
      </w:r>
      <w:proofErr w:type="spellEnd"/>
      <w:r w:rsidR="000E5B1C">
        <w:rPr>
          <w:rFonts w:cs="Arial"/>
        </w:rPr>
        <w:t>, M. (2000)</w:t>
      </w:r>
      <w:r w:rsidRPr="00FB51A2">
        <w:rPr>
          <w:rFonts w:eastAsia="Calibri" w:cs="Arial"/>
        </w:rPr>
        <w:t xml:space="preserve"> </w:t>
      </w:r>
      <w:r w:rsidRPr="00FB51A2">
        <w:rPr>
          <w:rFonts w:eastAsia="Calibri" w:cs="Arial"/>
          <w:i/>
          <w:iCs/>
        </w:rPr>
        <w:t xml:space="preserve">Exclusive </w:t>
      </w:r>
      <w:r w:rsidRPr="00FB51A2">
        <w:rPr>
          <w:rFonts w:cs="Arial"/>
          <w:i/>
          <w:iCs/>
        </w:rPr>
        <w:t>c</w:t>
      </w:r>
      <w:r w:rsidRPr="00FB51A2">
        <w:rPr>
          <w:rFonts w:eastAsia="Calibri" w:cs="Arial"/>
          <w:i/>
          <w:iCs/>
        </w:rPr>
        <w:t>ountryside?  Social inclusion and regeneration in rural areas</w:t>
      </w:r>
      <w:r w:rsidR="0025110B">
        <w:rPr>
          <w:rFonts w:cs="Arial"/>
        </w:rPr>
        <w:t xml:space="preserve">, </w:t>
      </w:r>
      <w:r w:rsidRPr="00FB51A2">
        <w:rPr>
          <w:rFonts w:cs="Arial"/>
        </w:rPr>
        <w:t xml:space="preserve">York: </w:t>
      </w:r>
      <w:r w:rsidRPr="00FB51A2">
        <w:rPr>
          <w:rFonts w:eastAsia="Calibri" w:cs="Arial"/>
        </w:rPr>
        <w:t xml:space="preserve">Joseph </w:t>
      </w:r>
      <w:proofErr w:type="spellStart"/>
      <w:r w:rsidRPr="00FB51A2">
        <w:rPr>
          <w:rFonts w:eastAsia="Calibri" w:cs="Arial"/>
        </w:rPr>
        <w:t>Rowntree</w:t>
      </w:r>
      <w:proofErr w:type="spellEnd"/>
      <w:r w:rsidRPr="00FB51A2">
        <w:rPr>
          <w:rFonts w:eastAsia="Calibri" w:cs="Arial"/>
        </w:rPr>
        <w:t xml:space="preserve"> Foundation.</w:t>
      </w:r>
    </w:p>
    <w:p w:rsidR="002B1945" w:rsidRPr="00FB51A2" w:rsidRDefault="002B1945" w:rsidP="00FB51A2">
      <w:pPr>
        <w:spacing w:line="360" w:lineRule="auto"/>
        <w:ind w:left="426" w:hanging="426"/>
        <w:rPr>
          <w:rFonts w:cs="RealpagePAL3"/>
        </w:rPr>
      </w:pPr>
      <w:r w:rsidRPr="00FB51A2">
        <w:rPr>
          <w:rFonts w:cs="RealpagePAL3"/>
          <w:color w:val="000000"/>
        </w:rPr>
        <w:t>Thomas, L</w:t>
      </w:r>
      <w:r w:rsidR="000E5B1C">
        <w:rPr>
          <w:rFonts w:cs="RealpagePAL3"/>
          <w:color w:val="000000"/>
        </w:rPr>
        <w:t>.</w:t>
      </w:r>
      <w:r w:rsidRPr="00FB51A2">
        <w:rPr>
          <w:rFonts w:cs="RealpagePAL3"/>
          <w:color w:val="000000"/>
        </w:rPr>
        <w:t xml:space="preserve"> (2001) Power, assumptions and prescriptions: A critique of</w:t>
      </w:r>
      <w:r w:rsidRPr="00FB51A2">
        <w:rPr>
          <w:rFonts w:cs="Arial"/>
          <w:color w:val="000000" w:themeColor="text1"/>
        </w:rPr>
        <w:t xml:space="preserve"> </w:t>
      </w:r>
      <w:r w:rsidRPr="00FB51A2">
        <w:rPr>
          <w:rFonts w:cs="RealpagePAL3"/>
          <w:color w:val="000000"/>
        </w:rPr>
        <w:t>wideni</w:t>
      </w:r>
      <w:r w:rsidR="0025110B">
        <w:rPr>
          <w:rFonts w:cs="RealpagePAL3"/>
          <w:color w:val="000000"/>
        </w:rPr>
        <w:t>ng participation policy-making,</w:t>
      </w:r>
      <w:r w:rsidRPr="00FB51A2">
        <w:rPr>
          <w:rFonts w:cs="RealpagePAL3"/>
          <w:color w:val="000000"/>
        </w:rPr>
        <w:t xml:space="preserve"> </w:t>
      </w:r>
      <w:r w:rsidRPr="00FB51A2">
        <w:rPr>
          <w:rFonts w:cs="RealpagePAL3-Italic"/>
          <w:i/>
          <w:iCs/>
        </w:rPr>
        <w:t>Higher Education Policy</w:t>
      </w:r>
      <w:r w:rsidRPr="00FB51A2">
        <w:rPr>
          <w:rFonts w:cs="RealpagePAL3"/>
        </w:rPr>
        <w:t xml:space="preserve"> 14</w:t>
      </w:r>
      <w:r w:rsidR="000E5B1C">
        <w:rPr>
          <w:rFonts w:cs="RealpagePAL3"/>
        </w:rPr>
        <w:t>, 4</w:t>
      </w:r>
      <w:r w:rsidRPr="00FB51A2">
        <w:rPr>
          <w:rFonts w:cs="RealpagePAL3"/>
        </w:rPr>
        <w:t>: 361–76.</w:t>
      </w:r>
    </w:p>
    <w:p w:rsidR="00855874" w:rsidRPr="00FB51A2" w:rsidRDefault="00855874" w:rsidP="00FB51A2">
      <w:pPr>
        <w:spacing w:line="360" w:lineRule="auto"/>
        <w:ind w:left="567" w:hanging="567"/>
      </w:pPr>
      <w:proofErr w:type="spellStart"/>
      <w:r w:rsidRPr="00FB51A2">
        <w:t>Tunstall</w:t>
      </w:r>
      <w:proofErr w:type="spellEnd"/>
      <w:r w:rsidRPr="00FB51A2">
        <w:t xml:space="preserve">, R. </w:t>
      </w:r>
      <w:r w:rsidR="006C1C87">
        <w:t>and</w:t>
      </w:r>
      <w:r w:rsidRPr="00FB51A2">
        <w:t xml:space="preserve"> Lupton, R. (2003) </w:t>
      </w:r>
      <w:r w:rsidRPr="00FB51A2">
        <w:rPr>
          <w:i/>
        </w:rPr>
        <w:t>Is targeting deprived areas an effective means to reach poor people?  An assessment of one rationale for area-based funding programmes</w:t>
      </w:r>
      <w:r w:rsidRPr="00FB51A2">
        <w:t>, CASE paper 70, London</w:t>
      </w:r>
      <w:r w:rsidR="000E5B1C">
        <w:t xml:space="preserve">: </w:t>
      </w:r>
      <w:r w:rsidR="0025110B">
        <w:t>London School of Economics</w:t>
      </w:r>
      <w:r w:rsidRPr="00FB51A2">
        <w:t>.</w:t>
      </w:r>
    </w:p>
    <w:p w:rsidR="00715777" w:rsidRPr="00FB51A2" w:rsidRDefault="00715777" w:rsidP="00FB51A2">
      <w:pPr>
        <w:autoSpaceDE w:val="0"/>
        <w:autoSpaceDN w:val="0"/>
        <w:adjustRightInd w:val="0"/>
        <w:spacing w:line="360" w:lineRule="auto"/>
        <w:ind w:left="425" w:hanging="425"/>
        <w:rPr>
          <w:rFonts w:eastAsia="Calibri" w:cs="Arial"/>
          <w:lang w:eastAsia="en-GB"/>
        </w:rPr>
      </w:pPr>
      <w:r w:rsidRPr="00FB51A2">
        <w:rPr>
          <w:rFonts w:cs="Arial"/>
        </w:rPr>
        <w:t>Universities and Colleges Admissions Service [</w:t>
      </w:r>
      <w:r w:rsidRPr="00FB51A2">
        <w:rPr>
          <w:rFonts w:eastAsia="Calibri" w:cs="Arial"/>
        </w:rPr>
        <w:t>UCAS</w:t>
      </w:r>
      <w:r w:rsidRPr="00FB51A2">
        <w:rPr>
          <w:rFonts w:cs="Arial"/>
        </w:rPr>
        <w:t>]</w:t>
      </w:r>
      <w:r w:rsidR="000E5B1C">
        <w:rPr>
          <w:rFonts w:eastAsia="Calibri" w:cs="Arial"/>
        </w:rPr>
        <w:t xml:space="preserve"> (2008)</w:t>
      </w:r>
      <w:r w:rsidRPr="00FB51A2">
        <w:rPr>
          <w:rFonts w:eastAsia="Calibri" w:cs="Arial"/>
        </w:rPr>
        <w:t xml:space="preserve"> </w:t>
      </w:r>
      <w:r w:rsidRPr="00FB51A2">
        <w:rPr>
          <w:rFonts w:eastAsia="Calibri" w:cs="Arial"/>
          <w:i/>
        </w:rPr>
        <w:t>Distance to higher education</w:t>
      </w:r>
      <w:r w:rsidRPr="00FB51A2">
        <w:rPr>
          <w:rFonts w:eastAsia="Calibri" w:cs="Arial"/>
        </w:rPr>
        <w:t>, Cheltenham: UCAS.</w:t>
      </w:r>
    </w:p>
    <w:p w:rsidR="003E711E" w:rsidRPr="00FB51A2" w:rsidRDefault="00101398" w:rsidP="00FB51A2">
      <w:pPr>
        <w:spacing w:line="360" w:lineRule="auto"/>
        <w:ind w:left="426" w:hanging="426"/>
        <w:rPr>
          <w:rFonts w:cs="Arial"/>
          <w:color w:val="000000" w:themeColor="text1"/>
        </w:rPr>
      </w:pPr>
      <w:r w:rsidRPr="00FB51A2">
        <w:rPr>
          <w:rFonts w:cs="Arial"/>
          <w:color w:val="000000" w:themeColor="text1"/>
        </w:rPr>
        <w:t xml:space="preserve">Universities UK (1998) </w:t>
      </w:r>
      <w:r w:rsidRPr="00FB51A2">
        <w:rPr>
          <w:rFonts w:cs="Arial"/>
          <w:i/>
          <w:color w:val="000000" w:themeColor="text1"/>
        </w:rPr>
        <w:t>From elitism to inclusion: good practice in widening access to higher education</w:t>
      </w:r>
      <w:r w:rsidR="0025110B">
        <w:rPr>
          <w:rFonts w:cs="Arial"/>
          <w:color w:val="000000" w:themeColor="text1"/>
        </w:rPr>
        <w:t>,</w:t>
      </w:r>
      <w:r w:rsidRPr="00FB51A2">
        <w:rPr>
          <w:rFonts w:cs="Arial"/>
          <w:color w:val="000000" w:themeColor="text1"/>
        </w:rPr>
        <w:t xml:space="preserve"> London: Universities UK.</w:t>
      </w:r>
    </w:p>
    <w:sectPr w:rsidR="003E711E" w:rsidRPr="00FB51A2" w:rsidSect="006C1C87">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20" w:rsidRDefault="00655A20" w:rsidP="004506C0">
      <w:pPr>
        <w:spacing w:line="240" w:lineRule="auto"/>
      </w:pPr>
      <w:r>
        <w:separator/>
      </w:r>
    </w:p>
  </w:endnote>
  <w:endnote w:type="continuationSeparator" w:id="0">
    <w:p w:rsidR="00655A20" w:rsidRDefault="00655A20" w:rsidP="004506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RealpagePLA3">
    <w:panose1 w:val="00000000000000000000"/>
    <w:charset w:val="00"/>
    <w:family w:val="swiss"/>
    <w:notTrueType/>
    <w:pitch w:val="default"/>
    <w:sig w:usb0="00000003" w:usb1="00000000" w:usb2="00000000" w:usb3="00000000" w:csb0="00000001" w:csb1="00000000"/>
  </w:font>
  <w:font w:name="RealpagePLA3-Italic">
    <w:panose1 w:val="00000000000000000000"/>
    <w:charset w:val="00"/>
    <w:family w:val="swiss"/>
    <w:notTrueType/>
    <w:pitch w:val="default"/>
    <w:sig w:usb0="00000003" w:usb1="00000000" w:usb2="00000000" w:usb3="00000000" w:csb0="00000001" w:csb1="00000000"/>
  </w:font>
  <w:font w:name="RealpagePAL3">
    <w:panose1 w:val="00000000000000000000"/>
    <w:charset w:val="00"/>
    <w:family w:val="swiss"/>
    <w:notTrueType/>
    <w:pitch w:val="default"/>
    <w:sig w:usb0="00000003" w:usb1="00000000" w:usb2="00000000" w:usb3="00000000" w:csb0="00000001" w:csb1="00000000"/>
  </w:font>
  <w:font w:name="RealpagePAL3-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0032"/>
      <w:docPartObj>
        <w:docPartGallery w:val="Page Numbers (Bottom of Page)"/>
        <w:docPartUnique/>
      </w:docPartObj>
    </w:sdtPr>
    <w:sdtContent>
      <w:p w:rsidR="000F5C11" w:rsidRDefault="00D203F0">
        <w:pPr>
          <w:pStyle w:val="Footer"/>
          <w:jc w:val="center"/>
        </w:pPr>
        <w:fldSimple w:instr=" PAGE   \* MERGEFORMAT ">
          <w:r w:rsidR="004378CD">
            <w:rPr>
              <w:noProof/>
            </w:rPr>
            <w:t>1</w:t>
          </w:r>
        </w:fldSimple>
      </w:p>
    </w:sdtContent>
  </w:sdt>
  <w:p w:rsidR="000F5C11" w:rsidRDefault="000F5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20" w:rsidRDefault="00655A20" w:rsidP="004506C0">
      <w:pPr>
        <w:spacing w:line="240" w:lineRule="auto"/>
      </w:pPr>
      <w:r>
        <w:separator/>
      </w:r>
    </w:p>
  </w:footnote>
  <w:footnote w:type="continuationSeparator" w:id="0">
    <w:p w:rsidR="00655A20" w:rsidRDefault="00655A20" w:rsidP="004506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F40A4"/>
    <w:multiLevelType w:val="hybridMultilevel"/>
    <w:tmpl w:val="3DDEC738"/>
    <w:lvl w:ilvl="0" w:tplc="349A6C72">
      <w:start w:val="1"/>
      <w:numFmt w:val="decimal"/>
      <w:lvlText w:val="%1."/>
      <w:lvlJc w:val="left"/>
      <w:pPr>
        <w:tabs>
          <w:tab w:val="num" w:pos="720"/>
        </w:tabs>
        <w:ind w:left="720" w:hanging="360"/>
      </w:pPr>
    </w:lvl>
    <w:lvl w:ilvl="1" w:tplc="D8082FCA" w:tentative="1">
      <w:start w:val="1"/>
      <w:numFmt w:val="decimal"/>
      <w:lvlText w:val="%2."/>
      <w:lvlJc w:val="left"/>
      <w:pPr>
        <w:tabs>
          <w:tab w:val="num" w:pos="1440"/>
        </w:tabs>
        <w:ind w:left="1440" w:hanging="360"/>
      </w:pPr>
    </w:lvl>
    <w:lvl w:ilvl="2" w:tplc="E37809B6" w:tentative="1">
      <w:start w:val="1"/>
      <w:numFmt w:val="decimal"/>
      <w:lvlText w:val="%3."/>
      <w:lvlJc w:val="left"/>
      <w:pPr>
        <w:tabs>
          <w:tab w:val="num" w:pos="2160"/>
        </w:tabs>
        <w:ind w:left="2160" w:hanging="360"/>
      </w:pPr>
    </w:lvl>
    <w:lvl w:ilvl="3" w:tplc="C54EFCA8" w:tentative="1">
      <w:start w:val="1"/>
      <w:numFmt w:val="decimal"/>
      <w:lvlText w:val="%4."/>
      <w:lvlJc w:val="left"/>
      <w:pPr>
        <w:tabs>
          <w:tab w:val="num" w:pos="2880"/>
        </w:tabs>
        <w:ind w:left="2880" w:hanging="360"/>
      </w:pPr>
    </w:lvl>
    <w:lvl w:ilvl="4" w:tplc="5C1AB6AC" w:tentative="1">
      <w:start w:val="1"/>
      <w:numFmt w:val="decimal"/>
      <w:lvlText w:val="%5."/>
      <w:lvlJc w:val="left"/>
      <w:pPr>
        <w:tabs>
          <w:tab w:val="num" w:pos="3600"/>
        </w:tabs>
        <w:ind w:left="3600" w:hanging="360"/>
      </w:pPr>
    </w:lvl>
    <w:lvl w:ilvl="5" w:tplc="96E2FAC2" w:tentative="1">
      <w:start w:val="1"/>
      <w:numFmt w:val="decimal"/>
      <w:lvlText w:val="%6."/>
      <w:lvlJc w:val="left"/>
      <w:pPr>
        <w:tabs>
          <w:tab w:val="num" w:pos="4320"/>
        </w:tabs>
        <w:ind w:left="4320" w:hanging="360"/>
      </w:pPr>
    </w:lvl>
    <w:lvl w:ilvl="6" w:tplc="6B262B06" w:tentative="1">
      <w:start w:val="1"/>
      <w:numFmt w:val="decimal"/>
      <w:lvlText w:val="%7."/>
      <w:lvlJc w:val="left"/>
      <w:pPr>
        <w:tabs>
          <w:tab w:val="num" w:pos="5040"/>
        </w:tabs>
        <w:ind w:left="5040" w:hanging="360"/>
      </w:pPr>
    </w:lvl>
    <w:lvl w:ilvl="7" w:tplc="D206D724" w:tentative="1">
      <w:start w:val="1"/>
      <w:numFmt w:val="decimal"/>
      <w:lvlText w:val="%8."/>
      <w:lvlJc w:val="left"/>
      <w:pPr>
        <w:tabs>
          <w:tab w:val="num" w:pos="5760"/>
        </w:tabs>
        <w:ind w:left="5760" w:hanging="360"/>
      </w:pPr>
    </w:lvl>
    <w:lvl w:ilvl="8" w:tplc="1BF4B03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6472"/>
    <w:rsid w:val="00005473"/>
    <w:rsid w:val="00007D22"/>
    <w:rsid w:val="00014FBF"/>
    <w:rsid w:val="00015238"/>
    <w:rsid w:val="000231B5"/>
    <w:rsid w:val="00034E67"/>
    <w:rsid w:val="00035F95"/>
    <w:rsid w:val="000712B9"/>
    <w:rsid w:val="00072B0C"/>
    <w:rsid w:val="000813F6"/>
    <w:rsid w:val="00081BA9"/>
    <w:rsid w:val="00096865"/>
    <w:rsid w:val="000B6B86"/>
    <w:rsid w:val="000D18DB"/>
    <w:rsid w:val="000D7E7A"/>
    <w:rsid w:val="000E5B1C"/>
    <w:rsid w:val="000F0C16"/>
    <w:rsid w:val="000F5C11"/>
    <w:rsid w:val="000F7AD5"/>
    <w:rsid w:val="001009B0"/>
    <w:rsid w:val="00101398"/>
    <w:rsid w:val="001063AE"/>
    <w:rsid w:val="0011200D"/>
    <w:rsid w:val="00122B29"/>
    <w:rsid w:val="00163092"/>
    <w:rsid w:val="00175F1A"/>
    <w:rsid w:val="00184012"/>
    <w:rsid w:val="00187474"/>
    <w:rsid w:val="001903E3"/>
    <w:rsid w:val="001B5DEE"/>
    <w:rsid w:val="001D1C3A"/>
    <w:rsid w:val="001E4376"/>
    <w:rsid w:val="001F7270"/>
    <w:rsid w:val="002025AE"/>
    <w:rsid w:val="00220E10"/>
    <w:rsid w:val="00222C25"/>
    <w:rsid w:val="00233E49"/>
    <w:rsid w:val="00246C78"/>
    <w:rsid w:val="0025110B"/>
    <w:rsid w:val="00271306"/>
    <w:rsid w:val="00272532"/>
    <w:rsid w:val="00274B82"/>
    <w:rsid w:val="002A71CD"/>
    <w:rsid w:val="002A7E05"/>
    <w:rsid w:val="002B1945"/>
    <w:rsid w:val="002D1752"/>
    <w:rsid w:val="002D26B7"/>
    <w:rsid w:val="002D361B"/>
    <w:rsid w:val="002E0474"/>
    <w:rsid w:val="002F7EAD"/>
    <w:rsid w:val="0033597F"/>
    <w:rsid w:val="00343609"/>
    <w:rsid w:val="003507F5"/>
    <w:rsid w:val="003572C9"/>
    <w:rsid w:val="00373EF8"/>
    <w:rsid w:val="00383BAD"/>
    <w:rsid w:val="003D2BCE"/>
    <w:rsid w:val="003D2D7A"/>
    <w:rsid w:val="003E711E"/>
    <w:rsid w:val="003F536D"/>
    <w:rsid w:val="0040117D"/>
    <w:rsid w:val="0041004E"/>
    <w:rsid w:val="00410A9A"/>
    <w:rsid w:val="00422BC9"/>
    <w:rsid w:val="00430A6C"/>
    <w:rsid w:val="00436472"/>
    <w:rsid w:val="00437060"/>
    <w:rsid w:val="004378CD"/>
    <w:rsid w:val="004453F4"/>
    <w:rsid w:val="00447796"/>
    <w:rsid w:val="004506C0"/>
    <w:rsid w:val="00454AD3"/>
    <w:rsid w:val="00462B85"/>
    <w:rsid w:val="00463FA4"/>
    <w:rsid w:val="004661E0"/>
    <w:rsid w:val="00492A28"/>
    <w:rsid w:val="004A1755"/>
    <w:rsid w:val="004F713D"/>
    <w:rsid w:val="00507FF7"/>
    <w:rsid w:val="005405C1"/>
    <w:rsid w:val="00541853"/>
    <w:rsid w:val="0055041A"/>
    <w:rsid w:val="0055473A"/>
    <w:rsid w:val="0056435B"/>
    <w:rsid w:val="00564DB2"/>
    <w:rsid w:val="005839F0"/>
    <w:rsid w:val="005A0534"/>
    <w:rsid w:val="005A1EB1"/>
    <w:rsid w:val="005A227C"/>
    <w:rsid w:val="005C5C47"/>
    <w:rsid w:val="005D589D"/>
    <w:rsid w:val="005D7B8A"/>
    <w:rsid w:val="005E0929"/>
    <w:rsid w:val="005E4552"/>
    <w:rsid w:val="006001DD"/>
    <w:rsid w:val="00602472"/>
    <w:rsid w:val="006332E5"/>
    <w:rsid w:val="00655A20"/>
    <w:rsid w:val="00662ACC"/>
    <w:rsid w:val="00677AA1"/>
    <w:rsid w:val="00690A33"/>
    <w:rsid w:val="00691189"/>
    <w:rsid w:val="00697FF8"/>
    <w:rsid w:val="006B49BC"/>
    <w:rsid w:val="006C1C87"/>
    <w:rsid w:val="006C7DEE"/>
    <w:rsid w:val="006D5817"/>
    <w:rsid w:val="006D7E0E"/>
    <w:rsid w:val="006E3347"/>
    <w:rsid w:val="006F11BF"/>
    <w:rsid w:val="00700A6D"/>
    <w:rsid w:val="0070581E"/>
    <w:rsid w:val="00715777"/>
    <w:rsid w:val="0073093B"/>
    <w:rsid w:val="00730FBE"/>
    <w:rsid w:val="00734060"/>
    <w:rsid w:val="00740CD3"/>
    <w:rsid w:val="00745365"/>
    <w:rsid w:val="007458A4"/>
    <w:rsid w:val="00773EC6"/>
    <w:rsid w:val="007830AB"/>
    <w:rsid w:val="00787BA2"/>
    <w:rsid w:val="0079369D"/>
    <w:rsid w:val="007C5890"/>
    <w:rsid w:val="007D157B"/>
    <w:rsid w:val="007E3751"/>
    <w:rsid w:val="007E7C6A"/>
    <w:rsid w:val="008059FA"/>
    <w:rsid w:val="00807554"/>
    <w:rsid w:val="00830971"/>
    <w:rsid w:val="00855874"/>
    <w:rsid w:val="00857EF0"/>
    <w:rsid w:val="0088009C"/>
    <w:rsid w:val="008800B8"/>
    <w:rsid w:val="008C1EFF"/>
    <w:rsid w:val="008C617F"/>
    <w:rsid w:val="008C7816"/>
    <w:rsid w:val="008D0067"/>
    <w:rsid w:val="008E60CE"/>
    <w:rsid w:val="008E6B34"/>
    <w:rsid w:val="009168D6"/>
    <w:rsid w:val="00917A13"/>
    <w:rsid w:val="00934988"/>
    <w:rsid w:val="009668FE"/>
    <w:rsid w:val="0097309F"/>
    <w:rsid w:val="00981E0A"/>
    <w:rsid w:val="009A56EF"/>
    <w:rsid w:val="009B3413"/>
    <w:rsid w:val="009B4221"/>
    <w:rsid w:val="009C30C1"/>
    <w:rsid w:val="009E2434"/>
    <w:rsid w:val="009F0F64"/>
    <w:rsid w:val="00A02597"/>
    <w:rsid w:val="00A11330"/>
    <w:rsid w:val="00A11FAA"/>
    <w:rsid w:val="00A25AFF"/>
    <w:rsid w:val="00A4092A"/>
    <w:rsid w:val="00A41BE9"/>
    <w:rsid w:val="00A42494"/>
    <w:rsid w:val="00A42DD7"/>
    <w:rsid w:val="00A44DF0"/>
    <w:rsid w:val="00A707A6"/>
    <w:rsid w:val="00A8555F"/>
    <w:rsid w:val="00AB3E1B"/>
    <w:rsid w:val="00AC02AE"/>
    <w:rsid w:val="00AC0B27"/>
    <w:rsid w:val="00AD5F98"/>
    <w:rsid w:val="00AF0FDF"/>
    <w:rsid w:val="00AF2DA4"/>
    <w:rsid w:val="00AF70E2"/>
    <w:rsid w:val="00B018C5"/>
    <w:rsid w:val="00B0307A"/>
    <w:rsid w:val="00B166F5"/>
    <w:rsid w:val="00B22B1A"/>
    <w:rsid w:val="00B23196"/>
    <w:rsid w:val="00B254B7"/>
    <w:rsid w:val="00B42701"/>
    <w:rsid w:val="00B51E7A"/>
    <w:rsid w:val="00B63BC4"/>
    <w:rsid w:val="00B67E7B"/>
    <w:rsid w:val="00B70B25"/>
    <w:rsid w:val="00B8233D"/>
    <w:rsid w:val="00B82B91"/>
    <w:rsid w:val="00B8430F"/>
    <w:rsid w:val="00B8498B"/>
    <w:rsid w:val="00B9449C"/>
    <w:rsid w:val="00BA71EA"/>
    <w:rsid w:val="00BB5B89"/>
    <w:rsid w:val="00BD3EB2"/>
    <w:rsid w:val="00BD4DF3"/>
    <w:rsid w:val="00BE35F0"/>
    <w:rsid w:val="00BF7483"/>
    <w:rsid w:val="00C24416"/>
    <w:rsid w:val="00C35BDD"/>
    <w:rsid w:val="00C42205"/>
    <w:rsid w:val="00C6758B"/>
    <w:rsid w:val="00C90798"/>
    <w:rsid w:val="00C933D8"/>
    <w:rsid w:val="00CA025D"/>
    <w:rsid w:val="00CA75C1"/>
    <w:rsid w:val="00CB5B4D"/>
    <w:rsid w:val="00CC1C13"/>
    <w:rsid w:val="00D027C6"/>
    <w:rsid w:val="00D1527F"/>
    <w:rsid w:val="00D17E7D"/>
    <w:rsid w:val="00D203F0"/>
    <w:rsid w:val="00D325BD"/>
    <w:rsid w:val="00D441DA"/>
    <w:rsid w:val="00D545D3"/>
    <w:rsid w:val="00D61D18"/>
    <w:rsid w:val="00D66881"/>
    <w:rsid w:val="00D74D04"/>
    <w:rsid w:val="00DA64A6"/>
    <w:rsid w:val="00DA6649"/>
    <w:rsid w:val="00DB0AB5"/>
    <w:rsid w:val="00DB0B0B"/>
    <w:rsid w:val="00DB5B9F"/>
    <w:rsid w:val="00DE4622"/>
    <w:rsid w:val="00DF1C2F"/>
    <w:rsid w:val="00DF3EB2"/>
    <w:rsid w:val="00DF43DB"/>
    <w:rsid w:val="00DF6F71"/>
    <w:rsid w:val="00E15087"/>
    <w:rsid w:val="00E20A3A"/>
    <w:rsid w:val="00E24ECA"/>
    <w:rsid w:val="00E277D4"/>
    <w:rsid w:val="00E37D4D"/>
    <w:rsid w:val="00E61530"/>
    <w:rsid w:val="00E92BA7"/>
    <w:rsid w:val="00E958F7"/>
    <w:rsid w:val="00EB2BAC"/>
    <w:rsid w:val="00ED30C5"/>
    <w:rsid w:val="00EF29FD"/>
    <w:rsid w:val="00F10897"/>
    <w:rsid w:val="00F1216F"/>
    <w:rsid w:val="00F13088"/>
    <w:rsid w:val="00F1364D"/>
    <w:rsid w:val="00F261D7"/>
    <w:rsid w:val="00F37DEE"/>
    <w:rsid w:val="00F909DB"/>
    <w:rsid w:val="00F940AB"/>
    <w:rsid w:val="00F959C1"/>
    <w:rsid w:val="00FB3372"/>
    <w:rsid w:val="00FB51A2"/>
    <w:rsid w:val="00FE3A12"/>
    <w:rsid w:val="00FF6E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6D"/>
  </w:style>
  <w:style w:type="paragraph" w:styleId="Heading1">
    <w:name w:val="heading 1"/>
    <w:basedOn w:val="Normal"/>
    <w:link w:val="Heading1Char"/>
    <w:uiPriority w:val="9"/>
    <w:qFormat/>
    <w:rsid w:val="00C24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030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C5"/>
    <w:pPr>
      <w:ind w:left="720"/>
      <w:contextualSpacing/>
    </w:pPr>
  </w:style>
  <w:style w:type="character" w:styleId="CommentReference">
    <w:name w:val="annotation reference"/>
    <w:basedOn w:val="DefaultParagraphFont"/>
    <w:uiPriority w:val="99"/>
    <w:semiHidden/>
    <w:unhideWhenUsed/>
    <w:rsid w:val="00272532"/>
    <w:rPr>
      <w:sz w:val="16"/>
      <w:szCs w:val="16"/>
    </w:rPr>
  </w:style>
  <w:style w:type="paragraph" w:styleId="CommentText">
    <w:name w:val="annotation text"/>
    <w:basedOn w:val="Normal"/>
    <w:link w:val="CommentTextChar"/>
    <w:uiPriority w:val="99"/>
    <w:semiHidden/>
    <w:unhideWhenUsed/>
    <w:rsid w:val="00272532"/>
    <w:pPr>
      <w:spacing w:line="240" w:lineRule="auto"/>
    </w:pPr>
    <w:rPr>
      <w:sz w:val="20"/>
      <w:szCs w:val="20"/>
    </w:rPr>
  </w:style>
  <w:style w:type="character" w:customStyle="1" w:styleId="CommentTextChar">
    <w:name w:val="Comment Text Char"/>
    <w:basedOn w:val="DefaultParagraphFont"/>
    <w:link w:val="CommentText"/>
    <w:uiPriority w:val="99"/>
    <w:semiHidden/>
    <w:rsid w:val="00272532"/>
    <w:rPr>
      <w:sz w:val="20"/>
      <w:szCs w:val="20"/>
    </w:rPr>
  </w:style>
  <w:style w:type="paragraph" w:styleId="CommentSubject">
    <w:name w:val="annotation subject"/>
    <w:basedOn w:val="CommentText"/>
    <w:next w:val="CommentText"/>
    <w:link w:val="CommentSubjectChar"/>
    <w:uiPriority w:val="99"/>
    <w:semiHidden/>
    <w:unhideWhenUsed/>
    <w:rsid w:val="00272532"/>
    <w:rPr>
      <w:b/>
      <w:bCs/>
    </w:rPr>
  </w:style>
  <w:style w:type="character" w:customStyle="1" w:styleId="CommentSubjectChar">
    <w:name w:val="Comment Subject Char"/>
    <w:basedOn w:val="CommentTextChar"/>
    <w:link w:val="CommentSubject"/>
    <w:uiPriority w:val="99"/>
    <w:semiHidden/>
    <w:rsid w:val="00272532"/>
    <w:rPr>
      <w:b/>
      <w:bCs/>
    </w:rPr>
  </w:style>
  <w:style w:type="paragraph" w:styleId="BalloonText">
    <w:name w:val="Balloon Text"/>
    <w:basedOn w:val="Normal"/>
    <w:link w:val="BalloonTextChar"/>
    <w:uiPriority w:val="99"/>
    <w:semiHidden/>
    <w:unhideWhenUsed/>
    <w:rsid w:val="00272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32"/>
    <w:rPr>
      <w:rFonts w:ascii="Tahoma" w:hAnsi="Tahoma" w:cs="Tahoma"/>
      <w:sz w:val="16"/>
      <w:szCs w:val="16"/>
    </w:rPr>
  </w:style>
  <w:style w:type="character" w:customStyle="1" w:styleId="Heading1Char">
    <w:name w:val="Heading 1 Char"/>
    <w:basedOn w:val="DefaultParagraphFont"/>
    <w:link w:val="Heading1"/>
    <w:uiPriority w:val="9"/>
    <w:rsid w:val="00C24416"/>
    <w:rPr>
      <w:rFonts w:ascii="Times New Roman" w:eastAsia="Times New Roman" w:hAnsi="Times New Roman" w:cs="Times New Roman"/>
      <w:b/>
      <w:bCs/>
      <w:kern w:val="36"/>
      <w:sz w:val="48"/>
      <w:szCs w:val="48"/>
      <w:lang w:eastAsia="en-GB"/>
    </w:rPr>
  </w:style>
  <w:style w:type="paragraph" w:customStyle="1" w:styleId="Default">
    <w:name w:val="Default"/>
    <w:rsid w:val="003D2BCE"/>
    <w:pPr>
      <w:autoSpaceDE w:val="0"/>
      <w:autoSpaceDN w:val="0"/>
      <w:adjustRightInd w:val="0"/>
      <w:spacing w:line="240" w:lineRule="auto"/>
    </w:pPr>
    <w:rPr>
      <w:rFonts w:ascii="Times New Roman" w:hAnsi="Times New Roman" w:cs="Times New Roman"/>
      <w:color w:val="000000"/>
      <w:sz w:val="24"/>
      <w:szCs w:val="24"/>
    </w:rPr>
  </w:style>
  <w:style w:type="paragraph" w:customStyle="1" w:styleId="CM54">
    <w:name w:val="CM54"/>
    <w:basedOn w:val="Default"/>
    <w:next w:val="Default"/>
    <w:uiPriority w:val="99"/>
    <w:rsid w:val="003D2BCE"/>
    <w:rPr>
      <w:color w:val="auto"/>
    </w:rPr>
  </w:style>
  <w:style w:type="paragraph" w:styleId="Header">
    <w:name w:val="header"/>
    <w:basedOn w:val="Normal"/>
    <w:link w:val="HeaderChar"/>
    <w:uiPriority w:val="99"/>
    <w:semiHidden/>
    <w:unhideWhenUsed/>
    <w:rsid w:val="004506C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506C0"/>
  </w:style>
  <w:style w:type="paragraph" w:styleId="Footer">
    <w:name w:val="footer"/>
    <w:basedOn w:val="Normal"/>
    <w:link w:val="FooterChar"/>
    <w:uiPriority w:val="99"/>
    <w:unhideWhenUsed/>
    <w:rsid w:val="004506C0"/>
    <w:pPr>
      <w:tabs>
        <w:tab w:val="center" w:pos="4513"/>
        <w:tab w:val="right" w:pos="9026"/>
      </w:tabs>
      <w:spacing w:line="240" w:lineRule="auto"/>
    </w:pPr>
  </w:style>
  <w:style w:type="character" w:customStyle="1" w:styleId="FooterChar">
    <w:name w:val="Footer Char"/>
    <w:basedOn w:val="DefaultParagraphFont"/>
    <w:link w:val="Footer"/>
    <w:uiPriority w:val="99"/>
    <w:rsid w:val="004506C0"/>
  </w:style>
  <w:style w:type="character" w:customStyle="1" w:styleId="Heading2Char">
    <w:name w:val="Heading 2 Char"/>
    <w:basedOn w:val="DefaultParagraphFont"/>
    <w:link w:val="Heading2"/>
    <w:uiPriority w:val="9"/>
    <w:semiHidden/>
    <w:rsid w:val="00B0307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F940AB"/>
    <w:rPr>
      <w:i/>
      <w:iCs/>
    </w:rPr>
  </w:style>
  <w:style w:type="character" w:styleId="Hyperlink">
    <w:name w:val="Hyperlink"/>
    <w:basedOn w:val="DefaultParagraphFont"/>
    <w:uiPriority w:val="99"/>
    <w:unhideWhenUsed/>
    <w:rsid w:val="00F94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518072">
      <w:bodyDiv w:val="1"/>
      <w:marLeft w:val="0"/>
      <w:marRight w:val="0"/>
      <w:marTop w:val="0"/>
      <w:marBottom w:val="0"/>
      <w:divBdr>
        <w:top w:val="none" w:sz="0" w:space="0" w:color="auto"/>
        <w:left w:val="none" w:sz="0" w:space="0" w:color="auto"/>
        <w:bottom w:val="none" w:sz="0" w:space="0" w:color="auto"/>
        <w:right w:val="none" w:sz="0" w:space="0" w:color="auto"/>
      </w:divBdr>
    </w:div>
    <w:div w:id="272517914">
      <w:bodyDiv w:val="1"/>
      <w:marLeft w:val="0"/>
      <w:marRight w:val="0"/>
      <w:marTop w:val="0"/>
      <w:marBottom w:val="0"/>
      <w:divBdr>
        <w:top w:val="none" w:sz="0" w:space="0" w:color="auto"/>
        <w:left w:val="none" w:sz="0" w:space="0" w:color="auto"/>
        <w:bottom w:val="none" w:sz="0" w:space="0" w:color="auto"/>
        <w:right w:val="none" w:sz="0" w:space="0" w:color="auto"/>
      </w:divBdr>
    </w:div>
    <w:div w:id="347801793">
      <w:bodyDiv w:val="1"/>
      <w:marLeft w:val="0"/>
      <w:marRight w:val="0"/>
      <w:marTop w:val="0"/>
      <w:marBottom w:val="0"/>
      <w:divBdr>
        <w:top w:val="none" w:sz="0" w:space="0" w:color="auto"/>
        <w:left w:val="none" w:sz="0" w:space="0" w:color="auto"/>
        <w:bottom w:val="none" w:sz="0" w:space="0" w:color="auto"/>
        <w:right w:val="none" w:sz="0" w:space="0" w:color="auto"/>
      </w:divBdr>
    </w:div>
    <w:div w:id="518010509">
      <w:bodyDiv w:val="1"/>
      <w:marLeft w:val="0"/>
      <w:marRight w:val="0"/>
      <w:marTop w:val="0"/>
      <w:marBottom w:val="0"/>
      <w:divBdr>
        <w:top w:val="none" w:sz="0" w:space="0" w:color="auto"/>
        <w:left w:val="none" w:sz="0" w:space="0" w:color="auto"/>
        <w:bottom w:val="none" w:sz="0" w:space="0" w:color="auto"/>
        <w:right w:val="none" w:sz="0" w:space="0" w:color="auto"/>
      </w:divBdr>
    </w:div>
    <w:div w:id="924539019">
      <w:bodyDiv w:val="1"/>
      <w:marLeft w:val="0"/>
      <w:marRight w:val="0"/>
      <w:marTop w:val="0"/>
      <w:marBottom w:val="0"/>
      <w:divBdr>
        <w:top w:val="none" w:sz="0" w:space="0" w:color="auto"/>
        <w:left w:val="none" w:sz="0" w:space="0" w:color="auto"/>
        <w:bottom w:val="none" w:sz="0" w:space="0" w:color="auto"/>
        <w:right w:val="none" w:sz="0" w:space="0" w:color="auto"/>
      </w:divBdr>
    </w:div>
    <w:div w:id="1325864220">
      <w:bodyDiv w:val="1"/>
      <w:marLeft w:val="0"/>
      <w:marRight w:val="0"/>
      <w:marTop w:val="0"/>
      <w:marBottom w:val="0"/>
      <w:divBdr>
        <w:top w:val="none" w:sz="0" w:space="0" w:color="auto"/>
        <w:left w:val="none" w:sz="0" w:space="0" w:color="auto"/>
        <w:bottom w:val="none" w:sz="0" w:space="0" w:color="auto"/>
        <w:right w:val="none" w:sz="0" w:space="0" w:color="auto"/>
      </w:divBdr>
      <w:divsChild>
        <w:div w:id="1065642820">
          <w:marLeft w:val="806"/>
          <w:marRight w:val="0"/>
          <w:marTop w:val="134"/>
          <w:marBottom w:val="0"/>
          <w:divBdr>
            <w:top w:val="none" w:sz="0" w:space="0" w:color="auto"/>
            <w:left w:val="none" w:sz="0" w:space="0" w:color="auto"/>
            <w:bottom w:val="none" w:sz="0" w:space="0" w:color="auto"/>
            <w:right w:val="none" w:sz="0" w:space="0" w:color="auto"/>
          </w:divBdr>
        </w:div>
        <w:div w:id="1193809677">
          <w:marLeft w:val="806"/>
          <w:marRight w:val="0"/>
          <w:marTop w:val="134"/>
          <w:marBottom w:val="0"/>
          <w:divBdr>
            <w:top w:val="none" w:sz="0" w:space="0" w:color="auto"/>
            <w:left w:val="none" w:sz="0" w:space="0" w:color="auto"/>
            <w:bottom w:val="none" w:sz="0" w:space="0" w:color="auto"/>
            <w:right w:val="none" w:sz="0" w:space="0" w:color="auto"/>
          </w:divBdr>
        </w:div>
        <w:div w:id="1439376755">
          <w:marLeft w:val="806"/>
          <w:marRight w:val="0"/>
          <w:marTop w:val="134"/>
          <w:marBottom w:val="0"/>
          <w:divBdr>
            <w:top w:val="none" w:sz="0" w:space="0" w:color="auto"/>
            <w:left w:val="none" w:sz="0" w:space="0" w:color="auto"/>
            <w:bottom w:val="none" w:sz="0" w:space="0" w:color="auto"/>
            <w:right w:val="none" w:sz="0" w:space="0" w:color="auto"/>
          </w:divBdr>
        </w:div>
        <w:div w:id="1253509656">
          <w:marLeft w:val="806"/>
          <w:marRight w:val="0"/>
          <w:marTop w:val="134"/>
          <w:marBottom w:val="0"/>
          <w:divBdr>
            <w:top w:val="none" w:sz="0" w:space="0" w:color="auto"/>
            <w:left w:val="none" w:sz="0" w:space="0" w:color="auto"/>
            <w:bottom w:val="none" w:sz="0" w:space="0" w:color="auto"/>
            <w:right w:val="none" w:sz="0" w:space="0" w:color="auto"/>
          </w:divBdr>
        </w:div>
        <w:div w:id="1446849291">
          <w:marLeft w:val="806"/>
          <w:marRight w:val="0"/>
          <w:marTop w:val="134"/>
          <w:marBottom w:val="0"/>
          <w:divBdr>
            <w:top w:val="none" w:sz="0" w:space="0" w:color="auto"/>
            <w:left w:val="none" w:sz="0" w:space="0" w:color="auto"/>
            <w:bottom w:val="none" w:sz="0" w:space="0" w:color="auto"/>
            <w:right w:val="none" w:sz="0" w:space="0" w:color="auto"/>
          </w:divBdr>
        </w:div>
      </w:divsChild>
    </w:div>
    <w:div w:id="20744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eil%20Harrison\Desktop\GC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1294663167104116"/>
          <c:y val="5.1400554097404488E-2"/>
          <c:w val="0.60958114610673653"/>
          <c:h val="0.7827803295421405"/>
        </c:manualLayout>
      </c:layout>
      <c:lineChart>
        <c:grouping val="standard"/>
        <c:ser>
          <c:idx val="0"/>
          <c:order val="0"/>
          <c:tx>
            <c:v>Five GCSEs including equivalents</c:v>
          </c:tx>
          <c:marker>
            <c:symbol val="triangle"/>
            <c:size val="5"/>
          </c:marker>
          <c:cat>
            <c:numRef>
              <c:f>Sheet1!$A$2:$A$11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Sheet1!$B$2:$B$11</c:f>
              <c:numCache>
                <c:formatCode>0.0%</c:formatCode>
                <c:ptCount val="10"/>
                <c:pt idx="0">
                  <c:v>0.51600000000000001</c:v>
                </c:pt>
                <c:pt idx="1">
                  <c:v>0.52900000000000003</c:v>
                </c:pt>
                <c:pt idx="2">
                  <c:v>0.53700000000000003</c:v>
                </c:pt>
                <c:pt idx="3">
                  <c:v>0.56299999999999994</c:v>
                </c:pt>
                <c:pt idx="4">
                  <c:v>0.5850000000000003</c:v>
                </c:pt>
                <c:pt idx="5">
                  <c:v>0.60900000000000065</c:v>
                </c:pt>
                <c:pt idx="6">
                  <c:v>0.64800000000000113</c:v>
                </c:pt>
                <c:pt idx="7">
                  <c:v>0.70000000000000062</c:v>
                </c:pt>
                <c:pt idx="8">
                  <c:v>0.75400000000000111</c:v>
                </c:pt>
                <c:pt idx="9">
                  <c:v>0.79500000000000004</c:v>
                </c:pt>
              </c:numCache>
            </c:numRef>
          </c:val>
        </c:ser>
        <c:ser>
          <c:idx val="1"/>
          <c:order val="1"/>
          <c:tx>
            <c:v>Five GSCEs including English and Maths, but excluding equivalents</c:v>
          </c:tx>
          <c:spPr>
            <a:ln cmpd="dbl"/>
          </c:spPr>
          <c:marker>
            <c:symbol val="square"/>
            <c:size val="5"/>
          </c:marker>
          <c:cat>
            <c:numRef>
              <c:f>Sheet1!$A$2:$A$11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Sheet1!$C$2:$C$11</c:f>
              <c:numCache>
                <c:formatCode>0.0%</c:formatCode>
                <c:ptCount val="10"/>
                <c:pt idx="0">
                  <c:v>0.41800000000000032</c:v>
                </c:pt>
                <c:pt idx="1">
                  <c:v>0.41500000000000031</c:v>
                </c:pt>
                <c:pt idx="2">
                  <c:v>0.42200000000000032</c:v>
                </c:pt>
                <c:pt idx="3">
                  <c:v>0.4390000000000005</c:v>
                </c:pt>
                <c:pt idx="4">
                  <c:v>0.44500000000000017</c:v>
                </c:pt>
                <c:pt idx="5">
                  <c:v>0.4370000000000005</c:v>
                </c:pt>
                <c:pt idx="6">
                  <c:v>0.45200000000000001</c:v>
                </c:pt>
                <c:pt idx="7">
                  <c:v>0.47300000000000031</c:v>
                </c:pt>
                <c:pt idx="8">
                  <c:v>0.49200000000000038</c:v>
                </c:pt>
                <c:pt idx="9">
                  <c:v>0.52300000000000002</c:v>
                </c:pt>
              </c:numCache>
            </c:numRef>
          </c:val>
        </c:ser>
        <c:marker val="1"/>
        <c:axId val="49616384"/>
        <c:axId val="49617920"/>
      </c:lineChart>
      <c:catAx>
        <c:axId val="49616384"/>
        <c:scaling>
          <c:orientation val="minMax"/>
        </c:scaling>
        <c:axPos val="b"/>
        <c:numFmt formatCode="General" sourceLinked="1"/>
        <c:tickLblPos val="nextTo"/>
        <c:txPr>
          <a:bodyPr rot="2700000" vert="horz"/>
          <a:lstStyle/>
          <a:p>
            <a:pPr>
              <a:defRPr/>
            </a:pPr>
            <a:endParaRPr lang="en-US"/>
          </a:p>
        </c:txPr>
        <c:crossAx val="49617920"/>
        <c:crosses val="autoZero"/>
        <c:auto val="1"/>
        <c:lblAlgn val="ctr"/>
        <c:lblOffset val="100"/>
      </c:catAx>
      <c:valAx>
        <c:axId val="49617920"/>
        <c:scaling>
          <c:orientation val="minMax"/>
        </c:scaling>
        <c:axPos val="l"/>
        <c:majorGridlines/>
        <c:numFmt formatCode="0%" sourceLinked="0"/>
        <c:tickLblPos val="nextTo"/>
        <c:crossAx val="49616384"/>
        <c:crosses val="autoZero"/>
        <c:crossBetween val="between"/>
      </c:valAx>
    </c:plotArea>
    <c:legend>
      <c:legendPos val="r"/>
      <c:layout>
        <c:manualLayout>
          <c:xMode val="edge"/>
          <c:yMode val="edge"/>
          <c:x val="0.73379155730533896"/>
          <c:y val="0.20255212890055366"/>
          <c:w val="0.24398622047244176"/>
          <c:h val="0.66434018664333816"/>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CADD9AB-0D1F-42E9-B388-5DC73BE8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6625</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Harrison</dc:creator>
  <cp:lastModifiedBy>Neil Harrison</cp:lastModifiedBy>
  <cp:revision>9</cp:revision>
  <dcterms:created xsi:type="dcterms:W3CDTF">2012-12-18T15:22:00Z</dcterms:created>
  <dcterms:modified xsi:type="dcterms:W3CDTF">2012-12-18T16:11:00Z</dcterms:modified>
</cp:coreProperties>
</file>