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55" w:rsidRDefault="00034AB9" w:rsidP="000461A3">
      <w:pPr>
        <w:autoSpaceDE w:val="0"/>
        <w:autoSpaceDN w:val="0"/>
        <w:adjustRightInd w:val="0"/>
        <w:jc w:val="center"/>
        <w:rPr>
          <w:bCs/>
          <w:color w:val="000000"/>
          <w:sz w:val="48"/>
          <w:szCs w:val="48"/>
        </w:rPr>
      </w:pPr>
      <w:r w:rsidRPr="000461A3">
        <w:rPr>
          <w:bCs/>
          <w:color w:val="000000"/>
          <w:sz w:val="48"/>
          <w:szCs w:val="48"/>
        </w:rPr>
        <w:t xml:space="preserve">The mismeasure of participation: </w:t>
      </w:r>
    </w:p>
    <w:p w:rsidR="00A03455" w:rsidRDefault="00034AB9" w:rsidP="000461A3">
      <w:pPr>
        <w:autoSpaceDE w:val="0"/>
        <w:autoSpaceDN w:val="0"/>
        <w:adjustRightInd w:val="0"/>
        <w:jc w:val="center"/>
        <w:rPr>
          <w:bCs/>
          <w:color w:val="000000"/>
          <w:sz w:val="48"/>
          <w:szCs w:val="48"/>
        </w:rPr>
      </w:pPr>
      <w:r w:rsidRPr="000461A3">
        <w:rPr>
          <w:bCs/>
          <w:color w:val="000000"/>
          <w:sz w:val="48"/>
          <w:szCs w:val="48"/>
        </w:rPr>
        <w:t>how choosing the ‘wrong’</w:t>
      </w:r>
      <w:r w:rsidR="00310611">
        <w:rPr>
          <w:bCs/>
          <w:color w:val="000000"/>
          <w:sz w:val="48"/>
          <w:szCs w:val="48"/>
        </w:rPr>
        <w:t xml:space="preserve"> </w:t>
      </w:r>
      <w:r w:rsidRPr="000461A3">
        <w:rPr>
          <w:bCs/>
          <w:color w:val="000000"/>
          <w:sz w:val="48"/>
          <w:szCs w:val="48"/>
        </w:rPr>
        <w:t xml:space="preserve">statistic </w:t>
      </w:r>
    </w:p>
    <w:p w:rsidR="00034AB9" w:rsidRDefault="00034AB9" w:rsidP="00A03455">
      <w:pPr>
        <w:autoSpaceDE w:val="0"/>
        <w:autoSpaceDN w:val="0"/>
        <w:adjustRightInd w:val="0"/>
        <w:jc w:val="center"/>
        <w:rPr>
          <w:bCs/>
          <w:color w:val="000000"/>
          <w:sz w:val="48"/>
          <w:szCs w:val="48"/>
        </w:rPr>
      </w:pPr>
      <w:r w:rsidRPr="000461A3">
        <w:rPr>
          <w:bCs/>
          <w:color w:val="000000"/>
          <w:sz w:val="48"/>
          <w:szCs w:val="48"/>
        </w:rPr>
        <w:t>helped seal the fate of Aimhigher</w:t>
      </w:r>
    </w:p>
    <w:p w:rsidR="000461A3" w:rsidRDefault="000461A3" w:rsidP="000461A3">
      <w:pPr>
        <w:autoSpaceDE w:val="0"/>
        <w:autoSpaceDN w:val="0"/>
        <w:adjustRightInd w:val="0"/>
        <w:ind w:left="720"/>
        <w:jc w:val="center"/>
        <w:rPr>
          <w:bCs/>
          <w:color w:val="000000"/>
          <w:sz w:val="48"/>
          <w:szCs w:val="48"/>
        </w:rPr>
      </w:pPr>
    </w:p>
    <w:p w:rsidR="000461A3" w:rsidRDefault="000461A3" w:rsidP="00310611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0461A3">
        <w:rPr>
          <w:bCs/>
          <w:color w:val="000000"/>
          <w:sz w:val="20"/>
          <w:szCs w:val="20"/>
        </w:rPr>
        <w:t>Neil Harrison</w:t>
      </w:r>
    </w:p>
    <w:p w:rsidR="00310611" w:rsidRDefault="00310611" w:rsidP="00310611">
      <w:pPr>
        <w:autoSpaceDE w:val="0"/>
        <w:autoSpaceDN w:val="0"/>
        <w:adjustRightInd w:val="0"/>
        <w:ind w:left="720"/>
        <w:jc w:val="center"/>
        <w:rPr>
          <w:color w:val="000000"/>
          <w:sz w:val="20"/>
          <w:szCs w:val="20"/>
        </w:rPr>
      </w:pPr>
    </w:p>
    <w:p w:rsidR="000461A3" w:rsidRPr="00DD22D6" w:rsidRDefault="000461A3" w:rsidP="000461A3">
      <w:pPr>
        <w:jc w:val="both"/>
        <w:rPr>
          <w:sz w:val="20"/>
          <w:szCs w:val="20"/>
        </w:rPr>
      </w:pPr>
      <w:r w:rsidRPr="00DD22D6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</w:t>
      </w:r>
    </w:p>
    <w:p w:rsidR="000461A3" w:rsidRPr="000461A3" w:rsidRDefault="000461A3" w:rsidP="000461A3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0461A3">
        <w:rPr>
          <w:i/>
          <w:iCs/>
          <w:color w:val="000000"/>
          <w:sz w:val="20"/>
          <w:szCs w:val="20"/>
        </w:rPr>
        <w:t xml:space="preserve">Extant between 2004 and 2011, </w:t>
      </w:r>
      <w:r w:rsidRPr="000461A3">
        <w:rPr>
          <w:color w:val="000000"/>
          <w:sz w:val="20"/>
          <w:szCs w:val="20"/>
        </w:rPr>
        <w:t xml:space="preserve">Aimhigher </w:t>
      </w:r>
      <w:r w:rsidRPr="000461A3">
        <w:rPr>
          <w:i/>
          <w:iCs/>
          <w:color w:val="000000"/>
          <w:sz w:val="20"/>
          <w:szCs w:val="20"/>
        </w:rPr>
        <w:t xml:space="preserve">was the </w:t>
      </w:r>
      <w:smartTag w:uri="urn:schemas-microsoft-com:office:smarttags" w:element="country-region">
        <w:smartTag w:uri="urn:schemas-microsoft-com:office:smarttags" w:element="place">
          <w:r w:rsidR="00A60377">
            <w:rPr>
              <w:i/>
              <w:iCs/>
              <w:color w:val="000000"/>
              <w:sz w:val="20"/>
              <w:szCs w:val="20"/>
            </w:rPr>
            <w:t>UK</w:t>
          </w:r>
        </w:smartTag>
      </w:smartTag>
      <w:r w:rsidR="00A60377">
        <w:rPr>
          <w:i/>
          <w:iCs/>
          <w:color w:val="000000"/>
          <w:sz w:val="20"/>
          <w:szCs w:val="20"/>
        </w:rPr>
        <w:t xml:space="preserve"> government’s flagship national </w:t>
      </w:r>
      <w:r w:rsidRPr="000461A3">
        <w:rPr>
          <w:i/>
          <w:iCs/>
          <w:color w:val="000000"/>
          <w:sz w:val="20"/>
          <w:szCs w:val="20"/>
        </w:rPr>
        <w:t>initiative for widening participation to higher education for young people from disadvantaged</w:t>
      </w:r>
      <w:r w:rsidR="00A60377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 xml:space="preserve">social groups, </w:t>
      </w:r>
      <w:r w:rsidR="00A60377">
        <w:rPr>
          <w:i/>
          <w:iCs/>
          <w:color w:val="000000"/>
          <w:sz w:val="20"/>
          <w:szCs w:val="20"/>
        </w:rPr>
        <w:t xml:space="preserve">with </w:t>
      </w:r>
      <w:r w:rsidRPr="000461A3">
        <w:rPr>
          <w:i/>
          <w:iCs/>
          <w:color w:val="000000"/>
          <w:sz w:val="20"/>
          <w:szCs w:val="20"/>
        </w:rPr>
        <w:t>cos</w:t>
      </w:r>
      <w:r w:rsidR="00A60377">
        <w:rPr>
          <w:i/>
          <w:iCs/>
          <w:color w:val="000000"/>
          <w:sz w:val="20"/>
          <w:szCs w:val="20"/>
        </w:rPr>
        <w:t>ts</w:t>
      </w:r>
      <w:r w:rsidRPr="000461A3">
        <w:rPr>
          <w:i/>
          <w:iCs/>
          <w:color w:val="000000"/>
          <w:sz w:val="20"/>
          <w:szCs w:val="20"/>
        </w:rPr>
        <w:t xml:space="preserve"> approaching £1billion. Its demise was predicated on a perceived lack of</w:t>
      </w:r>
      <w:r w:rsidR="00A60377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progress and the absence of compelling evaluative research. This paper argues that this ‘lack of</w:t>
      </w:r>
      <w:r w:rsidR="00A60377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progress’ was at least partly due to a confusion in the implementation of the policy aim leading</w:t>
      </w:r>
      <w:r w:rsidR="00A60377">
        <w:rPr>
          <w:i/>
          <w:iCs/>
          <w:color w:val="000000"/>
          <w:sz w:val="20"/>
          <w:szCs w:val="20"/>
        </w:rPr>
        <w:t xml:space="preserve">, </w:t>
      </w:r>
      <w:r w:rsidRPr="000461A3">
        <w:rPr>
          <w:color w:val="000000"/>
          <w:sz w:val="20"/>
          <w:szCs w:val="20"/>
        </w:rPr>
        <w:t>inter alia</w:t>
      </w:r>
      <w:r w:rsidRPr="000461A3">
        <w:rPr>
          <w:i/>
          <w:iCs/>
          <w:color w:val="000000"/>
          <w:sz w:val="20"/>
          <w:szCs w:val="20"/>
        </w:rPr>
        <w:t>, to the late adoption of a poor outcome measure that underestimated improvements in</w:t>
      </w:r>
      <w:r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participation from the target groups and focused on the wrong stage of entry to higher</w:t>
      </w:r>
      <w:r w:rsidR="00A60377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education.</w:t>
      </w:r>
    </w:p>
    <w:p w:rsidR="000461A3" w:rsidRPr="00DD22D6" w:rsidRDefault="000461A3" w:rsidP="000461A3">
      <w:pPr>
        <w:jc w:val="both"/>
        <w:rPr>
          <w:sz w:val="20"/>
          <w:szCs w:val="20"/>
        </w:rPr>
      </w:pPr>
    </w:p>
    <w:p w:rsidR="000461A3" w:rsidRPr="00310611" w:rsidRDefault="000461A3" w:rsidP="000461A3">
      <w:pPr>
        <w:jc w:val="both"/>
        <w:rPr>
          <w:sz w:val="20"/>
          <w:szCs w:val="20"/>
        </w:rPr>
      </w:pPr>
      <w:r w:rsidRPr="00310611">
        <w:rPr>
          <w:sz w:val="20"/>
          <w:szCs w:val="20"/>
        </w:rPr>
        <w:t xml:space="preserve">Keywords: </w:t>
      </w:r>
      <w:r w:rsidR="00310611" w:rsidRPr="00310611">
        <w:rPr>
          <w:sz w:val="20"/>
          <w:szCs w:val="20"/>
        </w:rPr>
        <w:t>higher e</w:t>
      </w:r>
      <w:r w:rsidR="00310611">
        <w:rPr>
          <w:sz w:val="20"/>
          <w:szCs w:val="20"/>
        </w:rPr>
        <w:t>ducation, widening participation, policy success, performance indicators, Aimhigher</w:t>
      </w:r>
    </w:p>
    <w:p w:rsidR="000461A3" w:rsidRPr="00DD22D6" w:rsidRDefault="000461A3" w:rsidP="000461A3">
      <w:pPr>
        <w:jc w:val="both"/>
        <w:rPr>
          <w:sz w:val="20"/>
          <w:szCs w:val="20"/>
        </w:rPr>
      </w:pPr>
      <w:r w:rsidRPr="00DD22D6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_________________________________________________</w:t>
      </w:r>
    </w:p>
    <w:p w:rsidR="000461A3" w:rsidRPr="00DD22D6" w:rsidRDefault="000461A3" w:rsidP="000461A3">
      <w:pPr>
        <w:ind w:left="720" w:firstLine="284"/>
        <w:jc w:val="both"/>
        <w:rPr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Introduction</w:t>
      </w:r>
    </w:p>
    <w:p w:rsidR="00034AB9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 issue of ‘widening participation’ has been of major policy significance in the United Kingdom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since the publication of the Dearing Report (NCIHE, 1997), which reported that the chances of a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young person entering higher education were strongly determined by the socio-economic status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of their family. Specifically, a young person</w:t>
      </w:r>
      <w:r w:rsidR="001D76B5">
        <w:rPr>
          <w:color w:val="000000"/>
          <w:sz w:val="20"/>
          <w:szCs w:val="20"/>
        </w:rPr>
        <w:t xml:space="preserve"> from the highest social group – </w:t>
      </w:r>
      <w:r w:rsidRPr="000461A3">
        <w:rPr>
          <w:color w:val="000000"/>
          <w:sz w:val="20"/>
          <w:szCs w:val="20"/>
        </w:rPr>
        <w:t>comprising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pr</w:t>
      </w:r>
      <w:r w:rsidR="001D76B5">
        <w:rPr>
          <w:color w:val="000000"/>
          <w:sz w:val="20"/>
          <w:szCs w:val="20"/>
        </w:rPr>
        <w:t>ofessionals and senior managers –</w:t>
      </w:r>
      <w:r w:rsidRPr="000461A3">
        <w:rPr>
          <w:color w:val="000000"/>
          <w:sz w:val="20"/>
          <w:szCs w:val="20"/>
        </w:rPr>
        <w:t xml:space="preserve"> was around six times as likely to take up a university place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as one from the lowest group </w:t>
      </w:r>
      <w:r w:rsidR="001D76B5">
        <w:rPr>
          <w:color w:val="000000"/>
          <w:sz w:val="20"/>
          <w:szCs w:val="20"/>
        </w:rPr>
        <w:t xml:space="preserve">– </w:t>
      </w:r>
      <w:r w:rsidRPr="000461A3">
        <w:rPr>
          <w:color w:val="000000"/>
          <w:sz w:val="20"/>
          <w:szCs w:val="20"/>
        </w:rPr>
        <w:t>comp</w:t>
      </w:r>
      <w:r w:rsidR="001D76B5">
        <w:rPr>
          <w:color w:val="000000"/>
          <w:sz w:val="20"/>
          <w:szCs w:val="20"/>
        </w:rPr>
        <w:t>rising unskilled manual workers</w:t>
      </w:r>
      <w:r w:rsidRPr="000461A3">
        <w:rPr>
          <w:color w:val="000000"/>
          <w:sz w:val="20"/>
          <w:szCs w:val="20"/>
        </w:rPr>
        <w:t>.</w:t>
      </w:r>
      <w:r w:rsidR="00A60377">
        <w:rPr>
          <w:color w:val="000000"/>
          <w:sz w:val="20"/>
          <w:szCs w:val="20"/>
        </w:rPr>
        <w:t xml:space="preserve"> (To avoid clumsy phrasing the term ‘university’ is used in this paper to mean any institution offering higher education.)</w:t>
      </w:r>
    </w:p>
    <w:p w:rsidR="00A60377" w:rsidRPr="000461A3" w:rsidRDefault="00A60377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A36F1B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 agenda to narrow what became known as the ‘social class gap’ gathered pace in the early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years of the New Labour government, with a number of tentative initiatives designed to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encourage a more diverse pool of applicants to higher education (DFEE, 2000). These were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gradually rationalised, culminating in the creation of the Aimhigher programme in 2004 (</w:t>
      </w:r>
      <w:proofErr w:type="spellStart"/>
      <w:r w:rsidRPr="000461A3">
        <w:rPr>
          <w:color w:val="000000"/>
          <w:sz w:val="20"/>
          <w:szCs w:val="20"/>
        </w:rPr>
        <w:t>DfES</w:t>
      </w:r>
      <w:proofErr w:type="spellEnd"/>
      <w:r w:rsidRPr="000461A3">
        <w:rPr>
          <w:color w:val="000000"/>
          <w:sz w:val="20"/>
          <w:szCs w:val="20"/>
        </w:rPr>
        <w:t>,</w:t>
      </w:r>
      <w:r w:rsidR="00A60377">
        <w:rPr>
          <w:color w:val="000000"/>
          <w:sz w:val="20"/>
          <w:szCs w:val="20"/>
        </w:rPr>
        <w:t xml:space="preserve"> </w:t>
      </w:r>
      <w:r w:rsidRPr="00226606">
        <w:rPr>
          <w:sz w:val="20"/>
          <w:szCs w:val="20"/>
        </w:rPr>
        <w:t>2003</w:t>
      </w:r>
      <w:r w:rsidR="00D857D2" w:rsidRPr="00226606">
        <w:rPr>
          <w:sz w:val="20"/>
          <w:szCs w:val="20"/>
        </w:rPr>
        <w:t>a</w:t>
      </w:r>
      <w:r w:rsidRPr="000461A3">
        <w:rPr>
          <w:color w:val="000000"/>
          <w:sz w:val="20"/>
          <w:szCs w:val="20"/>
        </w:rPr>
        <w:t xml:space="preserve">). Aimhigher was charged to </w:t>
      </w:r>
      <w:r w:rsidR="00A60377" w:rsidRPr="00A60377">
        <w:rPr>
          <w:iCs/>
          <w:color w:val="000000"/>
          <w:sz w:val="20"/>
          <w:szCs w:val="20"/>
        </w:rPr>
        <w:t>‘</w:t>
      </w:r>
      <w:r w:rsidRPr="00A60377">
        <w:rPr>
          <w:iCs/>
          <w:color w:val="000000"/>
          <w:sz w:val="20"/>
          <w:szCs w:val="20"/>
        </w:rPr>
        <w:t>widen participation in higher education and increase the</w:t>
      </w:r>
      <w:r w:rsidR="00A60377" w:rsidRPr="00A60377">
        <w:rPr>
          <w:iCs/>
          <w:color w:val="000000"/>
          <w:sz w:val="20"/>
          <w:szCs w:val="20"/>
        </w:rPr>
        <w:t xml:space="preserve"> </w:t>
      </w:r>
      <w:r w:rsidRPr="00A60377">
        <w:rPr>
          <w:iCs/>
          <w:color w:val="000000"/>
          <w:sz w:val="20"/>
          <w:szCs w:val="20"/>
        </w:rPr>
        <w:t>number of young people who have the abilities and</w:t>
      </w:r>
      <w:r w:rsidR="00A60377" w:rsidRPr="00A60377">
        <w:rPr>
          <w:iCs/>
          <w:color w:val="000000"/>
          <w:sz w:val="20"/>
          <w:szCs w:val="20"/>
        </w:rPr>
        <w:t xml:space="preserve"> aspirations to benefit from it’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(HEFCE, 2004:7). It was conceived as a national programme that would operate at three levels (national,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regional and sub-regional ‘area’), with </w:t>
      </w:r>
      <w:r w:rsidR="00A60377">
        <w:rPr>
          <w:color w:val="000000"/>
          <w:sz w:val="20"/>
          <w:szCs w:val="20"/>
        </w:rPr>
        <w:t>most</w:t>
      </w:r>
      <w:r w:rsidRPr="000461A3">
        <w:rPr>
          <w:color w:val="000000"/>
          <w:sz w:val="20"/>
          <w:szCs w:val="20"/>
        </w:rPr>
        <w:t xml:space="preserve"> of the delivery being undertaken by over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forty ‘area partnerships’ of universities, colleges, schools, local authorities and others. The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funding for Aimhigher ran to £136 million in its first year of operation, though this was almost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halved by the end of its life, with the regional role being largely abolished. This was directed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into a wide-ranging and highly-localised portfolio of activities, including summer schools,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tutoring and mentoring, employers links, work-based learning, curriculum enhancement,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university taster days and so on.</w:t>
      </w:r>
    </w:p>
    <w:p w:rsidR="00A60377" w:rsidRPr="000461A3" w:rsidRDefault="00A60377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1D427C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November 2010 saw the announcement that Aimhigher was to be abolished in July 2011. This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was hardly surprising given the austerity measures brought in by the Coalition government and</w:t>
      </w:r>
      <w:r w:rsidR="00A60377">
        <w:rPr>
          <w:color w:val="000000"/>
          <w:sz w:val="20"/>
          <w:szCs w:val="20"/>
        </w:rPr>
        <w:t xml:space="preserve"> the previous comments of the new </w:t>
      </w:r>
      <w:r w:rsidRPr="000461A3">
        <w:rPr>
          <w:color w:val="000000"/>
          <w:sz w:val="20"/>
          <w:szCs w:val="20"/>
        </w:rPr>
        <w:t>Universitie</w:t>
      </w:r>
      <w:r w:rsidR="00A60377">
        <w:rPr>
          <w:color w:val="000000"/>
          <w:sz w:val="20"/>
          <w:szCs w:val="20"/>
        </w:rPr>
        <w:t xml:space="preserve">s Minister David </w:t>
      </w:r>
      <w:proofErr w:type="spellStart"/>
      <w:r w:rsidR="00A60377">
        <w:rPr>
          <w:color w:val="000000"/>
          <w:sz w:val="20"/>
          <w:szCs w:val="20"/>
        </w:rPr>
        <w:t>Willetts</w:t>
      </w:r>
      <w:proofErr w:type="spellEnd"/>
      <w:r w:rsidR="00A60377">
        <w:rPr>
          <w:color w:val="000000"/>
          <w:sz w:val="20"/>
          <w:szCs w:val="20"/>
        </w:rPr>
        <w:t>, who</w:t>
      </w:r>
      <w:r w:rsidRPr="000461A3">
        <w:rPr>
          <w:color w:val="000000"/>
          <w:sz w:val="20"/>
          <w:szCs w:val="20"/>
        </w:rPr>
        <w:t xml:space="preserve"> in opposition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had expressed his scepticism about the </w:t>
      </w:r>
      <w:r w:rsidR="00A60377" w:rsidRPr="00A60377">
        <w:rPr>
          <w:color w:val="000000"/>
          <w:sz w:val="20"/>
          <w:szCs w:val="20"/>
        </w:rPr>
        <w:t>‘</w:t>
      </w:r>
      <w:r w:rsidRPr="00A60377">
        <w:rPr>
          <w:iCs/>
          <w:color w:val="000000"/>
          <w:sz w:val="20"/>
          <w:szCs w:val="20"/>
        </w:rPr>
        <w:t>rather disappointing record of Aimhigher, which has</w:t>
      </w:r>
      <w:r w:rsidR="00A60377" w:rsidRPr="00A60377">
        <w:rPr>
          <w:iCs/>
          <w:color w:val="000000"/>
          <w:sz w:val="20"/>
          <w:szCs w:val="20"/>
        </w:rPr>
        <w:t xml:space="preserve"> </w:t>
      </w:r>
      <w:r w:rsidRPr="00A60377">
        <w:rPr>
          <w:iCs/>
          <w:color w:val="000000"/>
          <w:sz w:val="20"/>
          <w:szCs w:val="20"/>
        </w:rPr>
        <w:t>not yet succeeded in spreading university opportunities on the scale that we might have hoped</w:t>
      </w:r>
      <w:r w:rsidR="00A60377" w:rsidRPr="00A60377">
        <w:rPr>
          <w:iCs/>
          <w:color w:val="000000"/>
          <w:sz w:val="20"/>
          <w:szCs w:val="20"/>
        </w:rPr>
        <w:t xml:space="preserve"> </w:t>
      </w:r>
      <w:r w:rsidRPr="00A60377">
        <w:rPr>
          <w:iCs/>
          <w:color w:val="000000"/>
          <w:sz w:val="20"/>
          <w:szCs w:val="20"/>
        </w:rPr>
        <w:t>for</w:t>
      </w:r>
      <w:r w:rsidR="00A60377" w:rsidRPr="00A60377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</w:t>
      </w:r>
      <w:proofErr w:type="spellStart"/>
      <w:r w:rsidRPr="000461A3">
        <w:rPr>
          <w:color w:val="000000"/>
          <w:sz w:val="20"/>
          <w:szCs w:val="20"/>
        </w:rPr>
        <w:t>Willetts</w:t>
      </w:r>
      <w:proofErr w:type="spellEnd"/>
      <w:r w:rsidRPr="000461A3">
        <w:rPr>
          <w:color w:val="000000"/>
          <w:sz w:val="20"/>
          <w:szCs w:val="20"/>
        </w:rPr>
        <w:t>, 2008), echoing earlier criticism from party colleague Boris Johnson (Sanders,</w:t>
      </w:r>
      <w:r w:rsidR="00A60377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2006). In fact, Aimhigher was widely seen as being prime for abolition at the end of its three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year funding envelope prior to the 2010 General Election, with many practitioners expecting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support for widening participation to be reduced in light of the 2009 cuts in higher education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funding (Attwood, 2010). One of the problems was a perceived lack of direct evidence of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efficacy </w:t>
      </w:r>
      <w:r w:rsidRPr="00226606">
        <w:rPr>
          <w:sz w:val="20"/>
          <w:szCs w:val="20"/>
        </w:rPr>
        <w:t>(</w:t>
      </w:r>
      <w:proofErr w:type="spellStart"/>
      <w:r w:rsidRPr="00226606">
        <w:rPr>
          <w:sz w:val="20"/>
          <w:szCs w:val="20"/>
        </w:rPr>
        <w:t>Gorard</w:t>
      </w:r>
      <w:proofErr w:type="spellEnd"/>
      <w:r w:rsidRPr="00226606">
        <w:rPr>
          <w:sz w:val="20"/>
          <w:szCs w:val="20"/>
        </w:rPr>
        <w:t xml:space="preserve"> </w:t>
      </w:r>
      <w:r w:rsidRPr="00226606">
        <w:rPr>
          <w:i/>
          <w:iCs/>
          <w:sz w:val="20"/>
          <w:szCs w:val="20"/>
        </w:rPr>
        <w:t>et al</w:t>
      </w:r>
      <w:r w:rsidRPr="00226606">
        <w:rPr>
          <w:sz w:val="20"/>
          <w:szCs w:val="20"/>
        </w:rPr>
        <w:t>, 2006</w:t>
      </w:r>
      <w:r w:rsidRPr="000461A3">
        <w:rPr>
          <w:color w:val="000000"/>
          <w:sz w:val="20"/>
          <w:szCs w:val="20"/>
        </w:rPr>
        <w:t>), even though the portfolio of activities had been carefully honed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and was highly-regarded by young people, schools, parents and communities alike (Baxter, Tate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and </w:t>
      </w:r>
      <w:proofErr w:type="spellStart"/>
      <w:r w:rsidRPr="000461A3">
        <w:rPr>
          <w:color w:val="000000"/>
          <w:sz w:val="20"/>
          <w:szCs w:val="20"/>
        </w:rPr>
        <w:t>Hatt</w:t>
      </w:r>
      <w:proofErr w:type="spellEnd"/>
      <w:r w:rsidRPr="000461A3">
        <w:rPr>
          <w:color w:val="000000"/>
          <w:sz w:val="20"/>
          <w:szCs w:val="20"/>
        </w:rPr>
        <w:t xml:space="preserve"> 2007; </w:t>
      </w:r>
      <w:proofErr w:type="spellStart"/>
      <w:r w:rsidRPr="000461A3">
        <w:rPr>
          <w:color w:val="000000"/>
          <w:sz w:val="20"/>
          <w:szCs w:val="20"/>
        </w:rPr>
        <w:t>Hatt</w:t>
      </w:r>
      <w:proofErr w:type="spellEnd"/>
      <w:r w:rsidRPr="000461A3">
        <w:rPr>
          <w:color w:val="000000"/>
          <w:sz w:val="20"/>
          <w:szCs w:val="20"/>
        </w:rPr>
        <w:t xml:space="preserve">, Baxter and Tate, 2008; Moore and </w:t>
      </w:r>
      <w:proofErr w:type="spellStart"/>
      <w:r w:rsidRPr="000461A3">
        <w:rPr>
          <w:color w:val="000000"/>
          <w:sz w:val="20"/>
          <w:szCs w:val="20"/>
        </w:rPr>
        <w:t>Dunworth</w:t>
      </w:r>
      <w:proofErr w:type="spellEnd"/>
      <w:r w:rsidRPr="000461A3">
        <w:rPr>
          <w:color w:val="000000"/>
          <w:sz w:val="20"/>
          <w:szCs w:val="20"/>
        </w:rPr>
        <w:t>, 2011).</w:t>
      </w:r>
    </w:p>
    <w:p w:rsidR="001D427C" w:rsidRPr="000461A3" w:rsidRDefault="001D427C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1D427C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It is important to note that Aimhigher was not the sole expression of widening participation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activity during this period. Most universities and many local authorities and charitable</w:t>
      </w:r>
      <w:r w:rsidR="001D427C">
        <w:rPr>
          <w:color w:val="000000"/>
          <w:sz w:val="20"/>
          <w:szCs w:val="20"/>
        </w:rPr>
        <w:t xml:space="preserve"> organisations (</w:t>
      </w:r>
      <w:proofErr w:type="spellStart"/>
      <w:r w:rsidR="001D427C">
        <w:rPr>
          <w:color w:val="000000"/>
          <w:sz w:val="20"/>
          <w:szCs w:val="20"/>
        </w:rPr>
        <w:t>e</w:t>
      </w:r>
      <w:r w:rsidRPr="000461A3">
        <w:rPr>
          <w:color w:val="000000"/>
          <w:sz w:val="20"/>
          <w:szCs w:val="20"/>
        </w:rPr>
        <w:t>g</w:t>
      </w:r>
      <w:proofErr w:type="spellEnd"/>
      <w:r w:rsidRPr="000461A3">
        <w:rPr>
          <w:color w:val="000000"/>
          <w:sz w:val="20"/>
          <w:szCs w:val="20"/>
        </w:rPr>
        <w:t xml:space="preserve"> the Sutton Trust and students’ unions) have historically operated their own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outreach projects and continued to do so throughout the lifetime of Aimhigher, whether or not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they bore that branding (Universities UK, 2005). These were supplemented from 2006 by the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large-scale adoption of lucrative financial bursaries to entice students from backgrounds not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traditionally associated with progression to higher education, though whether these had any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serious impact is moot (</w:t>
      </w:r>
      <w:r w:rsidR="001D427C" w:rsidRPr="00226606">
        <w:rPr>
          <w:sz w:val="20"/>
          <w:szCs w:val="20"/>
        </w:rPr>
        <w:t>Harrison</w:t>
      </w:r>
      <w:r w:rsidR="00226606" w:rsidRPr="00226606">
        <w:rPr>
          <w:sz w:val="20"/>
          <w:szCs w:val="20"/>
        </w:rPr>
        <w:t xml:space="preserve"> and </w:t>
      </w:r>
      <w:proofErr w:type="spellStart"/>
      <w:r w:rsidR="00226606" w:rsidRPr="00226606">
        <w:rPr>
          <w:sz w:val="20"/>
          <w:szCs w:val="20"/>
        </w:rPr>
        <w:t>Hatt</w:t>
      </w:r>
      <w:proofErr w:type="spellEnd"/>
      <w:r w:rsidR="00226606" w:rsidRPr="00226606">
        <w:rPr>
          <w:sz w:val="20"/>
          <w:szCs w:val="20"/>
        </w:rPr>
        <w:t>, 2012</w:t>
      </w:r>
      <w:r w:rsidRPr="000461A3">
        <w:rPr>
          <w:color w:val="000000"/>
          <w:sz w:val="20"/>
          <w:szCs w:val="20"/>
        </w:rPr>
        <w:t>). These features muddy the waters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somewhat in any discussion about the efficacy of Aimhigher and its place in the complex web of</w:t>
      </w:r>
      <w:r w:rsidR="001D427C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interactions that surround young people making decisions about higher education.</w:t>
      </w:r>
    </w:p>
    <w:p w:rsidR="001D427C" w:rsidRPr="000461A3" w:rsidRDefault="001D427C" w:rsidP="001D427C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1D427C" w:rsidP="001D427C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Note also that </w:t>
      </w:r>
      <w:r w:rsidR="00034AB9" w:rsidRPr="000461A3">
        <w:rPr>
          <w:color w:val="000000"/>
          <w:sz w:val="20"/>
          <w:szCs w:val="20"/>
        </w:rPr>
        <w:t>widening participation extended beyond the young people that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are the focus of this paper. The idea of widening access to university for adult learners predates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the Dearing Report by some decades</w:t>
      </w:r>
      <w:r>
        <w:rPr>
          <w:color w:val="000000"/>
          <w:sz w:val="20"/>
          <w:szCs w:val="20"/>
        </w:rPr>
        <w:t xml:space="preserve">; </w:t>
      </w:r>
      <w:r w:rsidR="00034AB9" w:rsidRPr="000461A3">
        <w:rPr>
          <w:color w:val="000000"/>
          <w:sz w:val="20"/>
          <w:szCs w:val="20"/>
        </w:rPr>
        <w:t>the former Labour government’s definition of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widening participation took in people up to the age of 30. Never</w:t>
      </w:r>
      <w:r>
        <w:rPr>
          <w:color w:val="000000"/>
          <w:sz w:val="20"/>
          <w:szCs w:val="20"/>
        </w:rPr>
        <w:t>theless, the focus of this paper is the</w:t>
      </w:r>
      <w:r w:rsidR="00034AB9" w:rsidRPr="000461A3">
        <w:rPr>
          <w:color w:val="000000"/>
          <w:sz w:val="20"/>
          <w:szCs w:val="20"/>
        </w:rPr>
        <w:t xml:space="preserve"> young entrants, generally defined as being those aged 18 or 19 on entry; </w:t>
      </w:r>
      <w:r>
        <w:rPr>
          <w:color w:val="000000"/>
          <w:sz w:val="20"/>
          <w:szCs w:val="20"/>
        </w:rPr>
        <w:t xml:space="preserve">who </w:t>
      </w:r>
      <w:r w:rsidR="00034AB9" w:rsidRPr="000461A3">
        <w:rPr>
          <w:color w:val="000000"/>
          <w:sz w:val="20"/>
          <w:szCs w:val="20"/>
        </w:rPr>
        <w:t>were the main focus of policy attention. Widening participation also incorporated work with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disabled people, those within local authority care and certain minority ethnic communities, but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these also lie outside the scope of the argument presented h</w:t>
      </w:r>
      <w:r>
        <w:rPr>
          <w:color w:val="000000"/>
          <w:sz w:val="20"/>
          <w:szCs w:val="20"/>
        </w:rPr>
        <w:t>ere</w:t>
      </w:r>
      <w:r w:rsidR="00034AB9" w:rsidRPr="000461A3">
        <w:rPr>
          <w:color w:val="000000"/>
          <w:sz w:val="20"/>
          <w:szCs w:val="20"/>
        </w:rPr>
        <w:t>.</w:t>
      </w:r>
    </w:p>
    <w:p w:rsidR="001D427C" w:rsidRPr="000461A3" w:rsidRDefault="001D427C" w:rsidP="001D427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Policy analysis and policy success</w:t>
      </w:r>
    </w:p>
    <w:p w:rsidR="00034AB9" w:rsidRDefault="00A03455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Spicker</w:t>
      </w:r>
      <w:proofErr w:type="spellEnd"/>
      <w:r>
        <w:rPr>
          <w:color w:val="000000"/>
          <w:sz w:val="20"/>
          <w:szCs w:val="20"/>
        </w:rPr>
        <w:t xml:space="preserve"> (2006:</w:t>
      </w:r>
      <w:r w:rsidR="00034AB9" w:rsidRPr="000461A3">
        <w:rPr>
          <w:color w:val="000000"/>
          <w:sz w:val="20"/>
          <w:szCs w:val="20"/>
        </w:rPr>
        <w:t xml:space="preserve">1) defines policy analysis as </w:t>
      </w:r>
      <w:r w:rsidR="00BC59AF" w:rsidRPr="00BC59AF">
        <w:rPr>
          <w:color w:val="000000"/>
          <w:sz w:val="20"/>
          <w:szCs w:val="20"/>
        </w:rPr>
        <w:t>‘</w:t>
      </w:r>
      <w:r w:rsidR="00034AB9" w:rsidRPr="00BC59AF">
        <w:rPr>
          <w:iCs/>
          <w:color w:val="000000"/>
          <w:sz w:val="20"/>
          <w:szCs w:val="20"/>
        </w:rPr>
        <w:t>examining policy – finding out and assessing what is</w:t>
      </w:r>
      <w:r w:rsidR="00BC59AF">
        <w:rPr>
          <w:iCs/>
          <w:color w:val="000000"/>
          <w:sz w:val="20"/>
          <w:szCs w:val="20"/>
        </w:rPr>
        <w:t xml:space="preserve"> </w:t>
      </w:r>
      <w:r w:rsidR="00034AB9" w:rsidRPr="00BC59AF">
        <w:rPr>
          <w:iCs/>
          <w:color w:val="000000"/>
          <w:sz w:val="20"/>
          <w:szCs w:val="20"/>
        </w:rPr>
        <w:t>happening; monitoring implementation; and evaluation, or finding out whether policies do what</w:t>
      </w:r>
      <w:r w:rsidR="00BC59AF">
        <w:rPr>
          <w:iCs/>
          <w:color w:val="000000"/>
          <w:sz w:val="20"/>
          <w:szCs w:val="20"/>
        </w:rPr>
        <w:t xml:space="preserve"> </w:t>
      </w:r>
      <w:r w:rsidR="00034AB9" w:rsidRPr="00BC59AF">
        <w:rPr>
          <w:iCs/>
          <w:color w:val="000000"/>
          <w:sz w:val="20"/>
          <w:szCs w:val="20"/>
        </w:rPr>
        <w:t>they are supposed to do.</w:t>
      </w:r>
      <w:r w:rsidR="00BC59AF" w:rsidRPr="00BC59AF">
        <w:rPr>
          <w:color w:val="000000"/>
          <w:sz w:val="20"/>
          <w:szCs w:val="20"/>
        </w:rPr>
        <w:t>’</w:t>
      </w:r>
      <w:r w:rsidR="00034AB9" w:rsidRPr="000461A3">
        <w:rPr>
          <w:color w:val="000000"/>
          <w:sz w:val="20"/>
          <w:szCs w:val="20"/>
        </w:rPr>
        <w:t xml:space="preserve"> Of particular relevance here, he draws a distinction between policy</w:t>
      </w:r>
      <w:r w:rsidR="00BC59AF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aims –</w:t>
      </w:r>
      <w:r w:rsidR="00034AB9" w:rsidRPr="00BC59AF">
        <w:rPr>
          <w:color w:val="000000"/>
          <w:sz w:val="20"/>
          <w:szCs w:val="20"/>
        </w:rPr>
        <w:t xml:space="preserve"> </w:t>
      </w:r>
      <w:r w:rsidR="00BC59AF" w:rsidRPr="00BC59AF">
        <w:rPr>
          <w:iCs/>
          <w:color w:val="000000"/>
          <w:sz w:val="20"/>
          <w:szCs w:val="20"/>
        </w:rPr>
        <w:t>‘</w:t>
      </w:r>
      <w:r w:rsidR="00034AB9" w:rsidRPr="00BC59AF">
        <w:rPr>
          <w:iCs/>
          <w:color w:val="000000"/>
          <w:sz w:val="20"/>
          <w:szCs w:val="20"/>
        </w:rPr>
        <w:t>what a policy is supposed to achieve</w:t>
      </w:r>
      <w:r w:rsidR="00BC59AF" w:rsidRPr="00BC59AF">
        <w:rPr>
          <w:iCs/>
          <w:color w:val="000000"/>
          <w:sz w:val="20"/>
          <w:szCs w:val="20"/>
        </w:rPr>
        <w:t>’</w:t>
      </w:r>
      <w:r w:rsidR="00034AB9" w:rsidRPr="00BC59AF">
        <w:rPr>
          <w:iCs/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 xml:space="preserve">– and policy goals – </w:t>
      </w:r>
      <w:r w:rsidR="00BC59AF">
        <w:rPr>
          <w:iCs/>
          <w:color w:val="000000"/>
          <w:sz w:val="20"/>
          <w:szCs w:val="20"/>
        </w:rPr>
        <w:t>‘</w:t>
      </w:r>
      <w:r w:rsidR="00034AB9" w:rsidRPr="00BC59AF">
        <w:rPr>
          <w:iCs/>
          <w:color w:val="000000"/>
          <w:sz w:val="20"/>
          <w:szCs w:val="20"/>
        </w:rPr>
        <w:t>a practical outcome, and a</w:t>
      </w:r>
      <w:r>
        <w:rPr>
          <w:iCs/>
          <w:color w:val="000000"/>
          <w:sz w:val="20"/>
          <w:szCs w:val="20"/>
        </w:rPr>
        <w:t xml:space="preserve"> </w:t>
      </w:r>
      <w:r w:rsidR="00034AB9" w:rsidRPr="00BC59AF">
        <w:rPr>
          <w:iCs/>
          <w:color w:val="000000"/>
          <w:sz w:val="20"/>
          <w:szCs w:val="20"/>
        </w:rPr>
        <w:t>test of whether the aims are being achieved</w:t>
      </w:r>
      <w:r w:rsidR="00BC59AF">
        <w:rPr>
          <w:iCs/>
          <w:color w:val="000000"/>
          <w:sz w:val="20"/>
          <w:szCs w:val="20"/>
        </w:rPr>
        <w:t>’</w:t>
      </w:r>
      <w:r w:rsidR="00034AB9" w:rsidRPr="000461A3">
        <w:rPr>
          <w:i/>
          <w:iCs/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(</w:t>
      </w:r>
      <w:proofErr w:type="spellStart"/>
      <w:r w:rsidR="00093694">
        <w:rPr>
          <w:iCs/>
          <w:color w:val="000000"/>
          <w:sz w:val="20"/>
          <w:szCs w:val="20"/>
        </w:rPr>
        <w:t>Spicker</w:t>
      </w:r>
      <w:proofErr w:type="spellEnd"/>
      <w:r w:rsidR="00093694">
        <w:rPr>
          <w:iCs/>
          <w:color w:val="000000"/>
          <w:sz w:val="20"/>
          <w:szCs w:val="20"/>
        </w:rPr>
        <w:t>, 2006</w:t>
      </w:r>
      <w:r>
        <w:rPr>
          <w:color w:val="000000"/>
          <w:sz w:val="20"/>
          <w:szCs w:val="20"/>
        </w:rPr>
        <w:t>:</w:t>
      </w:r>
      <w:r w:rsidR="00034AB9" w:rsidRPr="000461A3">
        <w:rPr>
          <w:color w:val="000000"/>
          <w:sz w:val="20"/>
          <w:szCs w:val="20"/>
        </w:rPr>
        <w:t>49). It is therefore around policy goals that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 xml:space="preserve">indicators and measurements of success are based, with </w:t>
      </w:r>
      <w:proofErr w:type="spellStart"/>
      <w:r w:rsidR="00034AB9" w:rsidRPr="000461A3">
        <w:rPr>
          <w:color w:val="000000"/>
          <w:sz w:val="20"/>
          <w:szCs w:val="20"/>
        </w:rPr>
        <w:t>Spicker</w:t>
      </w:r>
      <w:proofErr w:type="spellEnd"/>
      <w:r w:rsidR="00034AB9" w:rsidRPr="000461A3">
        <w:rPr>
          <w:color w:val="000000"/>
          <w:sz w:val="20"/>
          <w:szCs w:val="20"/>
        </w:rPr>
        <w:t xml:space="preserve"> </w:t>
      </w:r>
      <w:r w:rsidR="00093694">
        <w:rPr>
          <w:color w:val="000000"/>
          <w:sz w:val="20"/>
          <w:szCs w:val="20"/>
        </w:rPr>
        <w:t xml:space="preserve">(2006:87) </w:t>
      </w:r>
      <w:r w:rsidR="00034AB9" w:rsidRPr="000461A3">
        <w:rPr>
          <w:color w:val="000000"/>
          <w:sz w:val="20"/>
          <w:szCs w:val="20"/>
        </w:rPr>
        <w:t>drawing a distinction between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the two:</w:t>
      </w:r>
    </w:p>
    <w:p w:rsidR="00A03455" w:rsidRPr="000461A3" w:rsidRDefault="00A03455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Pr="00B57638" w:rsidRDefault="00034AB9" w:rsidP="00B57638">
      <w:pPr>
        <w:autoSpaceDE w:val="0"/>
        <w:autoSpaceDN w:val="0"/>
        <w:adjustRightInd w:val="0"/>
        <w:ind w:left="284"/>
        <w:jc w:val="both"/>
        <w:rPr>
          <w:iCs/>
          <w:color w:val="000000"/>
          <w:sz w:val="20"/>
          <w:szCs w:val="20"/>
        </w:rPr>
      </w:pPr>
      <w:r w:rsidRPr="00A03455">
        <w:rPr>
          <w:iCs/>
          <w:color w:val="000000"/>
          <w:sz w:val="20"/>
          <w:szCs w:val="20"/>
        </w:rPr>
        <w:t>A good measurement is accurate, precise, and reflects the characteristics of the issue</w:t>
      </w:r>
      <w:r w:rsidR="00B57638">
        <w:rPr>
          <w:iCs/>
          <w:color w:val="000000"/>
          <w:sz w:val="20"/>
          <w:szCs w:val="20"/>
        </w:rPr>
        <w:t xml:space="preserve"> </w:t>
      </w:r>
      <w:r w:rsidRPr="00A03455">
        <w:rPr>
          <w:iCs/>
          <w:color w:val="000000"/>
          <w:sz w:val="20"/>
          <w:szCs w:val="20"/>
        </w:rPr>
        <w:t>that it is measuring. A good indicator is associated with the issue, robust, consistent over</w:t>
      </w:r>
      <w:r w:rsidR="00B57638">
        <w:rPr>
          <w:iCs/>
          <w:color w:val="000000"/>
          <w:sz w:val="20"/>
          <w:szCs w:val="20"/>
        </w:rPr>
        <w:t xml:space="preserve"> </w:t>
      </w:r>
      <w:r w:rsidR="00A03455">
        <w:rPr>
          <w:iCs/>
          <w:color w:val="000000"/>
          <w:sz w:val="20"/>
          <w:szCs w:val="20"/>
        </w:rPr>
        <w:t>time and available.</w:t>
      </w:r>
    </w:p>
    <w:p w:rsidR="00A03455" w:rsidRPr="00A03455" w:rsidRDefault="00A03455" w:rsidP="00A03455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</w:p>
    <w:p w:rsidR="00034AB9" w:rsidRDefault="00034AB9" w:rsidP="00D857D2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This paper will assess the government-sanctioned statistic by which Aimhigher was judged</w:t>
      </w:r>
      <w:r w:rsidR="00A03455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within these definitions. More broadly, it will draw on the field of policy analysis to assess how</w:t>
      </w:r>
      <w:r w:rsidR="00A03455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government’s intent was transmitted to become on-the-ground action. It will look</w:t>
      </w:r>
      <w:r w:rsidR="00A03455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particularly at the changing translation from the overarching policy aim (to produce a more</w:t>
      </w:r>
      <w:r w:rsidR="00A03455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socially-equal student population in higher education) to the specific policy goals associated</w:t>
      </w:r>
      <w:r w:rsidR="00A03455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with it (e.g. to increase attainment, aspirations and/or applications from certain groups). It will</w:t>
      </w:r>
      <w:r w:rsidR="00A03455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not seek to undertake an evaluation of Aimhigher, although some evidence from other studies</w:t>
      </w:r>
      <w:r w:rsidR="00A03455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is presented towards the end. Rather, it will focus on the transmission of the policy from</w:t>
      </w:r>
      <w:r w:rsidR="00A03455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government through agencies like the Higher Education Funding Council for England (HEFCE) to</w:t>
      </w:r>
      <w:r w:rsidR="00A03455">
        <w:rPr>
          <w:color w:val="000000"/>
          <w:sz w:val="20"/>
          <w:szCs w:val="20"/>
        </w:rPr>
        <w:t xml:space="preserve"> </w:t>
      </w:r>
      <w:proofErr w:type="spellStart"/>
      <w:r w:rsidRPr="000461A3">
        <w:rPr>
          <w:color w:val="000000"/>
          <w:sz w:val="20"/>
          <w:szCs w:val="20"/>
        </w:rPr>
        <w:t>chalkface</w:t>
      </w:r>
      <w:proofErr w:type="spellEnd"/>
      <w:r w:rsidRPr="000461A3">
        <w:rPr>
          <w:color w:val="000000"/>
          <w:sz w:val="20"/>
          <w:szCs w:val="20"/>
        </w:rPr>
        <w:t xml:space="preserve"> workers and questions whether any meaningful evaluation of the efficacy and</w:t>
      </w:r>
      <w:r w:rsidR="00A03455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efficiency of Aimhigher could be drawn from the data collated by the government.</w:t>
      </w:r>
    </w:p>
    <w:p w:rsidR="00EB7DF1" w:rsidRPr="000461A3" w:rsidRDefault="00EB7DF1" w:rsidP="00D857D2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EB7DF1" w:rsidRDefault="00034AB9" w:rsidP="00D857D2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This form of mismatch is far from unique in social policy. For example, Ambrose (2005</w:t>
      </w:r>
      <w:r w:rsidR="00E22B00">
        <w:rPr>
          <w:color w:val="000000"/>
          <w:sz w:val="20"/>
          <w:szCs w:val="20"/>
        </w:rPr>
        <w:t>: 43</w:t>
      </w:r>
      <w:r w:rsidRPr="000461A3">
        <w:rPr>
          <w:color w:val="000000"/>
          <w:sz w:val="20"/>
          <w:szCs w:val="20"/>
        </w:rPr>
        <w:t>)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examines indicators used in a major urban regeneration programme against twelve quality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criteria and </w:t>
      </w:r>
      <w:r w:rsidR="00EB7DF1">
        <w:rPr>
          <w:color w:val="000000"/>
          <w:sz w:val="20"/>
          <w:szCs w:val="20"/>
        </w:rPr>
        <w:t>finds them wanting; the criterion</w:t>
      </w:r>
      <w:r w:rsidRPr="000461A3">
        <w:rPr>
          <w:color w:val="000000"/>
          <w:sz w:val="20"/>
          <w:szCs w:val="20"/>
        </w:rPr>
        <w:t xml:space="preserve"> most frequently breached was that suggesting that</w:t>
      </w:r>
      <w:r w:rsidR="00EB7DF1">
        <w:rPr>
          <w:color w:val="000000"/>
          <w:sz w:val="20"/>
          <w:szCs w:val="20"/>
        </w:rPr>
        <w:t xml:space="preserve"> </w:t>
      </w:r>
      <w:r w:rsidR="00093694">
        <w:rPr>
          <w:iCs/>
          <w:color w:val="000000"/>
          <w:sz w:val="20"/>
          <w:szCs w:val="20"/>
        </w:rPr>
        <w:t>‘</w:t>
      </w:r>
      <w:r w:rsidRPr="00EB7DF1">
        <w:rPr>
          <w:iCs/>
          <w:color w:val="000000"/>
          <w:sz w:val="20"/>
          <w:szCs w:val="20"/>
        </w:rPr>
        <w:t>all indicators should be precisely specified and capable of accurate measurement in either</w:t>
      </w:r>
      <w:r w:rsidR="00EB7DF1">
        <w:rPr>
          <w:iCs/>
          <w:color w:val="000000"/>
          <w:sz w:val="20"/>
          <w:szCs w:val="20"/>
        </w:rPr>
        <w:t xml:space="preserve"> </w:t>
      </w:r>
      <w:r w:rsidRPr="00EB7DF1">
        <w:rPr>
          <w:iCs/>
          <w:color w:val="000000"/>
          <w:sz w:val="20"/>
          <w:szCs w:val="20"/>
        </w:rPr>
        <w:t>quantitative or some acceptable qualitative form</w:t>
      </w:r>
      <w:r w:rsidR="00EB7DF1">
        <w:rPr>
          <w:iCs/>
          <w:color w:val="000000"/>
          <w:sz w:val="20"/>
          <w:szCs w:val="20"/>
        </w:rPr>
        <w:t>’</w:t>
      </w:r>
      <w:r w:rsidR="00EB7DF1">
        <w:rPr>
          <w:color w:val="000000"/>
          <w:sz w:val="20"/>
          <w:szCs w:val="20"/>
        </w:rPr>
        <w:t xml:space="preserve">. In </w:t>
      </w:r>
      <w:r w:rsidRPr="000461A3">
        <w:rPr>
          <w:color w:val="000000"/>
          <w:sz w:val="20"/>
          <w:szCs w:val="20"/>
        </w:rPr>
        <w:t>similar vein, Bevan and Hood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(2006) explore performance measurement problems in healthcare settings and conclude that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inadequate specification leads to unintended consequences when such measures form the basis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of imposed targets. Haas and Springer (1998:22) suggest that </w:t>
      </w:r>
    </w:p>
    <w:p w:rsidR="00EB7DF1" w:rsidRDefault="00EB7DF1" w:rsidP="00D857D2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EB7DF1" w:rsidRDefault="00034AB9" w:rsidP="00D857D2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 w:rsidRPr="00EB7DF1">
        <w:rPr>
          <w:iCs/>
          <w:color w:val="000000"/>
          <w:sz w:val="20"/>
          <w:szCs w:val="20"/>
        </w:rPr>
        <w:t>educational programs … tend to</w:t>
      </w:r>
      <w:r w:rsidR="00EB7DF1">
        <w:rPr>
          <w:iCs/>
          <w:color w:val="000000"/>
          <w:sz w:val="20"/>
          <w:szCs w:val="20"/>
        </w:rPr>
        <w:t xml:space="preserve"> </w:t>
      </w:r>
      <w:r w:rsidRPr="00EB7DF1">
        <w:rPr>
          <w:iCs/>
          <w:color w:val="000000"/>
          <w:sz w:val="20"/>
          <w:szCs w:val="20"/>
        </w:rPr>
        <w:t>have diffuse, long-term goals that defy ready measurement [such that] even when programs do</w:t>
      </w:r>
      <w:r w:rsidR="00EB7DF1">
        <w:rPr>
          <w:iCs/>
          <w:color w:val="000000"/>
          <w:sz w:val="20"/>
          <w:szCs w:val="20"/>
        </w:rPr>
        <w:t xml:space="preserve"> </w:t>
      </w:r>
      <w:r w:rsidRPr="00EB7DF1">
        <w:rPr>
          <w:iCs/>
          <w:color w:val="000000"/>
          <w:sz w:val="20"/>
          <w:szCs w:val="20"/>
        </w:rPr>
        <w:t>deliver measurable outcomes, collecting such information tends to proceed independently of</w:t>
      </w:r>
      <w:r w:rsidR="00EB7DF1">
        <w:rPr>
          <w:iCs/>
          <w:color w:val="000000"/>
          <w:sz w:val="20"/>
          <w:szCs w:val="20"/>
        </w:rPr>
        <w:t xml:space="preserve"> </w:t>
      </w:r>
      <w:r w:rsidRPr="00EB7DF1">
        <w:rPr>
          <w:iCs/>
          <w:color w:val="000000"/>
          <w:sz w:val="20"/>
          <w:szCs w:val="20"/>
        </w:rPr>
        <w:t>necessary links to program inputs</w:t>
      </w:r>
      <w:r w:rsidR="00EB7DF1">
        <w:rPr>
          <w:iCs/>
          <w:color w:val="000000"/>
          <w:sz w:val="20"/>
          <w:szCs w:val="20"/>
        </w:rPr>
        <w:t>, structure, and implementation</w:t>
      </w:r>
      <w:r w:rsidRPr="00EB7DF1">
        <w:rPr>
          <w:color w:val="000000"/>
          <w:sz w:val="20"/>
          <w:szCs w:val="20"/>
        </w:rPr>
        <w:t>.</w:t>
      </w:r>
      <w:r w:rsidRPr="000461A3">
        <w:rPr>
          <w:color w:val="000000"/>
          <w:sz w:val="20"/>
          <w:szCs w:val="20"/>
        </w:rPr>
        <w:t xml:space="preserve"> </w:t>
      </w:r>
    </w:p>
    <w:p w:rsidR="00EB7DF1" w:rsidRDefault="00EB7DF1" w:rsidP="00D857D2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D857D2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Indeed, these critiques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extend back to the origins of modern performance measurement, with Carter, Klein and Day</w:t>
      </w:r>
      <w:r w:rsidR="00D857D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(1992) exploring issues including how organisational complexity and uncertainty impact on the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usability of indicators and the perceived effectiveness of a policy. They also suggest that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indicators have to be clear, consistent, relevant to the policy and credible, thereby defining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some measures as confusing ‘tin-openers’ that have the effect of ‘opening a can of worms’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rather than answering pertinent questions about the policy in question.</w:t>
      </w:r>
    </w:p>
    <w:p w:rsidR="00EB7DF1" w:rsidRDefault="00EB7DF1" w:rsidP="00D857D2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D857D2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Ultimately, governments set out to achieve policy success that satisfies their own definitions, as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well as those implicitly held by voters, stakeholders and other commentators. In considering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whether Aimhigher was a policy success it is useful to draw on the work of McConnell (2010),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who explores in depth the concept of what constitutes a ‘policy success’, finding that it is often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contested, even when outcome measures are robust, reliable and valid. Working from a realist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perspective, he presents a four-way typology of success (durable, conflicted, precarious and</w:t>
      </w:r>
      <w:r w:rsidR="00D857D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failure) across a variety of dimensions. In this instance, we will focus on the ‘programme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success’, comprising how well Aimhigher met objectives, produced desired outcomes, created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benefit for the target group an</w:t>
      </w:r>
      <w:r w:rsidR="00EB7DF1">
        <w:rPr>
          <w:color w:val="000000"/>
          <w:sz w:val="20"/>
          <w:szCs w:val="20"/>
        </w:rPr>
        <w:t>d met policy domain criteria (</w:t>
      </w:r>
      <w:proofErr w:type="spellStart"/>
      <w:r w:rsidR="00EB7DF1" w:rsidRPr="00EB7DF1">
        <w:rPr>
          <w:color w:val="000000"/>
          <w:sz w:val="20"/>
          <w:szCs w:val="20"/>
        </w:rPr>
        <w:t>i</w:t>
      </w:r>
      <w:r w:rsidRPr="00EB7DF1">
        <w:rPr>
          <w:color w:val="000000"/>
          <w:sz w:val="20"/>
          <w:szCs w:val="20"/>
        </w:rPr>
        <w:t>e</w:t>
      </w:r>
      <w:proofErr w:type="spellEnd"/>
      <w:r w:rsidRPr="000461A3">
        <w:rPr>
          <w:color w:val="000000"/>
          <w:sz w:val="20"/>
          <w:szCs w:val="20"/>
        </w:rPr>
        <w:t xml:space="preserve"> accord with values held within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sector) – and specifically the extent to which these could be measured by the statistic that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government chose to employ (</w:t>
      </w:r>
      <w:r w:rsidR="00093694">
        <w:rPr>
          <w:iCs/>
          <w:color w:val="000000"/>
          <w:sz w:val="20"/>
          <w:szCs w:val="20"/>
        </w:rPr>
        <w:t>McConnell, 2010:</w:t>
      </w:r>
      <w:r w:rsidRPr="000461A3">
        <w:rPr>
          <w:color w:val="000000"/>
          <w:sz w:val="20"/>
          <w:szCs w:val="20"/>
        </w:rPr>
        <w:t>46).</w:t>
      </w:r>
    </w:p>
    <w:p w:rsidR="00EB7DF1" w:rsidRPr="000461A3" w:rsidRDefault="00EB7DF1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Widening what, to who</w:t>
      </w:r>
      <w:r w:rsidR="00EB7DF1">
        <w:rPr>
          <w:b/>
          <w:bCs/>
          <w:color w:val="000000"/>
          <w:sz w:val="20"/>
          <w:szCs w:val="20"/>
        </w:rPr>
        <w:t>m</w:t>
      </w:r>
      <w:r w:rsidRPr="000461A3">
        <w:rPr>
          <w:b/>
          <w:bCs/>
          <w:color w:val="000000"/>
          <w:sz w:val="20"/>
          <w:szCs w:val="20"/>
        </w:rPr>
        <w:t>?</w:t>
      </w:r>
    </w:p>
    <w:p w:rsidR="00D857D2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While there was general agreement on the need for action on the social class gap, there was not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 consensus among policymakers or practitioners on what was needed and where efforts should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be targeted. Social class can be seen as a proxy for different types of young people that needed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to be engaged, but there were immediate problems with turning subjective assessments of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social class into an actionable strategy – how were practitioners or schools to know which </w:t>
      </w:r>
      <w:r w:rsidRPr="000461A3">
        <w:rPr>
          <w:color w:val="000000"/>
          <w:sz w:val="20"/>
          <w:szCs w:val="20"/>
        </w:rPr>
        <w:lastRenderedPageBreak/>
        <w:t>pupils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fell into which socio-economic groups and were these the ‘right’ groupings (Thomas, 2001; </w:t>
      </w:r>
      <w:proofErr w:type="spellStart"/>
      <w:r w:rsidRPr="000461A3">
        <w:rPr>
          <w:color w:val="000000"/>
          <w:sz w:val="20"/>
          <w:szCs w:val="20"/>
        </w:rPr>
        <w:t>Hatt</w:t>
      </w:r>
      <w:proofErr w:type="spellEnd"/>
      <w:r w:rsidRPr="000461A3">
        <w:rPr>
          <w:color w:val="000000"/>
          <w:sz w:val="20"/>
          <w:szCs w:val="20"/>
        </w:rPr>
        <w:t>,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Baxter and Tate, 2005; </w:t>
      </w:r>
      <w:r w:rsidR="00EB7DF1" w:rsidRPr="00ED298D">
        <w:rPr>
          <w:sz w:val="20"/>
          <w:szCs w:val="20"/>
        </w:rPr>
        <w:t xml:space="preserve">Harrison </w:t>
      </w:r>
      <w:r w:rsidR="00ED298D" w:rsidRPr="00ED298D">
        <w:rPr>
          <w:sz w:val="20"/>
          <w:szCs w:val="20"/>
        </w:rPr>
        <w:t xml:space="preserve">and </w:t>
      </w:r>
      <w:proofErr w:type="spellStart"/>
      <w:r w:rsidR="00ED298D" w:rsidRPr="00ED298D">
        <w:rPr>
          <w:sz w:val="20"/>
          <w:szCs w:val="20"/>
        </w:rPr>
        <w:t>Hatt</w:t>
      </w:r>
      <w:proofErr w:type="spellEnd"/>
      <w:r w:rsidR="00ED298D" w:rsidRPr="00ED298D">
        <w:rPr>
          <w:sz w:val="20"/>
          <w:szCs w:val="20"/>
        </w:rPr>
        <w:t xml:space="preserve"> </w:t>
      </w:r>
      <w:r w:rsidR="00EB7DF1" w:rsidRPr="00ED298D">
        <w:rPr>
          <w:sz w:val="20"/>
          <w:szCs w:val="20"/>
        </w:rPr>
        <w:t>2009a</w:t>
      </w:r>
      <w:r w:rsidRPr="000461A3">
        <w:rPr>
          <w:color w:val="000000"/>
          <w:sz w:val="20"/>
          <w:szCs w:val="20"/>
        </w:rPr>
        <w:t>)?</w:t>
      </w:r>
      <w:r w:rsidR="00EB7DF1">
        <w:rPr>
          <w:color w:val="000000"/>
          <w:sz w:val="20"/>
          <w:szCs w:val="20"/>
        </w:rPr>
        <w:t xml:space="preserve"> </w:t>
      </w:r>
    </w:p>
    <w:p w:rsidR="00D857D2" w:rsidRDefault="00D857D2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 result was a plethora of interpretations emerging from government across a relatively short</w:t>
      </w:r>
      <w:r w:rsidR="00EB7D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period of time. The Dearing Report talked about </w:t>
      </w:r>
      <w:r w:rsidR="00D857D2">
        <w:rPr>
          <w:color w:val="000000"/>
          <w:sz w:val="20"/>
          <w:szCs w:val="20"/>
        </w:rPr>
        <w:t>‘</w:t>
      </w:r>
      <w:r w:rsidRPr="00D857D2">
        <w:rPr>
          <w:iCs/>
          <w:color w:val="000000"/>
          <w:sz w:val="20"/>
          <w:szCs w:val="20"/>
        </w:rPr>
        <w:t>those from socio-economic groups III to V</w:t>
      </w:r>
      <w:r w:rsidR="00D857D2">
        <w:rPr>
          <w:iCs/>
          <w:color w:val="000000"/>
          <w:sz w:val="20"/>
          <w:szCs w:val="20"/>
        </w:rPr>
        <w:t xml:space="preserve">’ </w:t>
      </w:r>
      <w:r w:rsidRPr="000461A3">
        <w:rPr>
          <w:color w:val="000000"/>
          <w:sz w:val="20"/>
          <w:szCs w:val="20"/>
        </w:rPr>
        <w:t xml:space="preserve">(NCIHE, 1997: </w:t>
      </w:r>
      <w:proofErr w:type="spellStart"/>
      <w:r w:rsidRPr="000461A3">
        <w:rPr>
          <w:color w:val="000000"/>
          <w:sz w:val="20"/>
          <w:szCs w:val="20"/>
        </w:rPr>
        <w:t>para</w:t>
      </w:r>
      <w:proofErr w:type="spellEnd"/>
      <w:r w:rsidRPr="000461A3">
        <w:rPr>
          <w:color w:val="000000"/>
          <w:sz w:val="20"/>
          <w:szCs w:val="20"/>
        </w:rPr>
        <w:t xml:space="preserve"> 29), but by the time widening participation had its first formal government</w:t>
      </w:r>
      <w:r w:rsidR="00D857D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initiative, this had morphed into </w:t>
      </w:r>
      <w:r w:rsidR="00D857D2">
        <w:rPr>
          <w:color w:val="000000"/>
          <w:sz w:val="20"/>
          <w:szCs w:val="20"/>
        </w:rPr>
        <w:t>‘</w:t>
      </w:r>
      <w:r w:rsidRPr="00D857D2">
        <w:rPr>
          <w:iCs/>
          <w:color w:val="000000"/>
          <w:sz w:val="20"/>
          <w:szCs w:val="20"/>
        </w:rPr>
        <w:t>bright young students from poorer backgrounds</w:t>
      </w:r>
      <w:r w:rsidR="00D857D2">
        <w:rPr>
          <w:color w:val="000000"/>
          <w:sz w:val="20"/>
          <w:szCs w:val="20"/>
        </w:rPr>
        <w:t>’</w:t>
      </w:r>
      <w:r w:rsidRPr="000461A3">
        <w:rPr>
          <w:color w:val="000000"/>
          <w:sz w:val="20"/>
          <w:szCs w:val="20"/>
        </w:rPr>
        <w:t xml:space="preserve"> (DFEE, 2000:1) and those in </w:t>
      </w:r>
      <w:r w:rsidR="00D857D2">
        <w:rPr>
          <w:iCs/>
          <w:color w:val="000000"/>
          <w:sz w:val="20"/>
          <w:szCs w:val="20"/>
        </w:rPr>
        <w:t>‘</w:t>
      </w:r>
      <w:r w:rsidRPr="00D857D2">
        <w:rPr>
          <w:iCs/>
          <w:color w:val="000000"/>
          <w:sz w:val="20"/>
          <w:szCs w:val="20"/>
        </w:rPr>
        <w:t>inner city comprehensives</w:t>
      </w:r>
      <w:r w:rsidR="00D857D2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</w:t>
      </w:r>
      <w:r w:rsidR="00093694">
        <w:rPr>
          <w:iCs/>
          <w:color w:val="000000"/>
          <w:sz w:val="20"/>
          <w:szCs w:val="20"/>
        </w:rPr>
        <w:t>p2</w:t>
      </w:r>
      <w:r w:rsidRPr="000461A3">
        <w:rPr>
          <w:color w:val="000000"/>
          <w:sz w:val="20"/>
          <w:szCs w:val="20"/>
        </w:rPr>
        <w:t>). The 2003 White Paper added new facets,</w:t>
      </w:r>
      <w:r w:rsidR="00D857D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including a focus on </w:t>
      </w:r>
      <w:r w:rsidR="00D857D2" w:rsidRPr="00D857D2">
        <w:rPr>
          <w:color w:val="000000"/>
          <w:sz w:val="20"/>
          <w:szCs w:val="20"/>
        </w:rPr>
        <w:t>‘</w:t>
      </w:r>
      <w:r w:rsidRPr="00D857D2">
        <w:rPr>
          <w:iCs/>
          <w:color w:val="000000"/>
          <w:sz w:val="20"/>
          <w:szCs w:val="20"/>
        </w:rPr>
        <w:t>less advantaged families</w:t>
      </w:r>
      <w:r w:rsidR="00D857D2" w:rsidRPr="00D857D2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</w:t>
      </w:r>
      <w:proofErr w:type="spellStart"/>
      <w:r w:rsidRPr="000461A3">
        <w:rPr>
          <w:color w:val="000000"/>
          <w:sz w:val="20"/>
          <w:szCs w:val="20"/>
        </w:rPr>
        <w:t>DfES</w:t>
      </w:r>
      <w:proofErr w:type="spellEnd"/>
      <w:r w:rsidR="00D857D2">
        <w:rPr>
          <w:color w:val="000000"/>
          <w:sz w:val="20"/>
          <w:szCs w:val="20"/>
        </w:rPr>
        <w:t>,</w:t>
      </w:r>
      <w:r w:rsidR="00ED298D">
        <w:rPr>
          <w:color w:val="000000"/>
          <w:sz w:val="20"/>
          <w:szCs w:val="20"/>
        </w:rPr>
        <w:t xml:space="preserve"> </w:t>
      </w:r>
      <w:r w:rsidR="00D857D2" w:rsidRPr="00ED298D">
        <w:rPr>
          <w:sz w:val="20"/>
          <w:szCs w:val="20"/>
        </w:rPr>
        <w:t>2003</w:t>
      </w:r>
      <w:r w:rsidR="00D857D2">
        <w:rPr>
          <w:color w:val="000000"/>
          <w:sz w:val="20"/>
          <w:szCs w:val="20"/>
        </w:rPr>
        <w:t>:</w:t>
      </w:r>
      <w:r w:rsidRPr="000461A3">
        <w:rPr>
          <w:color w:val="000000"/>
          <w:sz w:val="20"/>
          <w:szCs w:val="20"/>
        </w:rPr>
        <w:t xml:space="preserve">2), </w:t>
      </w:r>
      <w:r w:rsidR="00D857D2">
        <w:rPr>
          <w:color w:val="000000"/>
          <w:sz w:val="20"/>
          <w:szCs w:val="20"/>
        </w:rPr>
        <w:t>‘</w:t>
      </w:r>
      <w:r w:rsidR="00D857D2">
        <w:rPr>
          <w:iCs/>
          <w:color w:val="000000"/>
          <w:sz w:val="20"/>
          <w:szCs w:val="20"/>
        </w:rPr>
        <w:t xml:space="preserve">the most disadvantaged areas’ </w:t>
      </w:r>
      <w:r w:rsidRPr="000461A3">
        <w:rPr>
          <w:color w:val="000000"/>
          <w:sz w:val="20"/>
          <w:szCs w:val="20"/>
        </w:rPr>
        <w:t xml:space="preserve">and </w:t>
      </w:r>
      <w:r w:rsidR="00D857D2">
        <w:rPr>
          <w:color w:val="000000"/>
          <w:sz w:val="20"/>
          <w:szCs w:val="20"/>
        </w:rPr>
        <w:t>‘</w:t>
      </w:r>
      <w:r w:rsidRPr="00D857D2">
        <w:rPr>
          <w:iCs/>
          <w:color w:val="000000"/>
          <w:sz w:val="20"/>
          <w:szCs w:val="20"/>
        </w:rPr>
        <w:t xml:space="preserve">schools with low </w:t>
      </w:r>
      <w:r w:rsidR="00D857D2">
        <w:rPr>
          <w:iCs/>
          <w:color w:val="000000"/>
          <w:sz w:val="20"/>
          <w:szCs w:val="20"/>
        </w:rPr>
        <w:t>progression to higher education’</w:t>
      </w:r>
      <w:r w:rsidRPr="00D857D2">
        <w:rPr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(both </w:t>
      </w:r>
      <w:r w:rsidRPr="000461A3">
        <w:rPr>
          <w:i/>
          <w:iCs/>
          <w:color w:val="000000"/>
          <w:sz w:val="20"/>
          <w:szCs w:val="20"/>
        </w:rPr>
        <w:t>ibid</w:t>
      </w:r>
      <w:r w:rsidR="00D857D2">
        <w:rPr>
          <w:color w:val="000000"/>
          <w:sz w:val="20"/>
          <w:szCs w:val="20"/>
        </w:rPr>
        <w:t>:</w:t>
      </w:r>
      <w:r w:rsidRPr="000461A3">
        <w:rPr>
          <w:color w:val="000000"/>
          <w:sz w:val="20"/>
          <w:szCs w:val="20"/>
        </w:rPr>
        <w:t>70). The document that laid</w:t>
      </w:r>
      <w:r w:rsidR="00D857D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out the initial ground rules for Aimhigher provided a list of over a dozen groups that were</w:t>
      </w:r>
      <w:r w:rsidR="00D857D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considered underrepresented in higher education, including </w:t>
      </w:r>
      <w:r w:rsidR="00D857D2">
        <w:rPr>
          <w:color w:val="000000"/>
          <w:sz w:val="20"/>
          <w:szCs w:val="20"/>
        </w:rPr>
        <w:t>‘</w:t>
      </w:r>
      <w:r w:rsidRPr="00D857D2">
        <w:rPr>
          <w:iCs/>
          <w:color w:val="000000"/>
          <w:sz w:val="20"/>
          <w:szCs w:val="20"/>
        </w:rPr>
        <w:t>young people from</w:t>
      </w:r>
      <w:r w:rsidR="00D857D2">
        <w:rPr>
          <w:iCs/>
          <w:color w:val="000000"/>
          <w:sz w:val="20"/>
          <w:szCs w:val="20"/>
        </w:rPr>
        <w:t xml:space="preserve"> </w:t>
      </w:r>
      <w:r w:rsidRPr="00D857D2">
        <w:rPr>
          <w:iCs/>
          <w:color w:val="000000"/>
          <w:sz w:val="20"/>
          <w:szCs w:val="20"/>
        </w:rPr>
        <w:t>neighbourhoods with lowe</w:t>
      </w:r>
      <w:r w:rsidR="00D857D2">
        <w:rPr>
          <w:iCs/>
          <w:color w:val="000000"/>
          <w:sz w:val="20"/>
          <w:szCs w:val="20"/>
        </w:rPr>
        <w:t>r than average HE participation’</w:t>
      </w:r>
      <w:r w:rsidRPr="00D857D2">
        <w:rPr>
          <w:color w:val="000000"/>
          <w:sz w:val="20"/>
          <w:szCs w:val="20"/>
        </w:rPr>
        <w:t xml:space="preserve">, </w:t>
      </w:r>
      <w:r w:rsidR="00D857D2">
        <w:rPr>
          <w:iCs/>
          <w:color w:val="000000"/>
          <w:sz w:val="20"/>
          <w:szCs w:val="20"/>
        </w:rPr>
        <w:t>‘</w:t>
      </w:r>
      <w:r w:rsidRPr="00D857D2">
        <w:rPr>
          <w:iCs/>
          <w:color w:val="000000"/>
          <w:sz w:val="20"/>
          <w:szCs w:val="20"/>
        </w:rPr>
        <w:t>people from lower socio-economic</w:t>
      </w:r>
      <w:r w:rsidR="00D857D2">
        <w:rPr>
          <w:iCs/>
          <w:color w:val="000000"/>
          <w:sz w:val="20"/>
          <w:szCs w:val="20"/>
        </w:rPr>
        <w:t xml:space="preserve"> groups’</w:t>
      </w:r>
      <w:r w:rsidRPr="00D857D2">
        <w:rPr>
          <w:color w:val="000000"/>
          <w:sz w:val="20"/>
          <w:szCs w:val="20"/>
        </w:rPr>
        <w:t xml:space="preserve">, </w:t>
      </w:r>
      <w:r w:rsidR="00D857D2">
        <w:rPr>
          <w:color w:val="000000"/>
          <w:sz w:val="20"/>
          <w:szCs w:val="20"/>
        </w:rPr>
        <w:t>‘</w:t>
      </w:r>
      <w:r w:rsidRPr="00D857D2">
        <w:rPr>
          <w:iCs/>
          <w:color w:val="000000"/>
          <w:sz w:val="20"/>
          <w:szCs w:val="20"/>
        </w:rPr>
        <w:t>people living</w:t>
      </w:r>
      <w:r w:rsidR="00D857D2">
        <w:rPr>
          <w:iCs/>
          <w:color w:val="000000"/>
          <w:sz w:val="20"/>
          <w:szCs w:val="20"/>
        </w:rPr>
        <w:t xml:space="preserve"> in deprived geographical areas’</w:t>
      </w:r>
      <w:r w:rsidRPr="00D857D2">
        <w:rPr>
          <w:iCs/>
          <w:color w:val="000000"/>
          <w:sz w:val="20"/>
          <w:szCs w:val="20"/>
        </w:rPr>
        <w:t xml:space="preserve"> </w:t>
      </w:r>
      <w:r w:rsidRPr="00D857D2">
        <w:rPr>
          <w:color w:val="000000"/>
          <w:sz w:val="20"/>
          <w:szCs w:val="20"/>
        </w:rPr>
        <w:t xml:space="preserve">and </w:t>
      </w:r>
      <w:r w:rsidR="00D857D2">
        <w:rPr>
          <w:iCs/>
          <w:color w:val="000000"/>
          <w:sz w:val="20"/>
          <w:szCs w:val="20"/>
        </w:rPr>
        <w:t>‘</w:t>
      </w:r>
      <w:r w:rsidRPr="00D857D2">
        <w:rPr>
          <w:iCs/>
          <w:color w:val="000000"/>
          <w:sz w:val="20"/>
          <w:szCs w:val="20"/>
        </w:rPr>
        <w:t>people whose family have no</w:t>
      </w:r>
      <w:r w:rsidR="00093694">
        <w:rPr>
          <w:iCs/>
          <w:color w:val="000000"/>
          <w:sz w:val="20"/>
          <w:szCs w:val="20"/>
        </w:rPr>
        <w:t xml:space="preserve"> </w:t>
      </w:r>
      <w:r w:rsidRPr="00D857D2">
        <w:rPr>
          <w:iCs/>
          <w:color w:val="000000"/>
          <w:sz w:val="20"/>
          <w:szCs w:val="20"/>
        </w:rPr>
        <w:t>experience of HE</w:t>
      </w:r>
      <w:r w:rsidR="00D857D2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(all </w:t>
      </w:r>
      <w:r w:rsidR="00D857D2">
        <w:rPr>
          <w:color w:val="000000"/>
          <w:sz w:val="20"/>
          <w:szCs w:val="20"/>
        </w:rPr>
        <w:t>HEFCE, 2004:</w:t>
      </w:r>
      <w:r w:rsidRPr="000461A3">
        <w:rPr>
          <w:color w:val="000000"/>
          <w:sz w:val="20"/>
          <w:szCs w:val="20"/>
        </w:rPr>
        <w:t>12). In what was intended to be a definitive statement on</w:t>
      </w:r>
      <w:r w:rsidR="00D857D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targeting, Aimhigher was finally asked to reach out to </w:t>
      </w:r>
      <w:r w:rsidR="00D857D2">
        <w:rPr>
          <w:color w:val="000000"/>
          <w:sz w:val="20"/>
          <w:szCs w:val="20"/>
        </w:rPr>
        <w:t>‘</w:t>
      </w:r>
      <w:r w:rsidRPr="00D857D2">
        <w:rPr>
          <w:iCs/>
          <w:color w:val="000000"/>
          <w:sz w:val="20"/>
          <w:szCs w:val="20"/>
        </w:rPr>
        <w:t>those from disadvantaged backgrounds</w:t>
      </w:r>
      <w:r w:rsidR="00D857D2">
        <w:rPr>
          <w:iCs/>
          <w:color w:val="000000"/>
          <w:sz w:val="20"/>
          <w:szCs w:val="20"/>
        </w:rPr>
        <w:t xml:space="preserve"> </w:t>
      </w:r>
      <w:r w:rsidRPr="00D857D2">
        <w:rPr>
          <w:iCs/>
          <w:color w:val="000000"/>
          <w:sz w:val="20"/>
          <w:szCs w:val="20"/>
        </w:rPr>
        <w:t>who live in areas of relative deprivation where participation in higher education is low</w:t>
      </w:r>
      <w:r w:rsidR="00D857D2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(HEFCE,</w:t>
      </w:r>
      <w:r w:rsidR="00D857D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2007). Even this formulation, which effectively moved Aimhigher towards being an area-based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initiative rather than being based on individualised ideas of social class, had its critics (</w:t>
      </w:r>
      <w:r w:rsidR="00CB6582" w:rsidRPr="00ED298D">
        <w:rPr>
          <w:sz w:val="20"/>
          <w:szCs w:val="20"/>
        </w:rPr>
        <w:t>Harrison</w:t>
      </w:r>
      <w:r w:rsidR="00ED298D">
        <w:rPr>
          <w:sz w:val="20"/>
          <w:szCs w:val="20"/>
        </w:rPr>
        <w:t xml:space="preserve"> and </w:t>
      </w:r>
      <w:proofErr w:type="spellStart"/>
      <w:r w:rsidR="00ED298D">
        <w:rPr>
          <w:sz w:val="20"/>
          <w:szCs w:val="20"/>
        </w:rPr>
        <w:t>Hatt</w:t>
      </w:r>
      <w:proofErr w:type="spellEnd"/>
      <w:r w:rsidRPr="000461A3">
        <w:rPr>
          <w:color w:val="000000"/>
          <w:sz w:val="20"/>
          <w:szCs w:val="20"/>
        </w:rPr>
        <w:t>, 2010).</w:t>
      </w:r>
    </w:p>
    <w:p w:rsidR="00CB6582" w:rsidRPr="000461A3" w:rsidRDefault="00CB6582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This lack of clarity presented a real challenge to Aimhigher practitioners and others engaged in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widening participation. There was effectively a menu of options available concerning which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young people should be targeted by Aimhigher activities, based variously on the individual, their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school or the area in which they lived:</w:t>
      </w:r>
    </w:p>
    <w:p w:rsidR="00CB6582" w:rsidRPr="000461A3" w:rsidRDefault="00CB6582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Pr="00ED298D" w:rsidRDefault="00034AB9" w:rsidP="00ED298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  <w:r w:rsidRPr="00ED298D">
        <w:rPr>
          <w:color w:val="000000"/>
          <w:sz w:val="20"/>
          <w:szCs w:val="20"/>
        </w:rPr>
        <w:t>Socio-economic group (or social class), usually expressed through the NS-SEC system</w:t>
      </w:r>
      <w:r w:rsidR="00CB6582" w:rsidRPr="00ED298D">
        <w:rPr>
          <w:color w:val="000000"/>
          <w:sz w:val="20"/>
          <w:szCs w:val="20"/>
        </w:rPr>
        <w:t xml:space="preserve"> </w:t>
      </w:r>
      <w:r w:rsidRPr="00ED298D">
        <w:rPr>
          <w:color w:val="000000"/>
          <w:sz w:val="20"/>
          <w:szCs w:val="20"/>
        </w:rPr>
        <w:t>(National Statistics Socio-Economic Classificatio</w:t>
      </w:r>
      <w:r w:rsidR="00CB6582" w:rsidRPr="00ED298D">
        <w:rPr>
          <w:color w:val="000000"/>
          <w:sz w:val="20"/>
          <w:szCs w:val="20"/>
        </w:rPr>
        <w:t>n) which was introduced in 2001</w:t>
      </w:r>
    </w:p>
    <w:p w:rsidR="00CB6582" w:rsidRPr="000461A3" w:rsidRDefault="00CB6582" w:rsidP="00ED298D">
      <w:p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</w:p>
    <w:p w:rsidR="00034AB9" w:rsidRPr="00ED298D" w:rsidRDefault="00034AB9" w:rsidP="00ED298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  <w:r w:rsidRPr="00ED298D">
        <w:rPr>
          <w:color w:val="000000"/>
          <w:sz w:val="20"/>
          <w:szCs w:val="20"/>
        </w:rPr>
        <w:t>Family income (or economic disadvantage), which generally had no specific definition,</w:t>
      </w:r>
      <w:r w:rsidR="00CB6582" w:rsidRPr="00ED298D">
        <w:rPr>
          <w:color w:val="000000"/>
          <w:sz w:val="20"/>
          <w:szCs w:val="20"/>
        </w:rPr>
        <w:t xml:space="preserve"> </w:t>
      </w:r>
      <w:r w:rsidRPr="00ED298D">
        <w:rPr>
          <w:color w:val="000000"/>
          <w:sz w:val="20"/>
          <w:szCs w:val="20"/>
        </w:rPr>
        <w:t>except through the means-testing for additional financial support – latterly, the claiming</w:t>
      </w:r>
      <w:r w:rsidR="00CB6582" w:rsidRPr="00ED298D">
        <w:rPr>
          <w:color w:val="000000"/>
          <w:sz w:val="20"/>
          <w:szCs w:val="20"/>
        </w:rPr>
        <w:t xml:space="preserve"> </w:t>
      </w:r>
      <w:r w:rsidRPr="00ED298D">
        <w:rPr>
          <w:color w:val="000000"/>
          <w:sz w:val="20"/>
          <w:szCs w:val="20"/>
        </w:rPr>
        <w:t>of Free School Meals ha</w:t>
      </w:r>
      <w:r w:rsidR="00CB6582" w:rsidRPr="00ED298D">
        <w:rPr>
          <w:color w:val="000000"/>
          <w:sz w:val="20"/>
          <w:szCs w:val="20"/>
        </w:rPr>
        <w:t>s gained currency (DBIS, 2011a)</w:t>
      </w:r>
    </w:p>
    <w:p w:rsidR="00CB6582" w:rsidRPr="000461A3" w:rsidRDefault="00CB6582" w:rsidP="00ED298D">
      <w:p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</w:p>
    <w:p w:rsidR="00034AB9" w:rsidRPr="00ED298D" w:rsidRDefault="00034AB9" w:rsidP="00ED298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  <w:r w:rsidRPr="00ED298D">
        <w:rPr>
          <w:color w:val="000000"/>
          <w:sz w:val="20"/>
          <w:szCs w:val="20"/>
        </w:rPr>
        <w:t>Certain schools, especially comprehensives that were serving deprived communities,</w:t>
      </w:r>
      <w:r w:rsidR="00CB6582" w:rsidRPr="00ED298D">
        <w:rPr>
          <w:color w:val="000000"/>
          <w:sz w:val="20"/>
          <w:szCs w:val="20"/>
        </w:rPr>
        <w:t xml:space="preserve"> </w:t>
      </w:r>
      <w:r w:rsidRPr="00ED298D">
        <w:rPr>
          <w:color w:val="000000"/>
          <w:sz w:val="20"/>
          <w:szCs w:val="20"/>
        </w:rPr>
        <w:t>especially in urban area</w:t>
      </w:r>
      <w:r w:rsidR="00CB6582" w:rsidRPr="00ED298D">
        <w:rPr>
          <w:color w:val="000000"/>
          <w:sz w:val="20"/>
          <w:szCs w:val="20"/>
        </w:rPr>
        <w:t>s</w:t>
      </w:r>
    </w:p>
    <w:p w:rsidR="00CB6582" w:rsidRPr="000461A3" w:rsidRDefault="00CB6582" w:rsidP="00ED298D">
      <w:p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</w:p>
    <w:p w:rsidR="00034AB9" w:rsidRPr="00ED298D" w:rsidRDefault="00034AB9" w:rsidP="00ED298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  <w:r w:rsidRPr="00ED298D">
        <w:rPr>
          <w:color w:val="000000"/>
          <w:sz w:val="20"/>
          <w:szCs w:val="20"/>
        </w:rPr>
        <w:t>Deprived geographical areas, with inner city areas and remote rural/coastal areas often</w:t>
      </w:r>
      <w:r w:rsidR="00CB6582" w:rsidRPr="00ED298D">
        <w:rPr>
          <w:color w:val="000000"/>
          <w:sz w:val="20"/>
          <w:szCs w:val="20"/>
        </w:rPr>
        <w:t xml:space="preserve"> getting specifically mentioned</w:t>
      </w:r>
    </w:p>
    <w:p w:rsidR="00CB6582" w:rsidRPr="000461A3" w:rsidRDefault="00CB6582" w:rsidP="00ED298D">
      <w:p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</w:p>
    <w:p w:rsidR="00FF19F8" w:rsidRPr="00ED298D" w:rsidRDefault="00034AB9" w:rsidP="00ED298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  <w:r w:rsidRPr="00ED298D">
        <w:rPr>
          <w:color w:val="000000"/>
          <w:sz w:val="20"/>
          <w:szCs w:val="20"/>
        </w:rPr>
        <w:t>Families with no history of higher education, though this often became confused in the</w:t>
      </w:r>
      <w:r w:rsidR="00CB6582" w:rsidRPr="00ED298D">
        <w:rPr>
          <w:color w:val="000000"/>
          <w:sz w:val="20"/>
          <w:szCs w:val="20"/>
        </w:rPr>
        <w:t xml:space="preserve"> </w:t>
      </w:r>
      <w:r w:rsidRPr="00ED298D">
        <w:rPr>
          <w:color w:val="000000"/>
          <w:sz w:val="20"/>
          <w:szCs w:val="20"/>
        </w:rPr>
        <w:t>ca</w:t>
      </w:r>
      <w:r w:rsidR="00CB6582" w:rsidRPr="00ED298D">
        <w:rPr>
          <w:color w:val="000000"/>
          <w:sz w:val="20"/>
          <w:szCs w:val="20"/>
        </w:rPr>
        <w:t>se of reconstituted families (</w:t>
      </w:r>
      <w:proofErr w:type="spellStart"/>
      <w:r w:rsidR="00CB6582" w:rsidRPr="00ED298D">
        <w:rPr>
          <w:color w:val="000000"/>
          <w:sz w:val="20"/>
          <w:szCs w:val="20"/>
        </w:rPr>
        <w:t>ie</w:t>
      </w:r>
      <w:proofErr w:type="spellEnd"/>
      <w:r w:rsidRPr="00ED298D">
        <w:rPr>
          <w:color w:val="000000"/>
          <w:sz w:val="20"/>
          <w:szCs w:val="20"/>
        </w:rPr>
        <w:t xml:space="preserve"> step-parents) or where there was experience of higher</w:t>
      </w:r>
      <w:r w:rsidR="00CB6582" w:rsidRPr="00ED298D">
        <w:rPr>
          <w:color w:val="000000"/>
          <w:sz w:val="20"/>
          <w:szCs w:val="20"/>
        </w:rPr>
        <w:t xml:space="preserve"> </w:t>
      </w:r>
      <w:r w:rsidRPr="00ED298D">
        <w:rPr>
          <w:color w:val="000000"/>
          <w:sz w:val="20"/>
          <w:szCs w:val="20"/>
        </w:rPr>
        <w:t>educa</w:t>
      </w:r>
      <w:r w:rsidR="00CB6582" w:rsidRPr="00ED298D">
        <w:rPr>
          <w:color w:val="000000"/>
          <w:sz w:val="20"/>
          <w:szCs w:val="20"/>
        </w:rPr>
        <w:t>tion within the extended family</w:t>
      </w:r>
    </w:p>
    <w:p w:rsidR="00FF19F8" w:rsidRDefault="00FF19F8" w:rsidP="00ED298D">
      <w:p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</w:p>
    <w:p w:rsidR="00FF19F8" w:rsidRPr="00ED298D" w:rsidRDefault="00034AB9" w:rsidP="00ED298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color w:val="000000"/>
          <w:sz w:val="20"/>
          <w:szCs w:val="20"/>
        </w:rPr>
      </w:pPr>
      <w:r w:rsidRPr="00ED298D">
        <w:rPr>
          <w:color w:val="000000"/>
          <w:sz w:val="20"/>
          <w:szCs w:val="20"/>
        </w:rPr>
        <w:t>Areas with historically low participation in higher education, once figures became</w:t>
      </w:r>
      <w:r w:rsidR="00CB6582" w:rsidRPr="00ED298D">
        <w:rPr>
          <w:color w:val="000000"/>
          <w:sz w:val="20"/>
          <w:szCs w:val="20"/>
        </w:rPr>
        <w:t xml:space="preserve"> publicly </w:t>
      </w:r>
      <w:r w:rsidRPr="00ED298D">
        <w:rPr>
          <w:color w:val="000000"/>
          <w:sz w:val="20"/>
          <w:szCs w:val="20"/>
        </w:rPr>
        <w:t xml:space="preserve">available through HEFCE’s Participation Of Local </w:t>
      </w:r>
      <w:proofErr w:type="spellStart"/>
      <w:r w:rsidRPr="00ED298D">
        <w:rPr>
          <w:color w:val="000000"/>
          <w:sz w:val="20"/>
          <w:szCs w:val="20"/>
        </w:rPr>
        <w:t>AReas</w:t>
      </w:r>
      <w:proofErr w:type="spellEnd"/>
      <w:r w:rsidRPr="00ED298D">
        <w:rPr>
          <w:color w:val="000000"/>
          <w:sz w:val="20"/>
          <w:szCs w:val="20"/>
        </w:rPr>
        <w:t xml:space="preserve"> (POLAR) statistic (</w:t>
      </w:r>
      <w:r w:rsidRPr="00DF0FF2">
        <w:rPr>
          <w:sz w:val="20"/>
          <w:szCs w:val="20"/>
        </w:rPr>
        <w:t>HEFCE,</w:t>
      </w:r>
      <w:r w:rsidR="00CB6582" w:rsidRPr="00DF0FF2">
        <w:rPr>
          <w:sz w:val="20"/>
          <w:szCs w:val="20"/>
        </w:rPr>
        <w:t xml:space="preserve"> </w:t>
      </w:r>
      <w:r w:rsidRPr="00DF0FF2">
        <w:rPr>
          <w:sz w:val="20"/>
          <w:szCs w:val="20"/>
        </w:rPr>
        <w:t>2005</w:t>
      </w:r>
      <w:r w:rsidR="00CB6582" w:rsidRPr="00DF0FF2">
        <w:rPr>
          <w:sz w:val="20"/>
          <w:szCs w:val="20"/>
        </w:rPr>
        <w:t>,</w:t>
      </w:r>
      <w:r w:rsidRPr="00ED298D">
        <w:rPr>
          <w:color w:val="000000"/>
          <w:sz w:val="20"/>
          <w:szCs w:val="20"/>
        </w:rPr>
        <w:t xml:space="preserve"> 2010a).</w:t>
      </w:r>
      <w:r w:rsidR="00FF19F8" w:rsidRPr="00ED298D">
        <w:rPr>
          <w:color w:val="000000"/>
          <w:sz w:val="20"/>
          <w:szCs w:val="20"/>
        </w:rPr>
        <w:t xml:space="preserve"> (The original POLAR statistic was replaced in 2007 by an improved version known colloquially as ‘POLAR2’. All the figures quoted in this paper use the POLAR2 approach.)</w:t>
      </w:r>
    </w:p>
    <w:p w:rsidR="00CB6582" w:rsidRPr="000461A3" w:rsidRDefault="00CB6582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There was little doubt that there was considerable overlap between these groups, but they all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had a distinct flavour and more or less meaning within different Aimhigher partnerships. What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was not made clear</w:t>
      </w:r>
      <w:r w:rsidR="00093694">
        <w:rPr>
          <w:color w:val="000000"/>
          <w:sz w:val="20"/>
          <w:szCs w:val="20"/>
        </w:rPr>
        <w:t>,</w:t>
      </w:r>
      <w:r w:rsidRPr="000461A3">
        <w:rPr>
          <w:color w:val="000000"/>
          <w:sz w:val="20"/>
          <w:szCs w:val="20"/>
        </w:rPr>
        <w:t xml:space="preserve"> until 2007, was which should be dominant in targeting activities and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monitoring progress (HEFCE, 2007). Most partnerships convened data management groups to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try to make sense of the plethora of information coming back from coalface practitioners, with a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national network established to share practice more widely.</w:t>
      </w:r>
    </w:p>
    <w:p w:rsidR="00CB6582" w:rsidRPr="000461A3" w:rsidRDefault="00CB6582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CB6582" w:rsidRDefault="00034AB9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However, underpinning this discourse was a wider, and largely ignored, issue. While the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Dearing Report (NCIHE 1997) had rammed home the message that there were strong disparities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 access to higher education by social class, this issue of whether social class was actually the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key determinant o</w:t>
      </w:r>
      <w:r w:rsidR="00CB6582">
        <w:rPr>
          <w:color w:val="000000"/>
          <w:sz w:val="20"/>
          <w:szCs w:val="20"/>
        </w:rPr>
        <w:t>f those patterns was elided</w:t>
      </w:r>
      <w:r w:rsidRPr="000461A3">
        <w:rPr>
          <w:color w:val="000000"/>
          <w:sz w:val="20"/>
          <w:szCs w:val="20"/>
        </w:rPr>
        <w:t>. Rather than working from the old logicians’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adage that ‘correlation doesn’t imply causation’, there was a rush to see social class as the root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of the problem rather than an expr</w:t>
      </w:r>
      <w:r w:rsidR="00CB6582">
        <w:rPr>
          <w:color w:val="000000"/>
          <w:sz w:val="20"/>
          <w:szCs w:val="20"/>
        </w:rPr>
        <w:t>ession of it. Some writers (</w:t>
      </w:r>
      <w:proofErr w:type="spellStart"/>
      <w:r w:rsidR="00CB6582">
        <w:rPr>
          <w:color w:val="000000"/>
          <w:sz w:val="20"/>
          <w:szCs w:val="20"/>
        </w:rPr>
        <w:t>eg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proofErr w:type="spellStart"/>
      <w:r w:rsidRPr="000461A3">
        <w:rPr>
          <w:color w:val="000000"/>
          <w:sz w:val="20"/>
          <w:szCs w:val="20"/>
        </w:rPr>
        <w:t>Chowdry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et al</w:t>
      </w:r>
      <w:r w:rsidRPr="000461A3">
        <w:rPr>
          <w:color w:val="000000"/>
          <w:sz w:val="20"/>
          <w:szCs w:val="20"/>
        </w:rPr>
        <w:t>, 2008; Coleman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and </w:t>
      </w:r>
      <w:proofErr w:type="spellStart"/>
      <w:r w:rsidRPr="000461A3">
        <w:rPr>
          <w:color w:val="000000"/>
          <w:sz w:val="20"/>
          <w:szCs w:val="20"/>
        </w:rPr>
        <w:t>Bekhradnia</w:t>
      </w:r>
      <w:proofErr w:type="spellEnd"/>
      <w:r w:rsidRPr="000461A3">
        <w:rPr>
          <w:color w:val="000000"/>
          <w:sz w:val="20"/>
          <w:szCs w:val="20"/>
        </w:rPr>
        <w:t>, 2011) have questioned this assumption, pointing out that social class patterns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 the demand for higher education tend to disappear for those who have progressed into Level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3 study, conceptualising the patterns as being driven by differential access to high-quality early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schooling rather than the more abstract notion of the occupation of one’s parents or a deficit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model of educational motivation (or ‘poverty of aspiration’) in working class households.</w:t>
      </w:r>
      <w:r w:rsidR="00CB6582">
        <w:rPr>
          <w:color w:val="000000"/>
          <w:sz w:val="20"/>
          <w:szCs w:val="20"/>
        </w:rPr>
        <w:t xml:space="preserve">  </w:t>
      </w:r>
      <w:r w:rsidRPr="000461A3">
        <w:rPr>
          <w:color w:val="000000"/>
          <w:sz w:val="20"/>
          <w:szCs w:val="20"/>
        </w:rPr>
        <w:t>Nevertheless, and despite the variety of targets listed above, it was generally and tacitly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assumed that social class was the </w:t>
      </w:r>
      <w:r w:rsidRPr="000461A3">
        <w:rPr>
          <w:i/>
          <w:iCs/>
          <w:color w:val="000000"/>
          <w:sz w:val="20"/>
          <w:szCs w:val="20"/>
        </w:rPr>
        <w:t xml:space="preserve">real </w:t>
      </w:r>
      <w:r w:rsidRPr="000461A3">
        <w:rPr>
          <w:color w:val="000000"/>
          <w:sz w:val="20"/>
          <w:szCs w:val="20"/>
        </w:rPr>
        <w:t>problem with which Aimhigher should be grappling.</w:t>
      </w:r>
    </w:p>
    <w:p w:rsidR="00CB6582" w:rsidRDefault="00CB6582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Yet social class was, and remains, a contested concept. By the 1990s, the historical ideas of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Marx (with immutable classes based on an individual’s relationship with the means of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production) and Weber (with social status </w:t>
      </w:r>
      <w:r w:rsidRPr="000461A3">
        <w:rPr>
          <w:color w:val="000000"/>
          <w:sz w:val="20"/>
          <w:szCs w:val="20"/>
        </w:rPr>
        <w:lastRenderedPageBreak/>
        <w:t>and political power as mediating factors) had been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developed by later structuralist thinking on social class. In particular, the ideas of Pierre</w:t>
      </w:r>
      <w:r w:rsidR="00CB6582">
        <w:rPr>
          <w:color w:val="000000"/>
          <w:sz w:val="20"/>
          <w:szCs w:val="20"/>
        </w:rPr>
        <w:t xml:space="preserve"> </w:t>
      </w:r>
      <w:proofErr w:type="spellStart"/>
      <w:r w:rsidR="00CB6582">
        <w:rPr>
          <w:color w:val="000000"/>
          <w:sz w:val="20"/>
          <w:szCs w:val="20"/>
        </w:rPr>
        <w:t>Bourdieu</w:t>
      </w:r>
      <w:proofErr w:type="spellEnd"/>
      <w:r w:rsidR="00CB6582">
        <w:rPr>
          <w:color w:val="000000"/>
          <w:sz w:val="20"/>
          <w:szCs w:val="20"/>
        </w:rPr>
        <w:t xml:space="preserve"> (</w:t>
      </w:r>
      <w:proofErr w:type="spellStart"/>
      <w:r w:rsidR="00CB6582">
        <w:rPr>
          <w:color w:val="000000"/>
          <w:sz w:val="20"/>
          <w:szCs w:val="20"/>
        </w:rPr>
        <w:t>e</w:t>
      </w:r>
      <w:r w:rsidRPr="000461A3">
        <w:rPr>
          <w:color w:val="000000"/>
          <w:sz w:val="20"/>
          <w:szCs w:val="20"/>
        </w:rPr>
        <w:t>g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proofErr w:type="spellStart"/>
      <w:r w:rsidRPr="000461A3">
        <w:rPr>
          <w:color w:val="000000"/>
          <w:sz w:val="20"/>
          <w:szCs w:val="20"/>
        </w:rPr>
        <w:t>Bourdieu</w:t>
      </w:r>
      <w:proofErr w:type="spellEnd"/>
      <w:r w:rsidRPr="000461A3">
        <w:rPr>
          <w:color w:val="000000"/>
          <w:sz w:val="20"/>
          <w:szCs w:val="20"/>
        </w:rPr>
        <w:t xml:space="preserve"> and </w:t>
      </w:r>
      <w:proofErr w:type="spellStart"/>
      <w:r w:rsidRPr="000461A3">
        <w:rPr>
          <w:color w:val="000000"/>
          <w:sz w:val="20"/>
          <w:szCs w:val="20"/>
        </w:rPr>
        <w:t>Passeron</w:t>
      </w:r>
      <w:proofErr w:type="spellEnd"/>
      <w:r w:rsidRPr="000461A3">
        <w:rPr>
          <w:color w:val="000000"/>
          <w:sz w:val="20"/>
          <w:szCs w:val="20"/>
        </w:rPr>
        <w:t>, 1990) had firmly taken root, with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economic, cultural and social capital being theorised as the core components of social class and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its intergenerational reproduction. However, </w:t>
      </w:r>
      <w:proofErr w:type="spellStart"/>
      <w:r w:rsidRPr="000461A3">
        <w:rPr>
          <w:color w:val="000000"/>
          <w:sz w:val="20"/>
          <w:szCs w:val="20"/>
        </w:rPr>
        <w:t>Bourdieu</w:t>
      </w:r>
      <w:proofErr w:type="spellEnd"/>
      <w:r w:rsidRPr="000461A3">
        <w:rPr>
          <w:color w:val="000000"/>
          <w:sz w:val="20"/>
          <w:szCs w:val="20"/>
        </w:rPr>
        <w:t xml:space="preserve"> also stressed the role of agency within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social structures, such that individuals are able to blur, defy, subvert or transcend traditional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class boundaries through their own narratives (also see </w:t>
      </w:r>
      <w:proofErr w:type="spellStart"/>
      <w:r w:rsidRPr="000461A3">
        <w:rPr>
          <w:color w:val="000000"/>
          <w:sz w:val="20"/>
          <w:szCs w:val="20"/>
        </w:rPr>
        <w:t>Giddens</w:t>
      </w:r>
      <w:proofErr w:type="spellEnd"/>
      <w:r w:rsidRPr="000461A3">
        <w:rPr>
          <w:color w:val="000000"/>
          <w:sz w:val="20"/>
          <w:szCs w:val="20"/>
        </w:rPr>
        <w:t>, 1991; Beck, 1992). These ideas</w:t>
      </w:r>
      <w:r w:rsidR="00CB6582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were developed by later poststructuralists/postmodernists who assert that social class is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subjectively rooted in the individual’s experience of lived reality, effectively arguing that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individuals are free, or even compelled, to construct and reconstruct their own classed identities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(Bauman, 2000). Effectively, for Bauman, the old certainties around what social class is, where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people are positioned and what it means for an individual’s ‘lived life’ have rapidly fallen away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 late (or ‘liquid’) modernity. Nevertheless, the traditional categories of ‘middle’ and ‘working’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class remain strong in the literature around higher education in the UK</w:t>
      </w:r>
      <w:r w:rsidR="0021343E">
        <w:rPr>
          <w:color w:val="000000"/>
          <w:sz w:val="20"/>
          <w:szCs w:val="20"/>
        </w:rPr>
        <w:t xml:space="preserve"> (</w:t>
      </w:r>
      <w:proofErr w:type="spellStart"/>
      <w:r w:rsidR="0021343E">
        <w:rPr>
          <w:color w:val="000000"/>
          <w:sz w:val="20"/>
          <w:szCs w:val="20"/>
        </w:rPr>
        <w:t>eg</w:t>
      </w:r>
      <w:proofErr w:type="spellEnd"/>
      <w:r w:rsidRPr="000461A3">
        <w:rPr>
          <w:color w:val="000000"/>
          <w:sz w:val="20"/>
          <w:szCs w:val="20"/>
        </w:rPr>
        <w:t xml:space="preserve"> Archer, Hutchings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and Ross, 2003; </w:t>
      </w:r>
      <w:proofErr w:type="spellStart"/>
      <w:r w:rsidRPr="000461A3">
        <w:rPr>
          <w:color w:val="000000"/>
          <w:sz w:val="20"/>
          <w:szCs w:val="20"/>
        </w:rPr>
        <w:t>Reay</w:t>
      </w:r>
      <w:proofErr w:type="spellEnd"/>
      <w:r w:rsidRPr="000461A3">
        <w:rPr>
          <w:color w:val="000000"/>
          <w:sz w:val="20"/>
          <w:szCs w:val="20"/>
        </w:rPr>
        <w:t xml:space="preserve">, David and Ball, 2005; Evans, 2009; </w:t>
      </w:r>
      <w:proofErr w:type="spellStart"/>
      <w:r w:rsidRPr="000461A3">
        <w:rPr>
          <w:color w:val="000000"/>
          <w:sz w:val="20"/>
          <w:szCs w:val="20"/>
        </w:rPr>
        <w:t>Reay</w:t>
      </w:r>
      <w:proofErr w:type="spellEnd"/>
      <w:r w:rsidRPr="000461A3">
        <w:rPr>
          <w:color w:val="000000"/>
          <w:sz w:val="20"/>
          <w:szCs w:val="20"/>
        </w:rPr>
        <w:t xml:space="preserve">, </w:t>
      </w:r>
      <w:proofErr w:type="spellStart"/>
      <w:r w:rsidRPr="000461A3">
        <w:rPr>
          <w:color w:val="000000"/>
          <w:sz w:val="20"/>
          <w:szCs w:val="20"/>
        </w:rPr>
        <w:t>Crozier</w:t>
      </w:r>
      <w:proofErr w:type="spellEnd"/>
      <w:r w:rsidRPr="000461A3">
        <w:rPr>
          <w:color w:val="000000"/>
          <w:sz w:val="20"/>
          <w:szCs w:val="20"/>
        </w:rPr>
        <w:t xml:space="preserve"> and Clayton, 2010) and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retain a contemporary currency as an explanatory factor in educational decision-making,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despite the more nuanced approaches offered by theorists or, indeed, the NS-SEC system.</w:t>
      </w:r>
    </w:p>
    <w:p w:rsidR="0021343E" w:rsidRPr="000461A3" w:rsidRDefault="0021343E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 other confusion within Aimhigher’s mission as it evolved was whether its primary aim was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to increase </w:t>
      </w:r>
      <w:r w:rsidRPr="000461A3">
        <w:rPr>
          <w:i/>
          <w:iCs/>
          <w:color w:val="000000"/>
          <w:sz w:val="20"/>
          <w:szCs w:val="20"/>
        </w:rPr>
        <w:t xml:space="preserve">aspirations </w:t>
      </w:r>
      <w:r w:rsidRPr="000461A3">
        <w:rPr>
          <w:color w:val="000000"/>
          <w:sz w:val="20"/>
          <w:szCs w:val="20"/>
        </w:rPr>
        <w:t xml:space="preserve">for higher education, the </w:t>
      </w:r>
      <w:r w:rsidRPr="000461A3">
        <w:rPr>
          <w:i/>
          <w:iCs/>
          <w:color w:val="000000"/>
          <w:sz w:val="20"/>
          <w:szCs w:val="20"/>
        </w:rPr>
        <w:t xml:space="preserve">applications </w:t>
      </w:r>
      <w:r w:rsidRPr="000461A3">
        <w:rPr>
          <w:color w:val="000000"/>
          <w:sz w:val="20"/>
          <w:szCs w:val="20"/>
        </w:rPr>
        <w:t>for a university place, the actual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 xml:space="preserve">admissions </w:t>
      </w:r>
      <w:r w:rsidRPr="000461A3">
        <w:rPr>
          <w:color w:val="000000"/>
          <w:sz w:val="20"/>
          <w:szCs w:val="20"/>
        </w:rPr>
        <w:t xml:space="preserve">to a university (otherwise referred to as </w:t>
      </w:r>
      <w:r w:rsidRPr="000461A3">
        <w:rPr>
          <w:i/>
          <w:iCs/>
          <w:color w:val="000000"/>
          <w:sz w:val="20"/>
          <w:szCs w:val="20"/>
        </w:rPr>
        <w:t>entries</w:t>
      </w:r>
      <w:r w:rsidRPr="000461A3">
        <w:rPr>
          <w:color w:val="000000"/>
          <w:sz w:val="20"/>
          <w:szCs w:val="20"/>
        </w:rPr>
        <w:t xml:space="preserve">) or the long-term </w:t>
      </w:r>
      <w:r w:rsidRPr="000461A3">
        <w:rPr>
          <w:i/>
          <w:iCs/>
          <w:color w:val="000000"/>
          <w:sz w:val="20"/>
          <w:szCs w:val="20"/>
        </w:rPr>
        <w:t>retention rates</w:t>
      </w:r>
      <w:r w:rsidRPr="000461A3">
        <w:rPr>
          <w:color w:val="000000"/>
          <w:sz w:val="20"/>
          <w:szCs w:val="20"/>
        </w:rPr>
        <w:t>.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While this at first glance may appear to be largely a matter of semantics, this has transpired to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be </w:t>
      </w:r>
      <w:r w:rsidR="00093694">
        <w:rPr>
          <w:color w:val="000000"/>
          <w:sz w:val="20"/>
          <w:szCs w:val="20"/>
        </w:rPr>
        <w:t>an important distinction, both in practice and i</w:t>
      </w:r>
      <w:r w:rsidRPr="000461A3">
        <w:rPr>
          <w:color w:val="000000"/>
          <w:sz w:val="20"/>
          <w:szCs w:val="20"/>
        </w:rPr>
        <w:t>n evaluation. For example, the official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statistic used to measure widening participation (to which we will return in detail shortly) was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based on data from the Higher Education Statistics Agency (HESA) describing those young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people who not only applied to higher education and were accepted, but who also stayed on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their course until the 1st December in their first year (HESA 2012). Not surprisingly, Aimhigher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partnerships generally demurred from seeing admissions or the first two months of academic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life as being their concern (</w:t>
      </w:r>
      <w:proofErr w:type="spellStart"/>
      <w:r w:rsidRPr="000461A3">
        <w:rPr>
          <w:color w:val="000000"/>
          <w:sz w:val="20"/>
          <w:szCs w:val="20"/>
        </w:rPr>
        <w:t>Chilosi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et al</w:t>
      </w:r>
      <w:r w:rsidRPr="000461A3">
        <w:rPr>
          <w:color w:val="000000"/>
          <w:sz w:val="20"/>
          <w:szCs w:val="20"/>
        </w:rPr>
        <w:t>, 2010), yet it would effectively prove to be part of the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criteria on which they were assessed.</w:t>
      </w:r>
    </w:p>
    <w:p w:rsidR="0021343E" w:rsidRPr="000461A3" w:rsidRDefault="0021343E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In keeping with the policy confusion about the targeting of Aimhigher’s activities, there was also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 lack of clarity over time about what set of ‘actions’ by the student and/or university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constituted a success. </w:t>
      </w:r>
      <w:proofErr w:type="spellStart"/>
      <w:r w:rsidRPr="000461A3">
        <w:rPr>
          <w:color w:val="000000"/>
          <w:sz w:val="20"/>
          <w:szCs w:val="20"/>
        </w:rPr>
        <w:t>DfES</w:t>
      </w:r>
      <w:proofErr w:type="spellEnd"/>
      <w:r w:rsidRPr="000461A3">
        <w:rPr>
          <w:color w:val="000000"/>
          <w:sz w:val="20"/>
          <w:szCs w:val="20"/>
        </w:rPr>
        <w:t xml:space="preserve"> (2003b) provided a four-stage policy framework: </w:t>
      </w:r>
      <w:r w:rsidRPr="000461A3">
        <w:rPr>
          <w:i/>
          <w:iCs/>
          <w:color w:val="000000"/>
          <w:sz w:val="20"/>
          <w:szCs w:val="20"/>
        </w:rPr>
        <w:t>attainment</w:t>
      </w:r>
      <w:r w:rsidRPr="000461A3">
        <w:rPr>
          <w:color w:val="000000"/>
          <w:sz w:val="20"/>
          <w:szCs w:val="20"/>
        </w:rPr>
        <w:t>,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aspiration</w:t>
      </w:r>
      <w:r w:rsidRPr="000461A3">
        <w:rPr>
          <w:color w:val="000000"/>
          <w:sz w:val="20"/>
          <w:szCs w:val="20"/>
        </w:rPr>
        <w:t xml:space="preserve">, </w:t>
      </w:r>
      <w:r w:rsidRPr="000461A3">
        <w:rPr>
          <w:i/>
          <w:iCs/>
          <w:color w:val="000000"/>
          <w:sz w:val="20"/>
          <w:szCs w:val="20"/>
        </w:rPr>
        <w:t xml:space="preserve">application </w:t>
      </w:r>
      <w:r w:rsidRPr="000461A3">
        <w:rPr>
          <w:color w:val="000000"/>
          <w:sz w:val="20"/>
          <w:szCs w:val="20"/>
        </w:rPr>
        <w:t xml:space="preserve">and </w:t>
      </w:r>
      <w:r w:rsidRPr="000461A3">
        <w:rPr>
          <w:i/>
          <w:iCs/>
          <w:color w:val="000000"/>
          <w:sz w:val="20"/>
          <w:szCs w:val="20"/>
        </w:rPr>
        <w:t>admission</w:t>
      </w:r>
      <w:r w:rsidRPr="000461A3">
        <w:rPr>
          <w:color w:val="000000"/>
          <w:sz w:val="20"/>
          <w:szCs w:val="20"/>
        </w:rPr>
        <w:t>. Attainment was seen as being an issue mainly for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schools, with assistance from government programmes like Sure Start and Excellence in Cities.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Admissions were identified as the exclusive purview of universities and only a limited part of the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problem, with data presented that appeared to show that universities generally admitted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students by social class in equal proportion to the applications received; nevertheless, a review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was announced (Schwartz, 2004). This left aspirations and applications primarily to Aimhigher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to influence, assisted by the creation of foundation degrees to offer new pathways into higher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education.</w:t>
      </w:r>
    </w:p>
    <w:p w:rsidR="0021343E" w:rsidRPr="000461A3" w:rsidRDefault="0021343E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 xml:space="preserve">However, </w:t>
      </w:r>
      <w:r w:rsidR="0021343E">
        <w:rPr>
          <w:color w:val="000000"/>
          <w:sz w:val="20"/>
          <w:szCs w:val="20"/>
        </w:rPr>
        <w:t>by the following year</w:t>
      </w:r>
      <w:r w:rsidRPr="000461A3">
        <w:rPr>
          <w:color w:val="000000"/>
          <w:sz w:val="20"/>
          <w:szCs w:val="20"/>
        </w:rPr>
        <w:t xml:space="preserve"> the emphasis had shifted somewhat. Aimhigher was charged </w:t>
      </w:r>
      <w:r w:rsidR="0021343E">
        <w:rPr>
          <w:color w:val="000000"/>
          <w:sz w:val="20"/>
          <w:szCs w:val="20"/>
        </w:rPr>
        <w:t>‘</w:t>
      </w:r>
      <w:r w:rsidRPr="0021343E">
        <w:rPr>
          <w:iCs/>
          <w:color w:val="000000"/>
          <w:sz w:val="20"/>
          <w:szCs w:val="20"/>
        </w:rPr>
        <w:t>to</w:t>
      </w:r>
      <w:r w:rsidR="0021343E">
        <w:rPr>
          <w:iCs/>
          <w:color w:val="000000"/>
          <w:sz w:val="20"/>
          <w:szCs w:val="20"/>
        </w:rPr>
        <w:t xml:space="preserve"> </w:t>
      </w:r>
      <w:r w:rsidRPr="0021343E">
        <w:rPr>
          <w:iCs/>
          <w:color w:val="000000"/>
          <w:sz w:val="20"/>
          <w:szCs w:val="20"/>
        </w:rPr>
        <w:t>improve attainment, raise aspirations and otherwise facilitate progression to HE</w:t>
      </w:r>
      <w:r w:rsidR="0021343E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(HEFCE, 2004:6). The focus was on </w:t>
      </w:r>
      <w:r w:rsidR="0021343E">
        <w:rPr>
          <w:iCs/>
          <w:color w:val="000000"/>
          <w:sz w:val="20"/>
          <w:szCs w:val="20"/>
        </w:rPr>
        <w:t>‘</w:t>
      </w:r>
      <w:r w:rsidRPr="0021343E">
        <w:rPr>
          <w:iCs/>
          <w:color w:val="000000"/>
          <w:sz w:val="20"/>
          <w:szCs w:val="20"/>
        </w:rPr>
        <w:t>abilities and aspirations</w:t>
      </w:r>
      <w:r w:rsidR="0021343E">
        <w:rPr>
          <w:iCs/>
          <w:color w:val="000000"/>
          <w:sz w:val="20"/>
          <w:szCs w:val="20"/>
        </w:rPr>
        <w:t>’</w:t>
      </w:r>
      <w:r w:rsidRPr="0021343E">
        <w:rPr>
          <w:iCs/>
          <w:color w:val="000000"/>
          <w:sz w:val="20"/>
          <w:szCs w:val="20"/>
        </w:rPr>
        <w:t xml:space="preserve"> </w:t>
      </w:r>
      <w:r w:rsidR="00E0432E">
        <w:rPr>
          <w:color w:val="000000"/>
          <w:sz w:val="20"/>
          <w:szCs w:val="20"/>
        </w:rPr>
        <w:t>(p</w:t>
      </w:r>
      <w:r w:rsidRPr="0021343E">
        <w:rPr>
          <w:color w:val="000000"/>
          <w:sz w:val="20"/>
          <w:szCs w:val="20"/>
        </w:rPr>
        <w:t>7),</w:t>
      </w:r>
      <w:r w:rsidRPr="000461A3">
        <w:rPr>
          <w:color w:val="000000"/>
          <w:sz w:val="20"/>
          <w:szCs w:val="20"/>
        </w:rPr>
        <w:t xml:space="preserve"> with the act of applying to university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only forming a secondary part of the fourth objective laid out in the policy guidance. Despite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this, the ‘key’ outcome measure was o</w:t>
      </w:r>
      <w:r w:rsidR="0021343E">
        <w:rPr>
          <w:color w:val="000000"/>
          <w:sz w:val="20"/>
          <w:szCs w:val="20"/>
        </w:rPr>
        <w:t>ne of national participation (</w:t>
      </w:r>
      <w:proofErr w:type="spellStart"/>
      <w:r w:rsidR="0021343E">
        <w:rPr>
          <w:color w:val="000000"/>
          <w:sz w:val="20"/>
          <w:szCs w:val="20"/>
        </w:rPr>
        <w:t>i</w:t>
      </w:r>
      <w:r w:rsidRPr="000461A3">
        <w:rPr>
          <w:color w:val="000000"/>
          <w:sz w:val="20"/>
          <w:szCs w:val="20"/>
        </w:rPr>
        <w:t>e</w:t>
      </w:r>
      <w:proofErr w:type="spellEnd"/>
      <w:r w:rsidRPr="000461A3">
        <w:rPr>
          <w:color w:val="000000"/>
          <w:sz w:val="20"/>
          <w:szCs w:val="20"/>
        </w:rPr>
        <w:t xml:space="preserve"> entry and early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retention), although the level of university applications from the targeted groups did form the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first of the </w:t>
      </w:r>
      <w:r w:rsidR="0021343E">
        <w:rPr>
          <w:color w:val="000000"/>
          <w:sz w:val="20"/>
          <w:szCs w:val="20"/>
        </w:rPr>
        <w:t>‘</w:t>
      </w:r>
      <w:r w:rsidRPr="0021343E">
        <w:rPr>
          <w:iCs/>
          <w:color w:val="000000"/>
          <w:sz w:val="20"/>
          <w:szCs w:val="20"/>
        </w:rPr>
        <w:t>intermediate indicators of success</w:t>
      </w:r>
      <w:r w:rsidR="0021343E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</w:t>
      </w:r>
      <w:r w:rsidR="00E0432E">
        <w:rPr>
          <w:iCs/>
          <w:color w:val="000000"/>
          <w:sz w:val="20"/>
          <w:szCs w:val="20"/>
        </w:rPr>
        <w:t>p</w:t>
      </w:r>
      <w:r w:rsidRPr="000461A3">
        <w:rPr>
          <w:color w:val="000000"/>
          <w:sz w:val="20"/>
          <w:szCs w:val="20"/>
        </w:rPr>
        <w:t>8), followed by improved school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performance and stayi</w:t>
      </w:r>
      <w:r w:rsidR="00E0432E">
        <w:rPr>
          <w:color w:val="000000"/>
          <w:sz w:val="20"/>
          <w:szCs w:val="20"/>
        </w:rPr>
        <w:t>ng on rates at 16. HEFCE (2007:</w:t>
      </w:r>
      <w:r w:rsidRPr="000461A3">
        <w:rPr>
          <w:color w:val="000000"/>
          <w:sz w:val="20"/>
          <w:szCs w:val="20"/>
        </w:rPr>
        <w:t xml:space="preserve">5) then returned to </w:t>
      </w:r>
      <w:r w:rsidR="0021343E">
        <w:rPr>
          <w:color w:val="000000"/>
          <w:sz w:val="20"/>
          <w:szCs w:val="20"/>
        </w:rPr>
        <w:t>‘</w:t>
      </w:r>
      <w:r w:rsidRPr="0021343E">
        <w:rPr>
          <w:iCs/>
          <w:color w:val="000000"/>
          <w:sz w:val="20"/>
          <w:szCs w:val="20"/>
        </w:rPr>
        <w:t>aspirations and</w:t>
      </w:r>
      <w:r w:rsidR="0021343E">
        <w:rPr>
          <w:iCs/>
          <w:color w:val="000000"/>
          <w:sz w:val="20"/>
          <w:szCs w:val="20"/>
        </w:rPr>
        <w:t xml:space="preserve"> </w:t>
      </w:r>
      <w:r w:rsidR="00E0432E">
        <w:rPr>
          <w:iCs/>
          <w:color w:val="000000"/>
          <w:sz w:val="20"/>
          <w:szCs w:val="20"/>
        </w:rPr>
        <w:t>a</w:t>
      </w:r>
      <w:r w:rsidRPr="0021343E">
        <w:rPr>
          <w:iCs/>
          <w:color w:val="000000"/>
          <w:sz w:val="20"/>
          <w:szCs w:val="20"/>
        </w:rPr>
        <w:t>chievements</w:t>
      </w:r>
      <w:r w:rsidR="0021343E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as the primary focus for Aimhigher; indeed, no direct reference to applications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appears in the first third of the document. This trend then reached its apogee in HEFCE’s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guidance to Aimhigher partnerships at the start of the final funding period between 2008-2011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</w:t>
      </w:r>
      <w:r w:rsidR="0021343E" w:rsidRPr="00DF0FF2">
        <w:rPr>
          <w:sz w:val="20"/>
          <w:szCs w:val="20"/>
        </w:rPr>
        <w:t>HEFCE, 2</w:t>
      </w:r>
      <w:r w:rsidRPr="00DF0FF2">
        <w:rPr>
          <w:sz w:val="20"/>
          <w:szCs w:val="20"/>
        </w:rPr>
        <w:t>008</w:t>
      </w:r>
      <w:r w:rsidRPr="000461A3">
        <w:rPr>
          <w:color w:val="000000"/>
          <w:sz w:val="20"/>
          <w:szCs w:val="20"/>
        </w:rPr>
        <w:t>). This placed ‘attainment’ at the forefront of Aimhigher’s mission; this word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appears nineteen times in the document, compared to six times for ‘aspirations’, only one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mention of ‘applications’ and no occurrence of ‘admission’.</w:t>
      </w:r>
    </w:p>
    <w:p w:rsidR="0021343E" w:rsidRPr="000461A3" w:rsidRDefault="0021343E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There were therefore very mixed messages to practitioners about the implementation of</w:t>
      </w:r>
      <w:r w:rsidR="0021343E">
        <w:rPr>
          <w:color w:val="000000"/>
          <w:sz w:val="20"/>
          <w:szCs w:val="20"/>
        </w:rPr>
        <w:t xml:space="preserve"> Aimhigher on the </w:t>
      </w:r>
      <w:r w:rsidRPr="000461A3">
        <w:rPr>
          <w:color w:val="000000"/>
          <w:sz w:val="20"/>
          <w:szCs w:val="20"/>
        </w:rPr>
        <w:t>ground. Initially policy documents pointed them towards raising aspirations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and increasing applications, but the latter was replaced over time by a new focus on pre</w:t>
      </w:r>
      <w:r w:rsidR="00DF0FF2">
        <w:rPr>
          <w:color w:val="000000"/>
          <w:sz w:val="20"/>
          <w:szCs w:val="20"/>
        </w:rPr>
        <w:t>-</w:t>
      </w:r>
      <w:r w:rsidRPr="000461A3">
        <w:rPr>
          <w:color w:val="000000"/>
          <w:sz w:val="20"/>
          <w:szCs w:val="20"/>
        </w:rPr>
        <w:t>university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attainment while simultaneously stating that the main indicator of success was to be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 measure of entry and early retention – despite previously being told that admissions were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outside their remit. This shift in focus also created a new difficulty for the assessment of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success, as the targeting of younger pupils built in a temporal delay between the Aimhigher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intervention and the desired behaviours underpinning the policy goals. In most instances, this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was in the order of two or three years, but many Aimhigher partnerships designed activities and</w:t>
      </w:r>
      <w:r w:rsidR="002134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materials for pupils in the 11 to 14 age range and some even engaged with primary schools.</w:t>
      </w:r>
    </w:p>
    <w:p w:rsidR="00093694" w:rsidRPr="000461A3" w:rsidRDefault="00093694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093694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In summary, while there was a degree of consensus across policymakers and practitioners about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policy aim underpinning widening participation in general and Aimhigher in particular, there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was significant confusion about the specific policy goals that were required to meet this aim and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which could be objectively assessed as </w:t>
      </w:r>
      <w:r w:rsidRPr="000461A3">
        <w:rPr>
          <w:color w:val="000000"/>
          <w:sz w:val="20"/>
          <w:szCs w:val="20"/>
        </w:rPr>
        <w:lastRenderedPageBreak/>
        <w:t>implementation proceeded. The uncertainty was twofold: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which groups were to be targeted and whether the main goal for Aimhigher was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attainment at school, aspirations for higher education or an application for a university place.</w:t>
      </w:r>
    </w:p>
    <w:p w:rsidR="00034AB9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Aimhigher partnerships were left to interpret this confused ground as they saw best.</w:t>
      </w:r>
    </w:p>
    <w:p w:rsidR="00093694" w:rsidRPr="000461A3" w:rsidRDefault="00093694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Measuring (and mismeasuring) participation</w:t>
      </w:r>
    </w:p>
    <w:p w:rsidR="00034AB9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Despite the launch of the first national widening participatio</w:t>
      </w:r>
      <w:r w:rsidR="00093694">
        <w:rPr>
          <w:color w:val="000000"/>
          <w:sz w:val="20"/>
          <w:szCs w:val="20"/>
        </w:rPr>
        <w:t>n initiatives in 2000, it was not</w:t>
      </w:r>
      <w:r w:rsidRPr="000461A3">
        <w:rPr>
          <w:color w:val="000000"/>
          <w:sz w:val="20"/>
          <w:szCs w:val="20"/>
        </w:rPr>
        <w:t xml:space="preserve"> until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2007 that the government decided on an authoritative outcome measure. Statistics had been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published annually (by HEFCE from 1996 to 2001 and by HESA from 2002 onwards) for the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proportions of higher education entrants from lower socio-economic groups, state schools and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‘low participation neighbourhoods’ within the sector, but these did not take account of the size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of the underlying populati</w:t>
      </w:r>
      <w:r w:rsidR="00093694">
        <w:rPr>
          <w:color w:val="000000"/>
          <w:sz w:val="20"/>
          <w:szCs w:val="20"/>
        </w:rPr>
        <w:t>ons. Furthermore, they showed</w:t>
      </w:r>
      <w:r w:rsidRPr="000461A3">
        <w:rPr>
          <w:color w:val="000000"/>
          <w:sz w:val="20"/>
          <w:szCs w:val="20"/>
        </w:rPr>
        <w:t xml:space="preserve"> inbuilt inertia due to the size of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underrepresented groups relative to the higher education sector as a whole. In other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words, positive growth for these groups was masked or even negated by growth among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students from groups traditionally associated with higher education, with both an expanding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population and an expanding number of higher education places.</w:t>
      </w:r>
    </w:p>
    <w:p w:rsidR="00093694" w:rsidRPr="000461A3" w:rsidRDefault="00093694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E0432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 outcome measure that the government elected to use for widening participation – and, by</w:t>
      </w:r>
      <w:r w:rsidR="00093694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association, Aimhigher – was </w:t>
      </w:r>
      <w:r w:rsidRPr="000461A3">
        <w:rPr>
          <w:i/>
          <w:iCs/>
          <w:color w:val="000000"/>
          <w:sz w:val="20"/>
          <w:szCs w:val="20"/>
        </w:rPr>
        <w:t>Full-time Young Participation by Socio-Economic Classification</w:t>
      </w:r>
      <w:r w:rsidR="00E0432E">
        <w:rPr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(FYPSEC</w:t>
      </w:r>
      <w:r w:rsidR="00E0432E">
        <w:rPr>
          <w:color w:val="000000"/>
          <w:sz w:val="20"/>
          <w:szCs w:val="20"/>
        </w:rPr>
        <w:t>)</w:t>
      </w:r>
      <w:r w:rsidRPr="000461A3">
        <w:rPr>
          <w:color w:val="000000"/>
          <w:sz w:val="20"/>
          <w:szCs w:val="20"/>
        </w:rPr>
        <w:t xml:space="preserve"> </w:t>
      </w:r>
      <w:r w:rsidR="00E0432E">
        <w:rPr>
          <w:color w:val="000000"/>
          <w:sz w:val="20"/>
          <w:szCs w:val="20"/>
        </w:rPr>
        <w:t>(</w:t>
      </w:r>
      <w:r w:rsidRPr="000461A3">
        <w:rPr>
          <w:color w:val="000000"/>
          <w:sz w:val="20"/>
          <w:szCs w:val="20"/>
        </w:rPr>
        <w:t>K</w:t>
      </w:r>
      <w:r w:rsidR="00E0432E">
        <w:rPr>
          <w:color w:val="000000"/>
          <w:sz w:val="20"/>
          <w:szCs w:val="20"/>
        </w:rPr>
        <w:t xml:space="preserve">elly and Cook, 2007). Using </w:t>
      </w:r>
      <w:r w:rsidRPr="000461A3">
        <w:rPr>
          <w:color w:val="000000"/>
          <w:sz w:val="20"/>
          <w:szCs w:val="20"/>
        </w:rPr>
        <w:t>HESA data as its starting point, this measured the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proportion of a proxy for the underlying population of 18 year olds who progressed into higher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education within two years, subdivided by the socio-economic groups laid out by the NS-SEC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schema. NS-SEC had been created for the 2001 Census and was designed to replace the familiar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Registrar-General’s system of classification (variously rendered with categories named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I/II/IIINM/IIIM/IV/V or A/B/C1/C2/D/E) which had been in use with minor changes since 1921.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NS-SEC subdivided households into seven primary categories depending on the occupation of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‘reference person’ who completed the census form. There was also an eighth category for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long-term unemployed and those who had never worked – but this was excluded from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FYPSEC.</w:t>
      </w:r>
    </w:p>
    <w:p w:rsidR="00E0432E" w:rsidRPr="000461A3" w:rsidRDefault="00E0432E" w:rsidP="00E0432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E0432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FYPSEC worked through a simple bifurcation into ‘higher’ (NS-SEC groups 1 to 3, broadly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comprising professional and non-manual workers) and ‘lower’ (groups 4 to 7, broadly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comprising manual workers and some small businesspeople) – these were viewed as analogous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to the traditional ‘middle’ and ‘working’ class categories. The concept of widening participation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was problematised as being the difference between these two groups. For example, in 2004,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the ‘higher’ group had a participation rate of 27.0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>, while the ‘lower’ group was just 11.2</w:t>
      </w:r>
      <w:r w:rsidR="00E0432E">
        <w:rPr>
          <w:color w:val="000000"/>
          <w:sz w:val="20"/>
          <w:szCs w:val="20"/>
        </w:rPr>
        <w:t xml:space="preserve">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>. It was this difference that government policy – and retrospectively Aimhigher – was</w:t>
      </w:r>
      <w:r w:rsidR="00E0432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designed to close.</w:t>
      </w:r>
    </w:p>
    <w:p w:rsidR="00E0432E" w:rsidRDefault="00E0432E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0432E" w:rsidRDefault="00E0432E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Table 1 about here</w:t>
      </w:r>
    </w:p>
    <w:p w:rsidR="00E0432E" w:rsidRPr="000461A3" w:rsidRDefault="00E0432E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DC04F3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However, there were significant problems with FYPSEC, largely derived from the NS-SEC data on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which it was based. The primary data source was the information provided by applicants on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their Universities and College Admissions Service (UCAS) application form for a university place.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As explored in detail in </w:t>
      </w:r>
      <w:r w:rsidR="00DC04F3" w:rsidRPr="00DF0FF2">
        <w:rPr>
          <w:sz w:val="20"/>
          <w:szCs w:val="20"/>
        </w:rPr>
        <w:t>Harrison</w:t>
      </w:r>
      <w:r w:rsidR="00DF0FF2" w:rsidRPr="00DF0FF2">
        <w:rPr>
          <w:sz w:val="20"/>
          <w:szCs w:val="20"/>
        </w:rPr>
        <w:t xml:space="preserve"> and </w:t>
      </w:r>
      <w:proofErr w:type="spellStart"/>
      <w:r w:rsidR="00DF0FF2" w:rsidRPr="00DF0FF2">
        <w:rPr>
          <w:sz w:val="20"/>
          <w:szCs w:val="20"/>
        </w:rPr>
        <w:t>Hatt</w:t>
      </w:r>
      <w:proofErr w:type="spellEnd"/>
      <w:r w:rsidRPr="00DF0FF2">
        <w:rPr>
          <w:sz w:val="20"/>
          <w:szCs w:val="20"/>
        </w:rPr>
        <w:t xml:space="preserve"> (2009</w:t>
      </w:r>
      <w:r w:rsidR="00DC04F3" w:rsidRPr="00DF0FF2">
        <w:rPr>
          <w:sz w:val="20"/>
          <w:szCs w:val="20"/>
        </w:rPr>
        <w:t>b</w:t>
      </w:r>
      <w:r w:rsidRPr="000461A3">
        <w:rPr>
          <w:color w:val="000000"/>
          <w:sz w:val="20"/>
          <w:szCs w:val="20"/>
        </w:rPr>
        <w:t>), this was a deeply flawed data collection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method, with over one-quarter of students missing data altogether and there being strong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concerns about the validity of the data that did exist, as young people were not always well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equipped to provide the information required. Similarly, a report from the National Audit Office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(NAO) concluded that </w:t>
      </w:r>
      <w:r w:rsidR="00DC04F3">
        <w:rPr>
          <w:color w:val="000000"/>
          <w:sz w:val="20"/>
          <w:szCs w:val="20"/>
        </w:rPr>
        <w:t>‘</w:t>
      </w:r>
      <w:r w:rsidRPr="00DC04F3">
        <w:rPr>
          <w:iCs/>
          <w:color w:val="000000"/>
          <w:sz w:val="20"/>
          <w:szCs w:val="20"/>
        </w:rPr>
        <w:t>significant gaps in the data provided by students to institutions and</w:t>
      </w:r>
      <w:r w:rsidR="00DC04F3" w:rsidRPr="00DC04F3">
        <w:rPr>
          <w:iCs/>
          <w:color w:val="000000"/>
          <w:sz w:val="20"/>
          <w:szCs w:val="20"/>
        </w:rPr>
        <w:t xml:space="preserve"> </w:t>
      </w:r>
      <w:r w:rsidRPr="00DC04F3">
        <w:rPr>
          <w:iCs/>
          <w:color w:val="000000"/>
          <w:sz w:val="20"/>
          <w:szCs w:val="20"/>
        </w:rPr>
        <w:t>programmes reduce the reliance that can be placed on some measures of participation,</w:t>
      </w:r>
      <w:r w:rsidR="00DC04F3" w:rsidRPr="00DC04F3">
        <w:rPr>
          <w:iCs/>
          <w:color w:val="000000"/>
          <w:sz w:val="20"/>
          <w:szCs w:val="20"/>
        </w:rPr>
        <w:t xml:space="preserve"> </w:t>
      </w:r>
      <w:r w:rsidRPr="00DC04F3">
        <w:rPr>
          <w:iCs/>
          <w:color w:val="000000"/>
          <w:sz w:val="20"/>
          <w:szCs w:val="20"/>
        </w:rPr>
        <w:t>particularly in relation to socio-economic background</w:t>
      </w:r>
      <w:r w:rsidR="00DC04F3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="00DC04F3">
        <w:rPr>
          <w:color w:val="000000"/>
          <w:sz w:val="20"/>
          <w:szCs w:val="20"/>
        </w:rPr>
        <w:t>(NAO, 2008:</w:t>
      </w:r>
      <w:r w:rsidRPr="000461A3">
        <w:rPr>
          <w:color w:val="000000"/>
          <w:sz w:val="20"/>
          <w:szCs w:val="20"/>
        </w:rPr>
        <w:t>7), though it ironically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professed high hopes for the then new approach offered by FYPSEC. </w:t>
      </w:r>
      <w:r w:rsidR="00DF0FF2" w:rsidRPr="00DF0FF2">
        <w:rPr>
          <w:sz w:val="20"/>
          <w:szCs w:val="20"/>
        </w:rPr>
        <w:t xml:space="preserve">Waller </w:t>
      </w:r>
      <w:r w:rsidR="00DF0FF2" w:rsidRPr="00DF0FF2">
        <w:rPr>
          <w:i/>
          <w:sz w:val="20"/>
          <w:szCs w:val="20"/>
        </w:rPr>
        <w:t>et al</w:t>
      </w:r>
      <w:r w:rsidRPr="000461A3">
        <w:rPr>
          <w:color w:val="FF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(2010)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argued that NS-SEC categories were often incorrectly assigned and that there were not a good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indicator of the ‘lived lives’ of the young person, with parental occupation not corresponding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well to other factors like attitudes to education, income or social capital, and that the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assignments tended to prioritise fathers’ occupations over </w:t>
      </w:r>
      <w:r w:rsidR="00DC04F3">
        <w:rPr>
          <w:color w:val="000000"/>
          <w:sz w:val="20"/>
          <w:szCs w:val="20"/>
        </w:rPr>
        <w:t xml:space="preserve">those of the </w:t>
      </w:r>
      <w:r w:rsidRPr="000461A3">
        <w:rPr>
          <w:color w:val="000000"/>
          <w:sz w:val="20"/>
          <w:szCs w:val="20"/>
        </w:rPr>
        <w:t xml:space="preserve">mothers. In addition, </w:t>
      </w:r>
      <w:proofErr w:type="spellStart"/>
      <w:r w:rsidRPr="000461A3">
        <w:rPr>
          <w:color w:val="000000"/>
          <w:sz w:val="20"/>
          <w:szCs w:val="20"/>
        </w:rPr>
        <w:t>Bathmaker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et</w:t>
      </w:r>
      <w:r w:rsidR="00DC04F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 xml:space="preserve">al </w:t>
      </w:r>
      <w:r w:rsidRPr="000461A3">
        <w:rPr>
          <w:color w:val="000000"/>
          <w:sz w:val="20"/>
          <w:szCs w:val="20"/>
        </w:rPr>
        <w:t>(2011) argued that the bifurcation point between NS-SEC groups 3 and 4 was questionable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due to a ‘muddled middle’ of classed experiences, while</w:t>
      </w:r>
      <w:r w:rsidRPr="001A4971">
        <w:rPr>
          <w:sz w:val="20"/>
          <w:szCs w:val="20"/>
        </w:rPr>
        <w:t xml:space="preserve"> </w:t>
      </w:r>
      <w:r w:rsidR="00DC04F3" w:rsidRPr="001A4971">
        <w:rPr>
          <w:sz w:val="20"/>
          <w:szCs w:val="20"/>
        </w:rPr>
        <w:t>Harrison</w:t>
      </w:r>
      <w:r w:rsidRPr="001A4971">
        <w:rPr>
          <w:sz w:val="20"/>
          <w:szCs w:val="20"/>
        </w:rPr>
        <w:t xml:space="preserve"> </w:t>
      </w:r>
      <w:r w:rsidR="001A4971" w:rsidRPr="001A4971">
        <w:rPr>
          <w:sz w:val="20"/>
          <w:szCs w:val="20"/>
        </w:rPr>
        <w:t xml:space="preserve">and </w:t>
      </w:r>
      <w:proofErr w:type="spellStart"/>
      <w:r w:rsidR="001A4971" w:rsidRPr="001A4971">
        <w:rPr>
          <w:sz w:val="20"/>
          <w:szCs w:val="20"/>
        </w:rPr>
        <w:t>Hatt</w:t>
      </w:r>
      <w:proofErr w:type="spellEnd"/>
      <w:r w:rsidR="001A4971" w:rsidRPr="001A4971">
        <w:rPr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(2010) found that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while NS-SEC was relatively well correlated with area-based measures of deprivation, it was far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from deterministic – many ‘poor’ people lived in ‘rich’ areas and, to a lesser extent, </w:t>
      </w:r>
      <w:r w:rsidRPr="000461A3">
        <w:rPr>
          <w:i/>
          <w:iCs/>
          <w:color w:val="000000"/>
          <w:sz w:val="20"/>
          <w:szCs w:val="20"/>
        </w:rPr>
        <w:t>vice versa</w:t>
      </w:r>
      <w:r w:rsidRPr="000461A3">
        <w:rPr>
          <w:color w:val="000000"/>
          <w:sz w:val="20"/>
          <w:szCs w:val="20"/>
        </w:rPr>
        <w:t>.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It is therefore unclear what exactly NS-SEC (and therefore FYPSEC) was measuring in this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context. At best, it was a rough approximation of social class based on sketchy data and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grounded in a somewhat out-of-date conceptualisation of a simple correlation between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occupation, financial means, schooling and attitudes. At worse, it was an inadvertent means of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confounding and obfuscating the real factors in determining educational decision-making.</w:t>
      </w:r>
    </w:p>
    <w:p w:rsidR="00DC04F3" w:rsidRPr="000461A3" w:rsidRDefault="00DC04F3" w:rsidP="00DC04F3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DC04F3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A further weakness in the FYPSEC approach arose through the delay between the entry of the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students on which the statistic was based and the publication of that statistic, which was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generally in the order of nearly two years. So, for example, DBIS (2010) was published in July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2010, but reported data relating to students who entered higher education in autumn 2008. In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effect, therefore, FYPSEC was reporting on the impact of Aimhigher as it had been two years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previously, compromising their value by building a significant delay between cause and possible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effect; on publication, the FYPSEC data was already ‘history’, with little bearing on the ‘there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and then’ (Carter, Klein and Day, 1992). This was unfortunately a feature of the other measures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that we will come on to examine too and the publication of timely widening participation data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remains a challenge.</w:t>
      </w:r>
    </w:p>
    <w:p w:rsidR="00DC04F3" w:rsidRPr="000461A3" w:rsidRDefault="00DC04F3" w:rsidP="00DC04F3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DC04F3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All in all, it was far from a surprise when the government announced in June 2011 that it was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minded to abandon FYPSEC. The report on the consultation exercise that followed asserted that</w:t>
      </w:r>
      <w:r w:rsidR="00DC04F3">
        <w:rPr>
          <w:color w:val="000000"/>
          <w:sz w:val="20"/>
          <w:szCs w:val="20"/>
        </w:rPr>
        <w:t xml:space="preserve"> </w:t>
      </w:r>
      <w:r w:rsidR="00DC04F3" w:rsidRPr="00DC04F3">
        <w:rPr>
          <w:color w:val="000000"/>
          <w:sz w:val="20"/>
          <w:szCs w:val="20"/>
        </w:rPr>
        <w:t>‘</w:t>
      </w:r>
      <w:r w:rsidRPr="00DC04F3">
        <w:rPr>
          <w:iCs/>
          <w:color w:val="000000"/>
          <w:sz w:val="20"/>
          <w:szCs w:val="20"/>
        </w:rPr>
        <w:t>The majority of respondents agreed that the FYPSEC measure was flawed and there are serious</w:t>
      </w:r>
      <w:r w:rsidR="00DC04F3" w:rsidRPr="00DC04F3">
        <w:rPr>
          <w:iCs/>
          <w:color w:val="000000"/>
          <w:sz w:val="20"/>
          <w:szCs w:val="20"/>
        </w:rPr>
        <w:t xml:space="preserve"> </w:t>
      </w:r>
      <w:r w:rsidRPr="00DC04F3">
        <w:rPr>
          <w:iCs/>
          <w:color w:val="000000"/>
          <w:sz w:val="20"/>
          <w:szCs w:val="20"/>
        </w:rPr>
        <w:t>data issues that would prove difficult to resolve</w:t>
      </w:r>
      <w:r w:rsidR="00DC04F3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(DBIS, 2011a: no page number). But had the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damage already been done?</w:t>
      </w:r>
    </w:p>
    <w:p w:rsidR="00DC04F3" w:rsidRPr="000461A3" w:rsidRDefault="00DC04F3" w:rsidP="00DC04F3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What did FYPSEC say?</w:t>
      </w:r>
    </w:p>
    <w:p w:rsidR="00034AB9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 picture offered by FYPSEC, although generally positive, was far from inspiring – see Table 2.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social class gap showed some decline between 2002 and 2008, but this was mainly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concentrated before the creation of Aimhigher in 2004. The proportion of young people from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lower socio-economic groups was growing (with the exception of in 2006, when it dropped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slightly), but only slowly and with no marked change in pace corresponding to Aimhigher’s</w:t>
      </w:r>
      <w:r w:rsidR="00DC04F3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activities. Between 2004 and 2008, the participation rate for the lower group rose from 11.2</w:t>
      </w:r>
      <w:r w:rsidR="00DC04F3">
        <w:rPr>
          <w:color w:val="000000"/>
          <w:sz w:val="20"/>
          <w:szCs w:val="20"/>
        </w:rPr>
        <w:t xml:space="preserve"> per cent</w:t>
      </w:r>
      <w:r w:rsidRPr="000461A3">
        <w:rPr>
          <w:color w:val="000000"/>
          <w:sz w:val="20"/>
          <w:szCs w:val="20"/>
        </w:rPr>
        <w:t xml:space="preserve"> to 13.7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, amounting to an absolute rise of just 2.5 </w:t>
      </w:r>
      <w:r w:rsidR="00DC04F3">
        <w:rPr>
          <w:color w:val="000000"/>
          <w:sz w:val="20"/>
          <w:szCs w:val="20"/>
        </w:rPr>
        <w:t>percent</w:t>
      </w:r>
      <w:r w:rsidRPr="000461A3">
        <w:rPr>
          <w:color w:val="000000"/>
          <w:sz w:val="20"/>
          <w:szCs w:val="20"/>
        </w:rPr>
        <w:t>age points over four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years despite an expenditure on Aimhigher of over £500 million. The social class gap dropped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by just 1.7 </w:t>
      </w:r>
      <w:r w:rsidR="00DC04F3">
        <w:rPr>
          <w:color w:val="000000"/>
          <w:sz w:val="20"/>
          <w:szCs w:val="20"/>
        </w:rPr>
        <w:t>percentage</w:t>
      </w:r>
      <w:r w:rsidRPr="000461A3">
        <w:rPr>
          <w:color w:val="000000"/>
          <w:sz w:val="20"/>
          <w:szCs w:val="20"/>
        </w:rPr>
        <w:t xml:space="preserve"> points in that period due to a small rise in participation among the higher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socio-economic groups.</w:t>
      </w:r>
    </w:p>
    <w:p w:rsidR="009E646D" w:rsidRDefault="009E646D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9E646D" w:rsidRDefault="009E646D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Table 2 about here</w:t>
      </w:r>
    </w:p>
    <w:p w:rsidR="009E646D" w:rsidRDefault="009E646D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9E646D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One of the particular weaknesses of the annual FYPSEC reports published by DBIS was a failure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to express the </w:t>
      </w:r>
      <w:r w:rsidRPr="000461A3">
        <w:rPr>
          <w:i/>
          <w:iCs/>
          <w:color w:val="000000"/>
          <w:sz w:val="20"/>
          <w:szCs w:val="20"/>
        </w:rPr>
        <w:t xml:space="preserve">relative </w:t>
      </w:r>
      <w:r w:rsidRPr="000461A3">
        <w:rPr>
          <w:color w:val="000000"/>
          <w:sz w:val="20"/>
          <w:szCs w:val="20"/>
        </w:rPr>
        <w:t>growth in entrants from the ‘lower’ group. While the participation rate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only r</w:t>
      </w:r>
      <w:r w:rsidR="009E646D">
        <w:rPr>
          <w:color w:val="000000"/>
          <w:sz w:val="20"/>
          <w:szCs w:val="20"/>
        </w:rPr>
        <w:t>ose by</w:t>
      </w:r>
      <w:r w:rsidRPr="000461A3">
        <w:rPr>
          <w:color w:val="000000"/>
          <w:sz w:val="20"/>
          <w:szCs w:val="20"/>
        </w:rPr>
        <w:t xml:space="preserve"> 2.5 </w:t>
      </w:r>
      <w:r w:rsidR="00DC04F3">
        <w:rPr>
          <w:color w:val="000000"/>
          <w:sz w:val="20"/>
          <w:szCs w:val="20"/>
        </w:rPr>
        <w:t>percentage</w:t>
      </w:r>
      <w:r w:rsidRPr="000461A3">
        <w:rPr>
          <w:color w:val="000000"/>
          <w:sz w:val="20"/>
          <w:szCs w:val="20"/>
        </w:rPr>
        <w:t xml:space="preserve"> points, which critics like David </w:t>
      </w:r>
      <w:proofErr w:type="spellStart"/>
      <w:r w:rsidRPr="000461A3">
        <w:rPr>
          <w:color w:val="000000"/>
          <w:sz w:val="20"/>
          <w:szCs w:val="20"/>
        </w:rPr>
        <w:t>Willetts</w:t>
      </w:r>
      <w:proofErr w:type="spellEnd"/>
      <w:r w:rsidRPr="000461A3">
        <w:rPr>
          <w:color w:val="000000"/>
          <w:sz w:val="20"/>
          <w:szCs w:val="20"/>
        </w:rPr>
        <w:t xml:space="preserve"> could easily and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credibly argue was unimpressive considering the resources deployed, this actually represents a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22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relative increase in the propensity of young people from these groups to enter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higher education. This alternative lens on FYPSEC immediately casts it in a new light which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respects the very small base of participation from which Aimhigher was working. Expressed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more colloquially, before Aimhigher, only one-in-nine young people from the lower groups went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to university, but after four years this had changed to nearly one-in-seven; still not equitable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compared to the over one-in-four for the higher socio-economic groups, but a more impressive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form of expression than the bare 2.5 </w:t>
      </w:r>
      <w:r w:rsidR="00DC04F3">
        <w:rPr>
          <w:color w:val="000000"/>
          <w:sz w:val="20"/>
          <w:szCs w:val="20"/>
        </w:rPr>
        <w:t>per</w:t>
      </w:r>
      <w:r w:rsidR="009E646D">
        <w:rPr>
          <w:color w:val="000000"/>
          <w:sz w:val="20"/>
          <w:szCs w:val="20"/>
        </w:rPr>
        <w:t xml:space="preserve"> </w:t>
      </w:r>
      <w:r w:rsidR="00DC04F3">
        <w:rPr>
          <w:color w:val="000000"/>
          <w:sz w:val="20"/>
          <w:szCs w:val="20"/>
        </w:rPr>
        <w:t>cent</w:t>
      </w:r>
      <w:r w:rsidR="009E646D">
        <w:rPr>
          <w:color w:val="000000"/>
          <w:sz w:val="20"/>
          <w:szCs w:val="20"/>
        </w:rPr>
        <w:t xml:space="preserve"> rise</w:t>
      </w:r>
      <w:r w:rsidRPr="000461A3">
        <w:rPr>
          <w:color w:val="000000"/>
          <w:sz w:val="20"/>
          <w:szCs w:val="20"/>
        </w:rPr>
        <w:t xml:space="preserve"> reported in the annual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statistical releases.</w:t>
      </w:r>
    </w:p>
    <w:p w:rsidR="009E646D" w:rsidRPr="000461A3" w:rsidRDefault="009E646D" w:rsidP="009E646D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Rivals to FYPSEC – what do they say?</w:t>
      </w:r>
    </w:p>
    <w:p w:rsidR="00034AB9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 paragraph above is not even yet a critique of FYPSEC – it is simply a recasting of the same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data in a more favourable light. However, since the adoption of FYPSEC other measures have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been published which suggest that FYPSEC may have underestimated widening participation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outcomes.</w:t>
      </w:r>
    </w:p>
    <w:p w:rsidR="009E646D" w:rsidRPr="000461A3" w:rsidRDefault="009E646D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9E646D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In 2005, HEFCE firs</w:t>
      </w:r>
      <w:r w:rsidR="001A4971">
        <w:rPr>
          <w:color w:val="000000"/>
          <w:sz w:val="20"/>
          <w:szCs w:val="20"/>
        </w:rPr>
        <w:t>t published its POLAR statistic</w:t>
      </w:r>
      <w:r w:rsidRPr="000461A3">
        <w:rPr>
          <w:color w:val="000000"/>
          <w:sz w:val="20"/>
          <w:szCs w:val="20"/>
        </w:rPr>
        <w:t xml:space="preserve"> for measuring the participation rate of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geographical areas – most commonly expressed for local government wards. Each area is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allotted to a five-point scale, with ‘1’ representing the lowest participation rate and ‘5’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representing the highest, such that these figures reflect equally-sized quintiles. HEFCE has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continued to monitor participation from areas by POLAR categories and, in 2010, they published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data about what had happened in the meantime (HEFCE, 2010a). They found that the number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of entrants from the areas with the lowest participation had increased rapidly since 2005 and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far more rapidly than in the areas which historically had the highest participation rates.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Participation in those areas which had a POLAR statistic of 1 (i.e. the bottom 20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of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wards) rose from 14.5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in 2004 to 18.0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in 2008, with an estimated figure of 19.2</w:t>
      </w:r>
      <w:r w:rsidR="009E646D">
        <w:rPr>
          <w:color w:val="000000"/>
          <w:sz w:val="20"/>
          <w:szCs w:val="20"/>
        </w:rPr>
        <w:t xml:space="preserve">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for the following year. This was a 3.5 </w:t>
      </w:r>
      <w:r w:rsidR="00DC04F3">
        <w:rPr>
          <w:color w:val="000000"/>
          <w:sz w:val="20"/>
          <w:szCs w:val="20"/>
        </w:rPr>
        <w:t>percentage</w:t>
      </w:r>
      <w:r w:rsidRPr="000461A3">
        <w:rPr>
          <w:color w:val="000000"/>
          <w:sz w:val="20"/>
          <w:szCs w:val="20"/>
        </w:rPr>
        <w:t xml:space="preserve"> point improvement in absolute terms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over the same period as the FYPSEC analysis, translating to a 24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relative growth.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Including the 2009 figures too, these figures increase to 4.7 </w:t>
      </w:r>
      <w:r w:rsidR="00DC04F3">
        <w:rPr>
          <w:color w:val="000000"/>
          <w:sz w:val="20"/>
          <w:szCs w:val="20"/>
        </w:rPr>
        <w:t>percentage</w:t>
      </w:r>
      <w:r w:rsidRPr="000461A3">
        <w:rPr>
          <w:color w:val="000000"/>
          <w:sz w:val="20"/>
          <w:szCs w:val="20"/>
        </w:rPr>
        <w:t xml:space="preserve"> points and 32 </w:t>
      </w:r>
      <w:r w:rsidR="00DC04F3">
        <w:rPr>
          <w:color w:val="000000"/>
          <w:sz w:val="20"/>
          <w:szCs w:val="20"/>
        </w:rPr>
        <w:t>per cent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respectively.</w:t>
      </w:r>
    </w:p>
    <w:p w:rsidR="009E646D" w:rsidRPr="000461A3" w:rsidRDefault="009E646D" w:rsidP="009E646D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9E646D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Data going back furthe</w:t>
      </w:r>
      <w:r w:rsidR="00762B91">
        <w:rPr>
          <w:color w:val="000000"/>
          <w:sz w:val="20"/>
          <w:szCs w:val="20"/>
        </w:rPr>
        <w:t>r into time suggested that</w:t>
      </w:r>
      <w:r w:rsidRPr="000461A3">
        <w:rPr>
          <w:color w:val="000000"/>
          <w:sz w:val="20"/>
          <w:szCs w:val="20"/>
        </w:rPr>
        <w:t xml:space="preserve"> Aimhigher</w:t>
      </w:r>
      <w:r w:rsidR="00762B91">
        <w:rPr>
          <w:color w:val="000000"/>
          <w:sz w:val="20"/>
          <w:szCs w:val="20"/>
        </w:rPr>
        <w:t xml:space="preserve"> had made a difference</w:t>
      </w:r>
      <w:r w:rsidRPr="000461A3">
        <w:rPr>
          <w:color w:val="000000"/>
          <w:sz w:val="20"/>
          <w:szCs w:val="20"/>
        </w:rPr>
        <w:t>. As can be seen in Table 3, in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nine years between 1995 and 2003, the participation rate in the areas with a POLAR statistic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of 1 rose by just 0.4 </w:t>
      </w:r>
      <w:r w:rsidR="00DC04F3">
        <w:rPr>
          <w:color w:val="000000"/>
          <w:sz w:val="20"/>
          <w:szCs w:val="20"/>
        </w:rPr>
        <w:t>percentage</w:t>
      </w:r>
      <w:r w:rsidRPr="000461A3">
        <w:rPr>
          <w:color w:val="000000"/>
          <w:sz w:val="20"/>
          <w:szCs w:val="20"/>
        </w:rPr>
        <w:t xml:space="preserve"> points. Something happened in the mid 2000s to start this on a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clear upward trend and Aimhigher was a possible causal factor, given the simultaneity. These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deprived areas had traditionally had around one-in-seven of their young people going on to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higher education, but after five years of Aimhigher, this had risen to nearly one-in-five. POLAR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was telling a better story than FYPSEC and, most tellingly, the improvements were visibly</w:t>
      </w:r>
      <w:r w:rsidR="009E646D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accelerating in later years.</w:t>
      </w:r>
    </w:p>
    <w:p w:rsidR="009E646D" w:rsidRDefault="009E646D" w:rsidP="009E64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9E646D" w:rsidRDefault="009E646D" w:rsidP="009E64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Table 3 about here</w:t>
      </w:r>
    </w:p>
    <w:p w:rsidR="009E646D" w:rsidRPr="000461A3" w:rsidRDefault="009E646D" w:rsidP="009E646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762B9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At the point at which the government was considering dropping FYPSEC, they published a new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analysis of participation rates broken down by whether the young person was in receipt of Free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School Meals (DBIS, 2011b). This facility is means-tested and made available to families with the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lowest incomes – predominantly those that are mainly or wholly benefit-dependent. Ironically,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this is a group that is largely excluded from the FYPSEC measure, which relies on the young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person’s parents having an identifiable occupation and thereby excluding those not working due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to disability, caring responsibilities or long-term unemployment.</w:t>
      </w:r>
    </w:p>
    <w:p w:rsidR="00762B91" w:rsidRPr="000461A3" w:rsidRDefault="00762B91" w:rsidP="00762B9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762B9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lastRenderedPageBreak/>
        <w:t>Only a handful of years of data were available (from 2005 to 2008) as the analysis relied on the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new technique of linking data on individuals from the National Pupil Database with that held by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HESA in ways which had not previously been possible. The results again suggested that FYPSEC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had underestimated changes in participation rates, in this case for young people from very low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income households. The participation rate for those claiming Free School Meals had risen from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13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in 2005 to 17 </w:t>
      </w:r>
      <w:r w:rsidR="00DC04F3">
        <w:rPr>
          <w:color w:val="000000"/>
          <w:sz w:val="20"/>
          <w:szCs w:val="20"/>
        </w:rPr>
        <w:t>per cent</w:t>
      </w:r>
      <w:r w:rsidR="00762B91">
        <w:rPr>
          <w:color w:val="000000"/>
          <w:sz w:val="20"/>
          <w:szCs w:val="20"/>
        </w:rPr>
        <w:t xml:space="preserve"> in 2008, </w:t>
      </w:r>
      <w:r w:rsidRPr="000461A3">
        <w:rPr>
          <w:color w:val="000000"/>
          <w:sz w:val="20"/>
          <w:szCs w:val="20"/>
        </w:rPr>
        <w:t xml:space="preserve">a 4 </w:t>
      </w:r>
      <w:r w:rsidR="00DC04F3">
        <w:rPr>
          <w:color w:val="000000"/>
          <w:sz w:val="20"/>
          <w:szCs w:val="20"/>
        </w:rPr>
        <w:t>per</w:t>
      </w:r>
      <w:r w:rsidR="00762B91">
        <w:rPr>
          <w:color w:val="000000"/>
          <w:sz w:val="20"/>
          <w:szCs w:val="20"/>
        </w:rPr>
        <w:t xml:space="preserve"> cent</w:t>
      </w:r>
      <w:r w:rsidRPr="000461A3">
        <w:rPr>
          <w:color w:val="000000"/>
          <w:sz w:val="20"/>
          <w:szCs w:val="20"/>
        </w:rPr>
        <w:t xml:space="preserve"> absolute increase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or a 31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relative increase in </w:t>
      </w:r>
      <w:r w:rsidR="00762B91">
        <w:rPr>
          <w:color w:val="000000"/>
          <w:sz w:val="20"/>
          <w:szCs w:val="20"/>
        </w:rPr>
        <w:t xml:space="preserve">a period </w:t>
      </w:r>
      <w:r w:rsidRPr="000461A3">
        <w:rPr>
          <w:color w:val="000000"/>
          <w:sz w:val="20"/>
          <w:szCs w:val="20"/>
        </w:rPr>
        <w:t xml:space="preserve">one year less than the equivalent 2.5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and 22 </w:t>
      </w:r>
      <w:r w:rsidR="00DC04F3">
        <w:rPr>
          <w:color w:val="000000"/>
          <w:sz w:val="20"/>
          <w:szCs w:val="20"/>
        </w:rPr>
        <w:t>per cent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figures for FYPSEC. Once again, there were also signs that the improvements were accelerating.</w:t>
      </w:r>
    </w:p>
    <w:p w:rsidR="00762B91" w:rsidRPr="000461A3" w:rsidRDefault="00762B91" w:rsidP="00762B9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0A698F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To recap, two alternative measures of participation showed markedly higher improvements for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disadvantaged groups than FYPSEC and they both showed that these were accelerating towards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end of the time period. It is impossible to assign causality for this trend directly to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Aimhigher with so many other educational policies being active at the same time, but the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synchronicity is striking. It would certainly appear that Aimhigher was part of the policy mix that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was leading to more of the ‘right’ young people going on to university, although it is important</w:t>
      </w:r>
      <w:r w:rsidR="00762B9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to note that the was also synchronous with improvements in GCSE results (</w:t>
      </w:r>
      <w:r w:rsidR="00762B91" w:rsidRPr="001A4971">
        <w:rPr>
          <w:sz w:val="20"/>
          <w:szCs w:val="20"/>
        </w:rPr>
        <w:t>Harrison</w:t>
      </w:r>
      <w:r w:rsidRPr="001A4971">
        <w:rPr>
          <w:sz w:val="20"/>
          <w:szCs w:val="20"/>
        </w:rPr>
        <w:t>,</w:t>
      </w:r>
      <w:r w:rsidR="00762B91" w:rsidRPr="001A4971">
        <w:rPr>
          <w:sz w:val="20"/>
          <w:szCs w:val="20"/>
        </w:rPr>
        <w:t xml:space="preserve"> </w:t>
      </w:r>
      <w:r w:rsidRPr="001A4971">
        <w:rPr>
          <w:sz w:val="20"/>
          <w:szCs w:val="20"/>
        </w:rPr>
        <w:t>in press</w:t>
      </w:r>
      <w:r w:rsidRPr="000461A3">
        <w:rPr>
          <w:color w:val="000000"/>
          <w:sz w:val="20"/>
          <w:szCs w:val="20"/>
        </w:rPr>
        <w:t xml:space="preserve">; Coleman and </w:t>
      </w:r>
      <w:proofErr w:type="spellStart"/>
      <w:r w:rsidRPr="000461A3">
        <w:rPr>
          <w:color w:val="000000"/>
          <w:sz w:val="20"/>
          <w:szCs w:val="20"/>
        </w:rPr>
        <w:t>Bekhradnia</w:t>
      </w:r>
      <w:proofErr w:type="spellEnd"/>
      <w:r w:rsidRPr="000461A3">
        <w:rPr>
          <w:color w:val="000000"/>
          <w:sz w:val="20"/>
          <w:szCs w:val="20"/>
        </w:rPr>
        <w:t>, 2011), expanding the pool of possible applicants.</w:t>
      </w:r>
      <w:r w:rsidR="000A698F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Furthermore, as Thomas (2011) has argued, Aimhigher was also undertaking a portfolio of work</w:t>
      </w:r>
      <w:r w:rsidR="000A698F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that corresponds well with those activities that might be expected to positively impact on</w:t>
      </w:r>
      <w:r w:rsidR="000A698F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student retention and success, although this is an almost completely unresearched area.</w:t>
      </w:r>
    </w:p>
    <w:p w:rsidR="000A698F" w:rsidRPr="000461A3" w:rsidRDefault="000A698F" w:rsidP="000A698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But are these even the right measures?</w:t>
      </w:r>
    </w:p>
    <w:p w:rsidR="00034AB9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 feature that binds all three of the measures of participation discussed above is that they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refer to entrants into higher education. However, as noted previously, this is not wholly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consistent with the mission of Aimhigher as interpreted by practitioners. For example, one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typical partnership fixed its initial aims as being </w:t>
      </w:r>
      <w:r w:rsidR="00FB6248" w:rsidRPr="00FB6248">
        <w:rPr>
          <w:color w:val="000000"/>
          <w:sz w:val="20"/>
          <w:szCs w:val="20"/>
        </w:rPr>
        <w:t>‘</w:t>
      </w:r>
      <w:r w:rsidRPr="00FB6248">
        <w:rPr>
          <w:iCs/>
          <w:color w:val="000000"/>
          <w:sz w:val="20"/>
          <w:szCs w:val="20"/>
        </w:rPr>
        <w:t>to raise awareness and aspirations in order to</w:t>
      </w:r>
      <w:r w:rsidR="00FB6248">
        <w:rPr>
          <w:iCs/>
          <w:color w:val="000000"/>
          <w:sz w:val="20"/>
          <w:szCs w:val="20"/>
        </w:rPr>
        <w:t xml:space="preserve"> </w:t>
      </w:r>
      <w:r w:rsidRPr="00FB6248">
        <w:rPr>
          <w:iCs/>
          <w:color w:val="000000"/>
          <w:sz w:val="20"/>
          <w:szCs w:val="20"/>
        </w:rPr>
        <w:t>motivate the target groups to enter higher education</w:t>
      </w:r>
      <w:r w:rsidR="00FB6248" w:rsidRPr="00FB6248">
        <w:rPr>
          <w:iCs/>
          <w:color w:val="000000"/>
          <w:sz w:val="20"/>
          <w:szCs w:val="20"/>
        </w:rPr>
        <w:t>’</w:t>
      </w:r>
      <w:r w:rsidRPr="00FB6248">
        <w:rPr>
          <w:iCs/>
          <w:color w:val="000000"/>
          <w:sz w:val="20"/>
          <w:szCs w:val="20"/>
        </w:rPr>
        <w:t xml:space="preserve"> </w:t>
      </w:r>
      <w:r w:rsidRPr="00FB6248">
        <w:rPr>
          <w:color w:val="000000"/>
          <w:sz w:val="20"/>
          <w:szCs w:val="20"/>
        </w:rPr>
        <w:t xml:space="preserve">and </w:t>
      </w:r>
      <w:r w:rsidR="00FB6248">
        <w:rPr>
          <w:iCs/>
          <w:color w:val="000000"/>
          <w:sz w:val="20"/>
          <w:szCs w:val="20"/>
        </w:rPr>
        <w:t>‘</w:t>
      </w:r>
      <w:r w:rsidRPr="00FB6248">
        <w:rPr>
          <w:iCs/>
          <w:color w:val="000000"/>
          <w:sz w:val="20"/>
          <w:szCs w:val="20"/>
        </w:rPr>
        <w:t>to complement and supplement the</w:t>
      </w:r>
      <w:r w:rsidR="00FB6248">
        <w:rPr>
          <w:iCs/>
          <w:color w:val="000000"/>
          <w:sz w:val="20"/>
          <w:szCs w:val="20"/>
        </w:rPr>
        <w:t xml:space="preserve"> </w:t>
      </w:r>
      <w:r w:rsidRPr="00FB6248">
        <w:rPr>
          <w:iCs/>
          <w:color w:val="000000"/>
          <w:sz w:val="20"/>
          <w:szCs w:val="20"/>
        </w:rPr>
        <w:t>range of current initiatives designed to raise the achievement and competence of young people</w:t>
      </w:r>
      <w:r w:rsidR="00FB6248">
        <w:rPr>
          <w:iCs/>
          <w:color w:val="000000"/>
          <w:sz w:val="20"/>
          <w:szCs w:val="20"/>
        </w:rPr>
        <w:t xml:space="preserve"> </w:t>
      </w:r>
      <w:r w:rsidRPr="00FB6248">
        <w:rPr>
          <w:iCs/>
          <w:color w:val="000000"/>
          <w:sz w:val="20"/>
          <w:szCs w:val="20"/>
        </w:rPr>
        <w:t xml:space="preserve">engaged </w:t>
      </w:r>
      <w:r w:rsidR="00FB6248">
        <w:rPr>
          <w:iCs/>
          <w:color w:val="000000"/>
          <w:sz w:val="20"/>
          <w:szCs w:val="20"/>
        </w:rPr>
        <w:t>in education, training and work’</w:t>
      </w:r>
      <w:r w:rsidRPr="00FB6248">
        <w:rPr>
          <w:color w:val="000000"/>
          <w:sz w:val="20"/>
          <w:szCs w:val="20"/>
        </w:rPr>
        <w:t>,</w:t>
      </w:r>
      <w:r w:rsidRPr="000461A3">
        <w:rPr>
          <w:color w:val="000000"/>
          <w:sz w:val="20"/>
          <w:szCs w:val="20"/>
        </w:rPr>
        <w:t xml:space="preserve"> with a contribution to national targets for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participation only being list</w:t>
      </w:r>
      <w:r w:rsidR="00FB6248">
        <w:rPr>
          <w:color w:val="000000"/>
          <w:sz w:val="20"/>
          <w:szCs w:val="20"/>
        </w:rPr>
        <w:t>ed third (Aimhigher West, 2004:</w:t>
      </w:r>
      <w:r w:rsidRPr="000461A3">
        <w:rPr>
          <w:color w:val="000000"/>
          <w:sz w:val="20"/>
          <w:szCs w:val="20"/>
        </w:rPr>
        <w:t>1); the word ‘admissions’ is entirely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absent from the document. Ensuring that these individuals were able to secure a place was not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g</w:t>
      </w:r>
      <w:r w:rsidR="00FB6248">
        <w:rPr>
          <w:color w:val="000000"/>
          <w:sz w:val="20"/>
          <w:szCs w:val="20"/>
        </w:rPr>
        <w:t>e</w:t>
      </w:r>
      <w:r w:rsidRPr="000461A3">
        <w:rPr>
          <w:color w:val="000000"/>
          <w:sz w:val="20"/>
          <w:szCs w:val="20"/>
        </w:rPr>
        <w:t xml:space="preserve">nerally considered to be a valid objective for Aimhigher, </w:t>
      </w:r>
      <w:r w:rsidR="00FB6248">
        <w:rPr>
          <w:color w:val="000000"/>
          <w:sz w:val="20"/>
          <w:szCs w:val="20"/>
        </w:rPr>
        <w:t>which had</w:t>
      </w:r>
      <w:r w:rsidRPr="000461A3">
        <w:rPr>
          <w:color w:val="000000"/>
          <w:sz w:val="20"/>
          <w:szCs w:val="20"/>
        </w:rPr>
        <w:t xml:space="preserve"> no control over the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admissions procedures of individual universities (</w:t>
      </w:r>
      <w:proofErr w:type="spellStart"/>
      <w:r w:rsidRPr="000461A3">
        <w:rPr>
          <w:color w:val="000000"/>
          <w:sz w:val="20"/>
          <w:szCs w:val="20"/>
        </w:rPr>
        <w:t>Chilosi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et al</w:t>
      </w:r>
      <w:r w:rsidRPr="000461A3">
        <w:rPr>
          <w:color w:val="000000"/>
          <w:sz w:val="20"/>
          <w:szCs w:val="20"/>
        </w:rPr>
        <w:t>, 2010).</w:t>
      </w:r>
    </w:p>
    <w:p w:rsidR="00FB6248" w:rsidRPr="000461A3" w:rsidRDefault="00FB6248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11063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Admissions were a separate issue that vexed the government in the early 2000s. It was widely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thought that universities, particularly the elite universities of the Russell Group, gave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preferential treatment to ‘traditional’ types of students, broadly characterised as male, middle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class and white, with academic qualifications (</w:t>
      </w:r>
      <w:proofErr w:type="spellStart"/>
      <w:r w:rsidRPr="000461A3">
        <w:rPr>
          <w:color w:val="000000"/>
          <w:sz w:val="20"/>
          <w:szCs w:val="20"/>
        </w:rPr>
        <w:t>ie</w:t>
      </w:r>
      <w:proofErr w:type="spellEnd"/>
      <w:r w:rsidRPr="000461A3">
        <w:rPr>
          <w:color w:val="000000"/>
          <w:sz w:val="20"/>
          <w:szCs w:val="20"/>
        </w:rPr>
        <w:t xml:space="preserve"> A Levels), preferably from a fee-paying school.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This issue was highlighted by media coverage of high-achieving young people finding it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impossible to get a place at top </w:t>
      </w:r>
      <w:smartTag w:uri="urn:schemas-microsoft-com:office:smarttags" w:element="country-region">
        <w:smartTag w:uri="urn:schemas-microsoft-com:office:smarttags" w:element="place">
          <w:r w:rsidRPr="000461A3">
            <w:rPr>
              <w:color w:val="000000"/>
              <w:sz w:val="20"/>
              <w:szCs w:val="20"/>
            </w:rPr>
            <w:t>UK</w:t>
          </w:r>
        </w:smartTag>
      </w:smartTag>
      <w:r w:rsidRPr="000461A3">
        <w:rPr>
          <w:color w:val="000000"/>
          <w:sz w:val="20"/>
          <w:szCs w:val="20"/>
        </w:rPr>
        <w:t xml:space="preserve"> universities (for example, see Ryle, Ahmed and Bright, 2000).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It was felt that universities were not doing enough to break down barriers to new types of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students and allow them to compete on an equal basis (</w:t>
      </w:r>
      <w:proofErr w:type="spellStart"/>
      <w:r w:rsidRPr="000461A3">
        <w:rPr>
          <w:color w:val="000000"/>
          <w:sz w:val="20"/>
          <w:szCs w:val="20"/>
        </w:rPr>
        <w:t>DfES</w:t>
      </w:r>
      <w:proofErr w:type="spellEnd"/>
      <w:r w:rsidRPr="000461A3">
        <w:rPr>
          <w:color w:val="000000"/>
          <w:sz w:val="20"/>
          <w:szCs w:val="20"/>
        </w:rPr>
        <w:t>, 2003a). This issue provided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organisations like the Sutton Trust with a hot topic for a succession of reports through the 2000s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focused on the putative ‘missing’ students (Sutton Trust, 2000; 2004).</w:t>
      </w:r>
    </w:p>
    <w:p w:rsidR="00FB6248" w:rsidRPr="000461A3" w:rsidRDefault="00FB6248" w:rsidP="0011063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11063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 xml:space="preserve">The government therefore asked Steven Schwartz, then vice-chancellor of </w:t>
      </w:r>
      <w:smartTag w:uri="urn:schemas-microsoft-com:office:smarttags" w:element="place">
        <w:smartTag w:uri="urn:schemas-microsoft-com:office:smarttags" w:element="PlaceName">
          <w:r w:rsidRPr="000461A3">
            <w:rPr>
              <w:color w:val="000000"/>
              <w:sz w:val="20"/>
              <w:szCs w:val="20"/>
            </w:rPr>
            <w:t>Brunel</w:t>
          </w:r>
        </w:smartTag>
        <w:r w:rsidRPr="000461A3"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0461A3">
            <w:rPr>
              <w:color w:val="000000"/>
              <w:sz w:val="20"/>
              <w:szCs w:val="20"/>
            </w:rPr>
            <w:t>University</w:t>
          </w:r>
        </w:smartTag>
      </w:smartTag>
      <w:r w:rsidRPr="000461A3">
        <w:rPr>
          <w:color w:val="000000"/>
          <w:sz w:val="20"/>
          <w:szCs w:val="20"/>
        </w:rPr>
        <w:t>, to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lead a review of higher education admissions policies and procedures. After deliberation,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Schwartz concluded that the system was </w:t>
      </w:r>
      <w:r w:rsidR="00FB6248">
        <w:rPr>
          <w:iCs/>
          <w:color w:val="000000"/>
          <w:sz w:val="20"/>
          <w:szCs w:val="20"/>
        </w:rPr>
        <w:t>‘generally fair’</w:t>
      </w:r>
      <w:r w:rsidRPr="00FB6248">
        <w:rPr>
          <w:iCs/>
          <w:color w:val="000000"/>
          <w:sz w:val="20"/>
          <w:szCs w:val="20"/>
        </w:rPr>
        <w:t xml:space="preserve"> </w:t>
      </w:r>
      <w:r w:rsidRPr="00FB6248">
        <w:rPr>
          <w:color w:val="000000"/>
          <w:sz w:val="20"/>
          <w:szCs w:val="20"/>
        </w:rPr>
        <w:t xml:space="preserve">with </w:t>
      </w:r>
      <w:r w:rsidR="00FB6248">
        <w:rPr>
          <w:color w:val="000000"/>
          <w:sz w:val="20"/>
          <w:szCs w:val="20"/>
        </w:rPr>
        <w:t>‘</w:t>
      </w:r>
      <w:r w:rsidRPr="00FB6248">
        <w:rPr>
          <w:iCs/>
          <w:color w:val="000000"/>
          <w:sz w:val="20"/>
          <w:szCs w:val="20"/>
        </w:rPr>
        <w:t>room for improvement</w:t>
      </w:r>
      <w:r w:rsidR="00FB6248">
        <w:rPr>
          <w:iCs/>
          <w:color w:val="000000"/>
          <w:sz w:val="20"/>
          <w:szCs w:val="20"/>
        </w:rPr>
        <w:t xml:space="preserve">’ </w:t>
      </w:r>
      <w:r w:rsidR="00FB6248">
        <w:rPr>
          <w:color w:val="000000"/>
          <w:sz w:val="20"/>
          <w:szCs w:val="20"/>
        </w:rPr>
        <w:t>(Schwartz, 2004:</w:t>
      </w:r>
      <w:r w:rsidRPr="000461A3">
        <w:rPr>
          <w:color w:val="000000"/>
          <w:sz w:val="20"/>
          <w:szCs w:val="20"/>
        </w:rPr>
        <w:t>4), effectively leading to few meaningful changes within the sector. The report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stopped well short of recommending positive measures for young people targeted by Aimhigher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or other widening participation initiatives, although it did weakly suggest that universities could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use a broader range of criteria than just academic attainment at school; a challenge to which</w:t>
      </w:r>
      <w:r w:rsidR="00FB624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few elite universities have yet risen (but see Hoare and Johnston, 2011). As a result, little seems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to have changed since Schwartz, especially in terms of ensuring fair access to the top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institutions (</w:t>
      </w:r>
      <w:r w:rsidR="0011063E" w:rsidRPr="009D35F5">
        <w:rPr>
          <w:sz w:val="20"/>
          <w:szCs w:val="20"/>
        </w:rPr>
        <w:t>Harrison</w:t>
      </w:r>
      <w:r w:rsidRPr="000461A3">
        <w:rPr>
          <w:color w:val="000000"/>
          <w:sz w:val="20"/>
          <w:szCs w:val="20"/>
        </w:rPr>
        <w:t>, 2011).</w:t>
      </w:r>
    </w:p>
    <w:p w:rsidR="0011063E" w:rsidRPr="000461A3" w:rsidRDefault="0011063E" w:rsidP="0011063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11063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 xml:space="preserve">This, of course, highlights a contradiction. Aimhigher had been charged to increase </w:t>
      </w:r>
      <w:r w:rsidRPr="000461A3">
        <w:rPr>
          <w:i/>
          <w:iCs/>
          <w:color w:val="000000"/>
          <w:sz w:val="20"/>
          <w:szCs w:val="20"/>
        </w:rPr>
        <w:t>aspirations</w:t>
      </w:r>
      <w:r w:rsidR="0011063E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 xml:space="preserve">for </w:t>
      </w:r>
      <w:r w:rsidRPr="000461A3">
        <w:rPr>
          <w:color w:val="000000"/>
          <w:sz w:val="20"/>
          <w:szCs w:val="20"/>
        </w:rPr>
        <w:t>higher education (or, latterly, school attainment), but the parallel policy debate about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 xml:space="preserve">admissions into </w:t>
      </w:r>
      <w:r w:rsidRPr="000461A3">
        <w:rPr>
          <w:color w:val="000000"/>
          <w:sz w:val="20"/>
          <w:szCs w:val="20"/>
        </w:rPr>
        <w:t>higher education had failed to make much progress on if and how they might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gain entry. Indeed, the Sutton Trust continues to report on the phenomenon of the ‘wasted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talent’ of well-qualified young people who do not progress to higher education (Sutton Trust,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2008). Furthermore, Aimhigher was being judged through an outcome measure of entrants and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not applications – its efficacy was being evaluated through a statistic which was heavily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influenced by processes over which it had little control. This distinction is drawn out further by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empirical studies like that from </w:t>
      </w:r>
      <w:proofErr w:type="spellStart"/>
      <w:r w:rsidRPr="000461A3">
        <w:rPr>
          <w:color w:val="000000"/>
          <w:sz w:val="20"/>
          <w:szCs w:val="20"/>
        </w:rPr>
        <w:t>Chilosi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 xml:space="preserve">et al </w:t>
      </w:r>
      <w:r w:rsidRPr="000461A3">
        <w:rPr>
          <w:color w:val="000000"/>
          <w:sz w:val="20"/>
          <w:szCs w:val="20"/>
        </w:rPr>
        <w:t>(2010), which showed a positive impact from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Aimhigher activities on the likelihood of a young person applying to university, but no impact on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actual admissions.</w:t>
      </w:r>
    </w:p>
    <w:p w:rsidR="0011063E" w:rsidRPr="000461A3" w:rsidRDefault="0011063E" w:rsidP="0011063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11063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If we turn to national figures from UCAS concerning the applications for higher education over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lifespan of Aimhigher, this puts the unfairness of this contradiction into sharp focus. It is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important to note, that while UCAS handles the vast majority of higher education applications,</w:t>
      </w:r>
      <w:r w:rsidR="0011063E">
        <w:rPr>
          <w:color w:val="000000"/>
          <w:sz w:val="20"/>
          <w:szCs w:val="20"/>
        </w:rPr>
        <w:t xml:space="preserve"> there is</w:t>
      </w:r>
      <w:r w:rsidRPr="000461A3">
        <w:rPr>
          <w:color w:val="000000"/>
          <w:sz w:val="20"/>
          <w:szCs w:val="20"/>
        </w:rPr>
        <w:t xml:space="preserve"> a minority of individuals who enter university throu</w:t>
      </w:r>
      <w:r w:rsidR="0011063E">
        <w:rPr>
          <w:color w:val="000000"/>
          <w:sz w:val="20"/>
          <w:szCs w:val="20"/>
        </w:rPr>
        <w:t>gh non-mainstream pathways (</w:t>
      </w:r>
      <w:proofErr w:type="spellStart"/>
      <w:r w:rsidR="0011063E">
        <w:rPr>
          <w:color w:val="000000"/>
          <w:sz w:val="20"/>
          <w:szCs w:val="20"/>
        </w:rPr>
        <w:t>eg</w:t>
      </w:r>
      <w:proofErr w:type="spellEnd"/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progression within further education colleges) who are outside this process. </w:t>
      </w:r>
      <w:r w:rsidRPr="000461A3">
        <w:rPr>
          <w:color w:val="000000"/>
          <w:sz w:val="20"/>
          <w:szCs w:val="20"/>
        </w:rPr>
        <w:lastRenderedPageBreak/>
        <w:t>These are likely to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be disproportionately from those groups targeted by Aimhigher, so the figures presented below</w:t>
      </w:r>
      <w:r w:rsidR="0011063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should be viewed as a possible underestimate of reality.</w:t>
      </w:r>
    </w:p>
    <w:p w:rsidR="0011063E" w:rsidRDefault="0011063E" w:rsidP="0011063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1063E" w:rsidRDefault="0011063E" w:rsidP="0011063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Table 4 about here</w:t>
      </w:r>
    </w:p>
    <w:p w:rsidR="0011063E" w:rsidRPr="000461A3" w:rsidRDefault="0011063E" w:rsidP="0011063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742DB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Table 4 and Figure 1 show a very rapid incr</w:t>
      </w:r>
      <w:r w:rsidR="00EF5828">
        <w:rPr>
          <w:color w:val="000000"/>
          <w:sz w:val="20"/>
          <w:szCs w:val="20"/>
        </w:rPr>
        <w:t>ease in the application rate (</w:t>
      </w:r>
      <w:proofErr w:type="spellStart"/>
      <w:r w:rsidR="00EF5828">
        <w:rPr>
          <w:color w:val="000000"/>
          <w:sz w:val="20"/>
          <w:szCs w:val="20"/>
        </w:rPr>
        <w:t>i</w:t>
      </w:r>
      <w:r w:rsidRPr="000461A3">
        <w:rPr>
          <w:color w:val="000000"/>
          <w:sz w:val="20"/>
          <w:szCs w:val="20"/>
        </w:rPr>
        <w:t>e</w:t>
      </w:r>
      <w:proofErr w:type="spellEnd"/>
      <w:r w:rsidRPr="000461A3">
        <w:rPr>
          <w:color w:val="000000"/>
          <w:sz w:val="20"/>
          <w:szCs w:val="20"/>
        </w:rPr>
        <w:t xml:space="preserve"> the proportion of the</w:t>
      </w:r>
      <w:r w:rsidR="00EF582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18 year old cohort to make an application to higher education) between 2004 and 2008 in the</w:t>
      </w:r>
      <w:r w:rsidR="00EF582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20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most deprived neighbourhoods in </w:t>
      </w:r>
      <w:smartTag w:uri="urn:schemas-microsoft-com:office:smarttags" w:element="country-region">
        <w:smartTag w:uri="urn:schemas-microsoft-com:office:smarttags" w:element="place">
          <w:r w:rsidRPr="000461A3">
            <w:rPr>
              <w:color w:val="000000"/>
              <w:sz w:val="20"/>
              <w:szCs w:val="20"/>
            </w:rPr>
            <w:t>England</w:t>
          </w:r>
        </w:smartTag>
      </w:smartTag>
      <w:r w:rsidRPr="000461A3">
        <w:rPr>
          <w:color w:val="000000"/>
          <w:sz w:val="20"/>
          <w:szCs w:val="20"/>
        </w:rPr>
        <w:t>, as measured by the 2007 Index of</w:t>
      </w:r>
      <w:r w:rsidR="00EF582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Multiple Deprivation (DCLG 2007). The absolute rise was 6.4 </w:t>
      </w:r>
      <w:r w:rsidR="00EF5828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>, representing a</w:t>
      </w:r>
      <w:r w:rsidR="00EF582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relative rise of 32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over the same period that FYPSEC showed a 22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rise. This</w:t>
      </w:r>
      <w:r w:rsidR="00EF5828">
        <w:rPr>
          <w:color w:val="000000"/>
          <w:sz w:val="20"/>
          <w:szCs w:val="20"/>
        </w:rPr>
        <w:t xml:space="preserve"> growth continued into 2010</w:t>
      </w:r>
      <w:r w:rsidRPr="000461A3">
        <w:rPr>
          <w:color w:val="000000"/>
          <w:sz w:val="20"/>
          <w:szCs w:val="20"/>
        </w:rPr>
        <w:t xml:space="preserve">, with the application rate rising to 31.7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– equivalent to</w:t>
      </w:r>
      <w:r w:rsidR="00EF582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 62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increase in applications since 2004. In 2004, fewer than o</w:t>
      </w:r>
      <w:r w:rsidR="00EF5828">
        <w:rPr>
          <w:color w:val="000000"/>
          <w:sz w:val="20"/>
          <w:szCs w:val="20"/>
        </w:rPr>
        <w:t xml:space="preserve">ne in </w:t>
      </w:r>
      <w:r w:rsidRPr="000461A3">
        <w:rPr>
          <w:color w:val="000000"/>
          <w:sz w:val="20"/>
          <w:szCs w:val="20"/>
        </w:rPr>
        <w:t>five young people</w:t>
      </w:r>
      <w:r w:rsidR="00EF582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from the most deprived communities sought to enter higher education, but </w:t>
      </w:r>
      <w:r w:rsidR="00EF5828">
        <w:rPr>
          <w:color w:val="000000"/>
          <w:sz w:val="20"/>
          <w:szCs w:val="20"/>
        </w:rPr>
        <w:t xml:space="preserve">six years later </w:t>
      </w:r>
      <w:r w:rsidRPr="000461A3">
        <w:rPr>
          <w:color w:val="000000"/>
          <w:sz w:val="20"/>
          <w:szCs w:val="20"/>
        </w:rPr>
        <w:t>this had become</w:t>
      </w:r>
      <w:r w:rsidR="00EF582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almost one</w:t>
      </w:r>
      <w:r w:rsidR="00EF5828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</w:t>
      </w:r>
      <w:r w:rsidR="00EF5828">
        <w:rPr>
          <w:color w:val="000000"/>
          <w:sz w:val="20"/>
          <w:szCs w:val="20"/>
        </w:rPr>
        <w:t>n three</w:t>
      </w:r>
      <w:r w:rsidRPr="000461A3">
        <w:rPr>
          <w:color w:val="000000"/>
          <w:sz w:val="20"/>
          <w:szCs w:val="20"/>
        </w:rPr>
        <w:t>. This is shown in contrast to a much slower relative rate of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growth among the 20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least deprived neighbourhoods in Figure 1 below.</w:t>
      </w:r>
    </w:p>
    <w:p w:rsidR="00742DB1" w:rsidRDefault="00742DB1" w:rsidP="00742D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42DB1" w:rsidRDefault="00742DB1" w:rsidP="00742D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Figure 1 about here</w:t>
      </w:r>
    </w:p>
    <w:p w:rsidR="00742DB1" w:rsidRPr="000461A3" w:rsidRDefault="00742DB1" w:rsidP="00742D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742DB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2006 saw the implementation of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the 2004 Higher Education Act and specifically a </w:t>
      </w:r>
      <w:r w:rsidR="00742DB1">
        <w:rPr>
          <w:color w:val="000000"/>
          <w:sz w:val="20"/>
          <w:szCs w:val="20"/>
        </w:rPr>
        <w:t>near-</w:t>
      </w:r>
      <w:r w:rsidRPr="000461A3">
        <w:rPr>
          <w:color w:val="000000"/>
          <w:sz w:val="20"/>
          <w:szCs w:val="20"/>
        </w:rPr>
        <w:t>tripling of tuition fees and the introduction of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bursaries for students from low income backgrounds. Despite fears (</w:t>
      </w:r>
      <w:proofErr w:type="spellStart"/>
      <w:r w:rsidRPr="000461A3">
        <w:rPr>
          <w:color w:val="000000"/>
          <w:sz w:val="20"/>
          <w:szCs w:val="20"/>
        </w:rPr>
        <w:t>eg</w:t>
      </w:r>
      <w:proofErr w:type="spellEnd"/>
      <w:r w:rsidRPr="000461A3">
        <w:rPr>
          <w:color w:val="000000"/>
          <w:sz w:val="20"/>
          <w:szCs w:val="20"/>
        </w:rPr>
        <w:t xml:space="preserve"> Pennell and West,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2005; </w:t>
      </w:r>
      <w:proofErr w:type="spellStart"/>
      <w:r w:rsidRPr="000461A3">
        <w:rPr>
          <w:color w:val="000000"/>
          <w:sz w:val="20"/>
          <w:szCs w:val="20"/>
        </w:rPr>
        <w:t>Callender</w:t>
      </w:r>
      <w:proofErr w:type="spellEnd"/>
      <w:r w:rsidRPr="000461A3">
        <w:rPr>
          <w:color w:val="000000"/>
          <w:sz w:val="20"/>
          <w:szCs w:val="20"/>
        </w:rPr>
        <w:t xml:space="preserve"> and Jackson, 2005; Jones and Thomas, 2005) that these changes would lead to a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rapid decline in applications and admissions from certain student groups, Figure 1 shows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graphically that </w:t>
      </w:r>
      <w:r w:rsidR="00742DB1">
        <w:rPr>
          <w:color w:val="000000"/>
          <w:sz w:val="20"/>
          <w:szCs w:val="20"/>
        </w:rPr>
        <w:t>this was not the case. In</w:t>
      </w:r>
      <w:r w:rsidRPr="000461A3">
        <w:rPr>
          <w:color w:val="000000"/>
          <w:sz w:val="20"/>
          <w:szCs w:val="20"/>
        </w:rPr>
        <w:t xml:space="preserve"> fact it was students from more affluent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backgrounds who saw the strongest decline in demand in 2006. While the growth in demand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from the most deprived neighbourhoods did slow, applications continued to rise overall – by 0.3</w:t>
      </w:r>
      <w:r w:rsidR="00742DB1">
        <w:rPr>
          <w:color w:val="000000"/>
          <w:sz w:val="20"/>
          <w:szCs w:val="20"/>
        </w:rPr>
        <w:t xml:space="preserve"> per cent</w:t>
      </w:r>
      <w:r w:rsidRPr="000461A3">
        <w:rPr>
          <w:color w:val="000000"/>
          <w:sz w:val="20"/>
          <w:szCs w:val="20"/>
        </w:rPr>
        <w:t xml:space="preserve"> in 2006 compared to 2005. This trend is </w:t>
      </w:r>
      <w:r w:rsidR="00742DB1">
        <w:rPr>
          <w:color w:val="000000"/>
          <w:sz w:val="20"/>
          <w:szCs w:val="20"/>
        </w:rPr>
        <w:t xml:space="preserve">also </w:t>
      </w:r>
      <w:r w:rsidRPr="000461A3">
        <w:rPr>
          <w:color w:val="000000"/>
          <w:sz w:val="20"/>
          <w:szCs w:val="20"/>
        </w:rPr>
        <w:t>borne out by the data from FYPSEC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(in Tab</w:t>
      </w:r>
      <w:r w:rsidR="00742DB1">
        <w:rPr>
          <w:color w:val="000000"/>
          <w:sz w:val="20"/>
          <w:szCs w:val="20"/>
        </w:rPr>
        <w:t>le 2) and POLAR (in Table 3)</w:t>
      </w:r>
      <w:r w:rsidRPr="000461A3">
        <w:rPr>
          <w:color w:val="000000"/>
          <w:sz w:val="20"/>
          <w:szCs w:val="20"/>
        </w:rPr>
        <w:t>: an important component in the closing of the social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class gap was a drop in applications from more affluent backgrounds in the face of rising costs.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 full discussion of this phenomenon is outside the scope of this paper, though it may be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hypothesised that this group were able to exercise other positive choices at 18 outside of higher</w:t>
      </w:r>
      <w:r w:rsidR="00742DB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education which were not available to the widening participation groups.</w:t>
      </w:r>
    </w:p>
    <w:p w:rsidR="00742DB1" w:rsidRPr="000461A3" w:rsidRDefault="00742DB1" w:rsidP="00742DB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742DB1" w:rsidP="00742DB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Thus</w:t>
      </w:r>
      <w:r w:rsidR="00034AB9" w:rsidRPr="000461A3">
        <w:rPr>
          <w:color w:val="000000"/>
          <w:sz w:val="20"/>
          <w:szCs w:val="20"/>
        </w:rPr>
        <w:t xml:space="preserve"> applications for higher education from the most disadvantaged groups grew considerably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more quickly than did admissions. Taking into account the whole lifespan of Aimhigher, the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proportion of young people applying to university was over half as much again when it</w:t>
      </w:r>
      <w:r>
        <w:rPr>
          <w:color w:val="000000"/>
          <w:sz w:val="20"/>
          <w:szCs w:val="20"/>
        </w:rPr>
        <w:t xml:space="preserve"> was </w:t>
      </w:r>
      <w:r w:rsidR="00034AB9" w:rsidRPr="000461A3">
        <w:rPr>
          <w:color w:val="000000"/>
          <w:sz w:val="20"/>
          <w:szCs w:val="20"/>
        </w:rPr>
        <w:t>abolished as it was when it was created. This does open up a wider issue: what happened to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those young people, enthused by Aimhigher and other higher education outreach activities,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who did apply for a university place, but who were unable to secure one?</w:t>
      </w:r>
    </w:p>
    <w:p w:rsidR="00742DB1" w:rsidRPr="000461A3" w:rsidRDefault="00742DB1" w:rsidP="00742DB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6947F1" w:rsidP="00742DB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Doubtless</w:t>
      </w:r>
      <w:r w:rsidR="00034AB9" w:rsidRPr="000461A3">
        <w:rPr>
          <w:color w:val="000000"/>
          <w:sz w:val="20"/>
          <w:szCs w:val="20"/>
        </w:rPr>
        <w:t xml:space="preserve"> some will have failed to achieve the grades necessary for entry, either to their</w:t>
      </w:r>
      <w:r w:rsidR="00742DB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 xml:space="preserve">chosen course or to the sector as a whole. However, as Coleman and </w:t>
      </w:r>
      <w:proofErr w:type="spellStart"/>
      <w:r w:rsidR="00034AB9" w:rsidRPr="000461A3">
        <w:rPr>
          <w:color w:val="000000"/>
          <w:sz w:val="20"/>
          <w:szCs w:val="20"/>
        </w:rPr>
        <w:t>Bekhradnia</w:t>
      </w:r>
      <w:proofErr w:type="spellEnd"/>
      <w:r w:rsidR="00034AB9" w:rsidRPr="000461A3">
        <w:rPr>
          <w:color w:val="000000"/>
          <w:sz w:val="20"/>
          <w:szCs w:val="20"/>
        </w:rPr>
        <w:t xml:space="preserve"> (2011) note,</w:t>
      </w:r>
      <w:r w:rsidR="00742DB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2009 marked something of a watershed in university admissions. It was the first year in which</w:t>
      </w:r>
      <w:r w:rsidR="00742DB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there was a significant excess of demand over supply, with more qualified potential students</w:t>
      </w:r>
      <w:r w:rsidR="00742DB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seeking places than there were funded places available. As a result, the ‘Robbins principle’</w:t>
      </w:r>
      <w:r w:rsidR="00742DB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(Robbins, 1963), that higher education should be available to all with the potential to benefit</w:t>
      </w:r>
      <w:r w:rsidR="00742DB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from it, was quietly dropped after 45 years. At the time of writing, data appear not yet to have</w:t>
      </w:r>
      <w:r w:rsidR="00742DB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been analysed to understand how young people from disadvantaged backgrounds fared within</w:t>
      </w:r>
      <w:r w:rsidR="00742DB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this new competitive arena, but it raises a vital question about what happens to those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individuals who were inspired by Aimhigher, but who were unable to pass the final hurdle. This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is a different form of ‘wasted talent’ to that highlighted by the Sutton Trust (2008), but no less</w:t>
      </w:r>
      <w:r>
        <w:rPr>
          <w:color w:val="000000"/>
          <w:sz w:val="20"/>
          <w:szCs w:val="20"/>
        </w:rPr>
        <w:t xml:space="preserve"> i</w:t>
      </w:r>
      <w:r w:rsidR="00034AB9" w:rsidRPr="000461A3">
        <w:rPr>
          <w:color w:val="000000"/>
          <w:sz w:val="20"/>
          <w:szCs w:val="20"/>
        </w:rPr>
        <w:t>nteresting or important.</w:t>
      </w:r>
    </w:p>
    <w:p w:rsidR="00742DB1" w:rsidRPr="000461A3" w:rsidRDefault="00742DB1" w:rsidP="00742DB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742DB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It also poses an ethical question for the sector looking forwards about whether it is fair for the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state and the higher education sector to raise expectations that may not be fulfilled through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widening participation initiatives. In particular, it highlights the unfairness of the admissions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system, where A Levels are heavily and instrumentally valorised despite data being readily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available to show that young people from more deprived backgrounds outperform their more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privileged peers on average given the same entry qualifications (</w:t>
      </w:r>
      <w:r w:rsidRPr="00A46BBE">
        <w:rPr>
          <w:sz w:val="20"/>
          <w:szCs w:val="20"/>
        </w:rPr>
        <w:t>PFAP, 2009</w:t>
      </w:r>
      <w:r w:rsidRPr="000461A3">
        <w:rPr>
          <w:color w:val="000000"/>
          <w:sz w:val="20"/>
          <w:szCs w:val="20"/>
        </w:rPr>
        <w:t>). Were they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following the principles of evidence-based practice, universities would be clamouring to admit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those whose passage towards higher education has been challenging rather than those whose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families have been able to secure the top schooling through private education or manipulation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of the state system (Ball, 2003).</w:t>
      </w:r>
    </w:p>
    <w:p w:rsidR="00742DB1" w:rsidRPr="000461A3" w:rsidRDefault="00742DB1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Aimhigher and causality</w:t>
      </w:r>
    </w:p>
    <w:p w:rsidR="00034AB9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Having looked in some detail at the macro trends in participation, it is important to note that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these can never establish a direct correlation between Aimhigher and participation rates to any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deg</w:t>
      </w:r>
      <w:r w:rsidR="006947F1">
        <w:rPr>
          <w:color w:val="000000"/>
          <w:sz w:val="20"/>
          <w:szCs w:val="20"/>
        </w:rPr>
        <w:t>ree of certainty. T</w:t>
      </w:r>
      <w:r w:rsidRPr="000461A3">
        <w:rPr>
          <w:color w:val="000000"/>
          <w:sz w:val="20"/>
          <w:szCs w:val="20"/>
        </w:rPr>
        <w:t>he creation and development of Aimhigher coincides with a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rapid acceleration in entrants from low participation neighbourhoods, but this could be nothing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more than a coincidence – in the colloquial sense of the word. It also, for example, coincides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with a rapid improvement in school results and post-compulsory staying-on rates, effectively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expanding the pool of potential university applicants. </w:t>
      </w:r>
      <w:r w:rsidR="006947F1" w:rsidRPr="00A46BBE">
        <w:rPr>
          <w:sz w:val="20"/>
          <w:szCs w:val="20"/>
        </w:rPr>
        <w:t>Harrison</w:t>
      </w:r>
      <w:r w:rsidRPr="00A46BBE">
        <w:rPr>
          <w:sz w:val="20"/>
          <w:szCs w:val="20"/>
        </w:rPr>
        <w:t xml:space="preserve"> (in press) </w:t>
      </w:r>
      <w:r w:rsidRPr="000461A3">
        <w:rPr>
          <w:color w:val="000000"/>
          <w:sz w:val="20"/>
          <w:szCs w:val="20"/>
        </w:rPr>
        <w:t>finds that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GCSE pass rates, ethnic mix and labour market conditions are significant predictors for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application rates at the local level, although there is variation that suggests a role for localised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approaches like Aimhigher.</w:t>
      </w:r>
    </w:p>
    <w:p w:rsidR="006947F1" w:rsidRPr="000461A3" w:rsidRDefault="006947F1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6947F1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In an ideal world, crude constructs like FYPSEC (or even POLAR) would not be necessary for the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success or otherwise of Aimhigher to be assessed. Instead, Aimhigher would be more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adequately evaluated through robust studies that focused on a direct causal link between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interventions and decisions to apply to university (or the myriad other objectives allotted to the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organisation).</w:t>
      </w:r>
      <w:r w:rsidR="006947F1">
        <w:rPr>
          <w:color w:val="000000"/>
          <w:sz w:val="20"/>
          <w:szCs w:val="20"/>
        </w:rPr>
        <w:t xml:space="preserve"> However, Aimhigher simply was no</w:t>
      </w:r>
      <w:r w:rsidRPr="000461A3">
        <w:rPr>
          <w:color w:val="000000"/>
          <w:sz w:val="20"/>
          <w:szCs w:val="20"/>
        </w:rPr>
        <w:t>t operating in this ideal world. Aside from the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poor specification of the Aimhigher mission explored in the first half of this paper, there are a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number of key challenges to evaluating Aimhigher that were not adequately assessed in the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policy development process:</w:t>
      </w:r>
    </w:p>
    <w:p w:rsidR="006947F1" w:rsidRPr="000461A3" w:rsidRDefault="006947F1" w:rsidP="006947F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6947F1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a)</w:t>
      </w:r>
      <w:r w:rsidR="00034AB9" w:rsidRPr="006947F1">
        <w:rPr>
          <w:bCs/>
          <w:color w:val="000000"/>
          <w:sz w:val="20"/>
          <w:szCs w:val="20"/>
        </w:rPr>
        <w:t xml:space="preserve"> </w:t>
      </w:r>
      <w:r w:rsidR="00034AB9" w:rsidRPr="006947F1">
        <w:rPr>
          <w:bCs/>
          <w:i/>
          <w:color w:val="000000"/>
          <w:sz w:val="20"/>
          <w:szCs w:val="20"/>
        </w:rPr>
        <w:t>Time elapsed between intervention and outcome.</w:t>
      </w:r>
      <w:r w:rsidR="00034AB9" w:rsidRPr="000461A3">
        <w:rPr>
          <w:b/>
          <w:bCs/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While activity in the initial years of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Aimhigher tended to focus on the later years of school, this was increasingly replaced by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interventions geared towards younger age groups, even down to primary level. For many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components of the Aimhigher programme, the time elapsed between intervention and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decision to enter higher education was in the order of five years. This timescale not only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meant that there was a politically-unacceptable lag between inputs and outcomes, but also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that the number of possible confounding factors grew with each passing year.</w:t>
      </w:r>
    </w:p>
    <w:p w:rsidR="008778CB" w:rsidRPr="000461A3" w:rsidRDefault="008778CB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</w:p>
    <w:p w:rsidR="00034AB9" w:rsidRDefault="00034AB9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 w:rsidRPr="006947F1">
        <w:rPr>
          <w:bCs/>
          <w:color w:val="000000"/>
          <w:sz w:val="20"/>
          <w:szCs w:val="20"/>
        </w:rPr>
        <w:t>b</w:t>
      </w:r>
      <w:r w:rsidR="00A46BBE">
        <w:rPr>
          <w:bCs/>
          <w:color w:val="000000"/>
          <w:sz w:val="20"/>
          <w:szCs w:val="20"/>
        </w:rPr>
        <w:t>)</w:t>
      </w:r>
      <w:r w:rsidRPr="006947F1">
        <w:rPr>
          <w:bCs/>
          <w:color w:val="000000"/>
          <w:sz w:val="20"/>
          <w:szCs w:val="20"/>
        </w:rPr>
        <w:t xml:space="preserve"> </w:t>
      </w:r>
      <w:r w:rsidRPr="006947F1">
        <w:rPr>
          <w:bCs/>
          <w:i/>
          <w:color w:val="000000"/>
          <w:sz w:val="20"/>
          <w:szCs w:val="20"/>
        </w:rPr>
        <w:t>Highly localised portfolios</w:t>
      </w:r>
      <w:r w:rsidRPr="000461A3">
        <w:rPr>
          <w:color w:val="000000"/>
          <w:sz w:val="20"/>
          <w:szCs w:val="20"/>
        </w:rPr>
        <w:t>. A key feature of Aimhigher was that the localised partnerships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had almost complete autonomy over the portfolio of activities that they offered and how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they were delivered. As a result, the reality of Aimhigher on-the-ground was radically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different depending on where it was examined and at what point in time. There was a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degree of convergence in later years, but an evaluation would need to accept that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Aimhigher could succeed in some areas and fail in others; this equally holds for individual</w:t>
      </w:r>
      <w:r w:rsidR="006947F1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activities within the portfolio.</w:t>
      </w:r>
    </w:p>
    <w:p w:rsidR="008778CB" w:rsidRPr="000461A3" w:rsidRDefault="008778CB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</w:p>
    <w:p w:rsidR="00034AB9" w:rsidRDefault="00A46BBE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c)</w:t>
      </w:r>
      <w:r w:rsidR="00034AB9" w:rsidRPr="006947F1">
        <w:rPr>
          <w:bCs/>
          <w:color w:val="000000"/>
          <w:sz w:val="20"/>
          <w:szCs w:val="20"/>
        </w:rPr>
        <w:t xml:space="preserve"> </w:t>
      </w:r>
      <w:r w:rsidR="00034AB9" w:rsidRPr="006947F1">
        <w:rPr>
          <w:bCs/>
          <w:i/>
          <w:color w:val="000000"/>
          <w:sz w:val="20"/>
          <w:szCs w:val="20"/>
        </w:rPr>
        <w:t>The nature of the ‘participant’</w:t>
      </w:r>
      <w:r w:rsidR="00034AB9" w:rsidRPr="006947F1">
        <w:rPr>
          <w:i/>
          <w:color w:val="000000"/>
          <w:sz w:val="20"/>
          <w:szCs w:val="20"/>
        </w:rPr>
        <w:t>.</w:t>
      </w:r>
      <w:r w:rsidR="00034AB9" w:rsidRPr="000461A3">
        <w:rPr>
          <w:color w:val="000000"/>
          <w:sz w:val="20"/>
          <w:szCs w:val="20"/>
        </w:rPr>
        <w:t xml:space="preserve"> One of the unresolved issues faced by Aimhigher and</w:t>
      </w:r>
      <w:r w:rsidR="006947F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similar outreach work is to define who interventions are aimed at. The primary goal is to</w:t>
      </w:r>
      <w:r w:rsidR="006947F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change behaviour among those young people from under-represented groups with the</w:t>
      </w:r>
      <w:r w:rsidR="006947F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ability to attend higher education at some point years in the future, but who would</w:t>
      </w:r>
      <w:r w:rsidR="006947F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otherwise not do so. However, there is an immediate issue with ‘deadweight’ (those who</w:t>
      </w:r>
      <w:r w:rsidR="006947F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would have gone even without the intervention) and ‘leakage’ (to groups already overrepresented;</w:t>
      </w:r>
      <w:r w:rsidR="006947F1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Thomas, 2001). The typical method of selecting which individuals should be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invited to take part in, for example, a university visit is for the school to identify a group felt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to have the potential to benefit, drawing a non-random distinction between participant and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non-participant, which is then exacerbated by a degree of self-selection by the young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person when they decide whether they wish to participate. This selection bias is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exacerbated by prosaic grass-roots considerations such as access, funding, time capacity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and location, such that the group targeted by Aimhigher and the actual participant group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 xml:space="preserve">might be very different in reality (Thomas, 2001; </w:t>
      </w:r>
      <w:proofErr w:type="spellStart"/>
      <w:r w:rsidR="00034AB9" w:rsidRPr="000461A3">
        <w:rPr>
          <w:color w:val="000000"/>
          <w:sz w:val="20"/>
          <w:szCs w:val="20"/>
        </w:rPr>
        <w:t>Hatt</w:t>
      </w:r>
      <w:proofErr w:type="spellEnd"/>
      <w:r w:rsidR="00034AB9" w:rsidRPr="000461A3">
        <w:rPr>
          <w:color w:val="000000"/>
          <w:sz w:val="20"/>
          <w:szCs w:val="20"/>
        </w:rPr>
        <w:t>, Baxter and Tate, 2005), making the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construction of valid control groups problematic in practice. A resulting challenge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discovered by Aimhigher partnerships and the national evaluation project (Passy and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Morris, 2010) was the difficulty in getting usable and reliable data about young people from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schools and parents. These features place Aimhigher in a very different context to, say,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medical evaluations, where the participants are well-defined, known and held in controlled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conditions, and where access to their data is not mediated through others.</w:t>
      </w:r>
    </w:p>
    <w:p w:rsidR="008778CB" w:rsidRPr="000461A3" w:rsidRDefault="008778CB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</w:p>
    <w:p w:rsidR="00034AB9" w:rsidRDefault="00A46BBE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d)</w:t>
      </w:r>
      <w:r w:rsidR="00034AB9" w:rsidRPr="008778CB">
        <w:rPr>
          <w:bCs/>
          <w:color w:val="000000"/>
          <w:sz w:val="20"/>
          <w:szCs w:val="20"/>
        </w:rPr>
        <w:t xml:space="preserve"> </w:t>
      </w:r>
      <w:r w:rsidR="00034AB9" w:rsidRPr="008778CB">
        <w:rPr>
          <w:bCs/>
          <w:i/>
          <w:color w:val="000000"/>
          <w:sz w:val="20"/>
          <w:szCs w:val="20"/>
        </w:rPr>
        <w:t>The nature of ‘participation’</w:t>
      </w:r>
      <w:r w:rsidR="00034AB9" w:rsidRPr="000461A3">
        <w:rPr>
          <w:b/>
          <w:bCs/>
          <w:color w:val="000000"/>
          <w:sz w:val="20"/>
          <w:szCs w:val="20"/>
        </w:rPr>
        <w:t xml:space="preserve">. </w:t>
      </w:r>
      <w:r w:rsidR="00034AB9" w:rsidRPr="000461A3">
        <w:rPr>
          <w:color w:val="000000"/>
          <w:sz w:val="20"/>
          <w:szCs w:val="20"/>
        </w:rPr>
        <w:t>Continuing the analogy with medical evaluation above, it is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known in this circumstance what ‘dose’ the participant has undergone. With Aimhigher,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this principle was blurred. Some individuals were exposed to a series of interventions,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while others might only be exposed to a single one. Similarly, some interventions were</w:t>
      </w:r>
      <w:r w:rsidR="008778CB">
        <w:rPr>
          <w:color w:val="000000"/>
          <w:sz w:val="20"/>
          <w:szCs w:val="20"/>
        </w:rPr>
        <w:t xml:space="preserve"> rigidly bounded (</w:t>
      </w:r>
      <w:proofErr w:type="spellStart"/>
      <w:r w:rsidR="008778CB">
        <w:rPr>
          <w:color w:val="000000"/>
          <w:sz w:val="20"/>
          <w:szCs w:val="20"/>
        </w:rPr>
        <w:t>e</w:t>
      </w:r>
      <w:r w:rsidR="00034AB9" w:rsidRPr="000461A3">
        <w:rPr>
          <w:color w:val="000000"/>
          <w:sz w:val="20"/>
          <w:szCs w:val="20"/>
        </w:rPr>
        <w:t>g</w:t>
      </w:r>
      <w:proofErr w:type="spellEnd"/>
      <w:r w:rsidR="00034AB9" w:rsidRPr="000461A3">
        <w:rPr>
          <w:color w:val="000000"/>
          <w:sz w:val="20"/>
          <w:szCs w:val="20"/>
        </w:rPr>
        <w:t xml:space="preserve"> summer schools), while others were mutable and heavily dependent</w:t>
      </w:r>
      <w:r w:rsidR="008778CB">
        <w:rPr>
          <w:color w:val="000000"/>
          <w:sz w:val="20"/>
          <w:szCs w:val="20"/>
        </w:rPr>
        <w:t xml:space="preserve"> on context (</w:t>
      </w:r>
      <w:proofErr w:type="spellStart"/>
      <w:r w:rsidR="008778CB">
        <w:rPr>
          <w:color w:val="000000"/>
          <w:sz w:val="20"/>
          <w:szCs w:val="20"/>
        </w:rPr>
        <w:t>e</w:t>
      </w:r>
      <w:r w:rsidR="00034AB9" w:rsidRPr="000461A3">
        <w:rPr>
          <w:color w:val="000000"/>
          <w:sz w:val="20"/>
          <w:szCs w:val="20"/>
        </w:rPr>
        <w:t>g</w:t>
      </w:r>
      <w:proofErr w:type="spellEnd"/>
      <w:r w:rsidR="00034AB9" w:rsidRPr="000461A3">
        <w:rPr>
          <w:color w:val="000000"/>
          <w:sz w:val="20"/>
          <w:szCs w:val="20"/>
        </w:rPr>
        <w:t xml:space="preserve"> student tutoring). It is therefore challenging to define an Aimhigher</w:t>
      </w:r>
      <w:r w:rsidR="008778CB">
        <w:rPr>
          <w:color w:val="000000"/>
          <w:sz w:val="20"/>
          <w:szCs w:val="20"/>
        </w:rPr>
        <w:t xml:space="preserve"> ‘participant’ in a</w:t>
      </w:r>
      <w:r w:rsidR="00034AB9" w:rsidRPr="000461A3">
        <w:rPr>
          <w:color w:val="000000"/>
          <w:sz w:val="20"/>
          <w:szCs w:val="20"/>
        </w:rPr>
        <w:t xml:space="preserve"> holistic sense. Clearly, individual interventions could be evaluated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(summer schools have been most closely examined; HEFCE, 2010b), but an overall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 xml:space="preserve">evaluation of the Aimhigher programme was vexed by </w:t>
      </w:r>
      <w:r w:rsidR="008778CB">
        <w:rPr>
          <w:color w:val="000000"/>
          <w:sz w:val="20"/>
          <w:szCs w:val="20"/>
        </w:rPr>
        <w:t>the complexity of</w:t>
      </w:r>
      <w:r w:rsidR="00034AB9" w:rsidRPr="000461A3">
        <w:rPr>
          <w:color w:val="000000"/>
          <w:sz w:val="20"/>
          <w:szCs w:val="20"/>
        </w:rPr>
        <w:t xml:space="preserve"> recording exactly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what participants had participated in.</w:t>
      </w:r>
    </w:p>
    <w:p w:rsidR="008778CB" w:rsidRPr="000461A3" w:rsidRDefault="008778CB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</w:p>
    <w:p w:rsidR="00034AB9" w:rsidRDefault="00A46BBE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e)</w:t>
      </w:r>
      <w:r w:rsidR="00034AB9" w:rsidRPr="008778CB">
        <w:rPr>
          <w:bCs/>
          <w:color w:val="000000"/>
          <w:sz w:val="20"/>
          <w:szCs w:val="20"/>
        </w:rPr>
        <w:t xml:space="preserve"> </w:t>
      </w:r>
      <w:r w:rsidR="00034AB9" w:rsidRPr="008778CB">
        <w:rPr>
          <w:bCs/>
          <w:i/>
          <w:color w:val="000000"/>
          <w:sz w:val="20"/>
          <w:szCs w:val="20"/>
        </w:rPr>
        <w:t>Changing definitions and data gaps</w:t>
      </w:r>
      <w:r w:rsidR="00034AB9" w:rsidRPr="008778CB">
        <w:rPr>
          <w:bCs/>
          <w:color w:val="000000"/>
          <w:sz w:val="20"/>
          <w:szCs w:val="20"/>
        </w:rPr>
        <w:t>.</w:t>
      </w:r>
      <w:r w:rsidR="00034AB9" w:rsidRPr="000461A3">
        <w:rPr>
          <w:b/>
          <w:bCs/>
          <w:color w:val="000000"/>
          <w:sz w:val="20"/>
          <w:szCs w:val="20"/>
        </w:rPr>
        <w:t xml:space="preserve"> </w:t>
      </w:r>
      <w:r w:rsidR="008778CB">
        <w:rPr>
          <w:color w:val="000000"/>
          <w:sz w:val="20"/>
          <w:szCs w:val="20"/>
        </w:rPr>
        <w:t xml:space="preserve">One </w:t>
      </w:r>
      <w:r w:rsidR="00034AB9" w:rsidRPr="000461A3">
        <w:rPr>
          <w:color w:val="000000"/>
          <w:sz w:val="20"/>
          <w:szCs w:val="20"/>
        </w:rPr>
        <w:t>feature of the field of widening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participation has been that the data used in targeting, monitoring and evaluation have been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on shifting sands throughout the period, with significant gaps. This phenomenon has been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explored to some extent in the earlier part of the paper, but the problem was wider and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broader. For example, data relating to young people coming through further education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routes is very sparse and difficult to link to other data (</w:t>
      </w:r>
      <w:proofErr w:type="spellStart"/>
      <w:r w:rsidR="00034AB9" w:rsidRPr="000461A3">
        <w:rPr>
          <w:color w:val="000000"/>
          <w:sz w:val="20"/>
          <w:szCs w:val="20"/>
        </w:rPr>
        <w:t>Chowdry</w:t>
      </w:r>
      <w:proofErr w:type="spellEnd"/>
      <w:r w:rsidR="00034AB9" w:rsidRPr="000461A3">
        <w:rPr>
          <w:color w:val="000000"/>
          <w:sz w:val="20"/>
          <w:szCs w:val="20"/>
        </w:rPr>
        <w:t xml:space="preserve"> </w:t>
      </w:r>
      <w:r w:rsidR="00034AB9" w:rsidRPr="000461A3">
        <w:rPr>
          <w:i/>
          <w:iCs/>
          <w:color w:val="000000"/>
          <w:sz w:val="20"/>
          <w:szCs w:val="20"/>
        </w:rPr>
        <w:t>et al</w:t>
      </w:r>
      <w:r w:rsidR="00034AB9" w:rsidRPr="000461A3">
        <w:rPr>
          <w:color w:val="000000"/>
          <w:sz w:val="20"/>
          <w:szCs w:val="20"/>
        </w:rPr>
        <w:t>, 2008). Similarly,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national indicator definitions have been prone to change throughout the lifespan of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Aimhigher, meaning that longitudinal datasets are in</w:t>
      </w:r>
      <w:r w:rsidR="008778CB">
        <w:rPr>
          <w:color w:val="000000"/>
          <w:sz w:val="20"/>
          <w:szCs w:val="20"/>
        </w:rPr>
        <w:t>complete or open to misuse (</w:t>
      </w:r>
      <w:proofErr w:type="spellStart"/>
      <w:r w:rsidR="008778CB">
        <w:rPr>
          <w:color w:val="000000"/>
          <w:sz w:val="20"/>
          <w:szCs w:val="20"/>
        </w:rPr>
        <w:t>eg</w:t>
      </w:r>
      <w:proofErr w:type="spellEnd"/>
      <w:r w:rsidR="008778CB">
        <w:rPr>
          <w:color w:val="000000"/>
          <w:sz w:val="20"/>
          <w:szCs w:val="20"/>
        </w:rPr>
        <w:t xml:space="preserve"> HESA</w:t>
      </w:r>
      <w:r w:rsidR="00034AB9" w:rsidRPr="000461A3">
        <w:rPr>
          <w:color w:val="000000"/>
          <w:sz w:val="20"/>
          <w:szCs w:val="20"/>
        </w:rPr>
        <w:t xml:space="preserve"> data on social class; HESA, 2012).</w:t>
      </w:r>
    </w:p>
    <w:p w:rsidR="008778CB" w:rsidRPr="000461A3" w:rsidRDefault="008778CB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</w:p>
    <w:p w:rsidR="00034AB9" w:rsidRPr="000461A3" w:rsidRDefault="00A46BBE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f)</w:t>
      </w:r>
      <w:r w:rsidR="00034AB9" w:rsidRPr="008778CB">
        <w:rPr>
          <w:bCs/>
          <w:color w:val="000000"/>
          <w:sz w:val="20"/>
          <w:szCs w:val="20"/>
        </w:rPr>
        <w:t xml:space="preserve"> </w:t>
      </w:r>
      <w:r w:rsidR="00034AB9" w:rsidRPr="008778CB">
        <w:rPr>
          <w:bCs/>
          <w:i/>
          <w:color w:val="000000"/>
          <w:sz w:val="20"/>
          <w:szCs w:val="20"/>
        </w:rPr>
        <w:t>Complexity of the field</w:t>
      </w:r>
      <w:r w:rsidR="00034AB9" w:rsidRPr="008778CB">
        <w:rPr>
          <w:bCs/>
          <w:color w:val="000000"/>
          <w:sz w:val="20"/>
          <w:szCs w:val="20"/>
        </w:rPr>
        <w:t>.</w:t>
      </w:r>
      <w:r w:rsidR="00034AB9" w:rsidRPr="000461A3">
        <w:rPr>
          <w:b/>
          <w:bCs/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 xml:space="preserve">All fields of public policy are complex and rarely </w:t>
      </w:r>
      <w:proofErr w:type="spellStart"/>
      <w:r w:rsidR="00034AB9" w:rsidRPr="000461A3">
        <w:rPr>
          <w:color w:val="000000"/>
          <w:sz w:val="20"/>
          <w:szCs w:val="20"/>
        </w:rPr>
        <w:t>unicausal</w:t>
      </w:r>
      <w:proofErr w:type="spellEnd"/>
      <w:r w:rsidR="00034AB9" w:rsidRPr="000461A3">
        <w:rPr>
          <w:color w:val="000000"/>
          <w:sz w:val="20"/>
          <w:szCs w:val="20"/>
        </w:rPr>
        <w:t xml:space="preserve"> in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nature. However, widening participation in the 2000s was buffeted by a series of initiatives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and contextual factors making the isolation of any Aimhigher impact problematic. For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example, radical improvements in school outcomes, the creation of foundation degrees,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 xml:space="preserve">changes to financial support for low income students, </w:t>
      </w:r>
      <w:proofErr w:type="spellStart"/>
      <w:r w:rsidR="00034AB9" w:rsidRPr="000461A3">
        <w:rPr>
          <w:color w:val="000000"/>
          <w:sz w:val="20"/>
          <w:szCs w:val="20"/>
        </w:rPr>
        <w:t>academisation</w:t>
      </w:r>
      <w:proofErr w:type="spellEnd"/>
      <w:r w:rsidR="00034AB9" w:rsidRPr="000461A3">
        <w:rPr>
          <w:color w:val="000000"/>
          <w:sz w:val="20"/>
          <w:szCs w:val="20"/>
        </w:rPr>
        <w:t>, qualifications reform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and the global recession are all likely to have played a part in shaping the demand for</w:t>
      </w:r>
    </w:p>
    <w:p w:rsidR="00034AB9" w:rsidRDefault="00034AB9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higher education.</w:t>
      </w:r>
    </w:p>
    <w:p w:rsidR="008778CB" w:rsidRPr="000461A3" w:rsidRDefault="008778CB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</w:p>
    <w:p w:rsidR="00034AB9" w:rsidRDefault="00A46BBE" w:rsidP="00A46BBE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g)</w:t>
      </w:r>
      <w:r w:rsidR="00034AB9" w:rsidRPr="008778CB">
        <w:rPr>
          <w:bCs/>
          <w:color w:val="000000"/>
          <w:sz w:val="20"/>
          <w:szCs w:val="20"/>
        </w:rPr>
        <w:t xml:space="preserve"> </w:t>
      </w:r>
      <w:r w:rsidR="00034AB9" w:rsidRPr="008778CB">
        <w:rPr>
          <w:bCs/>
          <w:i/>
          <w:color w:val="000000"/>
          <w:sz w:val="20"/>
          <w:szCs w:val="20"/>
        </w:rPr>
        <w:t>Ethical considerations</w:t>
      </w:r>
      <w:r w:rsidR="00034AB9" w:rsidRPr="000461A3">
        <w:rPr>
          <w:b/>
          <w:bCs/>
          <w:color w:val="000000"/>
          <w:sz w:val="20"/>
          <w:szCs w:val="20"/>
        </w:rPr>
        <w:t xml:space="preserve">. </w:t>
      </w:r>
      <w:r w:rsidR="00034AB9" w:rsidRPr="000461A3">
        <w:rPr>
          <w:color w:val="000000"/>
          <w:sz w:val="20"/>
          <w:szCs w:val="20"/>
        </w:rPr>
        <w:t>Randomised controlled trials are generally seen as the pinnacle of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quantitative research, but they remain not widely used within educational research, not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least due to ethical considerations about effectively excluding some ‘deserving’ participants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from positive interventions in order to form control groups. This would appear to run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counter to the professional standards established by the British Educational Research</w:t>
      </w:r>
      <w:r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 xml:space="preserve">Association (see </w:t>
      </w:r>
      <w:proofErr w:type="spellStart"/>
      <w:r w:rsidR="00034AB9" w:rsidRPr="000461A3">
        <w:rPr>
          <w:color w:val="000000"/>
          <w:sz w:val="20"/>
          <w:szCs w:val="20"/>
        </w:rPr>
        <w:t>para</w:t>
      </w:r>
      <w:proofErr w:type="spellEnd"/>
      <w:r w:rsidR="00034AB9" w:rsidRPr="000461A3">
        <w:rPr>
          <w:color w:val="000000"/>
          <w:sz w:val="20"/>
          <w:szCs w:val="20"/>
        </w:rPr>
        <w:t xml:space="preserve"> 24 of BERA 2011), as well as raising valid questions about fairness at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 xml:space="preserve">the micro level </w:t>
      </w:r>
      <w:r>
        <w:rPr>
          <w:color w:val="000000"/>
          <w:sz w:val="20"/>
          <w:szCs w:val="20"/>
        </w:rPr>
        <w:t>if</w:t>
      </w:r>
      <w:r w:rsidR="00034AB9" w:rsidRPr="000461A3">
        <w:rPr>
          <w:color w:val="000000"/>
          <w:sz w:val="20"/>
          <w:szCs w:val="20"/>
        </w:rPr>
        <w:t xml:space="preserve"> talented young people were told they couldn’t attend a valued</w:t>
      </w:r>
      <w:r w:rsidR="008778CB">
        <w:rPr>
          <w:color w:val="000000"/>
          <w:sz w:val="20"/>
          <w:szCs w:val="20"/>
        </w:rPr>
        <w:t xml:space="preserve"> </w:t>
      </w:r>
      <w:r w:rsidR="00034AB9" w:rsidRPr="000461A3">
        <w:rPr>
          <w:color w:val="000000"/>
          <w:sz w:val="20"/>
          <w:szCs w:val="20"/>
        </w:rPr>
        <w:t>summer school because they were ‘controls’.</w:t>
      </w:r>
    </w:p>
    <w:p w:rsidR="001F6100" w:rsidRPr="000461A3" w:rsidRDefault="001F6100" w:rsidP="006947F1">
      <w:pPr>
        <w:autoSpaceDE w:val="0"/>
        <w:autoSpaceDN w:val="0"/>
        <w:adjustRightInd w:val="0"/>
        <w:ind w:left="284"/>
        <w:jc w:val="both"/>
        <w:rPr>
          <w:color w:val="000000"/>
          <w:sz w:val="20"/>
          <w:szCs w:val="20"/>
        </w:rPr>
      </w:pPr>
    </w:p>
    <w:p w:rsidR="00034AB9" w:rsidRDefault="00034AB9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All this is not to argue that a robust, causal and national evaluation of Aimhigher was not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desirable</w:t>
      </w:r>
      <w:r w:rsidRPr="000461A3">
        <w:rPr>
          <w:color w:val="000000"/>
          <w:sz w:val="20"/>
          <w:szCs w:val="20"/>
        </w:rPr>
        <w:t xml:space="preserve">, but that circumstances militated against this being </w:t>
      </w:r>
      <w:r w:rsidRPr="000461A3">
        <w:rPr>
          <w:i/>
          <w:iCs/>
          <w:color w:val="000000"/>
          <w:sz w:val="20"/>
          <w:szCs w:val="20"/>
        </w:rPr>
        <w:t xml:space="preserve">achievable </w:t>
      </w:r>
      <w:r w:rsidRPr="000461A3">
        <w:rPr>
          <w:color w:val="000000"/>
          <w:sz w:val="20"/>
          <w:szCs w:val="20"/>
        </w:rPr>
        <w:t>within politically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plausible timescales, resource envelopes and ethical guidelines. In particular, more clarity at the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creation of Aimhigher about what could and could not be evaluated would have presented a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more fruitful field for subsequent research.</w:t>
      </w:r>
    </w:p>
    <w:p w:rsidR="001F6100" w:rsidRPr="000461A3" w:rsidRDefault="001F6100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How much credit does Aimhigher deserve?</w:t>
      </w: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Bearing this in m</w:t>
      </w:r>
      <w:r w:rsidR="001F6100">
        <w:rPr>
          <w:color w:val="000000"/>
          <w:sz w:val="20"/>
          <w:szCs w:val="20"/>
        </w:rPr>
        <w:t>ind, there are</w:t>
      </w:r>
      <w:r w:rsidRPr="000461A3">
        <w:rPr>
          <w:color w:val="000000"/>
          <w:sz w:val="20"/>
          <w:szCs w:val="20"/>
        </w:rPr>
        <w:t xml:space="preserve"> data suggesting, if not proving, a causal link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between Aimhigher and widened participation. A series of official nationwide studies of the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precursor to Aimhigher</w:t>
      </w:r>
      <w:r w:rsidR="001F6100">
        <w:rPr>
          <w:color w:val="000000"/>
          <w:sz w:val="20"/>
          <w:szCs w:val="20"/>
        </w:rPr>
        <w:t>,</w:t>
      </w:r>
      <w:r w:rsidRPr="000461A3">
        <w:rPr>
          <w:color w:val="000000"/>
          <w:sz w:val="20"/>
          <w:szCs w:val="20"/>
        </w:rPr>
        <w:t xml:space="preserve"> undertaken by the National Foundation for Educational Research (NFER)</w:t>
      </w:r>
      <w:r w:rsidR="001F6100">
        <w:rPr>
          <w:color w:val="000000"/>
          <w:sz w:val="20"/>
          <w:szCs w:val="20"/>
        </w:rPr>
        <w:t xml:space="preserve">, </w:t>
      </w:r>
      <w:r w:rsidRPr="000461A3">
        <w:rPr>
          <w:color w:val="000000"/>
          <w:sz w:val="20"/>
          <w:szCs w:val="20"/>
        </w:rPr>
        <w:t>suggested a modest positive correlation between participation in widening participation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activities and both school attain</w:t>
      </w:r>
      <w:r w:rsidR="001F6100">
        <w:rPr>
          <w:color w:val="000000"/>
          <w:sz w:val="20"/>
          <w:szCs w:val="20"/>
        </w:rPr>
        <w:t>ment and application rates (</w:t>
      </w:r>
      <w:proofErr w:type="spellStart"/>
      <w:r w:rsidR="001F6100">
        <w:rPr>
          <w:color w:val="000000"/>
          <w:sz w:val="20"/>
          <w:szCs w:val="20"/>
        </w:rPr>
        <w:t>eg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proofErr w:type="spellStart"/>
      <w:r w:rsidRPr="000461A3">
        <w:rPr>
          <w:color w:val="000000"/>
          <w:sz w:val="20"/>
          <w:szCs w:val="20"/>
        </w:rPr>
        <w:t>Emmerson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et al</w:t>
      </w:r>
      <w:r w:rsidRPr="000461A3">
        <w:rPr>
          <w:color w:val="000000"/>
          <w:sz w:val="20"/>
          <w:szCs w:val="20"/>
        </w:rPr>
        <w:t>, 2005; Morris</w:t>
      </w:r>
    </w:p>
    <w:p w:rsidR="00034AB9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 xml:space="preserve">and </w:t>
      </w:r>
      <w:proofErr w:type="spellStart"/>
      <w:r w:rsidRPr="000461A3">
        <w:rPr>
          <w:color w:val="000000"/>
          <w:sz w:val="20"/>
          <w:szCs w:val="20"/>
        </w:rPr>
        <w:t>Rutt</w:t>
      </w:r>
      <w:proofErr w:type="spellEnd"/>
      <w:r w:rsidRPr="000461A3">
        <w:rPr>
          <w:color w:val="000000"/>
          <w:sz w:val="20"/>
          <w:szCs w:val="20"/>
        </w:rPr>
        <w:t xml:space="preserve">, 2005; Morris, </w:t>
      </w:r>
      <w:proofErr w:type="spellStart"/>
      <w:r w:rsidRPr="000461A3">
        <w:rPr>
          <w:color w:val="000000"/>
          <w:sz w:val="20"/>
          <w:szCs w:val="20"/>
        </w:rPr>
        <w:t>Rutt</w:t>
      </w:r>
      <w:proofErr w:type="spellEnd"/>
      <w:r w:rsidRPr="000461A3">
        <w:rPr>
          <w:color w:val="000000"/>
          <w:sz w:val="20"/>
          <w:szCs w:val="20"/>
        </w:rPr>
        <w:t xml:space="preserve"> and </w:t>
      </w:r>
      <w:proofErr w:type="spellStart"/>
      <w:r w:rsidRPr="000461A3">
        <w:rPr>
          <w:color w:val="000000"/>
          <w:sz w:val="20"/>
          <w:szCs w:val="20"/>
        </w:rPr>
        <w:t>Yeshanew</w:t>
      </w:r>
      <w:proofErr w:type="spellEnd"/>
      <w:r w:rsidRPr="000461A3">
        <w:rPr>
          <w:color w:val="000000"/>
          <w:sz w:val="20"/>
          <w:szCs w:val="20"/>
        </w:rPr>
        <w:t xml:space="preserve">, 2005; Morris and </w:t>
      </w:r>
      <w:proofErr w:type="spellStart"/>
      <w:r w:rsidRPr="000461A3">
        <w:rPr>
          <w:color w:val="000000"/>
          <w:sz w:val="20"/>
          <w:szCs w:val="20"/>
        </w:rPr>
        <w:t>Rutt</w:t>
      </w:r>
      <w:proofErr w:type="spellEnd"/>
      <w:r w:rsidRPr="000461A3">
        <w:rPr>
          <w:color w:val="000000"/>
          <w:sz w:val="20"/>
          <w:szCs w:val="20"/>
        </w:rPr>
        <w:t xml:space="preserve">, 2006; Morris, </w:t>
      </w:r>
      <w:proofErr w:type="spellStart"/>
      <w:r w:rsidRPr="000461A3">
        <w:rPr>
          <w:color w:val="000000"/>
          <w:sz w:val="20"/>
          <w:szCs w:val="20"/>
        </w:rPr>
        <w:t>Rutt</w:t>
      </w:r>
      <w:proofErr w:type="spellEnd"/>
      <w:r w:rsidRPr="000461A3">
        <w:rPr>
          <w:color w:val="000000"/>
          <w:sz w:val="20"/>
          <w:szCs w:val="20"/>
        </w:rPr>
        <w:t xml:space="preserve"> and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Mehta, 2009). This was supported by national survey data from universities, colleges and </w:t>
      </w:r>
      <w:proofErr w:type="spellStart"/>
      <w:r w:rsidRPr="000461A3">
        <w:rPr>
          <w:color w:val="000000"/>
          <w:sz w:val="20"/>
          <w:szCs w:val="20"/>
        </w:rPr>
        <w:t>workbased</w:t>
      </w:r>
      <w:proofErr w:type="spellEnd"/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learning providers, who reported high levels of satisfaction with Aimhigher and a belief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that it was becoming effective at changing progression patterns (Bowers-Brown </w:t>
      </w:r>
      <w:r w:rsidRPr="000461A3">
        <w:rPr>
          <w:i/>
          <w:iCs/>
          <w:color w:val="000000"/>
          <w:sz w:val="20"/>
          <w:szCs w:val="20"/>
        </w:rPr>
        <w:t>et al</w:t>
      </w:r>
      <w:r w:rsidRPr="000461A3">
        <w:rPr>
          <w:color w:val="000000"/>
          <w:sz w:val="20"/>
          <w:szCs w:val="20"/>
        </w:rPr>
        <w:t>, 2006). An</w:t>
      </w:r>
      <w:r w:rsidR="001F6100">
        <w:rPr>
          <w:color w:val="000000"/>
          <w:sz w:val="20"/>
          <w:szCs w:val="20"/>
        </w:rPr>
        <w:t xml:space="preserve">  </w:t>
      </w:r>
      <w:r w:rsidRPr="000461A3">
        <w:rPr>
          <w:color w:val="000000"/>
          <w:sz w:val="20"/>
          <w:szCs w:val="20"/>
        </w:rPr>
        <w:t>additional report from the NFER into Aimhigher in its post-2004 form concluded that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quantitative data provided by Aimhigher partnerships was not sufficiently robust for analysis,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but provided additional qualitative analysis supporting the efficacy of the programme (Passy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and Morris, 2010).</w:t>
      </w:r>
    </w:p>
    <w:p w:rsidR="001F6100" w:rsidRPr="000461A3" w:rsidRDefault="001F6100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Default="00034AB9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Since 2004, Aimhigher area partnerships and regional offices continuously produced evidence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about the impact of the various widening participation activities and interventions. Over the</w:t>
      </w:r>
      <w:r w:rsidR="001F6100">
        <w:rPr>
          <w:color w:val="000000"/>
          <w:sz w:val="20"/>
          <w:szCs w:val="20"/>
        </w:rPr>
        <w:t xml:space="preserve"> lifetime of Aimhigher, this </w:t>
      </w:r>
      <w:r w:rsidRPr="000461A3">
        <w:rPr>
          <w:color w:val="000000"/>
          <w:sz w:val="20"/>
          <w:szCs w:val="20"/>
        </w:rPr>
        <w:t>amassed an impressive corpus of data. The end-of-life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systematic review by Moore</w:t>
      </w:r>
      <w:r w:rsidR="001F6100">
        <w:rPr>
          <w:color w:val="000000"/>
          <w:sz w:val="20"/>
          <w:szCs w:val="20"/>
        </w:rPr>
        <w:t xml:space="preserve"> and </w:t>
      </w:r>
      <w:proofErr w:type="spellStart"/>
      <w:r w:rsidR="001F6100">
        <w:rPr>
          <w:color w:val="000000"/>
          <w:sz w:val="20"/>
          <w:szCs w:val="20"/>
        </w:rPr>
        <w:t>Dunworth</w:t>
      </w:r>
      <w:proofErr w:type="spellEnd"/>
      <w:r w:rsidR="001F6100">
        <w:rPr>
          <w:color w:val="000000"/>
          <w:sz w:val="20"/>
          <w:szCs w:val="20"/>
        </w:rPr>
        <w:t xml:space="preserve"> (2011) synthesised</w:t>
      </w:r>
      <w:r w:rsidRPr="000461A3">
        <w:rPr>
          <w:color w:val="000000"/>
          <w:sz w:val="20"/>
          <w:szCs w:val="20"/>
        </w:rPr>
        <w:t xml:space="preserve"> forty-one separate localised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studies examining the impact of Aimhigher on </w:t>
      </w:r>
      <w:r w:rsidR="001F6100">
        <w:rPr>
          <w:iCs/>
          <w:color w:val="000000"/>
          <w:sz w:val="20"/>
          <w:szCs w:val="20"/>
        </w:rPr>
        <w:t>‘</w:t>
      </w:r>
      <w:r w:rsidRPr="001F6100">
        <w:rPr>
          <w:iCs/>
          <w:color w:val="000000"/>
          <w:sz w:val="20"/>
          <w:szCs w:val="20"/>
        </w:rPr>
        <w:t>the combination of factors that underpin</w:t>
      </w:r>
      <w:r w:rsidR="001F6100">
        <w:rPr>
          <w:iCs/>
          <w:color w:val="000000"/>
          <w:sz w:val="20"/>
          <w:szCs w:val="20"/>
        </w:rPr>
        <w:t xml:space="preserve"> </w:t>
      </w:r>
      <w:r w:rsidRPr="001F6100">
        <w:rPr>
          <w:iCs/>
          <w:color w:val="000000"/>
          <w:sz w:val="20"/>
          <w:szCs w:val="20"/>
        </w:rPr>
        <w:t>progression: aspirations, awareness and attainment</w:t>
      </w:r>
      <w:r w:rsidR="001F6100">
        <w:rPr>
          <w:iCs/>
          <w:color w:val="000000"/>
          <w:sz w:val="20"/>
          <w:szCs w:val="20"/>
        </w:rPr>
        <w:t>’</w:t>
      </w:r>
      <w:r w:rsidRPr="000461A3">
        <w:rPr>
          <w:i/>
          <w:iCs/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</w:t>
      </w:r>
      <w:r w:rsidR="001F6100">
        <w:rPr>
          <w:iCs/>
          <w:color w:val="000000"/>
          <w:sz w:val="20"/>
          <w:szCs w:val="20"/>
        </w:rPr>
        <w:t>p</w:t>
      </w:r>
      <w:r w:rsidR="001F6100">
        <w:rPr>
          <w:color w:val="000000"/>
          <w:sz w:val="20"/>
          <w:szCs w:val="20"/>
        </w:rPr>
        <w:t>3) and included</w:t>
      </w:r>
      <w:r w:rsidRPr="000461A3">
        <w:rPr>
          <w:color w:val="000000"/>
          <w:sz w:val="20"/>
          <w:szCs w:val="20"/>
        </w:rPr>
        <w:t xml:space="preserve"> tracking studies,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administrative data analyses, programme evaluations and teacher and pupil feedback surveys.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They conclude</w:t>
      </w:r>
      <w:r w:rsidR="001F6100">
        <w:rPr>
          <w:color w:val="000000"/>
          <w:sz w:val="20"/>
          <w:szCs w:val="20"/>
        </w:rPr>
        <w:t>d that Aimhigher activities had</w:t>
      </w:r>
      <w:r w:rsidRPr="000461A3">
        <w:rPr>
          <w:color w:val="000000"/>
          <w:sz w:val="20"/>
          <w:szCs w:val="20"/>
        </w:rPr>
        <w:t xml:space="preserve"> had a positive impact on attainment at both 16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and 18, with participating young people and schools showing markedly higher outcomes than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those not participating. Qualitative studies provided </w:t>
      </w:r>
      <w:r w:rsidR="001F6100">
        <w:rPr>
          <w:color w:val="000000"/>
          <w:sz w:val="20"/>
          <w:szCs w:val="20"/>
        </w:rPr>
        <w:t>‘</w:t>
      </w:r>
      <w:r w:rsidRPr="001F6100">
        <w:rPr>
          <w:iCs/>
          <w:color w:val="000000"/>
          <w:sz w:val="20"/>
          <w:szCs w:val="20"/>
        </w:rPr>
        <w:t>evidence from pupils and staff [that]recorded improvements in motivation, self-esteem, confidence, enthusiasm, aspirations, interest</w:t>
      </w:r>
      <w:r w:rsidR="001F6100" w:rsidRPr="001F6100">
        <w:rPr>
          <w:iCs/>
          <w:color w:val="000000"/>
          <w:sz w:val="20"/>
          <w:szCs w:val="20"/>
        </w:rPr>
        <w:t xml:space="preserve"> </w:t>
      </w:r>
      <w:r w:rsidRPr="001F6100">
        <w:rPr>
          <w:iCs/>
          <w:color w:val="000000"/>
          <w:sz w:val="20"/>
          <w:szCs w:val="20"/>
        </w:rPr>
        <w:t>in higher education, communication s</w:t>
      </w:r>
      <w:r w:rsidR="001F6100">
        <w:rPr>
          <w:iCs/>
          <w:color w:val="000000"/>
          <w:sz w:val="20"/>
          <w:szCs w:val="20"/>
        </w:rPr>
        <w:t>kills, team work and attainment’</w:t>
      </w:r>
      <w:r w:rsidRPr="001F6100">
        <w:rPr>
          <w:iCs/>
          <w:color w:val="000000"/>
          <w:sz w:val="20"/>
          <w:szCs w:val="20"/>
        </w:rPr>
        <w:t xml:space="preserve"> </w:t>
      </w:r>
      <w:r w:rsidRPr="001F6100">
        <w:rPr>
          <w:color w:val="000000"/>
          <w:sz w:val="20"/>
          <w:szCs w:val="20"/>
        </w:rPr>
        <w:t>(</w:t>
      </w:r>
      <w:r w:rsidR="001F6100">
        <w:rPr>
          <w:iCs/>
          <w:color w:val="000000"/>
          <w:sz w:val="20"/>
          <w:szCs w:val="20"/>
        </w:rPr>
        <w:t>p</w:t>
      </w:r>
      <w:r w:rsidRPr="001F6100">
        <w:rPr>
          <w:color w:val="000000"/>
          <w:sz w:val="20"/>
          <w:szCs w:val="20"/>
        </w:rPr>
        <w:t>15</w:t>
      </w:r>
      <w:r w:rsidRPr="000461A3">
        <w:rPr>
          <w:color w:val="000000"/>
          <w:sz w:val="20"/>
          <w:szCs w:val="20"/>
        </w:rPr>
        <w:t>), further noting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that </w:t>
      </w:r>
      <w:r w:rsidR="001F6100">
        <w:rPr>
          <w:color w:val="000000"/>
          <w:sz w:val="20"/>
          <w:szCs w:val="20"/>
        </w:rPr>
        <w:t>‘</w:t>
      </w:r>
      <w:r w:rsidRPr="001F6100">
        <w:rPr>
          <w:iCs/>
          <w:color w:val="000000"/>
          <w:sz w:val="20"/>
          <w:szCs w:val="20"/>
        </w:rPr>
        <w:t>Aimhigher interventions have made the most impact fo</w:t>
      </w:r>
      <w:r w:rsidR="001F6100">
        <w:rPr>
          <w:iCs/>
          <w:color w:val="000000"/>
          <w:sz w:val="20"/>
          <w:szCs w:val="20"/>
        </w:rPr>
        <w:t xml:space="preserve">r low and mid attaining schools’ </w:t>
      </w:r>
      <w:r w:rsidRPr="001F6100">
        <w:rPr>
          <w:color w:val="000000"/>
          <w:sz w:val="20"/>
          <w:szCs w:val="20"/>
        </w:rPr>
        <w:t>(</w:t>
      </w:r>
      <w:r w:rsidR="001F6100">
        <w:rPr>
          <w:color w:val="000000"/>
          <w:sz w:val="20"/>
          <w:szCs w:val="20"/>
        </w:rPr>
        <w:t>p</w:t>
      </w:r>
      <w:r w:rsidRPr="001F6100">
        <w:rPr>
          <w:color w:val="000000"/>
          <w:sz w:val="20"/>
          <w:szCs w:val="20"/>
        </w:rPr>
        <w:t>17).</w:t>
      </w:r>
    </w:p>
    <w:p w:rsidR="001F6100" w:rsidRPr="001F6100" w:rsidRDefault="001F6100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 xml:space="preserve">However, the studies cited in </w:t>
      </w:r>
      <w:smartTag w:uri="urn:schemas-microsoft-com:office:smarttags" w:element="City">
        <w:smartTag w:uri="urn:schemas-microsoft-com:office:smarttags" w:element="place">
          <w:r w:rsidRPr="000461A3">
            <w:rPr>
              <w:color w:val="000000"/>
              <w:sz w:val="20"/>
              <w:szCs w:val="20"/>
            </w:rPr>
            <w:t>Moore</w:t>
          </w:r>
        </w:smartTag>
      </w:smartTag>
      <w:r w:rsidRPr="000461A3">
        <w:rPr>
          <w:color w:val="000000"/>
          <w:sz w:val="20"/>
          <w:szCs w:val="20"/>
        </w:rPr>
        <w:t xml:space="preserve"> and </w:t>
      </w:r>
      <w:proofErr w:type="spellStart"/>
      <w:r w:rsidRPr="000461A3">
        <w:rPr>
          <w:color w:val="000000"/>
          <w:sz w:val="20"/>
          <w:szCs w:val="20"/>
        </w:rPr>
        <w:t>Dunworth</w:t>
      </w:r>
      <w:proofErr w:type="spellEnd"/>
      <w:r w:rsidRPr="000461A3">
        <w:rPr>
          <w:color w:val="000000"/>
          <w:sz w:val="20"/>
          <w:szCs w:val="20"/>
        </w:rPr>
        <w:t xml:space="preserve"> (2011) suffer from many of the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methodological challenges outlined above. In particular, the concepts of ‘participant’ and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‘participation’ are often ill-defined and there is generally an absence of control groups. Also, for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 most part, the studies reviewed are small-scale, highly localised and/or often based heavily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on subjective feedback from teachers and young people.</w:t>
      </w:r>
    </w:p>
    <w:p w:rsidR="001F6100" w:rsidRPr="000461A3" w:rsidRDefault="001F6100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The extent to which this type of evidence is meaningful has been the subject of debate for the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last fifteen years and a full exploration of this lies outside the scope of this paper. On the one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hand, some argue that robust quantitative methods are needed to establish causal links</w:t>
      </w:r>
      <w:r w:rsidR="001F6100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(colloquially, ‘what w</w:t>
      </w:r>
      <w:r w:rsidR="001F6100">
        <w:rPr>
          <w:color w:val="000000"/>
          <w:sz w:val="20"/>
          <w:szCs w:val="20"/>
        </w:rPr>
        <w:t>orks’) in a scientific way (</w:t>
      </w:r>
      <w:proofErr w:type="spellStart"/>
      <w:r w:rsidR="001F6100">
        <w:rPr>
          <w:color w:val="000000"/>
          <w:sz w:val="20"/>
          <w:szCs w:val="20"/>
        </w:rPr>
        <w:t>eg</w:t>
      </w:r>
      <w:proofErr w:type="spellEnd"/>
      <w:r w:rsidR="001F6100">
        <w:rPr>
          <w:color w:val="000000"/>
          <w:sz w:val="20"/>
          <w:szCs w:val="20"/>
        </w:rPr>
        <w:t xml:space="preserve"> </w:t>
      </w:r>
      <w:proofErr w:type="spellStart"/>
      <w:r w:rsidRPr="000461A3">
        <w:rPr>
          <w:color w:val="000000"/>
          <w:sz w:val="20"/>
          <w:szCs w:val="20"/>
        </w:rPr>
        <w:t>Hillage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>et al</w:t>
      </w:r>
      <w:r w:rsidRPr="000461A3">
        <w:rPr>
          <w:color w:val="000000"/>
          <w:sz w:val="20"/>
          <w:szCs w:val="20"/>
        </w:rPr>
        <w:t>, 1998; Hargreaves, 1999). Others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respond by asserting that such studies can only provide a partial or misleading picture,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especially where they are poorly specified or underestimate the complexity of the field, arguing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instead for a continuing role for qualitative studies, practitioner reflexivity and systematic</w:t>
      </w:r>
      <w:r w:rsidR="00A1173B">
        <w:rPr>
          <w:color w:val="000000"/>
          <w:sz w:val="20"/>
          <w:szCs w:val="20"/>
        </w:rPr>
        <w:t xml:space="preserve"> reviews (</w:t>
      </w:r>
      <w:proofErr w:type="spellStart"/>
      <w:r w:rsidR="00A1173B">
        <w:rPr>
          <w:color w:val="000000"/>
          <w:sz w:val="20"/>
          <w:szCs w:val="20"/>
        </w:rPr>
        <w:t>e</w:t>
      </w:r>
      <w:r w:rsidRPr="000461A3">
        <w:rPr>
          <w:color w:val="000000"/>
          <w:sz w:val="20"/>
          <w:szCs w:val="20"/>
        </w:rPr>
        <w:t>g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proofErr w:type="spellStart"/>
      <w:r w:rsidRPr="000461A3">
        <w:rPr>
          <w:color w:val="000000"/>
          <w:sz w:val="20"/>
          <w:szCs w:val="20"/>
        </w:rPr>
        <w:t>Hodkinson</w:t>
      </w:r>
      <w:proofErr w:type="spellEnd"/>
      <w:r w:rsidRPr="000461A3">
        <w:rPr>
          <w:color w:val="000000"/>
          <w:sz w:val="20"/>
          <w:szCs w:val="20"/>
        </w:rPr>
        <w:t xml:space="preserve">, 2004; Lather, 2004; </w:t>
      </w:r>
      <w:proofErr w:type="spellStart"/>
      <w:r w:rsidRPr="00A46BBE">
        <w:rPr>
          <w:sz w:val="20"/>
          <w:szCs w:val="20"/>
        </w:rPr>
        <w:t>Oancea</w:t>
      </w:r>
      <w:proofErr w:type="spellEnd"/>
      <w:r w:rsidR="00A46BBE">
        <w:rPr>
          <w:color w:val="FF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and </w:t>
      </w:r>
      <w:proofErr w:type="spellStart"/>
      <w:r w:rsidRPr="000461A3">
        <w:rPr>
          <w:color w:val="000000"/>
          <w:sz w:val="20"/>
          <w:szCs w:val="20"/>
        </w:rPr>
        <w:t>Pring</w:t>
      </w:r>
      <w:proofErr w:type="spellEnd"/>
      <w:r w:rsidRPr="000461A3">
        <w:rPr>
          <w:color w:val="000000"/>
          <w:sz w:val="20"/>
          <w:szCs w:val="20"/>
        </w:rPr>
        <w:t>, 2008). With specific reference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to widening participation, </w:t>
      </w:r>
      <w:proofErr w:type="spellStart"/>
      <w:r w:rsidRPr="00A46BBE">
        <w:rPr>
          <w:sz w:val="20"/>
          <w:szCs w:val="20"/>
        </w:rPr>
        <w:t>Gorard</w:t>
      </w:r>
      <w:proofErr w:type="spellEnd"/>
      <w:r w:rsidRPr="00A46BBE">
        <w:rPr>
          <w:sz w:val="20"/>
          <w:szCs w:val="20"/>
        </w:rPr>
        <w:t xml:space="preserve"> </w:t>
      </w:r>
      <w:r w:rsidRPr="00A46BBE">
        <w:rPr>
          <w:i/>
          <w:iCs/>
          <w:sz w:val="20"/>
          <w:szCs w:val="20"/>
        </w:rPr>
        <w:t xml:space="preserve">et al </w:t>
      </w:r>
      <w:r w:rsidRPr="00A46BBE">
        <w:rPr>
          <w:sz w:val="20"/>
          <w:szCs w:val="20"/>
        </w:rPr>
        <w:t>(2006)</w:t>
      </w:r>
      <w:r w:rsidR="00A1173B">
        <w:rPr>
          <w:color w:val="000000"/>
          <w:sz w:val="20"/>
          <w:szCs w:val="20"/>
        </w:rPr>
        <w:t xml:space="preserve"> were able </w:t>
      </w:r>
      <w:r w:rsidRPr="000461A3">
        <w:rPr>
          <w:color w:val="000000"/>
          <w:sz w:val="20"/>
          <w:szCs w:val="20"/>
        </w:rPr>
        <w:t>shrilly</w:t>
      </w:r>
      <w:r w:rsidR="00A1173B">
        <w:rPr>
          <w:color w:val="000000"/>
          <w:sz w:val="20"/>
          <w:szCs w:val="20"/>
        </w:rPr>
        <w:t xml:space="preserve"> to</w:t>
      </w:r>
      <w:r w:rsidRPr="000461A3">
        <w:rPr>
          <w:color w:val="000000"/>
          <w:sz w:val="20"/>
          <w:szCs w:val="20"/>
        </w:rPr>
        <w:t xml:space="preserve"> dismiss numerous studies in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</w:t>
      </w:r>
      <w:r w:rsidR="00A1173B">
        <w:rPr>
          <w:color w:val="000000"/>
          <w:sz w:val="20"/>
          <w:szCs w:val="20"/>
        </w:rPr>
        <w:t>e early years of Aimhigher as</w:t>
      </w:r>
      <w:r w:rsidRPr="000461A3">
        <w:rPr>
          <w:color w:val="000000"/>
          <w:sz w:val="20"/>
          <w:szCs w:val="20"/>
        </w:rPr>
        <w:t xml:space="preserve"> unscientific and invalid, lacking clear methodology and failing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to pr</w:t>
      </w:r>
      <w:r w:rsidR="00A1173B">
        <w:rPr>
          <w:color w:val="000000"/>
          <w:sz w:val="20"/>
          <w:szCs w:val="20"/>
        </w:rPr>
        <w:t xml:space="preserve">obe causality. In doing so, </w:t>
      </w:r>
      <w:proofErr w:type="spellStart"/>
      <w:r w:rsidR="00A1173B">
        <w:rPr>
          <w:color w:val="000000"/>
          <w:sz w:val="20"/>
          <w:szCs w:val="20"/>
        </w:rPr>
        <w:t>Gorard</w:t>
      </w:r>
      <w:proofErr w:type="spellEnd"/>
      <w:r w:rsidR="00A1173B">
        <w:rPr>
          <w:color w:val="000000"/>
          <w:sz w:val="20"/>
          <w:szCs w:val="20"/>
        </w:rPr>
        <w:t xml:space="preserve"> </w:t>
      </w:r>
      <w:r w:rsidR="00A1173B">
        <w:rPr>
          <w:i/>
          <w:color w:val="000000"/>
          <w:sz w:val="20"/>
          <w:szCs w:val="20"/>
        </w:rPr>
        <w:t>et al</w:t>
      </w:r>
      <w:r w:rsidRPr="000461A3">
        <w:rPr>
          <w:color w:val="000000"/>
          <w:sz w:val="20"/>
          <w:szCs w:val="20"/>
        </w:rPr>
        <w:t xml:space="preserve"> sought to lay out a future research agenda for Aimhigher –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one that has barely materialised. However, Doyle and </w:t>
      </w:r>
      <w:smartTag w:uri="urn:schemas-microsoft-com:office:smarttags" w:element="City">
        <w:smartTag w:uri="urn:schemas-microsoft-com:office:smarttags" w:element="place">
          <w:r w:rsidRPr="000461A3">
            <w:rPr>
              <w:color w:val="000000"/>
              <w:sz w:val="20"/>
              <w:szCs w:val="20"/>
            </w:rPr>
            <w:t>Griffin</w:t>
          </w:r>
        </w:smartTag>
      </w:smartTag>
      <w:r w:rsidRPr="000461A3">
        <w:rPr>
          <w:color w:val="000000"/>
          <w:sz w:val="20"/>
          <w:szCs w:val="20"/>
        </w:rPr>
        <w:t xml:space="preserve"> (2012) provide a strong critique of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this reductionist epistemology, arguing that it respects neither the complexities of widening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participation nor the professionalism of practitioners working within it.</w:t>
      </w:r>
    </w:p>
    <w:p w:rsidR="001F6100" w:rsidRPr="000461A3" w:rsidRDefault="001F6100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 xml:space="preserve">In what appears to be the only peer-reviewed study that begins to approach </w:t>
      </w:r>
      <w:r w:rsidR="00A1173B">
        <w:rPr>
          <w:color w:val="000000"/>
          <w:sz w:val="20"/>
          <w:szCs w:val="20"/>
        </w:rPr>
        <w:t xml:space="preserve">the </w:t>
      </w:r>
      <w:r w:rsidRPr="000461A3">
        <w:rPr>
          <w:color w:val="000000"/>
          <w:sz w:val="20"/>
          <w:szCs w:val="20"/>
        </w:rPr>
        <w:t>exacting standards</w:t>
      </w:r>
      <w:r w:rsidR="00A1173B">
        <w:rPr>
          <w:color w:val="000000"/>
          <w:sz w:val="20"/>
          <w:szCs w:val="20"/>
        </w:rPr>
        <w:t xml:space="preserve"> of </w:t>
      </w:r>
      <w:proofErr w:type="spellStart"/>
      <w:r w:rsidR="00A1173B" w:rsidRPr="000461A3">
        <w:rPr>
          <w:color w:val="000000"/>
          <w:sz w:val="20"/>
          <w:szCs w:val="20"/>
        </w:rPr>
        <w:t>Gorard</w:t>
      </w:r>
      <w:proofErr w:type="spellEnd"/>
      <w:r w:rsidR="00A1173B" w:rsidRPr="000461A3">
        <w:rPr>
          <w:color w:val="000000"/>
          <w:sz w:val="20"/>
          <w:szCs w:val="20"/>
        </w:rPr>
        <w:t xml:space="preserve"> </w:t>
      </w:r>
      <w:r w:rsidR="00A1173B" w:rsidRPr="000461A3">
        <w:rPr>
          <w:i/>
          <w:iCs/>
          <w:color w:val="000000"/>
          <w:sz w:val="20"/>
          <w:szCs w:val="20"/>
        </w:rPr>
        <w:t>et al</w:t>
      </w:r>
      <w:r w:rsidRPr="000461A3">
        <w:rPr>
          <w:color w:val="000000"/>
          <w:sz w:val="20"/>
          <w:szCs w:val="20"/>
        </w:rPr>
        <w:t xml:space="preserve">, </w:t>
      </w:r>
      <w:proofErr w:type="spellStart"/>
      <w:r w:rsidRPr="000461A3">
        <w:rPr>
          <w:color w:val="000000"/>
          <w:sz w:val="20"/>
          <w:szCs w:val="20"/>
        </w:rPr>
        <w:t>Chilosi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 xml:space="preserve">et al </w:t>
      </w:r>
      <w:r w:rsidR="00A1173B">
        <w:rPr>
          <w:color w:val="000000"/>
          <w:sz w:val="20"/>
          <w:szCs w:val="20"/>
        </w:rPr>
        <w:t>(2010) fou</w:t>
      </w:r>
      <w:r w:rsidRPr="000461A3">
        <w:rPr>
          <w:color w:val="000000"/>
          <w:sz w:val="20"/>
          <w:szCs w:val="20"/>
        </w:rPr>
        <w:t>nd that involvement in a ‘high-intensity’ Aimhigher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activity led to a 4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increase in the likelihood of a young person applying to university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(with a similar improvement in attainment at 16), although the research design was beset with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shortcomings; some acknowledged, but others not. In a quantit</w:t>
      </w:r>
      <w:r w:rsidR="00A1173B">
        <w:rPr>
          <w:color w:val="000000"/>
          <w:sz w:val="20"/>
          <w:szCs w:val="20"/>
        </w:rPr>
        <w:t xml:space="preserve">ative study, HEFCE (2010b) found </w:t>
      </w:r>
      <w:r w:rsidRPr="000461A3">
        <w:rPr>
          <w:color w:val="000000"/>
          <w:sz w:val="20"/>
          <w:szCs w:val="20"/>
        </w:rPr>
        <w:t>that participants in Aimhigher summer schools achieved significantly better in their GCSEs and</w:t>
      </w:r>
      <w:r w:rsidR="00A1173B">
        <w:rPr>
          <w:color w:val="000000"/>
          <w:sz w:val="20"/>
          <w:szCs w:val="20"/>
        </w:rPr>
        <w:t xml:space="preserve"> were more likely to progress </w:t>
      </w:r>
      <w:r w:rsidRPr="000461A3">
        <w:rPr>
          <w:color w:val="000000"/>
          <w:sz w:val="20"/>
          <w:szCs w:val="20"/>
        </w:rPr>
        <w:t>to post-compulsory study and university than similar peers.</w:t>
      </w:r>
    </w:p>
    <w:p w:rsidR="00A1173B" w:rsidRPr="000461A3" w:rsidRDefault="00A1173B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lastRenderedPageBreak/>
        <w:t>In the rush to discover ‘what works’, it is easy to forget that the impact of Aimhigher may be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slow-burning, additive, counterintuitive or even perverse (McConnell, 2010). A ‘stimulus</w:t>
      </w:r>
      <w:r w:rsidR="00A1173B">
        <w:rPr>
          <w:color w:val="000000"/>
          <w:sz w:val="20"/>
          <w:szCs w:val="20"/>
        </w:rPr>
        <w:t>-</w:t>
      </w:r>
      <w:r w:rsidRPr="000461A3">
        <w:rPr>
          <w:color w:val="000000"/>
          <w:sz w:val="20"/>
          <w:szCs w:val="20"/>
        </w:rPr>
        <w:t>response’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model of efficacy only captures a subset of the value of Aimhigher in relation to public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expenditure. The immediate impact of an Aimhigher intervention may actually be to discourage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 young perso</w:t>
      </w:r>
      <w:r w:rsidR="00A1173B">
        <w:rPr>
          <w:color w:val="000000"/>
          <w:sz w:val="20"/>
          <w:szCs w:val="20"/>
        </w:rPr>
        <w:t>n from making an application (</w:t>
      </w:r>
      <w:proofErr w:type="spellStart"/>
      <w:r w:rsidR="00A1173B">
        <w:rPr>
          <w:color w:val="000000"/>
          <w:sz w:val="20"/>
          <w:szCs w:val="20"/>
        </w:rPr>
        <w:t>e</w:t>
      </w:r>
      <w:r w:rsidRPr="000461A3">
        <w:rPr>
          <w:color w:val="000000"/>
          <w:sz w:val="20"/>
          <w:szCs w:val="20"/>
        </w:rPr>
        <w:t>g</w:t>
      </w:r>
      <w:proofErr w:type="spellEnd"/>
      <w:r w:rsidRPr="000461A3">
        <w:rPr>
          <w:color w:val="000000"/>
          <w:sz w:val="20"/>
          <w:szCs w:val="20"/>
        </w:rPr>
        <w:t xml:space="preserve"> by getting them to consider their career path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more carefully), with the true positive effect not manif</w:t>
      </w:r>
      <w:r w:rsidR="00A1173B">
        <w:rPr>
          <w:color w:val="000000"/>
          <w:sz w:val="20"/>
          <w:szCs w:val="20"/>
        </w:rPr>
        <w:t>esting itself for many years (</w:t>
      </w:r>
      <w:proofErr w:type="spellStart"/>
      <w:r w:rsidR="00A1173B">
        <w:rPr>
          <w:color w:val="000000"/>
          <w:sz w:val="20"/>
          <w:szCs w:val="20"/>
        </w:rPr>
        <w:t>e</w:t>
      </w:r>
      <w:r w:rsidRPr="000461A3">
        <w:rPr>
          <w:color w:val="000000"/>
          <w:sz w:val="20"/>
          <w:szCs w:val="20"/>
        </w:rPr>
        <w:t>g</w:t>
      </w:r>
      <w:proofErr w:type="spellEnd"/>
      <w:r w:rsidRPr="000461A3">
        <w:rPr>
          <w:color w:val="000000"/>
          <w:sz w:val="20"/>
          <w:szCs w:val="20"/>
        </w:rPr>
        <w:t xml:space="preserve"> by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making a more informed application for a path that suits them better). There is also a wider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societal value in the long-term working relationships between schools and universities that were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seeded initially by collaboration on Aimhigher activities (Doyle and </w:t>
      </w:r>
      <w:smartTag w:uri="urn:schemas-microsoft-com:office:smarttags" w:element="City">
        <w:smartTag w:uri="urn:schemas-microsoft-com:office:smarttags" w:element="place">
          <w:r w:rsidRPr="000461A3">
            <w:rPr>
              <w:color w:val="000000"/>
              <w:sz w:val="20"/>
              <w:szCs w:val="20"/>
            </w:rPr>
            <w:t>Griffin</w:t>
          </w:r>
        </w:smartTag>
      </w:smartTag>
      <w:r w:rsidRPr="000461A3">
        <w:rPr>
          <w:color w:val="000000"/>
          <w:sz w:val="20"/>
          <w:szCs w:val="20"/>
        </w:rPr>
        <w:t>, 2012). This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integration between secondary (and further) and higher education was previously missing for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many schools and colleges, especially those serving poorer neighbourhoods and with lower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attainment profiles that have not historically been lucrative for recruitment. Through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Aimhigher, every school and college in the country was effectively offered some direct link to a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university – many for the first time.</w:t>
      </w:r>
    </w:p>
    <w:p w:rsidR="001F6100" w:rsidRDefault="001F6100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It is instructive to remember just how complex is the maelstrom of a young person’s decision</w:t>
      </w:r>
      <w:r w:rsidR="00A46BB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making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processes around education, training and work. Aimhigher is but one strand in the warp</w:t>
      </w:r>
      <w:r w:rsidR="00A1173B">
        <w:rPr>
          <w:color w:val="000000"/>
          <w:sz w:val="20"/>
          <w:szCs w:val="20"/>
        </w:rPr>
        <w:t xml:space="preserve"> and weft of real </w:t>
      </w:r>
      <w:r w:rsidRPr="000461A3">
        <w:rPr>
          <w:color w:val="000000"/>
          <w:sz w:val="20"/>
          <w:szCs w:val="20"/>
        </w:rPr>
        <w:t>life, with educational attainment, peer pressure, family attitudes, geography,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demography, social class, school ethos and a score of other influences all being part of the rich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fabric. To expect to find a direct causal relationship between Aimhigher’s activities and entry to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higher education appears somewhat idealistic and simplistic.</w:t>
      </w:r>
    </w:p>
    <w:p w:rsidR="001F6100" w:rsidRDefault="001F6100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1F6100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Ultimately, there appears to be no published study to date that provides robust evidence of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such a link; equally, there are none that have failed to find one. </w:t>
      </w:r>
      <w:proofErr w:type="spellStart"/>
      <w:r w:rsidRPr="000461A3">
        <w:rPr>
          <w:color w:val="000000"/>
          <w:sz w:val="20"/>
          <w:szCs w:val="20"/>
        </w:rPr>
        <w:t>Chilosi</w:t>
      </w:r>
      <w:proofErr w:type="spellEnd"/>
      <w:r w:rsidRPr="000461A3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 xml:space="preserve">et </w:t>
      </w:r>
      <w:proofErr w:type="spellStart"/>
      <w:r w:rsidRPr="000461A3">
        <w:rPr>
          <w:i/>
          <w:iCs/>
          <w:color w:val="000000"/>
          <w:sz w:val="20"/>
          <w:szCs w:val="20"/>
        </w:rPr>
        <w:t>al</w:t>
      </w:r>
      <w:r w:rsidRPr="000461A3">
        <w:rPr>
          <w:color w:val="000000"/>
          <w:sz w:val="20"/>
          <w:szCs w:val="20"/>
        </w:rPr>
        <w:t>’s</w:t>
      </w:r>
      <w:proofErr w:type="spellEnd"/>
      <w:r w:rsidRPr="000461A3">
        <w:rPr>
          <w:color w:val="000000"/>
          <w:sz w:val="20"/>
          <w:szCs w:val="20"/>
        </w:rPr>
        <w:t xml:space="preserve"> (2010) limited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work and HEFCE’s (2010b) focused study suggest a positive causal role for Aimhigher, and this is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supported by a strong compelling accumulation of local, subjective and qualitative evidence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which sees young people describing improved school results, raised aspirations and intentions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to apply to higher education as a result of Aimhigher interventions, echoed by the professionals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working with them (</w:t>
      </w:r>
      <w:proofErr w:type="spellStart"/>
      <w:r w:rsidRPr="000461A3">
        <w:rPr>
          <w:color w:val="000000"/>
          <w:sz w:val="20"/>
          <w:szCs w:val="20"/>
        </w:rPr>
        <w:t>Hatt</w:t>
      </w:r>
      <w:proofErr w:type="spellEnd"/>
      <w:r w:rsidRPr="000461A3">
        <w:rPr>
          <w:color w:val="000000"/>
          <w:sz w:val="20"/>
          <w:szCs w:val="20"/>
        </w:rPr>
        <w:t xml:space="preserve">, Baxter and Tate, 2008; Passy and Morris, 2010; Moore and </w:t>
      </w:r>
      <w:proofErr w:type="spellStart"/>
      <w:r w:rsidRPr="000461A3">
        <w:rPr>
          <w:color w:val="000000"/>
          <w:sz w:val="20"/>
          <w:szCs w:val="20"/>
        </w:rPr>
        <w:t>Dunworth</w:t>
      </w:r>
      <w:proofErr w:type="spellEnd"/>
      <w:r w:rsidRPr="000461A3">
        <w:rPr>
          <w:color w:val="000000"/>
          <w:sz w:val="20"/>
          <w:szCs w:val="20"/>
        </w:rPr>
        <w:t>,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2011). It would appear fair to assert, therefore, that such evidence as does exists implies that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Aimhigher was causal to some degree in the application and admission patterns described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earlier in this paper.</w:t>
      </w:r>
    </w:p>
    <w:p w:rsidR="00A1173B" w:rsidRPr="000461A3" w:rsidRDefault="00A1173B" w:rsidP="00A1173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Aims, goals, measures and indicators</w:t>
      </w: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 xml:space="preserve">Returning to </w:t>
      </w:r>
      <w:proofErr w:type="spellStart"/>
      <w:r w:rsidRPr="000461A3">
        <w:rPr>
          <w:color w:val="000000"/>
          <w:sz w:val="20"/>
          <w:szCs w:val="20"/>
        </w:rPr>
        <w:t>Spicker’s</w:t>
      </w:r>
      <w:proofErr w:type="spellEnd"/>
      <w:r w:rsidRPr="000461A3">
        <w:rPr>
          <w:color w:val="000000"/>
          <w:sz w:val="20"/>
          <w:szCs w:val="20"/>
        </w:rPr>
        <w:t xml:space="preserve"> (2006) definition of good measures and indicators in the context of policy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analysis cited above, it is difficult to see how FYPSEC met either definition. While it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demonstrably had some validity in measuring social class and the patterns in higher education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participation associated with it, the large proportion of missing data and its inability to capture</w:t>
      </w:r>
      <w:r w:rsidR="00A1173B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data from the most deprived households undermined its accuracy and precision. However,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even its validity was limited by questions over whether the eight-point NS-SEC scale based on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parental occupation data was really capturing the important components of social class as they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relate to educational decision-making and whether it was hiding as much as it was illuminating.</w:t>
      </w:r>
    </w:p>
    <w:p w:rsidR="00A1173B" w:rsidRDefault="00A1173B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Pr="000461A3" w:rsidRDefault="00034AB9" w:rsidP="00A1173B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FYPSEC’s credentials as an indicator are similarly problematic. While the data was readily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available through its systematic collection by HESA, broadly consistent over time and robust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within its own terms, the main issue with conceptualising FYPSEC as an indicator is whether it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was really associated with the operation of Aimhigher and its policy goals. As has been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demonstrated using textual analysis of the key policy documents, the outcome on which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Aimhigher was asked to focus its efforts moved over time from aspirations and applications for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higher education to attainment at school. This latter policy goal is very distant in meaning from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FYPSEC’s construction around university entrants, especially given the excess demand noted in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recent years. It is further undermined by the built-in time delay between Aimhigher activities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being delivered to 11 to 16 year olds and their decision of whether to participate in higher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education at 18 – as well as by the two year delay in publication.</w:t>
      </w:r>
    </w:p>
    <w:p w:rsidR="00A1173B" w:rsidRDefault="00A1173B" w:rsidP="00A1173B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A1173B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Returning also to McConnell’s (2010) definition of ‘programme success’, the reviewed evidence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from practitioners and stakeholders suggests that Aimhigher’s implementation provided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respected outputs that accorded with the values of the sector (i.e. complied with the policy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domain criteria). It met objectives in terms of providing a nationwide menu of activities that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were connected to the policy aim and with significant effort expended to target this at the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appropriate groups. Assessing outcomes and benefits to the target group were more vexed.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Evaluative data suggests positive associations between Aimhigher (and predecessor) activities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and the various different types of policy goal on which the organisation was asked to focus,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including attainment, educational and occupational aspirations and the predisposition of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individuals to apply to higher education. The extent to which these were manifesting in real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changes in attitude or behaviour remains moot, not least as no compelling assessment of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deadweight (activities focused on people who would have entered higher education) and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leakage (activities focused on people outside the target groups) have been forthcoming.</w:t>
      </w:r>
    </w:p>
    <w:p w:rsidR="00A1173B" w:rsidRDefault="00A1173B" w:rsidP="00A1173B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Default="00034AB9" w:rsidP="00353BC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Fundamentally, the failure of FYSPEC to act as either a good measure or a good indicator has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meant that the success of Aimhigher in terms of outcomes and benefits was contested and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controversial from the outset. As a result, I suggest that Aimhigher most closely meets the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criteria for McConnell’s category of a ‘precarious’ success</w:t>
      </w:r>
      <w:r w:rsidR="00353BCE">
        <w:rPr>
          <w:color w:val="000000"/>
          <w:sz w:val="20"/>
          <w:szCs w:val="20"/>
        </w:rPr>
        <w:t>. M</w:t>
      </w:r>
      <w:r w:rsidRPr="000461A3">
        <w:rPr>
          <w:color w:val="000000"/>
          <w:sz w:val="20"/>
          <w:szCs w:val="20"/>
        </w:rPr>
        <w:t>ore compelling quantitative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evidence about outcomes and benefits – perhaps on attainment or applications – could well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have transformed this into a ‘conflicted’ or even a ‘durable’ success (</w:t>
      </w:r>
      <w:r w:rsidR="00353BCE">
        <w:rPr>
          <w:iCs/>
          <w:color w:val="000000"/>
          <w:sz w:val="20"/>
          <w:szCs w:val="20"/>
        </w:rPr>
        <w:t>McConnell, 2010:</w:t>
      </w:r>
      <w:r w:rsidRPr="000461A3">
        <w:rPr>
          <w:color w:val="000000"/>
          <w:sz w:val="20"/>
          <w:szCs w:val="20"/>
        </w:rPr>
        <w:t>67). All in all, it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remains </w:t>
      </w:r>
      <w:r w:rsidRPr="000461A3">
        <w:rPr>
          <w:color w:val="000000"/>
          <w:sz w:val="20"/>
          <w:szCs w:val="20"/>
        </w:rPr>
        <w:lastRenderedPageBreak/>
        <w:t>likely that Aimhigher was making a useful contribution to the government’s policy aim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of widening participation,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even if the specific policy goals remained unclear, mutable through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time and poorly attached to the statistic designed to evaluate them.</w:t>
      </w:r>
    </w:p>
    <w:p w:rsidR="00353BCE" w:rsidRPr="000461A3" w:rsidRDefault="00353BCE" w:rsidP="00353BC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461A3">
        <w:rPr>
          <w:b/>
          <w:bCs/>
          <w:color w:val="000000"/>
          <w:sz w:val="20"/>
          <w:szCs w:val="20"/>
        </w:rPr>
        <w:t>Conclusions</w:t>
      </w:r>
    </w:p>
    <w:p w:rsidR="00034AB9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In this paper, I have argued that FYPSEC was the wrong statistic to evaluate the success of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Aimhigher. It was based on admissions (over which Aimhigher had no control) and not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attainment, aspirations or applications. It was ill-conceived, based on a flawed data collection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model which generated unreliable data about a concept which was of debatable relevance to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educational progression. It was late arriving, only being adopted by government three years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after the creation of Aimhigher and with little consultation with practitioners – and then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reported </w:t>
      </w:r>
      <w:r w:rsidR="00353BCE">
        <w:rPr>
          <w:color w:val="000000"/>
          <w:sz w:val="20"/>
          <w:szCs w:val="20"/>
        </w:rPr>
        <w:t xml:space="preserve">data that were two years out of </w:t>
      </w:r>
      <w:r w:rsidRPr="000461A3">
        <w:rPr>
          <w:color w:val="000000"/>
          <w:sz w:val="20"/>
          <w:szCs w:val="20"/>
        </w:rPr>
        <w:t>date. It explicitly excluded the benefit-dependent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households at the very bottom of the social ladder, which were those most keenly targeted by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Aimhigher activities. It took no account of the built-in delay in success of those Aimhigher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activities that targeted young people at the bottom end of the age range, who might take five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years or more to arrive in higher education. It didn’t consider the wider positive impacts on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student retention and degree outcomes or on valuable school-university ties. It was also,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unfortunately, the outcome measure that showed the most modest progress on widening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participation among the range of possible measures and indicators that might have been used.</w:t>
      </w:r>
    </w:p>
    <w:p w:rsidR="00353BCE" w:rsidRPr="000461A3" w:rsidRDefault="00353BCE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34AB9" w:rsidRPr="000461A3" w:rsidRDefault="00034AB9" w:rsidP="00353BC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 have also argued that this was partly, at least, born out of the government’s confusion over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whose participation was to be widened and a failure to translate the policy aim into coherent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and </w:t>
      </w:r>
      <w:proofErr w:type="spellStart"/>
      <w:r w:rsidRPr="000461A3">
        <w:rPr>
          <w:color w:val="000000"/>
          <w:sz w:val="20"/>
          <w:szCs w:val="20"/>
        </w:rPr>
        <w:t>operationalisable</w:t>
      </w:r>
      <w:proofErr w:type="spellEnd"/>
      <w:r w:rsidRPr="000461A3">
        <w:rPr>
          <w:color w:val="000000"/>
          <w:sz w:val="20"/>
          <w:szCs w:val="20"/>
        </w:rPr>
        <w:t xml:space="preserve"> policy goals. Policy documents went from dotting around between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definitions in the early 2000s</w:t>
      </w:r>
      <w:r w:rsidR="00353BCE">
        <w:rPr>
          <w:color w:val="000000"/>
          <w:sz w:val="20"/>
          <w:szCs w:val="20"/>
        </w:rPr>
        <w:t>,</w:t>
      </w:r>
      <w:r w:rsidRPr="000461A3">
        <w:rPr>
          <w:color w:val="000000"/>
          <w:sz w:val="20"/>
          <w:szCs w:val="20"/>
        </w:rPr>
        <w:t xml:space="preserve"> to an all-inclusive menu at the creation of Aimhigher</w:t>
      </w:r>
      <w:r w:rsidR="00353BCE">
        <w:rPr>
          <w:color w:val="000000"/>
          <w:sz w:val="20"/>
          <w:szCs w:val="20"/>
        </w:rPr>
        <w:t>,</w:t>
      </w:r>
      <w:r w:rsidRPr="000461A3">
        <w:rPr>
          <w:color w:val="000000"/>
          <w:sz w:val="20"/>
          <w:szCs w:val="20"/>
        </w:rPr>
        <w:t xml:space="preserve"> to a</w:t>
      </w:r>
      <w:r w:rsidR="00353BCE">
        <w:rPr>
          <w:color w:val="000000"/>
          <w:sz w:val="20"/>
          <w:szCs w:val="20"/>
        </w:rPr>
        <w:t>n</w:t>
      </w:r>
      <w:r w:rsidRPr="000461A3">
        <w:rPr>
          <w:color w:val="000000"/>
          <w:sz w:val="20"/>
          <w:szCs w:val="20"/>
        </w:rPr>
        <w:t xml:space="preserve"> </w:t>
      </w:r>
      <w:proofErr w:type="spellStart"/>
      <w:r w:rsidRPr="000461A3">
        <w:rPr>
          <w:color w:val="000000"/>
          <w:sz w:val="20"/>
          <w:szCs w:val="20"/>
        </w:rPr>
        <w:t>ultrafunctionalist</w:t>
      </w:r>
      <w:proofErr w:type="spellEnd"/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area-based approach which did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n</w:t>
      </w:r>
      <w:r w:rsidR="00353BCE">
        <w:rPr>
          <w:color w:val="000000"/>
          <w:sz w:val="20"/>
          <w:szCs w:val="20"/>
        </w:rPr>
        <w:t>o</w:t>
      </w:r>
      <w:r w:rsidRPr="000461A3">
        <w:rPr>
          <w:color w:val="000000"/>
          <w:sz w:val="20"/>
          <w:szCs w:val="20"/>
        </w:rPr>
        <w:t>t match the statistic adopted to measure it.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There was a clear failure in not establishing early on what the targeted group(s) was/were, the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nature of the outcome(s) desired and how this/these were to be measured. These concepts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evolved organically over time and generally </w:t>
      </w:r>
      <w:r w:rsidR="00353BCE">
        <w:rPr>
          <w:color w:val="000000"/>
          <w:sz w:val="20"/>
          <w:szCs w:val="20"/>
        </w:rPr>
        <w:t>without involving</w:t>
      </w:r>
      <w:r w:rsidRPr="000461A3">
        <w:rPr>
          <w:color w:val="000000"/>
          <w:sz w:val="20"/>
          <w:szCs w:val="20"/>
        </w:rPr>
        <w:t xml:space="preserve"> Aimhigher and other widening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participation practitioners. It </w:t>
      </w:r>
      <w:r w:rsidR="00353BCE">
        <w:rPr>
          <w:color w:val="000000"/>
          <w:sz w:val="20"/>
          <w:szCs w:val="20"/>
        </w:rPr>
        <w:t xml:space="preserve">is difficult to conceive a less </w:t>
      </w:r>
      <w:r w:rsidRPr="000461A3">
        <w:rPr>
          <w:color w:val="000000"/>
          <w:sz w:val="20"/>
          <w:szCs w:val="20"/>
        </w:rPr>
        <w:t>auspicious genesis for a major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national policy thrust costing nearly £1 billion. Nevertheless, indicators other than FYPSEC have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shown a 62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increase in applications (Figure 1) and a 32 </w:t>
      </w:r>
      <w:r w:rsidR="00DC04F3">
        <w:rPr>
          <w:color w:val="000000"/>
          <w:sz w:val="20"/>
          <w:szCs w:val="20"/>
        </w:rPr>
        <w:t>per cent</w:t>
      </w:r>
      <w:r w:rsidRPr="000461A3">
        <w:rPr>
          <w:color w:val="000000"/>
          <w:sz w:val="20"/>
          <w:szCs w:val="20"/>
        </w:rPr>
        <w:t xml:space="preserve"> increase in admissions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(Table 3) among young people from the most deprived communities over the first five or six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years of Aimhigher’s life.</w:t>
      </w:r>
    </w:p>
    <w:p w:rsidR="00353BCE" w:rsidRDefault="00353BCE" w:rsidP="00353BC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353BC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With the election of the Coalition government in May 2010, widening participation policy has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taken a new turn. There are clear tensions between the two coalition parties, with the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Conservatives framing the discourse in terms of meritocracy while the Liberal Democrats, as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junior partners, employing the language of social justice to frame their own policy approach, as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seen in the debates over student funding. The adoption of participation rates among young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people previously claiming Free School Meals as the main national statistic is unlikely to be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unproblematic given known shortcomings in its methodology and what it measures (Hobbs and</w:t>
      </w:r>
      <w:r w:rsidR="00353BCE">
        <w:rPr>
          <w:color w:val="000000"/>
          <w:sz w:val="20"/>
          <w:szCs w:val="20"/>
        </w:rPr>
        <w:t xml:space="preserve"> </w:t>
      </w:r>
      <w:proofErr w:type="spellStart"/>
      <w:r w:rsidRPr="000461A3">
        <w:rPr>
          <w:color w:val="000000"/>
          <w:sz w:val="20"/>
          <w:szCs w:val="20"/>
        </w:rPr>
        <w:t>Vignoles</w:t>
      </w:r>
      <w:proofErr w:type="spellEnd"/>
      <w:r w:rsidRPr="000461A3">
        <w:rPr>
          <w:color w:val="000000"/>
          <w:sz w:val="20"/>
          <w:szCs w:val="20"/>
        </w:rPr>
        <w:t>, 2007). This is not helped by a continuing failure to resolve the overarching questions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presented near the beginning of this paper: widening what, to who</w:t>
      </w:r>
      <w:r w:rsidR="00353BCE">
        <w:rPr>
          <w:color w:val="000000"/>
          <w:sz w:val="20"/>
          <w:szCs w:val="20"/>
        </w:rPr>
        <w:t>m</w:t>
      </w:r>
      <w:r w:rsidRPr="000461A3">
        <w:rPr>
          <w:color w:val="000000"/>
          <w:sz w:val="20"/>
          <w:szCs w:val="20"/>
        </w:rPr>
        <w:t>?</w:t>
      </w:r>
    </w:p>
    <w:p w:rsidR="00353BCE" w:rsidRDefault="00353BCE" w:rsidP="00353BC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</w:p>
    <w:p w:rsidR="00034AB9" w:rsidRPr="000461A3" w:rsidRDefault="00034AB9" w:rsidP="00353BCE">
      <w:pPr>
        <w:autoSpaceDE w:val="0"/>
        <w:autoSpaceDN w:val="0"/>
        <w:adjustRightInd w:val="0"/>
        <w:ind w:firstLine="284"/>
        <w:jc w:val="both"/>
        <w:rPr>
          <w:color w:val="000000"/>
          <w:sz w:val="20"/>
          <w:szCs w:val="20"/>
        </w:rPr>
      </w:pPr>
      <w:r w:rsidRPr="000461A3">
        <w:rPr>
          <w:color w:val="000000"/>
          <w:sz w:val="20"/>
          <w:szCs w:val="20"/>
        </w:rPr>
        <w:t>It would be churlish in the extreme to suggest with any certainty that the adoption of FYPSEC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was directly responsible for the demise of Aimhigher. There were many other threads to the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ultimate decision to cancel the programme in November 2010; it had already had its funding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 xml:space="preserve">nearly halved from the original </w:t>
      </w:r>
      <w:r w:rsidR="00353BCE">
        <w:rPr>
          <w:color w:val="000000"/>
          <w:sz w:val="20"/>
          <w:szCs w:val="20"/>
        </w:rPr>
        <w:t xml:space="preserve">levels and whispers about value for money and on the </w:t>
      </w:r>
      <w:r w:rsidRPr="000461A3">
        <w:rPr>
          <w:color w:val="000000"/>
          <w:sz w:val="20"/>
          <w:szCs w:val="20"/>
        </w:rPr>
        <w:t>ground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results had started by 2006. Despite massive support from professionals, parents and young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people, robust causal evidence for efficacy was lacking and even the group commissioned to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undertake a national evaluation found it impossible to do so. The 2010 General Election was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dominated by an atmosphere of public sector spending cuts from all the major political parties,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before they materialised into the austerity measures of the Coalition government. However, it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i/>
          <w:iCs/>
          <w:color w:val="000000"/>
          <w:sz w:val="20"/>
          <w:szCs w:val="20"/>
        </w:rPr>
        <w:t xml:space="preserve">is </w:t>
      </w:r>
      <w:r w:rsidRPr="000461A3">
        <w:rPr>
          <w:color w:val="000000"/>
          <w:sz w:val="20"/>
          <w:szCs w:val="20"/>
        </w:rPr>
        <w:t>reasonable to note that FYPSEC and its public presentation cannot have done Aimhigher any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favours, being symptomatic of a wider policy implementation failure. It was difficult for</w:t>
      </w:r>
      <w:r w:rsidR="00353BCE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ministers to point to the statistic as evidence of Aimhigher’s efficacy and this can only have</w:t>
      </w:r>
      <w:r w:rsidR="009E0526">
        <w:rPr>
          <w:color w:val="000000"/>
          <w:sz w:val="20"/>
          <w:szCs w:val="20"/>
        </w:rPr>
        <w:t xml:space="preserve"> </w:t>
      </w:r>
      <w:r w:rsidRPr="000461A3">
        <w:rPr>
          <w:color w:val="000000"/>
          <w:sz w:val="20"/>
          <w:szCs w:val="20"/>
        </w:rPr>
        <w:t>made it easier for the final decision to be taken, thereby sealing its fate.</w:t>
      </w:r>
    </w:p>
    <w:p w:rsidR="00353BCE" w:rsidRDefault="00353BCE" w:rsidP="000461A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9E0526" w:rsidRPr="00A35798" w:rsidRDefault="009E0526" w:rsidP="000461A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35798">
        <w:rPr>
          <w:b/>
          <w:bCs/>
          <w:sz w:val="20"/>
          <w:szCs w:val="20"/>
        </w:rPr>
        <w:t>Address for correspondence</w:t>
      </w:r>
    </w:p>
    <w:p w:rsidR="00353BCE" w:rsidRPr="00A35798" w:rsidRDefault="00A35798" w:rsidP="000461A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Neil Harrison, Department of Education, University of the West of England, </w:t>
      </w:r>
      <w:proofErr w:type="spellStart"/>
      <w:r>
        <w:rPr>
          <w:bCs/>
          <w:sz w:val="20"/>
          <w:szCs w:val="20"/>
        </w:rPr>
        <w:t>Coldharbour</w:t>
      </w:r>
      <w:proofErr w:type="spellEnd"/>
      <w:r>
        <w:rPr>
          <w:bCs/>
          <w:sz w:val="20"/>
          <w:szCs w:val="20"/>
        </w:rPr>
        <w:t xml:space="preserve"> Lane, Bristol, United Kingdom, BS16 1QY.  E-mail: neil.harrison@uwe.ac.uk.</w:t>
      </w:r>
    </w:p>
    <w:p w:rsidR="009E0526" w:rsidRDefault="009E0526" w:rsidP="00ED298D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034AB9" w:rsidRPr="00ED7328" w:rsidRDefault="00034AB9" w:rsidP="00ED298D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ED7328">
        <w:rPr>
          <w:b/>
          <w:bCs/>
          <w:color w:val="000000"/>
          <w:sz w:val="20"/>
          <w:szCs w:val="20"/>
        </w:rPr>
        <w:t>References</w:t>
      </w:r>
    </w:p>
    <w:p w:rsidR="00034AB9" w:rsidRPr="00ED7328" w:rsidRDefault="00034AB9" w:rsidP="00ED298D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Aimhigher West (2004) </w:t>
      </w:r>
      <w:r w:rsidRPr="00ED7328">
        <w:rPr>
          <w:i/>
          <w:iCs/>
          <w:color w:val="000000"/>
          <w:sz w:val="20"/>
          <w:szCs w:val="20"/>
        </w:rPr>
        <w:t>Aimhigher West Area Strategic Plan: 2004-2005</w:t>
      </w:r>
      <w:r w:rsidR="00C6216C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Gloucester: Aimhigher</w:t>
      </w:r>
      <w:r w:rsidR="009E0526" w:rsidRPr="00ED7328">
        <w:rPr>
          <w:color w:val="000000"/>
          <w:sz w:val="20"/>
          <w:szCs w:val="20"/>
        </w:rPr>
        <w:t xml:space="preserve"> West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Ambrose, P (2005) </w:t>
      </w:r>
      <w:r w:rsidR="00C6216C" w:rsidRPr="00ED7328">
        <w:rPr>
          <w:color w:val="000000"/>
          <w:sz w:val="20"/>
          <w:szCs w:val="20"/>
        </w:rPr>
        <w:t>.</w:t>
      </w:r>
      <w:r w:rsidRPr="00ED7328">
        <w:rPr>
          <w:color w:val="000000"/>
          <w:sz w:val="20"/>
          <w:szCs w:val="20"/>
        </w:rPr>
        <w:t>Urban regeneration: who defines the indicators?</w:t>
      </w:r>
      <w:r w:rsidR="00C6216C" w:rsidRPr="00ED7328">
        <w:rPr>
          <w:color w:val="000000"/>
          <w:sz w:val="20"/>
          <w:szCs w:val="20"/>
        </w:rPr>
        <w:t xml:space="preserve">., in </w:t>
      </w:r>
      <w:r w:rsidRPr="00ED7328">
        <w:rPr>
          <w:color w:val="000000"/>
          <w:sz w:val="20"/>
          <w:szCs w:val="20"/>
        </w:rPr>
        <w:t>Taylor</w:t>
      </w:r>
      <w:r w:rsidR="00C6216C" w:rsidRPr="00ED7328">
        <w:rPr>
          <w:color w:val="000000"/>
          <w:sz w:val="20"/>
          <w:szCs w:val="20"/>
        </w:rPr>
        <w:t xml:space="preserve">, D and </w:t>
      </w:r>
      <w:r w:rsidRPr="00ED7328">
        <w:rPr>
          <w:color w:val="000000"/>
          <w:sz w:val="20"/>
          <w:szCs w:val="20"/>
        </w:rPr>
        <w:t xml:space="preserve"> </w:t>
      </w:r>
      <w:proofErr w:type="spellStart"/>
      <w:r w:rsidRPr="00ED7328">
        <w:rPr>
          <w:color w:val="000000"/>
          <w:sz w:val="20"/>
          <w:szCs w:val="20"/>
        </w:rPr>
        <w:t>Balloch</w:t>
      </w:r>
      <w:proofErr w:type="spellEnd"/>
      <w:r w:rsidR="00C6216C" w:rsidRPr="00ED7328">
        <w:rPr>
          <w:color w:val="000000"/>
          <w:sz w:val="20"/>
          <w:szCs w:val="20"/>
        </w:rPr>
        <w:t>, S</w:t>
      </w:r>
      <w:r w:rsidR="009E0526" w:rsidRPr="00ED7328">
        <w:rPr>
          <w:color w:val="000000"/>
          <w:sz w:val="20"/>
          <w:szCs w:val="20"/>
        </w:rPr>
        <w:t xml:space="preserve"> (</w:t>
      </w:r>
      <w:proofErr w:type="spellStart"/>
      <w:r w:rsidR="009E0526" w:rsidRPr="00ED7328">
        <w:rPr>
          <w:color w:val="000000"/>
          <w:sz w:val="20"/>
          <w:szCs w:val="20"/>
        </w:rPr>
        <w:t>eds</w:t>
      </w:r>
      <w:proofErr w:type="spellEnd"/>
      <w:r w:rsidRPr="00ED7328">
        <w:rPr>
          <w:color w:val="000000"/>
          <w:sz w:val="20"/>
          <w:szCs w:val="20"/>
        </w:rPr>
        <w:t xml:space="preserve">) </w:t>
      </w:r>
      <w:r w:rsidRPr="00ED7328">
        <w:rPr>
          <w:i/>
          <w:iCs/>
          <w:color w:val="000000"/>
          <w:sz w:val="20"/>
          <w:szCs w:val="20"/>
        </w:rPr>
        <w:t>The politics of evaluation: participation and policy implementation</w:t>
      </w:r>
      <w:r w:rsidR="00C6216C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Bristol: Policy</w:t>
      </w:r>
      <w:r w:rsidR="009E0526" w:rsidRPr="00ED7328">
        <w:rPr>
          <w:color w:val="000000"/>
          <w:sz w:val="20"/>
          <w:szCs w:val="20"/>
        </w:rPr>
        <w:t xml:space="preserve"> Press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Archer, L, Hutchings, M and Ross, A (2003) </w:t>
      </w:r>
      <w:r w:rsidR="009E0526" w:rsidRPr="00ED7328">
        <w:rPr>
          <w:i/>
          <w:iCs/>
          <w:color w:val="000000"/>
          <w:sz w:val="20"/>
          <w:szCs w:val="20"/>
        </w:rPr>
        <w:t>Higher e</w:t>
      </w:r>
      <w:r w:rsidRPr="00ED7328">
        <w:rPr>
          <w:i/>
          <w:iCs/>
          <w:color w:val="000000"/>
          <w:sz w:val="20"/>
          <w:szCs w:val="20"/>
        </w:rPr>
        <w:t>ducation and social class: issues of exclusion</w:t>
      </w:r>
      <w:r w:rsidR="00FF19F8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and inclusion</w:t>
      </w:r>
      <w:r w:rsidR="00C6216C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London: </w:t>
      </w:r>
      <w:proofErr w:type="spellStart"/>
      <w:r w:rsidRPr="00ED7328">
        <w:rPr>
          <w:color w:val="000000"/>
          <w:sz w:val="20"/>
          <w:szCs w:val="20"/>
        </w:rPr>
        <w:t>Routledge</w:t>
      </w:r>
      <w:proofErr w:type="spellEnd"/>
      <w:r w:rsidR="009E0526" w:rsidRPr="00ED7328">
        <w:rPr>
          <w:color w:val="000000"/>
          <w:sz w:val="20"/>
          <w:szCs w:val="20"/>
        </w:rPr>
        <w:t xml:space="preserve"> </w:t>
      </w:r>
      <w:proofErr w:type="spellStart"/>
      <w:r w:rsidR="009E0526" w:rsidRPr="00ED7328">
        <w:rPr>
          <w:color w:val="000000"/>
          <w:sz w:val="20"/>
          <w:szCs w:val="20"/>
        </w:rPr>
        <w:t>Falmer</w:t>
      </w:r>
      <w:proofErr w:type="spellEnd"/>
    </w:p>
    <w:p w:rsidR="00034AB9" w:rsidRPr="00ED7328" w:rsidRDefault="009E0526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>Attwood, R (2010) ‘Mind the gap’</w:t>
      </w:r>
      <w:r w:rsidR="00C6216C" w:rsidRPr="00ED7328">
        <w:rPr>
          <w:color w:val="000000"/>
          <w:sz w:val="20"/>
          <w:szCs w:val="20"/>
        </w:rPr>
        <w:t>,</w:t>
      </w:r>
      <w:r w:rsidR="00034AB9" w:rsidRPr="00ED7328">
        <w:rPr>
          <w:color w:val="000000"/>
          <w:sz w:val="20"/>
          <w:szCs w:val="20"/>
        </w:rPr>
        <w:t xml:space="preserve"> </w:t>
      </w:r>
      <w:r w:rsidR="00034AB9" w:rsidRPr="00ED7328">
        <w:rPr>
          <w:i/>
          <w:iCs/>
          <w:color w:val="000000"/>
          <w:sz w:val="20"/>
          <w:szCs w:val="20"/>
        </w:rPr>
        <w:t xml:space="preserve">Times Higher Education Supplement </w:t>
      </w:r>
      <w:r w:rsidR="00034AB9" w:rsidRPr="00ED7328">
        <w:rPr>
          <w:color w:val="000000"/>
          <w:sz w:val="20"/>
          <w:szCs w:val="20"/>
        </w:rPr>
        <w:t>25</w:t>
      </w:r>
      <w:r w:rsidRPr="00ED7328">
        <w:rPr>
          <w:color w:val="000000"/>
          <w:sz w:val="20"/>
          <w:szCs w:val="20"/>
        </w:rPr>
        <w:t xml:space="preserve"> February 2010. </w:t>
      </w:r>
      <w:r w:rsidR="00034AB9" w:rsidRPr="00ED7328">
        <w:rPr>
          <w:color w:val="000000"/>
          <w:sz w:val="20"/>
          <w:szCs w:val="20"/>
        </w:rPr>
        <w:t>Accessed online at</w:t>
      </w:r>
      <w:r w:rsidR="00FF19F8" w:rsidRPr="00ED7328">
        <w:rPr>
          <w:color w:val="000000"/>
          <w:sz w:val="20"/>
          <w:szCs w:val="20"/>
        </w:rPr>
        <w:t xml:space="preserve"> </w:t>
      </w:r>
      <w:r w:rsidR="00034AB9" w:rsidRPr="00ED7328">
        <w:rPr>
          <w:color w:val="000000"/>
          <w:sz w:val="20"/>
          <w:szCs w:val="20"/>
        </w:rPr>
        <w:t>www.timeshighereducation.co.uk/story.asp?se</w:t>
      </w:r>
      <w:r w:rsidRPr="00ED7328">
        <w:rPr>
          <w:color w:val="000000"/>
          <w:sz w:val="20"/>
          <w:szCs w:val="20"/>
        </w:rPr>
        <w:t>ctioncode=26andstorycode=410531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lastRenderedPageBreak/>
        <w:t xml:space="preserve">Ball, S (2003) </w:t>
      </w:r>
      <w:r w:rsidRPr="00ED7328">
        <w:rPr>
          <w:i/>
          <w:iCs/>
          <w:color w:val="000000"/>
          <w:sz w:val="20"/>
          <w:szCs w:val="20"/>
        </w:rPr>
        <w:t>Class strategies and the educational market: the middle classes and social</w:t>
      </w:r>
      <w:r w:rsidR="00C6216C" w:rsidRPr="00ED7328">
        <w:rPr>
          <w:i/>
          <w:iCs/>
          <w:color w:val="000000"/>
          <w:sz w:val="20"/>
          <w:szCs w:val="20"/>
        </w:rPr>
        <w:t xml:space="preserve"> advantage,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 xml:space="preserve">London: </w:t>
      </w:r>
      <w:proofErr w:type="spellStart"/>
      <w:r w:rsidRPr="00ED7328">
        <w:rPr>
          <w:color w:val="000000"/>
          <w:sz w:val="20"/>
          <w:szCs w:val="20"/>
        </w:rPr>
        <w:t>Routledge</w:t>
      </w:r>
      <w:proofErr w:type="spellEnd"/>
      <w:r w:rsidR="009E0526" w:rsidRPr="00ED7328">
        <w:rPr>
          <w:color w:val="000000"/>
          <w:sz w:val="20"/>
          <w:szCs w:val="20"/>
        </w:rPr>
        <w:t xml:space="preserve"> </w:t>
      </w:r>
      <w:proofErr w:type="spellStart"/>
      <w:r w:rsidRPr="00ED7328">
        <w:rPr>
          <w:color w:val="000000"/>
          <w:sz w:val="20"/>
          <w:szCs w:val="20"/>
        </w:rPr>
        <w:t>Falmer</w:t>
      </w:r>
      <w:proofErr w:type="spellEnd"/>
      <w:r w:rsidRPr="00ED7328">
        <w:rPr>
          <w:color w:val="000000"/>
          <w:sz w:val="20"/>
          <w:szCs w:val="20"/>
        </w:rPr>
        <w:t>.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Bathmaker</w:t>
      </w:r>
      <w:proofErr w:type="spellEnd"/>
      <w:r w:rsidRPr="00ED7328">
        <w:rPr>
          <w:color w:val="000000"/>
          <w:sz w:val="20"/>
          <w:szCs w:val="20"/>
        </w:rPr>
        <w:t xml:space="preserve">, A-M, Ingram, N and Waller, R (2011) </w:t>
      </w:r>
      <w:r w:rsidRPr="002F01C9">
        <w:rPr>
          <w:color w:val="000000"/>
          <w:sz w:val="20"/>
          <w:szCs w:val="20"/>
        </w:rPr>
        <w:t>Higher education, social class and the</w:t>
      </w:r>
      <w:r w:rsidR="009E0526" w:rsidRPr="002F01C9">
        <w:rPr>
          <w:color w:val="000000"/>
          <w:sz w:val="20"/>
          <w:szCs w:val="20"/>
        </w:rPr>
        <w:t xml:space="preserve"> </w:t>
      </w:r>
      <w:r w:rsidRPr="002F01C9">
        <w:rPr>
          <w:color w:val="000000"/>
          <w:sz w:val="20"/>
          <w:szCs w:val="20"/>
        </w:rPr>
        <w:t>mobili</w:t>
      </w:r>
      <w:r w:rsidR="009E0526" w:rsidRPr="002F01C9">
        <w:rPr>
          <w:color w:val="000000"/>
          <w:sz w:val="20"/>
          <w:szCs w:val="20"/>
        </w:rPr>
        <w:t>sation of capital</w:t>
      </w:r>
      <w:r w:rsidR="00C6216C" w:rsidRPr="00ED7328">
        <w:rPr>
          <w:i/>
          <w:color w:val="000000"/>
          <w:sz w:val="20"/>
          <w:szCs w:val="20"/>
        </w:rPr>
        <w:t>,</w:t>
      </w:r>
      <w:r w:rsidR="009E0526" w:rsidRPr="00ED7328">
        <w:rPr>
          <w:color w:val="000000"/>
          <w:sz w:val="20"/>
          <w:szCs w:val="20"/>
        </w:rPr>
        <w:t xml:space="preserve"> Paper present</w:t>
      </w:r>
      <w:r w:rsidRPr="00ED7328">
        <w:rPr>
          <w:color w:val="000000"/>
          <w:sz w:val="20"/>
          <w:szCs w:val="20"/>
        </w:rPr>
        <w:t>ed at B</w:t>
      </w:r>
      <w:r w:rsidR="009E0526" w:rsidRPr="00ED7328">
        <w:rPr>
          <w:color w:val="000000"/>
          <w:sz w:val="20"/>
          <w:szCs w:val="20"/>
        </w:rPr>
        <w:t xml:space="preserve">ritish </w:t>
      </w:r>
      <w:r w:rsidRPr="00ED7328">
        <w:rPr>
          <w:color w:val="000000"/>
          <w:sz w:val="20"/>
          <w:szCs w:val="20"/>
        </w:rPr>
        <w:t>E</w:t>
      </w:r>
      <w:r w:rsidR="009E0526" w:rsidRPr="00ED7328">
        <w:rPr>
          <w:color w:val="000000"/>
          <w:sz w:val="20"/>
          <w:szCs w:val="20"/>
        </w:rPr>
        <w:t xml:space="preserve">ducational </w:t>
      </w:r>
      <w:r w:rsidRPr="00ED7328">
        <w:rPr>
          <w:color w:val="000000"/>
          <w:sz w:val="20"/>
          <w:szCs w:val="20"/>
        </w:rPr>
        <w:t>R</w:t>
      </w:r>
      <w:r w:rsidR="009E0526" w:rsidRPr="00ED7328">
        <w:rPr>
          <w:color w:val="000000"/>
          <w:sz w:val="20"/>
          <w:szCs w:val="20"/>
        </w:rPr>
        <w:t xml:space="preserve">esearch </w:t>
      </w:r>
      <w:r w:rsidRPr="00ED7328">
        <w:rPr>
          <w:color w:val="000000"/>
          <w:sz w:val="20"/>
          <w:szCs w:val="20"/>
        </w:rPr>
        <w:t>A</w:t>
      </w:r>
      <w:r w:rsidR="009E0526" w:rsidRPr="00ED7328">
        <w:rPr>
          <w:color w:val="000000"/>
          <w:sz w:val="20"/>
          <w:szCs w:val="20"/>
        </w:rPr>
        <w:t>ssociation</w:t>
      </w:r>
      <w:r w:rsidRPr="00ED7328">
        <w:rPr>
          <w:color w:val="000000"/>
          <w:sz w:val="20"/>
          <w:szCs w:val="20"/>
        </w:rPr>
        <w:t xml:space="preserve"> Annual Conference, London, 8 September</w:t>
      </w:r>
      <w:r w:rsidR="009E0526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2011.</w:t>
      </w:r>
    </w:p>
    <w:p w:rsidR="00FF19F8" w:rsidRPr="00ED7328" w:rsidRDefault="00FF19F8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Bauman, Z (2000) </w:t>
      </w:r>
      <w:r w:rsidRPr="00ED7328">
        <w:rPr>
          <w:i/>
          <w:iCs/>
          <w:color w:val="000000"/>
          <w:sz w:val="20"/>
          <w:szCs w:val="20"/>
        </w:rPr>
        <w:t>Liquid modernity</w:t>
      </w:r>
      <w:r w:rsidRPr="00ED7328">
        <w:rPr>
          <w:color w:val="000000"/>
          <w:sz w:val="20"/>
          <w:szCs w:val="20"/>
        </w:rPr>
        <w:t>. Cambridge: Polity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Baxter, A, Tate, J and </w:t>
      </w:r>
      <w:proofErr w:type="spellStart"/>
      <w:r w:rsidRPr="00ED7328">
        <w:rPr>
          <w:color w:val="000000"/>
          <w:sz w:val="20"/>
          <w:szCs w:val="20"/>
        </w:rPr>
        <w:t>Hatt</w:t>
      </w:r>
      <w:proofErr w:type="spellEnd"/>
      <w:r w:rsidRPr="00ED7328">
        <w:rPr>
          <w:color w:val="000000"/>
          <w:sz w:val="20"/>
          <w:szCs w:val="20"/>
        </w:rPr>
        <w:t xml:space="preserve">, S (2007) </w:t>
      </w:r>
      <w:r w:rsidR="00C6216C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From policy to practice: pupils' responses to widening</w:t>
      </w:r>
      <w:r w:rsidR="009E0526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participation initiatives</w:t>
      </w:r>
      <w:r w:rsidR="009E0526" w:rsidRPr="00ED7328">
        <w:rPr>
          <w:color w:val="000000"/>
          <w:sz w:val="20"/>
          <w:szCs w:val="20"/>
        </w:rPr>
        <w:t>’</w:t>
      </w:r>
      <w:r w:rsidR="00C6216C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Higher Education Quarterly </w:t>
      </w:r>
      <w:r w:rsidRPr="00ED7328">
        <w:rPr>
          <w:color w:val="000000"/>
          <w:sz w:val="20"/>
          <w:szCs w:val="20"/>
        </w:rPr>
        <w:t>61: 266-283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Beck, U (1992) </w:t>
      </w:r>
      <w:r w:rsidRPr="00ED7328">
        <w:rPr>
          <w:i/>
          <w:iCs/>
          <w:color w:val="000000"/>
          <w:sz w:val="20"/>
          <w:szCs w:val="20"/>
        </w:rPr>
        <w:t>Risk society: towards a new modernity</w:t>
      </w:r>
      <w:r w:rsidR="00C6216C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</w:t>
      </w:r>
      <w:r w:rsidR="00C6216C" w:rsidRPr="00ED7328">
        <w:rPr>
          <w:color w:val="000000"/>
          <w:sz w:val="20"/>
          <w:szCs w:val="20"/>
        </w:rPr>
        <w:t>: Sage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Bevan, G and Hood, C (2006) </w:t>
      </w:r>
      <w:r w:rsidR="00C6216C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What’s measured is what matters: targets and gaming in the</w:t>
      </w:r>
      <w:r w:rsidR="00C6216C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English public health care systems</w:t>
      </w:r>
      <w:r w:rsidR="00C6216C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Public Administration </w:t>
      </w:r>
      <w:r w:rsidR="00C6216C" w:rsidRPr="00ED7328">
        <w:rPr>
          <w:color w:val="000000"/>
          <w:sz w:val="20"/>
          <w:szCs w:val="20"/>
        </w:rPr>
        <w:t>84: 517-538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Bourdieu</w:t>
      </w:r>
      <w:proofErr w:type="spellEnd"/>
      <w:r w:rsidRPr="00ED7328">
        <w:rPr>
          <w:color w:val="000000"/>
          <w:sz w:val="20"/>
          <w:szCs w:val="20"/>
        </w:rPr>
        <w:t xml:space="preserve">, P and </w:t>
      </w:r>
      <w:proofErr w:type="spellStart"/>
      <w:r w:rsidRPr="00ED7328">
        <w:rPr>
          <w:color w:val="000000"/>
          <w:sz w:val="20"/>
          <w:szCs w:val="20"/>
        </w:rPr>
        <w:t>Passeron</w:t>
      </w:r>
      <w:proofErr w:type="spellEnd"/>
      <w:r w:rsidRPr="00ED7328">
        <w:rPr>
          <w:color w:val="000000"/>
          <w:sz w:val="20"/>
          <w:szCs w:val="20"/>
        </w:rPr>
        <w:t xml:space="preserve">, J-C (1990) </w:t>
      </w:r>
      <w:r w:rsidRPr="00ED7328">
        <w:rPr>
          <w:i/>
          <w:iCs/>
          <w:color w:val="000000"/>
          <w:sz w:val="20"/>
          <w:szCs w:val="20"/>
        </w:rPr>
        <w:t xml:space="preserve">Reproduction in education, society and culture </w:t>
      </w:r>
      <w:r w:rsidR="00C6216C" w:rsidRPr="00ED7328">
        <w:rPr>
          <w:color w:val="000000"/>
          <w:sz w:val="20"/>
          <w:szCs w:val="20"/>
        </w:rPr>
        <w:t xml:space="preserve">(2nd </w:t>
      </w:r>
      <w:proofErr w:type="spellStart"/>
      <w:r w:rsidR="00C6216C" w:rsidRPr="00ED7328">
        <w:rPr>
          <w:color w:val="000000"/>
          <w:sz w:val="20"/>
          <w:szCs w:val="20"/>
        </w:rPr>
        <w:t>edn</w:t>
      </w:r>
      <w:proofErr w:type="spellEnd"/>
      <w:r w:rsidR="00C6216C" w:rsidRPr="00ED7328">
        <w:rPr>
          <w:color w:val="000000"/>
          <w:sz w:val="20"/>
          <w:szCs w:val="20"/>
        </w:rPr>
        <w:t>),</w:t>
      </w:r>
      <w:r w:rsidRPr="00ED7328">
        <w:rPr>
          <w:color w:val="000000"/>
          <w:sz w:val="20"/>
          <w:szCs w:val="20"/>
        </w:rPr>
        <w:t xml:space="preserve"> London</w:t>
      </w:r>
      <w:r w:rsidR="00C6216C" w:rsidRPr="00ED7328">
        <w:rPr>
          <w:color w:val="000000"/>
          <w:sz w:val="20"/>
          <w:szCs w:val="20"/>
        </w:rPr>
        <w:t>: Sage</w:t>
      </w:r>
    </w:p>
    <w:p w:rsidR="00FF19F8" w:rsidRPr="00ED7328" w:rsidRDefault="00FF19F8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Bowers-Brown, T, </w:t>
      </w:r>
      <w:proofErr w:type="spellStart"/>
      <w:r w:rsidRPr="00ED7328">
        <w:rPr>
          <w:color w:val="000000"/>
          <w:sz w:val="20"/>
          <w:szCs w:val="20"/>
        </w:rPr>
        <w:t>McCaig</w:t>
      </w:r>
      <w:proofErr w:type="spellEnd"/>
      <w:r w:rsidRPr="00ED7328">
        <w:rPr>
          <w:color w:val="000000"/>
          <w:sz w:val="20"/>
          <w:szCs w:val="20"/>
        </w:rPr>
        <w:t xml:space="preserve">, C, Harvey, L and Stevens, A (2006) </w:t>
      </w:r>
      <w:r w:rsidRPr="00ED7328">
        <w:rPr>
          <w:i/>
          <w:iCs/>
          <w:color w:val="000000"/>
          <w:sz w:val="20"/>
          <w:szCs w:val="20"/>
        </w:rPr>
        <w:t>National evaluation of Aimhigher: survey of higher education institutions, further education colleges and work-based learning providers,</w:t>
      </w:r>
      <w:r w:rsidRPr="00ED7328">
        <w:rPr>
          <w:color w:val="000000"/>
          <w:sz w:val="20"/>
          <w:szCs w:val="20"/>
        </w:rPr>
        <w:t xml:space="preserve"> Bristol : HEFCE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British Educational Research Association [BERA] (2011) </w:t>
      </w:r>
      <w:r w:rsidRPr="00ED7328">
        <w:rPr>
          <w:i/>
          <w:iCs/>
          <w:color w:val="000000"/>
          <w:sz w:val="20"/>
          <w:szCs w:val="20"/>
        </w:rPr>
        <w:t>Ethical guidelines for educational</w:t>
      </w:r>
      <w:r w:rsidR="00C6216C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research</w:t>
      </w:r>
      <w:r w:rsidR="00C6216C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</w:t>
      </w:r>
      <w:r w:rsidR="00C6216C" w:rsidRPr="00ED7328">
        <w:rPr>
          <w:color w:val="000000"/>
          <w:sz w:val="20"/>
          <w:szCs w:val="20"/>
        </w:rPr>
        <w:t>: BERA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Callender</w:t>
      </w:r>
      <w:proofErr w:type="spellEnd"/>
      <w:r w:rsidRPr="00ED7328">
        <w:rPr>
          <w:color w:val="000000"/>
          <w:sz w:val="20"/>
          <w:szCs w:val="20"/>
        </w:rPr>
        <w:t xml:space="preserve">, C and Jackson, J (2005) </w:t>
      </w:r>
      <w:r w:rsidR="00C6216C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Does the fear of debt deter students from higher education?</w:t>
      </w:r>
      <w:r w:rsidR="00C6216C" w:rsidRPr="00ED7328">
        <w:rPr>
          <w:color w:val="000000"/>
          <w:sz w:val="20"/>
          <w:szCs w:val="20"/>
        </w:rPr>
        <w:t xml:space="preserve">’, </w:t>
      </w:r>
      <w:r w:rsidRPr="00ED7328">
        <w:rPr>
          <w:i/>
          <w:iCs/>
          <w:color w:val="000000"/>
          <w:sz w:val="20"/>
          <w:szCs w:val="20"/>
        </w:rPr>
        <w:t xml:space="preserve">Journal of Social Policy </w:t>
      </w:r>
      <w:r w:rsidR="00C6216C" w:rsidRPr="00ED7328">
        <w:rPr>
          <w:color w:val="000000"/>
          <w:sz w:val="20"/>
          <w:szCs w:val="20"/>
        </w:rPr>
        <w:t>34: 509-540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Carter, N, Klein, R and Day, P (1992) </w:t>
      </w:r>
      <w:r w:rsidRPr="00ED7328">
        <w:rPr>
          <w:i/>
          <w:iCs/>
          <w:color w:val="000000"/>
          <w:sz w:val="20"/>
          <w:szCs w:val="20"/>
        </w:rPr>
        <w:t>How do organisations measure success: the use of</w:t>
      </w:r>
      <w:r w:rsidR="00C6216C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performance indicators in government</w:t>
      </w:r>
      <w:r w:rsidR="00C6216C" w:rsidRPr="00ED7328">
        <w:rPr>
          <w:i/>
          <w:iCs/>
          <w:color w:val="000000"/>
          <w:sz w:val="20"/>
          <w:szCs w:val="20"/>
        </w:rPr>
        <w:t xml:space="preserve">, 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London</w:t>
      </w:r>
      <w:r w:rsidR="00C6216C" w:rsidRPr="00ED7328">
        <w:rPr>
          <w:color w:val="000000"/>
          <w:sz w:val="20"/>
          <w:szCs w:val="20"/>
        </w:rPr>
        <w:t xml:space="preserve">: </w:t>
      </w:r>
      <w:proofErr w:type="spellStart"/>
      <w:r w:rsidR="00C6216C" w:rsidRPr="00ED7328">
        <w:rPr>
          <w:color w:val="000000"/>
          <w:sz w:val="20"/>
          <w:szCs w:val="20"/>
        </w:rPr>
        <w:t>Routledge</w:t>
      </w:r>
      <w:proofErr w:type="spellEnd"/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Chilosi</w:t>
      </w:r>
      <w:proofErr w:type="spellEnd"/>
      <w:r w:rsidRPr="00ED7328">
        <w:rPr>
          <w:color w:val="000000"/>
          <w:sz w:val="20"/>
          <w:szCs w:val="20"/>
        </w:rPr>
        <w:t xml:space="preserve">, D, Noble, M, </w:t>
      </w:r>
      <w:proofErr w:type="spellStart"/>
      <w:r w:rsidRPr="00ED7328">
        <w:rPr>
          <w:color w:val="000000"/>
          <w:sz w:val="20"/>
          <w:szCs w:val="20"/>
        </w:rPr>
        <w:t>Broadhead</w:t>
      </w:r>
      <w:proofErr w:type="spellEnd"/>
      <w:r w:rsidRPr="00ED7328">
        <w:rPr>
          <w:color w:val="000000"/>
          <w:sz w:val="20"/>
          <w:szCs w:val="20"/>
        </w:rPr>
        <w:t xml:space="preserve">, P, and Wilkinson, M (2010) </w:t>
      </w:r>
      <w:r w:rsidR="00C6216C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Measuring the effect of Aimhigher</w:t>
      </w:r>
      <w:r w:rsidR="00C6216C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on schooling attainment and higher education applications and entries</w:t>
      </w:r>
      <w:r w:rsidR="00C6216C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Journal of Further</w:t>
      </w:r>
      <w:r w:rsidR="000337B3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and Higher Education </w:t>
      </w:r>
      <w:r w:rsidR="00C6216C" w:rsidRPr="00ED7328">
        <w:rPr>
          <w:color w:val="000000"/>
          <w:sz w:val="20"/>
          <w:szCs w:val="20"/>
        </w:rPr>
        <w:t>34: 1-10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Chowdry</w:t>
      </w:r>
      <w:proofErr w:type="spellEnd"/>
      <w:r w:rsidRPr="00ED7328">
        <w:rPr>
          <w:color w:val="000000"/>
          <w:sz w:val="20"/>
          <w:szCs w:val="20"/>
        </w:rPr>
        <w:t xml:space="preserve">, H, Crawford, C, </w:t>
      </w:r>
      <w:proofErr w:type="spellStart"/>
      <w:r w:rsidRPr="00ED7328">
        <w:rPr>
          <w:color w:val="000000"/>
          <w:sz w:val="20"/>
          <w:szCs w:val="20"/>
        </w:rPr>
        <w:t>Dearden</w:t>
      </w:r>
      <w:proofErr w:type="spellEnd"/>
      <w:r w:rsidRPr="00ED7328">
        <w:rPr>
          <w:color w:val="000000"/>
          <w:sz w:val="20"/>
          <w:szCs w:val="20"/>
        </w:rPr>
        <w:t xml:space="preserve">, L, Goodman, A and </w:t>
      </w:r>
      <w:proofErr w:type="spellStart"/>
      <w:r w:rsidRPr="00ED7328">
        <w:rPr>
          <w:color w:val="000000"/>
          <w:sz w:val="20"/>
          <w:szCs w:val="20"/>
        </w:rPr>
        <w:t>Vignoles</w:t>
      </w:r>
      <w:proofErr w:type="spellEnd"/>
      <w:r w:rsidRPr="00ED7328">
        <w:rPr>
          <w:color w:val="000000"/>
          <w:sz w:val="20"/>
          <w:szCs w:val="20"/>
        </w:rPr>
        <w:t xml:space="preserve">, A (2008) </w:t>
      </w:r>
      <w:r w:rsidRPr="00ED7328">
        <w:rPr>
          <w:i/>
          <w:iCs/>
          <w:color w:val="000000"/>
          <w:sz w:val="20"/>
          <w:szCs w:val="20"/>
        </w:rPr>
        <w:t>Widening</w:t>
      </w:r>
      <w:r w:rsidR="00C6216C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participation in higher education using linked administrative data</w:t>
      </w:r>
      <w:r w:rsidR="00C6216C" w:rsidRPr="00ED7328">
        <w:rPr>
          <w:color w:val="000000"/>
          <w:sz w:val="20"/>
          <w:szCs w:val="20"/>
        </w:rPr>
        <w:t>, IFS Reports R69</w:t>
      </w:r>
      <w:r w:rsidR="000337B3" w:rsidRPr="00ED7328">
        <w:rPr>
          <w:color w:val="000000"/>
          <w:sz w:val="20"/>
          <w:szCs w:val="20"/>
        </w:rPr>
        <w:t>,</w:t>
      </w:r>
      <w:r w:rsidR="00C6216C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L</w:t>
      </w:r>
      <w:r w:rsidR="00C6216C" w:rsidRPr="00ED7328">
        <w:rPr>
          <w:color w:val="000000"/>
          <w:sz w:val="20"/>
          <w:szCs w:val="20"/>
        </w:rPr>
        <w:t>o</w:t>
      </w:r>
      <w:r w:rsidRPr="00ED7328">
        <w:rPr>
          <w:color w:val="000000"/>
          <w:sz w:val="20"/>
          <w:szCs w:val="20"/>
        </w:rPr>
        <w:t>ndon: Institute for Fiscal Studies.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Coleman, R and </w:t>
      </w:r>
      <w:proofErr w:type="spellStart"/>
      <w:r w:rsidRPr="00ED7328">
        <w:rPr>
          <w:color w:val="000000"/>
          <w:sz w:val="20"/>
          <w:szCs w:val="20"/>
        </w:rPr>
        <w:t>Bekhradnia</w:t>
      </w:r>
      <w:proofErr w:type="spellEnd"/>
      <w:r w:rsidRPr="00ED7328">
        <w:rPr>
          <w:color w:val="000000"/>
          <w:sz w:val="20"/>
          <w:szCs w:val="20"/>
        </w:rPr>
        <w:t xml:space="preserve">, B (2011) </w:t>
      </w:r>
      <w:r w:rsidRPr="00ED7328">
        <w:rPr>
          <w:i/>
          <w:iCs/>
          <w:color w:val="000000"/>
          <w:sz w:val="20"/>
          <w:szCs w:val="20"/>
        </w:rPr>
        <w:t>Higher education supply and demand to 2020</w:t>
      </w:r>
      <w:r w:rsidR="000337B3" w:rsidRPr="00ED7328">
        <w:rPr>
          <w:color w:val="000000"/>
          <w:sz w:val="20"/>
          <w:szCs w:val="20"/>
        </w:rPr>
        <w:t xml:space="preserve">, </w:t>
      </w:r>
      <w:r w:rsidRPr="00ED7328">
        <w:rPr>
          <w:color w:val="000000"/>
          <w:sz w:val="20"/>
          <w:szCs w:val="20"/>
        </w:rPr>
        <w:t>Oxford:</w:t>
      </w:r>
      <w:r w:rsidR="00C6216C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Hi</w:t>
      </w:r>
      <w:r w:rsidR="00C6216C" w:rsidRPr="00ED7328">
        <w:rPr>
          <w:color w:val="000000"/>
          <w:sz w:val="20"/>
          <w:szCs w:val="20"/>
        </w:rPr>
        <w:t>gher Education Policy Institute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Department for Business, Innovation and Skills [DBIS] (2010) </w:t>
      </w:r>
      <w:r w:rsidRPr="00ED7328">
        <w:rPr>
          <w:i/>
          <w:iCs/>
          <w:color w:val="000000"/>
          <w:sz w:val="20"/>
          <w:szCs w:val="20"/>
        </w:rPr>
        <w:t>Full-time young participation by</w:t>
      </w:r>
      <w:r w:rsidR="00C6216C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socio-economic class (FYPSEC), 2010 update</w:t>
      </w:r>
      <w:r w:rsidR="00C6216C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London</w:t>
      </w:r>
      <w:r w:rsidR="00C6216C" w:rsidRPr="00ED7328">
        <w:rPr>
          <w:color w:val="000000"/>
          <w:sz w:val="20"/>
          <w:szCs w:val="20"/>
        </w:rPr>
        <w:t>: DBIS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Department for Business, Innovation and Skills [DBIS] (2011a) </w:t>
      </w:r>
      <w:r w:rsidRPr="00ED7328">
        <w:rPr>
          <w:i/>
          <w:iCs/>
          <w:color w:val="000000"/>
          <w:sz w:val="20"/>
          <w:szCs w:val="20"/>
        </w:rPr>
        <w:t>Findings from the public</w:t>
      </w:r>
      <w:r w:rsidR="00C6216C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consultation on statistics that measure the progress of children from disadvantaged</w:t>
      </w:r>
      <w:r w:rsidR="00C6216C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backgrounds to higher education</w:t>
      </w:r>
      <w:r w:rsidR="00C6216C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London</w:t>
      </w:r>
      <w:r w:rsidR="00C6216C" w:rsidRPr="00ED7328">
        <w:rPr>
          <w:color w:val="000000"/>
          <w:sz w:val="20"/>
          <w:szCs w:val="20"/>
        </w:rPr>
        <w:t>: DBIS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Department for Business, Innovation and Skills [DBIS] (2011b) </w:t>
      </w:r>
      <w:r w:rsidRPr="00ED7328">
        <w:rPr>
          <w:i/>
          <w:iCs/>
          <w:color w:val="000000"/>
          <w:sz w:val="20"/>
          <w:szCs w:val="20"/>
        </w:rPr>
        <w:t>Analysis of progression rates for</w:t>
      </w:r>
      <w:r w:rsidR="00C6216C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young people in England by free school meal receipt</w:t>
      </w:r>
      <w:r w:rsidR="00C6216C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</w:t>
      </w:r>
      <w:r w:rsidR="00C6216C" w:rsidRPr="00ED7328">
        <w:rPr>
          <w:color w:val="000000"/>
          <w:sz w:val="20"/>
          <w:szCs w:val="20"/>
        </w:rPr>
        <w:t>: DBIS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Department for Education and Employment [DFEE] (2000) </w:t>
      </w:r>
      <w:r w:rsidRPr="00ED7328">
        <w:rPr>
          <w:i/>
          <w:iCs/>
          <w:color w:val="000000"/>
          <w:sz w:val="20"/>
          <w:szCs w:val="20"/>
        </w:rPr>
        <w:t>The excellence challenge</w:t>
      </w:r>
      <w:r w:rsidR="00C6216C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London:</w:t>
      </w:r>
      <w:r w:rsidR="00C6216C" w:rsidRPr="00ED7328">
        <w:rPr>
          <w:color w:val="000000"/>
          <w:sz w:val="20"/>
          <w:szCs w:val="20"/>
        </w:rPr>
        <w:t xml:space="preserve"> DFEE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>Department for Education and Skills [</w:t>
      </w:r>
      <w:proofErr w:type="spellStart"/>
      <w:r w:rsidRPr="00ED7328">
        <w:rPr>
          <w:color w:val="000000"/>
          <w:sz w:val="20"/>
          <w:szCs w:val="20"/>
        </w:rPr>
        <w:t>DfES</w:t>
      </w:r>
      <w:proofErr w:type="spellEnd"/>
      <w:r w:rsidRPr="00ED7328">
        <w:rPr>
          <w:color w:val="000000"/>
          <w:sz w:val="20"/>
          <w:szCs w:val="20"/>
        </w:rPr>
        <w:t xml:space="preserve">] (2003a) </w:t>
      </w:r>
      <w:r w:rsidRPr="00ED7328">
        <w:rPr>
          <w:i/>
          <w:iCs/>
          <w:color w:val="000000"/>
          <w:sz w:val="20"/>
          <w:szCs w:val="20"/>
        </w:rPr>
        <w:t>The future of higher education</w:t>
      </w:r>
      <w:r w:rsidR="00F1456B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London: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Department for Education and Skills.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>Department for Education and Skills [</w:t>
      </w:r>
      <w:proofErr w:type="spellStart"/>
      <w:r w:rsidRPr="00ED7328">
        <w:rPr>
          <w:color w:val="000000"/>
          <w:sz w:val="20"/>
          <w:szCs w:val="20"/>
        </w:rPr>
        <w:t>DfES</w:t>
      </w:r>
      <w:proofErr w:type="spellEnd"/>
      <w:r w:rsidRPr="00ED7328">
        <w:rPr>
          <w:color w:val="000000"/>
          <w:sz w:val="20"/>
          <w:szCs w:val="20"/>
        </w:rPr>
        <w:t xml:space="preserve">] (2003b) </w:t>
      </w:r>
      <w:r w:rsidRPr="00ED7328">
        <w:rPr>
          <w:i/>
          <w:iCs/>
          <w:color w:val="000000"/>
          <w:sz w:val="20"/>
          <w:szCs w:val="20"/>
        </w:rPr>
        <w:t>Widening participation in higher education</w:t>
      </w:r>
      <w:r w:rsidR="00F1456B" w:rsidRPr="00ED7328">
        <w:rPr>
          <w:color w:val="000000"/>
          <w:sz w:val="20"/>
          <w:szCs w:val="20"/>
        </w:rPr>
        <w:t xml:space="preserve">, </w:t>
      </w:r>
      <w:r w:rsidRPr="00ED7328">
        <w:rPr>
          <w:color w:val="000000"/>
          <w:sz w:val="20"/>
          <w:szCs w:val="20"/>
        </w:rPr>
        <w:t>London: Depa</w:t>
      </w:r>
      <w:r w:rsidR="00F1456B" w:rsidRPr="00ED7328">
        <w:rPr>
          <w:color w:val="000000"/>
          <w:sz w:val="20"/>
          <w:szCs w:val="20"/>
        </w:rPr>
        <w:t>rtment for Education and Skills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Department of Communities and Local Government [DCLG] (2007) </w:t>
      </w:r>
      <w:r w:rsidRPr="00ED7328">
        <w:rPr>
          <w:i/>
          <w:iCs/>
          <w:color w:val="000000"/>
          <w:sz w:val="20"/>
          <w:szCs w:val="20"/>
        </w:rPr>
        <w:t>The English Indices o</w:t>
      </w:r>
      <w:r w:rsidR="00F1456B" w:rsidRPr="00ED7328">
        <w:rPr>
          <w:i/>
          <w:iCs/>
          <w:color w:val="000000"/>
          <w:sz w:val="20"/>
          <w:szCs w:val="20"/>
        </w:rPr>
        <w:t>f Deprivation 2007: summary</w:t>
      </w:r>
      <w:r w:rsidR="00F1456B" w:rsidRPr="00ED7328">
        <w:rPr>
          <w:iCs/>
          <w:color w:val="000000"/>
          <w:sz w:val="20"/>
          <w:szCs w:val="20"/>
        </w:rPr>
        <w:t>,</w:t>
      </w:r>
      <w:r w:rsidRPr="00ED7328">
        <w:rPr>
          <w:i/>
          <w:iCs/>
          <w:color w:val="000000"/>
          <w:sz w:val="20"/>
          <w:szCs w:val="20"/>
        </w:rPr>
        <w:t xml:space="preserve">. </w:t>
      </w:r>
      <w:r w:rsidRPr="00ED7328">
        <w:rPr>
          <w:color w:val="000000"/>
          <w:sz w:val="20"/>
          <w:szCs w:val="20"/>
        </w:rPr>
        <w:t>London</w:t>
      </w:r>
      <w:r w:rsidR="00F1456B" w:rsidRPr="00ED7328">
        <w:rPr>
          <w:color w:val="000000"/>
          <w:sz w:val="20"/>
          <w:szCs w:val="20"/>
        </w:rPr>
        <w:t>: DCLG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Doyle, M and Griffin, M (2012) </w:t>
      </w:r>
      <w:r w:rsidR="00F1456B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Raised aspirations and attainment? A review of the impact of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Aimhigher (2004-2011) on widening participation in higher education in England</w:t>
      </w:r>
      <w:r w:rsidR="00F1456B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London</w:t>
      </w:r>
      <w:r w:rsidR="00F1456B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Review of Education </w:t>
      </w:r>
      <w:r w:rsidR="00F1456B" w:rsidRPr="00ED7328">
        <w:rPr>
          <w:color w:val="000000"/>
          <w:sz w:val="20"/>
          <w:szCs w:val="20"/>
        </w:rPr>
        <w:t>10: 75-88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Emmerson</w:t>
      </w:r>
      <w:proofErr w:type="spellEnd"/>
      <w:r w:rsidRPr="00ED7328">
        <w:rPr>
          <w:color w:val="000000"/>
          <w:sz w:val="20"/>
          <w:szCs w:val="20"/>
        </w:rPr>
        <w:t xml:space="preserve">, C, Frayne, C, McNally, S and Silva, O (2005) </w:t>
      </w:r>
      <w:r w:rsidRPr="00ED7328">
        <w:rPr>
          <w:i/>
          <w:iCs/>
          <w:color w:val="000000"/>
          <w:sz w:val="20"/>
          <w:szCs w:val="20"/>
        </w:rPr>
        <w:t>The early impact of Aimhigher:</w:t>
      </w:r>
      <w:r w:rsidR="00F1456B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Excellence Challenge on pre-16 outcomes: an economic evaluation</w:t>
      </w:r>
      <w:r w:rsidR="00F1456B" w:rsidRPr="00ED7328">
        <w:rPr>
          <w:i/>
          <w:iCs/>
          <w:color w:val="000000"/>
          <w:sz w:val="20"/>
          <w:szCs w:val="20"/>
        </w:rPr>
        <w:t xml:space="preserve">, 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Slough</w:t>
      </w:r>
      <w:r w:rsidR="00F1456B" w:rsidRPr="00ED7328">
        <w:rPr>
          <w:color w:val="000000"/>
          <w:sz w:val="20"/>
          <w:szCs w:val="20"/>
        </w:rPr>
        <w:t xml:space="preserve">: </w:t>
      </w:r>
      <w:proofErr w:type="spellStart"/>
      <w:r w:rsidR="00F1456B" w:rsidRPr="00ED7328">
        <w:rPr>
          <w:color w:val="000000"/>
          <w:sz w:val="20"/>
          <w:szCs w:val="20"/>
        </w:rPr>
        <w:t>NfER</w:t>
      </w:r>
      <w:proofErr w:type="spellEnd"/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Evans, S (2009) </w:t>
      </w:r>
      <w:r w:rsidR="00F1456B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In a different place: working class girls and higher education</w:t>
      </w:r>
      <w:r w:rsidR="00F1456B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Sociology </w:t>
      </w:r>
      <w:r w:rsidRPr="00ED7328">
        <w:rPr>
          <w:color w:val="000000"/>
          <w:sz w:val="20"/>
          <w:szCs w:val="20"/>
        </w:rPr>
        <w:t>43: 340-</w:t>
      </w:r>
      <w:r w:rsidR="00F1456B" w:rsidRPr="00ED7328">
        <w:rPr>
          <w:color w:val="000000"/>
          <w:sz w:val="20"/>
          <w:szCs w:val="20"/>
        </w:rPr>
        <w:t>355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Giddens</w:t>
      </w:r>
      <w:proofErr w:type="spellEnd"/>
      <w:r w:rsidRPr="00ED7328">
        <w:rPr>
          <w:color w:val="000000"/>
          <w:sz w:val="20"/>
          <w:szCs w:val="20"/>
        </w:rPr>
        <w:t xml:space="preserve">, A (1991) </w:t>
      </w:r>
      <w:r w:rsidR="00226606" w:rsidRPr="00ED7328">
        <w:rPr>
          <w:i/>
          <w:iCs/>
          <w:color w:val="000000"/>
          <w:sz w:val="20"/>
          <w:szCs w:val="20"/>
        </w:rPr>
        <w:t>Modernity and self-i</w:t>
      </w:r>
      <w:r w:rsidRPr="00ED7328">
        <w:rPr>
          <w:i/>
          <w:iCs/>
          <w:color w:val="000000"/>
          <w:sz w:val="20"/>
          <w:szCs w:val="20"/>
        </w:rPr>
        <w:t>dentity: self and society in the late modern age</w:t>
      </w:r>
      <w:r w:rsidR="00F1456B" w:rsidRPr="00ED7328">
        <w:rPr>
          <w:color w:val="000000"/>
          <w:sz w:val="20"/>
          <w:szCs w:val="20"/>
        </w:rPr>
        <w:t>, Cambridge: Polity</w:t>
      </w:r>
    </w:p>
    <w:p w:rsidR="00226606" w:rsidRPr="00ED7328" w:rsidRDefault="00226606" w:rsidP="00ED298D">
      <w:pPr>
        <w:ind w:left="426" w:hanging="426"/>
        <w:jc w:val="both"/>
        <w:rPr>
          <w:sz w:val="20"/>
          <w:szCs w:val="20"/>
        </w:rPr>
      </w:pPr>
      <w:proofErr w:type="spellStart"/>
      <w:r w:rsidRPr="00ED7328">
        <w:rPr>
          <w:sz w:val="20"/>
          <w:szCs w:val="20"/>
        </w:rPr>
        <w:t>Gorard</w:t>
      </w:r>
      <w:proofErr w:type="spellEnd"/>
      <w:r w:rsidRPr="00ED7328">
        <w:rPr>
          <w:sz w:val="20"/>
          <w:szCs w:val="20"/>
        </w:rPr>
        <w:t xml:space="preserve">, S, Smith, E, Thomas, L, </w:t>
      </w:r>
      <w:proofErr w:type="spellStart"/>
      <w:r w:rsidRPr="00ED7328">
        <w:rPr>
          <w:sz w:val="20"/>
          <w:szCs w:val="20"/>
        </w:rPr>
        <w:t>Adnett</w:t>
      </w:r>
      <w:proofErr w:type="spellEnd"/>
      <w:r w:rsidRPr="00ED7328">
        <w:rPr>
          <w:sz w:val="20"/>
          <w:szCs w:val="20"/>
        </w:rPr>
        <w:t xml:space="preserve">, N and Slack, K (2006) </w:t>
      </w:r>
      <w:r w:rsidRPr="00ED7328">
        <w:rPr>
          <w:i/>
          <w:iCs/>
          <w:sz w:val="20"/>
          <w:szCs w:val="20"/>
        </w:rPr>
        <w:t>Review of widening participation research: addressing the barriers to participation in higher education</w:t>
      </w:r>
      <w:r w:rsidRPr="00ED7328">
        <w:rPr>
          <w:iCs/>
          <w:sz w:val="20"/>
          <w:szCs w:val="20"/>
        </w:rPr>
        <w:t>, B</w:t>
      </w:r>
      <w:r w:rsidRPr="00ED7328">
        <w:rPr>
          <w:sz w:val="20"/>
          <w:szCs w:val="20"/>
        </w:rPr>
        <w:t>ristol: Higher Education Funding Council for England.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Haas, P and Springer, J (1998) </w:t>
      </w:r>
      <w:r w:rsidRPr="00ED7328">
        <w:rPr>
          <w:i/>
          <w:iCs/>
          <w:color w:val="000000"/>
          <w:sz w:val="20"/>
          <w:szCs w:val="20"/>
        </w:rPr>
        <w:t>Applied policy research: concepts and cases</w:t>
      </w:r>
      <w:r w:rsidR="00F1456B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London: Taylor and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Francis.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Hargreaves, D (1999) </w:t>
      </w:r>
      <w:r w:rsidR="00F1456B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Revitalising educational research: lessons from the past and proposals for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the future</w:t>
      </w:r>
      <w:r w:rsidR="00F1456B" w:rsidRPr="00ED7328">
        <w:rPr>
          <w:color w:val="000000"/>
          <w:sz w:val="20"/>
          <w:szCs w:val="20"/>
        </w:rPr>
        <w:t xml:space="preserve">’, </w:t>
      </w:r>
      <w:r w:rsidRPr="00ED7328">
        <w:rPr>
          <w:i/>
          <w:iCs/>
          <w:color w:val="000000"/>
          <w:sz w:val="20"/>
          <w:szCs w:val="20"/>
        </w:rPr>
        <w:t xml:space="preserve">Cambridge Journal of Education </w:t>
      </w:r>
      <w:r w:rsidR="00F1456B" w:rsidRPr="00ED7328">
        <w:rPr>
          <w:color w:val="000000"/>
          <w:sz w:val="20"/>
          <w:szCs w:val="20"/>
        </w:rPr>
        <w:t>29: 239-249</w:t>
      </w:r>
    </w:p>
    <w:p w:rsidR="009D35F5" w:rsidRPr="00ED7328" w:rsidRDefault="009D35F5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>Harrison, N (2011) ‘</w:t>
      </w:r>
      <w:r w:rsidRPr="00ED7328">
        <w:rPr>
          <w:sz w:val="20"/>
          <w:szCs w:val="20"/>
        </w:rPr>
        <w:t>Have the changes introduced by the 2004 Higher Education Act made higher education admissions in England wider and fairer?’</w:t>
      </w:r>
      <w:r w:rsidRPr="00ED7328">
        <w:rPr>
          <w:b/>
          <w:sz w:val="20"/>
          <w:szCs w:val="20"/>
        </w:rPr>
        <w:t xml:space="preserve">, </w:t>
      </w:r>
      <w:r w:rsidRPr="00ED7328">
        <w:rPr>
          <w:i/>
          <w:sz w:val="20"/>
          <w:szCs w:val="20"/>
        </w:rPr>
        <w:t>Journal of Education Policy</w:t>
      </w:r>
      <w:r w:rsidRPr="00ED7328">
        <w:rPr>
          <w:sz w:val="20"/>
          <w:szCs w:val="20"/>
        </w:rPr>
        <w:t xml:space="preserve"> 26 : 449-468</w:t>
      </w:r>
    </w:p>
    <w:p w:rsidR="001A4971" w:rsidRPr="00ED7328" w:rsidRDefault="001A4971" w:rsidP="001A4971">
      <w:pPr>
        <w:ind w:left="425" w:hanging="425"/>
        <w:rPr>
          <w:bCs/>
          <w:i/>
          <w:color w:val="000000" w:themeColor="text1"/>
          <w:sz w:val="20"/>
          <w:szCs w:val="20"/>
        </w:rPr>
      </w:pPr>
      <w:r w:rsidRPr="00ED7328">
        <w:rPr>
          <w:bCs/>
          <w:sz w:val="20"/>
          <w:szCs w:val="20"/>
        </w:rPr>
        <w:t xml:space="preserve">Harrison, N (in press) Modelling the demand for higher education by local authority area in England using academic, economic and social data, </w:t>
      </w:r>
      <w:r w:rsidRPr="00ED7328">
        <w:rPr>
          <w:bCs/>
          <w:i/>
          <w:sz w:val="20"/>
          <w:szCs w:val="20"/>
        </w:rPr>
        <w:t>British Educational Research Journal</w:t>
      </w:r>
      <w:r w:rsidRPr="00ED7328">
        <w:rPr>
          <w:bCs/>
          <w:sz w:val="20"/>
          <w:szCs w:val="20"/>
        </w:rPr>
        <w:t xml:space="preserve"> (awaiting publication)</w:t>
      </w:r>
    </w:p>
    <w:p w:rsidR="00ED298D" w:rsidRPr="00ED7328" w:rsidRDefault="00ED298D" w:rsidP="00ED298D">
      <w:pPr>
        <w:ind w:left="426" w:hanging="426"/>
        <w:jc w:val="both"/>
        <w:rPr>
          <w:color w:val="000000" w:themeColor="text1"/>
          <w:sz w:val="20"/>
          <w:szCs w:val="20"/>
        </w:rPr>
      </w:pPr>
      <w:r w:rsidRPr="00ED7328">
        <w:rPr>
          <w:color w:val="000000" w:themeColor="text1"/>
          <w:sz w:val="20"/>
          <w:szCs w:val="20"/>
        </w:rPr>
        <w:t xml:space="preserve">Harrison, N and </w:t>
      </w:r>
      <w:proofErr w:type="spellStart"/>
      <w:r w:rsidRPr="00ED7328">
        <w:rPr>
          <w:color w:val="000000" w:themeColor="text1"/>
          <w:sz w:val="20"/>
          <w:szCs w:val="20"/>
        </w:rPr>
        <w:t>Hatt</w:t>
      </w:r>
      <w:proofErr w:type="spellEnd"/>
      <w:r w:rsidRPr="00ED7328">
        <w:rPr>
          <w:color w:val="000000" w:themeColor="text1"/>
          <w:sz w:val="20"/>
          <w:szCs w:val="20"/>
        </w:rPr>
        <w:t>, S (2009a) ‘</w:t>
      </w:r>
      <w:r w:rsidRPr="00ED7328">
        <w:rPr>
          <w:bCs/>
          <w:color w:val="000000" w:themeColor="text1"/>
          <w:sz w:val="20"/>
          <w:szCs w:val="20"/>
        </w:rPr>
        <w:t>“Ta</w:t>
      </w:r>
      <w:r w:rsidR="009D35F5" w:rsidRPr="00ED7328">
        <w:rPr>
          <w:bCs/>
          <w:color w:val="000000" w:themeColor="text1"/>
          <w:sz w:val="20"/>
          <w:szCs w:val="20"/>
        </w:rPr>
        <w:t>rgeting disadvantaged learners”</w:t>
      </w:r>
      <w:r w:rsidRPr="00ED7328">
        <w:rPr>
          <w:bCs/>
          <w:color w:val="000000" w:themeColor="text1"/>
          <w:sz w:val="20"/>
          <w:szCs w:val="20"/>
        </w:rPr>
        <w:t>: will we really narrow the social class gap in</w:t>
      </w:r>
      <w:r w:rsidRPr="00ED7328">
        <w:rPr>
          <w:color w:val="000000" w:themeColor="text1"/>
          <w:sz w:val="20"/>
          <w:szCs w:val="20"/>
        </w:rPr>
        <w:t xml:space="preserve"> </w:t>
      </w:r>
      <w:r w:rsidRPr="00ED7328">
        <w:rPr>
          <w:bCs/>
          <w:color w:val="000000" w:themeColor="text1"/>
          <w:sz w:val="20"/>
          <w:szCs w:val="20"/>
        </w:rPr>
        <w:t xml:space="preserve">participation by targeting our most deprived communities first?’, </w:t>
      </w:r>
      <w:r w:rsidRPr="00ED7328">
        <w:rPr>
          <w:bCs/>
          <w:i/>
          <w:color w:val="000000" w:themeColor="text1"/>
          <w:sz w:val="20"/>
          <w:szCs w:val="20"/>
        </w:rPr>
        <w:t xml:space="preserve">Journal of Access Policy and Practice </w:t>
      </w:r>
      <w:r w:rsidRPr="00ED7328">
        <w:rPr>
          <w:bCs/>
          <w:color w:val="000000" w:themeColor="text1"/>
          <w:sz w:val="20"/>
          <w:szCs w:val="20"/>
        </w:rPr>
        <w:t>6: 61-80</w:t>
      </w:r>
    </w:p>
    <w:p w:rsidR="00ED298D" w:rsidRPr="00ED7328" w:rsidRDefault="00ED298D" w:rsidP="00ED298D">
      <w:pPr>
        <w:ind w:left="426" w:hanging="426"/>
        <w:jc w:val="both"/>
        <w:rPr>
          <w:color w:val="000000" w:themeColor="text1"/>
          <w:sz w:val="20"/>
          <w:szCs w:val="20"/>
        </w:rPr>
      </w:pPr>
      <w:r w:rsidRPr="00ED7328">
        <w:rPr>
          <w:color w:val="000000" w:themeColor="text1"/>
          <w:sz w:val="20"/>
          <w:szCs w:val="20"/>
        </w:rPr>
        <w:t xml:space="preserve">Harrison, N and </w:t>
      </w:r>
      <w:proofErr w:type="spellStart"/>
      <w:r w:rsidRPr="00ED7328">
        <w:rPr>
          <w:color w:val="000000" w:themeColor="text1"/>
          <w:sz w:val="20"/>
          <w:szCs w:val="20"/>
        </w:rPr>
        <w:t>Hatt</w:t>
      </w:r>
      <w:proofErr w:type="spellEnd"/>
      <w:r w:rsidRPr="00ED7328">
        <w:rPr>
          <w:color w:val="000000" w:themeColor="text1"/>
          <w:sz w:val="20"/>
          <w:szCs w:val="20"/>
        </w:rPr>
        <w:t xml:space="preserve">, S (2009b) ‘Knowing the ‘unknowns’: who are the full-time undergraduates whose social class is not known and what are the implications for widening participation policy?’, </w:t>
      </w:r>
      <w:r w:rsidRPr="00ED7328">
        <w:rPr>
          <w:i/>
          <w:iCs/>
          <w:color w:val="000000" w:themeColor="text1"/>
          <w:sz w:val="20"/>
          <w:szCs w:val="20"/>
        </w:rPr>
        <w:t xml:space="preserve">Journal of Further and Higher Education </w:t>
      </w:r>
      <w:r w:rsidRPr="00ED7328">
        <w:rPr>
          <w:color w:val="000000" w:themeColor="text1"/>
          <w:sz w:val="20"/>
          <w:szCs w:val="20"/>
        </w:rPr>
        <w:t>33 : 347-357</w:t>
      </w:r>
    </w:p>
    <w:p w:rsidR="00ED298D" w:rsidRPr="00ED7328" w:rsidRDefault="00ED298D" w:rsidP="00ED298D">
      <w:pPr>
        <w:ind w:left="426" w:hanging="426"/>
        <w:jc w:val="both"/>
        <w:rPr>
          <w:color w:val="000000" w:themeColor="text1"/>
          <w:sz w:val="20"/>
          <w:szCs w:val="20"/>
        </w:rPr>
      </w:pPr>
      <w:r w:rsidRPr="00ED7328">
        <w:rPr>
          <w:color w:val="000000" w:themeColor="text1"/>
          <w:sz w:val="20"/>
          <w:szCs w:val="20"/>
        </w:rPr>
        <w:t xml:space="preserve">Harrison, N and </w:t>
      </w:r>
      <w:proofErr w:type="spellStart"/>
      <w:r w:rsidRPr="00ED7328">
        <w:rPr>
          <w:color w:val="000000" w:themeColor="text1"/>
          <w:sz w:val="20"/>
          <w:szCs w:val="20"/>
        </w:rPr>
        <w:t>Hatt</w:t>
      </w:r>
      <w:proofErr w:type="spellEnd"/>
      <w:r w:rsidRPr="00ED7328">
        <w:rPr>
          <w:color w:val="000000" w:themeColor="text1"/>
          <w:sz w:val="20"/>
          <w:szCs w:val="20"/>
        </w:rPr>
        <w:t xml:space="preserve">, S (2010) ‘“Disadvantaged learners”: who are we targeting?  Understanding the targeting of widening participation activity using geo-demographic data from Southwest England’, </w:t>
      </w:r>
      <w:r w:rsidRPr="00ED7328">
        <w:rPr>
          <w:i/>
          <w:iCs/>
          <w:color w:val="000000" w:themeColor="text1"/>
          <w:sz w:val="20"/>
          <w:szCs w:val="20"/>
        </w:rPr>
        <w:t>Higher Education Quarterly</w:t>
      </w:r>
      <w:r w:rsidRPr="00ED7328">
        <w:rPr>
          <w:color w:val="000000" w:themeColor="text1"/>
          <w:sz w:val="20"/>
          <w:szCs w:val="20"/>
        </w:rPr>
        <w:t xml:space="preserve"> 64 : 65-88</w:t>
      </w:r>
    </w:p>
    <w:p w:rsidR="00FF19F8" w:rsidRPr="00ED7328" w:rsidRDefault="00ED298D" w:rsidP="00ED298D">
      <w:pPr>
        <w:autoSpaceDE w:val="0"/>
        <w:autoSpaceDN w:val="0"/>
        <w:adjustRightInd w:val="0"/>
        <w:ind w:left="284" w:hanging="284"/>
        <w:jc w:val="both"/>
        <w:rPr>
          <w:color w:val="FF0000"/>
          <w:sz w:val="20"/>
          <w:szCs w:val="20"/>
        </w:rPr>
      </w:pPr>
      <w:r w:rsidRPr="00ED7328">
        <w:rPr>
          <w:bCs/>
          <w:sz w:val="20"/>
          <w:szCs w:val="20"/>
        </w:rPr>
        <w:lastRenderedPageBreak/>
        <w:t xml:space="preserve">Harrison, N and </w:t>
      </w:r>
      <w:proofErr w:type="spellStart"/>
      <w:r w:rsidRPr="00ED7328">
        <w:rPr>
          <w:bCs/>
          <w:sz w:val="20"/>
          <w:szCs w:val="20"/>
        </w:rPr>
        <w:t>Hatt</w:t>
      </w:r>
      <w:proofErr w:type="spellEnd"/>
      <w:r w:rsidRPr="00ED7328">
        <w:rPr>
          <w:bCs/>
          <w:sz w:val="20"/>
          <w:szCs w:val="20"/>
        </w:rPr>
        <w:t>, S (2012) ‘</w:t>
      </w:r>
      <w:r w:rsidRPr="00ED7328">
        <w:rPr>
          <w:sz w:val="20"/>
          <w:szCs w:val="20"/>
        </w:rPr>
        <w:t xml:space="preserve">Expensive and failing? The role of student bursaries in widening participation and fair access in England’, </w:t>
      </w:r>
      <w:r w:rsidRPr="00ED7328">
        <w:rPr>
          <w:i/>
          <w:sz w:val="20"/>
          <w:szCs w:val="20"/>
        </w:rPr>
        <w:t xml:space="preserve">Studies in Higher Education </w:t>
      </w:r>
      <w:r w:rsidRPr="00ED7328">
        <w:rPr>
          <w:sz w:val="20"/>
          <w:szCs w:val="20"/>
        </w:rPr>
        <w:t>37: 695-712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Hatt</w:t>
      </w:r>
      <w:proofErr w:type="spellEnd"/>
      <w:r w:rsidRPr="00ED7328">
        <w:rPr>
          <w:color w:val="000000"/>
          <w:sz w:val="20"/>
          <w:szCs w:val="20"/>
        </w:rPr>
        <w:t xml:space="preserve">, S, Baxter, A and Tate, J (2005) </w:t>
      </w:r>
      <w:r w:rsidR="00F1456B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Who benefits from widening participation? A study of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targeting in the South West of England</w:t>
      </w:r>
      <w:r w:rsidR="00F1456B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Journal of Further and Higher Education </w:t>
      </w:r>
      <w:r w:rsidRPr="00ED7328">
        <w:rPr>
          <w:color w:val="000000"/>
          <w:sz w:val="20"/>
          <w:szCs w:val="20"/>
        </w:rPr>
        <w:t>29: 341-</w:t>
      </w:r>
      <w:r w:rsidR="00F1456B" w:rsidRPr="00ED7328">
        <w:rPr>
          <w:color w:val="000000"/>
          <w:sz w:val="20"/>
          <w:szCs w:val="20"/>
        </w:rPr>
        <w:t>351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Hatt</w:t>
      </w:r>
      <w:proofErr w:type="spellEnd"/>
      <w:r w:rsidRPr="00ED7328">
        <w:rPr>
          <w:color w:val="000000"/>
          <w:sz w:val="20"/>
          <w:szCs w:val="20"/>
        </w:rPr>
        <w:t xml:space="preserve">, S, Baxter, A and Tate, J (2008) </w:t>
      </w:r>
      <w:r w:rsidR="00F1456B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‘The best governm</w:t>
      </w:r>
      <w:r w:rsidR="00F1456B" w:rsidRPr="00ED7328">
        <w:rPr>
          <w:color w:val="000000"/>
          <w:sz w:val="20"/>
          <w:szCs w:val="20"/>
        </w:rPr>
        <w:t>ent initiative in recent years’.</w:t>
      </w:r>
      <w:r w:rsidRPr="00ED7328">
        <w:rPr>
          <w:color w:val="000000"/>
          <w:sz w:val="20"/>
          <w:szCs w:val="20"/>
        </w:rPr>
        <w:t xml:space="preserve"> Teachers'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perceptions of the Aimhigher programme in the South West of England</w:t>
      </w:r>
      <w:r w:rsidR="00F1456B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Journal of Further</w:t>
      </w:r>
      <w:r w:rsidR="00F1456B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and Higher Education </w:t>
      </w:r>
      <w:r w:rsidR="00F1456B" w:rsidRPr="00ED7328">
        <w:rPr>
          <w:color w:val="000000"/>
          <w:sz w:val="20"/>
          <w:szCs w:val="20"/>
        </w:rPr>
        <w:t>32: 129-138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Higher Education Funding Council for England [HEFCE] (2004) </w:t>
      </w:r>
      <w:r w:rsidRPr="00ED7328">
        <w:rPr>
          <w:i/>
          <w:iCs/>
          <w:color w:val="000000"/>
          <w:sz w:val="20"/>
          <w:szCs w:val="20"/>
        </w:rPr>
        <w:t>Aimhigher: guidance notes for</w:t>
      </w:r>
      <w:r w:rsidR="00F1456B" w:rsidRPr="00ED7328">
        <w:rPr>
          <w:i/>
          <w:iCs/>
          <w:color w:val="000000"/>
          <w:sz w:val="20"/>
          <w:szCs w:val="20"/>
        </w:rPr>
        <w:t xml:space="preserve"> I</w:t>
      </w:r>
      <w:r w:rsidRPr="00ED7328">
        <w:rPr>
          <w:i/>
          <w:iCs/>
          <w:color w:val="000000"/>
          <w:sz w:val="20"/>
          <w:szCs w:val="20"/>
        </w:rPr>
        <w:t>ntegration</w:t>
      </w:r>
      <w:r w:rsidR="00F1456B" w:rsidRPr="00ED7328">
        <w:rPr>
          <w:color w:val="000000"/>
          <w:sz w:val="20"/>
          <w:szCs w:val="20"/>
        </w:rPr>
        <w:t>, Report 2004/08, Bristol: HEFCE</w:t>
      </w:r>
    </w:p>
    <w:p w:rsidR="00ED298D" w:rsidRPr="00ED7328" w:rsidRDefault="00ED298D" w:rsidP="00ED298D">
      <w:pPr>
        <w:autoSpaceDE w:val="0"/>
        <w:autoSpaceDN w:val="0"/>
        <w:adjustRightInd w:val="0"/>
        <w:ind w:left="425" w:hanging="425"/>
        <w:jc w:val="both"/>
        <w:rPr>
          <w:bCs/>
          <w:sz w:val="20"/>
          <w:szCs w:val="20"/>
        </w:rPr>
      </w:pPr>
      <w:r w:rsidRPr="00ED7328">
        <w:rPr>
          <w:bCs/>
          <w:sz w:val="20"/>
          <w:szCs w:val="20"/>
        </w:rPr>
        <w:t>Higher Education Funding Council for England [HEFCE] (2005)</w:t>
      </w:r>
      <w:r w:rsidRPr="00ED7328">
        <w:rPr>
          <w:bCs/>
          <w:i/>
          <w:iCs/>
          <w:sz w:val="20"/>
          <w:szCs w:val="20"/>
        </w:rPr>
        <w:t xml:space="preserve"> Young participation in higher education</w:t>
      </w:r>
      <w:r w:rsidRPr="00ED7328">
        <w:rPr>
          <w:bCs/>
          <w:sz w:val="20"/>
          <w:szCs w:val="20"/>
        </w:rPr>
        <w:t>, Report 2005/03, Bristol: HEFCE.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Higher Education Funding Council for England [HEFCE] (2007) </w:t>
      </w:r>
      <w:r w:rsidRPr="00ED7328">
        <w:rPr>
          <w:i/>
          <w:iCs/>
          <w:color w:val="000000"/>
          <w:sz w:val="20"/>
          <w:szCs w:val="20"/>
        </w:rPr>
        <w:t>Higher education outreach:</w:t>
      </w:r>
      <w:r w:rsidR="00F1456B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targeting disadvantaged learners</w:t>
      </w:r>
      <w:r w:rsidR="00F1456B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Report 2007/12</w:t>
      </w:r>
      <w:r w:rsidR="00F1456B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Bristol</w:t>
      </w:r>
      <w:r w:rsidR="00F1456B" w:rsidRPr="00ED7328">
        <w:rPr>
          <w:color w:val="000000"/>
          <w:sz w:val="20"/>
          <w:szCs w:val="20"/>
        </w:rPr>
        <w:t>: HEFCE</w:t>
      </w:r>
    </w:p>
    <w:p w:rsidR="00ED298D" w:rsidRPr="00ED7328" w:rsidRDefault="00ED298D" w:rsidP="00ED298D">
      <w:pPr>
        <w:ind w:left="425" w:hanging="425"/>
        <w:jc w:val="both"/>
        <w:rPr>
          <w:color w:val="000000" w:themeColor="text1"/>
          <w:sz w:val="20"/>
          <w:szCs w:val="20"/>
        </w:rPr>
      </w:pPr>
      <w:r w:rsidRPr="00ED7328">
        <w:rPr>
          <w:color w:val="000000" w:themeColor="text1"/>
          <w:sz w:val="20"/>
          <w:szCs w:val="20"/>
        </w:rPr>
        <w:t xml:space="preserve">Higher Education Funding Council for England [HEFCE] (2008) </w:t>
      </w:r>
      <w:r w:rsidRPr="00ED7328">
        <w:rPr>
          <w:bCs/>
          <w:i/>
          <w:kern w:val="36"/>
          <w:sz w:val="20"/>
          <w:szCs w:val="20"/>
        </w:rPr>
        <w:t>Guidance for Aimhigher partnerships: updated for the 2008-2011 programme</w:t>
      </w:r>
      <w:r w:rsidRPr="00ED7328">
        <w:rPr>
          <w:bCs/>
          <w:kern w:val="36"/>
          <w:sz w:val="20"/>
          <w:szCs w:val="20"/>
        </w:rPr>
        <w:t>, Report 2008/05, Bristol: HEFCE.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Higher Education Funding Council for England [HEFCE] (2010a) </w:t>
      </w:r>
      <w:r w:rsidRPr="00ED7328">
        <w:rPr>
          <w:i/>
          <w:iCs/>
          <w:color w:val="000000"/>
          <w:sz w:val="20"/>
          <w:szCs w:val="20"/>
        </w:rPr>
        <w:t>Trends in young participation in</w:t>
      </w:r>
      <w:r w:rsidR="00F1456B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higher education: core results for England</w:t>
      </w:r>
      <w:r w:rsidR="00F1456B" w:rsidRPr="00ED7328">
        <w:rPr>
          <w:color w:val="000000"/>
          <w:sz w:val="20"/>
          <w:szCs w:val="20"/>
        </w:rPr>
        <w:t>, Report 2010/03,</w:t>
      </w:r>
      <w:r w:rsidRPr="00ED7328">
        <w:rPr>
          <w:color w:val="000000"/>
          <w:sz w:val="20"/>
          <w:szCs w:val="20"/>
        </w:rPr>
        <w:t xml:space="preserve"> Bristol</w:t>
      </w:r>
      <w:r w:rsidR="00F1456B" w:rsidRPr="00ED7328">
        <w:rPr>
          <w:color w:val="000000"/>
          <w:sz w:val="20"/>
          <w:szCs w:val="20"/>
        </w:rPr>
        <w:t>: HEFCE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Higher Education Funding Council for England [HEFCE] (2010b) </w:t>
      </w:r>
      <w:r w:rsidRPr="00ED7328">
        <w:rPr>
          <w:i/>
          <w:iCs/>
          <w:color w:val="000000"/>
          <w:sz w:val="20"/>
          <w:szCs w:val="20"/>
        </w:rPr>
        <w:t>Aimhigher summer schools:</w:t>
      </w:r>
      <w:r w:rsidR="00F1456B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participants and progression to higher education</w:t>
      </w:r>
      <w:r w:rsidR="00F1456B" w:rsidRPr="00ED7328">
        <w:rPr>
          <w:color w:val="000000"/>
          <w:sz w:val="20"/>
          <w:szCs w:val="20"/>
        </w:rPr>
        <w:t>, Report 2010/32,</w:t>
      </w:r>
      <w:r w:rsidRPr="00ED7328">
        <w:rPr>
          <w:color w:val="000000"/>
          <w:sz w:val="20"/>
          <w:szCs w:val="20"/>
        </w:rPr>
        <w:t xml:space="preserve"> Bristol</w:t>
      </w:r>
      <w:r w:rsidR="00F1456B" w:rsidRPr="00ED7328">
        <w:rPr>
          <w:color w:val="000000"/>
          <w:sz w:val="20"/>
          <w:szCs w:val="20"/>
        </w:rPr>
        <w:t>: HEFCE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>Higher Education Funding Council for England [HEFCE] (2011) Detailed data underpinning Report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2010/03, pro</w:t>
      </w:r>
      <w:r w:rsidR="00F1456B" w:rsidRPr="00ED7328">
        <w:rPr>
          <w:color w:val="000000"/>
          <w:sz w:val="20"/>
          <w:szCs w:val="20"/>
        </w:rPr>
        <w:t>vided by personal communication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Higher Education Statistics Agency [HESA] (2012) </w:t>
      </w:r>
      <w:r w:rsidRPr="00ED7328">
        <w:rPr>
          <w:i/>
          <w:iCs/>
          <w:color w:val="000000"/>
          <w:sz w:val="20"/>
          <w:szCs w:val="20"/>
        </w:rPr>
        <w:t>Performance indicators: definitions</w:t>
      </w:r>
      <w:r w:rsidR="00F1456B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Accessed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at www.hesa.ac.uk/index.php?optio</w:t>
      </w:r>
      <w:r w:rsidR="00F1456B" w:rsidRPr="00ED7328">
        <w:rPr>
          <w:color w:val="000000"/>
          <w:sz w:val="20"/>
          <w:szCs w:val="20"/>
        </w:rPr>
        <w:t>n=com_content&amp;task=view&amp;id=2379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Hillage</w:t>
      </w:r>
      <w:proofErr w:type="spellEnd"/>
      <w:r w:rsidRPr="00ED7328">
        <w:rPr>
          <w:color w:val="000000"/>
          <w:sz w:val="20"/>
          <w:szCs w:val="20"/>
        </w:rPr>
        <w:t xml:space="preserve">, J, Pearson, R, Anderson, A and </w:t>
      </w:r>
      <w:proofErr w:type="spellStart"/>
      <w:r w:rsidRPr="00ED7328">
        <w:rPr>
          <w:color w:val="000000"/>
          <w:sz w:val="20"/>
          <w:szCs w:val="20"/>
        </w:rPr>
        <w:t>Tamkin</w:t>
      </w:r>
      <w:proofErr w:type="spellEnd"/>
      <w:r w:rsidRPr="00ED7328">
        <w:rPr>
          <w:color w:val="000000"/>
          <w:sz w:val="20"/>
          <w:szCs w:val="20"/>
        </w:rPr>
        <w:t xml:space="preserve">, P (1998) </w:t>
      </w:r>
      <w:r w:rsidRPr="00ED7328">
        <w:rPr>
          <w:i/>
          <w:iCs/>
          <w:color w:val="000000"/>
          <w:sz w:val="20"/>
          <w:szCs w:val="20"/>
        </w:rPr>
        <w:t>Excellence in research on schools</w:t>
      </w:r>
      <w:r w:rsidR="00F1456B" w:rsidRPr="00ED7328">
        <w:rPr>
          <w:i/>
          <w:iCs/>
          <w:color w:val="000000"/>
          <w:sz w:val="20"/>
          <w:szCs w:val="20"/>
        </w:rPr>
        <w:t xml:space="preserve">, </w:t>
      </w:r>
      <w:r w:rsidRPr="00ED7328">
        <w:rPr>
          <w:color w:val="000000"/>
          <w:sz w:val="20"/>
          <w:szCs w:val="20"/>
        </w:rPr>
        <w:t>DFEE</w:t>
      </w:r>
      <w:r w:rsidR="00F1456B" w:rsidRPr="00ED7328">
        <w:rPr>
          <w:color w:val="000000"/>
          <w:sz w:val="20"/>
          <w:szCs w:val="20"/>
        </w:rPr>
        <w:t xml:space="preserve"> Research Report RR74, Sudbury: DFEE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Hobbs, G and </w:t>
      </w:r>
      <w:proofErr w:type="spellStart"/>
      <w:r w:rsidRPr="00ED7328">
        <w:rPr>
          <w:color w:val="000000"/>
          <w:sz w:val="20"/>
          <w:szCs w:val="20"/>
        </w:rPr>
        <w:t>Vignoles</w:t>
      </w:r>
      <w:proofErr w:type="spellEnd"/>
      <w:r w:rsidRPr="00ED7328">
        <w:rPr>
          <w:color w:val="000000"/>
          <w:sz w:val="20"/>
          <w:szCs w:val="20"/>
        </w:rPr>
        <w:t xml:space="preserve">, A (2007) </w:t>
      </w:r>
      <w:r w:rsidRPr="00ED7328">
        <w:rPr>
          <w:i/>
          <w:iCs/>
          <w:color w:val="000000"/>
          <w:sz w:val="20"/>
          <w:szCs w:val="20"/>
        </w:rPr>
        <w:t>Is free schools meals status a valid proxy for socio-economic</w:t>
      </w:r>
      <w:r w:rsidR="00F1456B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status (in schools research)</w:t>
      </w:r>
      <w:r w:rsidRPr="00ED7328">
        <w:rPr>
          <w:color w:val="000000"/>
          <w:sz w:val="20"/>
          <w:szCs w:val="20"/>
        </w:rPr>
        <w:t>?</w:t>
      </w:r>
      <w:r w:rsidR="00F1456B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 : Centre for the Economics of Education, London</w:t>
      </w:r>
      <w:r w:rsidR="00F1456B" w:rsidRPr="00ED7328">
        <w:rPr>
          <w:color w:val="000000"/>
          <w:sz w:val="20"/>
          <w:szCs w:val="20"/>
        </w:rPr>
        <w:t xml:space="preserve"> School of Economics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Hoare, A and Johnston, R (2011) </w:t>
      </w:r>
      <w:r w:rsidR="00F1456B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Widening participation through admissions policy - a British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case study of school and university performance</w:t>
      </w:r>
      <w:r w:rsidR="00F1456B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Studies in Higher Education </w:t>
      </w:r>
      <w:r w:rsidR="00F1456B" w:rsidRPr="00ED7328">
        <w:rPr>
          <w:color w:val="000000"/>
          <w:sz w:val="20"/>
          <w:szCs w:val="20"/>
        </w:rPr>
        <w:t>36: 21-41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Hodkinson</w:t>
      </w:r>
      <w:proofErr w:type="spellEnd"/>
      <w:r w:rsidRPr="00ED7328">
        <w:rPr>
          <w:color w:val="000000"/>
          <w:sz w:val="20"/>
          <w:szCs w:val="20"/>
        </w:rPr>
        <w:t xml:space="preserve">, P (2004) </w:t>
      </w:r>
      <w:r w:rsidR="00F1456B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Research as a form of work: expertise, community and methodological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objectivity</w:t>
      </w:r>
      <w:r w:rsidR="00F1456B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British Educational Research Journal </w:t>
      </w:r>
      <w:r w:rsidR="00F1456B" w:rsidRPr="00ED7328">
        <w:rPr>
          <w:color w:val="000000"/>
          <w:sz w:val="20"/>
          <w:szCs w:val="20"/>
        </w:rPr>
        <w:t>30: 9-26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Jones, R and Thomas, L (2005) </w:t>
      </w:r>
      <w:r w:rsidR="00F1456B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The 2003 UK Government higher education White Paper: a</w:t>
      </w:r>
      <w:r w:rsidR="00F1456B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critical assessment of its implications for the access an</w:t>
      </w:r>
      <w:r w:rsidR="00F1456B" w:rsidRPr="00ED7328">
        <w:rPr>
          <w:color w:val="000000"/>
          <w:sz w:val="20"/>
          <w:szCs w:val="20"/>
        </w:rPr>
        <w:t xml:space="preserve">d widening participation agenda’, </w:t>
      </w:r>
      <w:r w:rsidRPr="00ED7328">
        <w:rPr>
          <w:i/>
          <w:iCs/>
          <w:color w:val="000000"/>
          <w:sz w:val="20"/>
          <w:szCs w:val="20"/>
        </w:rPr>
        <w:t xml:space="preserve">Journal of Education Policy </w:t>
      </w:r>
      <w:r w:rsidR="00F1456B" w:rsidRPr="00ED7328">
        <w:rPr>
          <w:color w:val="000000"/>
          <w:sz w:val="20"/>
          <w:szCs w:val="20"/>
        </w:rPr>
        <w:t>20: 615-630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Kelly, K and Cook, S (2007) </w:t>
      </w:r>
      <w:r w:rsidRPr="00ED7328">
        <w:rPr>
          <w:i/>
          <w:iCs/>
          <w:color w:val="000000"/>
          <w:sz w:val="20"/>
          <w:szCs w:val="20"/>
        </w:rPr>
        <w:t>Full-time young participation by socio-economic class: a new</w:t>
      </w:r>
      <w:r w:rsidR="00F1456B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widening participation measure in higher education</w:t>
      </w:r>
      <w:r w:rsidR="00C64BE5" w:rsidRPr="00ED7328">
        <w:rPr>
          <w:i/>
          <w:iCs/>
          <w:color w:val="000000"/>
          <w:sz w:val="20"/>
          <w:szCs w:val="20"/>
        </w:rPr>
        <w:t xml:space="preserve">, 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ED7328">
        <w:rPr>
          <w:color w:val="000000"/>
          <w:sz w:val="20"/>
          <w:szCs w:val="20"/>
        </w:rPr>
        <w:t>DfES</w:t>
      </w:r>
      <w:proofErr w:type="spellEnd"/>
      <w:r w:rsidRPr="00ED7328">
        <w:rPr>
          <w:color w:val="000000"/>
          <w:sz w:val="20"/>
          <w:szCs w:val="20"/>
        </w:rPr>
        <w:t xml:space="preserve"> Rep</w:t>
      </w:r>
      <w:r w:rsidR="00C64BE5" w:rsidRPr="00ED7328">
        <w:rPr>
          <w:color w:val="000000"/>
          <w:sz w:val="20"/>
          <w:szCs w:val="20"/>
        </w:rPr>
        <w:t>ort RR806,</w:t>
      </w:r>
      <w:r w:rsidRPr="00ED7328">
        <w:rPr>
          <w:color w:val="000000"/>
          <w:sz w:val="20"/>
          <w:szCs w:val="20"/>
        </w:rPr>
        <w:t xml:space="preserve"> London</w:t>
      </w:r>
      <w:r w:rsidR="00C64BE5" w:rsidRPr="00ED7328">
        <w:rPr>
          <w:color w:val="000000"/>
          <w:sz w:val="20"/>
          <w:szCs w:val="20"/>
        </w:rPr>
        <w:t xml:space="preserve">: </w:t>
      </w:r>
      <w:proofErr w:type="spellStart"/>
      <w:r w:rsidR="00C64BE5" w:rsidRPr="00ED7328">
        <w:rPr>
          <w:color w:val="000000"/>
          <w:sz w:val="20"/>
          <w:szCs w:val="20"/>
        </w:rPr>
        <w:t>DfES</w:t>
      </w:r>
      <w:proofErr w:type="spellEnd"/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Lather, P (2004) </w:t>
      </w:r>
      <w:r w:rsidR="00C64BE5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Scientific research in education: a critical perspective</w:t>
      </w:r>
      <w:r w:rsidR="00C64BE5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color w:val="000000"/>
          <w:sz w:val="20"/>
          <w:szCs w:val="20"/>
        </w:rPr>
        <w:t>British Educational</w:t>
      </w:r>
      <w:r w:rsidR="00C64BE5" w:rsidRPr="00ED7328">
        <w:rPr>
          <w:i/>
          <w:color w:val="000000"/>
          <w:sz w:val="20"/>
          <w:szCs w:val="20"/>
        </w:rPr>
        <w:t xml:space="preserve"> </w:t>
      </w:r>
      <w:r w:rsidRPr="00ED7328">
        <w:rPr>
          <w:i/>
          <w:color w:val="000000"/>
          <w:sz w:val="20"/>
          <w:szCs w:val="20"/>
        </w:rPr>
        <w:t>Research Journal</w:t>
      </w:r>
      <w:r w:rsidR="00C64BE5" w:rsidRPr="00ED7328">
        <w:rPr>
          <w:color w:val="000000"/>
          <w:sz w:val="20"/>
          <w:szCs w:val="20"/>
        </w:rPr>
        <w:t xml:space="preserve"> 30: 759-772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McConnell, A (2010) </w:t>
      </w:r>
      <w:r w:rsidRPr="00ED7328">
        <w:rPr>
          <w:i/>
          <w:iCs/>
          <w:color w:val="000000"/>
          <w:sz w:val="20"/>
          <w:szCs w:val="20"/>
        </w:rPr>
        <w:t>Understanding policy success: rethinking public policy</w:t>
      </w:r>
      <w:r w:rsidR="00C64BE5" w:rsidRPr="00ED7328">
        <w:rPr>
          <w:i/>
          <w:iCs/>
          <w:color w:val="000000"/>
          <w:sz w:val="20"/>
          <w:szCs w:val="20"/>
        </w:rPr>
        <w:t xml:space="preserve">, </w:t>
      </w:r>
      <w:r w:rsidRPr="00ED7328">
        <w:rPr>
          <w:color w:val="000000"/>
          <w:sz w:val="20"/>
          <w:szCs w:val="20"/>
        </w:rPr>
        <w:t>Basingstoke:</w:t>
      </w:r>
      <w:r w:rsidR="00C64BE5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Palgrave Macmilla</w:t>
      </w:r>
      <w:r w:rsidR="00C64BE5" w:rsidRPr="00ED7328">
        <w:rPr>
          <w:color w:val="000000"/>
          <w:sz w:val="20"/>
          <w:szCs w:val="20"/>
        </w:rPr>
        <w:t>n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Moore, J and </w:t>
      </w:r>
      <w:proofErr w:type="spellStart"/>
      <w:r w:rsidRPr="00ED7328">
        <w:rPr>
          <w:color w:val="000000"/>
          <w:sz w:val="20"/>
          <w:szCs w:val="20"/>
        </w:rPr>
        <w:t>Dunworth</w:t>
      </w:r>
      <w:proofErr w:type="spellEnd"/>
      <w:r w:rsidRPr="00ED7328">
        <w:rPr>
          <w:color w:val="000000"/>
          <w:sz w:val="20"/>
          <w:szCs w:val="20"/>
        </w:rPr>
        <w:t xml:space="preserve">, F (2011) </w:t>
      </w:r>
      <w:r w:rsidRPr="00ED7328">
        <w:rPr>
          <w:i/>
          <w:iCs/>
          <w:color w:val="000000"/>
          <w:sz w:val="20"/>
          <w:szCs w:val="20"/>
        </w:rPr>
        <w:t>Review of evidence from Aimhigher Area Partnerships of the</w:t>
      </w:r>
      <w:r w:rsidR="00C64BE5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impact of </w:t>
      </w:r>
      <w:proofErr w:type="spellStart"/>
      <w:r w:rsidRPr="00ED7328">
        <w:rPr>
          <w:i/>
          <w:iCs/>
          <w:color w:val="000000"/>
          <w:sz w:val="20"/>
          <w:szCs w:val="20"/>
        </w:rPr>
        <w:t>Aimigher</w:t>
      </w:r>
      <w:proofErr w:type="spellEnd"/>
      <w:r w:rsidR="00C64BE5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Available online at w</w:t>
      </w:r>
      <w:r w:rsidR="00C64BE5" w:rsidRPr="00ED7328">
        <w:rPr>
          <w:color w:val="000000"/>
          <w:sz w:val="20"/>
          <w:szCs w:val="20"/>
        </w:rPr>
        <w:t>ww.aimhigher.ac.uk/practitioner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Morris, M and </w:t>
      </w:r>
      <w:proofErr w:type="spellStart"/>
      <w:r w:rsidRPr="00ED7328">
        <w:rPr>
          <w:color w:val="000000"/>
          <w:sz w:val="20"/>
          <w:szCs w:val="20"/>
        </w:rPr>
        <w:t>Rutt</w:t>
      </w:r>
      <w:proofErr w:type="spellEnd"/>
      <w:r w:rsidRPr="00ED7328">
        <w:rPr>
          <w:color w:val="000000"/>
          <w:sz w:val="20"/>
          <w:szCs w:val="20"/>
        </w:rPr>
        <w:t xml:space="preserve">, S (2005) </w:t>
      </w:r>
      <w:r w:rsidRPr="00ED7328">
        <w:rPr>
          <w:i/>
          <w:iCs/>
          <w:color w:val="000000"/>
          <w:sz w:val="20"/>
          <w:szCs w:val="20"/>
        </w:rPr>
        <w:t>Evaluation of Aimhigher: Excellence Challenge: aspirations to</w:t>
      </w:r>
      <w:r w:rsidR="00C64BE5" w:rsidRPr="00ED7328">
        <w:rPr>
          <w:i/>
          <w:iCs/>
          <w:color w:val="000000"/>
          <w:sz w:val="20"/>
          <w:szCs w:val="20"/>
        </w:rPr>
        <w:t xml:space="preserve"> higher education: one year on</w:t>
      </w:r>
      <w:r w:rsidR="00C64BE5" w:rsidRPr="00ED7328">
        <w:rPr>
          <w:iCs/>
          <w:color w:val="000000"/>
          <w:sz w:val="20"/>
          <w:szCs w:val="20"/>
        </w:rPr>
        <w:t>,</w:t>
      </w:r>
      <w:r w:rsidRPr="00ED7328">
        <w:rPr>
          <w:i/>
          <w:iCs/>
          <w:color w:val="000000"/>
          <w:sz w:val="20"/>
          <w:szCs w:val="20"/>
        </w:rPr>
        <w:t xml:space="preserve">. </w:t>
      </w:r>
      <w:r w:rsidRPr="00ED7328">
        <w:rPr>
          <w:color w:val="000000"/>
          <w:sz w:val="20"/>
          <w:szCs w:val="20"/>
        </w:rPr>
        <w:t>Slough</w:t>
      </w:r>
      <w:r w:rsidR="00C64BE5" w:rsidRPr="00ED7328">
        <w:rPr>
          <w:color w:val="000000"/>
          <w:sz w:val="20"/>
          <w:szCs w:val="20"/>
        </w:rPr>
        <w:t xml:space="preserve">: </w:t>
      </w:r>
      <w:proofErr w:type="spellStart"/>
      <w:r w:rsidR="00C64BE5" w:rsidRPr="00ED7328">
        <w:rPr>
          <w:color w:val="000000"/>
          <w:sz w:val="20"/>
          <w:szCs w:val="20"/>
        </w:rPr>
        <w:t>NfER</w:t>
      </w:r>
      <w:proofErr w:type="spellEnd"/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Morris, M and </w:t>
      </w:r>
      <w:proofErr w:type="spellStart"/>
      <w:r w:rsidRPr="00ED7328">
        <w:rPr>
          <w:color w:val="000000"/>
          <w:sz w:val="20"/>
          <w:szCs w:val="20"/>
        </w:rPr>
        <w:t>Rutt</w:t>
      </w:r>
      <w:proofErr w:type="spellEnd"/>
      <w:r w:rsidRPr="00ED7328">
        <w:rPr>
          <w:color w:val="000000"/>
          <w:sz w:val="20"/>
          <w:szCs w:val="20"/>
        </w:rPr>
        <w:t xml:space="preserve">, S (2006) </w:t>
      </w:r>
      <w:r w:rsidRPr="00ED7328">
        <w:rPr>
          <w:i/>
          <w:iCs/>
          <w:color w:val="000000"/>
          <w:sz w:val="20"/>
          <w:szCs w:val="20"/>
        </w:rPr>
        <w:t>Evaluation of Aimhigher: Excellence Challenge: longitudinal pupil</w:t>
      </w:r>
      <w:r w:rsidR="00C64BE5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analysis report</w:t>
      </w:r>
      <w:r w:rsidR="00C64BE5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Slough</w:t>
      </w:r>
      <w:r w:rsidR="00C64BE5" w:rsidRPr="00ED7328">
        <w:rPr>
          <w:color w:val="000000"/>
          <w:sz w:val="20"/>
          <w:szCs w:val="20"/>
        </w:rPr>
        <w:t xml:space="preserve">: </w:t>
      </w:r>
      <w:proofErr w:type="spellStart"/>
      <w:r w:rsidR="00C64BE5" w:rsidRPr="00ED7328">
        <w:rPr>
          <w:color w:val="000000"/>
          <w:sz w:val="20"/>
          <w:szCs w:val="20"/>
        </w:rPr>
        <w:t>NfER</w:t>
      </w:r>
      <w:proofErr w:type="spellEnd"/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Morris, M, </w:t>
      </w:r>
      <w:proofErr w:type="spellStart"/>
      <w:r w:rsidRPr="00ED7328">
        <w:rPr>
          <w:color w:val="000000"/>
          <w:sz w:val="20"/>
          <w:szCs w:val="20"/>
        </w:rPr>
        <w:t>Rutt</w:t>
      </w:r>
      <w:proofErr w:type="spellEnd"/>
      <w:r w:rsidRPr="00ED7328">
        <w:rPr>
          <w:color w:val="000000"/>
          <w:sz w:val="20"/>
          <w:szCs w:val="20"/>
        </w:rPr>
        <w:t xml:space="preserve">, S and </w:t>
      </w:r>
      <w:proofErr w:type="spellStart"/>
      <w:r w:rsidRPr="00ED7328">
        <w:rPr>
          <w:color w:val="000000"/>
          <w:sz w:val="20"/>
          <w:szCs w:val="20"/>
        </w:rPr>
        <w:t>Yeshanew</w:t>
      </w:r>
      <w:proofErr w:type="spellEnd"/>
      <w:r w:rsidRPr="00ED7328">
        <w:rPr>
          <w:color w:val="000000"/>
          <w:sz w:val="20"/>
          <w:szCs w:val="20"/>
        </w:rPr>
        <w:t xml:space="preserve">, T (2005) </w:t>
      </w:r>
      <w:r w:rsidRPr="00ED7328">
        <w:rPr>
          <w:i/>
          <w:iCs/>
          <w:color w:val="000000"/>
          <w:sz w:val="20"/>
          <w:szCs w:val="20"/>
        </w:rPr>
        <w:t>Evaluation of Aimhigher: Excellence Challenge: pupil</w:t>
      </w:r>
      <w:r w:rsidR="00C64BE5" w:rsidRPr="00ED7328">
        <w:rPr>
          <w:i/>
          <w:iCs/>
          <w:color w:val="000000"/>
          <w:sz w:val="20"/>
          <w:szCs w:val="20"/>
        </w:rPr>
        <w:t xml:space="preserve"> outcomes one year on,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Slough</w:t>
      </w:r>
      <w:r w:rsidR="00C64BE5" w:rsidRPr="00ED7328">
        <w:rPr>
          <w:color w:val="000000"/>
          <w:sz w:val="20"/>
          <w:szCs w:val="20"/>
        </w:rPr>
        <w:t xml:space="preserve">: </w:t>
      </w:r>
      <w:proofErr w:type="spellStart"/>
      <w:r w:rsidR="00C64BE5" w:rsidRPr="00ED7328">
        <w:rPr>
          <w:color w:val="000000"/>
          <w:sz w:val="20"/>
          <w:szCs w:val="20"/>
        </w:rPr>
        <w:t>NfER</w:t>
      </w:r>
      <w:proofErr w:type="spellEnd"/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Morris, M, </w:t>
      </w:r>
      <w:proofErr w:type="spellStart"/>
      <w:r w:rsidRPr="00ED7328">
        <w:rPr>
          <w:color w:val="000000"/>
          <w:sz w:val="20"/>
          <w:szCs w:val="20"/>
        </w:rPr>
        <w:t>Rutt</w:t>
      </w:r>
      <w:proofErr w:type="spellEnd"/>
      <w:r w:rsidRPr="00ED7328">
        <w:rPr>
          <w:color w:val="000000"/>
          <w:sz w:val="20"/>
          <w:szCs w:val="20"/>
        </w:rPr>
        <w:t xml:space="preserve">, S and Mehta, P (2009) </w:t>
      </w:r>
      <w:r w:rsidRPr="00ED7328">
        <w:rPr>
          <w:i/>
          <w:iCs/>
          <w:color w:val="000000"/>
          <w:sz w:val="20"/>
          <w:szCs w:val="20"/>
        </w:rPr>
        <w:t>The longer term impact of Aimhigher: tracking</w:t>
      </w:r>
      <w:r w:rsidR="00C64BE5" w:rsidRPr="00ED7328">
        <w:rPr>
          <w:i/>
          <w:iCs/>
          <w:color w:val="000000"/>
          <w:sz w:val="20"/>
          <w:szCs w:val="20"/>
        </w:rPr>
        <w:t xml:space="preserve"> individuals, 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r w:rsidR="00C64BE5" w:rsidRPr="00ED7328">
        <w:rPr>
          <w:color w:val="000000"/>
          <w:sz w:val="20"/>
          <w:szCs w:val="20"/>
        </w:rPr>
        <w:t xml:space="preserve">Slough: </w:t>
      </w:r>
      <w:proofErr w:type="spellStart"/>
      <w:r w:rsidR="00C64BE5" w:rsidRPr="00ED7328">
        <w:rPr>
          <w:color w:val="000000"/>
          <w:sz w:val="20"/>
          <w:szCs w:val="20"/>
        </w:rPr>
        <w:t>NfER</w:t>
      </w:r>
      <w:proofErr w:type="spellEnd"/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National Audit Office [NAO] (2008) </w:t>
      </w:r>
      <w:r w:rsidRPr="00ED7328">
        <w:rPr>
          <w:i/>
          <w:iCs/>
          <w:color w:val="000000"/>
          <w:sz w:val="20"/>
          <w:szCs w:val="20"/>
        </w:rPr>
        <w:t>Widening participation in higher education</w:t>
      </w:r>
      <w:r w:rsidR="00C64BE5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London:</w:t>
      </w:r>
      <w:r w:rsidR="00C64BE5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National</w:t>
      </w:r>
      <w:r w:rsidR="00C64BE5" w:rsidRPr="00ED7328">
        <w:rPr>
          <w:color w:val="000000"/>
          <w:sz w:val="20"/>
          <w:szCs w:val="20"/>
        </w:rPr>
        <w:t xml:space="preserve"> Audit Office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National Committee of Inquiry into Higher Education [NCIHE] (1997) </w:t>
      </w:r>
      <w:r w:rsidRPr="00ED7328">
        <w:rPr>
          <w:i/>
          <w:iCs/>
          <w:color w:val="000000"/>
          <w:sz w:val="20"/>
          <w:szCs w:val="20"/>
        </w:rPr>
        <w:t>Higher education in the</w:t>
      </w:r>
      <w:r w:rsidR="00C64BE5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learning society </w:t>
      </w:r>
      <w:r w:rsidR="00C64BE5" w:rsidRPr="00ED7328">
        <w:rPr>
          <w:color w:val="000000"/>
          <w:sz w:val="20"/>
          <w:szCs w:val="20"/>
        </w:rPr>
        <w:t>(known as the Dearing Report),</w:t>
      </w:r>
      <w:r w:rsidRPr="00ED7328">
        <w:rPr>
          <w:color w:val="000000"/>
          <w:sz w:val="20"/>
          <w:szCs w:val="20"/>
        </w:rPr>
        <w:t xml:space="preserve"> Norwich</w:t>
      </w:r>
      <w:r w:rsidR="00C64BE5" w:rsidRPr="00ED7328">
        <w:rPr>
          <w:color w:val="000000"/>
          <w:sz w:val="20"/>
          <w:szCs w:val="20"/>
        </w:rPr>
        <w:t>: HMSO</w:t>
      </w:r>
    </w:p>
    <w:p w:rsidR="00A46BBE" w:rsidRPr="00ED7328" w:rsidRDefault="00A46BBE" w:rsidP="00A46BBE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sz w:val="20"/>
          <w:szCs w:val="20"/>
        </w:rPr>
        <w:t>Oancea</w:t>
      </w:r>
      <w:proofErr w:type="spellEnd"/>
      <w:r w:rsidRPr="00ED7328">
        <w:rPr>
          <w:color w:val="000000"/>
          <w:sz w:val="20"/>
          <w:szCs w:val="20"/>
        </w:rPr>
        <w:t xml:space="preserve">, A and </w:t>
      </w:r>
      <w:proofErr w:type="spellStart"/>
      <w:r w:rsidRPr="00ED7328">
        <w:rPr>
          <w:color w:val="000000"/>
          <w:sz w:val="20"/>
          <w:szCs w:val="20"/>
        </w:rPr>
        <w:t>Pring</w:t>
      </w:r>
      <w:proofErr w:type="spellEnd"/>
      <w:r w:rsidRPr="00ED7328">
        <w:rPr>
          <w:color w:val="000000"/>
          <w:sz w:val="20"/>
          <w:szCs w:val="20"/>
        </w:rPr>
        <w:t xml:space="preserve">, R (2008) ‘The importance of being thorough: on systematic accumulations of ‘what works’ in education research’, </w:t>
      </w:r>
      <w:r w:rsidRPr="00ED7328">
        <w:rPr>
          <w:i/>
          <w:iCs/>
          <w:color w:val="000000"/>
          <w:sz w:val="20"/>
          <w:szCs w:val="20"/>
        </w:rPr>
        <w:t xml:space="preserve">Journal of Philosophy of Education </w:t>
      </w:r>
      <w:r w:rsidRPr="00ED7328">
        <w:rPr>
          <w:color w:val="000000"/>
          <w:sz w:val="20"/>
          <w:szCs w:val="20"/>
        </w:rPr>
        <w:t>42: 15-39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>Office for National Statistics [ONS] (2011) Data on Small Area Population Estimates provided on</w:t>
      </w:r>
      <w:r w:rsidR="00C64BE5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re</w:t>
      </w:r>
      <w:r w:rsidR="00C64BE5" w:rsidRPr="00ED7328">
        <w:rPr>
          <w:color w:val="000000"/>
          <w:sz w:val="20"/>
          <w:szCs w:val="20"/>
        </w:rPr>
        <w:t>quest by personal communication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Passy, R and Morris, M (2010) </w:t>
      </w:r>
      <w:r w:rsidRPr="00ED7328">
        <w:rPr>
          <w:i/>
          <w:iCs/>
          <w:color w:val="000000"/>
          <w:sz w:val="20"/>
          <w:szCs w:val="20"/>
        </w:rPr>
        <w:t>Evaluation of Aimhigher: learner attainment and progression</w:t>
      </w:r>
      <w:r w:rsidR="00C64BE5" w:rsidRPr="00ED7328">
        <w:rPr>
          <w:color w:val="000000"/>
          <w:sz w:val="20"/>
          <w:szCs w:val="20"/>
        </w:rPr>
        <w:t xml:space="preserve">, Slough: </w:t>
      </w:r>
      <w:proofErr w:type="spellStart"/>
      <w:r w:rsidR="00C64BE5" w:rsidRPr="00ED7328">
        <w:rPr>
          <w:color w:val="000000"/>
          <w:sz w:val="20"/>
          <w:szCs w:val="20"/>
        </w:rPr>
        <w:t>NfER</w:t>
      </w:r>
      <w:proofErr w:type="spellEnd"/>
    </w:p>
    <w:p w:rsidR="00152074" w:rsidRPr="00ED7328" w:rsidRDefault="00034AB9" w:rsidP="00152074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Pennell, H and West, A (2005) </w:t>
      </w:r>
      <w:r w:rsidR="00C64BE5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The impact of increased fees on participation in higher education</w:t>
      </w:r>
      <w:r w:rsidR="00C64BE5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in England</w:t>
      </w:r>
      <w:r w:rsidR="00C64BE5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Higher Education Quarterly </w:t>
      </w:r>
      <w:r w:rsidR="00C64BE5" w:rsidRPr="00ED7328">
        <w:rPr>
          <w:color w:val="000000"/>
          <w:sz w:val="20"/>
          <w:szCs w:val="20"/>
        </w:rPr>
        <w:t>59: 127-137</w:t>
      </w:r>
    </w:p>
    <w:p w:rsidR="00152074" w:rsidRPr="00ED7328" w:rsidRDefault="00152074" w:rsidP="00152074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sz w:val="20"/>
          <w:szCs w:val="20"/>
        </w:rPr>
        <w:t xml:space="preserve">Panel on Fair Access to the Professions [PFAP] (2009) </w:t>
      </w:r>
      <w:r w:rsidRPr="00ED7328">
        <w:rPr>
          <w:i/>
          <w:sz w:val="20"/>
          <w:szCs w:val="20"/>
        </w:rPr>
        <w:t>Unleashing aspiration: the final report of the Panel on Fair Access to the Professions</w:t>
      </w:r>
      <w:r w:rsidRPr="00ED7328">
        <w:rPr>
          <w:sz w:val="20"/>
          <w:szCs w:val="20"/>
        </w:rPr>
        <w:t xml:space="preserve"> (also known as the Milburn Report), London: Cabinet Office</w:t>
      </w:r>
    </w:p>
    <w:p w:rsidR="00034AB9" w:rsidRPr="00ED7328" w:rsidRDefault="00034AB9" w:rsidP="00152074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Reay</w:t>
      </w:r>
      <w:proofErr w:type="spellEnd"/>
      <w:r w:rsidRPr="00ED7328">
        <w:rPr>
          <w:color w:val="000000"/>
          <w:sz w:val="20"/>
          <w:szCs w:val="20"/>
        </w:rPr>
        <w:t xml:space="preserve">, D, </w:t>
      </w:r>
      <w:proofErr w:type="spellStart"/>
      <w:r w:rsidRPr="00ED7328">
        <w:rPr>
          <w:color w:val="000000"/>
          <w:sz w:val="20"/>
          <w:szCs w:val="20"/>
        </w:rPr>
        <w:t>Crozier</w:t>
      </w:r>
      <w:proofErr w:type="spellEnd"/>
      <w:r w:rsidRPr="00ED7328">
        <w:rPr>
          <w:color w:val="000000"/>
          <w:sz w:val="20"/>
          <w:szCs w:val="20"/>
        </w:rPr>
        <w:t xml:space="preserve">, G and Clayton, J (2010) </w:t>
      </w:r>
      <w:r w:rsidR="00C64BE5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‘Fitting in’ or ‘standing out’: working-class students in</w:t>
      </w:r>
      <w:r w:rsidR="00C64BE5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UK higher education</w:t>
      </w:r>
      <w:r w:rsidR="00C64BE5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British Educational Research Journal </w:t>
      </w:r>
      <w:r w:rsidR="00C64BE5" w:rsidRPr="00ED7328">
        <w:rPr>
          <w:color w:val="000000"/>
          <w:sz w:val="20"/>
          <w:szCs w:val="20"/>
        </w:rPr>
        <w:t>36: 107-124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Reay</w:t>
      </w:r>
      <w:proofErr w:type="spellEnd"/>
      <w:r w:rsidRPr="00ED7328">
        <w:rPr>
          <w:color w:val="000000"/>
          <w:sz w:val="20"/>
          <w:szCs w:val="20"/>
        </w:rPr>
        <w:t xml:space="preserve">, D, David, M and Ball, S (2005) </w:t>
      </w:r>
      <w:r w:rsidR="00C64BE5" w:rsidRPr="00ED7328">
        <w:rPr>
          <w:i/>
          <w:iCs/>
          <w:color w:val="000000"/>
          <w:sz w:val="20"/>
          <w:szCs w:val="20"/>
        </w:rPr>
        <w:t>Degrees of choice</w:t>
      </w:r>
      <w:r w:rsidRPr="00ED7328">
        <w:rPr>
          <w:i/>
          <w:iCs/>
          <w:color w:val="000000"/>
          <w:sz w:val="20"/>
          <w:szCs w:val="20"/>
        </w:rPr>
        <w:t>: class, race, gender and higher education</w:t>
      </w:r>
      <w:r w:rsidR="00C64BE5" w:rsidRPr="00ED7328">
        <w:rPr>
          <w:color w:val="000000"/>
          <w:sz w:val="20"/>
          <w:szCs w:val="20"/>
        </w:rPr>
        <w:t xml:space="preserve">, </w:t>
      </w:r>
      <w:r w:rsidRPr="00ED7328">
        <w:rPr>
          <w:color w:val="000000"/>
          <w:sz w:val="20"/>
          <w:szCs w:val="20"/>
        </w:rPr>
        <w:t xml:space="preserve">Stoke-on-Trent: </w:t>
      </w:r>
      <w:proofErr w:type="spellStart"/>
      <w:r w:rsidRPr="00ED7328">
        <w:rPr>
          <w:color w:val="000000"/>
          <w:sz w:val="20"/>
          <w:szCs w:val="20"/>
        </w:rPr>
        <w:t>Trentham</w:t>
      </w:r>
      <w:proofErr w:type="spellEnd"/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Robbins, L (1963) </w:t>
      </w:r>
      <w:r w:rsidRPr="00ED7328">
        <w:rPr>
          <w:i/>
          <w:iCs/>
          <w:color w:val="000000"/>
          <w:sz w:val="20"/>
          <w:szCs w:val="20"/>
        </w:rPr>
        <w:t xml:space="preserve">Higher education </w:t>
      </w:r>
      <w:r w:rsidRPr="00ED7328">
        <w:rPr>
          <w:color w:val="000000"/>
          <w:sz w:val="20"/>
          <w:szCs w:val="20"/>
        </w:rPr>
        <w:t xml:space="preserve">(known as the Robbins Report), </w:t>
      </w:r>
      <w:proofErr w:type="spellStart"/>
      <w:r w:rsidRPr="00ED7328">
        <w:rPr>
          <w:color w:val="000000"/>
          <w:sz w:val="20"/>
          <w:szCs w:val="20"/>
        </w:rPr>
        <w:t>Cmnd</w:t>
      </w:r>
      <w:proofErr w:type="spellEnd"/>
      <w:r w:rsidRPr="00ED7328">
        <w:rPr>
          <w:color w:val="000000"/>
          <w:sz w:val="20"/>
          <w:szCs w:val="20"/>
        </w:rPr>
        <w:t xml:space="preserve"> 2165. London</w:t>
      </w:r>
      <w:r w:rsidR="00C64BE5" w:rsidRPr="00ED7328">
        <w:rPr>
          <w:color w:val="000000"/>
          <w:sz w:val="20"/>
          <w:szCs w:val="20"/>
        </w:rPr>
        <w:t>: HMSO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lastRenderedPageBreak/>
        <w:t xml:space="preserve">Ryle, S, Ahmed, K and Bright, M (2000) </w:t>
      </w:r>
      <w:r w:rsidR="00C64BE5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The war of Laura’s rejection</w:t>
      </w:r>
      <w:r w:rsidR="00C64BE5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The Observer</w:t>
      </w:r>
      <w:r w:rsidR="00C64BE5" w:rsidRPr="00ED7328">
        <w:rPr>
          <w:color w:val="000000"/>
          <w:sz w:val="20"/>
          <w:szCs w:val="20"/>
        </w:rPr>
        <w:t xml:space="preserve"> 28</w:t>
      </w:r>
      <w:r w:rsidRPr="00ED7328">
        <w:rPr>
          <w:color w:val="000000"/>
          <w:sz w:val="20"/>
          <w:szCs w:val="20"/>
        </w:rPr>
        <w:t xml:space="preserve"> May</w:t>
      </w:r>
      <w:r w:rsidR="00C64BE5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2000. Accessed at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>www.guardian.co.uk/education/2000/may/28/highereducat</w:t>
      </w:r>
      <w:r w:rsidR="00C64BE5" w:rsidRPr="00ED7328">
        <w:rPr>
          <w:color w:val="000000"/>
          <w:sz w:val="20"/>
          <w:szCs w:val="20"/>
        </w:rPr>
        <w:t>ion.oxbridgeandelitism1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Sanders, C (2006) </w:t>
      </w:r>
      <w:r w:rsidR="00C64BE5" w:rsidRPr="00ED7328">
        <w:rPr>
          <w:color w:val="000000"/>
          <w:sz w:val="20"/>
          <w:szCs w:val="20"/>
        </w:rPr>
        <w:t>‘Tories’</w:t>
      </w:r>
      <w:r w:rsidRPr="00ED7328">
        <w:rPr>
          <w:color w:val="000000"/>
          <w:sz w:val="20"/>
          <w:szCs w:val="20"/>
        </w:rPr>
        <w:t xml:space="preserve"> £2bn access drive is a 'failure'</w:t>
      </w:r>
      <w:r w:rsidR="00C64BE5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Times Higher Education Supplement</w:t>
      </w:r>
      <w:r w:rsidR="00C64BE5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28</w:t>
      </w:r>
      <w:r w:rsidR="00C64BE5" w:rsidRPr="00ED7328">
        <w:rPr>
          <w:color w:val="000000"/>
          <w:sz w:val="20"/>
          <w:szCs w:val="20"/>
        </w:rPr>
        <w:t xml:space="preserve"> July 2006</w:t>
      </w:r>
      <w:r w:rsidRPr="00ED7328">
        <w:rPr>
          <w:color w:val="000000"/>
          <w:sz w:val="20"/>
          <w:szCs w:val="20"/>
        </w:rPr>
        <w:t xml:space="preserve"> Accessed at</w:t>
      </w:r>
      <w:r w:rsidR="00C64BE5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www.timeshighereducation.co.uk/story.asp?se</w:t>
      </w:r>
      <w:r w:rsidR="00C64BE5" w:rsidRPr="00ED7328">
        <w:rPr>
          <w:color w:val="000000"/>
          <w:sz w:val="20"/>
          <w:szCs w:val="20"/>
        </w:rPr>
        <w:t>ctioncode=26andstorycode=204531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Schwartz, S (2004) </w:t>
      </w:r>
      <w:r w:rsidRPr="00ED7328">
        <w:rPr>
          <w:i/>
          <w:iCs/>
          <w:color w:val="000000"/>
          <w:sz w:val="20"/>
          <w:szCs w:val="20"/>
        </w:rPr>
        <w:t>Fair admissions to higher education: recommendations for good practice</w:t>
      </w:r>
      <w:r w:rsidR="00C64BE5" w:rsidRPr="00ED7328">
        <w:rPr>
          <w:i/>
          <w:iCs/>
          <w:color w:val="000000"/>
          <w:sz w:val="20"/>
          <w:szCs w:val="20"/>
        </w:rPr>
        <w:t xml:space="preserve">, </w:t>
      </w:r>
      <w:r w:rsidRPr="00ED7328">
        <w:rPr>
          <w:color w:val="000000"/>
          <w:sz w:val="20"/>
          <w:szCs w:val="20"/>
        </w:rPr>
        <w:t>Nottingham: Depa</w:t>
      </w:r>
      <w:r w:rsidR="00C64BE5" w:rsidRPr="00ED7328">
        <w:rPr>
          <w:color w:val="000000"/>
          <w:sz w:val="20"/>
          <w:szCs w:val="20"/>
        </w:rPr>
        <w:t>rtment for Education and Skills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Spicker</w:t>
      </w:r>
      <w:proofErr w:type="spellEnd"/>
      <w:r w:rsidRPr="00ED7328">
        <w:rPr>
          <w:color w:val="000000"/>
          <w:sz w:val="20"/>
          <w:szCs w:val="20"/>
        </w:rPr>
        <w:t xml:space="preserve">, P (2006) </w:t>
      </w:r>
      <w:r w:rsidRPr="00ED7328">
        <w:rPr>
          <w:i/>
          <w:iCs/>
          <w:color w:val="000000"/>
          <w:sz w:val="20"/>
          <w:szCs w:val="20"/>
        </w:rPr>
        <w:t>Policy analysis for practice: applying social policy</w:t>
      </w:r>
      <w:r w:rsidR="00C64BE5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Bristol</w:t>
      </w:r>
      <w:r w:rsidR="00C64BE5" w:rsidRPr="00ED7328">
        <w:rPr>
          <w:color w:val="000000"/>
          <w:sz w:val="20"/>
          <w:szCs w:val="20"/>
        </w:rPr>
        <w:t>: Policy Press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Sutton Trust (2000) </w:t>
      </w:r>
      <w:r w:rsidRPr="00ED7328">
        <w:rPr>
          <w:i/>
          <w:iCs/>
          <w:color w:val="000000"/>
          <w:sz w:val="20"/>
          <w:szCs w:val="20"/>
        </w:rPr>
        <w:t>Entry to leading universities</w:t>
      </w:r>
      <w:r w:rsidR="00C64BE5" w:rsidRPr="00ED7328">
        <w:rPr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</w:t>
      </w:r>
      <w:r w:rsidR="00C64BE5" w:rsidRPr="00ED7328">
        <w:rPr>
          <w:color w:val="000000"/>
          <w:sz w:val="20"/>
          <w:szCs w:val="20"/>
        </w:rPr>
        <w:t>: Sutton Trust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Sutton Trust (2004) </w:t>
      </w:r>
      <w:r w:rsidRPr="00ED7328">
        <w:rPr>
          <w:i/>
          <w:iCs/>
          <w:color w:val="000000"/>
          <w:sz w:val="20"/>
          <w:szCs w:val="20"/>
        </w:rPr>
        <w:t>The missing 3,000: state school students under-represented at leading</w:t>
      </w:r>
      <w:r w:rsidR="00C64BE5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universities</w:t>
      </w:r>
      <w:r w:rsidR="00C64BE5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</w:t>
      </w:r>
      <w:r w:rsidR="00C64BE5" w:rsidRPr="00ED7328">
        <w:rPr>
          <w:color w:val="000000"/>
          <w:sz w:val="20"/>
          <w:szCs w:val="20"/>
        </w:rPr>
        <w:t>: Sutton Trust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Sutton Trust (2008) </w:t>
      </w:r>
      <w:r w:rsidRPr="00ED7328">
        <w:rPr>
          <w:i/>
          <w:iCs/>
          <w:color w:val="000000"/>
          <w:sz w:val="20"/>
          <w:szCs w:val="20"/>
        </w:rPr>
        <w:t>Wasted talent? Attrition rates for high-achieving pupils between school and</w:t>
      </w:r>
      <w:r w:rsidR="00C64BE5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university</w:t>
      </w:r>
      <w:r w:rsidR="00C64BE5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London</w:t>
      </w:r>
      <w:r w:rsidR="00C64BE5" w:rsidRPr="00ED7328">
        <w:rPr>
          <w:color w:val="000000"/>
          <w:sz w:val="20"/>
          <w:szCs w:val="20"/>
        </w:rPr>
        <w:t>: Sutton Trust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Thomas, L (2001) </w:t>
      </w:r>
      <w:r w:rsidR="00C64BE5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Power, assumptions and prescriptions: A critique of widening participation</w:t>
      </w:r>
      <w:r w:rsidR="00C64BE5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policy-making</w:t>
      </w:r>
      <w:r w:rsidR="00C64BE5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Higher Education Policy </w:t>
      </w:r>
      <w:r w:rsidR="00C64BE5" w:rsidRPr="00ED7328">
        <w:rPr>
          <w:color w:val="000000"/>
          <w:sz w:val="20"/>
          <w:szCs w:val="20"/>
        </w:rPr>
        <w:t>14: 361–76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Thomas, L (2011) </w:t>
      </w:r>
      <w:r w:rsidR="00C64BE5" w:rsidRPr="00ED7328">
        <w:rPr>
          <w:color w:val="000000"/>
          <w:sz w:val="20"/>
          <w:szCs w:val="20"/>
        </w:rPr>
        <w:t>‘</w:t>
      </w:r>
      <w:r w:rsidRPr="00ED7328">
        <w:rPr>
          <w:color w:val="000000"/>
          <w:sz w:val="20"/>
          <w:szCs w:val="20"/>
        </w:rPr>
        <w:t>Do pre-entry interventions such as ‘Aimhigher’ impact on student retention</w:t>
      </w:r>
      <w:r w:rsidR="00C64BE5" w:rsidRPr="00ED7328">
        <w:rPr>
          <w:color w:val="000000"/>
          <w:sz w:val="20"/>
          <w:szCs w:val="20"/>
        </w:rPr>
        <w:t xml:space="preserve"> </w:t>
      </w:r>
      <w:r w:rsidRPr="00ED7328">
        <w:rPr>
          <w:color w:val="000000"/>
          <w:sz w:val="20"/>
          <w:szCs w:val="20"/>
        </w:rPr>
        <w:t>and success? A review of the literature</w:t>
      </w:r>
      <w:r w:rsidR="00C64BE5" w:rsidRPr="00ED7328">
        <w:rPr>
          <w:color w:val="000000"/>
          <w:sz w:val="20"/>
          <w:szCs w:val="20"/>
        </w:rPr>
        <w:t>’,</w:t>
      </w:r>
      <w:r w:rsidRPr="00ED7328">
        <w:rPr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 xml:space="preserve">Higher Education Quarterly </w:t>
      </w:r>
      <w:r w:rsidR="00C64BE5" w:rsidRPr="00ED7328">
        <w:rPr>
          <w:color w:val="000000"/>
          <w:sz w:val="20"/>
          <w:szCs w:val="20"/>
        </w:rPr>
        <w:t>65: 230-250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>Universities and College Admissions Service [UCAS] (2011) Data provided on request by personal</w:t>
      </w:r>
      <w:r w:rsidR="00C64BE5" w:rsidRPr="00ED7328">
        <w:rPr>
          <w:color w:val="000000"/>
          <w:sz w:val="20"/>
          <w:szCs w:val="20"/>
        </w:rPr>
        <w:t xml:space="preserve"> communication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r w:rsidRPr="00ED7328">
        <w:rPr>
          <w:color w:val="000000"/>
          <w:sz w:val="20"/>
          <w:szCs w:val="20"/>
        </w:rPr>
        <w:t xml:space="preserve">Universities UK (2005) </w:t>
      </w:r>
      <w:r w:rsidRPr="00ED7328">
        <w:rPr>
          <w:i/>
          <w:iCs/>
          <w:color w:val="000000"/>
          <w:sz w:val="20"/>
          <w:szCs w:val="20"/>
        </w:rPr>
        <w:t>From the margins to the mainstream: embedding widening participation</w:t>
      </w:r>
      <w:r w:rsidR="00C64BE5" w:rsidRPr="00ED7328">
        <w:rPr>
          <w:i/>
          <w:iCs/>
          <w:color w:val="000000"/>
          <w:sz w:val="20"/>
          <w:szCs w:val="20"/>
        </w:rPr>
        <w:t xml:space="preserve"> </w:t>
      </w:r>
      <w:r w:rsidRPr="00ED7328">
        <w:rPr>
          <w:i/>
          <w:iCs/>
          <w:color w:val="000000"/>
          <w:sz w:val="20"/>
          <w:szCs w:val="20"/>
        </w:rPr>
        <w:t>in higher education</w:t>
      </w:r>
      <w:r w:rsidR="00C64BE5" w:rsidRPr="00ED7328">
        <w:rPr>
          <w:i/>
          <w:iCs/>
          <w:color w:val="000000"/>
          <w:sz w:val="20"/>
          <w:szCs w:val="20"/>
        </w:rPr>
        <w:t>,</w:t>
      </w:r>
      <w:r w:rsidRPr="00ED7328">
        <w:rPr>
          <w:color w:val="000000"/>
          <w:sz w:val="20"/>
          <w:szCs w:val="20"/>
        </w:rPr>
        <w:t xml:space="preserve"> London</w:t>
      </w:r>
      <w:r w:rsidR="00C64BE5" w:rsidRPr="00ED7328">
        <w:rPr>
          <w:color w:val="000000"/>
          <w:sz w:val="20"/>
          <w:szCs w:val="20"/>
        </w:rPr>
        <w:t>: Universities UK</w:t>
      </w:r>
    </w:p>
    <w:p w:rsidR="00DF0FF2" w:rsidRPr="00ED7328" w:rsidRDefault="00DF0FF2" w:rsidP="00DF0FF2">
      <w:pPr>
        <w:ind w:left="425" w:hanging="425"/>
        <w:rPr>
          <w:color w:val="000000" w:themeColor="text1"/>
          <w:sz w:val="20"/>
          <w:szCs w:val="20"/>
        </w:rPr>
      </w:pPr>
      <w:r w:rsidRPr="00ED7328">
        <w:rPr>
          <w:color w:val="000000" w:themeColor="text1"/>
          <w:sz w:val="20"/>
          <w:szCs w:val="20"/>
        </w:rPr>
        <w:t xml:space="preserve">Waller, R, Harrison, N, </w:t>
      </w:r>
      <w:proofErr w:type="spellStart"/>
      <w:r w:rsidRPr="00ED7328">
        <w:rPr>
          <w:color w:val="000000" w:themeColor="text1"/>
          <w:sz w:val="20"/>
          <w:szCs w:val="20"/>
        </w:rPr>
        <w:t>Hatt</w:t>
      </w:r>
      <w:proofErr w:type="spellEnd"/>
      <w:r w:rsidRPr="00ED7328">
        <w:rPr>
          <w:color w:val="000000" w:themeColor="text1"/>
          <w:sz w:val="20"/>
          <w:szCs w:val="20"/>
        </w:rPr>
        <w:t xml:space="preserve">, S and </w:t>
      </w:r>
      <w:proofErr w:type="spellStart"/>
      <w:r w:rsidRPr="00ED7328">
        <w:rPr>
          <w:color w:val="000000" w:themeColor="text1"/>
          <w:sz w:val="20"/>
          <w:szCs w:val="20"/>
        </w:rPr>
        <w:t>Chudry</w:t>
      </w:r>
      <w:proofErr w:type="spellEnd"/>
      <w:r w:rsidRPr="00ED7328">
        <w:rPr>
          <w:color w:val="000000" w:themeColor="text1"/>
          <w:sz w:val="20"/>
          <w:szCs w:val="20"/>
        </w:rPr>
        <w:t xml:space="preserve">, F (2010) </w:t>
      </w:r>
      <w:r w:rsidRPr="00566A14">
        <w:rPr>
          <w:i/>
          <w:iCs/>
          <w:color w:val="000000" w:themeColor="text1"/>
          <w:sz w:val="20"/>
          <w:szCs w:val="20"/>
        </w:rPr>
        <w:t>Not being able to see the “ones” for the “threes”!</w:t>
      </w:r>
      <w:r w:rsidRPr="00ED7328">
        <w:rPr>
          <w:color w:val="000000" w:themeColor="text1"/>
          <w:sz w:val="20"/>
          <w:szCs w:val="20"/>
        </w:rPr>
        <w:t xml:space="preserve">  Paper delivered at </w:t>
      </w:r>
      <w:r w:rsidRPr="00566A14">
        <w:rPr>
          <w:color w:val="000000" w:themeColor="text1"/>
          <w:sz w:val="20"/>
          <w:szCs w:val="20"/>
        </w:rPr>
        <w:t>Society for Research in Higher Education Annual Conference</w:t>
      </w:r>
      <w:r w:rsidRPr="00ED7328">
        <w:rPr>
          <w:color w:val="000000" w:themeColor="text1"/>
          <w:sz w:val="20"/>
          <w:szCs w:val="20"/>
        </w:rPr>
        <w:t>, Newport, 16</w:t>
      </w:r>
      <w:r w:rsidRPr="00ED7328">
        <w:rPr>
          <w:color w:val="000000" w:themeColor="text1"/>
          <w:sz w:val="20"/>
          <w:szCs w:val="20"/>
          <w:vertAlign w:val="superscript"/>
        </w:rPr>
        <w:t>th</w:t>
      </w:r>
      <w:r w:rsidRPr="00ED7328">
        <w:rPr>
          <w:color w:val="000000" w:themeColor="text1"/>
          <w:sz w:val="20"/>
          <w:szCs w:val="20"/>
        </w:rPr>
        <w:t xml:space="preserve"> December 2010</w:t>
      </w:r>
    </w:p>
    <w:p w:rsidR="00034AB9" w:rsidRPr="00ED7328" w:rsidRDefault="00034AB9" w:rsidP="00ED298D">
      <w:pPr>
        <w:autoSpaceDE w:val="0"/>
        <w:autoSpaceDN w:val="0"/>
        <w:adjustRightInd w:val="0"/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ED7328">
        <w:rPr>
          <w:color w:val="000000"/>
          <w:sz w:val="20"/>
          <w:szCs w:val="20"/>
        </w:rPr>
        <w:t>Willetts</w:t>
      </w:r>
      <w:proofErr w:type="spellEnd"/>
      <w:r w:rsidRPr="00ED7328">
        <w:rPr>
          <w:color w:val="000000"/>
          <w:sz w:val="20"/>
          <w:szCs w:val="20"/>
        </w:rPr>
        <w:t>, D (2008) Speech in House of Commons debate on the Education and Skills Bill.</w:t>
      </w:r>
      <w:r w:rsidR="00C64BE5" w:rsidRPr="00ED7328">
        <w:rPr>
          <w:color w:val="000000"/>
          <w:sz w:val="20"/>
          <w:szCs w:val="20"/>
        </w:rPr>
        <w:t xml:space="preserve"> </w:t>
      </w:r>
      <w:proofErr w:type="spellStart"/>
      <w:r w:rsidRPr="00ED7328">
        <w:rPr>
          <w:i/>
          <w:iCs/>
          <w:color w:val="000000"/>
          <w:sz w:val="20"/>
          <w:szCs w:val="20"/>
        </w:rPr>
        <w:t>Hansard</w:t>
      </w:r>
      <w:proofErr w:type="spellEnd"/>
      <w:r w:rsidRPr="00ED7328">
        <w:rPr>
          <w:color w:val="000000"/>
          <w:sz w:val="20"/>
          <w:szCs w:val="20"/>
        </w:rPr>
        <w:t>: HC Deb, 14</w:t>
      </w:r>
      <w:r w:rsidR="00C64BE5" w:rsidRPr="00ED7328">
        <w:rPr>
          <w:color w:val="000000"/>
          <w:sz w:val="20"/>
          <w:szCs w:val="20"/>
        </w:rPr>
        <w:t xml:space="preserve"> January 2008, c753</w:t>
      </w:r>
    </w:p>
    <w:p w:rsidR="00034AB9" w:rsidRPr="000461A3" w:rsidRDefault="00034AB9" w:rsidP="000461A3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sectPr w:rsidR="00034AB9" w:rsidRPr="000461A3" w:rsidSect="000461A3">
      <w:footnotePr>
        <w:pos w:val="beneathText"/>
      </w:footnotePr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21" w:rsidRDefault="00417821">
      <w:r>
        <w:separator/>
      </w:r>
    </w:p>
  </w:endnote>
  <w:endnote w:type="continuationSeparator" w:id="0">
    <w:p w:rsidR="00417821" w:rsidRDefault="0041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21" w:rsidRDefault="00417821">
      <w:r>
        <w:separator/>
      </w:r>
    </w:p>
  </w:footnote>
  <w:footnote w:type="continuationSeparator" w:id="0">
    <w:p w:rsidR="00417821" w:rsidRDefault="00417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67D0"/>
    <w:multiLevelType w:val="hybridMultilevel"/>
    <w:tmpl w:val="BC1AA57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34AB9"/>
    <w:rsid w:val="000337B3"/>
    <w:rsid w:val="00034AB9"/>
    <w:rsid w:val="000461A3"/>
    <w:rsid w:val="00093694"/>
    <w:rsid w:val="000A698F"/>
    <w:rsid w:val="0011063E"/>
    <w:rsid w:val="001360BC"/>
    <w:rsid w:val="00152074"/>
    <w:rsid w:val="00186362"/>
    <w:rsid w:val="001A4971"/>
    <w:rsid w:val="001D427C"/>
    <w:rsid w:val="001D76B5"/>
    <w:rsid w:val="001F6100"/>
    <w:rsid w:val="0021247E"/>
    <w:rsid w:val="0021343E"/>
    <w:rsid w:val="00226606"/>
    <w:rsid w:val="00245250"/>
    <w:rsid w:val="00266F45"/>
    <w:rsid w:val="002F01C9"/>
    <w:rsid w:val="00310611"/>
    <w:rsid w:val="00353BCE"/>
    <w:rsid w:val="00417821"/>
    <w:rsid w:val="004B7E0A"/>
    <w:rsid w:val="00566A14"/>
    <w:rsid w:val="006947F1"/>
    <w:rsid w:val="00742DB1"/>
    <w:rsid w:val="00762B91"/>
    <w:rsid w:val="008778CB"/>
    <w:rsid w:val="009D35F5"/>
    <w:rsid w:val="009E0526"/>
    <w:rsid w:val="009E646D"/>
    <w:rsid w:val="00A03455"/>
    <w:rsid w:val="00A1173B"/>
    <w:rsid w:val="00A35798"/>
    <w:rsid w:val="00A36F1B"/>
    <w:rsid w:val="00A46BBE"/>
    <w:rsid w:val="00A60377"/>
    <w:rsid w:val="00A84B72"/>
    <w:rsid w:val="00B57638"/>
    <w:rsid w:val="00BC59AF"/>
    <w:rsid w:val="00C6216C"/>
    <w:rsid w:val="00C64BE5"/>
    <w:rsid w:val="00CB6582"/>
    <w:rsid w:val="00D857D2"/>
    <w:rsid w:val="00DC04F3"/>
    <w:rsid w:val="00DE097A"/>
    <w:rsid w:val="00DF0FF2"/>
    <w:rsid w:val="00E0432E"/>
    <w:rsid w:val="00E22B00"/>
    <w:rsid w:val="00E44329"/>
    <w:rsid w:val="00EB7DF1"/>
    <w:rsid w:val="00ED298D"/>
    <w:rsid w:val="00ED7328"/>
    <w:rsid w:val="00EF5828"/>
    <w:rsid w:val="00F1456B"/>
    <w:rsid w:val="00FB6248"/>
    <w:rsid w:val="00FF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A6037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60377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2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11969</Words>
  <Characters>68224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mismeasure of participation: how choosing the ‘wrong’</vt:lpstr>
    </vt:vector>
  </TitlesOfParts>
  <Company>University of the West of England, Bristol</Company>
  <LinksUpToDate>false</LinksUpToDate>
  <CharactersWithSpaces>80033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mismeasure of participation: how choosing the ‘wrong’</dc:title>
  <dc:creator>Rob Cuthbert</dc:creator>
  <cp:lastModifiedBy>Neil Harrison</cp:lastModifiedBy>
  <cp:revision>13</cp:revision>
  <dcterms:created xsi:type="dcterms:W3CDTF">2012-10-21T11:49:00Z</dcterms:created>
  <dcterms:modified xsi:type="dcterms:W3CDTF">2012-10-21T13:33:00Z</dcterms:modified>
</cp:coreProperties>
</file>