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DF701" w14:textId="6F451CE3" w:rsidR="001F2B42" w:rsidRDefault="001F2B42" w:rsidP="0029268E">
      <w:pPr>
        <w:spacing w:line="360" w:lineRule="auto"/>
        <w:rPr>
          <w:b/>
        </w:rPr>
      </w:pPr>
      <w:r w:rsidRPr="001F2B42">
        <w:rPr>
          <w:b/>
        </w:rPr>
        <w:t>(Mis)conceptualising themes, thematic analysis, and other problems with Fugard and Potts’ (2015) sample-size tool</w:t>
      </w:r>
      <w:r w:rsidR="00B32D7A">
        <w:rPr>
          <w:b/>
        </w:rPr>
        <w:t xml:space="preserve"> for thematic analysis</w:t>
      </w:r>
    </w:p>
    <w:p w14:paraId="726DBD27" w14:textId="77777777" w:rsidR="00491EFC" w:rsidRDefault="00491EFC" w:rsidP="0029268E">
      <w:pPr>
        <w:spacing w:line="360" w:lineRule="auto"/>
      </w:pPr>
      <w:r>
        <w:t>Virginia Braun and Victoria Clarke</w:t>
      </w:r>
    </w:p>
    <w:p w14:paraId="76FE633F" w14:textId="07CCDE5C" w:rsidR="00491EFC" w:rsidRDefault="00491EFC" w:rsidP="0029268E">
      <w:pPr>
        <w:spacing w:line="360" w:lineRule="auto"/>
        <w:rPr>
          <w:i/>
        </w:rPr>
      </w:pPr>
      <w:r>
        <w:t xml:space="preserve">Commentary </w:t>
      </w:r>
      <w:r w:rsidR="000058A6">
        <w:t>published in</w:t>
      </w:r>
      <w:r>
        <w:t xml:space="preserve"> </w:t>
      </w:r>
      <w:r w:rsidRPr="00491EFC">
        <w:rPr>
          <w:i/>
        </w:rPr>
        <w:t>International Journal of Social Research Methodology</w:t>
      </w:r>
      <w:r w:rsidR="000058A6">
        <w:t xml:space="preserve">, </w:t>
      </w:r>
      <w:r w:rsidR="000058A6" w:rsidRPr="00CC72AA">
        <w:rPr>
          <w:i/>
          <w:szCs w:val="24"/>
        </w:rPr>
        <w:t>19</w:t>
      </w:r>
      <w:r w:rsidR="000058A6">
        <w:rPr>
          <w:szCs w:val="24"/>
        </w:rPr>
        <w:t xml:space="preserve">(6), </w:t>
      </w:r>
      <w:r w:rsidR="000058A6" w:rsidRPr="00CC72AA">
        <w:rPr>
          <w:rFonts w:cs="Arial"/>
          <w:szCs w:val="24"/>
          <w:lang w:val="en"/>
        </w:rPr>
        <w:t>739-743</w:t>
      </w:r>
      <w:r w:rsidR="000058A6">
        <w:rPr>
          <w:rFonts w:cs="Arial"/>
          <w:szCs w:val="24"/>
          <w:lang w:val="en"/>
        </w:rPr>
        <w:t>.</w:t>
      </w:r>
      <w:bookmarkStart w:id="0" w:name="_GoBack"/>
      <w:bookmarkEnd w:id="0"/>
    </w:p>
    <w:p w14:paraId="4F01D9E4" w14:textId="68B1A81C" w:rsidR="00450363" w:rsidRDefault="00585718" w:rsidP="0029268E">
      <w:pPr>
        <w:spacing w:line="360" w:lineRule="auto"/>
      </w:pPr>
      <w:r>
        <w:t xml:space="preserve">One of us (VC) was having a conversation with a student recently about the origins and history of thematic analysis (TA). The student had read </w:t>
      </w:r>
      <w:r w:rsidR="0029268E" w:rsidRPr="0029268E">
        <w:rPr>
          <w:i/>
        </w:rPr>
        <w:t>Qualitative Research in Counselling and Psychotherapy</w:t>
      </w:r>
      <w:r w:rsidR="008762E7">
        <w:t xml:space="preserve"> (McLeod, 2011)</w:t>
      </w:r>
      <w:r w:rsidR="0029268E">
        <w:t xml:space="preserve">, </w:t>
      </w:r>
      <w:r w:rsidR="008762E7">
        <w:t xml:space="preserve">a text which </w:t>
      </w:r>
      <w:r>
        <w:t>presents TA as a variant of grounded theory. Victoria</w:t>
      </w:r>
      <w:r w:rsidR="00C45ACE">
        <w:t xml:space="preserve"> commented that she </w:t>
      </w:r>
      <w:r w:rsidR="00524FA1">
        <w:t>thought</w:t>
      </w:r>
      <w:r w:rsidR="00C45ACE">
        <w:t xml:space="preserve"> that </w:t>
      </w:r>
      <w:r w:rsidR="00D5207F">
        <w:t>TA evolved from content analysis</w:t>
      </w:r>
      <w:r w:rsidR="00524FA1">
        <w:t>,</w:t>
      </w:r>
      <w:r w:rsidR="00D5207F">
        <w:t xml:space="preserve"> and therefore predated grounded theory</w:t>
      </w:r>
      <w:r w:rsidR="00B32D7A">
        <w:t>, and</w:t>
      </w:r>
      <w:r w:rsidR="00D5207F">
        <w:t xml:space="preserve"> discussed her recent discovery of the use of a variant of TA in psychotherapy research in the 1930s</w:t>
      </w:r>
      <w:r w:rsidR="00524FA1">
        <w:t>-</w:t>
      </w:r>
      <w:r w:rsidR="00D5207F">
        <w:t>1950s</w:t>
      </w:r>
      <w:r w:rsidR="00C45ACE">
        <w:t xml:space="preserve">. The student let out a heavy sigh and slumped in her chair, bemoaning her ability to ever fully grasp qualitative research in all its complexity. This reaction is not uncommon. </w:t>
      </w:r>
      <w:r w:rsidR="00524FA1">
        <w:t>S</w:t>
      </w:r>
      <w:r w:rsidR="00C45ACE">
        <w:t>tudents learning and implementing qualitative research a</w:t>
      </w:r>
      <w:r w:rsidR="00280A42">
        <w:t>t times</w:t>
      </w:r>
      <w:r w:rsidR="00C45ACE">
        <w:t xml:space="preserve"> </w:t>
      </w:r>
      <w:r w:rsidR="00524FA1">
        <w:t xml:space="preserve">find it </w:t>
      </w:r>
      <w:r w:rsidR="00C45ACE">
        <w:t>bewildering a</w:t>
      </w:r>
      <w:r w:rsidR="00280A42">
        <w:t>nd</w:t>
      </w:r>
      <w:r w:rsidR="00C45ACE">
        <w:t xml:space="preserve"> challenging</w:t>
      </w:r>
      <w:r w:rsidR="00524FA1">
        <w:t xml:space="preserve">; simple models of ‘how to do things’ can appear to offer </w:t>
      </w:r>
      <w:r w:rsidR="00B32D7A">
        <w:t>reassuring certainty</w:t>
      </w:r>
      <w:r w:rsidR="00524FA1">
        <w:t>. But simplified models, especially if based in confidently-presented-yet-partial accounts of the field or an approach, at best obfuscate and at worst lead to poor quality research</w:t>
      </w:r>
      <w:r w:rsidR="00C45ACE">
        <w:t xml:space="preserve">. </w:t>
      </w:r>
    </w:p>
    <w:p w14:paraId="53F852B4" w14:textId="7CDF8E78" w:rsidR="00464AE6" w:rsidRDefault="00C45ACE">
      <w:pPr>
        <w:spacing w:line="360" w:lineRule="auto"/>
      </w:pPr>
      <w:r>
        <w:t>In our discipline</w:t>
      </w:r>
      <w:r w:rsidR="008762E7">
        <w:t xml:space="preserve"> (</w:t>
      </w:r>
      <w:r>
        <w:t>psychology</w:t>
      </w:r>
      <w:r w:rsidR="008762E7">
        <w:t>)</w:t>
      </w:r>
      <w:r>
        <w:t xml:space="preserve">, students </w:t>
      </w:r>
      <w:r w:rsidR="005178CF">
        <w:t xml:space="preserve">typically </w:t>
      </w:r>
      <w:r>
        <w:t xml:space="preserve">learn </w:t>
      </w:r>
      <w:r w:rsidR="00280A42">
        <w:t xml:space="preserve">about </w:t>
      </w:r>
      <w:r>
        <w:t xml:space="preserve">qualitative research </w:t>
      </w:r>
      <w:r w:rsidR="00280A42">
        <w:t xml:space="preserve">only </w:t>
      </w:r>
      <w:r w:rsidRPr="00AA4ED0">
        <w:rPr>
          <w:i/>
        </w:rPr>
        <w:t>after</w:t>
      </w:r>
      <w:r>
        <w:t xml:space="preserve"> </w:t>
      </w:r>
      <w:r w:rsidR="00280A42">
        <w:t>they have been</w:t>
      </w:r>
      <w:r>
        <w:t xml:space="preserve"> </w:t>
      </w:r>
      <w:r w:rsidR="00280A42">
        <w:t>fully immersed</w:t>
      </w:r>
      <w:r>
        <w:t xml:space="preserve"> in the norms, values and methods of scientific psychology</w:t>
      </w:r>
      <w:r w:rsidR="005178CF">
        <w:t>. M</w:t>
      </w:r>
      <w:r>
        <w:t>any find</w:t>
      </w:r>
      <w:r w:rsidR="005178CF">
        <w:t xml:space="preserve"> it</w:t>
      </w:r>
      <w:r>
        <w:t xml:space="preserve"> difficult to let go of</w:t>
      </w:r>
      <w:r w:rsidR="00280A42">
        <w:t xml:space="preserve"> what we call</w:t>
      </w:r>
      <w:r>
        <w:t xml:space="preserve"> </w:t>
      </w:r>
      <w:r w:rsidR="00280A42">
        <w:t>a ‘quantitative sensibility’</w:t>
      </w:r>
      <w:r>
        <w:t>.</w:t>
      </w:r>
      <w:r w:rsidR="00280A42">
        <w:t xml:space="preserve"> For such students, and others </w:t>
      </w:r>
      <w:r w:rsidR="00170C31">
        <w:t xml:space="preserve">not </w:t>
      </w:r>
      <w:r w:rsidR="00280A42">
        <w:t xml:space="preserve">well versed in a </w:t>
      </w:r>
      <w:r w:rsidR="00280A42" w:rsidRPr="00280A42">
        <w:rPr>
          <w:i/>
        </w:rPr>
        <w:t>qualitative</w:t>
      </w:r>
      <w:r w:rsidR="00280A42">
        <w:t xml:space="preserve"> sensibility, Fugard and Potts</w:t>
      </w:r>
      <w:r w:rsidR="00170C31">
        <w:t xml:space="preserve">’ (2015) </w:t>
      </w:r>
      <w:r w:rsidR="00280A42">
        <w:t xml:space="preserve">tool for determining sample sizes in TA research has great </w:t>
      </w:r>
      <w:r w:rsidR="00AD1A0D">
        <w:t>int</w:t>
      </w:r>
      <w:r w:rsidR="006806A9">
        <w:t xml:space="preserve">uitive </w:t>
      </w:r>
      <w:r w:rsidR="00280A42">
        <w:t>appeal</w:t>
      </w:r>
      <w:r w:rsidR="006806A9">
        <w:t>; it provides a life-raft to cling to</w:t>
      </w:r>
      <w:r w:rsidR="00D5207F">
        <w:t xml:space="preserve"> in the sea of uncertainty that is qualitative research</w:t>
      </w:r>
      <w:r w:rsidR="00280A42">
        <w:t xml:space="preserve">. </w:t>
      </w:r>
      <w:r w:rsidR="00AD1A0D">
        <w:t>Thus,</w:t>
      </w:r>
      <w:r w:rsidR="00464AE6">
        <w:t xml:space="preserve"> we share Hammersley’s (2015) concern</w:t>
      </w:r>
      <w:r w:rsidR="002103E9">
        <w:t>s</w:t>
      </w:r>
      <w:r w:rsidR="00464AE6">
        <w:t xml:space="preserve"> that their </w:t>
      </w:r>
      <w:r w:rsidR="00280A42">
        <w:t>tool</w:t>
      </w:r>
      <w:r w:rsidR="00464AE6">
        <w:t xml:space="preserve"> will be used by funding bodies and others </w:t>
      </w:r>
      <w:r w:rsidR="00E95106">
        <w:t>(e.g. editors</w:t>
      </w:r>
      <w:r w:rsidR="00B32D7A">
        <w:t>, reviewers</w:t>
      </w:r>
      <w:r w:rsidR="00E95106">
        <w:t xml:space="preserve">) </w:t>
      </w:r>
      <w:r w:rsidR="00464AE6">
        <w:t>to determine and evaluate sample sizes in TA research</w:t>
      </w:r>
      <w:r w:rsidR="00B32D7A">
        <w:t>. We fear it will</w:t>
      </w:r>
      <w:r w:rsidR="00464AE6">
        <w:t xml:space="preserve"> </w:t>
      </w:r>
      <w:r w:rsidR="00AD1A0D">
        <w:t>result in</w:t>
      </w:r>
      <w:r w:rsidR="00464AE6">
        <w:t xml:space="preserve"> </w:t>
      </w:r>
      <w:r w:rsidR="00280A42">
        <w:t xml:space="preserve">further </w:t>
      </w:r>
      <w:r w:rsidR="00464AE6">
        <w:t>confusion about</w:t>
      </w:r>
      <w:r w:rsidR="00AD1A0D">
        <w:t>,</w:t>
      </w:r>
      <w:r w:rsidR="002103E9">
        <w:t xml:space="preserve"> and </w:t>
      </w:r>
      <w:r w:rsidR="00AD1A0D">
        <w:t xml:space="preserve">further </w:t>
      </w:r>
      <w:r w:rsidR="002103E9">
        <w:t>distortion of</w:t>
      </w:r>
      <w:r w:rsidR="00AD1A0D">
        <w:t>,</w:t>
      </w:r>
      <w:r w:rsidR="00464AE6">
        <w:t xml:space="preserve"> </w:t>
      </w:r>
      <w:r w:rsidR="006806A9">
        <w:t xml:space="preserve">the assumptions and procedures of </w:t>
      </w:r>
      <w:r w:rsidR="00464AE6">
        <w:t>qualitative research</w:t>
      </w:r>
      <w:r w:rsidR="00585718">
        <w:t>.</w:t>
      </w:r>
      <w:r w:rsidR="00280A42">
        <w:t xml:space="preserve"> </w:t>
      </w:r>
      <w:r w:rsidR="00B32D7A">
        <w:t>We here</w:t>
      </w:r>
      <w:r w:rsidR="00280A42">
        <w:t xml:space="preserve"> </w:t>
      </w:r>
      <w:r w:rsidR="002103E9">
        <w:t>build on</w:t>
      </w:r>
      <w:r w:rsidR="00280A42">
        <w:t xml:space="preserve"> concerns expressed by </w:t>
      </w:r>
      <w:r w:rsidR="00F42517">
        <w:t xml:space="preserve">others (Byrne, 2015; Emmel, 2015; </w:t>
      </w:r>
      <w:r w:rsidR="002103E9">
        <w:t>Hammersley</w:t>
      </w:r>
      <w:r w:rsidR="00F42517">
        <w:t xml:space="preserve">, </w:t>
      </w:r>
      <w:r w:rsidR="002103E9">
        <w:t>2015</w:t>
      </w:r>
      <w:r w:rsidR="00042F28">
        <w:t>)</w:t>
      </w:r>
      <w:r w:rsidR="00F42517">
        <w:t xml:space="preserve"> to </w:t>
      </w:r>
      <w:r w:rsidR="00B32D7A">
        <w:t xml:space="preserve">briefly </w:t>
      </w:r>
      <w:r w:rsidR="00F42517">
        <w:t xml:space="preserve">highlight why </w:t>
      </w:r>
      <w:r w:rsidR="00B32D7A">
        <w:t>this</w:t>
      </w:r>
      <w:r w:rsidR="00F42517">
        <w:t xml:space="preserve"> quantitative model for qualitative sampling in TA is problematic, based on flawed assumptions about TA, and steeped in a quantitative logic </w:t>
      </w:r>
      <w:r w:rsidR="00AD1A0D">
        <w:t xml:space="preserve">at odds with the exploratory and </w:t>
      </w:r>
      <w:r w:rsidR="00AD1A0D" w:rsidRPr="00AD1A0D">
        <w:rPr>
          <w:i/>
        </w:rPr>
        <w:t>qualitative</w:t>
      </w:r>
      <w:r w:rsidR="00AD1A0D">
        <w:t xml:space="preserve"> ethos of much TA research.</w:t>
      </w:r>
    </w:p>
    <w:p w14:paraId="39981449" w14:textId="6098F223" w:rsidR="00F42517" w:rsidRPr="00AA4ED0" w:rsidRDefault="00B3670A">
      <w:pPr>
        <w:spacing w:line="360" w:lineRule="auto"/>
        <w:rPr>
          <w:i/>
        </w:rPr>
      </w:pPr>
      <w:r>
        <w:rPr>
          <w:i/>
        </w:rPr>
        <w:t>(Mis)c</w:t>
      </w:r>
      <w:r w:rsidR="00F42517" w:rsidRPr="00AA4ED0">
        <w:rPr>
          <w:i/>
        </w:rPr>
        <w:t>onceptualising thematic analysis</w:t>
      </w:r>
      <w:r>
        <w:rPr>
          <w:i/>
        </w:rPr>
        <w:t xml:space="preserve">: </w:t>
      </w:r>
      <w:r w:rsidR="00AA4ED0">
        <w:rPr>
          <w:i/>
        </w:rPr>
        <w:t>T</w:t>
      </w:r>
      <w:r>
        <w:rPr>
          <w:i/>
        </w:rPr>
        <w:t>hematic analysis is not one approach</w:t>
      </w:r>
    </w:p>
    <w:p w14:paraId="1A4F06B8" w14:textId="0A40AFE3" w:rsidR="00F42517" w:rsidRDefault="00F42517">
      <w:pPr>
        <w:spacing w:line="360" w:lineRule="auto"/>
      </w:pPr>
      <w:r>
        <w:t xml:space="preserve">Despite acknowledging diversity through reference </w:t>
      </w:r>
      <w:r w:rsidRPr="00F42517">
        <w:t>to ‘thematic analyses’</w:t>
      </w:r>
      <w:r>
        <w:t xml:space="preserve"> (and citing authors </w:t>
      </w:r>
      <w:r w:rsidR="00957FF2">
        <w:t>with different orientations, such as</w:t>
      </w:r>
      <w:r>
        <w:t xml:space="preserve"> ourselves </w:t>
      </w:r>
      <w:r w:rsidR="00957FF2">
        <w:t>–</w:t>
      </w:r>
      <w:r>
        <w:t xml:space="preserve"> </w:t>
      </w:r>
      <w:r w:rsidRPr="00F42517">
        <w:t>Braun &amp; Clarke</w:t>
      </w:r>
      <w:r>
        <w:t xml:space="preserve"> [</w:t>
      </w:r>
      <w:r w:rsidRPr="00F42517">
        <w:t>2006, 2013</w:t>
      </w:r>
      <w:r>
        <w:t>] –</w:t>
      </w:r>
      <w:r w:rsidR="00B32D7A">
        <w:t xml:space="preserve"> </w:t>
      </w:r>
      <w:r>
        <w:t xml:space="preserve">Boyatzis [1998] and Guest, MacQueen </w:t>
      </w:r>
      <w:r w:rsidR="006F2486">
        <w:t>&amp;</w:t>
      </w:r>
      <w:r>
        <w:t xml:space="preserve"> Namey [2012])</w:t>
      </w:r>
      <w:r w:rsidRPr="00F42517">
        <w:t xml:space="preserve">, </w:t>
      </w:r>
      <w:r>
        <w:t>Fugard and Potts</w:t>
      </w:r>
      <w:r w:rsidRPr="00F42517">
        <w:t xml:space="preserve"> </w:t>
      </w:r>
      <w:r w:rsidR="00957FF2">
        <w:t>implicitly</w:t>
      </w:r>
      <w:r w:rsidRPr="00F42517">
        <w:t xml:space="preserve"> treat TA as </w:t>
      </w:r>
      <w:r>
        <w:t>a</w:t>
      </w:r>
      <w:r w:rsidRPr="00F42517">
        <w:t xml:space="preserve"> homogenous entity. They do not highlight differences in underlying assumptions and procedures between thes</w:t>
      </w:r>
      <w:r w:rsidR="00957FF2">
        <w:t>e approaches,</w:t>
      </w:r>
      <w:r w:rsidRPr="00F42517">
        <w:t xml:space="preserve"> </w:t>
      </w:r>
      <w:r w:rsidRPr="00F42517">
        <w:lastRenderedPageBreak/>
        <w:t>differences</w:t>
      </w:r>
      <w:r w:rsidR="00957FF2">
        <w:t xml:space="preserve"> which</w:t>
      </w:r>
      <w:r w:rsidRPr="00F42517">
        <w:t xml:space="preserve"> are not insignificant</w:t>
      </w:r>
      <w:r w:rsidR="00957FF2">
        <w:t>,</w:t>
      </w:r>
      <w:r w:rsidRPr="00F42517">
        <w:t xml:space="preserve"> and are consequential for the applicability of </w:t>
      </w:r>
      <w:r w:rsidR="00957FF2">
        <w:t>their</w:t>
      </w:r>
      <w:r w:rsidRPr="00F42517">
        <w:t xml:space="preserve"> model. </w:t>
      </w:r>
      <w:r w:rsidR="00957FF2">
        <w:t>Although m</w:t>
      </w:r>
      <w:r w:rsidRPr="00F42517">
        <w:t xml:space="preserve">ost TA proponents agree that TA is theoretically independent or flexible, and that coding occurs at two levels – semantic or manifest </w:t>
      </w:r>
      <w:r w:rsidR="00957FF2">
        <w:t>meaning; latent or implicit meaning –</w:t>
      </w:r>
      <w:r w:rsidR="006F2486">
        <w:t xml:space="preserve"> there is less TA scholars and researchers </w:t>
      </w:r>
      <w:r w:rsidRPr="00F42517">
        <w:t>share in common or agree on</w:t>
      </w:r>
      <w:r w:rsidR="00957FF2">
        <w:t>. C</w:t>
      </w:r>
      <w:r w:rsidRPr="00F42517">
        <w:t>laimed theoretical independence of TA is often limited by unacknowledged theoretical assumptions. There is</w:t>
      </w:r>
      <w:r w:rsidR="00CF38C1">
        <w:t xml:space="preserve"> n</w:t>
      </w:r>
      <w:r w:rsidRPr="00F42517">
        <w:t>o widely agreed on definition of a theme</w:t>
      </w:r>
      <w:r w:rsidR="00CF38C1">
        <w:t xml:space="preserve">, with </w:t>
      </w:r>
      <w:r w:rsidRPr="00F42517">
        <w:t>conceptualisations of</w:t>
      </w:r>
      <w:r w:rsidR="00CF38C1">
        <w:t xml:space="preserve"> a theme</w:t>
      </w:r>
      <w:r w:rsidRPr="00F42517">
        <w:t xml:space="preserve"> vary</w:t>
      </w:r>
      <w:r w:rsidR="00CF38C1">
        <w:t>ing</w:t>
      </w:r>
      <w:r w:rsidRPr="00F42517">
        <w:t xml:space="preserve"> widely</w:t>
      </w:r>
      <w:r w:rsidR="00CF38C1">
        <w:t>; procedures to identify them</w:t>
      </w:r>
      <w:r w:rsidR="006F2486">
        <w:t>es</w:t>
      </w:r>
      <w:r w:rsidR="00CF38C1">
        <w:t xml:space="preserve"> also vary. </w:t>
      </w:r>
      <w:r w:rsidR="006F2486">
        <w:t>As we</w:t>
      </w:r>
      <w:r w:rsidR="00CF38C1">
        <w:t xml:space="preserve"> discuss these problems, we contrast two broad approaches to TA, which we call ‘coding reliability’ (authors such as Boyatzis,</w:t>
      </w:r>
      <w:r w:rsidR="006E0059">
        <w:t xml:space="preserve"> 1998;</w:t>
      </w:r>
      <w:r w:rsidR="00CF38C1">
        <w:t xml:space="preserve"> Guest et al.</w:t>
      </w:r>
      <w:r w:rsidR="006E0059">
        <w:t>, 2012</w:t>
      </w:r>
      <w:r w:rsidR="00CF38C1">
        <w:t>; Joffe, 2012) and ‘organic’ (ourselves and others</w:t>
      </w:r>
      <w:r w:rsidR="002B75D4">
        <w:t xml:space="preserve">) – </w:t>
      </w:r>
      <w:r w:rsidR="00B3670A">
        <w:t>these and other</w:t>
      </w:r>
      <w:r w:rsidR="002B75D4">
        <w:t xml:space="preserve"> models of TA </w:t>
      </w:r>
      <w:r w:rsidR="00B3670A">
        <w:t xml:space="preserve">we </w:t>
      </w:r>
      <w:r w:rsidR="006F2486">
        <w:t>discuss</w:t>
      </w:r>
      <w:r w:rsidR="00B3670A">
        <w:t xml:space="preserve"> </w:t>
      </w:r>
      <w:r w:rsidR="002B75D4">
        <w:t xml:space="preserve">further elsewhere (Clarke &amp; Braun, forthcoming). </w:t>
      </w:r>
    </w:p>
    <w:p w14:paraId="287BDD82" w14:textId="469354C2" w:rsidR="00F42517" w:rsidRPr="00AA4ED0" w:rsidRDefault="00F42517">
      <w:pPr>
        <w:spacing w:line="360" w:lineRule="auto"/>
        <w:rPr>
          <w:i/>
        </w:rPr>
      </w:pPr>
      <w:r>
        <w:rPr>
          <w:i/>
        </w:rPr>
        <w:t>(Mis)conceptualising themes</w:t>
      </w:r>
      <w:r w:rsidR="00CF38C1">
        <w:rPr>
          <w:i/>
        </w:rPr>
        <w:t>: not everyone views themes as diamonds</w:t>
      </w:r>
    </w:p>
    <w:p w14:paraId="1391A4A5" w14:textId="76EA696B" w:rsidR="00B3670A" w:rsidRPr="00B3670A" w:rsidRDefault="00F42517" w:rsidP="00B3670A">
      <w:pPr>
        <w:spacing w:line="360" w:lineRule="auto"/>
      </w:pPr>
      <w:r>
        <w:t xml:space="preserve">For Fugard and Potts’ model to work, a very particular idea of what a theme is, and how it can be identified, is required. </w:t>
      </w:r>
      <w:r w:rsidR="00CF38C1">
        <w:t>Essential</w:t>
      </w:r>
      <w:r w:rsidR="00246DFB">
        <w:t>ly</w:t>
      </w:r>
      <w:r w:rsidR="00CF38C1">
        <w:t xml:space="preserve">, the model has to conceptualise themes as ontologically real, discrete things, </w:t>
      </w:r>
      <w:r w:rsidR="00A012C0">
        <w:t xml:space="preserve">out there in the world (or the data), </w:t>
      </w:r>
      <w:r w:rsidR="00CF38C1">
        <w:t xml:space="preserve">identifiable by researchers – like diamonds scattered in the sand, waiting to plucked-up by a lucky passer-by (though </w:t>
      </w:r>
      <w:r>
        <w:t>within the paper, there are varied definitions of ‘a theme’</w:t>
      </w:r>
      <w:r w:rsidR="00A012C0">
        <w:t xml:space="preserve">; </w:t>
      </w:r>
      <w:r>
        <w:t xml:space="preserve">Emmel, 2015). </w:t>
      </w:r>
      <w:r w:rsidR="00FA3CCB">
        <w:t xml:space="preserve">That </w:t>
      </w:r>
      <w:r w:rsidR="00246DFB" w:rsidRPr="00246DFB">
        <w:t xml:space="preserve">Fugard and Potts </w:t>
      </w:r>
      <w:r w:rsidR="00FA3CCB">
        <w:t xml:space="preserve">implicitly </w:t>
      </w:r>
      <w:r w:rsidR="00FE2B9A">
        <w:t xml:space="preserve">(as well as explicitly) </w:t>
      </w:r>
      <w:r w:rsidR="00246DFB" w:rsidRPr="00246DFB">
        <w:t>regard anal</w:t>
      </w:r>
      <w:r w:rsidR="00FA3CCB">
        <w:t xml:space="preserve">ysis as a process of </w:t>
      </w:r>
      <w:r w:rsidR="00FB4146">
        <w:t>theme-</w:t>
      </w:r>
      <w:r w:rsidR="00FA3CCB">
        <w:t>discovery is evidenced in the language used:</w:t>
      </w:r>
      <w:r w:rsidR="00246DFB" w:rsidRPr="00246DFB">
        <w:t xml:space="preserve"> “to have a chance of </w:t>
      </w:r>
      <w:r w:rsidR="00246DFB" w:rsidRPr="00246DFB">
        <w:rPr>
          <w:i/>
        </w:rPr>
        <w:t>capturing</w:t>
      </w:r>
      <w:r w:rsidR="00246DFB" w:rsidRPr="00246DFB">
        <w:t xml:space="preserve"> themes” (p. 7; our emphasis)</w:t>
      </w:r>
      <w:r w:rsidR="00FA3CCB">
        <w:t>;</w:t>
      </w:r>
      <w:r w:rsidR="00246DFB" w:rsidRPr="00246DFB">
        <w:t xml:space="preserve"> “in order to aid the </w:t>
      </w:r>
      <w:r w:rsidR="00246DFB" w:rsidRPr="00246DFB">
        <w:rPr>
          <w:i/>
        </w:rPr>
        <w:t>recognition</w:t>
      </w:r>
      <w:r w:rsidR="00246DFB" w:rsidRPr="00246DFB">
        <w:t xml:space="preserve"> of a theme” (p. 9; our emphasis)</w:t>
      </w:r>
      <w:r w:rsidR="00FA3CCB">
        <w:t>;</w:t>
      </w:r>
      <w:r w:rsidR="00246DFB" w:rsidRPr="00246DFB">
        <w:t xml:space="preserve"> “if a theme only has a 50% chance of being expressed by the participant and </w:t>
      </w:r>
      <w:r w:rsidR="00246DFB" w:rsidRPr="00246DFB">
        <w:rPr>
          <w:i/>
        </w:rPr>
        <w:t>noticed</w:t>
      </w:r>
      <w:r w:rsidR="00246DFB" w:rsidRPr="00246DFB">
        <w:t xml:space="preserve"> by the researcher” (p. 10; our emphasis). </w:t>
      </w:r>
      <w:r w:rsidR="00FA3CCB">
        <w:t>T</w:t>
      </w:r>
      <w:r w:rsidR="00246DFB">
        <w:t>his idea</w:t>
      </w:r>
      <w:r w:rsidR="00FA3CCB">
        <w:t xml:space="preserve"> of discovery</w:t>
      </w:r>
      <w:r w:rsidR="00CF38C1">
        <w:t xml:space="preserve"> is deeply problematic</w:t>
      </w:r>
      <w:r w:rsidR="00A012C0">
        <w:t xml:space="preserve"> to many qualitative scholars, who rather view themes as </w:t>
      </w:r>
      <w:r w:rsidR="00A012C0" w:rsidRPr="00A012C0">
        <w:t xml:space="preserve">actively crafted by the researcher, reflecting their interpretative choices, </w:t>
      </w:r>
      <w:r w:rsidR="00FA3CCB">
        <w:t>instead of</w:t>
      </w:r>
      <w:r w:rsidR="00A012C0" w:rsidRPr="00A012C0">
        <w:t xml:space="preserve"> pre-existing the analysis</w:t>
      </w:r>
      <w:r w:rsidR="00A012C0">
        <w:t>.</w:t>
      </w:r>
      <w:r w:rsidR="00B3670A">
        <w:t xml:space="preserve"> They </w:t>
      </w:r>
      <w:r w:rsidR="00B3670A" w:rsidRPr="00B3670A">
        <w:t>are offered to the reader as</w:t>
      </w:r>
      <w:r w:rsidR="00B3670A">
        <w:t xml:space="preserve"> a</w:t>
      </w:r>
      <w:r w:rsidR="00B3670A" w:rsidRPr="00B3670A">
        <w:t xml:space="preserve"> </w:t>
      </w:r>
      <w:r w:rsidR="00B3670A">
        <w:t>compelling and coherent reading</w:t>
      </w:r>
      <w:r w:rsidR="00B3670A" w:rsidRPr="00B3670A">
        <w:t xml:space="preserve"> of data, </w:t>
      </w:r>
      <w:r w:rsidR="00B3670A">
        <w:t>rather than</w:t>
      </w:r>
      <w:r w:rsidR="00B3670A" w:rsidRPr="00B3670A">
        <w:t xml:space="preserve"> (more or less) accurate </w:t>
      </w:r>
      <w:r w:rsidR="00B3670A">
        <w:t>identification of a decontextualized or pre-existing truth</w:t>
      </w:r>
      <w:r w:rsidR="00B3670A" w:rsidRPr="00B3670A">
        <w:t>.</w:t>
      </w:r>
    </w:p>
    <w:p w14:paraId="3610EB65" w14:textId="19F37D40" w:rsidR="00A012C0" w:rsidRDefault="00A012C0">
      <w:pPr>
        <w:spacing w:line="360" w:lineRule="auto"/>
      </w:pPr>
      <w:r>
        <w:rPr>
          <w:rFonts w:ascii="Calibri" w:hAnsi="Calibri"/>
        </w:rPr>
        <w:t xml:space="preserve">If themes are conceptualised as </w:t>
      </w:r>
      <w:r>
        <w:t>meaningful entities</w:t>
      </w:r>
      <w:r w:rsidR="00FA3CCB">
        <w:t xml:space="preserve"> that are</w:t>
      </w:r>
      <w:r>
        <w:t xml:space="preserve"> constructed from codes that unify disparate data, and capture the essence of some degree of recurrent meaning </w:t>
      </w:r>
      <w:r w:rsidR="00FB4146">
        <w:t>across</w:t>
      </w:r>
      <w:r>
        <w:t xml:space="preserve"> a dataset (Braun &amp; Clarke, 2013; DeSantis &amp; Ugarriza, 2000),</w:t>
      </w:r>
      <w:r w:rsidR="00B3670A">
        <w:t xml:space="preserve"> rather than</w:t>
      </w:r>
      <w:r w:rsidR="00B3670A" w:rsidRPr="00B3670A">
        <w:t xml:space="preserve"> things in the world that the researcher unearths</w:t>
      </w:r>
      <w:r w:rsidR="00B3670A">
        <w:t>, the idea of</w:t>
      </w:r>
      <w:r>
        <w:t xml:space="preserve"> </w:t>
      </w:r>
      <w:r w:rsidR="00FA3CCB">
        <w:t>discovery does not work. T</w:t>
      </w:r>
      <w:r>
        <w:t xml:space="preserve">he </w:t>
      </w:r>
      <w:r w:rsidR="008162CA">
        <w:t>end-</w:t>
      </w:r>
      <w:r>
        <w:t xml:space="preserve">product </w:t>
      </w:r>
      <w:r w:rsidR="008162CA">
        <w:t>from</w:t>
      </w:r>
      <w:r>
        <w:t xml:space="preserve"> </w:t>
      </w:r>
      <w:r w:rsidRPr="00070CED">
        <w:rPr>
          <w:i/>
        </w:rPr>
        <w:t>baking</w:t>
      </w:r>
      <w:r>
        <w:t xml:space="preserve"> – e.g., a cake – offers a better metaphor than diamonds. A whole combination of material</w:t>
      </w:r>
      <w:r w:rsidR="004101C4">
        <w:t>s (ingredient</w:t>
      </w:r>
      <w:r w:rsidR="006F2486">
        <w:t>s</w:t>
      </w:r>
      <w:r w:rsidR="004101C4">
        <w:t xml:space="preserve">), processes and skills </w:t>
      </w:r>
      <w:r>
        <w:t xml:space="preserve">combine to produce </w:t>
      </w:r>
      <w:r w:rsidR="004101C4">
        <w:t>a</w:t>
      </w:r>
      <w:r>
        <w:t xml:space="preserve"> cake</w:t>
      </w:r>
      <w:r w:rsidR="002B75D4">
        <w:t xml:space="preserve">. </w:t>
      </w:r>
      <w:r w:rsidR="006F2486">
        <w:t>Before baking, t</w:t>
      </w:r>
      <w:r w:rsidR="002B75D4">
        <w:t>he cake isn’t waiting to be ‘revealed</w:t>
      </w:r>
      <w:r w:rsidR="004101C4">
        <w:t xml:space="preserve">’ – </w:t>
      </w:r>
      <w:r w:rsidR="002B75D4">
        <w:t xml:space="preserve">it </w:t>
      </w:r>
      <w:r w:rsidR="008162CA">
        <w:t>comes into being</w:t>
      </w:r>
      <w:r w:rsidR="004101C4">
        <w:t xml:space="preserve"> through activity and engagement</w:t>
      </w:r>
      <w:r w:rsidR="008162CA">
        <w:t>, within set parameters</w:t>
      </w:r>
      <w:r w:rsidR="002B75D4">
        <w:t xml:space="preserve">. Fugard and Potts’ model, which relies on themes-as-diamonds, requires a series of conceptual </w:t>
      </w:r>
      <w:r w:rsidR="008162CA">
        <w:t xml:space="preserve">positivist-empiricist assumptions </w:t>
      </w:r>
      <w:r w:rsidR="002B75D4">
        <w:t xml:space="preserve">(about that nature of reality, about the nature of research, about what our data give us </w:t>
      </w:r>
      <w:r w:rsidR="002B75D4">
        <w:lastRenderedPageBreak/>
        <w:t xml:space="preserve">access to) that don’t hold up across </w:t>
      </w:r>
      <w:r w:rsidR="004101C4">
        <w:t xml:space="preserve">much </w:t>
      </w:r>
      <w:r w:rsidR="002B75D4">
        <w:t>qualitative researching</w:t>
      </w:r>
      <w:r w:rsidR="008162CA">
        <w:t>, and which are discarded by many qualitative researchers</w:t>
      </w:r>
      <w:r w:rsidR="002B75D4">
        <w:t>.</w:t>
      </w:r>
      <w:r w:rsidR="003332A7">
        <w:t xml:space="preserve"> </w:t>
      </w:r>
      <w:r w:rsidR="006F2486">
        <w:t>W</w:t>
      </w:r>
      <w:r w:rsidR="003332A7">
        <w:t>here is the open exploration of new ideas, understandings and constructs that qualitative research excels at?</w:t>
      </w:r>
    </w:p>
    <w:p w14:paraId="5ADDC774" w14:textId="4F4CF6A3" w:rsidR="00B3670A" w:rsidRDefault="00AF3C2E">
      <w:pPr>
        <w:spacing w:line="360" w:lineRule="auto"/>
      </w:pPr>
      <w:r>
        <w:t xml:space="preserve">Fugard and Potts’ model, at least, </w:t>
      </w:r>
      <w:r w:rsidR="00F66713">
        <w:t xml:space="preserve">does not reiterate another </w:t>
      </w:r>
      <w:r w:rsidR="00070CED">
        <w:t xml:space="preserve">very </w:t>
      </w:r>
      <w:r w:rsidR="00F66713">
        <w:t xml:space="preserve">common and </w:t>
      </w:r>
      <w:r w:rsidR="00070CED">
        <w:t xml:space="preserve">in our view </w:t>
      </w:r>
      <w:r w:rsidR="00F66713">
        <w:t xml:space="preserve">problematic </w:t>
      </w:r>
      <w:r w:rsidR="00070CED">
        <w:t>c</w:t>
      </w:r>
      <w:r w:rsidR="00F66713">
        <w:t>onceptualisation of a ‘theme’: the</w:t>
      </w:r>
      <w:r>
        <w:t xml:space="preserve"> reporting </w:t>
      </w:r>
      <w:r w:rsidR="00F66713">
        <w:t xml:space="preserve">not of themes, but of </w:t>
      </w:r>
      <w:r w:rsidR="00216077">
        <w:t>topics or domains of discussion</w:t>
      </w:r>
      <w:r>
        <w:t xml:space="preserve"> </w:t>
      </w:r>
      <w:r w:rsidR="006F2486">
        <w:t>albeit</w:t>
      </w:r>
      <w:r w:rsidR="00F66713">
        <w:t xml:space="preserve"> claiming them </w:t>
      </w:r>
      <w:r w:rsidR="00F66713" w:rsidRPr="00070CED">
        <w:rPr>
          <w:i/>
        </w:rPr>
        <w:t>as</w:t>
      </w:r>
      <w:r>
        <w:t xml:space="preserve"> themes</w:t>
      </w:r>
      <w:r w:rsidR="00F66713">
        <w:t>.</w:t>
      </w:r>
      <w:r w:rsidR="00216077">
        <w:t xml:space="preserve"> </w:t>
      </w:r>
      <w:r w:rsidR="00F66713">
        <w:t xml:space="preserve">Such analysis often effectively provides descriptive summaries of the responses around the topic or focus of the so-called theme – combining a wide range of, potentially radically different, meanings </w:t>
      </w:r>
      <w:r w:rsidR="00216077">
        <w:t>– for example, analysis which identifies themes such as</w:t>
      </w:r>
      <w:r w:rsidR="00216077" w:rsidRPr="00B3670A">
        <w:t xml:space="preserve"> “perceived outcomes for children” </w:t>
      </w:r>
      <w:r w:rsidR="00216077">
        <w:t>or</w:t>
      </w:r>
      <w:r w:rsidR="00216077" w:rsidRPr="00B3670A">
        <w:t xml:space="preserve"> “perceived impact on rehabilitat</w:t>
      </w:r>
      <w:r w:rsidR="00F66713">
        <w:t xml:space="preserve">ion” (Kinsella &amp; Woodall, 2016) </w:t>
      </w:r>
      <w:r w:rsidR="006F2486">
        <w:t xml:space="preserve">– </w:t>
      </w:r>
      <w:r w:rsidR="00F66713">
        <w:t>sometimes clustered around the questions participants have been asked to discuss</w:t>
      </w:r>
      <w:r w:rsidR="00216077">
        <w:t>. If</w:t>
      </w:r>
      <w:r w:rsidR="006F2486">
        <w:t xml:space="preserve"> </w:t>
      </w:r>
      <w:r w:rsidR="00216077">
        <w:t xml:space="preserve">we understand themes as reflecting data extracts all related to a core, shared, meaning, </w:t>
      </w:r>
      <w:r w:rsidR="00216077" w:rsidRPr="00B3670A">
        <w:t>domain-summaries const</w:t>
      </w:r>
      <w:r w:rsidR="00216077">
        <w:t>itute under-developed or poorly-</w:t>
      </w:r>
      <w:r w:rsidR="00216077" w:rsidRPr="00B3670A">
        <w:t>conceptualised themes (Connelly &amp; Peltzer, 2016; Sandelowski &amp; Leeman, 2012).</w:t>
      </w:r>
      <w:r w:rsidR="00216077">
        <w:t xml:space="preserve"> </w:t>
      </w:r>
      <w:r w:rsidR="00F66713">
        <w:t xml:space="preserve">The logic behind </w:t>
      </w:r>
      <w:r>
        <w:t xml:space="preserve">Fugard and Potts’ model </w:t>
      </w:r>
      <w:r w:rsidR="00F66713">
        <w:t>cannot apply to this ‘domain’ approach: in p</w:t>
      </w:r>
      <w:r w:rsidRPr="00AF3C2E">
        <w:t>urposively sampled participants</w:t>
      </w:r>
      <w:r w:rsidR="00F66713">
        <w:t xml:space="preserve">, everyone will likely have some </w:t>
      </w:r>
      <w:r w:rsidRPr="00AF3C2E">
        <w:t>kind of view on</w:t>
      </w:r>
      <w:r>
        <w:t xml:space="preserve"> things</w:t>
      </w:r>
      <w:r w:rsidR="00F66713">
        <w:t xml:space="preserve"> they are asked to discuss,</w:t>
      </w:r>
      <w:r>
        <w:t xml:space="preserve"> like</w:t>
      </w:r>
      <w:r w:rsidRPr="00AF3C2E">
        <w:t xml:space="preserve"> ‘perceived outcomes’ or ‘perceived impacts</w:t>
      </w:r>
      <w:r>
        <w:t>,</w:t>
      </w:r>
      <w:r w:rsidRPr="00AF3C2E">
        <w:t>’</w:t>
      </w:r>
      <w:r>
        <w:t xml:space="preserve"> making the </w:t>
      </w:r>
      <w:r w:rsidR="00F66713">
        <w:t>idea of ‘theme prevalence’ irrelevant</w:t>
      </w:r>
      <w:r w:rsidRPr="00AF3C2E">
        <w:t xml:space="preserve">. </w:t>
      </w:r>
      <w:r>
        <w:t xml:space="preserve"> </w:t>
      </w:r>
    </w:p>
    <w:p w14:paraId="2DA93DB3" w14:textId="3F674285" w:rsidR="00CF38C1" w:rsidRPr="00070CED" w:rsidRDefault="00B3670A" w:rsidP="00981789">
      <w:pPr>
        <w:spacing w:line="360" w:lineRule="auto"/>
        <w:rPr>
          <w:rFonts w:ascii="Calibri" w:hAnsi="Calibri"/>
          <w:i/>
        </w:rPr>
      </w:pPr>
      <w:r w:rsidRPr="00070CED">
        <w:rPr>
          <w:rFonts w:ascii="Calibri" w:hAnsi="Calibri"/>
          <w:i/>
        </w:rPr>
        <w:t>Themes:</w:t>
      </w:r>
      <w:r>
        <w:rPr>
          <w:rFonts w:ascii="Calibri" w:hAnsi="Calibri"/>
          <w:i/>
        </w:rPr>
        <w:t xml:space="preserve"> </w:t>
      </w:r>
      <w:r w:rsidR="00070CED">
        <w:rPr>
          <w:rFonts w:ascii="Calibri" w:hAnsi="Calibri"/>
          <w:i/>
        </w:rPr>
        <w:t>I</w:t>
      </w:r>
      <w:r>
        <w:rPr>
          <w:rFonts w:ascii="Calibri" w:hAnsi="Calibri"/>
          <w:i/>
        </w:rPr>
        <w:t xml:space="preserve">dentified or developed? </w:t>
      </w:r>
    </w:p>
    <w:p w14:paraId="699762C8" w14:textId="617D622D" w:rsidR="00246DFB" w:rsidRDefault="00F66713" w:rsidP="00246DFB">
      <w:pPr>
        <w:spacing w:line="360" w:lineRule="auto"/>
      </w:pPr>
      <w:r>
        <w:t xml:space="preserve">Clarity around what a theme is, and what it represents, is vital for quality TA. </w:t>
      </w:r>
      <w:r w:rsidR="00246DFB" w:rsidRPr="00246DFB">
        <w:t>The ‘diamond’ model of a theme does potentially fit with ‘coding reliability’ approaches to TA</w:t>
      </w:r>
      <w:r w:rsidR="004101C4">
        <w:t xml:space="preserve"> – </w:t>
      </w:r>
      <w:r w:rsidR="008162CA">
        <w:t>if themes can be</w:t>
      </w:r>
      <w:r w:rsidR="004101C4">
        <w:t xml:space="preserve"> </w:t>
      </w:r>
      <w:r w:rsidR="004101C4" w:rsidRPr="00246DFB">
        <w:t>‘captured’, ‘recognised’ and ‘noticed’</w:t>
      </w:r>
      <w:r w:rsidR="008162CA" w:rsidRPr="008162CA">
        <w:t xml:space="preserve"> </w:t>
      </w:r>
      <w:r w:rsidR="008162CA" w:rsidRPr="00246DFB">
        <w:t>(see Guest, Bunce &amp; Johnson, 2006</w:t>
      </w:r>
      <w:r w:rsidR="008162CA">
        <w:t xml:space="preserve">), they </w:t>
      </w:r>
      <w:r w:rsidR="004101C4">
        <w:t>conceptually pre</w:t>
      </w:r>
      <w:r w:rsidR="00E5604E">
        <w:t>-</w:t>
      </w:r>
      <w:r w:rsidR="004101C4" w:rsidRPr="00246DFB">
        <w:t>exist the analytic and interpretive efforts of the researcher</w:t>
      </w:r>
      <w:r w:rsidR="00246DFB" w:rsidRPr="00246DFB">
        <w:t xml:space="preserve">. In these approaches, which effectively do qualitative analysis within </w:t>
      </w:r>
      <w:r w:rsidR="006F2486">
        <w:t xml:space="preserve">more or less </w:t>
      </w:r>
      <w:r w:rsidR="00246DFB" w:rsidRPr="00246DFB">
        <w:t xml:space="preserve">quantitative logic, themes are developed early in the analytic process, </w:t>
      </w:r>
      <w:r w:rsidR="008162CA">
        <w:t>through engagement with data and/or theory. C</w:t>
      </w:r>
      <w:r w:rsidR="008162CA" w:rsidRPr="008162CA">
        <w:t>oding is conceptualised as a process of searching for evidence of</w:t>
      </w:r>
      <w:r w:rsidR="008162CA">
        <w:t xml:space="preserve"> identified</w:t>
      </w:r>
      <w:r w:rsidR="008162CA" w:rsidRPr="008162CA">
        <w:t xml:space="preserve"> themes</w:t>
      </w:r>
      <w:r w:rsidR="00246DFB" w:rsidRPr="00246DFB">
        <w:t xml:space="preserve">. </w:t>
      </w:r>
      <w:r w:rsidR="008162CA">
        <w:t>A structured code-book guides the coding process, which is best undertaken by more than one researcher – h</w:t>
      </w:r>
      <w:r w:rsidR="00246DFB" w:rsidRPr="00246DFB">
        <w:t xml:space="preserve">igh inter-rater reliability offers quality assurance </w:t>
      </w:r>
      <w:r w:rsidR="008162CA">
        <w:t xml:space="preserve">that coding has successfully </w:t>
      </w:r>
      <w:r w:rsidR="00070CED">
        <w:t>captured</w:t>
      </w:r>
      <w:r w:rsidR="008162CA">
        <w:t xml:space="preserve"> salient </w:t>
      </w:r>
      <w:r w:rsidR="00246DFB" w:rsidRPr="00246DFB">
        <w:t>themes</w:t>
      </w:r>
      <w:r w:rsidR="006F2486">
        <w:t>,</w:t>
      </w:r>
      <w:r w:rsidR="00246DFB" w:rsidRPr="00246DFB">
        <w:t xml:space="preserve"> which really </w:t>
      </w:r>
      <w:r w:rsidR="006F2486" w:rsidRPr="00246DFB">
        <w:t xml:space="preserve">are </w:t>
      </w:r>
      <w:r w:rsidR="00246DFB" w:rsidRPr="00246DFB">
        <w:t xml:space="preserve">there. </w:t>
      </w:r>
      <w:r w:rsidR="008162CA">
        <w:t xml:space="preserve">This consensus coding approach assumes a reality we can </w:t>
      </w:r>
      <w:r w:rsidR="00837641">
        <w:t>agree on</w:t>
      </w:r>
      <w:r w:rsidR="008162CA">
        <w:t>, and reveal, through our TA endeavours: the diamonds can be identified, collected, and sorted into piles of like-type</w:t>
      </w:r>
      <w:r w:rsidR="005C0ED9">
        <w:t>.</w:t>
      </w:r>
    </w:p>
    <w:p w14:paraId="21C38B18" w14:textId="6A172006" w:rsidR="00D61DC7" w:rsidRDefault="008162CA">
      <w:pPr>
        <w:spacing w:line="360" w:lineRule="auto"/>
      </w:pPr>
      <w:r>
        <w:t xml:space="preserve">In contrast, </w:t>
      </w:r>
      <w:r w:rsidR="00837641">
        <w:t xml:space="preserve">Fugard and Potts’ model </w:t>
      </w:r>
      <w:r w:rsidR="00837641" w:rsidRPr="00070CED">
        <w:rPr>
          <w:i/>
        </w:rPr>
        <w:t>doesn’t</w:t>
      </w:r>
      <w:r w:rsidR="00837641">
        <w:t xml:space="preserve"> work for </w:t>
      </w:r>
      <w:r>
        <w:t>the fully qualitative logic and procedures of ‘organic’ TA</w:t>
      </w:r>
      <w:r w:rsidR="00837641">
        <w:t>, where c</w:t>
      </w:r>
      <w:r w:rsidR="00C22458">
        <w:t xml:space="preserve">oding and theme development </w:t>
      </w:r>
      <w:r w:rsidR="00837641">
        <w:t xml:space="preserve">processes </w:t>
      </w:r>
      <w:r w:rsidR="00C22458">
        <w:t xml:space="preserve">are organic, exploratory and </w:t>
      </w:r>
      <w:r w:rsidR="00837641">
        <w:t>inherently</w:t>
      </w:r>
      <w:r w:rsidR="007B2977">
        <w:t xml:space="preserve"> </w:t>
      </w:r>
      <w:r w:rsidR="00FD0F20">
        <w:t>subjective</w:t>
      </w:r>
      <w:r w:rsidR="001A16EA">
        <w:t xml:space="preserve">, </w:t>
      </w:r>
      <w:r w:rsidR="00837641">
        <w:t>involving</w:t>
      </w:r>
      <w:r w:rsidR="001A16EA">
        <w:t xml:space="preserve"> active</w:t>
      </w:r>
      <w:r w:rsidR="00837641">
        <w:t xml:space="preserve">, </w:t>
      </w:r>
      <w:r w:rsidR="001A16EA">
        <w:t xml:space="preserve">creative </w:t>
      </w:r>
      <w:r w:rsidR="00837641">
        <w:t xml:space="preserve">and reflexive researcher </w:t>
      </w:r>
      <w:r w:rsidR="001A16EA">
        <w:t>engagement</w:t>
      </w:r>
      <w:r w:rsidR="007B2977">
        <w:t xml:space="preserve">. </w:t>
      </w:r>
      <w:r w:rsidR="00837641">
        <w:t xml:space="preserve">The </w:t>
      </w:r>
      <w:r w:rsidR="005C0ED9">
        <w:t>process</w:t>
      </w:r>
      <w:r w:rsidR="00837641">
        <w:t xml:space="preserve"> of </w:t>
      </w:r>
      <w:r w:rsidR="005C0ED9">
        <w:t>analysis</w:t>
      </w:r>
      <w:r w:rsidR="00837641">
        <w:t xml:space="preserve"> – rigorous coding followed by a recursive process of theme </w:t>
      </w:r>
      <w:r w:rsidR="00837641">
        <w:rPr>
          <w:i/>
        </w:rPr>
        <w:t>development</w:t>
      </w:r>
      <w:r w:rsidR="00837641">
        <w:t xml:space="preserve"> – involves the researching ‘tussling with’ the data to develop </w:t>
      </w:r>
      <w:r w:rsidR="005C0ED9">
        <w:t>an</w:t>
      </w:r>
      <w:r w:rsidR="00837641">
        <w:t xml:space="preserve"> analysis that best fits their research question </w:t>
      </w:r>
      <w:r w:rsidR="00837641">
        <w:lastRenderedPageBreak/>
        <w:t xml:space="preserve">(which often will evolve and become refined throughout the analytic process, as Hammersley, 2015, notes). Imagine the wannabe cake baker: standing in their kitchen, surveying the array of ingredients (as well as skills and other factors) at hand, their decision of what </w:t>
      </w:r>
      <w:r w:rsidR="00837641">
        <w:rPr>
          <w:i/>
        </w:rPr>
        <w:t xml:space="preserve">sort </w:t>
      </w:r>
      <w:r w:rsidR="00837641">
        <w:t xml:space="preserve">of cake to bake reflects the intersection of many factors. The same </w:t>
      </w:r>
      <w:r w:rsidR="005C0ED9">
        <w:t>goes for</w:t>
      </w:r>
      <w:r w:rsidR="00837641">
        <w:t xml:space="preserve"> analysis in organic TA. </w:t>
      </w:r>
    </w:p>
    <w:p w14:paraId="5BCBF578" w14:textId="670E6AAA" w:rsidR="00957FF2" w:rsidRPr="00B257B1" w:rsidRDefault="00B3670A" w:rsidP="008268B0">
      <w:pPr>
        <w:spacing w:line="360" w:lineRule="auto"/>
        <w:rPr>
          <w:i/>
        </w:rPr>
      </w:pPr>
      <w:r>
        <w:rPr>
          <w:i/>
        </w:rPr>
        <w:t>(Mis)conceptualising the logic of samples</w:t>
      </w:r>
    </w:p>
    <w:p w14:paraId="6DFD3D7E" w14:textId="11EC5ABE" w:rsidR="003332A7" w:rsidRDefault="003332A7" w:rsidP="003332A7">
      <w:pPr>
        <w:spacing w:line="360" w:lineRule="auto"/>
      </w:pPr>
      <w:r>
        <w:t>Fugard and Potts produce a model where theme relevan</w:t>
      </w:r>
      <w:r w:rsidR="006F2486">
        <w:t>ce</w:t>
      </w:r>
      <w:r>
        <w:t xml:space="preserve"> is predicated on frequency – and so you determine the frequency of the least-prevalent theme, to determine the sample size you will need. How far along that beach will you need to walk, before you find all six types of diamonds randomly scattered there? It’s an inputs-outputs model, implicitly located within the logic of generali</w:t>
      </w:r>
      <w:r w:rsidR="00B257B1">
        <w:t>s</w:t>
      </w:r>
      <w:r>
        <w:t xml:space="preserve">ability and replicability. But in organic TA, frequency is not the only (or even primary) determinant for theme development: patterning </w:t>
      </w:r>
      <w:r w:rsidRPr="00CA0AB9">
        <w:rPr>
          <w:i/>
        </w:rPr>
        <w:t>across</w:t>
      </w:r>
      <w:r>
        <w:t xml:space="preserve"> (some) data items is important, but relevance to addressing the research question is key. </w:t>
      </w:r>
      <w:r w:rsidR="006F2486">
        <w:t>W</w:t>
      </w:r>
      <w:r w:rsidR="00124373">
        <w:t xml:space="preserve">hat is fundamental is the recognition of TA as a method of identifying patterned meaning </w:t>
      </w:r>
      <w:r w:rsidR="00124373" w:rsidRPr="00B257B1">
        <w:rPr>
          <w:i/>
        </w:rPr>
        <w:t>across</w:t>
      </w:r>
      <w:r w:rsidR="00124373">
        <w:t xml:space="preserve"> a dataset – it’s not intended </w:t>
      </w:r>
      <w:r w:rsidR="00124373" w:rsidRPr="00124373">
        <w:t>as an idiographic or c</w:t>
      </w:r>
      <w:r w:rsidR="00124373">
        <w:t xml:space="preserve">ase study method (although </w:t>
      </w:r>
      <w:r w:rsidR="006F2486">
        <w:t>it</w:t>
      </w:r>
      <w:r w:rsidR="00124373" w:rsidRPr="00124373">
        <w:t xml:space="preserve"> </w:t>
      </w:r>
      <w:r w:rsidR="00124373">
        <w:rPr>
          <w:i/>
        </w:rPr>
        <w:t xml:space="preserve">has </w:t>
      </w:r>
      <w:r w:rsidR="00124373">
        <w:t xml:space="preserve">been used </w:t>
      </w:r>
      <w:r w:rsidR="00124373" w:rsidRPr="00124373">
        <w:t xml:space="preserve">in case study research, </w:t>
      </w:r>
      <w:r w:rsidR="00124373" w:rsidRPr="00124373">
        <w:rPr>
          <w:lang w:val="en-US"/>
        </w:rPr>
        <w:t>Cedervall &amp; Åberg, 2010</w:t>
      </w:r>
      <w:r w:rsidR="00124373" w:rsidRPr="00124373">
        <w:t>)</w:t>
      </w:r>
      <w:r w:rsidR="00124373">
        <w:t>.</w:t>
      </w:r>
      <w:r w:rsidR="00FB4146">
        <w:t xml:space="preserve"> And a single instance is not evidence of a theme – which seems to be the logic behind a model based on likeliho</w:t>
      </w:r>
      <w:r w:rsidR="00E12B90">
        <w:t>od of identifying an</w:t>
      </w:r>
      <w:r w:rsidR="00FB4146">
        <w:t xml:space="preserve"> instance</w:t>
      </w:r>
      <w:r w:rsidR="00E12B90">
        <w:t xml:space="preserve"> of the least common ‘theme’</w:t>
      </w:r>
      <w:r w:rsidR="00B257B1">
        <w:t>.</w:t>
      </w:r>
    </w:p>
    <w:p w14:paraId="3B7B67A8" w14:textId="65841B2B" w:rsidR="00450363" w:rsidRDefault="003332A7">
      <w:pPr>
        <w:spacing w:line="360" w:lineRule="auto"/>
      </w:pPr>
      <w:r>
        <w:t>Fugard and Potts’ note</w:t>
      </w:r>
      <w:r w:rsidR="00124373">
        <w:t>d that</w:t>
      </w:r>
      <w:r>
        <w:t xml:space="preserve"> our recommendations (Braun &amp; Clarke, 2013) for sample size </w:t>
      </w:r>
      <w:r w:rsidR="00124373">
        <w:t xml:space="preserve">in TA </w:t>
      </w:r>
      <w:r>
        <w:t>range from 2</w:t>
      </w:r>
      <w:r w:rsidR="00B257B1">
        <w:t xml:space="preserve"> to over 4</w:t>
      </w:r>
      <w:r>
        <w:t xml:space="preserve">00, and state “it is unclear how to choose a value from the space between” (p. </w:t>
      </w:r>
      <w:r w:rsidR="00FB4146">
        <w:t>669</w:t>
      </w:r>
      <w:r>
        <w:t>).</w:t>
      </w:r>
      <w:r w:rsidR="00A836C1">
        <w:t xml:space="preserve"> </w:t>
      </w:r>
      <w:r w:rsidR="00124373">
        <w:t>Quite apart from</w:t>
      </w:r>
      <w:r w:rsidR="00F00ADB">
        <w:t xml:space="preserve"> any concerns we might have about the rhetorical decontextualisation of </w:t>
      </w:r>
      <w:r w:rsidR="00A836C1">
        <w:t xml:space="preserve">using </w:t>
      </w:r>
      <w:r w:rsidR="00F00ADB">
        <w:t>sampling guidance</w:t>
      </w:r>
      <w:r w:rsidR="00E12B90">
        <w:t xml:space="preserve"> provided</w:t>
      </w:r>
      <w:r w:rsidR="00F00ADB">
        <w:t xml:space="preserve"> in a student </w:t>
      </w:r>
      <w:r w:rsidR="00F00ADB" w:rsidRPr="00B257B1">
        <w:rPr>
          <w:i/>
        </w:rPr>
        <w:t>textbook</w:t>
      </w:r>
      <w:r w:rsidR="00F00ADB">
        <w:t xml:space="preserve"> to create the impression that </w:t>
      </w:r>
      <w:r w:rsidR="006C00BC">
        <w:t xml:space="preserve">established </w:t>
      </w:r>
      <w:r w:rsidR="00F00ADB">
        <w:t xml:space="preserve">TA practitioners are floundering in the dark when it comes to </w:t>
      </w:r>
      <w:r w:rsidR="00124373">
        <w:t xml:space="preserve">estimating </w:t>
      </w:r>
      <w:r w:rsidR="00F00ADB">
        <w:t xml:space="preserve">sample sizes when writing </w:t>
      </w:r>
      <w:r w:rsidR="008268B0">
        <w:t xml:space="preserve">funding and other types of </w:t>
      </w:r>
      <w:r w:rsidR="00F00ADB">
        <w:t>research proposals,</w:t>
      </w:r>
      <w:r w:rsidR="00A836C1">
        <w:t xml:space="preserve"> there is much to </w:t>
      </w:r>
      <w:r w:rsidR="00A836C1" w:rsidRPr="00B257B1">
        <w:rPr>
          <w:i/>
        </w:rPr>
        <w:t>guide</w:t>
      </w:r>
      <w:r w:rsidR="00A836C1">
        <w:t xml:space="preserve"> how one </w:t>
      </w:r>
      <w:r w:rsidR="00F00ADB">
        <w:t>choose</w:t>
      </w:r>
      <w:r w:rsidR="00A836C1">
        <w:t>s</w:t>
      </w:r>
      <w:r w:rsidR="00F00ADB">
        <w:t xml:space="preserve"> a value from the space between.</w:t>
      </w:r>
      <w:r w:rsidR="008268B0">
        <w:t xml:space="preserve"> </w:t>
      </w:r>
      <w:r w:rsidR="00A836C1">
        <w:t>There is robust and rich discussion around ‘sample sizes’ in qualitative research (</w:t>
      </w:r>
      <w:r w:rsidR="002E0EFD">
        <w:t>e.g.</w:t>
      </w:r>
      <w:r w:rsidR="00B257B1">
        <w:t xml:space="preserve"> Coyne, 1987;</w:t>
      </w:r>
      <w:r w:rsidR="002E0EFD">
        <w:t xml:space="preserve"> Malterud, Siersma &amp; Guassora, 2015</w:t>
      </w:r>
      <w:r w:rsidR="00B257B1">
        <w:t>; Morse, 2000</w:t>
      </w:r>
      <w:r w:rsidR="00A836C1">
        <w:t>), as well as the logic behind sampling (even the idea of ‘sampling’ itself is contested)</w:t>
      </w:r>
      <w:r w:rsidR="00B32D7A">
        <w:t>, and challenges to the (positivist) implication or claim that larger samples are defacto better</w:t>
      </w:r>
      <w:r w:rsidR="00A836C1">
        <w:t>. However, t</w:t>
      </w:r>
      <w:r w:rsidR="008268B0">
        <w:t xml:space="preserve">he criteria for choosing a </w:t>
      </w:r>
      <w:r w:rsidR="00124373">
        <w:t xml:space="preserve">sample </w:t>
      </w:r>
      <w:r w:rsidR="008268B0">
        <w:t>are not determined by the logic of (post)positivism</w:t>
      </w:r>
      <w:r w:rsidR="00A836C1">
        <w:t>, and cannot be</w:t>
      </w:r>
      <w:r w:rsidR="002E0EFD">
        <w:t xml:space="preserve">. Moreover, most would agree that sample size “cannot be predicted by formulae or perceived redundancy” (Malterud et al., 2015, p. 2), </w:t>
      </w:r>
      <w:r w:rsidR="00E12B90">
        <w:t>and</w:t>
      </w:r>
      <w:r w:rsidR="002E0EFD">
        <w:t xml:space="preserve"> is something qualitative researchers often revisit during data collection, in a live and critically-reflexive, evaluative way</w:t>
      </w:r>
      <w:r w:rsidR="008268B0">
        <w:t xml:space="preserve">. </w:t>
      </w:r>
      <w:r w:rsidR="00A836C1">
        <w:t>With an organic and flexibl</w:t>
      </w:r>
      <w:r w:rsidR="00E12B90">
        <w:t>e</w:t>
      </w:r>
      <w:r w:rsidR="00A836C1">
        <w:t xml:space="preserve"> approach to TA, and a very wide range of potential project sizes, and data sources, it is </w:t>
      </w:r>
      <w:r w:rsidR="007C530E">
        <w:t>expected and appropriate</w:t>
      </w:r>
      <w:r w:rsidR="00A836C1">
        <w:t xml:space="preserve"> that samples would vary considerably in size.</w:t>
      </w:r>
      <w:r w:rsidR="00124373">
        <w:t xml:space="preserve"> Moreover, if we do not conceptualise themes as diamonds waiting to be discovered, we don’t have to rely on the idea of a truth we might miss – and hence do</w:t>
      </w:r>
      <w:r w:rsidR="007C530E">
        <w:t xml:space="preserve"> no</w:t>
      </w:r>
      <w:r w:rsidR="00124373">
        <w:t xml:space="preserve">t need to </w:t>
      </w:r>
      <w:r w:rsidR="00124373">
        <w:lastRenderedPageBreak/>
        <w:t xml:space="preserve">chase the relatively large sample sizes (for interview-based qualitative research) that </w:t>
      </w:r>
      <w:r w:rsidR="00706962">
        <w:t>Fugard and Potts</w:t>
      </w:r>
      <w:r w:rsidR="00124373">
        <w:t>’</w:t>
      </w:r>
      <w:r w:rsidR="00706962">
        <w:t xml:space="preserve"> model </w:t>
      </w:r>
      <w:r w:rsidR="00124373">
        <w:t xml:space="preserve">produces. </w:t>
      </w:r>
      <w:r w:rsidR="007C530E">
        <w:t>Bigger isn’t necessarily better. Th</w:t>
      </w:r>
      <w:r w:rsidR="00124373">
        <w:t>e bigger the sample, the greater the risk of failing to do justice to the complexity and nuance contained within the data. T</w:t>
      </w:r>
      <w:r w:rsidR="00B417BE">
        <w:t>he student researchers we supervise</w:t>
      </w:r>
      <w:r w:rsidR="00124373">
        <w:t>,</w:t>
      </w:r>
      <w:r w:rsidR="00B417BE">
        <w:t xml:space="preserve"> </w:t>
      </w:r>
      <w:r w:rsidR="00124373">
        <w:t xml:space="preserve">as well as </w:t>
      </w:r>
      <w:r w:rsidR="00B417BE">
        <w:t>published researchers</w:t>
      </w:r>
      <w:r w:rsidR="00124373">
        <w:t>,</w:t>
      </w:r>
      <w:r w:rsidR="00B417BE">
        <w:t xml:space="preserve"> routinely generate themes</w:t>
      </w:r>
      <w:r w:rsidR="00124373">
        <w:t xml:space="preserve"> and develop complex analyses</w:t>
      </w:r>
      <w:r w:rsidR="00B417BE">
        <w:t xml:space="preserve"> </w:t>
      </w:r>
      <w:r w:rsidR="00124373">
        <w:t>from</w:t>
      </w:r>
      <w:r w:rsidR="00B417BE">
        <w:t xml:space="preserve"> smaller samples. This is</w:t>
      </w:r>
      <w:r w:rsidR="00124373">
        <w:t xml:space="preserve">n’t just </w:t>
      </w:r>
      <w:r w:rsidR="00B417BE">
        <w:t>because</w:t>
      </w:r>
      <w:r w:rsidR="00124373">
        <w:t xml:space="preserve"> </w:t>
      </w:r>
      <w:r w:rsidR="00B417BE">
        <w:t>themes</w:t>
      </w:r>
      <w:r w:rsidR="00124373">
        <w:t xml:space="preserve"> in organic TA</w:t>
      </w:r>
      <w:r w:rsidR="00B417BE">
        <w:t xml:space="preserve"> are </w:t>
      </w:r>
      <w:r w:rsidR="00124373">
        <w:rPr>
          <w:i/>
        </w:rPr>
        <w:t>constructed</w:t>
      </w:r>
      <w:r w:rsidR="00B417BE">
        <w:t xml:space="preserve"> </w:t>
      </w:r>
      <w:r w:rsidR="00124373">
        <w:t xml:space="preserve">rather than </w:t>
      </w:r>
      <w:r w:rsidR="00B417BE">
        <w:t xml:space="preserve">found. </w:t>
      </w:r>
      <w:r w:rsidR="00124373">
        <w:t xml:space="preserve">It is because a process of fine-grained coding captures diversity and nuance, and provides a foundation for conceptualising possibly </w:t>
      </w:r>
      <w:r w:rsidR="00124373">
        <w:rPr>
          <w:i/>
        </w:rPr>
        <w:t xml:space="preserve">significant </w:t>
      </w:r>
      <w:r w:rsidR="00124373">
        <w:t xml:space="preserve">patterns </w:t>
      </w:r>
      <w:r w:rsidR="007C530E">
        <w:t xml:space="preserve">(for research questions) </w:t>
      </w:r>
      <w:r w:rsidR="00124373">
        <w:t xml:space="preserve">of shared meaning. What we have to have is a clear conceptualisation of what those themes </w:t>
      </w:r>
      <w:r w:rsidR="00124373" w:rsidRPr="00124373">
        <w:rPr>
          <w:i/>
        </w:rPr>
        <w:t>represent</w:t>
      </w:r>
      <w:r w:rsidR="00124373">
        <w:t xml:space="preserve">, and </w:t>
      </w:r>
      <w:r w:rsidR="00124373" w:rsidRPr="00B257B1">
        <w:rPr>
          <w:i/>
        </w:rPr>
        <w:t>how</w:t>
      </w:r>
      <w:r w:rsidR="00124373">
        <w:t xml:space="preserve"> and </w:t>
      </w:r>
      <w:r w:rsidR="00124373" w:rsidRPr="00B257B1">
        <w:rPr>
          <w:i/>
        </w:rPr>
        <w:t>why</w:t>
      </w:r>
      <w:r w:rsidR="00124373">
        <w:t xml:space="preserve"> we treat them as significant. This is more important than some predetermined sample size</w:t>
      </w:r>
      <w:r w:rsidR="00450363">
        <w:t xml:space="preserve">. </w:t>
      </w:r>
    </w:p>
    <w:p w14:paraId="2CD39C2F" w14:textId="6D2D9F7E" w:rsidR="00957FF2" w:rsidRPr="00070CED" w:rsidRDefault="00957FF2" w:rsidP="00450363">
      <w:pPr>
        <w:spacing w:line="360" w:lineRule="auto"/>
        <w:rPr>
          <w:i/>
        </w:rPr>
      </w:pPr>
      <w:r>
        <w:rPr>
          <w:i/>
        </w:rPr>
        <w:t>Why should we try to fix what isn’t broken?</w:t>
      </w:r>
    </w:p>
    <w:p w14:paraId="1D0F567B" w14:textId="68908D0E" w:rsidR="00AC7F0A" w:rsidRPr="00AC7F0A" w:rsidRDefault="00957FF2" w:rsidP="00450363">
      <w:pPr>
        <w:spacing w:line="360" w:lineRule="auto"/>
      </w:pPr>
      <w:r>
        <w:t>Qualitative researching is a rich and robust field, with criteria that differ from those in quantitative studies. Attempts to ‘fit’ qualitative research into a quantitative</w:t>
      </w:r>
      <w:r w:rsidR="00D50331">
        <w:t xml:space="preserve"> standards and processes are not just un</w:t>
      </w:r>
      <w:r>
        <w:t>necessary –</w:t>
      </w:r>
      <w:r w:rsidR="007C530E">
        <w:t xml:space="preserve"> </w:t>
      </w:r>
      <w:r>
        <w:t xml:space="preserve">the paradigm itself has done well both at developing ‘quality standards’ </w:t>
      </w:r>
      <w:r>
        <w:rPr>
          <w:i/>
        </w:rPr>
        <w:t xml:space="preserve">and </w:t>
      </w:r>
      <w:r>
        <w:t>at keeping conversations about things like quality and sample sizes live</w:t>
      </w:r>
      <w:r w:rsidR="006E0059">
        <w:t xml:space="preserve"> (e.g. </w:t>
      </w:r>
      <w:r w:rsidR="006E0059" w:rsidRPr="00F337C4">
        <w:rPr>
          <w:rFonts w:cs="Calibri"/>
          <w:noProof/>
        </w:rPr>
        <w:t>Madill, Jordan &amp; Shirley,</w:t>
      </w:r>
      <w:r w:rsidR="006E0059">
        <w:rPr>
          <w:rFonts w:cs="Calibri"/>
          <w:noProof/>
        </w:rPr>
        <w:t xml:space="preserve"> </w:t>
      </w:r>
      <w:r w:rsidR="006E0059" w:rsidRPr="00F337C4">
        <w:rPr>
          <w:rFonts w:cs="Calibri"/>
          <w:noProof/>
        </w:rPr>
        <w:t>2000</w:t>
      </w:r>
      <w:r w:rsidR="006E0059">
        <w:rPr>
          <w:rFonts w:cs="Calibri"/>
          <w:noProof/>
        </w:rPr>
        <w:t xml:space="preserve">; </w:t>
      </w:r>
      <w:r w:rsidR="006E0059" w:rsidRPr="00F337C4">
        <w:rPr>
          <w:rFonts w:cs="Calibri"/>
          <w:noProof/>
        </w:rPr>
        <w:t>Reicher</w:t>
      </w:r>
      <w:r w:rsidR="006E0059">
        <w:t>, 2000; Tracy, 2010)</w:t>
      </w:r>
      <w:r w:rsidR="00D50331">
        <w:t xml:space="preserve"> – they are also risky</w:t>
      </w:r>
      <w:r>
        <w:t xml:space="preserve">. </w:t>
      </w:r>
      <w:r w:rsidR="00AC7F0A">
        <w:t>A</w:t>
      </w:r>
      <w:r>
        <w:t xml:space="preserve">s </w:t>
      </w:r>
      <w:r w:rsidRPr="00070CED">
        <w:rPr>
          <w:i/>
        </w:rPr>
        <w:t>qualitative</w:t>
      </w:r>
      <w:r>
        <w:t xml:space="preserve"> researchers, we find </w:t>
      </w:r>
      <w:r w:rsidR="00B417BE">
        <w:t>Fugard and Potts</w:t>
      </w:r>
      <w:r w:rsidR="00AC7F0A">
        <w:t>’</w:t>
      </w:r>
      <w:r w:rsidR="00B417BE">
        <w:t xml:space="preserve"> model </w:t>
      </w:r>
      <w:r>
        <w:t xml:space="preserve">not only </w:t>
      </w:r>
      <w:r w:rsidR="00B417BE">
        <w:t>essentially meaningless</w:t>
      </w:r>
      <w:r>
        <w:t xml:space="preserve"> (</w:t>
      </w:r>
      <w:r w:rsidR="00AC7F0A">
        <w:t>we</w:t>
      </w:r>
      <w:r>
        <w:t xml:space="preserve"> </w:t>
      </w:r>
      <w:r w:rsidR="00B417BE" w:rsidRPr="00070CED">
        <w:rPr>
          <w:i/>
        </w:rPr>
        <w:t>do no</w:t>
      </w:r>
      <w:r w:rsidR="00B417BE">
        <w:t>t recommend its use</w:t>
      </w:r>
      <w:r>
        <w:t xml:space="preserve"> </w:t>
      </w:r>
      <w:r w:rsidR="00AC7F0A">
        <w:t>with</w:t>
      </w:r>
      <w:r>
        <w:t xml:space="preserve"> our </w:t>
      </w:r>
      <w:r w:rsidR="00AC7F0A">
        <w:t xml:space="preserve">‘organic’ </w:t>
      </w:r>
      <w:r>
        <w:t>version of TA…</w:t>
      </w:r>
      <w:r w:rsidR="007C530E">
        <w:t xml:space="preserve"> though</w:t>
      </w:r>
      <w:r>
        <w:t xml:space="preserve"> it </w:t>
      </w:r>
      <w:r w:rsidRPr="00070CED">
        <w:rPr>
          <w:i/>
        </w:rPr>
        <w:t>may</w:t>
      </w:r>
      <w:r>
        <w:t xml:space="preserve"> offer something of value to </w:t>
      </w:r>
      <w:r w:rsidR="00AC7F0A">
        <w:t xml:space="preserve">‘coding reliability’ TA), but also deeply troubling – especially if it becomes a voice of authority that trumps the voices and internal logic of researchers operating within a </w:t>
      </w:r>
      <w:r w:rsidR="00AC7F0A">
        <w:rPr>
          <w:i/>
        </w:rPr>
        <w:t>qualitative paradigm</w:t>
      </w:r>
      <w:r w:rsidR="00AC7F0A">
        <w:t xml:space="preserve">. </w:t>
      </w:r>
    </w:p>
    <w:p w14:paraId="069736DC" w14:textId="6291F5A7" w:rsidR="00B748DA" w:rsidRPr="00042F28" w:rsidRDefault="00B748DA">
      <w:pPr>
        <w:rPr>
          <w:b/>
        </w:rPr>
      </w:pPr>
      <w:r w:rsidRPr="00042F28">
        <w:rPr>
          <w:b/>
        </w:rPr>
        <w:t>References</w:t>
      </w:r>
    </w:p>
    <w:p w14:paraId="10B47BD2" w14:textId="64772857" w:rsidR="00042F28" w:rsidRDefault="00042F28" w:rsidP="00FE2B9A">
      <w:pPr>
        <w:spacing w:after="120" w:line="240" w:lineRule="auto"/>
        <w:rPr>
          <w:rFonts w:ascii="Calibri" w:hAnsi="Calibri"/>
        </w:rPr>
      </w:pPr>
      <w:r w:rsidRPr="00394737">
        <w:rPr>
          <w:rFonts w:ascii="Calibri" w:hAnsi="Calibri"/>
        </w:rPr>
        <w:t xml:space="preserve">Boyatzis, R. E. (1998). </w:t>
      </w:r>
      <w:r w:rsidRPr="00394737">
        <w:rPr>
          <w:rFonts w:ascii="Calibri" w:hAnsi="Calibri"/>
          <w:i/>
          <w:iCs/>
        </w:rPr>
        <w:t>Transforming qualitative information: Thematic analysis and code development</w:t>
      </w:r>
      <w:r w:rsidRPr="00394737">
        <w:rPr>
          <w:rFonts w:ascii="Calibri" w:hAnsi="Calibri"/>
        </w:rPr>
        <w:t>. Thousand Oaks, CA: Sage.</w:t>
      </w:r>
    </w:p>
    <w:p w14:paraId="7FDC675E" w14:textId="77777777" w:rsidR="00042F28" w:rsidRDefault="00042F28" w:rsidP="00FE2B9A">
      <w:pPr>
        <w:shd w:val="clear" w:color="auto" w:fill="FFFFFF"/>
        <w:spacing w:after="120" w:line="240" w:lineRule="auto"/>
        <w:rPr>
          <w:rFonts w:ascii="Calibri" w:hAnsi="Calibri"/>
        </w:rPr>
      </w:pPr>
      <w:r w:rsidRPr="00394737">
        <w:rPr>
          <w:rFonts w:ascii="Calibri" w:hAnsi="Calibri"/>
        </w:rPr>
        <w:t xml:space="preserve">Braun, V. &amp; Clarke, V. (2013). </w:t>
      </w:r>
      <w:r w:rsidRPr="00394737">
        <w:rPr>
          <w:rFonts w:ascii="Calibri" w:hAnsi="Calibri"/>
          <w:i/>
          <w:iCs/>
        </w:rPr>
        <w:t>Successful qualitative research: A practical guide for beginners</w:t>
      </w:r>
      <w:r w:rsidRPr="00394737">
        <w:rPr>
          <w:rFonts w:ascii="Calibri" w:hAnsi="Calibri"/>
        </w:rPr>
        <w:t>. London: Sage.</w:t>
      </w:r>
    </w:p>
    <w:p w14:paraId="5ABEE4D9" w14:textId="77777777" w:rsidR="00042F28" w:rsidRDefault="00042F28" w:rsidP="00FE2B9A">
      <w:pPr>
        <w:shd w:val="clear" w:color="auto" w:fill="FFFFFF"/>
        <w:spacing w:after="120" w:line="240" w:lineRule="auto"/>
        <w:rPr>
          <w:rFonts w:ascii="Calibri" w:hAnsi="Calibri"/>
        </w:rPr>
      </w:pPr>
      <w:r w:rsidRPr="00394737">
        <w:rPr>
          <w:rFonts w:ascii="Calibri" w:hAnsi="Calibri"/>
        </w:rPr>
        <w:t xml:space="preserve">Braun, V. &amp; Clarke, V. (2006). Using thematic analysis in psychology. </w:t>
      </w:r>
      <w:r w:rsidRPr="00394737">
        <w:rPr>
          <w:rFonts w:ascii="Calibri" w:hAnsi="Calibri"/>
          <w:i/>
          <w:iCs/>
        </w:rPr>
        <w:t>Qualitative Research in Psychology, 3</w:t>
      </w:r>
      <w:r w:rsidRPr="00394737">
        <w:rPr>
          <w:rFonts w:ascii="Calibri" w:hAnsi="Calibri"/>
        </w:rPr>
        <w:t>(2), 77-101.</w:t>
      </w:r>
    </w:p>
    <w:p w14:paraId="15056CCC" w14:textId="4A9C7F27" w:rsidR="00042F28" w:rsidRDefault="00042F28" w:rsidP="00FE2B9A">
      <w:pPr>
        <w:shd w:val="clear" w:color="auto" w:fill="FFFFFF"/>
        <w:spacing w:after="120" w:line="240" w:lineRule="auto"/>
      </w:pPr>
      <w:r w:rsidRPr="00762E80">
        <w:t>Byrne, D. (2015). Response to Fugard and Potts</w:t>
      </w:r>
      <w:r w:rsidR="00FB4146">
        <w:t>:</w:t>
      </w:r>
      <w:r w:rsidRPr="00762E80">
        <w:t xml:space="preserve"> Supporting thinking on sample sizes for thematic analyses: A quantitative tool. </w:t>
      </w:r>
      <w:r w:rsidRPr="00762E80">
        <w:rPr>
          <w:i/>
        </w:rPr>
        <w:t>International Journal of Social Research Methodology</w:t>
      </w:r>
      <w:r w:rsidRPr="00762E80">
        <w:t xml:space="preserve">, </w:t>
      </w:r>
      <w:r w:rsidRPr="00762E80">
        <w:rPr>
          <w:i/>
        </w:rPr>
        <w:t>18</w:t>
      </w:r>
      <w:r w:rsidRPr="00762E80">
        <w:t>(6), 689-691.</w:t>
      </w:r>
    </w:p>
    <w:p w14:paraId="512772AD" w14:textId="77777777" w:rsidR="002B75D4" w:rsidRPr="002B75D4" w:rsidRDefault="002B75D4" w:rsidP="00FE2B9A">
      <w:pPr>
        <w:spacing w:line="240" w:lineRule="auto"/>
        <w:rPr>
          <w:rFonts w:cs="Times New Roman"/>
          <w:lang w:val="en-US"/>
        </w:rPr>
      </w:pPr>
      <w:r w:rsidRPr="002B75D4">
        <w:rPr>
          <w:rFonts w:cs="Times New Roman"/>
          <w:lang w:val="en-US"/>
        </w:rPr>
        <w:t xml:space="preserve">Cedervall, Y., &amp; Åberg, A. C. (2010). Physical activity and implications on well-being in mild Alzheimer's disease: A qualitative case study on two men with dementia and their spouses. </w:t>
      </w:r>
      <w:r w:rsidRPr="00070CED">
        <w:rPr>
          <w:rFonts w:cs="Times New Roman"/>
          <w:i/>
          <w:lang w:val="en-US"/>
        </w:rPr>
        <w:t>Physiotherapy Theory and Practice, 26</w:t>
      </w:r>
      <w:r w:rsidRPr="002B75D4">
        <w:rPr>
          <w:rFonts w:cs="Times New Roman"/>
          <w:lang w:val="en-US"/>
        </w:rPr>
        <w:t xml:space="preserve">, 226-239. </w:t>
      </w:r>
    </w:p>
    <w:p w14:paraId="2D190AA0" w14:textId="59F51E83" w:rsidR="002B75D4" w:rsidRDefault="002B75D4" w:rsidP="00FE2B9A">
      <w:pPr>
        <w:shd w:val="clear" w:color="auto" w:fill="FFFFFF"/>
        <w:spacing w:after="120" w:line="240" w:lineRule="auto"/>
        <w:rPr>
          <w:rFonts w:cs="Times New Roman"/>
          <w:b/>
          <w:bCs/>
          <w:lang w:val="en-US"/>
        </w:rPr>
      </w:pPr>
      <w:r w:rsidRPr="002E0EFD">
        <w:rPr>
          <w:rFonts w:ascii="Calibri" w:hAnsi="Calibri" w:cs="Calibri"/>
          <w:iCs/>
        </w:rPr>
        <w:t>Clarke, V. &amp; Braun, V. (</w:t>
      </w:r>
      <w:r w:rsidR="00F72E51" w:rsidRPr="002E0EFD">
        <w:rPr>
          <w:rFonts w:ascii="Calibri" w:hAnsi="Calibri" w:cs="Calibri"/>
          <w:iCs/>
        </w:rPr>
        <w:t>forthcoming</w:t>
      </w:r>
      <w:r w:rsidRPr="002E0EFD">
        <w:rPr>
          <w:rFonts w:ascii="Calibri" w:hAnsi="Calibri" w:cs="Calibri"/>
          <w:iCs/>
        </w:rPr>
        <w:t xml:space="preserve">). </w:t>
      </w:r>
      <w:r w:rsidRPr="00070CED">
        <w:rPr>
          <w:rFonts w:ascii="Calibri" w:hAnsi="Calibri" w:cs="Calibri"/>
          <w:iCs/>
        </w:rPr>
        <w:t>Applied thematic analysis.</w:t>
      </w:r>
      <w:r w:rsidRPr="002E0EFD">
        <w:rPr>
          <w:rFonts w:ascii="Calibri" w:hAnsi="Calibri" w:cs="Calibri"/>
          <w:iCs/>
        </w:rPr>
        <w:t xml:space="preserve"> In P. Brough &amp; S. Occhipinti (Eds.)</w:t>
      </w:r>
      <w:r w:rsidR="00070CED">
        <w:rPr>
          <w:rFonts w:ascii="Calibri" w:hAnsi="Calibri" w:cs="Calibri"/>
          <w:iCs/>
        </w:rPr>
        <w:t>,</w:t>
      </w:r>
      <w:r w:rsidRPr="002E0EFD">
        <w:rPr>
          <w:rFonts w:ascii="Calibri" w:hAnsi="Calibri" w:cs="Calibri"/>
          <w:iCs/>
        </w:rPr>
        <w:t xml:space="preserve"> </w:t>
      </w:r>
      <w:r w:rsidRPr="002E0EFD">
        <w:rPr>
          <w:rFonts w:ascii="Calibri" w:hAnsi="Calibri" w:cs="Calibri"/>
          <w:bCs/>
          <w:i/>
          <w:iCs/>
        </w:rPr>
        <w:t xml:space="preserve">Research </w:t>
      </w:r>
      <w:r w:rsidR="00070CED">
        <w:rPr>
          <w:rFonts w:ascii="Calibri" w:hAnsi="Calibri" w:cs="Calibri"/>
          <w:bCs/>
          <w:i/>
          <w:iCs/>
        </w:rPr>
        <w:t>m</w:t>
      </w:r>
      <w:r w:rsidRPr="002E0EFD">
        <w:rPr>
          <w:rFonts w:ascii="Calibri" w:hAnsi="Calibri" w:cs="Calibri"/>
          <w:bCs/>
          <w:i/>
          <w:iCs/>
        </w:rPr>
        <w:t xml:space="preserve">ethods for </w:t>
      </w:r>
      <w:r w:rsidR="00070CED">
        <w:rPr>
          <w:rFonts w:ascii="Calibri" w:hAnsi="Calibri" w:cs="Calibri"/>
          <w:bCs/>
          <w:i/>
          <w:iCs/>
        </w:rPr>
        <w:t>a</w:t>
      </w:r>
      <w:r w:rsidRPr="002E0EFD">
        <w:rPr>
          <w:rFonts w:ascii="Calibri" w:hAnsi="Calibri" w:cs="Calibri"/>
          <w:bCs/>
          <w:i/>
          <w:iCs/>
        </w:rPr>
        <w:t xml:space="preserve">pplied </w:t>
      </w:r>
      <w:r w:rsidR="00070CED">
        <w:rPr>
          <w:rFonts w:ascii="Calibri" w:hAnsi="Calibri" w:cs="Calibri"/>
          <w:bCs/>
          <w:i/>
          <w:iCs/>
        </w:rPr>
        <w:t>p</w:t>
      </w:r>
      <w:r w:rsidRPr="002E0EFD">
        <w:rPr>
          <w:rFonts w:ascii="Calibri" w:hAnsi="Calibri" w:cs="Calibri"/>
          <w:bCs/>
          <w:i/>
          <w:iCs/>
        </w:rPr>
        <w:t xml:space="preserve">sychologists: Design, </w:t>
      </w:r>
      <w:r w:rsidR="00070CED">
        <w:rPr>
          <w:rFonts w:ascii="Calibri" w:hAnsi="Calibri" w:cs="Calibri"/>
          <w:bCs/>
          <w:i/>
          <w:iCs/>
        </w:rPr>
        <w:t>a</w:t>
      </w:r>
      <w:r w:rsidRPr="002E0EFD">
        <w:rPr>
          <w:rFonts w:ascii="Calibri" w:hAnsi="Calibri" w:cs="Calibri"/>
          <w:bCs/>
          <w:i/>
          <w:iCs/>
        </w:rPr>
        <w:t xml:space="preserve">nalysis and </w:t>
      </w:r>
      <w:r w:rsidR="00070CED">
        <w:rPr>
          <w:rFonts w:ascii="Calibri" w:hAnsi="Calibri" w:cs="Calibri"/>
          <w:bCs/>
          <w:i/>
          <w:iCs/>
        </w:rPr>
        <w:t>r</w:t>
      </w:r>
      <w:r w:rsidRPr="002E0EFD">
        <w:rPr>
          <w:rFonts w:ascii="Calibri" w:hAnsi="Calibri" w:cs="Calibri"/>
          <w:bCs/>
          <w:i/>
          <w:iCs/>
        </w:rPr>
        <w:t>eporting</w:t>
      </w:r>
      <w:r w:rsidRPr="002E0EFD">
        <w:rPr>
          <w:rFonts w:ascii="Calibri" w:hAnsi="Calibri" w:cs="Calibri"/>
          <w:iCs/>
        </w:rPr>
        <w:t xml:space="preserve">. </w:t>
      </w:r>
      <w:r w:rsidR="002E0EFD" w:rsidRPr="00070CED">
        <w:rPr>
          <w:rFonts w:ascii="Calibri" w:hAnsi="Calibri" w:cs="Calibri"/>
          <w:iCs/>
        </w:rPr>
        <w:t xml:space="preserve">London: </w:t>
      </w:r>
      <w:r w:rsidRPr="002E0EFD">
        <w:rPr>
          <w:rFonts w:ascii="Calibri" w:hAnsi="Calibri" w:cs="Calibri"/>
          <w:iCs/>
        </w:rPr>
        <w:t>Routledge.</w:t>
      </w:r>
    </w:p>
    <w:p w14:paraId="3047DFA3" w14:textId="423D0141" w:rsidR="00042F28" w:rsidRDefault="00042F28" w:rsidP="00FE2B9A">
      <w:pPr>
        <w:shd w:val="clear" w:color="auto" w:fill="FFFFFF"/>
        <w:spacing w:after="120" w:line="240" w:lineRule="auto"/>
      </w:pPr>
      <w:r>
        <w:t xml:space="preserve">Connelly, L. M. &amp; Peltzer, J. N. (2016). Underdeveloped themes in qualitative research: Relationships with interviews and analysis. </w:t>
      </w:r>
      <w:r w:rsidRPr="004A4D09">
        <w:rPr>
          <w:i/>
        </w:rPr>
        <w:t>Clinical Nurse Specialist</w:t>
      </w:r>
      <w:r>
        <w:t>, January/February, 51-57.</w:t>
      </w:r>
    </w:p>
    <w:p w14:paraId="3965E5C4" w14:textId="0B7B1513" w:rsidR="00B257B1" w:rsidRDefault="00B257B1" w:rsidP="00FE2B9A">
      <w:pPr>
        <w:shd w:val="clear" w:color="auto" w:fill="FFFFFF"/>
        <w:spacing w:after="120" w:line="240" w:lineRule="auto"/>
      </w:pPr>
      <w:r w:rsidRPr="00762E80">
        <w:lastRenderedPageBreak/>
        <w:t xml:space="preserve">Coyne, I. T. (1997). Sampling in qualitative research. Purposeful and theoretical sampling: Merging or clear boundaries? </w:t>
      </w:r>
      <w:r w:rsidRPr="00762E80">
        <w:rPr>
          <w:i/>
        </w:rPr>
        <w:t>Journal of Advanced Nursing</w:t>
      </w:r>
      <w:r w:rsidRPr="00762E80">
        <w:t xml:space="preserve">, </w:t>
      </w:r>
      <w:r w:rsidRPr="00762E80">
        <w:rPr>
          <w:i/>
        </w:rPr>
        <w:t>26</w:t>
      </w:r>
      <w:r w:rsidRPr="00762E80">
        <w:t>, 623-630.</w:t>
      </w:r>
    </w:p>
    <w:p w14:paraId="3881B913" w14:textId="0EDDD334" w:rsidR="00AD1A0D" w:rsidRDefault="00AD1A0D" w:rsidP="00FE2B9A">
      <w:pPr>
        <w:shd w:val="clear" w:color="auto" w:fill="FFFFFF"/>
        <w:spacing w:after="120" w:line="240" w:lineRule="auto"/>
      </w:pPr>
      <w:r>
        <w:t xml:space="preserve">DeSantis, L. &amp; Ugarriza, D. N. (2000). The concept of theme as used in qualitative nursing research. </w:t>
      </w:r>
      <w:r w:rsidRPr="00AD1A0D">
        <w:rPr>
          <w:i/>
        </w:rPr>
        <w:t>Western Journal of Nursing Research</w:t>
      </w:r>
      <w:r>
        <w:t xml:space="preserve">, </w:t>
      </w:r>
      <w:r w:rsidRPr="00AD1A0D">
        <w:rPr>
          <w:i/>
        </w:rPr>
        <w:t>22</w:t>
      </w:r>
      <w:r>
        <w:t>(3), 351-372.</w:t>
      </w:r>
    </w:p>
    <w:p w14:paraId="5A4AA3E0" w14:textId="77723FEB" w:rsidR="00042F28" w:rsidRDefault="00042F28" w:rsidP="00FE2B9A">
      <w:pPr>
        <w:shd w:val="clear" w:color="auto" w:fill="FFFFFF"/>
        <w:spacing w:after="120" w:line="240" w:lineRule="auto"/>
      </w:pPr>
      <w:r w:rsidRPr="00762E80">
        <w:rPr>
          <w:rFonts w:cs="Calibri"/>
          <w:noProof/>
        </w:rPr>
        <w:t xml:space="preserve">Emmel, N. (2015). Themes, variables, and the limits to calculating sample size in qualitative research: A response to Fugard and Potts. </w:t>
      </w:r>
      <w:r w:rsidRPr="00762E80">
        <w:rPr>
          <w:i/>
        </w:rPr>
        <w:t>International Journal of Social Research Methodology</w:t>
      </w:r>
      <w:r w:rsidRPr="00762E80">
        <w:t xml:space="preserve">, </w:t>
      </w:r>
      <w:r w:rsidRPr="00762E80">
        <w:rPr>
          <w:i/>
        </w:rPr>
        <w:t>18</w:t>
      </w:r>
      <w:r w:rsidRPr="00762E80">
        <w:t>(6), 685-686.</w:t>
      </w:r>
    </w:p>
    <w:p w14:paraId="7832E048" w14:textId="1EAFFC97" w:rsidR="00042F28" w:rsidRPr="00FB4146" w:rsidRDefault="00042F28" w:rsidP="00FE2B9A">
      <w:pPr>
        <w:shd w:val="clear" w:color="auto" w:fill="FFFFFF"/>
        <w:spacing w:after="120" w:line="240" w:lineRule="auto"/>
      </w:pPr>
      <w:r w:rsidRPr="00070CED">
        <w:t xml:space="preserve">Fugard, A. J. B. &amp; Potts, H. W. W. (2015). Supporting thinking on sample sizes for thematic analysis: A quantitative tool. </w:t>
      </w:r>
      <w:r w:rsidRPr="00070CED">
        <w:rPr>
          <w:i/>
        </w:rPr>
        <w:t>International Journal of Social Research Methodology</w:t>
      </w:r>
      <w:r w:rsidRPr="00070CED">
        <w:t>,</w:t>
      </w:r>
      <w:r w:rsidR="00FB4146" w:rsidRPr="00FB4146">
        <w:t xml:space="preserve"> </w:t>
      </w:r>
      <w:r w:rsidR="00FB4146" w:rsidRPr="00FB4146">
        <w:rPr>
          <w:i/>
        </w:rPr>
        <w:t>18</w:t>
      </w:r>
      <w:r w:rsidR="00B257B1">
        <w:t>(6)</w:t>
      </w:r>
      <w:r w:rsidR="00FB4146" w:rsidRPr="00FB4146">
        <w:t>, 669-684.</w:t>
      </w:r>
    </w:p>
    <w:p w14:paraId="148A0434" w14:textId="04F5507D" w:rsidR="002103E9" w:rsidRDefault="00042F28" w:rsidP="00FE2B9A">
      <w:pPr>
        <w:spacing w:line="240" w:lineRule="auto"/>
        <w:rPr>
          <w:rFonts w:ascii="Calibri" w:hAnsi="Calibri"/>
          <w:lang w:val="en-NZ"/>
        </w:rPr>
      </w:pPr>
      <w:r w:rsidRPr="00394737">
        <w:rPr>
          <w:rFonts w:ascii="Calibri" w:hAnsi="Calibri"/>
          <w:lang w:val="en-NZ"/>
        </w:rPr>
        <w:t xml:space="preserve">Guest, G., MacQueen, K. M. &amp; Namey, E. E. (2012). </w:t>
      </w:r>
      <w:r w:rsidRPr="00394737">
        <w:rPr>
          <w:rFonts w:ascii="Calibri" w:hAnsi="Calibri"/>
          <w:i/>
          <w:iCs/>
          <w:lang w:val="en-NZ"/>
        </w:rPr>
        <w:t>Applied thematic analysis</w:t>
      </w:r>
      <w:r w:rsidRPr="00394737">
        <w:rPr>
          <w:rFonts w:ascii="Calibri" w:hAnsi="Calibri"/>
          <w:lang w:val="en-NZ"/>
        </w:rPr>
        <w:t>. Thousand Oaks, CA: Sage.</w:t>
      </w:r>
    </w:p>
    <w:p w14:paraId="4DE1FB6F" w14:textId="77777777" w:rsidR="00042F28" w:rsidRPr="00762E80" w:rsidRDefault="00042F28" w:rsidP="00FE2B9A">
      <w:pPr>
        <w:spacing w:after="120" w:line="240" w:lineRule="auto"/>
        <w:rPr>
          <w:lang w:val="en"/>
        </w:rPr>
      </w:pPr>
      <w:r>
        <w:rPr>
          <w:rFonts w:cs="Arial"/>
        </w:rPr>
        <w:t xml:space="preserve">Guest, G., Bunce, A. &amp; Johnson, L. (2006). How many interviews are enough? An experiment with data saturation and variability. </w:t>
      </w:r>
      <w:r w:rsidRPr="009A05CB">
        <w:rPr>
          <w:rFonts w:cs="Arial"/>
          <w:i/>
        </w:rPr>
        <w:t>Field Methods</w:t>
      </w:r>
      <w:r>
        <w:rPr>
          <w:rFonts w:cs="Arial"/>
        </w:rPr>
        <w:t xml:space="preserve">, </w:t>
      </w:r>
      <w:r w:rsidRPr="009A05CB">
        <w:rPr>
          <w:rFonts w:cs="Arial"/>
          <w:i/>
        </w:rPr>
        <w:t>18</w:t>
      </w:r>
      <w:r>
        <w:rPr>
          <w:rFonts w:cs="Arial"/>
        </w:rPr>
        <w:t>(1), 59-82.</w:t>
      </w:r>
      <w:hyperlink r:id="rId6" w:tgtFrame="_blank" w:history="1"/>
    </w:p>
    <w:p w14:paraId="7177AA90" w14:textId="6478BC11" w:rsidR="00042F28" w:rsidRDefault="00042F28" w:rsidP="00FE2B9A">
      <w:pPr>
        <w:spacing w:after="120" w:line="240" w:lineRule="auto"/>
      </w:pPr>
      <w:r w:rsidRPr="00762E80">
        <w:t xml:space="preserve">Hammersley, M. (2015). Sampling and thematic analysis: A response to Fugard and Potts. </w:t>
      </w:r>
      <w:r w:rsidRPr="00762E80">
        <w:rPr>
          <w:i/>
        </w:rPr>
        <w:t>International Journal of Social Research Methodology</w:t>
      </w:r>
      <w:r w:rsidRPr="00762E80">
        <w:t xml:space="preserve">, </w:t>
      </w:r>
      <w:r w:rsidRPr="00762E80">
        <w:rPr>
          <w:i/>
        </w:rPr>
        <w:t>18</w:t>
      </w:r>
      <w:r w:rsidRPr="00762E80">
        <w:t>(6), 687-688.</w:t>
      </w:r>
    </w:p>
    <w:p w14:paraId="281C83A7" w14:textId="77777777" w:rsidR="00C02FD6" w:rsidRPr="00394737" w:rsidRDefault="00C02FD6" w:rsidP="00FE2B9A">
      <w:pPr>
        <w:spacing w:after="120" w:line="240" w:lineRule="auto"/>
        <w:rPr>
          <w:rFonts w:ascii="Calibri" w:hAnsi="Calibri"/>
        </w:rPr>
      </w:pPr>
      <w:r w:rsidRPr="00394737">
        <w:rPr>
          <w:rFonts w:ascii="Calibri" w:hAnsi="Calibri"/>
          <w:lang w:val="en-NZ"/>
        </w:rPr>
        <w:t xml:space="preserve">Joffe, H. (2012). Thematic analysis. In D. Harper &amp; A. R. Thompson (Eds), </w:t>
      </w:r>
      <w:r w:rsidRPr="00394737">
        <w:rPr>
          <w:rFonts w:ascii="Calibri" w:hAnsi="Calibri"/>
          <w:i/>
          <w:iCs/>
          <w:lang w:val="en-NZ"/>
        </w:rPr>
        <w:t>Qualitative methods in mental health and psychotherapy: A guide for students and practitioners</w:t>
      </w:r>
      <w:r w:rsidRPr="00394737">
        <w:rPr>
          <w:rFonts w:ascii="Calibri" w:hAnsi="Calibri"/>
          <w:lang w:val="en-NZ"/>
        </w:rPr>
        <w:t xml:space="preserve"> (pp. 209-223). Chichester: Wiley. </w:t>
      </w:r>
    </w:p>
    <w:p w14:paraId="06D3CBF2" w14:textId="7A46BB6B" w:rsidR="00042F28" w:rsidRDefault="00042F28" w:rsidP="00FE2B9A">
      <w:pPr>
        <w:spacing w:after="120" w:line="240" w:lineRule="auto"/>
        <w:rPr>
          <w:rFonts w:cs="Arial"/>
          <w:bCs/>
        </w:rPr>
      </w:pPr>
      <w:r w:rsidRPr="00762E80">
        <w:t xml:space="preserve">Kinsella, K. &amp; Woodall, J. (2016). ‘Pure bonding time’: Prisoner and staff perceptions of the impact of taking part in a drama project for imprisoned men and their children. </w:t>
      </w:r>
      <w:r w:rsidRPr="00762E80">
        <w:rPr>
          <w:rFonts w:cs="Arial"/>
          <w:i/>
        </w:rPr>
        <w:t>Prison Service Journal</w:t>
      </w:r>
      <w:r w:rsidRPr="00762E80">
        <w:rPr>
          <w:rFonts w:cs="Arial"/>
        </w:rPr>
        <w:t xml:space="preserve">, </w:t>
      </w:r>
      <w:r w:rsidRPr="00762E80">
        <w:rPr>
          <w:rFonts w:cs="Arial"/>
          <w:bCs/>
        </w:rPr>
        <w:t>Issue 223, 11-17.</w:t>
      </w:r>
    </w:p>
    <w:p w14:paraId="74344F8E" w14:textId="77777777" w:rsidR="006E0059" w:rsidRDefault="006E0059" w:rsidP="00B32D7A">
      <w:pPr>
        <w:spacing w:after="120" w:line="240" w:lineRule="auto"/>
        <w:rPr>
          <w:rFonts w:cs="Calibri"/>
          <w:noProof/>
        </w:rPr>
      </w:pPr>
      <w:r w:rsidRPr="00F337C4">
        <w:rPr>
          <w:rFonts w:cs="Calibri"/>
          <w:noProof/>
        </w:rPr>
        <w:t xml:space="preserve">Madill, A., Jordan, A., &amp; Shirley, C. (2000). Objectivity and reliability in qualitative analysis: Realist, contextualist and radical constructionist epistemologies. </w:t>
      </w:r>
      <w:r w:rsidRPr="00F337C4">
        <w:rPr>
          <w:rFonts w:cs="Calibri"/>
          <w:i/>
          <w:noProof/>
        </w:rPr>
        <w:t>British Journal of Psychology, 91</w:t>
      </w:r>
      <w:r w:rsidRPr="00F337C4">
        <w:rPr>
          <w:rFonts w:cs="Calibri"/>
          <w:noProof/>
        </w:rPr>
        <w:t>, 1-20.</w:t>
      </w:r>
    </w:p>
    <w:p w14:paraId="0C868AA9" w14:textId="7007BEEC" w:rsidR="00B32D7A" w:rsidRPr="00B32D7A" w:rsidRDefault="00B32D7A" w:rsidP="00B32D7A">
      <w:pPr>
        <w:spacing w:after="120" w:line="240" w:lineRule="auto"/>
      </w:pPr>
      <w:r>
        <w:rPr>
          <w:rFonts w:cs="Arial"/>
          <w:bCs/>
        </w:rPr>
        <w:t xml:space="preserve">Malterud, K., Siersma, V. D. &amp; Guassora, A. D. (2015). </w:t>
      </w:r>
      <w:r w:rsidRPr="00B32D7A">
        <w:rPr>
          <w:rFonts w:cs="Arial"/>
          <w:bCs/>
        </w:rPr>
        <w:t xml:space="preserve">Sample Size in </w:t>
      </w:r>
      <w:r>
        <w:rPr>
          <w:rFonts w:cs="Arial"/>
          <w:bCs/>
        </w:rPr>
        <w:t>q</w:t>
      </w:r>
      <w:r w:rsidRPr="00B32D7A">
        <w:rPr>
          <w:rFonts w:cs="Arial"/>
          <w:bCs/>
        </w:rPr>
        <w:t xml:space="preserve">ualitative </w:t>
      </w:r>
      <w:r>
        <w:rPr>
          <w:rFonts w:cs="Arial"/>
          <w:bCs/>
        </w:rPr>
        <w:t>i</w:t>
      </w:r>
      <w:r w:rsidRPr="00B32D7A">
        <w:rPr>
          <w:rFonts w:cs="Arial"/>
          <w:bCs/>
        </w:rPr>
        <w:t xml:space="preserve">nterview </w:t>
      </w:r>
      <w:r>
        <w:rPr>
          <w:rFonts w:cs="Arial"/>
          <w:bCs/>
        </w:rPr>
        <w:t>s</w:t>
      </w:r>
      <w:r w:rsidRPr="00B32D7A">
        <w:rPr>
          <w:rFonts w:cs="Arial"/>
          <w:bCs/>
        </w:rPr>
        <w:t>tudies</w:t>
      </w:r>
      <w:r>
        <w:rPr>
          <w:rFonts w:cs="Arial"/>
          <w:bCs/>
        </w:rPr>
        <w:t xml:space="preserve">: </w:t>
      </w:r>
      <w:r w:rsidRPr="00B32D7A">
        <w:rPr>
          <w:rFonts w:cs="Arial"/>
          <w:bCs/>
        </w:rPr>
        <w:t xml:space="preserve">Guided by </w:t>
      </w:r>
      <w:r>
        <w:rPr>
          <w:rFonts w:cs="Arial"/>
          <w:bCs/>
        </w:rPr>
        <w:t>i</w:t>
      </w:r>
      <w:r w:rsidRPr="00B32D7A">
        <w:rPr>
          <w:rFonts w:cs="Arial"/>
          <w:bCs/>
        </w:rPr>
        <w:t xml:space="preserve">nformation </w:t>
      </w:r>
      <w:r>
        <w:rPr>
          <w:rFonts w:cs="Arial"/>
          <w:bCs/>
        </w:rPr>
        <w:t>p</w:t>
      </w:r>
      <w:r w:rsidRPr="00B32D7A">
        <w:rPr>
          <w:rFonts w:cs="Arial"/>
          <w:bCs/>
        </w:rPr>
        <w:t>ower</w:t>
      </w:r>
      <w:r>
        <w:rPr>
          <w:rFonts w:cs="Arial"/>
          <w:bCs/>
        </w:rPr>
        <w:t xml:space="preserve">. </w:t>
      </w:r>
      <w:r>
        <w:rPr>
          <w:rFonts w:cs="Arial"/>
          <w:bCs/>
          <w:i/>
        </w:rPr>
        <w:t xml:space="preserve">Qualitative Health Research, </w:t>
      </w:r>
      <w:r w:rsidRPr="00B32D7A">
        <w:rPr>
          <w:rFonts w:cs="Arial"/>
          <w:bCs/>
        </w:rPr>
        <w:t>DOI: 10.1177/1049732315617444</w:t>
      </w:r>
      <w:r>
        <w:rPr>
          <w:rFonts w:cs="Arial"/>
          <w:bCs/>
        </w:rPr>
        <w:t>.</w:t>
      </w:r>
    </w:p>
    <w:p w14:paraId="60F95C2A" w14:textId="6DFAF392" w:rsidR="00042F28" w:rsidRDefault="00042F28" w:rsidP="00FE2B9A">
      <w:pPr>
        <w:spacing w:line="240" w:lineRule="auto"/>
        <w:rPr>
          <w:rFonts w:ascii="Calibri" w:hAnsi="Calibri"/>
          <w:lang w:val="en-NZ"/>
        </w:rPr>
      </w:pPr>
      <w:r>
        <w:rPr>
          <w:rFonts w:ascii="Calibri" w:hAnsi="Calibri"/>
          <w:lang w:val="en-NZ"/>
        </w:rPr>
        <w:t xml:space="preserve">McLeod, J. (2011). </w:t>
      </w:r>
      <w:r w:rsidRPr="00042F28">
        <w:rPr>
          <w:rFonts w:ascii="Calibri" w:hAnsi="Calibri"/>
          <w:i/>
          <w:lang w:val="en-NZ"/>
        </w:rPr>
        <w:t>Qualitative research in counselling and psychotherapy</w:t>
      </w:r>
      <w:r>
        <w:rPr>
          <w:rFonts w:ascii="Calibri" w:hAnsi="Calibri"/>
          <w:lang w:val="en-NZ"/>
        </w:rPr>
        <w:t>, 2</w:t>
      </w:r>
      <w:r w:rsidRPr="00042F28">
        <w:rPr>
          <w:rFonts w:ascii="Calibri" w:hAnsi="Calibri"/>
          <w:vertAlign w:val="superscript"/>
          <w:lang w:val="en-NZ"/>
        </w:rPr>
        <w:t>nd</w:t>
      </w:r>
      <w:r>
        <w:rPr>
          <w:rFonts w:ascii="Calibri" w:hAnsi="Calibri"/>
          <w:lang w:val="en-NZ"/>
        </w:rPr>
        <w:t xml:space="preserve"> ed. London: Sage.</w:t>
      </w:r>
    </w:p>
    <w:p w14:paraId="4F5F082C" w14:textId="6F105134" w:rsidR="00B257B1" w:rsidRDefault="00B257B1" w:rsidP="00FE2B9A">
      <w:pPr>
        <w:spacing w:line="240" w:lineRule="auto"/>
      </w:pPr>
      <w:r w:rsidRPr="00762E80">
        <w:t xml:space="preserve">Morse, J. M. (2000). Determining sample size. </w:t>
      </w:r>
      <w:r w:rsidRPr="00762E80">
        <w:rPr>
          <w:i/>
        </w:rPr>
        <w:t>Qualitative Health Research</w:t>
      </w:r>
      <w:r w:rsidRPr="00762E80">
        <w:t xml:space="preserve">, </w:t>
      </w:r>
      <w:r w:rsidRPr="00762E80">
        <w:rPr>
          <w:i/>
        </w:rPr>
        <w:t>10</w:t>
      </w:r>
      <w:r w:rsidRPr="00762E80">
        <w:t>(1), 3-5.</w:t>
      </w:r>
    </w:p>
    <w:p w14:paraId="60083611" w14:textId="48618863" w:rsidR="006E0059" w:rsidRDefault="006E0059" w:rsidP="00FE2B9A">
      <w:pPr>
        <w:spacing w:line="240" w:lineRule="auto"/>
        <w:rPr>
          <w:rFonts w:ascii="Calibri" w:hAnsi="Calibri"/>
          <w:lang w:val="en-NZ"/>
        </w:rPr>
      </w:pPr>
      <w:r w:rsidRPr="00F337C4">
        <w:rPr>
          <w:rFonts w:cs="Calibri"/>
          <w:noProof/>
        </w:rPr>
        <w:t xml:space="preserve">Reicher, S. (2000). Against methodolatry: Some comments on Elliott, Fischer, and Rennie. </w:t>
      </w:r>
      <w:r w:rsidRPr="00F337C4">
        <w:rPr>
          <w:rFonts w:cs="Calibri"/>
          <w:i/>
          <w:noProof/>
        </w:rPr>
        <w:t>British Journal of Clinical Psychology, 39</w:t>
      </w:r>
      <w:r w:rsidRPr="00F337C4">
        <w:rPr>
          <w:rFonts w:cs="Calibri"/>
          <w:noProof/>
        </w:rPr>
        <w:t>(1), 1-6.</w:t>
      </w:r>
    </w:p>
    <w:p w14:paraId="51810B2A" w14:textId="20638963" w:rsidR="00C02FD6" w:rsidRDefault="00C02FD6" w:rsidP="00070CED">
      <w:pPr>
        <w:spacing w:after="120" w:line="240" w:lineRule="auto"/>
      </w:pPr>
      <w:r>
        <w:t>Sand</w:t>
      </w:r>
      <w:r w:rsidR="002E0EFD">
        <w:t>e</w:t>
      </w:r>
      <w:r>
        <w:t xml:space="preserve">lowski, M. &amp; Leeman, J. (2012). Writing usable qualitative health research findings. </w:t>
      </w:r>
      <w:r w:rsidRPr="00B257B1">
        <w:rPr>
          <w:i/>
        </w:rPr>
        <w:t>Qualitative Health Research</w:t>
      </w:r>
      <w:r>
        <w:t xml:space="preserve">, </w:t>
      </w:r>
      <w:r w:rsidRPr="00B257B1">
        <w:rPr>
          <w:i/>
        </w:rPr>
        <w:t>22</w:t>
      </w:r>
      <w:r>
        <w:t>(10), 1404-1413.</w:t>
      </w:r>
    </w:p>
    <w:p w14:paraId="259A6811" w14:textId="307D558A" w:rsidR="006E0059" w:rsidRPr="00070CED" w:rsidRDefault="006E0059" w:rsidP="00070CED">
      <w:pPr>
        <w:spacing w:after="120" w:line="240" w:lineRule="auto"/>
        <w:rPr>
          <w:rFonts w:ascii="Calibri" w:hAnsi="Calibri"/>
        </w:rPr>
      </w:pPr>
      <w:r w:rsidRPr="00F337C4">
        <w:rPr>
          <w:rFonts w:cs="Calibri"/>
          <w:noProof/>
        </w:rPr>
        <w:t xml:space="preserve">Tracy, S. J. (2010). Qualitative </w:t>
      </w:r>
      <w:r>
        <w:rPr>
          <w:rFonts w:cs="Calibri"/>
          <w:noProof/>
        </w:rPr>
        <w:t>q</w:t>
      </w:r>
      <w:r w:rsidRPr="00F337C4">
        <w:rPr>
          <w:rFonts w:cs="Calibri"/>
          <w:noProof/>
        </w:rPr>
        <w:t>uality: Eight “</w:t>
      </w:r>
      <w:r>
        <w:rPr>
          <w:rFonts w:cs="Calibri"/>
          <w:noProof/>
        </w:rPr>
        <w:t>b</w:t>
      </w:r>
      <w:r w:rsidRPr="00F337C4">
        <w:rPr>
          <w:rFonts w:cs="Calibri"/>
          <w:noProof/>
        </w:rPr>
        <w:t>ig-</w:t>
      </w:r>
      <w:r>
        <w:rPr>
          <w:rFonts w:cs="Calibri"/>
          <w:noProof/>
        </w:rPr>
        <w:t>t</w:t>
      </w:r>
      <w:r w:rsidRPr="00F337C4">
        <w:rPr>
          <w:rFonts w:cs="Calibri"/>
          <w:noProof/>
        </w:rPr>
        <w:t xml:space="preserve">ent” </w:t>
      </w:r>
      <w:r>
        <w:rPr>
          <w:rFonts w:cs="Calibri"/>
          <w:noProof/>
        </w:rPr>
        <w:t>c</w:t>
      </w:r>
      <w:r w:rsidRPr="00F337C4">
        <w:rPr>
          <w:rFonts w:cs="Calibri"/>
          <w:noProof/>
        </w:rPr>
        <w:t xml:space="preserve">riteria for </w:t>
      </w:r>
      <w:r>
        <w:rPr>
          <w:rFonts w:cs="Calibri"/>
          <w:noProof/>
        </w:rPr>
        <w:t>e</w:t>
      </w:r>
      <w:r w:rsidRPr="00F337C4">
        <w:rPr>
          <w:rFonts w:cs="Calibri"/>
          <w:noProof/>
        </w:rPr>
        <w:t xml:space="preserve">xcellent </w:t>
      </w:r>
      <w:r>
        <w:rPr>
          <w:rFonts w:cs="Calibri"/>
          <w:noProof/>
        </w:rPr>
        <w:t>q</w:t>
      </w:r>
      <w:r w:rsidRPr="00F337C4">
        <w:rPr>
          <w:rFonts w:cs="Calibri"/>
          <w:noProof/>
        </w:rPr>
        <w:t xml:space="preserve">ualitative </w:t>
      </w:r>
      <w:r>
        <w:rPr>
          <w:rFonts w:cs="Calibri"/>
          <w:noProof/>
        </w:rPr>
        <w:t>r</w:t>
      </w:r>
      <w:r w:rsidRPr="00F337C4">
        <w:rPr>
          <w:rFonts w:cs="Calibri"/>
          <w:noProof/>
        </w:rPr>
        <w:t xml:space="preserve">esearch. </w:t>
      </w:r>
      <w:r w:rsidRPr="00F337C4">
        <w:rPr>
          <w:rFonts w:cs="Calibri"/>
          <w:i/>
          <w:noProof/>
        </w:rPr>
        <w:t>Qualitative Inquiry, 16</w:t>
      </w:r>
      <w:r w:rsidRPr="00F337C4">
        <w:rPr>
          <w:rFonts w:cs="Calibri"/>
          <w:noProof/>
        </w:rPr>
        <w:t>(10), 837-851.</w:t>
      </w:r>
    </w:p>
    <w:sectPr w:rsidR="006E0059" w:rsidRPr="00070CE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58D5C" w14:textId="77777777" w:rsidR="00393264" w:rsidRDefault="00393264" w:rsidP="002B30DD">
      <w:pPr>
        <w:spacing w:after="0" w:line="240" w:lineRule="auto"/>
      </w:pPr>
      <w:r>
        <w:separator/>
      </w:r>
    </w:p>
  </w:endnote>
  <w:endnote w:type="continuationSeparator" w:id="0">
    <w:p w14:paraId="01A8D059" w14:textId="77777777" w:rsidR="00393264" w:rsidRDefault="00393264" w:rsidP="002B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949540"/>
      <w:docPartObj>
        <w:docPartGallery w:val="Page Numbers (Bottom of Page)"/>
        <w:docPartUnique/>
      </w:docPartObj>
    </w:sdtPr>
    <w:sdtEndPr>
      <w:rPr>
        <w:noProof/>
      </w:rPr>
    </w:sdtEndPr>
    <w:sdtContent>
      <w:p w14:paraId="4D651955" w14:textId="17628E05" w:rsidR="00FE2B9A" w:rsidRDefault="00FE2B9A">
        <w:pPr>
          <w:pStyle w:val="Footer"/>
          <w:jc w:val="center"/>
        </w:pPr>
        <w:r>
          <w:fldChar w:fldCharType="begin"/>
        </w:r>
        <w:r>
          <w:instrText xml:space="preserve"> PAGE   \* MERGEFORMAT </w:instrText>
        </w:r>
        <w:r>
          <w:fldChar w:fldCharType="separate"/>
        </w:r>
        <w:r w:rsidR="000058A6">
          <w:rPr>
            <w:noProof/>
          </w:rPr>
          <w:t>1</w:t>
        </w:r>
        <w:r>
          <w:rPr>
            <w:noProof/>
          </w:rPr>
          <w:fldChar w:fldCharType="end"/>
        </w:r>
      </w:p>
    </w:sdtContent>
  </w:sdt>
  <w:p w14:paraId="32F54EB4" w14:textId="77777777" w:rsidR="00FE2B9A" w:rsidRDefault="00FE2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5D9B3" w14:textId="77777777" w:rsidR="00393264" w:rsidRDefault="00393264" w:rsidP="002B30DD">
      <w:pPr>
        <w:spacing w:after="0" w:line="240" w:lineRule="auto"/>
      </w:pPr>
      <w:r>
        <w:separator/>
      </w:r>
    </w:p>
  </w:footnote>
  <w:footnote w:type="continuationSeparator" w:id="0">
    <w:p w14:paraId="11D450B8" w14:textId="77777777" w:rsidR="00393264" w:rsidRDefault="00393264" w:rsidP="002B30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FC"/>
    <w:rsid w:val="000058A6"/>
    <w:rsid w:val="00036BA2"/>
    <w:rsid w:val="00042F28"/>
    <w:rsid w:val="00070CED"/>
    <w:rsid w:val="000A2D6E"/>
    <w:rsid w:val="000D4A97"/>
    <w:rsid w:val="00124373"/>
    <w:rsid w:val="001352FB"/>
    <w:rsid w:val="00155CAA"/>
    <w:rsid w:val="00170C31"/>
    <w:rsid w:val="001A16EA"/>
    <w:rsid w:val="001F2B42"/>
    <w:rsid w:val="002103E9"/>
    <w:rsid w:val="00216077"/>
    <w:rsid w:val="00246DFB"/>
    <w:rsid w:val="00280A42"/>
    <w:rsid w:val="0029268E"/>
    <w:rsid w:val="00296179"/>
    <w:rsid w:val="002B30DD"/>
    <w:rsid w:val="002B75D4"/>
    <w:rsid w:val="002E0EFD"/>
    <w:rsid w:val="00305718"/>
    <w:rsid w:val="003332A7"/>
    <w:rsid w:val="00393264"/>
    <w:rsid w:val="003A4ACF"/>
    <w:rsid w:val="003C3763"/>
    <w:rsid w:val="004101C4"/>
    <w:rsid w:val="00425774"/>
    <w:rsid w:val="0043427F"/>
    <w:rsid w:val="00442C6F"/>
    <w:rsid w:val="00450363"/>
    <w:rsid w:val="004608FC"/>
    <w:rsid w:val="00464AE6"/>
    <w:rsid w:val="00491EFC"/>
    <w:rsid w:val="005057E7"/>
    <w:rsid w:val="005178CF"/>
    <w:rsid w:val="00524FA1"/>
    <w:rsid w:val="00527370"/>
    <w:rsid w:val="00580BAE"/>
    <w:rsid w:val="00585718"/>
    <w:rsid w:val="005C0ED9"/>
    <w:rsid w:val="005E326B"/>
    <w:rsid w:val="005F2D30"/>
    <w:rsid w:val="00641F2B"/>
    <w:rsid w:val="00644EB9"/>
    <w:rsid w:val="006806A9"/>
    <w:rsid w:val="006C00BC"/>
    <w:rsid w:val="006D73A8"/>
    <w:rsid w:val="006E0059"/>
    <w:rsid w:val="006F2486"/>
    <w:rsid w:val="00704D1D"/>
    <w:rsid w:val="00706962"/>
    <w:rsid w:val="00706B26"/>
    <w:rsid w:val="00720A8A"/>
    <w:rsid w:val="007B2977"/>
    <w:rsid w:val="007C530E"/>
    <w:rsid w:val="008162CA"/>
    <w:rsid w:val="008268B0"/>
    <w:rsid w:val="00837641"/>
    <w:rsid w:val="008762E7"/>
    <w:rsid w:val="00881D2A"/>
    <w:rsid w:val="008C1165"/>
    <w:rsid w:val="008C3FC6"/>
    <w:rsid w:val="0090000E"/>
    <w:rsid w:val="00957FF2"/>
    <w:rsid w:val="00981789"/>
    <w:rsid w:val="009A05CB"/>
    <w:rsid w:val="00A012C0"/>
    <w:rsid w:val="00A115A1"/>
    <w:rsid w:val="00A5311D"/>
    <w:rsid w:val="00A836C1"/>
    <w:rsid w:val="00AA4ED0"/>
    <w:rsid w:val="00AC7F0A"/>
    <w:rsid w:val="00AD1A0D"/>
    <w:rsid w:val="00AD3464"/>
    <w:rsid w:val="00AF3C2E"/>
    <w:rsid w:val="00B257B1"/>
    <w:rsid w:val="00B32D7A"/>
    <w:rsid w:val="00B3670A"/>
    <w:rsid w:val="00B417BE"/>
    <w:rsid w:val="00B748DA"/>
    <w:rsid w:val="00C02FD6"/>
    <w:rsid w:val="00C13F00"/>
    <w:rsid w:val="00C22458"/>
    <w:rsid w:val="00C45ACE"/>
    <w:rsid w:val="00C635E7"/>
    <w:rsid w:val="00CC79F6"/>
    <w:rsid w:val="00CD5545"/>
    <w:rsid w:val="00CF38C1"/>
    <w:rsid w:val="00D32C20"/>
    <w:rsid w:val="00D50331"/>
    <w:rsid w:val="00D5207F"/>
    <w:rsid w:val="00D6142C"/>
    <w:rsid w:val="00D61DC7"/>
    <w:rsid w:val="00D93708"/>
    <w:rsid w:val="00D940DB"/>
    <w:rsid w:val="00DF6E89"/>
    <w:rsid w:val="00E1126D"/>
    <w:rsid w:val="00E12B90"/>
    <w:rsid w:val="00E1658A"/>
    <w:rsid w:val="00E25726"/>
    <w:rsid w:val="00E5604E"/>
    <w:rsid w:val="00E726E9"/>
    <w:rsid w:val="00E94D95"/>
    <w:rsid w:val="00E95106"/>
    <w:rsid w:val="00EB0F58"/>
    <w:rsid w:val="00EC6AC0"/>
    <w:rsid w:val="00F00ADB"/>
    <w:rsid w:val="00F42517"/>
    <w:rsid w:val="00F6092E"/>
    <w:rsid w:val="00F66713"/>
    <w:rsid w:val="00F72E51"/>
    <w:rsid w:val="00F77A16"/>
    <w:rsid w:val="00FA3CCB"/>
    <w:rsid w:val="00FB4146"/>
    <w:rsid w:val="00FD0F20"/>
    <w:rsid w:val="00FE2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71B4"/>
  <w15:chartTrackingRefBased/>
  <w15:docId w15:val="{4BBF39FC-B75D-42A9-8FB9-7D4A978D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7BE"/>
    <w:rPr>
      <w:color w:val="0563C1" w:themeColor="hyperlink"/>
      <w:u w:val="single"/>
    </w:rPr>
  </w:style>
  <w:style w:type="character" w:customStyle="1" w:styleId="artjournal2">
    <w:name w:val="art_journal2"/>
    <w:basedOn w:val="DefaultParagraphFont"/>
    <w:rsid w:val="00B417BE"/>
  </w:style>
  <w:style w:type="character" w:customStyle="1" w:styleId="artdatevolumeissuepart">
    <w:name w:val="art_datevolumeissuepart"/>
    <w:basedOn w:val="DefaultParagraphFont"/>
    <w:rsid w:val="00B417BE"/>
  </w:style>
  <w:style w:type="character" w:customStyle="1" w:styleId="artpages">
    <w:name w:val="art_pages"/>
    <w:basedOn w:val="DefaultParagraphFont"/>
    <w:rsid w:val="00B417BE"/>
  </w:style>
  <w:style w:type="paragraph" w:styleId="Header">
    <w:name w:val="header"/>
    <w:basedOn w:val="Normal"/>
    <w:link w:val="HeaderChar"/>
    <w:uiPriority w:val="99"/>
    <w:unhideWhenUsed/>
    <w:rsid w:val="002B3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0DD"/>
  </w:style>
  <w:style w:type="paragraph" w:styleId="Footer">
    <w:name w:val="footer"/>
    <w:basedOn w:val="Normal"/>
    <w:link w:val="FooterChar"/>
    <w:uiPriority w:val="99"/>
    <w:unhideWhenUsed/>
    <w:rsid w:val="002B3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0DD"/>
  </w:style>
  <w:style w:type="paragraph" w:styleId="BalloonText">
    <w:name w:val="Balloon Text"/>
    <w:basedOn w:val="Normal"/>
    <w:link w:val="BalloonTextChar"/>
    <w:uiPriority w:val="99"/>
    <w:semiHidden/>
    <w:unhideWhenUsed/>
    <w:rsid w:val="00706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B26"/>
    <w:rPr>
      <w:rFonts w:ascii="Segoe UI" w:hAnsi="Segoe UI" w:cs="Segoe UI"/>
      <w:sz w:val="18"/>
      <w:szCs w:val="18"/>
    </w:rPr>
  </w:style>
  <w:style w:type="character" w:styleId="CommentReference">
    <w:name w:val="annotation reference"/>
    <w:basedOn w:val="DefaultParagraphFont"/>
    <w:uiPriority w:val="99"/>
    <w:semiHidden/>
    <w:unhideWhenUsed/>
    <w:rsid w:val="00D32C20"/>
    <w:rPr>
      <w:sz w:val="16"/>
      <w:szCs w:val="16"/>
    </w:rPr>
  </w:style>
  <w:style w:type="paragraph" w:styleId="CommentText">
    <w:name w:val="annotation text"/>
    <w:basedOn w:val="Normal"/>
    <w:link w:val="CommentTextChar"/>
    <w:uiPriority w:val="99"/>
    <w:semiHidden/>
    <w:unhideWhenUsed/>
    <w:rsid w:val="00D32C20"/>
    <w:pPr>
      <w:spacing w:line="240" w:lineRule="auto"/>
    </w:pPr>
    <w:rPr>
      <w:sz w:val="20"/>
      <w:szCs w:val="20"/>
    </w:rPr>
  </w:style>
  <w:style w:type="character" w:customStyle="1" w:styleId="CommentTextChar">
    <w:name w:val="Comment Text Char"/>
    <w:basedOn w:val="DefaultParagraphFont"/>
    <w:link w:val="CommentText"/>
    <w:uiPriority w:val="99"/>
    <w:semiHidden/>
    <w:rsid w:val="00D32C20"/>
    <w:rPr>
      <w:sz w:val="20"/>
      <w:szCs w:val="20"/>
    </w:rPr>
  </w:style>
  <w:style w:type="paragraph" w:styleId="CommentSubject">
    <w:name w:val="annotation subject"/>
    <w:basedOn w:val="CommentText"/>
    <w:next w:val="CommentText"/>
    <w:link w:val="CommentSubjectChar"/>
    <w:uiPriority w:val="99"/>
    <w:semiHidden/>
    <w:unhideWhenUsed/>
    <w:rsid w:val="00D32C20"/>
    <w:rPr>
      <w:b/>
      <w:bCs/>
    </w:rPr>
  </w:style>
  <w:style w:type="character" w:customStyle="1" w:styleId="CommentSubjectChar">
    <w:name w:val="Comment Subject Char"/>
    <w:basedOn w:val="CommentTextChar"/>
    <w:link w:val="CommentSubject"/>
    <w:uiPriority w:val="99"/>
    <w:semiHidden/>
    <w:rsid w:val="00D32C20"/>
    <w:rPr>
      <w:b/>
      <w:bCs/>
      <w:sz w:val="20"/>
      <w:szCs w:val="20"/>
    </w:rPr>
  </w:style>
  <w:style w:type="character" w:styleId="FollowedHyperlink">
    <w:name w:val="FollowedHyperlink"/>
    <w:basedOn w:val="DefaultParagraphFont"/>
    <w:uiPriority w:val="99"/>
    <w:semiHidden/>
    <w:unhideWhenUsed/>
    <w:rsid w:val="002B75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326231">
      <w:bodyDiv w:val="1"/>
      <w:marLeft w:val="0"/>
      <w:marRight w:val="0"/>
      <w:marTop w:val="0"/>
      <w:marBottom w:val="0"/>
      <w:divBdr>
        <w:top w:val="none" w:sz="0" w:space="0" w:color="auto"/>
        <w:left w:val="none" w:sz="0" w:space="0" w:color="auto"/>
        <w:bottom w:val="none" w:sz="0" w:space="0" w:color="auto"/>
        <w:right w:val="none" w:sz="0" w:space="0" w:color="auto"/>
      </w:divBdr>
    </w:div>
    <w:div w:id="191242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ycnet.apa.org/doi/10.1037/men00000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v2-clarke</cp:lastModifiedBy>
  <cp:revision>2</cp:revision>
  <cp:lastPrinted>2016-04-27T22:43:00Z</cp:lastPrinted>
  <dcterms:created xsi:type="dcterms:W3CDTF">2016-09-23T14:07:00Z</dcterms:created>
  <dcterms:modified xsi:type="dcterms:W3CDTF">2016-09-23T14:07:00Z</dcterms:modified>
</cp:coreProperties>
</file>