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732DA" w14:textId="77777777" w:rsidR="008B38FD" w:rsidRPr="00252B58" w:rsidRDefault="008B38FD" w:rsidP="00B701A2">
      <w:pPr>
        <w:rPr>
          <w:sz w:val="24"/>
          <w:szCs w:val="24"/>
        </w:rPr>
      </w:pPr>
    </w:p>
    <w:p w14:paraId="4CF6B5A1" w14:textId="77777777" w:rsidR="004A169F" w:rsidRPr="00785F81" w:rsidRDefault="004A169F" w:rsidP="004A169F">
      <w:pPr>
        <w:pStyle w:val="ListParagraph"/>
        <w:spacing w:line="480" w:lineRule="auto"/>
        <w:rPr>
          <w:rFonts w:ascii="Arial" w:hAnsi="Arial" w:cs="Arial"/>
          <w:sz w:val="24"/>
          <w:szCs w:val="24"/>
        </w:rPr>
      </w:pPr>
      <w:r w:rsidRPr="00252B58">
        <w:rPr>
          <w:rFonts w:ascii="Arial" w:hAnsi="Arial" w:cs="Arial"/>
          <w:sz w:val="24"/>
          <w:szCs w:val="24"/>
        </w:rPr>
        <w:t xml:space="preserve">Irritable bowel syndrome and active inflammatory bowel disease diagnosed </w:t>
      </w:r>
      <w:r w:rsidRPr="00785F81">
        <w:rPr>
          <w:rFonts w:ascii="Arial" w:hAnsi="Arial" w:cs="Arial"/>
          <w:sz w:val="24"/>
          <w:szCs w:val="24"/>
        </w:rPr>
        <w:t>by faecal gas analysis.</w:t>
      </w:r>
    </w:p>
    <w:p w14:paraId="2FA2B290" w14:textId="77777777" w:rsidR="004A169F" w:rsidRPr="00785F81" w:rsidRDefault="00301B0B" w:rsidP="004A169F">
      <w:pPr>
        <w:pStyle w:val="ListParagraph"/>
        <w:spacing w:line="480" w:lineRule="auto"/>
        <w:rPr>
          <w:rFonts w:ascii="Arial" w:hAnsi="Arial" w:cs="Arial"/>
          <w:sz w:val="24"/>
          <w:szCs w:val="24"/>
        </w:rPr>
      </w:pPr>
      <w:r w:rsidRPr="00785F81">
        <w:rPr>
          <w:rFonts w:ascii="Arial" w:hAnsi="Arial" w:cs="Arial"/>
          <w:b/>
          <w:sz w:val="24"/>
          <w:szCs w:val="24"/>
        </w:rPr>
        <w:t>Short title</w:t>
      </w:r>
      <w:r w:rsidRPr="00785F81">
        <w:rPr>
          <w:rFonts w:ascii="Arial" w:hAnsi="Arial" w:cs="Arial"/>
          <w:sz w:val="24"/>
          <w:szCs w:val="24"/>
        </w:rPr>
        <w:t xml:space="preserve"> </w:t>
      </w:r>
    </w:p>
    <w:p w14:paraId="0FA90652" w14:textId="77777777" w:rsidR="00144BB6" w:rsidRPr="00785F81" w:rsidRDefault="00144BB6" w:rsidP="00EF15EA">
      <w:pPr>
        <w:pStyle w:val="ListParagraph"/>
        <w:spacing w:line="480" w:lineRule="auto"/>
        <w:rPr>
          <w:rFonts w:ascii="Arial" w:hAnsi="Arial" w:cs="Arial"/>
          <w:sz w:val="24"/>
          <w:szCs w:val="24"/>
        </w:rPr>
      </w:pPr>
      <w:r w:rsidRPr="00785F81">
        <w:rPr>
          <w:rFonts w:ascii="Arial" w:hAnsi="Arial" w:cs="Arial"/>
          <w:sz w:val="24"/>
          <w:szCs w:val="24"/>
        </w:rPr>
        <w:t>Diagnosing IBD and IBS from faecal gas</w:t>
      </w:r>
    </w:p>
    <w:p w14:paraId="6264409E" w14:textId="77777777" w:rsidR="004A169F" w:rsidRPr="00785F81" w:rsidRDefault="004A169F" w:rsidP="00EF15EA">
      <w:pPr>
        <w:pStyle w:val="ListParagraph"/>
        <w:spacing w:line="480" w:lineRule="auto"/>
        <w:rPr>
          <w:rFonts w:ascii="Arial" w:hAnsi="Arial" w:cs="Arial"/>
          <w:b/>
          <w:sz w:val="24"/>
          <w:szCs w:val="24"/>
        </w:rPr>
      </w:pPr>
      <w:r w:rsidRPr="00785F81">
        <w:rPr>
          <w:rFonts w:ascii="Arial" w:hAnsi="Arial" w:cs="Arial"/>
          <w:b/>
          <w:sz w:val="24"/>
          <w:szCs w:val="24"/>
        </w:rPr>
        <w:t>Authors</w:t>
      </w:r>
    </w:p>
    <w:p w14:paraId="3B0FDC85" w14:textId="77777777" w:rsidR="008B38FD" w:rsidRPr="00785F81" w:rsidRDefault="008B38FD" w:rsidP="004A169F">
      <w:pPr>
        <w:pStyle w:val="ListParagraph"/>
        <w:spacing w:line="480" w:lineRule="auto"/>
        <w:rPr>
          <w:rFonts w:ascii="Arial" w:hAnsi="Arial" w:cs="Arial"/>
          <w:sz w:val="24"/>
          <w:szCs w:val="24"/>
        </w:rPr>
      </w:pPr>
      <w:r w:rsidRPr="00785F81">
        <w:rPr>
          <w:rFonts w:ascii="Arial" w:hAnsi="Arial" w:cs="Arial"/>
          <w:sz w:val="24"/>
          <w:szCs w:val="24"/>
        </w:rPr>
        <w:t>Raphael B. M. Aggio</w:t>
      </w:r>
      <w:r w:rsidRPr="00785F81">
        <w:rPr>
          <w:rFonts w:ascii="Arial" w:hAnsi="Arial" w:cs="Arial"/>
          <w:sz w:val="24"/>
          <w:szCs w:val="24"/>
          <w:vertAlign w:val="superscript"/>
        </w:rPr>
        <w:t>1</w:t>
      </w:r>
      <w:r w:rsidRPr="00785F81">
        <w:rPr>
          <w:rFonts w:ascii="Arial" w:hAnsi="Arial" w:cs="Arial"/>
          <w:sz w:val="24"/>
          <w:szCs w:val="24"/>
        </w:rPr>
        <w:t>, Paul White</w:t>
      </w:r>
      <w:r w:rsidRPr="00785F81">
        <w:rPr>
          <w:rFonts w:ascii="Arial" w:hAnsi="Arial" w:cs="Arial"/>
          <w:sz w:val="24"/>
          <w:szCs w:val="24"/>
          <w:vertAlign w:val="superscript"/>
        </w:rPr>
        <w:t>2</w:t>
      </w:r>
      <w:r w:rsidRPr="00785F81">
        <w:rPr>
          <w:rFonts w:ascii="Arial" w:hAnsi="Arial" w:cs="Arial"/>
          <w:sz w:val="24"/>
          <w:szCs w:val="24"/>
        </w:rPr>
        <w:t>, Hiruni Jayasena</w:t>
      </w:r>
      <w:r w:rsidRPr="00785F81">
        <w:rPr>
          <w:rFonts w:ascii="Arial" w:hAnsi="Arial" w:cs="Arial"/>
          <w:sz w:val="24"/>
          <w:szCs w:val="24"/>
          <w:vertAlign w:val="superscript"/>
        </w:rPr>
        <w:t>3</w:t>
      </w:r>
      <w:r w:rsidRPr="00785F81">
        <w:rPr>
          <w:rFonts w:ascii="Arial" w:hAnsi="Arial" w:cs="Arial"/>
          <w:sz w:val="24"/>
          <w:szCs w:val="24"/>
        </w:rPr>
        <w:t>, Ben de Lacy Costello</w:t>
      </w:r>
      <w:r w:rsidRPr="00785F81">
        <w:rPr>
          <w:rFonts w:ascii="Arial" w:hAnsi="Arial" w:cs="Arial"/>
          <w:sz w:val="24"/>
          <w:szCs w:val="24"/>
          <w:vertAlign w:val="superscript"/>
        </w:rPr>
        <w:t>4</w:t>
      </w:r>
      <w:r w:rsidRPr="00785F81">
        <w:rPr>
          <w:rFonts w:ascii="Arial" w:hAnsi="Arial" w:cs="Arial"/>
          <w:sz w:val="24"/>
          <w:szCs w:val="24"/>
        </w:rPr>
        <w:t>, Norman M. Ratcliffe</w:t>
      </w:r>
      <w:r w:rsidRPr="00785F81">
        <w:rPr>
          <w:rFonts w:ascii="Arial" w:hAnsi="Arial" w:cs="Arial"/>
          <w:sz w:val="24"/>
          <w:szCs w:val="24"/>
          <w:vertAlign w:val="superscript"/>
        </w:rPr>
        <w:t>4</w:t>
      </w:r>
      <w:r w:rsidRPr="00785F81">
        <w:rPr>
          <w:rFonts w:ascii="Arial" w:hAnsi="Arial" w:cs="Arial"/>
          <w:sz w:val="24"/>
          <w:szCs w:val="24"/>
        </w:rPr>
        <w:t xml:space="preserve"> and Chris S. J. Probert</w:t>
      </w:r>
      <w:r w:rsidRPr="00785F81">
        <w:rPr>
          <w:rFonts w:ascii="Arial" w:hAnsi="Arial" w:cs="Arial"/>
          <w:sz w:val="24"/>
          <w:szCs w:val="24"/>
          <w:vertAlign w:val="superscript"/>
        </w:rPr>
        <w:t>1</w:t>
      </w:r>
    </w:p>
    <w:p w14:paraId="6A8B9C1A" w14:textId="77777777" w:rsidR="008B38FD" w:rsidRPr="00785F81" w:rsidRDefault="00622E5F" w:rsidP="005E4B9A">
      <w:pPr>
        <w:pStyle w:val="ListParagraph"/>
        <w:spacing w:line="480" w:lineRule="auto"/>
        <w:rPr>
          <w:rFonts w:ascii="Arial" w:hAnsi="Arial" w:cs="Arial"/>
          <w:b/>
          <w:sz w:val="24"/>
          <w:szCs w:val="24"/>
        </w:rPr>
      </w:pPr>
      <w:r w:rsidRPr="00785F81">
        <w:rPr>
          <w:rFonts w:ascii="Arial" w:hAnsi="Arial" w:cs="Arial"/>
          <w:b/>
          <w:sz w:val="24"/>
          <w:szCs w:val="24"/>
        </w:rPr>
        <w:t>Affiliations</w:t>
      </w:r>
    </w:p>
    <w:p w14:paraId="08F07DB8" w14:textId="77777777" w:rsidR="008B38FD" w:rsidRPr="00785F81" w:rsidRDefault="008B38FD" w:rsidP="00483103">
      <w:pPr>
        <w:pStyle w:val="ListParagraph"/>
        <w:spacing w:line="480" w:lineRule="auto"/>
        <w:rPr>
          <w:rFonts w:ascii="Arial" w:hAnsi="Arial" w:cs="Arial"/>
          <w:sz w:val="24"/>
          <w:szCs w:val="24"/>
        </w:rPr>
      </w:pPr>
      <w:r w:rsidRPr="00785F81">
        <w:rPr>
          <w:rFonts w:ascii="Arial" w:hAnsi="Arial" w:cs="Arial"/>
          <w:sz w:val="24"/>
          <w:szCs w:val="24"/>
          <w:vertAlign w:val="superscript"/>
        </w:rPr>
        <w:t>1</w:t>
      </w:r>
      <w:r w:rsidRPr="00785F81">
        <w:rPr>
          <w:rFonts w:ascii="Arial" w:hAnsi="Arial" w:cs="Arial"/>
          <w:sz w:val="24"/>
          <w:szCs w:val="24"/>
        </w:rPr>
        <w:t xml:space="preserve"> Institute of Translational Medicine, Department of Cellular and Molecular Physiology, University of Liverpool, Liverpool, United Kingdom.</w:t>
      </w:r>
    </w:p>
    <w:p w14:paraId="0D13C161" w14:textId="77777777" w:rsidR="008B38FD" w:rsidRPr="00785F81" w:rsidRDefault="008B38FD" w:rsidP="005E4B9A">
      <w:pPr>
        <w:pStyle w:val="ListParagraph"/>
        <w:spacing w:line="480" w:lineRule="auto"/>
        <w:rPr>
          <w:rFonts w:ascii="Arial" w:hAnsi="Arial" w:cs="Arial"/>
          <w:sz w:val="24"/>
          <w:szCs w:val="24"/>
        </w:rPr>
      </w:pPr>
      <w:r w:rsidRPr="00785F81">
        <w:rPr>
          <w:rFonts w:ascii="Arial" w:hAnsi="Arial" w:cs="Arial"/>
          <w:sz w:val="24"/>
          <w:szCs w:val="24"/>
          <w:vertAlign w:val="superscript"/>
        </w:rPr>
        <w:t>2</w:t>
      </w:r>
      <w:r w:rsidRPr="00785F81">
        <w:rPr>
          <w:rFonts w:ascii="Arial" w:hAnsi="Arial" w:cs="Arial"/>
          <w:sz w:val="24"/>
          <w:szCs w:val="24"/>
        </w:rPr>
        <w:t xml:space="preserve"> Department of Engineering, Design and Mathematics, University of the West of England, Bristol, United Kingdom.</w:t>
      </w:r>
    </w:p>
    <w:p w14:paraId="49EE6F4B" w14:textId="77777777" w:rsidR="00622E5F" w:rsidRPr="008840A6" w:rsidRDefault="008B38FD" w:rsidP="004A169F">
      <w:pPr>
        <w:pStyle w:val="ListParagraph"/>
        <w:spacing w:line="480" w:lineRule="auto"/>
        <w:rPr>
          <w:rFonts w:ascii="Arial" w:hAnsi="Arial" w:cs="Arial"/>
          <w:sz w:val="24"/>
          <w:szCs w:val="24"/>
        </w:rPr>
      </w:pPr>
      <w:r w:rsidRPr="00785F81">
        <w:rPr>
          <w:rFonts w:ascii="Arial" w:hAnsi="Arial" w:cs="Arial"/>
          <w:sz w:val="24"/>
          <w:szCs w:val="24"/>
          <w:vertAlign w:val="superscript"/>
        </w:rPr>
        <w:t xml:space="preserve">3 </w:t>
      </w:r>
      <w:r w:rsidRPr="00785F81">
        <w:rPr>
          <w:rFonts w:ascii="Arial" w:hAnsi="Arial" w:cs="Arial"/>
          <w:sz w:val="24"/>
          <w:szCs w:val="24"/>
        </w:rPr>
        <w:t xml:space="preserve">Department of Clinical Medicine, Faculty of Medicine, General Sir John Kotelawala Defence University, Ratmalana, Sir </w:t>
      </w:r>
      <w:r w:rsidRPr="008840A6">
        <w:rPr>
          <w:rFonts w:ascii="Arial" w:hAnsi="Arial" w:cs="Arial"/>
          <w:sz w:val="24"/>
          <w:szCs w:val="24"/>
        </w:rPr>
        <w:t>Lanka</w:t>
      </w:r>
      <w:r w:rsidRPr="008840A6">
        <w:rPr>
          <w:rFonts w:ascii="Arial" w:hAnsi="Arial" w:cs="Arial"/>
          <w:sz w:val="24"/>
          <w:szCs w:val="24"/>
        </w:rPr>
        <w:br/>
      </w:r>
      <w:r w:rsidRPr="008840A6">
        <w:rPr>
          <w:rFonts w:ascii="Arial" w:hAnsi="Arial" w:cs="Arial"/>
          <w:sz w:val="24"/>
          <w:szCs w:val="24"/>
          <w:vertAlign w:val="superscript"/>
        </w:rPr>
        <w:t>4</w:t>
      </w:r>
      <w:r w:rsidRPr="008840A6">
        <w:rPr>
          <w:rFonts w:ascii="Arial" w:hAnsi="Arial" w:cs="Arial"/>
          <w:sz w:val="24"/>
          <w:szCs w:val="24"/>
        </w:rPr>
        <w:t xml:space="preserve"> Institute of Biosensor Technology, University of the West of England, Bristol, United Kingdom.</w:t>
      </w:r>
    </w:p>
    <w:p w14:paraId="5B306DE8" w14:textId="77777777" w:rsidR="00582ABF" w:rsidRPr="008840A6" w:rsidRDefault="00582ABF" w:rsidP="00582ABF">
      <w:pPr>
        <w:pStyle w:val="ListParagraph"/>
        <w:spacing w:line="480" w:lineRule="auto"/>
        <w:rPr>
          <w:rFonts w:ascii="Arial" w:hAnsi="Arial" w:cs="Arial"/>
          <w:b/>
          <w:sz w:val="24"/>
          <w:szCs w:val="24"/>
        </w:rPr>
      </w:pPr>
      <w:r w:rsidRPr="008840A6">
        <w:rPr>
          <w:rFonts w:ascii="Arial" w:hAnsi="Arial" w:cs="Arial"/>
          <w:b/>
          <w:sz w:val="24"/>
          <w:szCs w:val="24"/>
        </w:rPr>
        <w:t>Funding</w:t>
      </w:r>
    </w:p>
    <w:p w14:paraId="6BF53911" w14:textId="77777777" w:rsidR="002F7324" w:rsidRPr="002979F9" w:rsidRDefault="008B2244" w:rsidP="002979F9">
      <w:pPr>
        <w:pStyle w:val="ListParagraph"/>
        <w:spacing w:line="480" w:lineRule="auto"/>
        <w:rPr>
          <w:rFonts w:ascii="Arial" w:hAnsi="Arial" w:cs="Arial"/>
          <w:sz w:val="24"/>
          <w:szCs w:val="24"/>
        </w:rPr>
      </w:pPr>
      <w:r>
        <w:rPr>
          <w:rFonts w:ascii="Arial" w:hAnsi="Arial" w:cs="Arial"/>
          <w:sz w:val="24"/>
          <w:szCs w:val="24"/>
        </w:rPr>
        <w:t>Part of this</w:t>
      </w:r>
      <w:r w:rsidR="00B7190E">
        <w:rPr>
          <w:rFonts w:ascii="Arial" w:hAnsi="Arial" w:cs="Arial"/>
          <w:sz w:val="24"/>
          <w:szCs w:val="24"/>
        </w:rPr>
        <w:t xml:space="preserve"> </w:t>
      </w:r>
      <w:r w:rsidR="00582ABF" w:rsidRPr="008840A6">
        <w:rPr>
          <w:rFonts w:ascii="Arial" w:hAnsi="Arial" w:cs="Arial"/>
          <w:sz w:val="24"/>
          <w:szCs w:val="24"/>
        </w:rPr>
        <w:t>work was supported by a University Translational Award from the Wellcome Trust.</w:t>
      </w:r>
    </w:p>
    <w:p w14:paraId="399B2E92" w14:textId="77777777" w:rsidR="002F7324" w:rsidRPr="002979F9" w:rsidRDefault="002F7324" w:rsidP="002979F9">
      <w:pPr>
        <w:pStyle w:val="ListParagraph"/>
        <w:spacing w:line="480" w:lineRule="auto"/>
        <w:rPr>
          <w:rFonts w:ascii="Arial" w:hAnsi="Arial" w:cs="Arial"/>
          <w:sz w:val="24"/>
          <w:szCs w:val="24"/>
        </w:rPr>
      </w:pPr>
      <w:r>
        <w:rPr>
          <w:rFonts w:ascii="Arial" w:hAnsi="Arial" w:cs="Arial"/>
          <w:sz w:val="24"/>
          <w:szCs w:val="24"/>
        </w:rPr>
        <w:t>Word count:</w:t>
      </w:r>
      <w:r w:rsidR="002979F9">
        <w:rPr>
          <w:rFonts w:ascii="Arial" w:hAnsi="Arial" w:cs="Arial"/>
          <w:sz w:val="24"/>
          <w:szCs w:val="24"/>
        </w:rPr>
        <w:t xml:space="preserve"> </w:t>
      </w:r>
      <w:r w:rsidR="002979F9" w:rsidRPr="002979F9">
        <w:rPr>
          <w:rFonts w:ascii="Arial" w:hAnsi="Arial" w:cs="Arial"/>
          <w:sz w:val="24"/>
          <w:szCs w:val="24"/>
        </w:rPr>
        <w:t>4</w:t>
      </w:r>
      <w:r w:rsidR="00414EB0">
        <w:rPr>
          <w:rFonts w:ascii="Arial" w:hAnsi="Arial" w:cs="Arial"/>
          <w:sz w:val="24"/>
          <w:szCs w:val="24"/>
        </w:rPr>
        <w:t>34</w:t>
      </w:r>
      <w:r w:rsidR="002979F9" w:rsidRPr="002979F9">
        <w:rPr>
          <w:rFonts w:ascii="Arial" w:hAnsi="Arial" w:cs="Arial"/>
          <w:sz w:val="24"/>
          <w:szCs w:val="24"/>
        </w:rPr>
        <w:t>6</w:t>
      </w:r>
    </w:p>
    <w:p w14:paraId="11567860" w14:textId="77777777" w:rsidR="00622E5F" w:rsidRPr="008840A6" w:rsidRDefault="00622E5F" w:rsidP="00F155C9">
      <w:pPr>
        <w:pStyle w:val="ListParagraph"/>
        <w:spacing w:line="480" w:lineRule="auto"/>
        <w:rPr>
          <w:rFonts w:ascii="Arial" w:hAnsi="Arial" w:cs="Arial"/>
          <w:b/>
          <w:sz w:val="24"/>
          <w:szCs w:val="24"/>
        </w:rPr>
      </w:pPr>
    </w:p>
    <w:p w14:paraId="3D54AC7A" w14:textId="77777777" w:rsidR="00622E5F" w:rsidRPr="008840A6" w:rsidRDefault="00622E5F" w:rsidP="00F155C9">
      <w:pPr>
        <w:pStyle w:val="ListParagraph"/>
        <w:spacing w:line="480" w:lineRule="auto"/>
        <w:rPr>
          <w:rFonts w:ascii="Arial" w:hAnsi="Arial" w:cs="Arial"/>
          <w:b/>
          <w:sz w:val="24"/>
          <w:szCs w:val="24"/>
        </w:rPr>
      </w:pPr>
    </w:p>
    <w:p w14:paraId="7469A799" w14:textId="77777777" w:rsidR="00F155C9" w:rsidRPr="002F7324" w:rsidRDefault="00622E5F" w:rsidP="008B2244">
      <w:pPr>
        <w:spacing w:after="0" w:line="480" w:lineRule="auto"/>
        <w:ind w:firstLine="720"/>
        <w:rPr>
          <w:rFonts w:ascii="Arial" w:hAnsi="Arial" w:cs="Arial"/>
          <w:b/>
          <w:sz w:val="24"/>
          <w:szCs w:val="24"/>
        </w:rPr>
      </w:pPr>
      <w:r w:rsidRPr="002F7324">
        <w:rPr>
          <w:rFonts w:ascii="Arial" w:hAnsi="Arial" w:cs="Arial"/>
          <w:b/>
          <w:sz w:val="24"/>
          <w:szCs w:val="24"/>
        </w:rPr>
        <w:t>Corresponding author</w:t>
      </w:r>
    </w:p>
    <w:p w14:paraId="144F8C46" w14:textId="77777777" w:rsidR="00F155C9" w:rsidRDefault="00FE177D" w:rsidP="008B2244">
      <w:pPr>
        <w:pStyle w:val="ListParagraph"/>
        <w:spacing w:after="0" w:line="480" w:lineRule="auto"/>
        <w:rPr>
          <w:rFonts w:ascii="Arial" w:hAnsi="Arial" w:cs="Arial"/>
          <w:sz w:val="24"/>
          <w:szCs w:val="24"/>
        </w:rPr>
      </w:pPr>
      <w:r>
        <w:rPr>
          <w:rFonts w:ascii="Arial" w:hAnsi="Arial" w:cs="Arial"/>
          <w:sz w:val="24"/>
          <w:szCs w:val="24"/>
        </w:rPr>
        <w:t>Raphael Bastos Mareschi Aggio</w:t>
      </w:r>
      <w:r w:rsidR="008B2244">
        <w:rPr>
          <w:rFonts w:ascii="Arial" w:hAnsi="Arial" w:cs="Arial"/>
          <w:sz w:val="24"/>
          <w:szCs w:val="24"/>
        </w:rPr>
        <w:t>,</w:t>
      </w:r>
    </w:p>
    <w:p w14:paraId="4AC51E4A" w14:textId="77777777" w:rsidR="008B2244" w:rsidRPr="008840A6" w:rsidRDefault="008B2244" w:rsidP="008B2244">
      <w:pPr>
        <w:pStyle w:val="ListParagraph"/>
        <w:spacing w:after="0" w:line="480" w:lineRule="auto"/>
        <w:rPr>
          <w:rFonts w:ascii="Arial" w:hAnsi="Arial" w:cs="Arial"/>
          <w:sz w:val="24"/>
          <w:szCs w:val="24"/>
        </w:rPr>
      </w:pPr>
      <w:r w:rsidRPr="008840A6">
        <w:rPr>
          <w:rFonts w:ascii="Arial" w:hAnsi="Arial" w:cs="Arial"/>
          <w:sz w:val="24"/>
          <w:szCs w:val="24"/>
        </w:rPr>
        <w:t>Department of Cellular and Molecular Physiology</w:t>
      </w:r>
      <w:r w:rsidR="00B7190E">
        <w:rPr>
          <w:rFonts w:ascii="Arial" w:hAnsi="Arial" w:cs="Arial"/>
          <w:sz w:val="24"/>
          <w:szCs w:val="24"/>
        </w:rPr>
        <w:t>,</w:t>
      </w:r>
    </w:p>
    <w:p w14:paraId="0727D3F4" w14:textId="77777777" w:rsidR="00F155C9" w:rsidRPr="008B2244" w:rsidRDefault="00F155C9" w:rsidP="008B2244">
      <w:pPr>
        <w:spacing w:after="0" w:line="480" w:lineRule="auto"/>
        <w:ind w:firstLine="720"/>
        <w:rPr>
          <w:rFonts w:ascii="Arial" w:hAnsi="Arial" w:cs="Arial"/>
          <w:sz w:val="24"/>
          <w:szCs w:val="24"/>
        </w:rPr>
      </w:pPr>
      <w:r w:rsidRPr="008B2244">
        <w:rPr>
          <w:rFonts w:ascii="Arial" w:hAnsi="Arial" w:cs="Arial"/>
          <w:sz w:val="24"/>
          <w:szCs w:val="24"/>
        </w:rPr>
        <w:t>Institute of Translational Medicine</w:t>
      </w:r>
      <w:r w:rsidR="008B2244" w:rsidRPr="008B2244">
        <w:rPr>
          <w:rFonts w:ascii="Arial" w:hAnsi="Arial" w:cs="Arial"/>
          <w:sz w:val="24"/>
          <w:szCs w:val="24"/>
        </w:rPr>
        <w:t>,</w:t>
      </w:r>
    </w:p>
    <w:p w14:paraId="1DFAEDAB" w14:textId="77777777" w:rsidR="00F155C9" w:rsidRPr="008B2244" w:rsidRDefault="00F155C9" w:rsidP="008B2244">
      <w:pPr>
        <w:pStyle w:val="ListParagraph"/>
        <w:spacing w:after="0" w:line="480" w:lineRule="auto"/>
      </w:pPr>
      <w:r w:rsidRPr="008840A6">
        <w:rPr>
          <w:rFonts w:ascii="Arial" w:hAnsi="Arial" w:cs="Arial"/>
          <w:sz w:val="24"/>
          <w:szCs w:val="24"/>
        </w:rPr>
        <w:t>University of Liverpool</w:t>
      </w:r>
      <w:r w:rsidR="008B2244">
        <w:rPr>
          <w:rFonts w:ascii="Arial" w:hAnsi="Arial" w:cs="Arial"/>
          <w:sz w:val="24"/>
          <w:szCs w:val="24"/>
        </w:rPr>
        <w:t>,</w:t>
      </w:r>
    </w:p>
    <w:p w14:paraId="3E7C6B2C" w14:textId="77777777" w:rsidR="008B2244" w:rsidRDefault="00F155C9" w:rsidP="008B2244">
      <w:pPr>
        <w:pStyle w:val="ListParagraph"/>
        <w:spacing w:after="0" w:line="480" w:lineRule="auto"/>
        <w:rPr>
          <w:rFonts w:ascii="Arial" w:hAnsi="Arial" w:cs="Arial"/>
          <w:sz w:val="24"/>
          <w:szCs w:val="24"/>
        </w:rPr>
      </w:pPr>
      <w:r w:rsidRPr="008840A6">
        <w:rPr>
          <w:rFonts w:ascii="Arial" w:hAnsi="Arial" w:cs="Arial"/>
          <w:sz w:val="24"/>
          <w:szCs w:val="24"/>
        </w:rPr>
        <w:t>Nuffield Building</w:t>
      </w:r>
      <w:r w:rsidR="008B2244">
        <w:rPr>
          <w:rFonts w:ascii="Arial" w:hAnsi="Arial" w:cs="Arial"/>
          <w:sz w:val="24"/>
          <w:szCs w:val="24"/>
        </w:rPr>
        <w:t>,</w:t>
      </w:r>
    </w:p>
    <w:p w14:paraId="46285DB6" w14:textId="77777777" w:rsidR="00F155C9" w:rsidRPr="008840A6" w:rsidRDefault="00F155C9" w:rsidP="008B2244">
      <w:pPr>
        <w:pStyle w:val="ListParagraph"/>
        <w:spacing w:after="0" w:line="480" w:lineRule="auto"/>
        <w:rPr>
          <w:rFonts w:ascii="Arial" w:hAnsi="Arial" w:cs="Arial"/>
          <w:sz w:val="24"/>
          <w:szCs w:val="24"/>
        </w:rPr>
      </w:pPr>
      <w:r w:rsidRPr="008840A6">
        <w:rPr>
          <w:rFonts w:ascii="Arial" w:hAnsi="Arial" w:cs="Arial"/>
          <w:sz w:val="24"/>
          <w:szCs w:val="24"/>
        </w:rPr>
        <w:t>Crown Street</w:t>
      </w:r>
      <w:r w:rsidR="008B2244">
        <w:rPr>
          <w:rFonts w:ascii="Arial" w:hAnsi="Arial" w:cs="Arial"/>
          <w:sz w:val="24"/>
          <w:szCs w:val="24"/>
        </w:rPr>
        <w:t>,</w:t>
      </w:r>
    </w:p>
    <w:p w14:paraId="159FEA15" w14:textId="77777777" w:rsidR="008B2244" w:rsidRDefault="00F155C9" w:rsidP="008B2244">
      <w:pPr>
        <w:pStyle w:val="ListParagraph"/>
        <w:spacing w:after="0" w:line="480" w:lineRule="auto"/>
        <w:rPr>
          <w:rFonts w:ascii="Arial" w:hAnsi="Arial" w:cs="Arial"/>
          <w:sz w:val="24"/>
          <w:szCs w:val="24"/>
        </w:rPr>
      </w:pPr>
      <w:r w:rsidRPr="008840A6">
        <w:rPr>
          <w:rFonts w:ascii="Arial" w:hAnsi="Arial" w:cs="Arial"/>
          <w:sz w:val="24"/>
          <w:szCs w:val="24"/>
        </w:rPr>
        <w:t>Liverpool</w:t>
      </w:r>
      <w:r w:rsidR="008B2244">
        <w:rPr>
          <w:rFonts w:ascii="Arial" w:hAnsi="Arial" w:cs="Arial"/>
          <w:sz w:val="24"/>
          <w:szCs w:val="24"/>
        </w:rPr>
        <w:t>,</w:t>
      </w:r>
    </w:p>
    <w:p w14:paraId="32E3EEBD" w14:textId="77777777" w:rsidR="008B2244" w:rsidRDefault="008B2244" w:rsidP="008B2244">
      <w:pPr>
        <w:pStyle w:val="ListParagraph"/>
        <w:spacing w:after="0" w:line="480" w:lineRule="auto"/>
        <w:rPr>
          <w:rFonts w:ascii="Arial" w:hAnsi="Arial" w:cs="Arial"/>
          <w:sz w:val="24"/>
          <w:szCs w:val="24"/>
        </w:rPr>
      </w:pPr>
      <w:r w:rsidRPr="008840A6">
        <w:rPr>
          <w:rFonts w:ascii="Arial" w:hAnsi="Arial" w:cs="Arial"/>
          <w:sz w:val="24"/>
          <w:szCs w:val="24"/>
        </w:rPr>
        <w:t>United Kingdom</w:t>
      </w:r>
      <w:r w:rsidR="00F155C9" w:rsidRPr="008840A6">
        <w:rPr>
          <w:rFonts w:ascii="Arial" w:hAnsi="Arial" w:cs="Arial"/>
          <w:sz w:val="24"/>
          <w:szCs w:val="24"/>
        </w:rPr>
        <w:t xml:space="preserve"> </w:t>
      </w:r>
    </w:p>
    <w:p w14:paraId="6D4A8A98" w14:textId="77777777" w:rsidR="00F155C9" w:rsidRPr="008840A6" w:rsidRDefault="00F155C9" w:rsidP="008B2244">
      <w:pPr>
        <w:pStyle w:val="ListParagraph"/>
        <w:spacing w:after="0" w:line="480" w:lineRule="auto"/>
        <w:rPr>
          <w:rFonts w:ascii="Arial" w:hAnsi="Arial" w:cs="Arial"/>
          <w:sz w:val="24"/>
          <w:szCs w:val="24"/>
        </w:rPr>
      </w:pPr>
      <w:r w:rsidRPr="008840A6">
        <w:rPr>
          <w:rFonts w:ascii="Arial" w:hAnsi="Arial" w:cs="Arial"/>
          <w:sz w:val="24"/>
          <w:szCs w:val="24"/>
        </w:rPr>
        <w:t>L693GE</w:t>
      </w:r>
    </w:p>
    <w:p w14:paraId="5FB3E36D" w14:textId="77777777" w:rsidR="00F155C9" w:rsidRPr="008840A6" w:rsidRDefault="00FE177D" w:rsidP="008B2244">
      <w:pPr>
        <w:pStyle w:val="ListParagraph"/>
        <w:spacing w:after="0" w:line="480" w:lineRule="auto"/>
        <w:rPr>
          <w:rFonts w:ascii="Arial" w:hAnsi="Arial" w:cs="Arial"/>
          <w:sz w:val="24"/>
          <w:szCs w:val="24"/>
        </w:rPr>
      </w:pPr>
      <w:r>
        <w:rPr>
          <w:rFonts w:ascii="Arial" w:hAnsi="Arial" w:cs="Arial"/>
          <w:sz w:val="24"/>
          <w:szCs w:val="24"/>
        </w:rPr>
        <w:t>Raphael.Aggio</w:t>
      </w:r>
      <w:r w:rsidR="00F155C9" w:rsidRPr="008840A6">
        <w:rPr>
          <w:rFonts w:ascii="Arial" w:hAnsi="Arial" w:cs="Arial"/>
          <w:sz w:val="24"/>
          <w:szCs w:val="24"/>
        </w:rPr>
        <w:t>@liverpool.ac.uk</w:t>
      </w:r>
    </w:p>
    <w:p w14:paraId="1328B055" w14:textId="77777777" w:rsidR="00F155C9" w:rsidRPr="008840A6" w:rsidRDefault="00F155C9" w:rsidP="008B2244">
      <w:pPr>
        <w:pStyle w:val="ListParagraph"/>
        <w:spacing w:after="0" w:line="480" w:lineRule="auto"/>
        <w:rPr>
          <w:rFonts w:ascii="Arial" w:hAnsi="Arial" w:cs="Arial"/>
          <w:sz w:val="24"/>
          <w:szCs w:val="24"/>
        </w:rPr>
      </w:pPr>
      <w:r w:rsidRPr="008840A6">
        <w:rPr>
          <w:rFonts w:ascii="Arial" w:hAnsi="Arial" w:cs="Arial"/>
          <w:sz w:val="24"/>
          <w:szCs w:val="24"/>
        </w:rPr>
        <w:t>Phone: +44 1517954010</w:t>
      </w:r>
    </w:p>
    <w:p w14:paraId="1B01574A" w14:textId="77777777" w:rsidR="00F155C9" w:rsidRPr="008840A6" w:rsidRDefault="00F155C9" w:rsidP="008B2244">
      <w:pPr>
        <w:pStyle w:val="ListParagraph"/>
        <w:spacing w:after="0" w:line="480" w:lineRule="auto"/>
        <w:rPr>
          <w:rFonts w:ascii="Arial" w:hAnsi="Arial" w:cs="Arial"/>
          <w:sz w:val="24"/>
          <w:szCs w:val="24"/>
        </w:rPr>
      </w:pPr>
      <w:r w:rsidRPr="008840A6">
        <w:rPr>
          <w:rFonts w:ascii="Arial" w:hAnsi="Arial" w:cs="Arial"/>
          <w:sz w:val="24"/>
          <w:szCs w:val="24"/>
        </w:rPr>
        <w:t>Fax: + 44 1517946825</w:t>
      </w:r>
    </w:p>
    <w:p w14:paraId="1D7E8462" w14:textId="77777777" w:rsidR="002979F9" w:rsidRDefault="002979F9" w:rsidP="00582ABF">
      <w:pPr>
        <w:pStyle w:val="ListParagraph"/>
        <w:spacing w:line="480" w:lineRule="auto"/>
        <w:rPr>
          <w:rFonts w:ascii="Arial" w:hAnsi="Arial" w:cs="Arial"/>
          <w:b/>
          <w:sz w:val="24"/>
          <w:szCs w:val="24"/>
        </w:rPr>
      </w:pPr>
    </w:p>
    <w:p w14:paraId="19A9568E" w14:textId="77777777" w:rsidR="00582ABF" w:rsidRPr="008840A6" w:rsidRDefault="00582ABF" w:rsidP="00582ABF">
      <w:pPr>
        <w:pStyle w:val="ListParagraph"/>
        <w:spacing w:line="480" w:lineRule="auto"/>
        <w:rPr>
          <w:rFonts w:ascii="Arial" w:hAnsi="Arial" w:cs="Arial"/>
          <w:b/>
          <w:sz w:val="24"/>
          <w:szCs w:val="24"/>
        </w:rPr>
      </w:pPr>
      <w:r w:rsidRPr="008840A6">
        <w:rPr>
          <w:rFonts w:ascii="Arial" w:hAnsi="Arial" w:cs="Arial"/>
          <w:b/>
          <w:sz w:val="24"/>
          <w:szCs w:val="24"/>
        </w:rPr>
        <w:lastRenderedPageBreak/>
        <w:t>Disclosure</w:t>
      </w:r>
    </w:p>
    <w:p w14:paraId="106A4CD9" w14:textId="77777777" w:rsidR="00582ABF" w:rsidRPr="008840A6" w:rsidRDefault="00582ABF" w:rsidP="00F155C9">
      <w:pPr>
        <w:pStyle w:val="ListParagraph"/>
        <w:spacing w:line="480" w:lineRule="auto"/>
        <w:jc w:val="both"/>
        <w:rPr>
          <w:rFonts w:ascii="Arial" w:hAnsi="Arial" w:cs="Arial"/>
          <w:sz w:val="24"/>
          <w:szCs w:val="24"/>
        </w:rPr>
      </w:pPr>
      <w:r w:rsidRPr="008840A6">
        <w:rPr>
          <w:rFonts w:ascii="Arial" w:hAnsi="Arial" w:cs="Arial"/>
          <w:sz w:val="24"/>
          <w:szCs w:val="24"/>
        </w:rPr>
        <w:t>This manuscript has not been previously published and the manuscript is not under consideration elsewhere. R.B.M. Aggio, P. White, H. Jayasena, B. de Lacy Costello, N.M. Ratcliffe, and C.S.J. Probert certif</w:t>
      </w:r>
      <w:r w:rsidR="000311A6">
        <w:rPr>
          <w:rFonts w:ascii="Arial" w:hAnsi="Arial" w:cs="Arial"/>
          <w:sz w:val="24"/>
          <w:szCs w:val="24"/>
        </w:rPr>
        <w:t>y</w:t>
      </w:r>
      <w:r w:rsidRPr="008840A6">
        <w:rPr>
          <w:rFonts w:ascii="Arial" w:hAnsi="Arial" w:cs="Arial"/>
          <w:sz w:val="24"/>
          <w:szCs w:val="24"/>
        </w:rPr>
        <w:t xml:space="preserve"> that all conflicts of interest, including specific financial interests and relationships and affiliations relevant to the subject matter or materials discussed in the manuscript (eg, employment/affiliation, grants or funding, consultancies, honoraria, stock ownership or options, expert testimony, royalties, or patents filed, received, or pending), are the following: B. de Lacy Costello, N.M. Ratcliffe and C.S.J. Probert are the inventors o</w:t>
      </w:r>
      <w:r w:rsidR="000D7F31">
        <w:rPr>
          <w:rFonts w:ascii="Arial" w:hAnsi="Arial" w:cs="Arial"/>
          <w:sz w:val="24"/>
          <w:szCs w:val="24"/>
        </w:rPr>
        <w:t>f the intellectual property</w:t>
      </w:r>
      <w:r w:rsidRPr="008840A6">
        <w:rPr>
          <w:rFonts w:ascii="Arial" w:hAnsi="Arial" w:cs="Arial"/>
          <w:sz w:val="24"/>
          <w:szCs w:val="24"/>
        </w:rPr>
        <w:t xml:space="preserve"> r</w:t>
      </w:r>
      <w:r w:rsidR="001D5FE0">
        <w:rPr>
          <w:rFonts w:ascii="Arial" w:hAnsi="Arial" w:cs="Arial"/>
          <w:sz w:val="24"/>
          <w:szCs w:val="24"/>
        </w:rPr>
        <w:t>elated to applications of the gas chromatography-s</w:t>
      </w:r>
      <w:r w:rsidRPr="008840A6">
        <w:rPr>
          <w:rFonts w:ascii="Arial" w:hAnsi="Arial" w:cs="Arial"/>
          <w:sz w:val="24"/>
          <w:szCs w:val="24"/>
        </w:rPr>
        <w:t xml:space="preserve">ensor. The </w:t>
      </w:r>
      <w:r w:rsidR="000D7F31">
        <w:rPr>
          <w:rFonts w:ascii="Arial" w:hAnsi="Arial" w:cs="Arial"/>
          <w:sz w:val="24"/>
          <w:szCs w:val="24"/>
        </w:rPr>
        <w:t>intellectual property</w:t>
      </w:r>
      <w:r w:rsidR="000D7F31" w:rsidRPr="008840A6">
        <w:rPr>
          <w:rFonts w:ascii="Arial" w:hAnsi="Arial" w:cs="Arial"/>
          <w:sz w:val="24"/>
          <w:szCs w:val="24"/>
        </w:rPr>
        <w:t xml:space="preserve"> </w:t>
      </w:r>
      <w:r w:rsidRPr="008840A6">
        <w:rPr>
          <w:rFonts w:ascii="Arial" w:hAnsi="Arial" w:cs="Arial"/>
          <w:sz w:val="24"/>
          <w:szCs w:val="24"/>
        </w:rPr>
        <w:t xml:space="preserve">is owned by their employers, the University of Liverpool and the University of West of England. In addition, R.B.M. Aggio and C.S.J. Probert are the inventors of the </w:t>
      </w:r>
      <w:r w:rsidR="000D7F31">
        <w:rPr>
          <w:rFonts w:ascii="Arial" w:hAnsi="Arial" w:cs="Arial"/>
          <w:sz w:val="24"/>
          <w:szCs w:val="24"/>
        </w:rPr>
        <w:t>intellectual property</w:t>
      </w:r>
      <w:r w:rsidR="000D7F31" w:rsidRPr="008840A6">
        <w:rPr>
          <w:rFonts w:ascii="Arial" w:hAnsi="Arial" w:cs="Arial"/>
          <w:sz w:val="24"/>
          <w:szCs w:val="24"/>
        </w:rPr>
        <w:t xml:space="preserve"> </w:t>
      </w:r>
      <w:r w:rsidRPr="008840A6">
        <w:rPr>
          <w:rFonts w:ascii="Arial" w:hAnsi="Arial" w:cs="Arial"/>
          <w:sz w:val="24"/>
          <w:szCs w:val="24"/>
        </w:rPr>
        <w:t xml:space="preserve">related to the pipeline used here for data analysis. The University of Liverpool owns this </w:t>
      </w:r>
      <w:r w:rsidR="000D7F31">
        <w:rPr>
          <w:rFonts w:ascii="Arial" w:hAnsi="Arial" w:cs="Arial"/>
          <w:sz w:val="24"/>
          <w:szCs w:val="24"/>
        </w:rPr>
        <w:t>intellectual property</w:t>
      </w:r>
      <w:r w:rsidRPr="008840A6">
        <w:rPr>
          <w:rFonts w:ascii="Arial" w:hAnsi="Arial" w:cs="Arial"/>
          <w:sz w:val="24"/>
          <w:szCs w:val="24"/>
        </w:rPr>
        <w:t>. The other authors have nothing to disclose.</w:t>
      </w:r>
    </w:p>
    <w:p w14:paraId="5912CA57" w14:textId="77777777" w:rsidR="00F87B6B" w:rsidRDefault="00F87B6B" w:rsidP="00F155C9">
      <w:pPr>
        <w:pStyle w:val="ListParagraph"/>
        <w:spacing w:line="480" w:lineRule="auto"/>
        <w:jc w:val="both"/>
        <w:rPr>
          <w:rFonts w:ascii="Arial" w:hAnsi="Arial" w:cs="Arial"/>
          <w:b/>
          <w:sz w:val="24"/>
          <w:szCs w:val="24"/>
        </w:rPr>
      </w:pPr>
      <w:r>
        <w:rPr>
          <w:rFonts w:ascii="Arial" w:hAnsi="Arial" w:cs="Arial"/>
          <w:b/>
          <w:sz w:val="24"/>
          <w:szCs w:val="24"/>
        </w:rPr>
        <w:t>Authorship Statement</w:t>
      </w:r>
    </w:p>
    <w:p w14:paraId="40E95D92" w14:textId="77777777" w:rsidR="00F87B6B" w:rsidRDefault="00F87B6B" w:rsidP="00F155C9">
      <w:pPr>
        <w:pStyle w:val="ListParagraph"/>
        <w:spacing w:line="480" w:lineRule="auto"/>
        <w:jc w:val="both"/>
        <w:rPr>
          <w:rFonts w:ascii="Arial" w:hAnsi="Arial" w:cs="Arial"/>
          <w:sz w:val="24"/>
          <w:szCs w:val="24"/>
        </w:rPr>
      </w:pPr>
      <w:r>
        <w:rPr>
          <w:rFonts w:ascii="Arial" w:hAnsi="Arial" w:cs="Arial"/>
          <w:sz w:val="24"/>
          <w:szCs w:val="24"/>
        </w:rPr>
        <w:t>Guarantor of article:</w:t>
      </w:r>
    </w:p>
    <w:p w14:paraId="53B78E71" w14:textId="77777777" w:rsidR="00F87B6B" w:rsidRDefault="00F87B6B" w:rsidP="00F155C9">
      <w:pPr>
        <w:pStyle w:val="ListParagraph"/>
        <w:spacing w:line="480" w:lineRule="auto"/>
        <w:jc w:val="both"/>
        <w:rPr>
          <w:rFonts w:ascii="Arial" w:hAnsi="Arial" w:cs="Arial"/>
          <w:sz w:val="24"/>
          <w:szCs w:val="24"/>
        </w:rPr>
      </w:pPr>
      <w:r>
        <w:rPr>
          <w:rFonts w:ascii="Arial" w:hAnsi="Arial" w:cs="Arial"/>
          <w:sz w:val="24"/>
          <w:szCs w:val="24"/>
        </w:rPr>
        <w:t>C.S.J. Probert</w:t>
      </w:r>
    </w:p>
    <w:p w14:paraId="43E06E2D" w14:textId="77777777" w:rsidR="00F155C9" w:rsidRPr="00F87B6B" w:rsidRDefault="00F155C9" w:rsidP="00F155C9">
      <w:pPr>
        <w:pStyle w:val="ListParagraph"/>
        <w:spacing w:line="480" w:lineRule="auto"/>
        <w:jc w:val="both"/>
        <w:rPr>
          <w:rFonts w:ascii="Arial" w:hAnsi="Arial" w:cs="Arial"/>
          <w:sz w:val="24"/>
          <w:szCs w:val="24"/>
        </w:rPr>
      </w:pPr>
      <w:r w:rsidRPr="00F87B6B">
        <w:rPr>
          <w:rFonts w:ascii="Arial" w:hAnsi="Arial" w:cs="Arial"/>
          <w:sz w:val="24"/>
          <w:szCs w:val="24"/>
        </w:rPr>
        <w:t>Author contribution:</w:t>
      </w:r>
    </w:p>
    <w:p w14:paraId="13EF881F" w14:textId="77777777" w:rsidR="00F155C9" w:rsidRDefault="00F155C9" w:rsidP="00F155C9">
      <w:pPr>
        <w:pStyle w:val="ListParagraph"/>
        <w:spacing w:line="480" w:lineRule="auto"/>
        <w:jc w:val="both"/>
        <w:rPr>
          <w:rFonts w:ascii="Arial" w:hAnsi="Arial" w:cs="Arial"/>
          <w:sz w:val="24"/>
          <w:szCs w:val="24"/>
        </w:rPr>
      </w:pPr>
      <w:r w:rsidRPr="008840A6">
        <w:rPr>
          <w:rFonts w:ascii="Arial" w:hAnsi="Arial" w:cs="Arial"/>
          <w:sz w:val="24"/>
          <w:szCs w:val="24"/>
        </w:rPr>
        <w:t xml:space="preserve">R.B.M. Aggio performed the data analysis, wrote the manuscript and generated the figures; P. White performed the data analysis, wrote the manuscript and generated figures; H. Jayasena collected </w:t>
      </w:r>
      <w:r w:rsidR="008B2244">
        <w:rPr>
          <w:rFonts w:ascii="Arial" w:hAnsi="Arial" w:cs="Arial"/>
          <w:sz w:val="24"/>
          <w:szCs w:val="24"/>
        </w:rPr>
        <w:t xml:space="preserve">patient data and </w:t>
      </w:r>
      <w:r w:rsidRPr="008840A6">
        <w:rPr>
          <w:rFonts w:ascii="Arial" w:hAnsi="Arial" w:cs="Arial"/>
          <w:sz w:val="24"/>
          <w:szCs w:val="24"/>
        </w:rPr>
        <w:t xml:space="preserve">samples and revised the </w:t>
      </w:r>
      <w:r w:rsidRPr="008840A6">
        <w:rPr>
          <w:rFonts w:ascii="Arial" w:hAnsi="Arial" w:cs="Arial"/>
          <w:sz w:val="24"/>
          <w:szCs w:val="24"/>
        </w:rPr>
        <w:lastRenderedPageBreak/>
        <w:t xml:space="preserve">manuscript; B. de Lacy Costello developed the </w:t>
      </w:r>
      <w:r w:rsidR="001D5FE0">
        <w:rPr>
          <w:rFonts w:ascii="Arial" w:hAnsi="Arial" w:cs="Arial"/>
          <w:sz w:val="24"/>
          <w:szCs w:val="24"/>
        </w:rPr>
        <w:t>gas chromatography-s</w:t>
      </w:r>
      <w:r w:rsidRPr="008840A6">
        <w:rPr>
          <w:rFonts w:ascii="Arial" w:hAnsi="Arial" w:cs="Arial"/>
          <w:sz w:val="24"/>
          <w:szCs w:val="24"/>
        </w:rPr>
        <w:t xml:space="preserve">ensor </w:t>
      </w:r>
      <w:r w:rsidR="001D5FE0">
        <w:rPr>
          <w:rFonts w:ascii="Arial" w:hAnsi="Arial" w:cs="Arial"/>
          <w:sz w:val="24"/>
          <w:szCs w:val="24"/>
        </w:rPr>
        <w:t xml:space="preserve">system </w:t>
      </w:r>
      <w:r w:rsidRPr="008840A6">
        <w:rPr>
          <w:rFonts w:ascii="Arial" w:hAnsi="Arial" w:cs="Arial"/>
          <w:sz w:val="24"/>
          <w:szCs w:val="24"/>
        </w:rPr>
        <w:t xml:space="preserve">and revised the manuscript; N.M. Ratcliffe developed the </w:t>
      </w:r>
      <w:r w:rsidR="001D5FE0">
        <w:rPr>
          <w:rFonts w:ascii="Arial" w:hAnsi="Arial" w:cs="Arial"/>
          <w:sz w:val="24"/>
          <w:szCs w:val="24"/>
        </w:rPr>
        <w:t>gas chromatography-s</w:t>
      </w:r>
      <w:r w:rsidR="001D5FE0" w:rsidRPr="008840A6">
        <w:rPr>
          <w:rFonts w:ascii="Arial" w:hAnsi="Arial" w:cs="Arial"/>
          <w:sz w:val="24"/>
          <w:szCs w:val="24"/>
        </w:rPr>
        <w:t>ensor</w:t>
      </w:r>
      <w:r w:rsidR="001D5FE0">
        <w:rPr>
          <w:rFonts w:ascii="Arial" w:hAnsi="Arial" w:cs="Arial"/>
          <w:sz w:val="24"/>
          <w:szCs w:val="24"/>
        </w:rPr>
        <w:t xml:space="preserve"> system</w:t>
      </w:r>
      <w:r w:rsidR="001D5FE0" w:rsidRPr="008840A6">
        <w:rPr>
          <w:rFonts w:ascii="Arial" w:hAnsi="Arial" w:cs="Arial"/>
          <w:sz w:val="24"/>
          <w:szCs w:val="24"/>
        </w:rPr>
        <w:t xml:space="preserve"> </w:t>
      </w:r>
      <w:r w:rsidRPr="008840A6">
        <w:rPr>
          <w:rFonts w:ascii="Arial" w:hAnsi="Arial" w:cs="Arial"/>
          <w:sz w:val="24"/>
          <w:szCs w:val="24"/>
        </w:rPr>
        <w:t xml:space="preserve">and wrote the manuscript; C.S.J. Probert developed the </w:t>
      </w:r>
      <w:r w:rsidR="001D5FE0">
        <w:rPr>
          <w:rFonts w:ascii="Arial" w:hAnsi="Arial" w:cs="Arial"/>
          <w:sz w:val="24"/>
          <w:szCs w:val="24"/>
        </w:rPr>
        <w:t>gas chromatography-s</w:t>
      </w:r>
      <w:r w:rsidR="001D5FE0" w:rsidRPr="008840A6">
        <w:rPr>
          <w:rFonts w:ascii="Arial" w:hAnsi="Arial" w:cs="Arial"/>
          <w:sz w:val="24"/>
          <w:szCs w:val="24"/>
        </w:rPr>
        <w:t>ensor</w:t>
      </w:r>
      <w:r w:rsidR="001D5FE0">
        <w:rPr>
          <w:rFonts w:ascii="Arial" w:hAnsi="Arial" w:cs="Arial"/>
          <w:sz w:val="24"/>
          <w:szCs w:val="24"/>
        </w:rPr>
        <w:t xml:space="preserve"> system</w:t>
      </w:r>
      <w:r w:rsidR="001D5FE0" w:rsidRPr="008840A6">
        <w:rPr>
          <w:rFonts w:ascii="Arial" w:hAnsi="Arial" w:cs="Arial"/>
          <w:sz w:val="24"/>
          <w:szCs w:val="24"/>
        </w:rPr>
        <w:t xml:space="preserve"> </w:t>
      </w:r>
      <w:r w:rsidRPr="008840A6">
        <w:rPr>
          <w:rFonts w:ascii="Arial" w:hAnsi="Arial" w:cs="Arial"/>
          <w:sz w:val="24"/>
          <w:szCs w:val="24"/>
        </w:rPr>
        <w:t xml:space="preserve">and wrote the manuscript. </w:t>
      </w:r>
    </w:p>
    <w:p w14:paraId="6745C395" w14:textId="77777777" w:rsidR="00F87B6B" w:rsidRPr="008840A6" w:rsidRDefault="00F87B6B" w:rsidP="00F155C9">
      <w:pPr>
        <w:pStyle w:val="ListParagraph"/>
        <w:spacing w:line="480" w:lineRule="auto"/>
        <w:jc w:val="both"/>
        <w:rPr>
          <w:rFonts w:ascii="Arial" w:hAnsi="Arial" w:cs="Arial"/>
          <w:sz w:val="24"/>
          <w:szCs w:val="24"/>
        </w:rPr>
      </w:pPr>
      <w:r>
        <w:rPr>
          <w:rFonts w:ascii="Arial" w:hAnsi="Arial" w:cs="Arial"/>
          <w:sz w:val="24"/>
          <w:szCs w:val="24"/>
        </w:rPr>
        <w:t>All authors approved the final version of this manuscript.</w:t>
      </w:r>
    </w:p>
    <w:p w14:paraId="7A6D1F6A" w14:textId="77777777" w:rsidR="00F155C9" w:rsidRPr="008840A6" w:rsidRDefault="00F155C9" w:rsidP="00F155C9">
      <w:pPr>
        <w:pStyle w:val="ListParagraph"/>
        <w:spacing w:line="480" w:lineRule="auto"/>
        <w:jc w:val="both"/>
        <w:rPr>
          <w:rFonts w:ascii="Arial" w:hAnsi="Arial" w:cs="Arial"/>
          <w:sz w:val="24"/>
          <w:szCs w:val="24"/>
        </w:rPr>
      </w:pPr>
    </w:p>
    <w:p w14:paraId="475B221D" w14:textId="77777777" w:rsidR="008B38FD" w:rsidRPr="008840A6" w:rsidRDefault="008B38FD" w:rsidP="00F155C9">
      <w:pPr>
        <w:spacing w:line="480" w:lineRule="auto"/>
        <w:rPr>
          <w:rFonts w:ascii="Arial" w:hAnsi="Arial" w:cs="Arial"/>
          <w:sz w:val="24"/>
          <w:szCs w:val="24"/>
        </w:rPr>
      </w:pPr>
      <w:r w:rsidRPr="008840A6">
        <w:rPr>
          <w:rFonts w:ascii="Arial" w:hAnsi="Arial" w:cs="Arial"/>
          <w:sz w:val="24"/>
          <w:szCs w:val="24"/>
        </w:rPr>
        <w:tab/>
      </w:r>
    </w:p>
    <w:p w14:paraId="0E388F13" w14:textId="77777777" w:rsidR="008B38FD" w:rsidRPr="008840A6" w:rsidRDefault="008B38FD" w:rsidP="00635EAB">
      <w:pPr>
        <w:pStyle w:val="ListParagraph"/>
        <w:spacing w:line="480" w:lineRule="auto"/>
        <w:rPr>
          <w:rFonts w:ascii="Arial" w:hAnsi="Arial" w:cs="Arial"/>
        </w:rPr>
      </w:pPr>
    </w:p>
    <w:p w14:paraId="2AD58BE5" w14:textId="77777777" w:rsidR="00C22E77" w:rsidRPr="008840A6" w:rsidRDefault="00C22E77" w:rsidP="00C22E77">
      <w:pPr>
        <w:rPr>
          <w:rFonts w:ascii="Arial" w:hAnsi="Arial" w:cs="Arial"/>
        </w:rPr>
      </w:pPr>
    </w:p>
    <w:p w14:paraId="5D648850" w14:textId="77777777" w:rsidR="00C22E77" w:rsidRPr="008840A6" w:rsidRDefault="00C22E77" w:rsidP="00C22E77">
      <w:pPr>
        <w:rPr>
          <w:rFonts w:ascii="Arial" w:hAnsi="Arial" w:cs="Arial"/>
        </w:rPr>
      </w:pPr>
    </w:p>
    <w:p w14:paraId="74CE40C6" w14:textId="77777777" w:rsidR="00C22E77" w:rsidRPr="008840A6" w:rsidRDefault="00C22E77" w:rsidP="00C22E77">
      <w:pPr>
        <w:rPr>
          <w:rFonts w:ascii="Arial" w:hAnsi="Arial" w:cs="Arial"/>
        </w:rPr>
      </w:pPr>
    </w:p>
    <w:p w14:paraId="2797D25C" w14:textId="77777777" w:rsidR="00C22E77" w:rsidRPr="008840A6" w:rsidRDefault="00C22E77" w:rsidP="00C22E77">
      <w:pPr>
        <w:rPr>
          <w:rFonts w:ascii="Arial" w:hAnsi="Arial" w:cs="Arial"/>
        </w:rPr>
      </w:pPr>
    </w:p>
    <w:p w14:paraId="066DD297" w14:textId="77777777" w:rsidR="00C22E77" w:rsidRPr="008840A6" w:rsidRDefault="00C22E77" w:rsidP="00C22E77">
      <w:pPr>
        <w:rPr>
          <w:rFonts w:ascii="Arial" w:hAnsi="Arial" w:cs="Arial"/>
        </w:rPr>
      </w:pPr>
    </w:p>
    <w:p w14:paraId="3E34A30D" w14:textId="77777777" w:rsidR="008B2244" w:rsidRDefault="008B2244">
      <w:pPr>
        <w:spacing w:after="0" w:line="240" w:lineRule="auto"/>
        <w:rPr>
          <w:rFonts w:ascii="Arial" w:hAnsi="Arial" w:cs="Arial"/>
        </w:rPr>
      </w:pPr>
      <w:r>
        <w:rPr>
          <w:rFonts w:ascii="Arial" w:hAnsi="Arial" w:cs="Arial"/>
        </w:rPr>
        <w:br w:type="page"/>
      </w:r>
    </w:p>
    <w:p w14:paraId="04600C68" w14:textId="77777777" w:rsidR="008B38FD" w:rsidRPr="008840A6" w:rsidRDefault="00C22E77" w:rsidP="002C76CD">
      <w:pPr>
        <w:rPr>
          <w:rFonts w:ascii="Arial" w:hAnsi="Arial" w:cs="Arial"/>
        </w:rPr>
      </w:pPr>
      <w:r w:rsidRPr="008840A6">
        <w:rPr>
          <w:rFonts w:ascii="Arial" w:hAnsi="Arial" w:cs="Arial"/>
        </w:rPr>
        <w:lastRenderedPageBreak/>
        <w:t>ABSTRACT</w:t>
      </w:r>
    </w:p>
    <w:p w14:paraId="73C8ADB9" w14:textId="3DC6A76E" w:rsidR="008B38FD" w:rsidRPr="00252B58" w:rsidRDefault="00144BB6" w:rsidP="002C76CD">
      <w:pPr>
        <w:spacing w:line="480" w:lineRule="auto"/>
        <w:jc w:val="both"/>
        <w:rPr>
          <w:rFonts w:ascii="Arial" w:hAnsi="Arial" w:cs="Arial"/>
          <w:sz w:val="24"/>
          <w:szCs w:val="24"/>
        </w:rPr>
      </w:pPr>
      <w:r w:rsidRPr="00252B58">
        <w:rPr>
          <w:rFonts w:ascii="Arial" w:hAnsi="Arial" w:cs="Arial"/>
          <w:b/>
          <w:sz w:val="24"/>
          <w:szCs w:val="24"/>
        </w:rPr>
        <w:t xml:space="preserve">Background - </w:t>
      </w:r>
      <w:r w:rsidRPr="00252B58">
        <w:rPr>
          <w:rFonts w:ascii="Arial" w:hAnsi="Arial" w:cs="Arial"/>
          <w:sz w:val="24"/>
          <w:szCs w:val="24"/>
        </w:rPr>
        <w:t xml:space="preserve">Inflammatory bowel disease and irritable bowel syndrome may present in a similar manner. Measuring faecal calprotectin concentration is often recommended to rule out </w:t>
      </w:r>
      <w:r w:rsidR="00CD04B2" w:rsidRPr="00252B58">
        <w:rPr>
          <w:rFonts w:ascii="Arial" w:hAnsi="Arial" w:cs="Arial"/>
          <w:sz w:val="24"/>
          <w:szCs w:val="24"/>
        </w:rPr>
        <w:t>inflammatory bowel disease</w:t>
      </w:r>
      <w:r w:rsidRPr="00252B58">
        <w:rPr>
          <w:rFonts w:ascii="Arial" w:hAnsi="Arial" w:cs="Arial"/>
          <w:sz w:val="24"/>
          <w:szCs w:val="24"/>
        </w:rPr>
        <w:t xml:space="preserve">, </w:t>
      </w:r>
      <w:r w:rsidR="00B93F03" w:rsidRPr="00252B58">
        <w:rPr>
          <w:rFonts w:ascii="Arial" w:hAnsi="Arial" w:cs="Arial"/>
          <w:sz w:val="24"/>
          <w:szCs w:val="24"/>
        </w:rPr>
        <w:t>however</w:t>
      </w:r>
      <w:r w:rsidR="00711F46" w:rsidRPr="00252B58">
        <w:rPr>
          <w:rFonts w:ascii="Arial" w:hAnsi="Arial" w:cs="Arial"/>
          <w:sz w:val="24"/>
          <w:szCs w:val="24"/>
        </w:rPr>
        <w:t>,</w:t>
      </w:r>
      <w:r w:rsidR="00B93F03" w:rsidRPr="00252B58">
        <w:rPr>
          <w:rFonts w:ascii="Arial" w:hAnsi="Arial" w:cs="Arial"/>
          <w:sz w:val="24"/>
          <w:szCs w:val="24"/>
        </w:rPr>
        <w:t xml:space="preserve"> </w:t>
      </w:r>
      <w:r w:rsidRPr="00252B58">
        <w:rPr>
          <w:rFonts w:ascii="Arial" w:hAnsi="Arial" w:cs="Arial"/>
          <w:sz w:val="24"/>
          <w:szCs w:val="24"/>
        </w:rPr>
        <w:t>there are no tests to positively diagnose</w:t>
      </w:r>
      <w:r w:rsidR="007E3ABA" w:rsidRPr="00252B58">
        <w:rPr>
          <w:rFonts w:ascii="Arial" w:hAnsi="Arial" w:cs="Arial"/>
          <w:sz w:val="24"/>
          <w:szCs w:val="24"/>
        </w:rPr>
        <w:t xml:space="preserve"> irritable bowel syndrome</w:t>
      </w:r>
      <w:r w:rsidRPr="00252B58">
        <w:rPr>
          <w:rFonts w:ascii="Arial" w:hAnsi="Arial" w:cs="Arial"/>
          <w:sz w:val="24"/>
          <w:szCs w:val="24"/>
        </w:rPr>
        <w:t xml:space="preserve"> and invasive tests are still used to rule out other pathologies. </w:t>
      </w:r>
      <w:r w:rsidR="00E26AC2" w:rsidRPr="00252B58">
        <w:rPr>
          <w:rFonts w:ascii="Arial" w:hAnsi="Arial" w:cs="Arial"/>
          <w:b/>
          <w:sz w:val="24"/>
          <w:szCs w:val="24"/>
        </w:rPr>
        <w:t>Aim</w:t>
      </w:r>
      <w:r w:rsidR="00E26AC2" w:rsidRPr="00252B58">
        <w:rPr>
          <w:rFonts w:ascii="Arial" w:hAnsi="Arial" w:cs="Arial"/>
          <w:sz w:val="24"/>
          <w:szCs w:val="24"/>
        </w:rPr>
        <w:t xml:space="preserve"> </w:t>
      </w:r>
      <w:r w:rsidR="00B30264" w:rsidRPr="00252B58">
        <w:rPr>
          <w:rFonts w:ascii="Arial" w:hAnsi="Arial" w:cs="Arial"/>
          <w:sz w:val="24"/>
          <w:szCs w:val="24"/>
        </w:rPr>
        <w:t>–</w:t>
      </w:r>
      <w:r w:rsidR="00E26AC2" w:rsidRPr="00252B58">
        <w:rPr>
          <w:rFonts w:ascii="Arial" w:hAnsi="Arial" w:cs="Arial"/>
          <w:sz w:val="24"/>
          <w:szCs w:val="24"/>
        </w:rPr>
        <w:t xml:space="preserve"> </w:t>
      </w:r>
      <w:r w:rsidR="00B30264" w:rsidRPr="00252B58">
        <w:rPr>
          <w:rFonts w:ascii="Arial" w:hAnsi="Arial" w:cs="Arial"/>
          <w:sz w:val="24"/>
          <w:szCs w:val="24"/>
        </w:rPr>
        <w:t xml:space="preserve">To investigate </w:t>
      </w:r>
      <w:r w:rsidRPr="00252B58">
        <w:rPr>
          <w:rFonts w:ascii="Arial" w:hAnsi="Arial" w:cs="Arial"/>
          <w:sz w:val="24"/>
          <w:szCs w:val="24"/>
        </w:rPr>
        <w:t xml:space="preserve">a platform </w:t>
      </w:r>
      <w:r w:rsidR="004B497B" w:rsidRPr="00252B58">
        <w:rPr>
          <w:rFonts w:ascii="Arial" w:hAnsi="Arial" w:cs="Arial"/>
          <w:sz w:val="24"/>
          <w:szCs w:val="24"/>
        </w:rPr>
        <w:t xml:space="preserve">technology </w:t>
      </w:r>
      <w:r w:rsidRPr="00252B58">
        <w:rPr>
          <w:rFonts w:ascii="Arial" w:hAnsi="Arial" w:cs="Arial"/>
          <w:sz w:val="24"/>
          <w:szCs w:val="24"/>
        </w:rPr>
        <w:t xml:space="preserve">for diagnosing </w:t>
      </w:r>
      <w:r w:rsidR="008E4F58" w:rsidRPr="00252B58">
        <w:rPr>
          <w:rFonts w:ascii="Arial" w:hAnsi="Arial" w:cs="Arial"/>
          <w:sz w:val="24"/>
          <w:szCs w:val="24"/>
        </w:rPr>
        <w:t xml:space="preserve">inflammatory bowel disease </w:t>
      </w:r>
      <w:r w:rsidRPr="00252B58">
        <w:rPr>
          <w:rFonts w:ascii="Arial" w:hAnsi="Arial" w:cs="Arial"/>
          <w:sz w:val="24"/>
          <w:szCs w:val="24"/>
        </w:rPr>
        <w:t xml:space="preserve">and </w:t>
      </w:r>
      <w:r w:rsidR="007E3ABA" w:rsidRPr="00252B58">
        <w:rPr>
          <w:rFonts w:ascii="Arial" w:hAnsi="Arial" w:cs="Arial"/>
          <w:sz w:val="24"/>
          <w:szCs w:val="24"/>
        </w:rPr>
        <w:t xml:space="preserve">irritable bowel syndrome </w:t>
      </w:r>
      <w:r w:rsidRPr="00252B58">
        <w:rPr>
          <w:rFonts w:ascii="Arial" w:hAnsi="Arial" w:cs="Arial"/>
          <w:sz w:val="24"/>
          <w:szCs w:val="24"/>
        </w:rPr>
        <w:t xml:space="preserve">based on faecal gas. </w:t>
      </w:r>
      <w:r w:rsidRPr="00252B58">
        <w:rPr>
          <w:rFonts w:ascii="Arial" w:hAnsi="Arial" w:cs="Arial"/>
          <w:b/>
          <w:sz w:val="24"/>
          <w:szCs w:val="24"/>
        </w:rPr>
        <w:t xml:space="preserve">Methods - </w:t>
      </w:r>
      <w:r w:rsidRPr="00252B58">
        <w:rPr>
          <w:rFonts w:ascii="Arial" w:hAnsi="Arial" w:cs="Arial"/>
          <w:sz w:val="24"/>
          <w:szCs w:val="24"/>
        </w:rPr>
        <w:t xml:space="preserve">The platform </w:t>
      </w:r>
      <w:r w:rsidR="004B497B" w:rsidRPr="00252B58">
        <w:rPr>
          <w:rFonts w:ascii="Arial" w:hAnsi="Arial" w:cs="Arial"/>
          <w:sz w:val="24"/>
          <w:szCs w:val="24"/>
        </w:rPr>
        <w:t xml:space="preserve">technology </w:t>
      </w:r>
      <w:r w:rsidRPr="00252B58">
        <w:rPr>
          <w:rFonts w:ascii="Arial" w:hAnsi="Arial" w:cs="Arial"/>
          <w:sz w:val="24"/>
          <w:szCs w:val="24"/>
        </w:rPr>
        <w:t xml:space="preserve">is composed of a gas chromatography </w:t>
      </w:r>
      <w:r w:rsidR="00B93F03" w:rsidRPr="00252B58">
        <w:rPr>
          <w:rFonts w:ascii="Arial" w:hAnsi="Arial" w:cs="Arial"/>
          <w:sz w:val="24"/>
          <w:szCs w:val="24"/>
        </w:rPr>
        <w:t xml:space="preserve">column </w:t>
      </w:r>
      <w:r w:rsidRPr="00252B58">
        <w:rPr>
          <w:rFonts w:ascii="Arial" w:hAnsi="Arial" w:cs="Arial"/>
          <w:sz w:val="24"/>
          <w:szCs w:val="24"/>
        </w:rPr>
        <w:t>coupled to a metal oxide gas sensor (OdoReader) and a computer algorithm. The OdoReader separat</w:t>
      </w:r>
      <w:r w:rsidR="00A03AF0" w:rsidRPr="00252B58">
        <w:rPr>
          <w:rFonts w:ascii="Arial" w:hAnsi="Arial" w:cs="Arial"/>
          <w:sz w:val="24"/>
          <w:szCs w:val="24"/>
        </w:rPr>
        <w:t xml:space="preserve">es the volatile compounds </w:t>
      </w:r>
      <w:r w:rsidR="00B30264" w:rsidRPr="00252B58">
        <w:rPr>
          <w:rFonts w:ascii="Arial" w:hAnsi="Arial" w:cs="Arial"/>
          <w:sz w:val="24"/>
          <w:szCs w:val="24"/>
        </w:rPr>
        <w:t>from faecal gas</w:t>
      </w:r>
      <w:r w:rsidRPr="00252B58">
        <w:rPr>
          <w:rFonts w:ascii="Arial" w:hAnsi="Arial" w:cs="Arial"/>
          <w:sz w:val="24"/>
          <w:szCs w:val="24"/>
        </w:rPr>
        <w:t xml:space="preserve"> </w:t>
      </w:r>
      <w:r w:rsidR="00B30264" w:rsidRPr="00252B58">
        <w:rPr>
          <w:rFonts w:ascii="Arial" w:hAnsi="Arial" w:cs="Arial"/>
          <w:sz w:val="24"/>
          <w:szCs w:val="24"/>
        </w:rPr>
        <w:t xml:space="preserve">and </w:t>
      </w:r>
      <w:r w:rsidRPr="00252B58">
        <w:rPr>
          <w:rFonts w:ascii="Arial" w:hAnsi="Arial" w:cs="Arial"/>
          <w:sz w:val="24"/>
          <w:szCs w:val="24"/>
        </w:rPr>
        <w:t>the computer algorithm identifies resistance patterns associated with specific medical conditions and builds classification models. This platform was applied to faecal samples from 152 patients: 33 patients with active</w:t>
      </w:r>
      <w:r w:rsidR="008E4F58" w:rsidRPr="00252B58">
        <w:rPr>
          <w:rFonts w:ascii="Arial" w:hAnsi="Arial" w:cs="Arial"/>
          <w:sz w:val="24"/>
          <w:szCs w:val="24"/>
        </w:rPr>
        <w:t xml:space="preserve"> inflammatory bowel disease</w:t>
      </w:r>
      <w:r w:rsidRPr="00252B58">
        <w:rPr>
          <w:rFonts w:ascii="Arial" w:hAnsi="Arial" w:cs="Arial"/>
          <w:sz w:val="24"/>
          <w:szCs w:val="24"/>
        </w:rPr>
        <w:t>; 50 patients with inactive</w:t>
      </w:r>
      <w:r w:rsidR="008E4F58" w:rsidRPr="00252B58">
        <w:rPr>
          <w:rFonts w:ascii="Arial" w:hAnsi="Arial" w:cs="Arial"/>
          <w:sz w:val="24"/>
          <w:szCs w:val="24"/>
        </w:rPr>
        <w:t xml:space="preserve"> inflammatory bowel disease</w:t>
      </w:r>
      <w:r w:rsidRPr="00252B58">
        <w:rPr>
          <w:rFonts w:ascii="Arial" w:hAnsi="Arial" w:cs="Arial"/>
          <w:sz w:val="24"/>
          <w:szCs w:val="24"/>
        </w:rPr>
        <w:t>; 28 patients with</w:t>
      </w:r>
      <w:r w:rsidR="007E3ABA" w:rsidRPr="00252B58">
        <w:rPr>
          <w:rFonts w:ascii="Arial" w:hAnsi="Arial" w:cs="Arial"/>
          <w:sz w:val="24"/>
          <w:szCs w:val="24"/>
        </w:rPr>
        <w:t xml:space="preserve"> irritable bowel syndrome</w:t>
      </w:r>
      <w:r w:rsidRPr="00252B58">
        <w:rPr>
          <w:rFonts w:ascii="Arial" w:hAnsi="Arial" w:cs="Arial"/>
          <w:sz w:val="24"/>
          <w:szCs w:val="24"/>
        </w:rPr>
        <w:t xml:space="preserve">; and 41 healthy donors (Control). </w:t>
      </w:r>
      <w:r w:rsidRPr="00252B58">
        <w:rPr>
          <w:rFonts w:ascii="Arial" w:hAnsi="Arial" w:cs="Arial"/>
          <w:b/>
          <w:sz w:val="24"/>
          <w:szCs w:val="24"/>
        </w:rPr>
        <w:t xml:space="preserve">Results - </w:t>
      </w:r>
      <w:r w:rsidRPr="00252B58">
        <w:rPr>
          <w:rFonts w:ascii="Arial" w:hAnsi="Arial" w:cs="Arial"/>
          <w:sz w:val="24"/>
          <w:szCs w:val="24"/>
        </w:rPr>
        <w:t xml:space="preserve">The platform classified samples with accuracies from </w:t>
      </w:r>
      <w:r w:rsidR="008E153A" w:rsidRPr="00252B58">
        <w:rPr>
          <w:rFonts w:ascii="Arial" w:hAnsi="Arial" w:cs="Arial"/>
          <w:sz w:val="24"/>
          <w:szCs w:val="24"/>
        </w:rPr>
        <w:t>75</w:t>
      </w:r>
      <w:r w:rsidRPr="00252B58">
        <w:rPr>
          <w:rFonts w:ascii="Arial" w:hAnsi="Arial" w:cs="Arial"/>
          <w:sz w:val="24"/>
          <w:szCs w:val="24"/>
        </w:rPr>
        <w:t xml:space="preserve"> to 100% using rigorous validation schemes namely </w:t>
      </w:r>
      <w:r w:rsidR="000311A6" w:rsidRPr="00252B58">
        <w:rPr>
          <w:rFonts w:ascii="Arial" w:hAnsi="Arial" w:cs="Arial"/>
          <w:sz w:val="24"/>
          <w:szCs w:val="24"/>
        </w:rPr>
        <w:t>l</w:t>
      </w:r>
      <w:r w:rsidRPr="00252B58">
        <w:rPr>
          <w:rFonts w:ascii="Arial" w:hAnsi="Arial" w:cs="Arial"/>
          <w:sz w:val="24"/>
          <w:szCs w:val="24"/>
        </w:rPr>
        <w:t>eave-one-out cross validation, 10-</w:t>
      </w:r>
      <w:r w:rsidR="000311A6" w:rsidRPr="00252B58">
        <w:rPr>
          <w:rFonts w:ascii="Arial" w:hAnsi="Arial" w:cs="Arial"/>
          <w:sz w:val="24"/>
          <w:szCs w:val="24"/>
        </w:rPr>
        <w:t>fold cross validation</w:t>
      </w:r>
      <w:r w:rsidRPr="00252B58">
        <w:rPr>
          <w:rFonts w:ascii="Arial" w:hAnsi="Arial" w:cs="Arial"/>
          <w:sz w:val="24"/>
          <w:szCs w:val="24"/>
        </w:rPr>
        <w:t xml:space="preserve">, </w:t>
      </w:r>
      <w:r w:rsidR="000311A6" w:rsidRPr="00252B58">
        <w:rPr>
          <w:rFonts w:ascii="Arial" w:hAnsi="Arial" w:cs="Arial"/>
          <w:sz w:val="24"/>
          <w:szCs w:val="24"/>
        </w:rPr>
        <w:t>double-c</w:t>
      </w:r>
      <w:r w:rsidRPr="00252B58">
        <w:rPr>
          <w:rFonts w:ascii="Arial" w:hAnsi="Arial" w:cs="Arial"/>
          <w:sz w:val="24"/>
          <w:szCs w:val="24"/>
        </w:rPr>
        <w:t xml:space="preserve">ross </w:t>
      </w:r>
      <w:r w:rsidR="004B497B" w:rsidRPr="00252B58">
        <w:rPr>
          <w:rFonts w:ascii="Arial" w:hAnsi="Arial" w:cs="Arial"/>
          <w:sz w:val="24"/>
          <w:szCs w:val="24"/>
        </w:rPr>
        <w:t xml:space="preserve">validation </w:t>
      </w:r>
      <w:r w:rsidRPr="00252B58">
        <w:rPr>
          <w:rFonts w:ascii="Arial" w:hAnsi="Arial" w:cs="Arial"/>
          <w:sz w:val="24"/>
          <w:szCs w:val="24"/>
        </w:rPr>
        <w:t>and their Monte Carlo variations. The most clinically important findings, after double</w:t>
      </w:r>
      <w:r w:rsidR="004B497B" w:rsidRPr="00252B58">
        <w:rPr>
          <w:rFonts w:ascii="Arial" w:hAnsi="Arial" w:cs="Arial"/>
          <w:sz w:val="24"/>
          <w:szCs w:val="24"/>
        </w:rPr>
        <w:t>-</w:t>
      </w:r>
      <w:r w:rsidRPr="00252B58">
        <w:rPr>
          <w:rFonts w:ascii="Arial" w:hAnsi="Arial" w:cs="Arial"/>
          <w:sz w:val="24"/>
          <w:szCs w:val="24"/>
        </w:rPr>
        <w:t xml:space="preserve">cross validation, were the accuracy of active Crohn’s disease vs. </w:t>
      </w:r>
      <w:r w:rsidR="007E3ABA" w:rsidRPr="00252B58">
        <w:rPr>
          <w:rFonts w:ascii="Arial" w:hAnsi="Arial" w:cs="Arial"/>
          <w:sz w:val="24"/>
          <w:szCs w:val="24"/>
        </w:rPr>
        <w:t xml:space="preserve">irritable bowel syndrome </w:t>
      </w:r>
      <w:r w:rsidRPr="00252B58">
        <w:rPr>
          <w:rFonts w:ascii="Arial" w:hAnsi="Arial" w:cs="Arial"/>
          <w:sz w:val="24"/>
          <w:szCs w:val="24"/>
        </w:rPr>
        <w:t>(</w:t>
      </w:r>
      <w:r w:rsidR="008E153A" w:rsidRPr="00252B58">
        <w:rPr>
          <w:rFonts w:ascii="Arial" w:hAnsi="Arial" w:cs="Arial"/>
          <w:sz w:val="24"/>
          <w:szCs w:val="24"/>
        </w:rPr>
        <w:t>87</w:t>
      </w:r>
      <w:r w:rsidRPr="00252B58">
        <w:rPr>
          <w:rFonts w:ascii="Arial" w:hAnsi="Arial" w:cs="Arial"/>
          <w:sz w:val="24"/>
          <w:szCs w:val="24"/>
        </w:rPr>
        <w:t>%</w:t>
      </w:r>
      <w:r w:rsidR="007472DF" w:rsidRPr="00252B58">
        <w:rPr>
          <w:rFonts w:ascii="Arial" w:hAnsi="Arial" w:cs="Arial"/>
          <w:sz w:val="24"/>
          <w:szCs w:val="24"/>
        </w:rPr>
        <w:t xml:space="preserve">; C.I. </w:t>
      </w:r>
      <w:r w:rsidR="008E153A" w:rsidRPr="00252B58">
        <w:rPr>
          <w:rFonts w:ascii="Arial" w:hAnsi="Arial" w:cs="Arial"/>
          <w:sz w:val="24"/>
          <w:szCs w:val="24"/>
        </w:rPr>
        <w:t>84</w:t>
      </w:r>
      <w:r w:rsidR="007472DF" w:rsidRPr="00252B58">
        <w:rPr>
          <w:rFonts w:ascii="Arial" w:hAnsi="Arial" w:cs="Arial"/>
          <w:sz w:val="24"/>
          <w:szCs w:val="24"/>
        </w:rPr>
        <w:t>-</w:t>
      </w:r>
      <w:r w:rsidR="008E153A" w:rsidRPr="00252B58">
        <w:rPr>
          <w:rFonts w:ascii="Arial" w:hAnsi="Arial" w:cs="Arial"/>
          <w:sz w:val="24"/>
          <w:szCs w:val="24"/>
        </w:rPr>
        <w:t>89</w:t>
      </w:r>
      <w:r w:rsidR="007472DF" w:rsidRPr="00252B58">
        <w:rPr>
          <w:rFonts w:ascii="Arial" w:hAnsi="Arial" w:cs="Arial"/>
          <w:sz w:val="24"/>
          <w:szCs w:val="24"/>
        </w:rPr>
        <w:t>%</w:t>
      </w:r>
      <w:r w:rsidRPr="00252B58">
        <w:rPr>
          <w:rFonts w:ascii="Arial" w:hAnsi="Arial" w:cs="Arial"/>
          <w:sz w:val="24"/>
          <w:szCs w:val="24"/>
        </w:rPr>
        <w:t xml:space="preserve">) and </w:t>
      </w:r>
      <w:r w:rsidR="007E3ABA" w:rsidRPr="00252B58">
        <w:rPr>
          <w:rFonts w:ascii="Arial" w:hAnsi="Arial" w:cs="Arial"/>
          <w:sz w:val="24"/>
          <w:szCs w:val="24"/>
        </w:rPr>
        <w:t xml:space="preserve">irritable bowel syndrome </w:t>
      </w:r>
      <w:r w:rsidRPr="00252B58">
        <w:rPr>
          <w:rFonts w:ascii="Arial" w:hAnsi="Arial" w:cs="Arial"/>
          <w:sz w:val="24"/>
          <w:szCs w:val="24"/>
        </w:rPr>
        <w:t>vs. controls (</w:t>
      </w:r>
      <w:r w:rsidR="00D54FB5" w:rsidRPr="00252B58">
        <w:rPr>
          <w:rFonts w:ascii="Arial" w:hAnsi="Arial" w:cs="Arial"/>
          <w:sz w:val="24"/>
          <w:szCs w:val="24"/>
        </w:rPr>
        <w:t>78</w:t>
      </w:r>
      <w:r w:rsidRPr="00252B58">
        <w:rPr>
          <w:rFonts w:ascii="Arial" w:hAnsi="Arial" w:cs="Arial"/>
          <w:sz w:val="24"/>
          <w:szCs w:val="24"/>
        </w:rPr>
        <w:t>%</w:t>
      </w:r>
      <w:r w:rsidR="007472DF" w:rsidRPr="00252B58">
        <w:rPr>
          <w:rFonts w:ascii="Arial" w:hAnsi="Arial" w:cs="Arial"/>
          <w:sz w:val="24"/>
          <w:szCs w:val="24"/>
        </w:rPr>
        <w:t xml:space="preserve">; C.I. </w:t>
      </w:r>
      <w:r w:rsidR="008E153A" w:rsidRPr="00252B58">
        <w:rPr>
          <w:rFonts w:ascii="Arial" w:hAnsi="Arial" w:cs="Arial"/>
          <w:sz w:val="24"/>
          <w:szCs w:val="24"/>
        </w:rPr>
        <w:t>76</w:t>
      </w:r>
      <w:r w:rsidR="007472DF" w:rsidRPr="00252B58">
        <w:rPr>
          <w:rFonts w:ascii="Arial" w:hAnsi="Arial" w:cs="Arial"/>
          <w:sz w:val="24"/>
          <w:szCs w:val="24"/>
        </w:rPr>
        <w:t>-</w:t>
      </w:r>
      <w:r w:rsidR="008E153A" w:rsidRPr="00252B58">
        <w:rPr>
          <w:rFonts w:ascii="Arial" w:hAnsi="Arial" w:cs="Arial"/>
          <w:sz w:val="24"/>
          <w:szCs w:val="24"/>
        </w:rPr>
        <w:t>80</w:t>
      </w:r>
      <w:r w:rsidR="007472DF" w:rsidRPr="00252B58">
        <w:rPr>
          <w:rFonts w:ascii="Arial" w:hAnsi="Arial" w:cs="Arial"/>
          <w:sz w:val="24"/>
          <w:szCs w:val="24"/>
        </w:rPr>
        <w:t>%</w:t>
      </w:r>
      <w:r w:rsidRPr="00252B58">
        <w:rPr>
          <w:rFonts w:ascii="Arial" w:hAnsi="Arial" w:cs="Arial"/>
          <w:sz w:val="24"/>
          <w:szCs w:val="24"/>
        </w:rPr>
        <w:t xml:space="preserve">). These schemes provide an estimate of out-of-sample predictive accuracy for similar populations. </w:t>
      </w:r>
      <w:r w:rsidRPr="00252B58">
        <w:rPr>
          <w:rFonts w:ascii="Arial" w:hAnsi="Arial" w:cs="Arial"/>
          <w:b/>
          <w:sz w:val="24"/>
          <w:szCs w:val="24"/>
        </w:rPr>
        <w:t xml:space="preserve">Conclusions - </w:t>
      </w:r>
      <w:r w:rsidRPr="00252B58">
        <w:rPr>
          <w:rFonts w:ascii="Arial" w:hAnsi="Arial" w:cs="Arial"/>
          <w:sz w:val="24"/>
          <w:szCs w:val="24"/>
        </w:rPr>
        <w:t xml:space="preserve">This is the first description of an investigation for the positive diagnosis of </w:t>
      </w:r>
      <w:r w:rsidR="007E3ABA" w:rsidRPr="00252B58">
        <w:rPr>
          <w:rFonts w:ascii="Arial" w:hAnsi="Arial" w:cs="Arial"/>
          <w:sz w:val="24"/>
          <w:szCs w:val="24"/>
        </w:rPr>
        <w:t xml:space="preserve">irritable bowel syndrome </w:t>
      </w:r>
      <w:r w:rsidR="00B93F03" w:rsidRPr="00252B58">
        <w:rPr>
          <w:rFonts w:ascii="Arial" w:hAnsi="Arial" w:cs="Arial"/>
          <w:sz w:val="24"/>
          <w:szCs w:val="24"/>
        </w:rPr>
        <w:t>and diagnosing</w:t>
      </w:r>
      <w:r w:rsidR="008E4F58" w:rsidRPr="00252B58">
        <w:rPr>
          <w:rFonts w:ascii="Arial" w:hAnsi="Arial" w:cs="Arial"/>
          <w:sz w:val="24"/>
          <w:szCs w:val="24"/>
        </w:rPr>
        <w:t xml:space="preserve"> inflammatory bowel disease</w:t>
      </w:r>
      <w:r w:rsidR="008B2244" w:rsidRPr="00252B58">
        <w:rPr>
          <w:rFonts w:ascii="Arial" w:hAnsi="Arial" w:cs="Arial"/>
          <w:sz w:val="24"/>
          <w:szCs w:val="24"/>
        </w:rPr>
        <w:t>.</w:t>
      </w:r>
    </w:p>
    <w:p w14:paraId="74BD7808" w14:textId="77777777" w:rsidR="008B38FD" w:rsidRPr="00EA0150" w:rsidRDefault="008B38FD" w:rsidP="002C76CD">
      <w:pPr>
        <w:spacing w:line="480" w:lineRule="auto"/>
        <w:jc w:val="both"/>
        <w:rPr>
          <w:rFonts w:ascii="Arial" w:hAnsi="Arial" w:cs="Arial"/>
          <w:b/>
          <w:sz w:val="24"/>
          <w:szCs w:val="24"/>
        </w:rPr>
      </w:pPr>
      <w:r w:rsidRPr="00EA0150">
        <w:rPr>
          <w:rFonts w:ascii="Arial" w:hAnsi="Arial" w:cs="Arial"/>
          <w:b/>
          <w:sz w:val="24"/>
          <w:szCs w:val="24"/>
        </w:rPr>
        <w:lastRenderedPageBreak/>
        <w:t>Keywords</w:t>
      </w:r>
    </w:p>
    <w:p w14:paraId="23B2C56B" w14:textId="77777777" w:rsidR="008B38FD" w:rsidRPr="008840A6" w:rsidRDefault="008B38FD" w:rsidP="002C76CD">
      <w:pPr>
        <w:spacing w:line="480" w:lineRule="auto"/>
        <w:rPr>
          <w:rFonts w:ascii="Arial" w:hAnsi="Arial" w:cs="Arial"/>
          <w:sz w:val="24"/>
          <w:szCs w:val="24"/>
        </w:rPr>
      </w:pPr>
      <w:r w:rsidRPr="008840A6">
        <w:rPr>
          <w:rFonts w:ascii="Arial" w:hAnsi="Arial" w:cs="Arial"/>
          <w:sz w:val="24"/>
          <w:szCs w:val="24"/>
        </w:rPr>
        <w:t>Inflammatory bowel disease; Irritable bowel syndrome; volatile compounds.</w:t>
      </w:r>
    </w:p>
    <w:p w14:paraId="1C4C4CC0" w14:textId="77777777" w:rsidR="002308E1" w:rsidRDefault="002308E1">
      <w:pPr>
        <w:spacing w:after="0" w:line="240" w:lineRule="auto"/>
        <w:rPr>
          <w:rFonts w:ascii="Arial" w:hAnsi="Arial" w:cs="Arial"/>
          <w:sz w:val="24"/>
          <w:szCs w:val="24"/>
        </w:rPr>
      </w:pPr>
      <w:r>
        <w:rPr>
          <w:rFonts w:ascii="Arial" w:hAnsi="Arial" w:cs="Arial"/>
          <w:sz w:val="24"/>
          <w:szCs w:val="24"/>
        </w:rPr>
        <w:br w:type="page"/>
      </w:r>
    </w:p>
    <w:p w14:paraId="3629220A" w14:textId="77777777" w:rsidR="008B38FD" w:rsidRPr="00252B58" w:rsidRDefault="008B38FD" w:rsidP="002C76CD">
      <w:pPr>
        <w:rPr>
          <w:rFonts w:ascii="Arial" w:hAnsi="Arial" w:cs="Arial"/>
          <w:sz w:val="24"/>
          <w:szCs w:val="24"/>
        </w:rPr>
      </w:pPr>
      <w:r w:rsidRPr="00252B58">
        <w:rPr>
          <w:rFonts w:ascii="Arial" w:hAnsi="Arial" w:cs="Arial"/>
          <w:sz w:val="24"/>
          <w:szCs w:val="24"/>
        </w:rPr>
        <w:lastRenderedPageBreak/>
        <w:t>1 - Introduction</w:t>
      </w:r>
    </w:p>
    <w:p w14:paraId="630BADA0" w14:textId="77777777" w:rsidR="008B38FD" w:rsidRPr="00252B58" w:rsidRDefault="008B38FD" w:rsidP="002C76CD">
      <w:pPr>
        <w:spacing w:line="480" w:lineRule="auto"/>
        <w:jc w:val="both"/>
        <w:rPr>
          <w:rFonts w:ascii="Arial" w:hAnsi="Arial" w:cs="Arial"/>
          <w:sz w:val="24"/>
          <w:szCs w:val="24"/>
        </w:rPr>
      </w:pPr>
      <w:r w:rsidRPr="00252B58">
        <w:rPr>
          <w:rFonts w:ascii="Arial" w:hAnsi="Arial" w:cs="Arial"/>
          <w:sz w:val="24"/>
          <w:szCs w:val="24"/>
        </w:rPr>
        <w:t>Irritable bowel syndrome is a chronic relapsing gastrointestinal disorder characterised by abdominal pain, bloating and a change in bowel habit</w:t>
      </w:r>
      <w:r w:rsidR="00B64474" w:rsidRPr="00252B58">
        <w:rPr>
          <w:rFonts w:ascii="Arial" w:hAnsi="Arial" w:cs="Arial"/>
          <w:sz w:val="24"/>
          <w:szCs w:val="24"/>
          <w:vertAlign w:val="superscript"/>
        </w:rPr>
        <w:t>1</w:t>
      </w:r>
      <w:r w:rsidRPr="00252B58">
        <w:rPr>
          <w:rFonts w:ascii="Arial" w:hAnsi="Arial" w:cs="Arial"/>
          <w:sz w:val="24"/>
          <w:szCs w:val="24"/>
        </w:rPr>
        <w:t xml:space="preserve">. The disorder can be diagnosed on the symptoms alone, especially in younger patients and those with a long history. At present, the preferred means of diagnosing </w:t>
      </w:r>
      <w:r w:rsidR="007E3ABA" w:rsidRPr="00252B58">
        <w:rPr>
          <w:rFonts w:ascii="Arial" w:hAnsi="Arial" w:cs="Arial"/>
          <w:sz w:val="24"/>
          <w:szCs w:val="24"/>
        </w:rPr>
        <w:t xml:space="preserve">irritable bowel syndrome </w:t>
      </w:r>
      <w:r w:rsidRPr="00252B58">
        <w:rPr>
          <w:rFonts w:ascii="Arial" w:hAnsi="Arial" w:cs="Arial"/>
          <w:sz w:val="24"/>
          <w:szCs w:val="24"/>
        </w:rPr>
        <w:t>is the application of the Rome criteria</w:t>
      </w:r>
      <w:r w:rsidR="00DD14F2" w:rsidRPr="00252B58">
        <w:rPr>
          <w:rFonts w:ascii="Arial" w:hAnsi="Arial" w:cs="Arial"/>
          <w:sz w:val="24"/>
          <w:szCs w:val="24"/>
          <w:vertAlign w:val="superscript"/>
        </w:rPr>
        <w:t>2</w:t>
      </w:r>
      <w:r w:rsidRPr="00252B58">
        <w:rPr>
          <w:rFonts w:ascii="Arial" w:hAnsi="Arial" w:cs="Arial"/>
          <w:sz w:val="24"/>
          <w:szCs w:val="24"/>
        </w:rPr>
        <w:t>. However, despite the recommendations of the American College of Gastroenterology</w:t>
      </w:r>
      <w:r w:rsidR="0058623B" w:rsidRPr="00252B58">
        <w:rPr>
          <w:rFonts w:ascii="Arial" w:hAnsi="Arial" w:cs="Arial"/>
          <w:sz w:val="24"/>
          <w:szCs w:val="24"/>
          <w:vertAlign w:val="superscript"/>
        </w:rPr>
        <w:t>3</w:t>
      </w:r>
      <w:r w:rsidRPr="00252B58">
        <w:rPr>
          <w:rFonts w:ascii="Arial" w:hAnsi="Arial" w:cs="Arial"/>
          <w:sz w:val="24"/>
          <w:szCs w:val="24"/>
        </w:rPr>
        <w:t xml:space="preserve"> and the British Society of Gastroenterology</w:t>
      </w:r>
      <w:r w:rsidR="004E3A1E" w:rsidRPr="00252B58">
        <w:rPr>
          <w:rFonts w:ascii="Arial" w:hAnsi="Arial" w:cs="Arial"/>
          <w:sz w:val="24"/>
          <w:szCs w:val="24"/>
          <w:vertAlign w:val="superscript"/>
        </w:rPr>
        <w:t>1</w:t>
      </w:r>
      <w:r w:rsidRPr="00252B58">
        <w:rPr>
          <w:rFonts w:ascii="Arial" w:hAnsi="Arial" w:cs="Arial"/>
          <w:sz w:val="24"/>
          <w:szCs w:val="24"/>
        </w:rPr>
        <w:t xml:space="preserve">, many clinicians still view </w:t>
      </w:r>
      <w:r w:rsidR="007E3ABA" w:rsidRPr="00252B58">
        <w:rPr>
          <w:rFonts w:ascii="Arial" w:hAnsi="Arial" w:cs="Arial"/>
          <w:sz w:val="24"/>
          <w:szCs w:val="24"/>
        </w:rPr>
        <w:t xml:space="preserve">irritable bowel syndrome </w:t>
      </w:r>
      <w:r w:rsidRPr="00252B58">
        <w:rPr>
          <w:rFonts w:ascii="Arial" w:hAnsi="Arial" w:cs="Arial"/>
          <w:sz w:val="24"/>
          <w:szCs w:val="24"/>
        </w:rPr>
        <w:t>as a diagnosis of exclusion and perform numerous investigations to rule out organic diseases</w:t>
      </w:r>
      <w:r w:rsidR="0058623B" w:rsidRPr="00252B58">
        <w:rPr>
          <w:rFonts w:ascii="Arial" w:hAnsi="Arial" w:cs="Arial"/>
          <w:sz w:val="24"/>
          <w:szCs w:val="24"/>
          <w:vertAlign w:val="superscript"/>
        </w:rPr>
        <w:t>4</w:t>
      </w:r>
      <w:r w:rsidRPr="00252B58">
        <w:rPr>
          <w:rFonts w:ascii="Arial" w:hAnsi="Arial" w:cs="Arial"/>
          <w:sz w:val="24"/>
          <w:szCs w:val="24"/>
        </w:rPr>
        <w:t xml:space="preserve">. </w:t>
      </w:r>
    </w:p>
    <w:p w14:paraId="5210C4B7" w14:textId="77777777" w:rsidR="008B38FD" w:rsidRPr="00252B58" w:rsidRDefault="008B38FD" w:rsidP="002C76CD">
      <w:pPr>
        <w:spacing w:line="480" w:lineRule="auto"/>
        <w:jc w:val="both"/>
        <w:rPr>
          <w:rFonts w:ascii="Arial" w:hAnsi="Arial" w:cs="Arial"/>
          <w:sz w:val="24"/>
          <w:szCs w:val="24"/>
        </w:rPr>
      </w:pPr>
      <w:r w:rsidRPr="00252B58">
        <w:rPr>
          <w:rFonts w:ascii="Arial" w:hAnsi="Arial" w:cs="Arial"/>
          <w:sz w:val="24"/>
          <w:szCs w:val="24"/>
        </w:rPr>
        <w:t xml:space="preserve">Inflammatory bowel disease, ulcerative colitis and Crohn’s disease, are also chronic relapsing gastrointestinal disorders and their symptoms may resemble </w:t>
      </w:r>
      <w:r w:rsidR="007E3ABA" w:rsidRPr="00252B58">
        <w:rPr>
          <w:rFonts w:ascii="Arial" w:hAnsi="Arial" w:cs="Arial"/>
          <w:sz w:val="24"/>
          <w:szCs w:val="24"/>
        </w:rPr>
        <w:t>irritable bowel syndrome</w:t>
      </w:r>
      <w:r w:rsidRPr="00252B58">
        <w:rPr>
          <w:rFonts w:ascii="Arial" w:hAnsi="Arial" w:cs="Arial"/>
          <w:sz w:val="24"/>
          <w:szCs w:val="24"/>
        </w:rPr>
        <w:t>. The use of faecal calprotectin in primary care is being promoted to a</w:t>
      </w:r>
      <w:r w:rsidR="00B30264" w:rsidRPr="00252B58">
        <w:rPr>
          <w:rFonts w:ascii="Arial" w:hAnsi="Arial" w:cs="Arial"/>
          <w:sz w:val="24"/>
          <w:szCs w:val="24"/>
        </w:rPr>
        <w:t>id referral to secondary care for</w:t>
      </w:r>
      <w:r w:rsidRPr="00252B58">
        <w:rPr>
          <w:rFonts w:ascii="Arial" w:hAnsi="Arial" w:cs="Arial"/>
          <w:sz w:val="24"/>
          <w:szCs w:val="24"/>
        </w:rPr>
        <w:t xml:space="preserve"> patients suspected to have</w:t>
      </w:r>
      <w:r w:rsidR="008E4F58" w:rsidRPr="00252B58">
        <w:rPr>
          <w:rFonts w:ascii="Arial" w:hAnsi="Arial" w:cs="Arial"/>
          <w:sz w:val="24"/>
          <w:szCs w:val="24"/>
        </w:rPr>
        <w:t xml:space="preserve"> inflammatory bowel disease</w:t>
      </w:r>
      <w:r w:rsidRPr="00252B58">
        <w:rPr>
          <w:rFonts w:ascii="Arial" w:hAnsi="Arial" w:cs="Arial"/>
          <w:sz w:val="24"/>
          <w:szCs w:val="24"/>
        </w:rPr>
        <w:t xml:space="preserve">. In essence, the calprotectin test is being used to rule out organic diseases in the hope that the primary care physicians will manage patients with </w:t>
      </w:r>
      <w:r w:rsidR="007E3ABA" w:rsidRPr="00252B58">
        <w:rPr>
          <w:rFonts w:ascii="Arial" w:hAnsi="Arial" w:cs="Arial"/>
          <w:sz w:val="24"/>
          <w:szCs w:val="24"/>
        </w:rPr>
        <w:t>irritable bowel syndrome</w:t>
      </w:r>
      <w:r w:rsidRPr="00252B58">
        <w:rPr>
          <w:rFonts w:ascii="Arial" w:hAnsi="Arial" w:cs="Arial"/>
          <w:sz w:val="24"/>
          <w:szCs w:val="24"/>
        </w:rPr>
        <w:t xml:space="preserve">. </w:t>
      </w:r>
      <w:r w:rsidR="007E3ABA" w:rsidRPr="00252B58">
        <w:rPr>
          <w:rFonts w:ascii="Arial" w:hAnsi="Arial" w:cs="Arial"/>
          <w:sz w:val="24"/>
          <w:szCs w:val="24"/>
        </w:rPr>
        <w:t xml:space="preserve">Irritable bowel syndrome </w:t>
      </w:r>
      <w:r w:rsidRPr="00252B58">
        <w:rPr>
          <w:rFonts w:ascii="Arial" w:hAnsi="Arial" w:cs="Arial"/>
          <w:sz w:val="24"/>
          <w:szCs w:val="24"/>
        </w:rPr>
        <w:t xml:space="preserve">is more common than </w:t>
      </w:r>
      <w:r w:rsidR="008E4F58" w:rsidRPr="00252B58">
        <w:rPr>
          <w:rFonts w:ascii="Arial" w:hAnsi="Arial" w:cs="Arial"/>
          <w:sz w:val="24"/>
          <w:szCs w:val="24"/>
        </w:rPr>
        <w:t xml:space="preserve">inflammatory bowel disease </w:t>
      </w:r>
      <w:r w:rsidRPr="00252B58">
        <w:rPr>
          <w:rFonts w:ascii="Arial" w:hAnsi="Arial" w:cs="Arial"/>
          <w:sz w:val="24"/>
          <w:szCs w:val="24"/>
        </w:rPr>
        <w:t>and it is not surpris</w:t>
      </w:r>
      <w:r w:rsidR="00B30264" w:rsidRPr="00252B58">
        <w:rPr>
          <w:rFonts w:ascii="Arial" w:hAnsi="Arial" w:cs="Arial"/>
          <w:sz w:val="24"/>
          <w:szCs w:val="24"/>
        </w:rPr>
        <w:t>ing that some patients develop</w:t>
      </w:r>
      <w:r w:rsidRPr="00252B58">
        <w:rPr>
          <w:rFonts w:ascii="Arial" w:hAnsi="Arial" w:cs="Arial"/>
          <w:sz w:val="24"/>
          <w:szCs w:val="24"/>
        </w:rPr>
        <w:t xml:space="preserve"> </w:t>
      </w:r>
      <w:r w:rsidR="007E3ABA" w:rsidRPr="00252B58">
        <w:rPr>
          <w:rFonts w:ascii="Arial" w:hAnsi="Arial" w:cs="Arial"/>
          <w:sz w:val="24"/>
          <w:szCs w:val="24"/>
        </w:rPr>
        <w:t xml:space="preserve">irritable bowel syndrome </w:t>
      </w:r>
      <w:r w:rsidR="00B30264" w:rsidRPr="00252B58">
        <w:rPr>
          <w:rFonts w:ascii="Arial" w:hAnsi="Arial" w:cs="Arial"/>
          <w:sz w:val="24"/>
          <w:szCs w:val="24"/>
        </w:rPr>
        <w:t xml:space="preserve">before their </w:t>
      </w:r>
      <w:r w:rsidR="008E4F58" w:rsidRPr="00252B58">
        <w:rPr>
          <w:rFonts w:ascii="Arial" w:hAnsi="Arial" w:cs="Arial"/>
          <w:sz w:val="24"/>
          <w:szCs w:val="24"/>
        </w:rPr>
        <w:t xml:space="preserve">inflammatory bowel disease </w:t>
      </w:r>
      <w:r w:rsidR="00B30264" w:rsidRPr="00252B58">
        <w:rPr>
          <w:rFonts w:ascii="Arial" w:hAnsi="Arial" w:cs="Arial"/>
          <w:sz w:val="24"/>
          <w:szCs w:val="24"/>
        </w:rPr>
        <w:t>i</w:t>
      </w:r>
      <w:r w:rsidRPr="00252B58">
        <w:rPr>
          <w:rFonts w:ascii="Arial" w:hAnsi="Arial" w:cs="Arial"/>
          <w:sz w:val="24"/>
          <w:szCs w:val="24"/>
        </w:rPr>
        <w:t>s discovered</w:t>
      </w:r>
      <w:r w:rsidR="0058623B" w:rsidRPr="00252B58">
        <w:rPr>
          <w:rFonts w:ascii="Arial" w:hAnsi="Arial" w:cs="Arial"/>
          <w:sz w:val="24"/>
          <w:szCs w:val="24"/>
          <w:vertAlign w:val="superscript"/>
        </w:rPr>
        <w:t>5</w:t>
      </w:r>
      <w:r w:rsidRPr="00252B58">
        <w:rPr>
          <w:rFonts w:ascii="Arial" w:hAnsi="Arial" w:cs="Arial"/>
          <w:sz w:val="24"/>
          <w:szCs w:val="24"/>
        </w:rPr>
        <w:t xml:space="preserve">, or that some patients with </w:t>
      </w:r>
      <w:r w:rsidR="008E4F58" w:rsidRPr="00252B58">
        <w:rPr>
          <w:rFonts w:ascii="Arial" w:hAnsi="Arial" w:cs="Arial"/>
          <w:sz w:val="24"/>
          <w:szCs w:val="24"/>
        </w:rPr>
        <w:t xml:space="preserve">inflammatory bowel disease </w:t>
      </w:r>
      <w:r w:rsidRPr="00252B58">
        <w:rPr>
          <w:rFonts w:ascii="Arial" w:hAnsi="Arial" w:cs="Arial"/>
          <w:sz w:val="24"/>
          <w:szCs w:val="24"/>
        </w:rPr>
        <w:t>clearly have a component of</w:t>
      </w:r>
      <w:r w:rsidR="007E3ABA" w:rsidRPr="00252B58">
        <w:rPr>
          <w:rFonts w:ascii="Arial" w:hAnsi="Arial" w:cs="Arial"/>
          <w:sz w:val="24"/>
          <w:szCs w:val="24"/>
        </w:rPr>
        <w:t xml:space="preserve"> irritable bowel syndrome</w:t>
      </w:r>
      <w:r w:rsidRPr="00252B58">
        <w:rPr>
          <w:rFonts w:ascii="Arial" w:hAnsi="Arial" w:cs="Arial"/>
          <w:sz w:val="24"/>
          <w:szCs w:val="24"/>
        </w:rPr>
        <w:t xml:space="preserve"> to account for their symptoms when the </w:t>
      </w:r>
      <w:r w:rsidR="008E4F58" w:rsidRPr="00252B58">
        <w:rPr>
          <w:rFonts w:ascii="Arial" w:hAnsi="Arial" w:cs="Arial"/>
          <w:sz w:val="24"/>
          <w:szCs w:val="24"/>
        </w:rPr>
        <w:t xml:space="preserve">inflammatory bowel disease </w:t>
      </w:r>
      <w:r w:rsidRPr="00252B58">
        <w:rPr>
          <w:rFonts w:ascii="Arial" w:hAnsi="Arial" w:cs="Arial"/>
          <w:sz w:val="24"/>
          <w:szCs w:val="24"/>
        </w:rPr>
        <w:t>is in remission</w:t>
      </w:r>
      <w:r w:rsidR="0058623B" w:rsidRPr="00252B58">
        <w:rPr>
          <w:rFonts w:ascii="Arial" w:hAnsi="Arial" w:cs="Arial"/>
          <w:sz w:val="24"/>
          <w:szCs w:val="24"/>
          <w:vertAlign w:val="superscript"/>
        </w:rPr>
        <w:t>6</w:t>
      </w:r>
      <w:r w:rsidRPr="00252B58">
        <w:rPr>
          <w:rFonts w:ascii="Arial" w:hAnsi="Arial" w:cs="Arial"/>
          <w:sz w:val="24"/>
          <w:szCs w:val="24"/>
        </w:rPr>
        <w:t xml:space="preserve">. </w:t>
      </w:r>
    </w:p>
    <w:p w14:paraId="68578867" w14:textId="77777777" w:rsidR="008B38FD" w:rsidRPr="00252B58" w:rsidRDefault="008B38FD" w:rsidP="002C76CD">
      <w:pPr>
        <w:spacing w:line="480" w:lineRule="auto"/>
        <w:jc w:val="both"/>
        <w:rPr>
          <w:rFonts w:ascii="Arial" w:hAnsi="Arial" w:cs="Arial"/>
          <w:sz w:val="24"/>
          <w:szCs w:val="24"/>
        </w:rPr>
      </w:pPr>
      <w:r w:rsidRPr="00252B58">
        <w:rPr>
          <w:rFonts w:ascii="Arial" w:hAnsi="Arial" w:cs="Arial"/>
          <w:sz w:val="24"/>
          <w:szCs w:val="24"/>
        </w:rPr>
        <w:t>I</w:t>
      </w:r>
      <w:r w:rsidR="007E3ABA" w:rsidRPr="00252B58">
        <w:rPr>
          <w:rFonts w:ascii="Arial" w:hAnsi="Arial" w:cs="Arial"/>
          <w:sz w:val="24"/>
          <w:szCs w:val="24"/>
        </w:rPr>
        <w:t xml:space="preserve">rritable bowel syndrome </w:t>
      </w:r>
      <w:r w:rsidRPr="00252B58">
        <w:rPr>
          <w:rFonts w:ascii="Arial" w:hAnsi="Arial" w:cs="Arial"/>
          <w:sz w:val="24"/>
          <w:szCs w:val="24"/>
        </w:rPr>
        <w:t xml:space="preserve">and </w:t>
      </w:r>
      <w:r w:rsidR="008E4F58" w:rsidRPr="00252B58">
        <w:rPr>
          <w:rFonts w:ascii="Arial" w:hAnsi="Arial" w:cs="Arial"/>
          <w:sz w:val="24"/>
          <w:szCs w:val="24"/>
        </w:rPr>
        <w:t xml:space="preserve">inflammatory bowel disease </w:t>
      </w:r>
      <w:r w:rsidRPr="00252B58">
        <w:rPr>
          <w:rFonts w:ascii="Arial" w:hAnsi="Arial" w:cs="Arial"/>
          <w:sz w:val="24"/>
          <w:szCs w:val="24"/>
        </w:rPr>
        <w:t>may be associated with dysbiosis</w:t>
      </w:r>
      <w:r w:rsidR="0058623B" w:rsidRPr="00252B58">
        <w:rPr>
          <w:rFonts w:ascii="Arial" w:hAnsi="Arial" w:cs="Arial"/>
          <w:sz w:val="24"/>
          <w:szCs w:val="24"/>
          <w:vertAlign w:val="superscript"/>
        </w:rPr>
        <w:t>7</w:t>
      </w:r>
      <w:r w:rsidR="00F14DDE" w:rsidRPr="00252B58">
        <w:rPr>
          <w:rFonts w:ascii="Arial" w:hAnsi="Arial" w:cs="Arial"/>
          <w:sz w:val="24"/>
          <w:szCs w:val="24"/>
          <w:vertAlign w:val="superscript"/>
        </w:rPr>
        <w:t>,</w:t>
      </w:r>
      <w:r w:rsidR="0058623B" w:rsidRPr="00252B58">
        <w:rPr>
          <w:rFonts w:ascii="Arial" w:hAnsi="Arial" w:cs="Arial"/>
          <w:sz w:val="24"/>
          <w:szCs w:val="24"/>
          <w:vertAlign w:val="superscript"/>
        </w:rPr>
        <w:t>8</w:t>
      </w:r>
      <w:r w:rsidR="004B497B" w:rsidRPr="00252B58">
        <w:rPr>
          <w:rFonts w:ascii="Arial" w:hAnsi="Arial" w:cs="Arial"/>
          <w:sz w:val="24"/>
          <w:szCs w:val="24"/>
        </w:rPr>
        <w:t xml:space="preserve"> </w:t>
      </w:r>
      <w:r w:rsidR="009A2087" w:rsidRPr="00252B58">
        <w:rPr>
          <w:rFonts w:ascii="Arial" w:hAnsi="Arial" w:cs="Arial"/>
          <w:sz w:val="24"/>
          <w:szCs w:val="24"/>
        </w:rPr>
        <w:t xml:space="preserve">which </w:t>
      </w:r>
      <w:r w:rsidRPr="00252B58">
        <w:rPr>
          <w:rFonts w:ascii="Arial" w:hAnsi="Arial" w:cs="Arial"/>
          <w:sz w:val="24"/>
          <w:szCs w:val="24"/>
        </w:rPr>
        <w:t>may account for the abnormal odour emitted from the faeces of patients with both</w:t>
      </w:r>
      <w:r w:rsidR="007E3ABA" w:rsidRPr="00252B58">
        <w:rPr>
          <w:rFonts w:ascii="Arial" w:hAnsi="Arial" w:cs="Arial"/>
          <w:sz w:val="24"/>
          <w:szCs w:val="24"/>
        </w:rPr>
        <w:t xml:space="preserve"> irritable bowel syndrome</w:t>
      </w:r>
      <w:r w:rsidRPr="00252B58">
        <w:rPr>
          <w:rFonts w:ascii="Arial" w:hAnsi="Arial" w:cs="Arial"/>
          <w:sz w:val="24"/>
          <w:szCs w:val="24"/>
        </w:rPr>
        <w:t xml:space="preserve"> and </w:t>
      </w:r>
      <w:r w:rsidR="008E4F58" w:rsidRPr="00252B58">
        <w:rPr>
          <w:rFonts w:ascii="Arial" w:hAnsi="Arial" w:cs="Arial"/>
          <w:sz w:val="24"/>
          <w:szCs w:val="24"/>
        </w:rPr>
        <w:t>inflammatory bowel disease</w:t>
      </w:r>
      <w:r w:rsidRPr="00252B58">
        <w:rPr>
          <w:rFonts w:ascii="Arial" w:hAnsi="Arial" w:cs="Arial"/>
          <w:sz w:val="24"/>
          <w:szCs w:val="24"/>
        </w:rPr>
        <w:t xml:space="preserve">. The </w:t>
      </w:r>
      <w:r w:rsidR="004B497B" w:rsidRPr="00252B58">
        <w:rPr>
          <w:rFonts w:ascii="Arial" w:hAnsi="Arial" w:cs="Arial"/>
          <w:sz w:val="24"/>
          <w:szCs w:val="24"/>
        </w:rPr>
        <w:t xml:space="preserve">volatile </w:t>
      </w:r>
      <w:r w:rsidRPr="00252B58">
        <w:rPr>
          <w:rFonts w:ascii="Arial" w:hAnsi="Arial" w:cs="Arial"/>
          <w:sz w:val="24"/>
          <w:szCs w:val="24"/>
        </w:rPr>
        <w:lastRenderedPageBreak/>
        <w:t>chemicals</w:t>
      </w:r>
      <w:r w:rsidR="004B497B" w:rsidRPr="00252B58">
        <w:rPr>
          <w:rFonts w:ascii="Arial" w:hAnsi="Arial" w:cs="Arial"/>
          <w:sz w:val="24"/>
          <w:szCs w:val="24"/>
        </w:rPr>
        <w:t xml:space="preserve"> </w:t>
      </w:r>
      <w:r w:rsidRPr="00252B58">
        <w:rPr>
          <w:rFonts w:ascii="Arial" w:hAnsi="Arial" w:cs="Arial"/>
          <w:sz w:val="24"/>
          <w:szCs w:val="24"/>
        </w:rPr>
        <w:t xml:space="preserve">contributing to faecal odour are </w:t>
      </w:r>
      <w:r w:rsidR="004B497B" w:rsidRPr="00252B58">
        <w:rPr>
          <w:rFonts w:ascii="Arial" w:hAnsi="Arial" w:cs="Arial"/>
          <w:sz w:val="24"/>
          <w:szCs w:val="24"/>
        </w:rPr>
        <w:t xml:space="preserve">mostly products of </w:t>
      </w:r>
      <w:r w:rsidRPr="00252B58">
        <w:rPr>
          <w:rFonts w:ascii="Arial" w:hAnsi="Arial" w:cs="Arial"/>
          <w:sz w:val="24"/>
          <w:szCs w:val="24"/>
        </w:rPr>
        <w:t xml:space="preserve">digestion and fermentation performed by the </w:t>
      </w:r>
      <w:r w:rsidR="000C4EE8" w:rsidRPr="00252B58">
        <w:rPr>
          <w:rFonts w:ascii="Arial" w:hAnsi="Arial" w:cs="Arial"/>
          <w:sz w:val="24"/>
          <w:szCs w:val="24"/>
        </w:rPr>
        <w:t>microbiota</w:t>
      </w:r>
      <w:r w:rsidRPr="00252B58">
        <w:rPr>
          <w:rFonts w:ascii="Arial" w:hAnsi="Arial" w:cs="Arial"/>
          <w:sz w:val="24"/>
          <w:szCs w:val="24"/>
        </w:rPr>
        <w:t xml:space="preserve"> and cells shed into the intestine</w:t>
      </w:r>
      <w:r w:rsidR="0058623B" w:rsidRPr="00252B58">
        <w:rPr>
          <w:rFonts w:ascii="Arial" w:hAnsi="Arial" w:cs="Arial"/>
          <w:sz w:val="24"/>
          <w:szCs w:val="24"/>
          <w:vertAlign w:val="superscript"/>
        </w:rPr>
        <w:t>9</w:t>
      </w:r>
      <w:r w:rsidR="004B497B" w:rsidRPr="00252B58">
        <w:rPr>
          <w:rFonts w:ascii="Arial" w:hAnsi="Arial" w:cs="Arial"/>
          <w:sz w:val="24"/>
          <w:szCs w:val="24"/>
          <w:vertAlign w:val="superscript"/>
        </w:rPr>
        <w:t>,</w:t>
      </w:r>
      <w:r w:rsidR="00F14DDE" w:rsidRPr="00252B58">
        <w:rPr>
          <w:rFonts w:ascii="Arial" w:hAnsi="Arial" w:cs="Arial"/>
          <w:sz w:val="24"/>
          <w:szCs w:val="24"/>
          <w:vertAlign w:val="superscript"/>
        </w:rPr>
        <w:t>1</w:t>
      </w:r>
      <w:r w:rsidR="0058623B" w:rsidRPr="00252B58">
        <w:rPr>
          <w:rFonts w:ascii="Arial" w:hAnsi="Arial" w:cs="Arial"/>
          <w:sz w:val="24"/>
          <w:szCs w:val="24"/>
          <w:vertAlign w:val="superscript"/>
        </w:rPr>
        <w:t>0</w:t>
      </w:r>
      <w:r w:rsidRPr="00252B58">
        <w:rPr>
          <w:rFonts w:ascii="Arial" w:hAnsi="Arial" w:cs="Arial"/>
          <w:sz w:val="24"/>
          <w:szCs w:val="24"/>
        </w:rPr>
        <w:t xml:space="preserve">. </w:t>
      </w:r>
    </w:p>
    <w:p w14:paraId="0118D527" w14:textId="77777777" w:rsidR="008B38FD" w:rsidRPr="00252B58" w:rsidRDefault="008B38FD" w:rsidP="002C76CD">
      <w:pPr>
        <w:spacing w:line="480" w:lineRule="auto"/>
        <w:jc w:val="both"/>
        <w:rPr>
          <w:rFonts w:ascii="Arial" w:hAnsi="Arial" w:cs="Arial"/>
          <w:sz w:val="24"/>
          <w:szCs w:val="24"/>
        </w:rPr>
      </w:pPr>
      <w:r w:rsidRPr="00252B58">
        <w:rPr>
          <w:rFonts w:ascii="Arial" w:hAnsi="Arial" w:cs="Arial"/>
          <w:sz w:val="24"/>
          <w:szCs w:val="24"/>
        </w:rPr>
        <w:t xml:space="preserve">Traditionally, </w:t>
      </w:r>
      <w:r w:rsidR="001D5FE0" w:rsidRPr="00252B58">
        <w:rPr>
          <w:rFonts w:ascii="Arial" w:hAnsi="Arial" w:cs="Arial"/>
          <w:sz w:val="24"/>
          <w:szCs w:val="24"/>
        </w:rPr>
        <w:t xml:space="preserve">volatile chemicals </w:t>
      </w:r>
      <w:r w:rsidRPr="00252B58">
        <w:rPr>
          <w:rFonts w:ascii="Arial" w:hAnsi="Arial" w:cs="Arial"/>
          <w:sz w:val="24"/>
          <w:szCs w:val="24"/>
        </w:rPr>
        <w:t>are char</w:t>
      </w:r>
      <w:r w:rsidR="000C4EE8" w:rsidRPr="00252B58">
        <w:rPr>
          <w:rFonts w:ascii="Arial" w:hAnsi="Arial" w:cs="Arial"/>
          <w:sz w:val="24"/>
          <w:szCs w:val="24"/>
        </w:rPr>
        <w:t xml:space="preserve">acterised by gas chromatography - </w:t>
      </w:r>
      <w:r w:rsidRPr="00252B58">
        <w:rPr>
          <w:rFonts w:ascii="Arial" w:hAnsi="Arial" w:cs="Arial"/>
          <w:sz w:val="24"/>
          <w:szCs w:val="24"/>
        </w:rPr>
        <w:t>mass spectrometry</w:t>
      </w:r>
      <w:r w:rsidR="001D5FE0" w:rsidRPr="00252B58">
        <w:rPr>
          <w:rFonts w:ascii="Arial" w:hAnsi="Arial" w:cs="Arial"/>
          <w:sz w:val="24"/>
          <w:szCs w:val="24"/>
        </w:rPr>
        <w:t>.</w:t>
      </w:r>
      <w:r w:rsidRPr="00252B58">
        <w:rPr>
          <w:rFonts w:ascii="Arial" w:hAnsi="Arial" w:cs="Arial"/>
          <w:sz w:val="24"/>
          <w:szCs w:val="24"/>
        </w:rPr>
        <w:t xml:space="preserve"> Several publications based on </w:t>
      </w:r>
      <w:r w:rsidR="001D5FE0" w:rsidRPr="00252B58">
        <w:rPr>
          <w:rFonts w:ascii="Arial" w:hAnsi="Arial" w:cs="Arial"/>
          <w:sz w:val="24"/>
          <w:szCs w:val="24"/>
        </w:rPr>
        <w:t xml:space="preserve">gas chromatography - mass spectrometry </w:t>
      </w:r>
      <w:r w:rsidRPr="00252B58">
        <w:rPr>
          <w:rFonts w:ascii="Arial" w:hAnsi="Arial" w:cs="Arial"/>
          <w:sz w:val="24"/>
          <w:szCs w:val="24"/>
        </w:rPr>
        <w:t xml:space="preserve">have shown changes in </w:t>
      </w:r>
      <w:r w:rsidR="001D5FE0" w:rsidRPr="00252B58">
        <w:rPr>
          <w:rFonts w:ascii="Arial" w:hAnsi="Arial" w:cs="Arial"/>
          <w:sz w:val="24"/>
          <w:szCs w:val="24"/>
        </w:rPr>
        <w:t xml:space="preserve">volatile chemicals </w:t>
      </w:r>
      <w:r w:rsidRPr="00252B58">
        <w:rPr>
          <w:rFonts w:ascii="Arial" w:hAnsi="Arial" w:cs="Arial"/>
          <w:sz w:val="24"/>
          <w:szCs w:val="24"/>
        </w:rPr>
        <w:t>found in faeces</w:t>
      </w:r>
      <w:r w:rsidR="00FD36B9" w:rsidRPr="00252B58">
        <w:rPr>
          <w:rFonts w:ascii="Arial" w:hAnsi="Arial" w:cs="Arial"/>
          <w:sz w:val="24"/>
          <w:szCs w:val="24"/>
          <w:vertAlign w:val="superscript"/>
        </w:rPr>
        <w:t>1</w:t>
      </w:r>
      <w:r w:rsidR="0058623B" w:rsidRPr="00252B58">
        <w:rPr>
          <w:rFonts w:ascii="Arial" w:hAnsi="Arial" w:cs="Arial"/>
          <w:sz w:val="24"/>
          <w:szCs w:val="24"/>
          <w:vertAlign w:val="superscript"/>
        </w:rPr>
        <w:t>1</w:t>
      </w:r>
      <w:r w:rsidRPr="00252B58">
        <w:rPr>
          <w:rFonts w:ascii="Arial" w:hAnsi="Arial" w:cs="Arial"/>
          <w:sz w:val="24"/>
          <w:szCs w:val="24"/>
        </w:rPr>
        <w:t>, urine</w:t>
      </w:r>
      <w:r w:rsidR="00FD36B9" w:rsidRPr="00252B58">
        <w:rPr>
          <w:rFonts w:ascii="Arial" w:hAnsi="Arial" w:cs="Arial"/>
          <w:sz w:val="24"/>
          <w:szCs w:val="24"/>
          <w:vertAlign w:val="superscript"/>
        </w:rPr>
        <w:t>1</w:t>
      </w:r>
      <w:r w:rsidR="0058623B" w:rsidRPr="00252B58">
        <w:rPr>
          <w:rFonts w:ascii="Arial" w:hAnsi="Arial" w:cs="Arial"/>
          <w:sz w:val="24"/>
          <w:szCs w:val="24"/>
          <w:vertAlign w:val="superscript"/>
        </w:rPr>
        <w:t>2</w:t>
      </w:r>
      <w:r w:rsidR="00407FE3" w:rsidRPr="00252B58">
        <w:rPr>
          <w:rFonts w:ascii="Arial" w:hAnsi="Arial" w:cs="Arial"/>
          <w:sz w:val="24"/>
          <w:szCs w:val="24"/>
        </w:rPr>
        <w:t xml:space="preserve"> </w:t>
      </w:r>
      <w:r w:rsidRPr="00252B58">
        <w:rPr>
          <w:rFonts w:ascii="Arial" w:hAnsi="Arial" w:cs="Arial"/>
          <w:sz w:val="24"/>
          <w:szCs w:val="24"/>
        </w:rPr>
        <w:t>and breath</w:t>
      </w:r>
      <w:r w:rsidR="00FD36B9" w:rsidRPr="00252B58">
        <w:rPr>
          <w:rFonts w:ascii="Arial" w:hAnsi="Arial" w:cs="Arial"/>
          <w:sz w:val="24"/>
          <w:szCs w:val="24"/>
          <w:vertAlign w:val="superscript"/>
        </w:rPr>
        <w:t>1</w:t>
      </w:r>
      <w:r w:rsidR="0058623B" w:rsidRPr="00252B58">
        <w:rPr>
          <w:rFonts w:ascii="Arial" w:hAnsi="Arial" w:cs="Arial"/>
          <w:sz w:val="24"/>
          <w:szCs w:val="24"/>
          <w:vertAlign w:val="superscript"/>
        </w:rPr>
        <w:t>3</w:t>
      </w:r>
      <w:r w:rsidR="00FE75C9" w:rsidRPr="00252B58">
        <w:rPr>
          <w:rFonts w:ascii="Arial" w:hAnsi="Arial" w:cs="Arial"/>
          <w:sz w:val="24"/>
          <w:szCs w:val="24"/>
        </w:rPr>
        <w:t xml:space="preserve"> </w:t>
      </w:r>
      <w:r w:rsidRPr="00252B58">
        <w:rPr>
          <w:rFonts w:ascii="Arial" w:hAnsi="Arial" w:cs="Arial"/>
          <w:sz w:val="24"/>
          <w:szCs w:val="24"/>
        </w:rPr>
        <w:t xml:space="preserve">during relapse of </w:t>
      </w:r>
      <w:r w:rsidR="008E4F58" w:rsidRPr="00252B58">
        <w:rPr>
          <w:rFonts w:ascii="Arial" w:hAnsi="Arial" w:cs="Arial"/>
          <w:sz w:val="24"/>
          <w:szCs w:val="24"/>
        </w:rPr>
        <w:t xml:space="preserve">inflammatory bowel disease </w:t>
      </w:r>
      <w:r w:rsidR="004B497B" w:rsidRPr="00252B58">
        <w:rPr>
          <w:rFonts w:ascii="Arial" w:hAnsi="Arial" w:cs="Arial"/>
          <w:sz w:val="24"/>
          <w:szCs w:val="24"/>
        </w:rPr>
        <w:t>and in faeces of patients with</w:t>
      </w:r>
      <w:r w:rsidRPr="00252B58">
        <w:rPr>
          <w:rFonts w:ascii="Arial" w:hAnsi="Arial" w:cs="Arial"/>
          <w:sz w:val="24"/>
          <w:szCs w:val="24"/>
        </w:rPr>
        <w:t xml:space="preserve"> diarrhoea-predominant </w:t>
      </w:r>
      <w:r w:rsidR="007E3ABA" w:rsidRPr="00252B58">
        <w:rPr>
          <w:rFonts w:ascii="Arial" w:hAnsi="Arial" w:cs="Arial"/>
          <w:sz w:val="24"/>
          <w:szCs w:val="24"/>
        </w:rPr>
        <w:t>irritable bowel syndrome</w:t>
      </w:r>
      <w:r w:rsidR="004B497B" w:rsidRPr="00252B58">
        <w:rPr>
          <w:rFonts w:ascii="Arial" w:hAnsi="Arial" w:cs="Arial"/>
          <w:sz w:val="24"/>
          <w:szCs w:val="24"/>
          <w:vertAlign w:val="superscript"/>
        </w:rPr>
        <w:t>1</w:t>
      </w:r>
      <w:r w:rsidR="0058623B" w:rsidRPr="00252B58">
        <w:rPr>
          <w:rFonts w:ascii="Arial" w:hAnsi="Arial" w:cs="Arial"/>
          <w:sz w:val="24"/>
          <w:szCs w:val="24"/>
          <w:vertAlign w:val="superscript"/>
        </w:rPr>
        <w:t>4</w:t>
      </w:r>
      <w:r w:rsidR="004B497B" w:rsidRPr="00252B58">
        <w:rPr>
          <w:rFonts w:ascii="Arial" w:hAnsi="Arial" w:cs="Arial"/>
          <w:sz w:val="24"/>
          <w:szCs w:val="24"/>
        </w:rPr>
        <w:t>.</w:t>
      </w:r>
      <w:r w:rsidRPr="00252B58">
        <w:rPr>
          <w:rFonts w:ascii="Arial" w:hAnsi="Arial" w:cs="Arial"/>
          <w:sz w:val="24"/>
          <w:szCs w:val="24"/>
        </w:rPr>
        <w:t xml:space="preserve"> These studies give an indication of the potential use of </w:t>
      </w:r>
      <w:r w:rsidR="001D5FE0" w:rsidRPr="00252B58">
        <w:rPr>
          <w:rFonts w:ascii="Arial" w:hAnsi="Arial" w:cs="Arial"/>
          <w:sz w:val="24"/>
          <w:szCs w:val="24"/>
        </w:rPr>
        <w:t xml:space="preserve">volatile chemicals </w:t>
      </w:r>
      <w:r w:rsidR="005B0B0C" w:rsidRPr="00252B58">
        <w:rPr>
          <w:rFonts w:ascii="Arial" w:hAnsi="Arial" w:cs="Arial"/>
          <w:sz w:val="24"/>
          <w:szCs w:val="24"/>
        </w:rPr>
        <w:t xml:space="preserve">as biomarkers for </w:t>
      </w:r>
      <w:r w:rsidR="008E4F58" w:rsidRPr="00252B58">
        <w:rPr>
          <w:rFonts w:ascii="Arial" w:hAnsi="Arial" w:cs="Arial"/>
          <w:sz w:val="24"/>
          <w:szCs w:val="24"/>
        </w:rPr>
        <w:t xml:space="preserve">inflammatory bowel disease </w:t>
      </w:r>
      <w:r w:rsidR="005B0B0C" w:rsidRPr="00252B58">
        <w:rPr>
          <w:rFonts w:ascii="Arial" w:hAnsi="Arial" w:cs="Arial"/>
          <w:sz w:val="24"/>
          <w:szCs w:val="24"/>
        </w:rPr>
        <w:t xml:space="preserve">and </w:t>
      </w:r>
      <w:r w:rsidR="007E3ABA" w:rsidRPr="00252B58">
        <w:rPr>
          <w:rFonts w:ascii="Arial" w:hAnsi="Arial" w:cs="Arial"/>
          <w:sz w:val="24"/>
          <w:szCs w:val="24"/>
        </w:rPr>
        <w:t>irritable bowel syndrome</w:t>
      </w:r>
      <w:r w:rsidR="005B0B0C" w:rsidRPr="00252B58">
        <w:rPr>
          <w:rFonts w:ascii="Arial" w:hAnsi="Arial" w:cs="Arial"/>
          <w:sz w:val="24"/>
          <w:szCs w:val="24"/>
        </w:rPr>
        <w:t>, h</w:t>
      </w:r>
      <w:r w:rsidRPr="00252B58">
        <w:rPr>
          <w:rFonts w:ascii="Arial" w:hAnsi="Arial" w:cs="Arial"/>
          <w:sz w:val="24"/>
          <w:szCs w:val="24"/>
        </w:rPr>
        <w:t xml:space="preserve">owever, the </w:t>
      </w:r>
      <w:r w:rsidR="001D5FE0" w:rsidRPr="00252B58">
        <w:rPr>
          <w:rFonts w:ascii="Arial" w:hAnsi="Arial" w:cs="Arial"/>
          <w:sz w:val="24"/>
          <w:szCs w:val="24"/>
        </w:rPr>
        <w:t xml:space="preserve">gas chromatography - mass spectrometry </w:t>
      </w:r>
      <w:r w:rsidRPr="00252B58">
        <w:rPr>
          <w:rFonts w:ascii="Arial" w:hAnsi="Arial" w:cs="Arial"/>
          <w:sz w:val="24"/>
          <w:szCs w:val="24"/>
        </w:rPr>
        <w:t>technolo</w:t>
      </w:r>
      <w:r w:rsidR="00FE75C9" w:rsidRPr="00252B58">
        <w:rPr>
          <w:rFonts w:ascii="Arial" w:hAnsi="Arial" w:cs="Arial"/>
          <w:sz w:val="24"/>
          <w:szCs w:val="24"/>
        </w:rPr>
        <w:t>gy is not yet suitable for high-</w:t>
      </w:r>
      <w:r w:rsidRPr="00252B58">
        <w:rPr>
          <w:rFonts w:ascii="Arial" w:hAnsi="Arial" w:cs="Arial"/>
          <w:sz w:val="24"/>
          <w:szCs w:val="24"/>
        </w:rPr>
        <w:t xml:space="preserve">throughput applications in clinical practice, which has limited the utility of these observations. </w:t>
      </w:r>
    </w:p>
    <w:p w14:paraId="30B5E4B4" w14:textId="77777777" w:rsidR="008B38FD" w:rsidRPr="00252B58" w:rsidRDefault="008B38FD" w:rsidP="002C76CD">
      <w:pPr>
        <w:spacing w:line="480" w:lineRule="auto"/>
        <w:jc w:val="both"/>
        <w:rPr>
          <w:rFonts w:ascii="Arial" w:hAnsi="Arial" w:cs="Arial"/>
          <w:sz w:val="24"/>
          <w:szCs w:val="24"/>
        </w:rPr>
      </w:pPr>
      <w:r w:rsidRPr="00252B58">
        <w:rPr>
          <w:rFonts w:ascii="Arial" w:hAnsi="Arial" w:cs="Arial"/>
          <w:sz w:val="24"/>
          <w:szCs w:val="24"/>
        </w:rPr>
        <w:t xml:space="preserve">We have designed and built a prototype </w:t>
      </w:r>
      <w:r w:rsidR="000C4EE8" w:rsidRPr="00252B58">
        <w:rPr>
          <w:rFonts w:ascii="Arial" w:hAnsi="Arial" w:cs="Arial"/>
          <w:sz w:val="24"/>
          <w:szCs w:val="24"/>
        </w:rPr>
        <w:t xml:space="preserve">based on </w:t>
      </w:r>
      <w:r w:rsidR="001D5FE0" w:rsidRPr="00252B58">
        <w:rPr>
          <w:rFonts w:ascii="Arial" w:hAnsi="Arial" w:cs="Arial"/>
          <w:sz w:val="24"/>
          <w:szCs w:val="24"/>
        </w:rPr>
        <w:t>gas chromatography</w:t>
      </w:r>
      <w:r w:rsidR="001D5FE0" w:rsidRPr="00252B58">
        <w:rPr>
          <w:rFonts w:ascii="Arial" w:hAnsi="Arial" w:cs="Arial"/>
          <w:sz w:val="24"/>
        </w:rPr>
        <w:t>-sensor</w:t>
      </w:r>
      <w:r w:rsidR="001D5FE0" w:rsidRPr="00252B58">
        <w:rPr>
          <w:rFonts w:ascii="Arial" w:hAnsi="Arial" w:cs="Arial"/>
          <w:sz w:val="24"/>
          <w:szCs w:val="24"/>
        </w:rPr>
        <w:t xml:space="preserve"> </w:t>
      </w:r>
      <w:r w:rsidR="000C4EE8" w:rsidRPr="00252B58">
        <w:rPr>
          <w:rFonts w:ascii="Arial" w:hAnsi="Arial" w:cs="Arial"/>
          <w:sz w:val="24"/>
          <w:szCs w:val="24"/>
        </w:rPr>
        <w:t xml:space="preserve">technology </w:t>
      </w:r>
      <w:r w:rsidRPr="00252B58">
        <w:rPr>
          <w:rFonts w:ascii="Arial" w:hAnsi="Arial" w:cs="Arial"/>
          <w:sz w:val="24"/>
          <w:szCs w:val="24"/>
        </w:rPr>
        <w:t xml:space="preserve">for the point of care analysis of </w:t>
      </w:r>
      <w:r w:rsidR="001D5FE0" w:rsidRPr="00252B58">
        <w:rPr>
          <w:rFonts w:ascii="Arial" w:hAnsi="Arial" w:cs="Arial"/>
          <w:sz w:val="24"/>
          <w:szCs w:val="24"/>
        </w:rPr>
        <w:t xml:space="preserve">volatile chemical </w:t>
      </w:r>
      <w:r w:rsidRPr="00252B58">
        <w:rPr>
          <w:rFonts w:ascii="Arial" w:hAnsi="Arial" w:cs="Arial"/>
          <w:sz w:val="24"/>
          <w:szCs w:val="24"/>
        </w:rPr>
        <w:t xml:space="preserve">profiles from biological samples. We have reported the preliminary analysis of faecal samples from patients with </w:t>
      </w:r>
      <w:r w:rsidR="007E3ABA" w:rsidRPr="00252B58">
        <w:rPr>
          <w:rFonts w:ascii="Arial" w:hAnsi="Arial" w:cs="Arial"/>
          <w:sz w:val="24"/>
          <w:szCs w:val="24"/>
        </w:rPr>
        <w:t xml:space="preserve">irritable bowel syndrome </w:t>
      </w:r>
      <w:r w:rsidRPr="00252B58">
        <w:rPr>
          <w:rFonts w:ascii="Arial" w:hAnsi="Arial" w:cs="Arial"/>
          <w:sz w:val="24"/>
          <w:szCs w:val="24"/>
        </w:rPr>
        <w:t xml:space="preserve">and </w:t>
      </w:r>
      <w:r w:rsidR="008E4F58" w:rsidRPr="00252B58">
        <w:rPr>
          <w:rFonts w:ascii="Arial" w:hAnsi="Arial" w:cs="Arial"/>
          <w:sz w:val="24"/>
          <w:szCs w:val="24"/>
        </w:rPr>
        <w:t xml:space="preserve">inflammatory bowel disease </w:t>
      </w:r>
      <w:r w:rsidRPr="00252B58">
        <w:rPr>
          <w:rFonts w:ascii="Arial" w:hAnsi="Arial" w:cs="Arial"/>
          <w:sz w:val="24"/>
          <w:szCs w:val="24"/>
        </w:rPr>
        <w:t xml:space="preserve">using the </w:t>
      </w:r>
      <w:r w:rsidR="001D5FE0" w:rsidRPr="00252B58">
        <w:rPr>
          <w:rFonts w:ascii="Arial" w:hAnsi="Arial" w:cs="Arial"/>
          <w:sz w:val="24"/>
          <w:szCs w:val="24"/>
        </w:rPr>
        <w:t>gas chromatography</w:t>
      </w:r>
      <w:r w:rsidR="001D5FE0" w:rsidRPr="00252B58">
        <w:rPr>
          <w:rFonts w:ascii="Arial" w:hAnsi="Arial" w:cs="Arial"/>
          <w:sz w:val="24"/>
        </w:rPr>
        <w:t>-sensor</w:t>
      </w:r>
      <w:r w:rsidR="001D5FE0" w:rsidRPr="00252B58">
        <w:rPr>
          <w:rFonts w:ascii="Arial" w:hAnsi="Arial" w:cs="Arial"/>
          <w:sz w:val="24"/>
          <w:szCs w:val="24"/>
        </w:rPr>
        <w:t xml:space="preserve"> system </w:t>
      </w:r>
      <w:r w:rsidRPr="00252B58">
        <w:rPr>
          <w:rFonts w:ascii="Arial" w:hAnsi="Arial" w:cs="Arial"/>
          <w:sz w:val="24"/>
          <w:szCs w:val="24"/>
        </w:rPr>
        <w:t xml:space="preserve">and an in-house developed </w:t>
      </w:r>
      <w:r w:rsidR="000B3BD3" w:rsidRPr="00252B58">
        <w:rPr>
          <w:rFonts w:ascii="Arial" w:hAnsi="Arial" w:cs="Arial"/>
          <w:sz w:val="24"/>
          <w:szCs w:val="24"/>
        </w:rPr>
        <w:t xml:space="preserve">artificial </w:t>
      </w:r>
      <w:r w:rsidRPr="00252B58">
        <w:rPr>
          <w:rFonts w:ascii="Arial" w:hAnsi="Arial" w:cs="Arial"/>
          <w:sz w:val="24"/>
          <w:szCs w:val="24"/>
        </w:rPr>
        <w:t>neural network</w:t>
      </w:r>
      <w:r w:rsidR="000B3BD3" w:rsidRPr="00252B58">
        <w:rPr>
          <w:rFonts w:ascii="Arial" w:hAnsi="Arial" w:cs="Arial"/>
          <w:sz w:val="24"/>
          <w:szCs w:val="24"/>
        </w:rPr>
        <w:t xml:space="preserve"> (ANN)</w:t>
      </w:r>
      <w:r w:rsidR="00FD36B9" w:rsidRPr="00252B58">
        <w:rPr>
          <w:rFonts w:ascii="Arial" w:hAnsi="Arial" w:cs="Arial"/>
          <w:sz w:val="24"/>
          <w:szCs w:val="24"/>
          <w:vertAlign w:val="superscript"/>
        </w:rPr>
        <w:t>1</w:t>
      </w:r>
      <w:r w:rsidR="0058623B" w:rsidRPr="00252B58">
        <w:rPr>
          <w:rFonts w:ascii="Arial" w:hAnsi="Arial" w:cs="Arial"/>
          <w:sz w:val="24"/>
          <w:szCs w:val="24"/>
          <w:vertAlign w:val="superscript"/>
        </w:rPr>
        <w:t>5</w:t>
      </w:r>
      <w:r w:rsidRPr="00252B58">
        <w:rPr>
          <w:rFonts w:ascii="Arial" w:hAnsi="Arial" w:cs="Arial"/>
          <w:sz w:val="24"/>
          <w:szCs w:val="24"/>
        </w:rPr>
        <w:t>. However, some important comparisons from the medical point of view were not p</w:t>
      </w:r>
      <w:r w:rsidR="00285EE7" w:rsidRPr="00252B58">
        <w:rPr>
          <w:rFonts w:ascii="Arial" w:hAnsi="Arial" w:cs="Arial"/>
          <w:sz w:val="24"/>
          <w:szCs w:val="24"/>
        </w:rPr>
        <w:t xml:space="preserve">erformed (e.g. active </w:t>
      </w:r>
      <w:r w:rsidR="000D7F31" w:rsidRPr="00252B58">
        <w:rPr>
          <w:rFonts w:ascii="Arial" w:hAnsi="Arial" w:cs="Arial"/>
          <w:sz w:val="24"/>
          <w:szCs w:val="24"/>
        </w:rPr>
        <w:t xml:space="preserve">Crohn’s disease </w:t>
      </w:r>
      <w:r w:rsidR="00285EE7" w:rsidRPr="00252B58">
        <w:rPr>
          <w:rFonts w:ascii="Arial" w:hAnsi="Arial" w:cs="Arial"/>
          <w:sz w:val="24"/>
          <w:szCs w:val="24"/>
        </w:rPr>
        <w:t>vs. irritable bowel syndrome</w:t>
      </w:r>
      <w:r w:rsidRPr="00252B58">
        <w:rPr>
          <w:rFonts w:ascii="Arial" w:hAnsi="Arial" w:cs="Arial"/>
          <w:sz w:val="24"/>
          <w:szCs w:val="24"/>
        </w:rPr>
        <w:t xml:space="preserve"> and active </w:t>
      </w:r>
      <w:r w:rsidR="000D7F31" w:rsidRPr="00252B58">
        <w:rPr>
          <w:rFonts w:ascii="Arial" w:hAnsi="Arial" w:cs="Arial"/>
          <w:sz w:val="24"/>
          <w:szCs w:val="24"/>
        </w:rPr>
        <w:t xml:space="preserve">Crohn’s disease </w:t>
      </w:r>
      <w:r w:rsidRPr="00252B58">
        <w:rPr>
          <w:rFonts w:ascii="Arial" w:hAnsi="Arial" w:cs="Arial"/>
          <w:sz w:val="24"/>
          <w:szCs w:val="24"/>
        </w:rPr>
        <w:t xml:space="preserve">vs. inactive </w:t>
      </w:r>
      <w:r w:rsidR="000D7F31" w:rsidRPr="00252B58">
        <w:rPr>
          <w:rFonts w:ascii="Arial" w:hAnsi="Arial" w:cs="Arial"/>
          <w:sz w:val="24"/>
          <w:szCs w:val="24"/>
        </w:rPr>
        <w:t>Crohn’s disease</w:t>
      </w:r>
      <w:r w:rsidRPr="00252B58">
        <w:rPr>
          <w:rFonts w:ascii="Arial" w:hAnsi="Arial" w:cs="Arial"/>
          <w:sz w:val="24"/>
          <w:szCs w:val="24"/>
        </w:rPr>
        <w:t xml:space="preserve">). In addition, the use of </w:t>
      </w:r>
      <w:r w:rsidR="000B3BD3" w:rsidRPr="00252B58">
        <w:rPr>
          <w:rFonts w:ascii="Arial" w:hAnsi="Arial" w:cs="Arial"/>
          <w:sz w:val="24"/>
          <w:szCs w:val="24"/>
        </w:rPr>
        <w:t>ANNs</w:t>
      </w:r>
      <w:r w:rsidRPr="00252B58">
        <w:rPr>
          <w:rFonts w:ascii="Arial" w:hAnsi="Arial" w:cs="Arial"/>
          <w:sz w:val="24"/>
          <w:szCs w:val="24"/>
        </w:rPr>
        <w:t xml:space="preserve"> </w:t>
      </w:r>
      <w:r w:rsidR="006E0E91" w:rsidRPr="00252B58">
        <w:rPr>
          <w:rFonts w:ascii="Arial" w:hAnsi="Arial" w:cs="Arial"/>
          <w:sz w:val="24"/>
          <w:szCs w:val="24"/>
        </w:rPr>
        <w:t xml:space="preserve">for diagnostic methods </w:t>
      </w:r>
      <w:r w:rsidRPr="00252B58">
        <w:rPr>
          <w:rFonts w:ascii="Arial" w:hAnsi="Arial" w:cs="Arial"/>
          <w:sz w:val="24"/>
          <w:szCs w:val="24"/>
        </w:rPr>
        <w:t xml:space="preserve">has been </w:t>
      </w:r>
      <w:r w:rsidR="006E0E91" w:rsidRPr="00252B58">
        <w:rPr>
          <w:rFonts w:ascii="Arial" w:hAnsi="Arial" w:cs="Arial"/>
          <w:sz w:val="24"/>
          <w:szCs w:val="24"/>
        </w:rPr>
        <w:t xml:space="preserve">questioned </w:t>
      </w:r>
      <w:r w:rsidRPr="00252B58">
        <w:rPr>
          <w:rFonts w:ascii="Arial" w:hAnsi="Arial" w:cs="Arial"/>
          <w:sz w:val="24"/>
          <w:szCs w:val="24"/>
        </w:rPr>
        <w:t>by regulatory institutions such as the Food and Drug Administration (FDA)</w:t>
      </w:r>
      <w:r w:rsidR="00C36F26" w:rsidRPr="00252B58">
        <w:rPr>
          <w:rFonts w:ascii="Arial" w:hAnsi="Arial" w:cs="Arial"/>
          <w:sz w:val="24"/>
          <w:szCs w:val="24"/>
          <w:vertAlign w:val="superscript"/>
        </w:rPr>
        <w:t>16</w:t>
      </w:r>
      <w:r w:rsidR="00FD36B9" w:rsidRPr="00252B58">
        <w:rPr>
          <w:rFonts w:ascii="Arial" w:hAnsi="Arial" w:cs="Arial"/>
          <w:sz w:val="24"/>
          <w:szCs w:val="24"/>
          <w:vertAlign w:val="superscript"/>
        </w:rPr>
        <w:t>,</w:t>
      </w:r>
      <w:r w:rsidR="00C36F26" w:rsidRPr="00252B58">
        <w:rPr>
          <w:rFonts w:ascii="Arial" w:hAnsi="Arial" w:cs="Arial"/>
          <w:sz w:val="24"/>
          <w:szCs w:val="24"/>
          <w:vertAlign w:val="superscript"/>
        </w:rPr>
        <w:t>17</w:t>
      </w:r>
      <w:r w:rsidRPr="00252B58">
        <w:rPr>
          <w:rFonts w:ascii="Arial" w:hAnsi="Arial" w:cs="Arial"/>
          <w:sz w:val="24"/>
          <w:szCs w:val="24"/>
        </w:rPr>
        <w:t xml:space="preserve">. </w:t>
      </w:r>
    </w:p>
    <w:p w14:paraId="4D139553" w14:textId="77777777" w:rsidR="002C76CD" w:rsidRPr="00252B58" w:rsidRDefault="008B38FD" w:rsidP="00635EAB">
      <w:pPr>
        <w:spacing w:line="480" w:lineRule="auto"/>
        <w:jc w:val="both"/>
        <w:rPr>
          <w:rFonts w:ascii="Arial" w:hAnsi="Arial" w:cs="Arial"/>
          <w:sz w:val="24"/>
          <w:szCs w:val="24"/>
        </w:rPr>
      </w:pPr>
      <w:r w:rsidRPr="00252B58">
        <w:rPr>
          <w:rFonts w:ascii="Arial" w:hAnsi="Arial" w:cs="Arial"/>
          <w:sz w:val="24"/>
          <w:szCs w:val="24"/>
        </w:rPr>
        <w:lastRenderedPageBreak/>
        <w:t xml:space="preserve">Here, we report the use of </w:t>
      </w:r>
      <w:r w:rsidR="000B3BD3" w:rsidRPr="00252B58">
        <w:rPr>
          <w:rFonts w:ascii="Arial" w:hAnsi="Arial" w:cs="Arial"/>
          <w:sz w:val="24"/>
          <w:szCs w:val="24"/>
        </w:rPr>
        <w:t xml:space="preserve">a </w:t>
      </w:r>
      <w:r w:rsidR="001D5FE0" w:rsidRPr="00252B58">
        <w:rPr>
          <w:rFonts w:ascii="Arial" w:hAnsi="Arial" w:cs="Arial"/>
          <w:sz w:val="24"/>
          <w:szCs w:val="24"/>
        </w:rPr>
        <w:t>gas chromatography</w:t>
      </w:r>
      <w:r w:rsidR="001D5FE0" w:rsidRPr="00252B58">
        <w:rPr>
          <w:rFonts w:ascii="Arial" w:hAnsi="Arial" w:cs="Arial"/>
          <w:sz w:val="24"/>
        </w:rPr>
        <w:t>-sensor</w:t>
      </w:r>
      <w:r w:rsidRPr="00252B58">
        <w:rPr>
          <w:rFonts w:ascii="Arial" w:hAnsi="Arial" w:cs="Arial"/>
          <w:sz w:val="24"/>
          <w:szCs w:val="24"/>
        </w:rPr>
        <w:t>-pipeline</w:t>
      </w:r>
      <w:r w:rsidR="00C36F26" w:rsidRPr="00252B58">
        <w:rPr>
          <w:rFonts w:ascii="Arial" w:hAnsi="Arial" w:cs="Arial"/>
          <w:sz w:val="24"/>
          <w:szCs w:val="24"/>
          <w:vertAlign w:val="superscript"/>
        </w:rPr>
        <w:t>18</w:t>
      </w:r>
      <w:r w:rsidR="000B3BD3" w:rsidRPr="00252B58">
        <w:rPr>
          <w:rFonts w:ascii="Arial" w:hAnsi="Arial" w:cs="Arial"/>
          <w:sz w:val="24"/>
          <w:szCs w:val="24"/>
        </w:rPr>
        <w:t xml:space="preserve"> (a data processing procedure)</w:t>
      </w:r>
      <w:r w:rsidRPr="00252B58">
        <w:rPr>
          <w:rFonts w:ascii="Arial" w:hAnsi="Arial" w:cs="Arial"/>
          <w:sz w:val="24"/>
          <w:szCs w:val="24"/>
        </w:rPr>
        <w:t xml:space="preserve"> to analyse faecal samples from patients with </w:t>
      </w:r>
      <w:r w:rsidR="007E3ABA" w:rsidRPr="00252B58">
        <w:rPr>
          <w:rFonts w:ascii="Arial" w:hAnsi="Arial" w:cs="Arial"/>
          <w:sz w:val="24"/>
          <w:szCs w:val="24"/>
        </w:rPr>
        <w:t>irritable bowel syndrome</w:t>
      </w:r>
      <w:r w:rsidRPr="00252B58">
        <w:rPr>
          <w:rFonts w:ascii="Arial" w:hAnsi="Arial" w:cs="Arial"/>
          <w:sz w:val="24"/>
          <w:szCs w:val="24"/>
        </w:rPr>
        <w:t xml:space="preserve">, </w:t>
      </w:r>
      <w:r w:rsidR="008E4F58" w:rsidRPr="00252B58">
        <w:rPr>
          <w:rFonts w:ascii="Arial" w:hAnsi="Arial" w:cs="Arial"/>
          <w:sz w:val="24"/>
          <w:szCs w:val="24"/>
        </w:rPr>
        <w:t xml:space="preserve">inflammatory bowel disease </w:t>
      </w:r>
      <w:r w:rsidRPr="00252B58">
        <w:rPr>
          <w:rFonts w:ascii="Arial" w:hAnsi="Arial" w:cs="Arial"/>
          <w:sz w:val="24"/>
          <w:szCs w:val="24"/>
        </w:rPr>
        <w:t>and healthy donors. After rigorous validation schem</w:t>
      </w:r>
      <w:r w:rsidR="001D5FE0" w:rsidRPr="00252B58">
        <w:rPr>
          <w:rFonts w:ascii="Arial" w:hAnsi="Arial" w:cs="Arial"/>
          <w:sz w:val="24"/>
          <w:szCs w:val="24"/>
        </w:rPr>
        <w:t>es, the results reported by the gas chromatography</w:t>
      </w:r>
      <w:r w:rsidR="001D5FE0" w:rsidRPr="00252B58">
        <w:rPr>
          <w:rFonts w:ascii="Arial" w:hAnsi="Arial" w:cs="Arial"/>
          <w:sz w:val="24"/>
        </w:rPr>
        <w:t>-sensor</w:t>
      </w:r>
      <w:r w:rsidRPr="00252B58">
        <w:rPr>
          <w:rFonts w:ascii="Arial" w:hAnsi="Arial" w:cs="Arial"/>
          <w:sz w:val="24"/>
          <w:szCs w:val="24"/>
        </w:rPr>
        <w:t xml:space="preserve">-pipeline indicate a successful discrimination of faecal samples from patients with </w:t>
      </w:r>
      <w:r w:rsidR="007E3ABA" w:rsidRPr="00252B58">
        <w:rPr>
          <w:rFonts w:ascii="Arial" w:hAnsi="Arial" w:cs="Arial"/>
          <w:sz w:val="24"/>
          <w:szCs w:val="24"/>
        </w:rPr>
        <w:t>irritable bowel syndrome</w:t>
      </w:r>
      <w:r w:rsidRPr="00252B58">
        <w:rPr>
          <w:rFonts w:ascii="Arial" w:hAnsi="Arial" w:cs="Arial"/>
          <w:sz w:val="24"/>
          <w:szCs w:val="24"/>
        </w:rPr>
        <w:t xml:space="preserve">, active </w:t>
      </w:r>
      <w:r w:rsidR="008E4F58" w:rsidRPr="00252B58">
        <w:rPr>
          <w:rFonts w:ascii="Arial" w:hAnsi="Arial" w:cs="Arial"/>
          <w:sz w:val="24"/>
          <w:szCs w:val="24"/>
        </w:rPr>
        <w:t>inflammatory bowel disease</w:t>
      </w:r>
      <w:r w:rsidRPr="00252B58">
        <w:rPr>
          <w:rFonts w:ascii="Arial" w:hAnsi="Arial" w:cs="Arial"/>
          <w:sz w:val="24"/>
          <w:szCs w:val="24"/>
        </w:rPr>
        <w:t xml:space="preserve">, inactive </w:t>
      </w:r>
      <w:r w:rsidR="008E4F58" w:rsidRPr="00252B58">
        <w:rPr>
          <w:rFonts w:ascii="Arial" w:hAnsi="Arial" w:cs="Arial"/>
          <w:sz w:val="24"/>
          <w:szCs w:val="24"/>
        </w:rPr>
        <w:t>inflammatory bowel disease</w:t>
      </w:r>
      <w:r w:rsidRPr="00252B58">
        <w:rPr>
          <w:rFonts w:ascii="Arial" w:hAnsi="Arial" w:cs="Arial"/>
          <w:sz w:val="24"/>
          <w:szCs w:val="24"/>
        </w:rPr>
        <w:t xml:space="preserve">, active </w:t>
      </w:r>
      <w:r w:rsidR="000D7F31" w:rsidRPr="00252B58">
        <w:rPr>
          <w:rFonts w:ascii="Arial" w:hAnsi="Arial" w:cs="Arial"/>
          <w:sz w:val="24"/>
          <w:szCs w:val="24"/>
        </w:rPr>
        <w:t>Crohn’s disease</w:t>
      </w:r>
      <w:r w:rsidRPr="00252B58">
        <w:rPr>
          <w:rFonts w:ascii="Arial" w:hAnsi="Arial" w:cs="Arial"/>
          <w:sz w:val="24"/>
          <w:szCs w:val="24"/>
        </w:rPr>
        <w:t xml:space="preserve">, inactive </w:t>
      </w:r>
      <w:r w:rsidR="000D7F31" w:rsidRPr="00252B58">
        <w:rPr>
          <w:rFonts w:ascii="Arial" w:hAnsi="Arial" w:cs="Arial"/>
          <w:sz w:val="24"/>
          <w:szCs w:val="24"/>
        </w:rPr>
        <w:t>Crohn’s disease</w:t>
      </w:r>
      <w:r w:rsidRPr="00252B58">
        <w:rPr>
          <w:rFonts w:ascii="Arial" w:hAnsi="Arial" w:cs="Arial"/>
          <w:sz w:val="24"/>
          <w:szCs w:val="24"/>
        </w:rPr>
        <w:t xml:space="preserve">, active </w:t>
      </w:r>
      <w:r w:rsidR="000D7F31" w:rsidRPr="00252B58">
        <w:rPr>
          <w:rFonts w:ascii="Arial" w:hAnsi="Arial" w:cs="Arial"/>
          <w:sz w:val="24"/>
          <w:szCs w:val="24"/>
        </w:rPr>
        <w:t>ulcerative colitis</w:t>
      </w:r>
      <w:r w:rsidRPr="00252B58">
        <w:rPr>
          <w:rFonts w:ascii="Arial" w:hAnsi="Arial" w:cs="Arial"/>
          <w:sz w:val="24"/>
          <w:szCs w:val="24"/>
        </w:rPr>
        <w:t xml:space="preserve">, inactive </w:t>
      </w:r>
      <w:r w:rsidR="000D7F31" w:rsidRPr="00252B58">
        <w:rPr>
          <w:rFonts w:ascii="Arial" w:hAnsi="Arial" w:cs="Arial"/>
          <w:sz w:val="24"/>
          <w:szCs w:val="24"/>
        </w:rPr>
        <w:t xml:space="preserve">ulcerative colitis </w:t>
      </w:r>
      <w:r w:rsidRPr="00252B58">
        <w:rPr>
          <w:rFonts w:ascii="Arial" w:hAnsi="Arial" w:cs="Arial"/>
          <w:sz w:val="24"/>
          <w:szCs w:val="24"/>
        </w:rPr>
        <w:t>and health</w:t>
      </w:r>
      <w:r w:rsidR="005B0B0C" w:rsidRPr="00252B58">
        <w:rPr>
          <w:rFonts w:ascii="Arial" w:hAnsi="Arial" w:cs="Arial"/>
          <w:sz w:val="24"/>
          <w:szCs w:val="24"/>
        </w:rPr>
        <w:t>y</w:t>
      </w:r>
      <w:r w:rsidRPr="00252B58">
        <w:rPr>
          <w:rFonts w:ascii="Arial" w:hAnsi="Arial" w:cs="Arial"/>
          <w:sz w:val="24"/>
          <w:szCs w:val="24"/>
        </w:rPr>
        <w:t xml:space="preserve"> donors. These results support the development of a point of care device not only for the positive diagnosis of </w:t>
      </w:r>
      <w:r w:rsidR="007E3ABA" w:rsidRPr="00252B58">
        <w:rPr>
          <w:rFonts w:ascii="Arial" w:hAnsi="Arial" w:cs="Arial"/>
          <w:sz w:val="24"/>
          <w:szCs w:val="24"/>
        </w:rPr>
        <w:t>irritable bowel syndrome</w:t>
      </w:r>
      <w:r w:rsidRPr="00252B58">
        <w:rPr>
          <w:rFonts w:ascii="Arial" w:hAnsi="Arial" w:cs="Arial"/>
          <w:sz w:val="24"/>
          <w:szCs w:val="24"/>
        </w:rPr>
        <w:t xml:space="preserve">, but also to assist </w:t>
      </w:r>
      <w:r w:rsidR="005B0B0C" w:rsidRPr="00252B58">
        <w:rPr>
          <w:rFonts w:ascii="Arial" w:hAnsi="Arial" w:cs="Arial"/>
          <w:sz w:val="24"/>
          <w:szCs w:val="24"/>
        </w:rPr>
        <w:t xml:space="preserve">in </w:t>
      </w:r>
      <w:r w:rsidRPr="00252B58">
        <w:rPr>
          <w:rFonts w:ascii="Arial" w:hAnsi="Arial" w:cs="Arial"/>
          <w:sz w:val="24"/>
          <w:szCs w:val="24"/>
        </w:rPr>
        <w:t xml:space="preserve">the diagnosis of both </w:t>
      </w:r>
      <w:r w:rsidR="000D7F31" w:rsidRPr="00252B58">
        <w:rPr>
          <w:rFonts w:ascii="Arial" w:hAnsi="Arial" w:cs="Arial"/>
          <w:sz w:val="24"/>
          <w:szCs w:val="24"/>
        </w:rPr>
        <w:t xml:space="preserve">Crohn’s disease </w:t>
      </w:r>
      <w:r w:rsidRPr="00252B58">
        <w:rPr>
          <w:rFonts w:ascii="Arial" w:hAnsi="Arial" w:cs="Arial"/>
          <w:sz w:val="24"/>
          <w:szCs w:val="24"/>
        </w:rPr>
        <w:t xml:space="preserve">and </w:t>
      </w:r>
      <w:r w:rsidR="000D7F31" w:rsidRPr="00252B58">
        <w:rPr>
          <w:rFonts w:ascii="Arial" w:hAnsi="Arial" w:cs="Arial"/>
          <w:sz w:val="24"/>
          <w:szCs w:val="24"/>
        </w:rPr>
        <w:t>ulcerative colitis</w:t>
      </w:r>
      <w:r w:rsidRPr="00252B58">
        <w:rPr>
          <w:rFonts w:ascii="Arial" w:hAnsi="Arial" w:cs="Arial"/>
          <w:sz w:val="24"/>
          <w:szCs w:val="24"/>
        </w:rPr>
        <w:t>.</w:t>
      </w:r>
    </w:p>
    <w:p w14:paraId="03545E85" w14:textId="77777777" w:rsidR="008B38FD" w:rsidRPr="00252B58" w:rsidRDefault="008B38FD" w:rsidP="00635EAB">
      <w:pPr>
        <w:spacing w:line="480" w:lineRule="auto"/>
        <w:jc w:val="both"/>
        <w:rPr>
          <w:rFonts w:ascii="Arial" w:hAnsi="Arial" w:cs="Arial"/>
          <w:sz w:val="24"/>
        </w:rPr>
      </w:pPr>
      <w:r w:rsidRPr="00252B58">
        <w:rPr>
          <w:rFonts w:ascii="Arial" w:hAnsi="Arial" w:cs="Arial"/>
          <w:sz w:val="24"/>
        </w:rPr>
        <w:t>2 - Methods</w:t>
      </w:r>
    </w:p>
    <w:p w14:paraId="56BAC984" w14:textId="77777777" w:rsidR="008B38FD" w:rsidRPr="00252B58" w:rsidRDefault="008B38FD" w:rsidP="002C76CD">
      <w:pPr>
        <w:spacing w:line="480" w:lineRule="auto"/>
        <w:jc w:val="both"/>
        <w:rPr>
          <w:rFonts w:ascii="Arial" w:hAnsi="Arial" w:cs="Arial"/>
          <w:i/>
          <w:sz w:val="24"/>
        </w:rPr>
      </w:pPr>
      <w:r w:rsidRPr="00252B58">
        <w:rPr>
          <w:rFonts w:ascii="Arial" w:hAnsi="Arial" w:cs="Arial"/>
          <w:i/>
          <w:sz w:val="24"/>
        </w:rPr>
        <w:t>2.1 - Patient recruitment</w:t>
      </w:r>
    </w:p>
    <w:p w14:paraId="56D1A572" w14:textId="77777777" w:rsidR="008B38FD" w:rsidRPr="00252B58" w:rsidRDefault="008B38FD" w:rsidP="00036DAB">
      <w:pPr>
        <w:spacing w:line="480" w:lineRule="auto"/>
        <w:jc w:val="both"/>
        <w:rPr>
          <w:rFonts w:ascii="Arial" w:hAnsi="Arial" w:cs="Arial"/>
          <w:sz w:val="24"/>
        </w:rPr>
      </w:pPr>
      <w:r w:rsidRPr="00252B58">
        <w:rPr>
          <w:rFonts w:ascii="Arial" w:hAnsi="Arial" w:cs="Arial"/>
          <w:sz w:val="24"/>
        </w:rPr>
        <w:t xml:space="preserve">Patients were recruited as described by Shepherd </w:t>
      </w:r>
      <w:r w:rsidRPr="00252B58">
        <w:rPr>
          <w:rFonts w:ascii="Arial" w:hAnsi="Arial" w:cs="Arial"/>
          <w:i/>
          <w:sz w:val="24"/>
        </w:rPr>
        <w:t>et al.</w:t>
      </w:r>
      <w:r w:rsidRPr="00252B58">
        <w:rPr>
          <w:rFonts w:ascii="Arial" w:hAnsi="Arial" w:cs="Arial"/>
          <w:sz w:val="24"/>
        </w:rPr>
        <w:t xml:space="preserve"> 2014</w:t>
      </w:r>
      <w:r w:rsidR="00315657" w:rsidRPr="00252B58">
        <w:rPr>
          <w:rFonts w:ascii="Arial" w:hAnsi="Arial" w:cs="Arial"/>
          <w:sz w:val="24"/>
          <w:vertAlign w:val="superscript"/>
        </w:rPr>
        <w:t>1</w:t>
      </w:r>
      <w:r w:rsidR="00C36F26" w:rsidRPr="00252B58">
        <w:rPr>
          <w:rFonts w:ascii="Arial" w:hAnsi="Arial" w:cs="Arial"/>
          <w:sz w:val="24"/>
          <w:vertAlign w:val="superscript"/>
        </w:rPr>
        <w:t>5</w:t>
      </w:r>
      <w:r w:rsidR="005B0B0C" w:rsidRPr="00252B58">
        <w:rPr>
          <w:rFonts w:ascii="Arial" w:hAnsi="Arial" w:cs="Arial"/>
          <w:sz w:val="24"/>
        </w:rPr>
        <w:t>, although</w:t>
      </w:r>
      <w:r w:rsidR="000B3BD3" w:rsidRPr="00252B58">
        <w:rPr>
          <w:rFonts w:ascii="Arial" w:hAnsi="Arial" w:cs="Arial"/>
          <w:sz w:val="24"/>
        </w:rPr>
        <w:t xml:space="preserve"> several patients were excluded from the present work as the diagnosis of </w:t>
      </w:r>
      <w:r w:rsidR="008E4F58" w:rsidRPr="00252B58">
        <w:rPr>
          <w:rFonts w:ascii="Arial" w:hAnsi="Arial" w:cs="Arial"/>
          <w:sz w:val="24"/>
          <w:szCs w:val="24"/>
        </w:rPr>
        <w:t>inflammatory bowel disease</w:t>
      </w:r>
      <w:r w:rsidR="008E4F58" w:rsidRPr="00252B58">
        <w:rPr>
          <w:rFonts w:ascii="Arial" w:hAnsi="Arial" w:cs="Arial"/>
          <w:sz w:val="24"/>
        </w:rPr>
        <w:t xml:space="preserve"> </w:t>
      </w:r>
      <w:r w:rsidR="005B0B0C" w:rsidRPr="00252B58">
        <w:rPr>
          <w:rFonts w:ascii="Arial" w:hAnsi="Arial" w:cs="Arial"/>
          <w:sz w:val="24"/>
        </w:rPr>
        <w:t xml:space="preserve">was </w:t>
      </w:r>
      <w:r w:rsidR="000B3BD3" w:rsidRPr="00252B58">
        <w:rPr>
          <w:rFonts w:ascii="Arial" w:hAnsi="Arial" w:cs="Arial"/>
          <w:sz w:val="24"/>
        </w:rPr>
        <w:t>subsequently questioned</w:t>
      </w:r>
      <w:r w:rsidRPr="00252B58">
        <w:rPr>
          <w:rFonts w:ascii="Arial" w:hAnsi="Arial" w:cs="Arial"/>
          <w:sz w:val="24"/>
        </w:rPr>
        <w:t xml:space="preserve">. In summary, patients attending the gastroenterology clinic at the Bristol Royal Infirmary were invited to participate in this study and to bring a faecal sample to the clinic. </w:t>
      </w:r>
      <w:r w:rsidR="00755CEF" w:rsidRPr="00252B58">
        <w:rPr>
          <w:rFonts w:ascii="Arial" w:hAnsi="Arial" w:cs="Arial"/>
          <w:sz w:val="24"/>
        </w:rPr>
        <w:t>Prospective d</w:t>
      </w:r>
      <w:r w:rsidRPr="00252B58">
        <w:rPr>
          <w:rFonts w:ascii="Arial" w:hAnsi="Arial" w:cs="Arial"/>
          <w:sz w:val="24"/>
        </w:rPr>
        <w:t>emographic data and faecal samples were obtained from 152 different participants between October 2010 and October 2011.</w:t>
      </w:r>
    </w:p>
    <w:p w14:paraId="43C4E4C0" w14:textId="77777777" w:rsidR="00A45480" w:rsidRPr="00252B58" w:rsidRDefault="008B38FD" w:rsidP="00563240">
      <w:pPr>
        <w:spacing w:after="0" w:line="480" w:lineRule="auto"/>
        <w:jc w:val="both"/>
        <w:rPr>
          <w:rFonts w:ascii="Arial" w:hAnsi="Arial" w:cs="Arial"/>
          <w:sz w:val="24"/>
        </w:rPr>
      </w:pPr>
      <w:r w:rsidRPr="00252B58">
        <w:rPr>
          <w:rFonts w:ascii="Arial" w:hAnsi="Arial" w:cs="Arial"/>
          <w:sz w:val="24"/>
        </w:rPr>
        <w:lastRenderedPageBreak/>
        <w:t>I</w:t>
      </w:r>
      <w:r w:rsidR="007E3ABA" w:rsidRPr="00252B58">
        <w:rPr>
          <w:rFonts w:ascii="Arial" w:hAnsi="Arial" w:cs="Arial"/>
          <w:sz w:val="24"/>
          <w:szCs w:val="24"/>
        </w:rPr>
        <w:t>rritable bowel syndrome</w:t>
      </w:r>
      <w:r w:rsidR="007E3ABA" w:rsidRPr="00252B58">
        <w:rPr>
          <w:rFonts w:ascii="Arial" w:hAnsi="Arial" w:cs="Arial"/>
          <w:sz w:val="24"/>
        </w:rPr>
        <w:t xml:space="preserve"> </w:t>
      </w:r>
      <w:r w:rsidRPr="00252B58">
        <w:rPr>
          <w:rFonts w:ascii="Arial" w:hAnsi="Arial" w:cs="Arial"/>
          <w:sz w:val="24"/>
        </w:rPr>
        <w:t xml:space="preserve">samples include samples from patients with diarrhoea or constipation and patients alternating between diarrhoea and constipation. </w:t>
      </w:r>
      <w:r w:rsidR="000B3BD3" w:rsidRPr="00252B58">
        <w:rPr>
          <w:rFonts w:ascii="Arial" w:hAnsi="Arial" w:cs="Arial"/>
          <w:sz w:val="24"/>
        </w:rPr>
        <w:t xml:space="preserve">Most patients had diarrhoea predominant </w:t>
      </w:r>
      <w:r w:rsidR="007E3ABA" w:rsidRPr="00252B58">
        <w:rPr>
          <w:rFonts w:ascii="Arial" w:hAnsi="Arial" w:cs="Arial"/>
          <w:sz w:val="24"/>
          <w:szCs w:val="24"/>
        </w:rPr>
        <w:t>irritable bowel syndrome</w:t>
      </w:r>
      <w:r w:rsidR="000B3BD3" w:rsidRPr="00252B58">
        <w:rPr>
          <w:rFonts w:ascii="Arial" w:hAnsi="Arial" w:cs="Arial"/>
          <w:sz w:val="24"/>
        </w:rPr>
        <w:t xml:space="preserve">, however, two patients </w:t>
      </w:r>
      <w:r w:rsidR="008549E5" w:rsidRPr="00252B58">
        <w:rPr>
          <w:rFonts w:ascii="Arial" w:hAnsi="Arial" w:cs="Arial"/>
          <w:sz w:val="24"/>
        </w:rPr>
        <w:t xml:space="preserve">reported </w:t>
      </w:r>
      <w:r w:rsidR="000B3BD3" w:rsidRPr="00252B58">
        <w:rPr>
          <w:rFonts w:ascii="Arial" w:hAnsi="Arial" w:cs="Arial"/>
          <w:sz w:val="24"/>
        </w:rPr>
        <w:t>constipation as the predominant symptom. The diagnosis was based on the Rome II criteria</w:t>
      </w:r>
      <w:r w:rsidR="00C36F26" w:rsidRPr="00252B58">
        <w:rPr>
          <w:rFonts w:ascii="Arial" w:hAnsi="Arial" w:cs="Arial"/>
          <w:sz w:val="24"/>
          <w:vertAlign w:val="superscript"/>
        </w:rPr>
        <w:t>19</w:t>
      </w:r>
      <w:r w:rsidR="000B3BD3" w:rsidRPr="00252B58">
        <w:rPr>
          <w:rFonts w:ascii="Arial" w:hAnsi="Arial" w:cs="Arial"/>
          <w:sz w:val="24"/>
        </w:rPr>
        <w:t>.</w:t>
      </w:r>
    </w:p>
    <w:p w14:paraId="73886786" w14:textId="77777777" w:rsidR="00A75CBD" w:rsidRPr="00252B58" w:rsidRDefault="008B38FD" w:rsidP="00036DAB">
      <w:pPr>
        <w:spacing w:line="480" w:lineRule="auto"/>
        <w:jc w:val="both"/>
        <w:rPr>
          <w:rFonts w:ascii="Arial" w:hAnsi="Arial" w:cs="Arial"/>
          <w:sz w:val="24"/>
        </w:rPr>
      </w:pPr>
      <w:r w:rsidRPr="00252B58">
        <w:rPr>
          <w:rFonts w:ascii="Arial" w:hAnsi="Arial" w:cs="Arial"/>
          <w:sz w:val="24"/>
        </w:rPr>
        <w:t xml:space="preserve">The </w:t>
      </w:r>
      <w:r w:rsidR="008E4F58" w:rsidRPr="00252B58">
        <w:rPr>
          <w:rFonts w:ascii="Arial" w:hAnsi="Arial" w:cs="Arial"/>
          <w:sz w:val="24"/>
          <w:szCs w:val="24"/>
        </w:rPr>
        <w:t>inflammatory bowel disease</w:t>
      </w:r>
      <w:r w:rsidR="008E4F58" w:rsidRPr="00252B58">
        <w:rPr>
          <w:rFonts w:ascii="Arial" w:hAnsi="Arial" w:cs="Arial"/>
          <w:sz w:val="24"/>
        </w:rPr>
        <w:t xml:space="preserve"> </w:t>
      </w:r>
      <w:r w:rsidRPr="00252B58">
        <w:rPr>
          <w:rFonts w:ascii="Arial" w:hAnsi="Arial" w:cs="Arial"/>
          <w:sz w:val="24"/>
        </w:rPr>
        <w:t>samples were collected from patients with active and non-active</w:t>
      </w:r>
      <w:r w:rsidR="000D7F31" w:rsidRPr="00252B58">
        <w:rPr>
          <w:rFonts w:ascii="Arial" w:hAnsi="Arial" w:cs="Arial"/>
          <w:sz w:val="24"/>
        </w:rPr>
        <w:t xml:space="preserve"> </w:t>
      </w:r>
      <w:r w:rsidR="000D7F31" w:rsidRPr="00252B58">
        <w:rPr>
          <w:rFonts w:ascii="Arial" w:hAnsi="Arial" w:cs="Arial"/>
          <w:sz w:val="24"/>
          <w:szCs w:val="24"/>
        </w:rPr>
        <w:t>ulcerative colitis</w:t>
      </w:r>
      <w:r w:rsidRPr="00252B58">
        <w:rPr>
          <w:rFonts w:ascii="Arial" w:hAnsi="Arial" w:cs="Arial"/>
          <w:sz w:val="24"/>
        </w:rPr>
        <w:t xml:space="preserve"> and </w:t>
      </w:r>
      <w:r w:rsidR="000D7F31" w:rsidRPr="00252B58">
        <w:rPr>
          <w:rFonts w:ascii="Arial" w:hAnsi="Arial" w:cs="Arial"/>
          <w:sz w:val="24"/>
          <w:szCs w:val="24"/>
        </w:rPr>
        <w:t>Crohn’s disease</w:t>
      </w:r>
      <w:r w:rsidRPr="00252B58">
        <w:rPr>
          <w:rFonts w:ascii="Arial" w:hAnsi="Arial" w:cs="Arial"/>
          <w:sz w:val="24"/>
        </w:rPr>
        <w:t>. I</w:t>
      </w:r>
      <w:r w:rsidR="008E4F58" w:rsidRPr="00252B58">
        <w:rPr>
          <w:rFonts w:ascii="Arial" w:hAnsi="Arial" w:cs="Arial"/>
          <w:sz w:val="24"/>
          <w:szCs w:val="24"/>
        </w:rPr>
        <w:t>nflammatory bowel disease</w:t>
      </w:r>
      <w:r w:rsidR="008E4F58" w:rsidRPr="00252B58">
        <w:rPr>
          <w:rFonts w:ascii="Arial" w:hAnsi="Arial" w:cs="Arial"/>
          <w:sz w:val="24"/>
        </w:rPr>
        <w:t xml:space="preserve"> </w:t>
      </w:r>
      <w:r w:rsidRPr="00252B58">
        <w:rPr>
          <w:rFonts w:ascii="Arial" w:hAnsi="Arial" w:cs="Arial"/>
          <w:sz w:val="24"/>
        </w:rPr>
        <w:t xml:space="preserve">was diagnosed by a physician based on endoscopy and histology, or by radiology in the case of small intestinal disease. The activity of the disease in patients with </w:t>
      </w:r>
      <w:r w:rsidR="000D7F31" w:rsidRPr="00252B58">
        <w:rPr>
          <w:rFonts w:ascii="Arial" w:hAnsi="Arial" w:cs="Arial"/>
          <w:sz w:val="24"/>
          <w:szCs w:val="24"/>
        </w:rPr>
        <w:t>ulcerative colitis</w:t>
      </w:r>
      <w:r w:rsidR="000D7F31" w:rsidRPr="00252B58">
        <w:rPr>
          <w:rFonts w:ascii="Arial" w:hAnsi="Arial" w:cs="Arial"/>
          <w:sz w:val="24"/>
        </w:rPr>
        <w:t xml:space="preserve"> </w:t>
      </w:r>
      <w:r w:rsidRPr="00252B58">
        <w:rPr>
          <w:rFonts w:ascii="Arial" w:hAnsi="Arial" w:cs="Arial"/>
          <w:sz w:val="24"/>
        </w:rPr>
        <w:t>was calculated by their colitis</w:t>
      </w:r>
      <w:r w:rsidR="00FD7328" w:rsidRPr="00252B58">
        <w:rPr>
          <w:rFonts w:ascii="Arial" w:hAnsi="Arial" w:cs="Arial"/>
          <w:sz w:val="24"/>
        </w:rPr>
        <w:t xml:space="preserve"> simple</w:t>
      </w:r>
      <w:r w:rsidRPr="00252B58">
        <w:rPr>
          <w:rFonts w:ascii="Arial" w:hAnsi="Arial" w:cs="Arial"/>
          <w:sz w:val="24"/>
        </w:rPr>
        <w:t xml:space="preserve"> clinical activity index score</w:t>
      </w:r>
      <w:r w:rsidR="00315657" w:rsidRPr="00252B58">
        <w:rPr>
          <w:rFonts w:ascii="Arial" w:hAnsi="Arial" w:cs="Arial"/>
          <w:sz w:val="24"/>
          <w:vertAlign w:val="superscript"/>
        </w:rPr>
        <w:t>2</w:t>
      </w:r>
      <w:r w:rsidR="009F7273" w:rsidRPr="00252B58">
        <w:rPr>
          <w:rFonts w:ascii="Arial" w:hAnsi="Arial" w:cs="Arial"/>
          <w:sz w:val="24"/>
          <w:vertAlign w:val="superscript"/>
        </w:rPr>
        <w:t>0</w:t>
      </w:r>
      <w:r w:rsidRPr="00252B58">
        <w:rPr>
          <w:rFonts w:ascii="Arial" w:hAnsi="Arial" w:cs="Arial"/>
          <w:sz w:val="24"/>
        </w:rPr>
        <w:t xml:space="preserve">, where a score of 3 or more indicated active UC. Patients with </w:t>
      </w:r>
      <w:r w:rsidR="000D7F31" w:rsidRPr="00252B58">
        <w:rPr>
          <w:rFonts w:ascii="Arial" w:hAnsi="Arial" w:cs="Arial"/>
          <w:sz w:val="24"/>
          <w:szCs w:val="24"/>
        </w:rPr>
        <w:t xml:space="preserve">Crohn’s disease </w:t>
      </w:r>
      <w:r w:rsidRPr="00252B58">
        <w:rPr>
          <w:rFonts w:ascii="Arial" w:hAnsi="Arial" w:cs="Arial"/>
          <w:sz w:val="24"/>
        </w:rPr>
        <w:t>were assessed using the Harvey Bradshaw index</w:t>
      </w:r>
      <w:r w:rsidR="00FD7328" w:rsidRPr="00252B58">
        <w:rPr>
          <w:rFonts w:ascii="Arial" w:hAnsi="Arial" w:cs="Arial"/>
          <w:sz w:val="24"/>
        </w:rPr>
        <w:t xml:space="preserve"> </w:t>
      </w:r>
      <w:r w:rsidRPr="00252B58">
        <w:rPr>
          <w:rFonts w:ascii="Arial" w:hAnsi="Arial" w:cs="Arial"/>
          <w:sz w:val="24"/>
        </w:rPr>
        <w:t>score</w:t>
      </w:r>
      <w:r w:rsidR="00315657" w:rsidRPr="00252B58">
        <w:rPr>
          <w:rFonts w:ascii="Arial" w:hAnsi="Arial" w:cs="Arial"/>
          <w:sz w:val="24"/>
          <w:vertAlign w:val="superscript"/>
        </w:rPr>
        <w:t>2</w:t>
      </w:r>
      <w:r w:rsidR="009F7273" w:rsidRPr="00252B58">
        <w:rPr>
          <w:rFonts w:ascii="Arial" w:hAnsi="Arial" w:cs="Arial"/>
          <w:sz w:val="24"/>
          <w:vertAlign w:val="superscript"/>
        </w:rPr>
        <w:t>1</w:t>
      </w:r>
      <w:r w:rsidRPr="00252B58">
        <w:rPr>
          <w:rFonts w:ascii="Arial" w:hAnsi="Arial" w:cs="Arial"/>
          <w:sz w:val="24"/>
        </w:rPr>
        <w:t xml:space="preserve">, where a score of 4 or more indicated active </w:t>
      </w:r>
      <w:r w:rsidR="000D7F31" w:rsidRPr="00252B58">
        <w:rPr>
          <w:rFonts w:ascii="Arial" w:hAnsi="Arial" w:cs="Arial"/>
          <w:sz w:val="24"/>
          <w:szCs w:val="24"/>
        </w:rPr>
        <w:t>Crohn’s disease</w:t>
      </w:r>
      <w:r w:rsidRPr="00252B58">
        <w:rPr>
          <w:rFonts w:ascii="Arial" w:hAnsi="Arial" w:cs="Arial"/>
          <w:sz w:val="24"/>
        </w:rPr>
        <w:t xml:space="preserve">. </w:t>
      </w:r>
      <w:r w:rsidR="00FD7328" w:rsidRPr="00252B58">
        <w:rPr>
          <w:rFonts w:ascii="Arial" w:hAnsi="Arial" w:cs="Arial"/>
          <w:sz w:val="24"/>
        </w:rPr>
        <w:t xml:space="preserve">Simple clinical activity index </w:t>
      </w:r>
      <w:r w:rsidR="008A326D" w:rsidRPr="00252B58">
        <w:rPr>
          <w:rFonts w:ascii="Arial" w:hAnsi="Arial" w:cs="Arial"/>
          <w:sz w:val="24"/>
        </w:rPr>
        <w:t>has been compared to other tools and found to be “v</w:t>
      </w:r>
      <w:r w:rsidR="009F7273" w:rsidRPr="00252B58">
        <w:rPr>
          <w:rFonts w:ascii="Arial" w:hAnsi="Arial" w:cs="Arial"/>
          <w:sz w:val="24"/>
        </w:rPr>
        <w:t>alid, reliable and responsive”</w:t>
      </w:r>
      <w:r w:rsidR="009F7273" w:rsidRPr="00252B58">
        <w:rPr>
          <w:rFonts w:ascii="Arial" w:hAnsi="Arial" w:cs="Arial"/>
          <w:sz w:val="24"/>
          <w:vertAlign w:val="superscript"/>
        </w:rPr>
        <w:t>22</w:t>
      </w:r>
      <w:r w:rsidR="008A326D" w:rsidRPr="00252B58">
        <w:rPr>
          <w:rFonts w:ascii="Arial" w:hAnsi="Arial" w:cs="Arial"/>
          <w:sz w:val="24"/>
        </w:rPr>
        <w:t>: it has the advantage over m</w:t>
      </w:r>
      <w:r w:rsidR="00893B88" w:rsidRPr="00252B58">
        <w:rPr>
          <w:rFonts w:ascii="Arial" w:hAnsi="Arial" w:cs="Arial"/>
          <w:sz w:val="24"/>
        </w:rPr>
        <w:t>ost</w:t>
      </w:r>
      <w:r w:rsidR="008A326D" w:rsidRPr="00252B58">
        <w:rPr>
          <w:rFonts w:ascii="Arial" w:hAnsi="Arial" w:cs="Arial"/>
          <w:sz w:val="24"/>
        </w:rPr>
        <w:t xml:space="preserve"> tools of not requiring an assessment of the mucosa by sigmoidoscopy/colonoscopy. The use of </w:t>
      </w:r>
      <w:r w:rsidR="00FD7328" w:rsidRPr="00252B58">
        <w:rPr>
          <w:rFonts w:ascii="Arial" w:hAnsi="Arial" w:cs="Arial"/>
          <w:sz w:val="24"/>
        </w:rPr>
        <w:t xml:space="preserve">Harvey Bradshaw index </w:t>
      </w:r>
      <w:r w:rsidR="008A326D" w:rsidRPr="00252B58">
        <w:rPr>
          <w:rFonts w:ascii="Arial" w:hAnsi="Arial" w:cs="Arial"/>
          <w:sz w:val="24"/>
        </w:rPr>
        <w:t xml:space="preserve">is supported by </w:t>
      </w:r>
      <w:r w:rsidR="00893B88" w:rsidRPr="00252B58">
        <w:rPr>
          <w:rFonts w:ascii="Arial" w:hAnsi="Arial" w:cs="Arial"/>
          <w:sz w:val="24"/>
        </w:rPr>
        <w:t xml:space="preserve">National Institute for Health and Care Excellence (NICE) </w:t>
      </w:r>
      <w:r w:rsidR="008A326D" w:rsidRPr="00252B58">
        <w:rPr>
          <w:rFonts w:ascii="Arial" w:hAnsi="Arial" w:cs="Arial"/>
          <w:sz w:val="24"/>
        </w:rPr>
        <w:t xml:space="preserve">in the assessment of </w:t>
      </w:r>
      <w:r w:rsidR="000D7F31" w:rsidRPr="00252B58">
        <w:rPr>
          <w:rFonts w:ascii="Arial" w:hAnsi="Arial" w:cs="Arial"/>
          <w:sz w:val="24"/>
        </w:rPr>
        <w:t xml:space="preserve">Crohn’s disease </w:t>
      </w:r>
      <w:r w:rsidR="008A326D" w:rsidRPr="00252B58">
        <w:rPr>
          <w:rFonts w:ascii="Arial" w:hAnsi="Arial" w:cs="Arial"/>
          <w:sz w:val="24"/>
        </w:rPr>
        <w:t>patients for anti-TNF therapies: it does not require a diary to be kept by patients for several days, invasive investigations or blo</w:t>
      </w:r>
      <w:r w:rsidR="008549E5" w:rsidRPr="00252B58">
        <w:rPr>
          <w:rFonts w:ascii="Arial" w:hAnsi="Arial" w:cs="Arial"/>
          <w:sz w:val="24"/>
        </w:rPr>
        <w:t>o</w:t>
      </w:r>
      <w:r w:rsidR="008A326D" w:rsidRPr="00252B58">
        <w:rPr>
          <w:rFonts w:ascii="Arial" w:hAnsi="Arial" w:cs="Arial"/>
          <w:sz w:val="24"/>
        </w:rPr>
        <w:t>d tests. Faecal calprotectin was not measured because it was not a routinely available test in 2010</w:t>
      </w:r>
      <w:r w:rsidR="00444AA6" w:rsidRPr="00252B58">
        <w:rPr>
          <w:rFonts w:ascii="Arial" w:hAnsi="Arial" w:cs="Arial"/>
          <w:sz w:val="24"/>
        </w:rPr>
        <w:t>/11. We are not able to perform the test now because the s</w:t>
      </w:r>
      <w:r w:rsidR="008A326D" w:rsidRPr="00252B58">
        <w:rPr>
          <w:rFonts w:ascii="Arial" w:hAnsi="Arial" w:cs="Arial"/>
          <w:sz w:val="24"/>
        </w:rPr>
        <w:t xml:space="preserve">amples </w:t>
      </w:r>
      <w:r w:rsidR="008549E5" w:rsidRPr="00252B58">
        <w:rPr>
          <w:rFonts w:ascii="Arial" w:hAnsi="Arial" w:cs="Arial"/>
          <w:sz w:val="24"/>
        </w:rPr>
        <w:t xml:space="preserve">collected for this study were </w:t>
      </w:r>
      <w:r w:rsidR="008A326D" w:rsidRPr="00252B58">
        <w:rPr>
          <w:rFonts w:ascii="Arial" w:hAnsi="Arial" w:cs="Arial"/>
          <w:sz w:val="24"/>
        </w:rPr>
        <w:t>disposed</w:t>
      </w:r>
      <w:r w:rsidR="008549E5" w:rsidRPr="00252B58">
        <w:rPr>
          <w:rFonts w:ascii="Arial" w:hAnsi="Arial" w:cs="Arial"/>
          <w:sz w:val="24"/>
        </w:rPr>
        <w:t xml:space="preserve"> of</w:t>
      </w:r>
      <w:r w:rsidR="001B0E8B" w:rsidRPr="00252B58">
        <w:rPr>
          <w:rFonts w:ascii="Arial" w:hAnsi="Arial" w:cs="Arial"/>
          <w:sz w:val="24"/>
        </w:rPr>
        <w:t xml:space="preserve"> after the sensor work had</w:t>
      </w:r>
      <w:r w:rsidR="008549E5" w:rsidRPr="00252B58">
        <w:rPr>
          <w:rFonts w:ascii="Arial" w:hAnsi="Arial" w:cs="Arial"/>
          <w:sz w:val="24"/>
        </w:rPr>
        <w:t xml:space="preserve"> </w:t>
      </w:r>
      <w:r w:rsidR="00563240" w:rsidRPr="00252B58">
        <w:rPr>
          <w:rFonts w:ascii="Arial" w:hAnsi="Arial" w:cs="Arial"/>
          <w:sz w:val="24"/>
        </w:rPr>
        <w:t xml:space="preserve">been </w:t>
      </w:r>
      <w:r w:rsidR="008549E5" w:rsidRPr="00252B58">
        <w:rPr>
          <w:rFonts w:ascii="Arial" w:hAnsi="Arial" w:cs="Arial"/>
          <w:sz w:val="24"/>
        </w:rPr>
        <w:t>completed</w:t>
      </w:r>
      <w:r w:rsidR="008A326D" w:rsidRPr="00252B58">
        <w:rPr>
          <w:rFonts w:ascii="Arial" w:hAnsi="Arial" w:cs="Arial"/>
          <w:sz w:val="24"/>
        </w:rPr>
        <w:t>, in accordance with the Human Tissue Act.</w:t>
      </w:r>
    </w:p>
    <w:p w14:paraId="52F86E59" w14:textId="77777777" w:rsidR="008B38FD" w:rsidRPr="00252B58" w:rsidRDefault="008B38FD" w:rsidP="002C76CD">
      <w:pPr>
        <w:spacing w:line="480" w:lineRule="auto"/>
        <w:jc w:val="both"/>
        <w:rPr>
          <w:rFonts w:ascii="Arial" w:hAnsi="Arial" w:cs="Arial"/>
          <w:sz w:val="24"/>
        </w:rPr>
      </w:pPr>
      <w:r w:rsidRPr="00252B58">
        <w:rPr>
          <w:rFonts w:ascii="Arial" w:hAnsi="Arial" w:cs="Arial"/>
          <w:sz w:val="24"/>
        </w:rPr>
        <w:t xml:space="preserve">Healthy control samples </w:t>
      </w:r>
      <w:r w:rsidR="00603717" w:rsidRPr="00252B58">
        <w:rPr>
          <w:rFonts w:ascii="Arial" w:hAnsi="Arial" w:cs="Arial"/>
          <w:sz w:val="24"/>
        </w:rPr>
        <w:t xml:space="preserve">(Control) </w:t>
      </w:r>
      <w:r w:rsidRPr="00252B58">
        <w:rPr>
          <w:rFonts w:ascii="Arial" w:hAnsi="Arial" w:cs="Arial"/>
          <w:sz w:val="24"/>
        </w:rPr>
        <w:t xml:space="preserve">(n=41) were collected from </w:t>
      </w:r>
      <w:r w:rsidR="00A75CBD" w:rsidRPr="00252B58">
        <w:rPr>
          <w:rFonts w:ascii="Arial" w:hAnsi="Arial" w:cs="Arial"/>
          <w:sz w:val="24"/>
        </w:rPr>
        <w:t xml:space="preserve">partners or </w:t>
      </w:r>
      <w:r w:rsidRPr="00252B58">
        <w:rPr>
          <w:rFonts w:ascii="Arial" w:hAnsi="Arial" w:cs="Arial"/>
          <w:sz w:val="24"/>
        </w:rPr>
        <w:t xml:space="preserve">healthy relatives of patients visiting the clinic and from healthy patients referred for early endoscopy / colonoscopy due to a family history of upper </w:t>
      </w:r>
      <w:r w:rsidR="008E4F58" w:rsidRPr="00252B58">
        <w:rPr>
          <w:rFonts w:ascii="Arial" w:hAnsi="Arial" w:cs="Arial"/>
          <w:sz w:val="24"/>
        </w:rPr>
        <w:t>gastrointestinal or</w:t>
      </w:r>
      <w:r w:rsidRPr="00252B58">
        <w:rPr>
          <w:rFonts w:ascii="Arial" w:hAnsi="Arial" w:cs="Arial"/>
          <w:sz w:val="24"/>
        </w:rPr>
        <w:t xml:space="preserve"> colon cancer; (mean </w:t>
      </w:r>
      <w:r w:rsidR="00F76CF3" w:rsidRPr="00252B58">
        <w:rPr>
          <w:rFonts w:ascii="Arial" w:hAnsi="Arial" w:cs="Arial"/>
          <w:sz w:val="24"/>
        </w:rPr>
        <w:lastRenderedPageBreak/>
        <w:t>ag</w:t>
      </w:r>
      <w:r w:rsidR="00F76CF3" w:rsidRPr="00252B58">
        <w:rPr>
          <w:rFonts w:ascii="Arial" w:hAnsi="Arial" w:cs="Arial"/>
          <w:sz w:val="24"/>
          <w:szCs w:val="24"/>
        </w:rPr>
        <w:t xml:space="preserve">e </w:t>
      </w:r>
      <w:r w:rsidR="00F76CF3" w:rsidRPr="00252B58">
        <w:rPr>
          <w:rFonts w:ascii="Arial" w:eastAsia="Times New Roman" w:hAnsi="Arial" w:cs="Arial"/>
          <w:sz w:val="24"/>
          <w:szCs w:val="24"/>
          <w:lang w:eastAsia="en-GB"/>
        </w:rPr>
        <w:t xml:space="preserve">53.6 </w:t>
      </w:r>
      <w:r w:rsidRPr="00252B58">
        <w:rPr>
          <w:rFonts w:ascii="Arial" w:hAnsi="Arial" w:cs="Arial"/>
          <w:sz w:val="24"/>
        </w:rPr>
        <w:t>y, 2</w:t>
      </w:r>
      <w:r w:rsidR="00F76CF3" w:rsidRPr="00252B58">
        <w:rPr>
          <w:rFonts w:ascii="Arial" w:hAnsi="Arial" w:cs="Arial"/>
          <w:sz w:val="24"/>
        </w:rPr>
        <w:t>4 women: 17</w:t>
      </w:r>
      <w:r w:rsidRPr="00252B58">
        <w:rPr>
          <w:rFonts w:ascii="Arial" w:hAnsi="Arial" w:cs="Arial"/>
          <w:sz w:val="24"/>
        </w:rPr>
        <w:t xml:space="preserve"> men)</w:t>
      </w:r>
      <w:r w:rsidR="009411F5" w:rsidRPr="00252B58">
        <w:rPr>
          <w:rFonts w:ascii="Arial" w:hAnsi="Arial" w:cs="Arial"/>
          <w:sz w:val="24"/>
        </w:rPr>
        <w:t>: because of the similar</w:t>
      </w:r>
      <w:r w:rsidR="00DA6E1A" w:rsidRPr="00252B58">
        <w:rPr>
          <w:rFonts w:ascii="Arial" w:hAnsi="Arial" w:cs="Arial"/>
          <w:sz w:val="24"/>
        </w:rPr>
        <w:t>it</w:t>
      </w:r>
      <w:r w:rsidR="009411F5" w:rsidRPr="00252B58">
        <w:rPr>
          <w:rFonts w:ascii="Arial" w:hAnsi="Arial" w:cs="Arial"/>
          <w:sz w:val="24"/>
        </w:rPr>
        <w:t>y of their diet and lifestyle to that of patients</w:t>
      </w:r>
      <w:r w:rsidR="004E7839" w:rsidRPr="00252B58">
        <w:rPr>
          <w:rFonts w:ascii="Arial" w:hAnsi="Arial" w:cs="Arial"/>
          <w:sz w:val="24"/>
        </w:rPr>
        <w:t>,</w:t>
      </w:r>
      <w:r w:rsidR="009411F5" w:rsidRPr="00252B58">
        <w:rPr>
          <w:rFonts w:ascii="Arial" w:hAnsi="Arial" w:cs="Arial"/>
          <w:sz w:val="24"/>
        </w:rPr>
        <w:t xml:space="preserve"> </w:t>
      </w:r>
      <w:r w:rsidR="00444AA6" w:rsidRPr="00252B58">
        <w:rPr>
          <w:rFonts w:ascii="Arial" w:hAnsi="Arial" w:cs="Arial"/>
          <w:sz w:val="24"/>
        </w:rPr>
        <w:t>partners were recruited where possible as an</w:t>
      </w:r>
      <w:r w:rsidR="009411F5" w:rsidRPr="00252B58">
        <w:rPr>
          <w:rFonts w:ascii="Arial" w:hAnsi="Arial" w:cs="Arial"/>
          <w:sz w:val="24"/>
        </w:rPr>
        <w:t xml:space="preserve"> attempt to reduce bias resulting from such factors</w:t>
      </w:r>
      <w:r w:rsidR="00603717" w:rsidRPr="00252B58">
        <w:rPr>
          <w:rFonts w:ascii="Arial" w:hAnsi="Arial" w:cs="Arial"/>
          <w:sz w:val="24"/>
        </w:rPr>
        <w:t>.</w:t>
      </w:r>
      <w:r w:rsidRPr="00252B58">
        <w:rPr>
          <w:rFonts w:ascii="Arial" w:hAnsi="Arial" w:cs="Arial"/>
          <w:sz w:val="24"/>
        </w:rPr>
        <w:t xml:space="preserve"> The patients who agreed to participate in the study gave verbal consent to the physician during the clinic appointment</w:t>
      </w:r>
      <w:r w:rsidR="00A64EC3" w:rsidRPr="00252B58">
        <w:rPr>
          <w:rFonts w:ascii="Arial" w:hAnsi="Arial" w:cs="Arial"/>
          <w:sz w:val="24"/>
        </w:rPr>
        <w:t xml:space="preserve"> as stipulated </w:t>
      </w:r>
      <w:r w:rsidR="002308E1" w:rsidRPr="00252B58">
        <w:rPr>
          <w:rFonts w:ascii="Arial" w:hAnsi="Arial" w:cs="Arial"/>
          <w:sz w:val="24"/>
        </w:rPr>
        <w:t>in the participant information sheet and the ethics approval</w:t>
      </w:r>
      <w:r w:rsidR="004E7839" w:rsidRPr="00252B58">
        <w:rPr>
          <w:rFonts w:ascii="Arial" w:hAnsi="Arial" w:cs="Arial"/>
          <w:sz w:val="24"/>
        </w:rPr>
        <w:t>,</w:t>
      </w:r>
      <w:r w:rsidR="009411F5" w:rsidRPr="00252B58">
        <w:rPr>
          <w:rFonts w:ascii="Arial" w:hAnsi="Arial" w:cs="Arial"/>
          <w:sz w:val="24"/>
        </w:rPr>
        <w:t xml:space="preserve"> as granted by the </w:t>
      </w:r>
      <w:r w:rsidRPr="00252B58">
        <w:rPr>
          <w:rFonts w:ascii="Arial" w:hAnsi="Arial" w:cs="Arial"/>
          <w:sz w:val="24"/>
        </w:rPr>
        <w:t xml:space="preserve">Wiltshire Research and Ethics Committee (NRES 06/Q2008/6). All patients were on an </w:t>
      </w:r>
      <w:r w:rsidRPr="00252B58">
        <w:rPr>
          <w:rFonts w:ascii="Arial" w:hAnsi="Arial" w:cs="Arial"/>
          <w:i/>
          <w:iCs/>
          <w:sz w:val="24"/>
        </w:rPr>
        <w:t>ad lib</w:t>
      </w:r>
      <w:r w:rsidRPr="00252B58">
        <w:rPr>
          <w:rFonts w:ascii="Arial" w:hAnsi="Arial" w:cs="Arial"/>
          <w:sz w:val="24"/>
        </w:rPr>
        <w:t xml:space="preserve"> diet before sample collection</w:t>
      </w:r>
      <w:r w:rsidR="009411F5" w:rsidRPr="00252B58">
        <w:rPr>
          <w:rFonts w:ascii="Arial" w:hAnsi="Arial" w:cs="Arial"/>
          <w:sz w:val="24"/>
        </w:rPr>
        <w:t xml:space="preserve"> in order </w:t>
      </w:r>
      <w:r w:rsidR="00A75CBD" w:rsidRPr="00252B58">
        <w:rPr>
          <w:rFonts w:ascii="Arial" w:hAnsi="Arial" w:cs="Arial"/>
          <w:sz w:val="24"/>
        </w:rPr>
        <w:t>to maximise recruitment and to give ‘real-world’ data</w:t>
      </w:r>
      <w:r w:rsidRPr="00252B58">
        <w:rPr>
          <w:rFonts w:ascii="Arial" w:hAnsi="Arial" w:cs="Arial"/>
          <w:sz w:val="24"/>
        </w:rPr>
        <w:t>.</w:t>
      </w:r>
    </w:p>
    <w:p w14:paraId="1FAE311D" w14:textId="77777777" w:rsidR="002C76CD" w:rsidRPr="00252B58" w:rsidRDefault="002C76CD" w:rsidP="002C76CD">
      <w:pPr>
        <w:spacing w:line="480" w:lineRule="auto"/>
        <w:jc w:val="both"/>
        <w:rPr>
          <w:rFonts w:ascii="Arial" w:hAnsi="Arial" w:cs="Arial"/>
          <w:i/>
        </w:rPr>
      </w:pPr>
    </w:p>
    <w:p w14:paraId="789EE4C6" w14:textId="77777777" w:rsidR="008B38FD" w:rsidRPr="00252B58" w:rsidRDefault="008B38FD" w:rsidP="002C76CD">
      <w:pPr>
        <w:spacing w:line="480" w:lineRule="auto"/>
        <w:jc w:val="both"/>
        <w:rPr>
          <w:rFonts w:ascii="Arial" w:hAnsi="Arial" w:cs="Arial"/>
          <w:i/>
          <w:sz w:val="24"/>
          <w:szCs w:val="24"/>
        </w:rPr>
      </w:pPr>
      <w:r w:rsidRPr="00252B58">
        <w:rPr>
          <w:rFonts w:ascii="Arial" w:hAnsi="Arial" w:cs="Arial"/>
          <w:i/>
          <w:sz w:val="24"/>
          <w:szCs w:val="24"/>
        </w:rPr>
        <w:t xml:space="preserve">2.2 </w:t>
      </w:r>
      <w:r w:rsidR="00563240" w:rsidRPr="00252B58">
        <w:rPr>
          <w:rFonts w:ascii="Arial" w:hAnsi="Arial" w:cs="Arial"/>
          <w:i/>
          <w:sz w:val="24"/>
          <w:szCs w:val="24"/>
        </w:rPr>
        <w:t>–</w:t>
      </w:r>
      <w:r w:rsidRPr="00252B58">
        <w:rPr>
          <w:rFonts w:ascii="Arial" w:hAnsi="Arial" w:cs="Arial"/>
          <w:i/>
          <w:sz w:val="24"/>
          <w:szCs w:val="24"/>
        </w:rPr>
        <w:t xml:space="preserve"> Sample processing</w:t>
      </w:r>
    </w:p>
    <w:p w14:paraId="02BB6576" w14:textId="77777777" w:rsidR="008B38FD" w:rsidRPr="00252B58" w:rsidRDefault="009411F5" w:rsidP="002C76CD">
      <w:pPr>
        <w:spacing w:line="480" w:lineRule="auto"/>
        <w:jc w:val="both"/>
        <w:rPr>
          <w:rFonts w:ascii="Arial" w:hAnsi="Arial" w:cs="Arial"/>
          <w:sz w:val="24"/>
          <w:szCs w:val="24"/>
          <w:lang w:val="en-US"/>
        </w:rPr>
      </w:pPr>
      <w:r w:rsidRPr="00252B58">
        <w:rPr>
          <w:rFonts w:ascii="Arial" w:hAnsi="Arial" w:cs="Arial"/>
          <w:sz w:val="24"/>
          <w:szCs w:val="24"/>
        </w:rPr>
        <w:t xml:space="preserve">All the samples were analysed by the </w:t>
      </w:r>
      <w:r w:rsidR="001D5FE0" w:rsidRPr="00252B58">
        <w:rPr>
          <w:rFonts w:ascii="Arial" w:hAnsi="Arial" w:cs="Arial"/>
          <w:sz w:val="24"/>
          <w:szCs w:val="24"/>
        </w:rPr>
        <w:t>gas chromatography</w:t>
      </w:r>
      <w:r w:rsidR="001D5FE0" w:rsidRPr="00252B58">
        <w:rPr>
          <w:rFonts w:ascii="Arial" w:hAnsi="Arial" w:cs="Arial"/>
          <w:sz w:val="24"/>
        </w:rPr>
        <w:t>-sensor</w:t>
      </w:r>
      <w:r w:rsidR="001D5FE0" w:rsidRPr="00252B58">
        <w:rPr>
          <w:rFonts w:ascii="Arial" w:hAnsi="Arial" w:cs="Arial"/>
          <w:sz w:val="24"/>
          <w:szCs w:val="24"/>
        </w:rPr>
        <w:t xml:space="preserve"> system </w:t>
      </w:r>
      <w:r w:rsidRPr="00252B58">
        <w:rPr>
          <w:rFonts w:ascii="Arial" w:hAnsi="Arial" w:cs="Arial"/>
          <w:sz w:val="24"/>
          <w:szCs w:val="24"/>
        </w:rPr>
        <w:t>in 2012</w:t>
      </w:r>
      <w:r w:rsidR="001B0E8B" w:rsidRPr="00252B58">
        <w:rPr>
          <w:rFonts w:ascii="Arial" w:hAnsi="Arial" w:cs="Arial"/>
          <w:sz w:val="24"/>
          <w:szCs w:val="24"/>
        </w:rPr>
        <w:t>,</w:t>
      </w:r>
      <w:r w:rsidRPr="00252B58">
        <w:rPr>
          <w:rFonts w:ascii="Arial" w:hAnsi="Arial" w:cs="Arial"/>
          <w:sz w:val="24"/>
          <w:szCs w:val="24"/>
        </w:rPr>
        <w:t xml:space="preserve"> the device no</w:t>
      </w:r>
      <w:r w:rsidR="004E7839" w:rsidRPr="00252B58">
        <w:rPr>
          <w:rFonts w:ascii="Arial" w:hAnsi="Arial" w:cs="Arial"/>
          <w:sz w:val="24"/>
          <w:szCs w:val="24"/>
        </w:rPr>
        <w:t xml:space="preserve">t </w:t>
      </w:r>
      <w:r w:rsidRPr="00252B58">
        <w:rPr>
          <w:rFonts w:ascii="Arial" w:hAnsi="Arial" w:cs="Arial"/>
          <w:sz w:val="24"/>
          <w:szCs w:val="24"/>
        </w:rPr>
        <w:t xml:space="preserve"> </w:t>
      </w:r>
      <w:r w:rsidR="001B0E8B" w:rsidRPr="00252B58">
        <w:rPr>
          <w:rFonts w:ascii="Arial" w:hAnsi="Arial" w:cs="Arial"/>
          <w:sz w:val="24"/>
          <w:szCs w:val="24"/>
        </w:rPr>
        <w:t xml:space="preserve">being </w:t>
      </w:r>
      <w:r w:rsidRPr="00252B58">
        <w:rPr>
          <w:rFonts w:ascii="Arial" w:hAnsi="Arial" w:cs="Arial"/>
          <w:sz w:val="24"/>
          <w:szCs w:val="24"/>
        </w:rPr>
        <w:t xml:space="preserve">available </w:t>
      </w:r>
      <w:r w:rsidR="001B0E8B" w:rsidRPr="00252B58">
        <w:rPr>
          <w:rFonts w:ascii="Arial" w:hAnsi="Arial" w:cs="Arial"/>
          <w:sz w:val="24"/>
          <w:szCs w:val="24"/>
        </w:rPr>
        <w:t>prior to 2012</w:t>
      </w:r>
      <w:r w:rsidRPr="00252B58">
        <w:rPr>
          <w:rFonts w:ascii="Arial" w:hAnsi="Arial" w:cs="Arial"/>
          <w:sz w:val="24"/>
          <w:szCs w:val="24"/>
        </w:rPr>
        <w:t xml:space="preserve">. </w:t>
      </w:r>
      <w:r w:rsidR="000E7A4F" w:rsidRPr="00252B58">
        <w:rPr>
          <w:rFonts w:ascii="Arial" w:hAnsi="Arial" w:cs="Arial"/>
          <w:sz w:val="24"/>
          <w:szCs w:val="24"/>
        </w:rPr>
        <w:t xml:space="preserve">Faecal samples were processed following </w:t>
      </w:r>
      <w:r w:rsidR="00C866A4" w:rsidRPr="00252B58">
        <w:rPr>
          <w:rFonts w:ascii="Arial" w:hAnsi="Arial" w:cs="Arial"/>
          <w:sz w:val="24"/>
          <w:szCs w:val="24"/>
        </w:rPr>
        <w:t xml:space="preserve">the method proposed by </w:t>
      </w:r>
      <w:r w:rsidR="004F1F77" w:rsidRPr="00252B58">
        <w:rPr>
          <w:rFonts w:ascii="Arial" w:hAnsi="Arial" w:cs="Arial"/>
          <w:sz w:val="24"/>
          <w:szCs w:val="24"/>
        </w:rPr>
        <w:t>Ahmed et al</w:t>
      </w:r>
      <w:r w:rsidR="004E7839" w:rsidRPr="00252B58">
        <w:rPr>
          <w:rFonts w:ascii="Arial" w:hAnsi="Arial" w:cs="Arial"/>
          <w:sz w:val="24"/>
          <w:szCs w:val="24"/>
        </w:rPr>
        <w:t xml:space="preserve"> </w:t>
      </w:r>
      <w:r w:rsidR="004F1F77" w:rsidRPr="00252B58">
        <w:rPr>
          <w:rFonts w:ascii="Arial" w:hAnsi="Arial" w:cs="Arial"/>
          <w:sz w:val="24"/>
          <w:szCs w:val="24"/>
        </w:rPr>
        <w:t>2013</w:t>
      </w:r>
      <w:r w:rsidR="009F7273" w:rsidRPr="00252B58">
        <w:rPr>
          <w:rFonts w:ascii="Arial" w:hAnsi="Arial" w:cs="Arial"/>
          <w:sz w:val="24"/>
          <w:szCs w:val="24"/>
          <w:vertAlign w:val="superscript"/>
        </w:rPr>
        <w:t>23</w:t>
      </w:r>
      <w:r w:rsidR="00526795" w:rsidRPr="00252B58">
        <w:rPr>
          <w:rFonts w:ascii="Arial" w:hAnsi="Arial" w:cs="Arial"/>
          <w:sz w:val="24"/>
          <w:szCs w:val="24"/>
        </w:rPr>
        <w:t xml:space="preserve">. </w:t>
      </w:r>
      <w:r w:rsidR="00563240" w:rsidRPr="00252B58">
        <w:rPr>
          <w:rFonts w:ascii="Arial" w:hAnsi="Arial" w:cs="Arial"/>
          <w:sz w:val="24"/>
          <w:szCs w:val="24"/>
        </w:rPr>
        <w:t>In summary</w:t>
      </w:r>
      <w:r w:rsidR="00526795" w:rsidRPr="00252B58">
        <w:rPr>
          <w:rFonts w:ascii="Arial" w:hAnsi="Arial" w:cs="Arial"/>
          <w:sz w:val="24"/>
          <w:szCs w:val="24"/>
        </w:rPr>
        <w:t xml:space="preserve">, </w:t>
      </w:r>
      <w:r w:rsidR="008549E5" w:rsidRPr="00252B58">
        <w:rPr>
          <w:rFonts w:ascii="Arial" w:hAnsi="Arial" w:cs="Arial"/>
          <w:sz w:val="24"/>
          <w:szCs w:val="24"/>
        </w:rPr>
        <w:t xml:space="preserve">1gm </w:t>
      </w:r>
      <w:r w:rsidR="00A75CBD" w:rsidRPr="00252B58">
        <w:rPr>
          <w:rFonts w:ascii="Arial" w:hAnsi="Arial" w:cs="Arial"/>
          <w:sz w:val="24"/>
          <w:szCs w:val="24"/>
        </w:rPr>
        <w:t>a</w:t>
      </w:r>
      <w:r w:rsidR="008B38FD" w:rsidRPr="00252B58">
        <w:rPr>
          <w:rFonts w:ascii="Arial" w:hAnsi="Arial" w:cs="Arial"/>
          <w:sz w:val="24"/>
          <w:szCs w:val="24"/>
        </w:rPr>
        <w:t xml:space="preserve">liquots of faecal samples were stored in </w:t>
      </w:r>
      <w:r w:rsidR="00290972" w:rsidRPr="00252B58">
        <w:rPr>
          <w:rFonts w:ascii="Arial" w:hAnsi="Arial" w:cs="Arial"/>
          <w:sz w:val="24"/>
          <w:szCs w:val="24"/>
        </w:rPr>
        <w:t>18</w:t>
      </w:r>
      <w:r w:rsidR="008B38FD" w:rsidRPr="00252B58">
        <w:rPr>
          <w:rFonts w:ascii="Arial" w:hAnsi="Arial" w:cs="Arial"/>
          <w:sz w:val="24"/>
          <w:szCs w:val="24"/>
        </w:rPr>
        <w:t xml:space="preserve"> ml glass headspace vials (Supelco, Sigma Aldrich) within 6h of sample production and frozen at −20</w:t>
      </w:r>
      <w:r w:rsidR="008B38FD" w:rsidRPr="00252B58">
        <w:rPr>
          <w:rFonts w:ascii="Arial" w:hAnsi="Arial" w:cs="Arial"/>
          <w:b/>
          <w:sz w:val="24"/>
          <w:szCs w:val="24"/>
        </w:rPr>
        <w:t>°</w:t>
      </w:r>
      <w:r w:rsidR="008B38FD" w:rsidRPr="00252B58">
        <w:rPr>
          <w:rFonts w:ascii="Arial" w:hAnsi="Arial" w:cs="Arial"/>
          <w:sz w:val="24"/>
          <w:szCs w:val="24"/>
        </w:rPr>
        <w:t xml:space="preserve">C. </w:t>
      </w:r>
      <w:r w:rsidR="00A75CBD" w:rsidRPr="00252B58">
        <w:rPr>
          <w:rFonts w:ascii="Arial" w:hAnsi="Arial" w:cs="Arial"/>
          <w:sz w:val="24"/>
          <w:szCs w:val="24"/>
        </w:rPr>
        <w:t xml:space="preserve">In 2012, samples were processed by the </w:t>
      </w:r>
      <w:r w:rsidR="001D5FE0" w:rsidRPr="00252B58">
        <w:rPr>
          <w:rFonts w:ascii="Arial" w:hAnsi="Arial" w:cs="Arial"/>
          <w:sz w:val="24"/>
          <w:szCs w:val="24"/>
        </w:rPr>
        <w:t>system</w:t>
      </w:r>
      <w:r w:rsidR="00444AA6" w:rsidRPr="00252B58">
        <w:rPr>
          <w:rFonts w:ascii="Arial" w:hAnsi="Arial" w:cs="Arial"/>
          <w:sz w:val="24"/>
          <w:szCs w:val="24"/>
        </w:rPr>
        <w:t>. Previous studies showed</w:t>
      </w:r>
      <w:r w:rsidR="001D5FE0" w:rsidRPr="00252B58">
        <w:rPr>
          <w:rFonts w:ascii="Arial" w:hAnsi="Arial" w:cs="Arial"/>
          <w:sz w:val="24"/>
          <w:szCs w:val="24"/>
        </w:rPr>
        <w:t xml:space="preserve"> no loss of volatile chemical</w:t>
      </w:r>
      <w:r w:rsidRPr="00252B58">
        <w:rPr>
          <w:rFonts w:ascii="Arial" w:hAnsi="Arial" w:cs="Arial"/>
          <w:sz w:val="24"/>
          <w:szCs w:val="24"/>
        </w:rPr>
        <w:t>s</w:t>
      </w:r>
      <w:r w:rsidR="00444AA6" w:rsidRPr="00252B58">
        <w:rPr>
          <w:rFonts w:ascii="Arial" w:hAnsi="Arial" w:cs="Arial"/>
          <w:sz w:val="24"/>
          <w:szCs w:val="24"/>
        </w:rPr>
        <w:t xml:space="preserve"> from faecal samples stored at −20</w:t>
      </w:r>
      <w:r w:rsidR="00444AA6" w:rsidRPr="00252B58">
        <w:rPr>
          <w:rFonts w:ascii="Arial" w:hAnsi="Arial" w:cs="Arial"/>
          <w:b/>
          <w:sz w:val="24"/>
          <w:szCs w:val="24"/>
        </w:rPr>
        <w:t>°</w:t>
      </w:r>
      <w:r w:rsidR="00444AA6" w:rsidRPr="00252B58">
        <w:rPr>
          <w:rFonts w:ascii="Arial" w:hAnsi="Arial" w:cs="Arial"/>
          <w:sz w:val="24"/>
          <w:szCs w:val="24"/>
        </w:rPr>
        <w:t>C</w:t>
      </w:r>
      <w:r w:rsidR="009F7273" w:rsidRPr="00252B58">
        <w:rPr>
          <w:rFonts w:ascii="Arial" w:hAnsi="Arial" w:cs="Arial"/>
          <w:sz w:val="24"/>
          <w:szCs w:val="24"/>
          <w:vertAlign w:val="superscript"/>
        </w:rPr>
        <w:t>23</w:t>
      </w:r>
      <w:r w:rsidRPr="00252B58">
        <w:rPr>
          <w:rFonts w:ascii="Arial" w:hAnsi="Arial" w:cs="Arial"/>
          <w:sz w:val="24"/>
          <w:szCs w:val="24"/>
        </w:rPr>
        <w:t>.</w:t>
      </w:r>
      <w:r w:rsidR="00A75CBD" w:rsidRPr="00252B58">
        <w:rPr>
          <w:rFonts w:ascii="Arial" w:hAnsi="Arial" w:cs="Arial"/>
          <w:sz w:val="24"/>
          <w:szCs w:val="24"/>
        </w:rPr>
        <w:t xml:space="preserve"> </w:t>
      </w:r>
      <w:r w:rsidR="008B38FD" w:rsidRPr="00252B58">
        <w:rPr>
          <w:rFonts w:ascii="Arial" w:hAnsi="Arial" w:cs="Arial"/>
          <w:sz w:val="24"/>
          <w:szCs w:val="24"/>
        </w:rPr>
        <w:t>Each frozen sample was heated for 10 min at 50</w:t>
      </w:r>
      <w:r w:rsidR="008B38FD" w:rsidRPr="00252B58">
        <w:rPr>
          <w:rFonts w:ascii="Arial" w:hAnsi="Arial" w:cs="Arial"/>
          <w:b/>
          <w:sz w:val="24"/>
          <w:szCs w:val="24"/>
        </w:rPr>
        <w:t>°</w:t>
      </w:r>
      <w:r w:rsidR="008B38FD" w:rsidRPr="00252B58">
        <w:rPr>
          <w:rFonts w:ascii="Arial" w:hAnsi="Arial" w:cs="Arial"/>
          <w:sz w:val="24"/>
          <w:szCs w:val="24"/>
        </w:rPr>
        <w:t>C. After this, 2 cm</w:t>
      </w:r>
      <w:r w:rsidR="008B38FD" w:rsidRPr="00252B58">
        <w:rPr>
          <w:rFonts w:ascii="Arial" w:hAnsi="Arial" w:cs="Arial"/>
          <w:sz w:val="24"/>
          <w:szCs w:val="24"/>
          <w:vertAlign w:val="superscript"/>
        </w:rPr>
        <w:t>3</w:t>
      </w:r>
      <w:r w:rsidR="001B0E8B" w:rsidRPr="00252B58">
        <w:rPr>
          <w:rFonts w:ascii="Arial" w:hAnsi="Arial" w:cs="Arial"/>
          <w:sz w:val="24"/>
          <w:szCs w:val="24"/>
        </w:rPr>
        <w:t xml:space="preserve"> of its headspace were</w:t>
      </w:r>
      <w:r w:rsidR="008B38FD" w:rsidRPr="00252B58">
        <w:rPr>
          <w:rFonts w:ascii="Arial" w:hAnsi="Arial" w:cs="Arial"/>
          <w:sz w:val="24"/>
          <w:szCs w:val="24"/>
        </w:rPr>
        <w:t xml:space="preserve"> collected and injected into the GC column of the </w:t>
      </w:r>
      <w:r w:rsidR="001D5FE0" w:rsidRPr="00252B58">
        <w:rPr>
          <w:rFonts w:ascii="Arial" w:hAnsi="Arial" w:cs="Arial"/>
          <w:sz w:val="24"/>
          <w:szCs w:val="24"/>
        </w:rPr>
        <w:t>gas chromatography</w:t>
      </w:r>
      <w:r w:rsidR="001D5FE0" w:rsidRPr="00252B58">
        <w:rPr>
          <w:rFonts w:ascii="Arial" w:hAnsi="Arial" w:cs="Arial"/>
          <w:sz w:val="24"/>
        </w:rPr>
        <w:t>-sensor</w:t>
      </w:r>
      <w:r w:rsidR="001D5FE0" w:rsidRPr="00252B58">
        <w:rPr>
          <w:rFonts w:ascii="Arial" w:hAnsi="Arial" w:cs="Arial"/>
          <w:sz w:val="24"/>
          <w:szCs w:val="24"/>
        </w:rPr>
        <w:t xml:space="preserve"> system</w:t>
      </w:r>
      <w:r w:rsidR="008549E5" w:rsidRPr="00252B58">
        <w:rPr>
          <w:rFonts w:ascii="Arial" w:hAnsi="Arial" w:cs="Arial"/>
          <w:sz w:val="24"/>
          <w:szCs w:val="24"/>
          <w:vertAlign w:val="superscript"/>
        </w:rPr>
        <w:t>1</w:t>
      </w:r>
      <w:r w:rsidR="009F7273" w:rsidRPr="00252B58">
        <w:rPr>
          <w:rFonts w:ascii="Arial" w:hAnsi="Arial" w:cs="Arial"/>
          <w:sz w:val="24"/>
          <w:szCs w:val="24"/>
          <w:vertAlign w:val="superscript"/>
        </w:rPr>
        <w:t>5</w:t>
      </w:r>
      <w:r w:rsidR="008B38FD" w:rsidRPr="00252B58">
        <w:rPr>
          <w:rFonts w:ascii="Arial" w:hAnsi="Arial" w:cs="Arial"/>
          <w:sz w:val="24"/>
          <w:szCs w:val="24"/>
        </w:rPr>
        <w:t>. Detailed descriptions of the hardware and software</w:t>
      </w:r>
      <w:r w:rsidR="009F7273" w:rsidRPr="00252B58">
        <w:rPr>
          <w:rFonts w:ascii="Arial" w:hAnsi="Arial" w:cs="Arial"/>
          <w:sz w:val="24"/>
          <w:szCs w:val="24"/>
          <w:vertAlign w:val="superscript"/>
        </w:rPr>
        <w:t>18</w:t>
      </w:r>
      <w:r w:rsidR="008B38FD" w:rsidRPr="00252B58">
        <w:rPr>
          <w:rFonts w:ascii="Arial" w:hAnsi="Arial" w:cs="Arial"/>
          <w:sz w:val="24"/>
          <w:szCs w:val="24"/>
        </w:rPr>
        <w:t xml:space="preserve"> are reported elsewhere. In summary, the </w:t>
      </w:r>
      <w:r w:rsidR="001D5FE0" w:rsidRPr="00252B58">
        <w:rPr>
          <w:rFonts w:ascii="Arial" w:hAnsi="Arial" w:cs="Arial"/>
          <w:sz w:val="24"/>
          <w:szCs w:val="24"/>
        </w:rPr>
        <w:t>gas chromatography</w:t>
      </w:r>
      <w:r w:rsidR="001D5FE0" w:rsidRPr="00252B58">
        <w:rPr>
          <w:rFonts w:ascii="Arial" w:hAnsi="Arial" w:cs="Arial"/>
          <w:sz w:val="24"/>
        </w:rPr>
        <w:t>-sensor</w:t>
      </w:r>
      <w:r w:rsidR="001D5FE0" w:rsidRPr="00252B58">
        <w:rPr>
          <w:rFonts w:ascii="Arial" w:hAnsi="Arial" w:cs="Arial"/>
          <w:sz w:val="24"/>
          <w:szCs w:val="24"/>
        </w:rPr>
        <w:t xml:space="preserve"> system </w:t>
      </w:r>
      <w:r w:rsidR="008B38FD" w:rsidRPr="00252B58">
        <w:rPr>
          <w:rFonts w:ascii="Arial" w:hAnsi="Arial" w:cs="Arial"/>
          <w:sz w:val="24"/>
          <w:szCs w:val="24"/>
        </w:rPr>
        <w:t xml:space="preserve">is composed of a gas chromatography column coupled to a metal oxide gas sensor. The sensor is controlled via an electronic circuit monitored by computer software, which records the electrical </w:t>
      </w:r>
      <w:r w:rsidR="008B38FD" w:rsidRPr="00252B58">
        <w:rPr>
          <w:rFonts w:ascii="Arial" w:hAnsi="Arial" w:cs="Arial"/>
          <w:sz w:val="24"/>
          <w:szCs w:val="24"/>
        </w:rPr>
        <w:lastRenderedPageBreak/>
        <w:t xml:space="preserve">resistance of the sensor at 0.5 second intervals during </w:t>
      </w:r>
      <w:r w:rsidR="001B0E8B" w:rsidRPr="00252B58">
        <w:rPr>
          <w:rFonts w:ascii="Arial" w:hAnsi="Arial" w:cs="Arial"/>
          <w:sz w:val="24"/>
          <w:szCs w:val="24"/>
        </w:rPr>
        <w:t xml:space="preserve">each </w:t>
      </w:r>
      <w:r w:rsidR="008B38FD" w:rsidRPr="00252B58">
        <w:rPr>
          <w:rFonts w:ascii="Arial" w:hAnsi="Arial" w:cs="Arial"/>
          <w:sz w:val="24"/>
          <w:szCs w:val="24"/>
        </w:rPr>
        <w:t>40 minute</w:t>
      </w:r>
      <w:r w:rsidR="001B0E8B" w:rsidRPr="00252B58">
        <w:rPr>
          <w:rFonts w:ascii="Arial" w:hAnsi="Arial" w:cs="Arial"/>
          <w:sz w:val="24"/>
          <w:szCs w:val="24"/>
        </w:rPr>
        <w:t xml:space="preserve"> machine run</w:t>
      </w:r>
      <w:r w:rsidR="008B38FD" w:rsidRPr="00252B58">
        <w:rPr>
          <w:rFonts w:ascii="Arial" w:hAnsi="Arial" w:cs="Arial"/>
          <w:sz w:val="24"/>
          <w:szCs w:val="24"/>
        </w:rPr>
        <w:t>. The resistance profile of each sample generated by the</w:t>
      </w:r>
      <w:r w:rsidR="001D5FE0" w:rsidRPr="00252B58">
        <w:rPr>
          <w:rFonts w:ascii="Arial" w:hAnsi="Arial" w:cs="Arial"/>
          <w:sz w:val="24"/>
          <w:szCs w:val="24"/>
        </w:rPr>
        <w:t xml:space="preserve"> gas chromatography</w:t>
      </w:r>
      <w:r w:rsidR="001D5FE0" w:rsidRPr="00252B58">
        <w:rPr>
          <w:rFonts w:ascii="Arial" w:hAnsi="Arial" w:cs="Arial"/>
          <w:sz w:val="24"/>
        </w:rPr>
        <w:t xml:space="preserve">-sensor system </w:t>
      </w:r>
      <w:r w:rsidR="008B38FD" w:rsidRPr="00252B58">
        <w:rPr>
          <w:rFonts w:ascii="Arial" w:hAnsi="Arial" w:cs="Arial"/>
          <w:sz w:val="24"/>
          <w:szCs w:val="24"/>
        </w:rPr>
        <w:t xml:space="preserve">was stored in individual </w:t>
      </w:r>
      <w:r w:rsidR="003F265C" w:rsidRPr="00252B58">
        <w:rPr>
          <w:rFonts w:ascii="Arial" w:hAnsi="Arial" w:cs="Arial"/>
          <w:sz w:val="24"/>
          <w:szCs w:val="24"/>
        </w:rPr>
        <w:t xml:space="preserve">text </w:t>
      </w:r>
      <w:r w:rsidR="008B38FD" w:rsidRPr="00252B58">
        <w:rPr>
          <w:rFonts w:ascii="Arial" w:hAnsi="Arial" w:cs="Arial"/>
          <w:sz w:val="24"/>
          <w:szCs w:val="24"/>
        </w:rPr>
        <w:t>files.</w:t>
      </w:r>
    </w:p>
    <w:p w14:paraId="6A301823" w14:textId="77777777" w:rsidR="008B38FD" w:rsidRPr="00252B58" w:rsidRDefault="008B38FD" w:rsidP="002C76CD">
      <w:pPr>
        <w:spacing w:line="480" w:lineRule="auto"/>
        <w:jc w:val="both"/>
        <w:rPr>
          <w:rFonts w:ascii="Arial" w:hAnsi="Arial" w:cs="Arial"/>
          <w:i/>
          <w:sz w:val="24"/>
        </w:rPr>
      </w:pPr>
      <w:r w:rsidRPr="00252B58">
        <w:rPr>
          <w:rFonts w:ascii="Arial" w:hAnsi="Arial" w:cs="Arial"/>
          <w:i/>
          <w:sz w:val="24"/>
        </w:rPr>
        <w:t>2.3 - Statistical analysis</w:t>
      </w:r>
    </w:p>
    <w:p w14:paraId="521AE05E" w14:textId="77777777" w:rsidR="008B38FD" w:rsidRPr="00252B58" w:rsidRDefault="00A75CBD" w:rsidP="002C76CD">
      <w:pPr>
        <w:spacing w:line="480" w:lineRule="auto"/>
        <w:jc w:val="both"/>
        <w:rPr>
          <w:rFonts w:ascii="Arial" w:hAnsi="Arial" w:cs="Arial"/>
          <w:sz w:val="24"/>
          <w:lang w:val="en-US"/>
        </w:rPr>
      </w:pPr>
      <w:r w:rsidRPr="00252B58">
        <w:rPr>
          <w:rFonts w:ascii="Arial" w:hAnsi="Arial" w:cs="Arial"/>
          <w:sz w:val="24"/>
        </w:rPr>
        <w:t xml:space="preserve">The </w:t>
      </w:r>
      <w:r w:rsidR="001D5FE0" w:rsidRPr="00252B58">
        <w:rPr>
          <w:rFonts w:ascii="Arial" w:hAnsi="Arial" w:cs="Arial"/>
          <w:sz w:val="24"/>
          <w:szCs w:val="24"/>
        </w:rPr>
        <w:t>gas chromatography</w:t>
      </w:r>
      <w:r w:rsidR="001D5FE0" w:rsidRPr="00252B58">
        <w:rPr>
          <w:rFonts w:ascii="Arial" w:hAnsi="Arial" w:cs="Arial"/>
          <w:sz w:val="24"/>
        </w:rPr>
        <w:t xml:space="preserve">-sensor </w:t>
      </w:r>
      <w:r w:rsidRPr="00252B58">
        <w:rPr>
          <w:rFonts w:ascii="Arial" w:hAnsi="Arial" w:cs="Arial"/>
          <w:sz w:val="24"/>
        </w:rPr>
        <w:t xml:space="preserve">data generated in 2012 were analysed by a new pipeline in 2015/6. </w:t>
      </w:r>
      <w:r w:rsidR="00DC21FE" w:rsidRPr="00252B58">
        <w:rPr>
          <w:rFonts w:ascii="Arial" w:hAnsi="Arial" w:cs="Arial"/>
          <w:sz w:val="24"/>
        </w:rPr>
        <w:t>A thorough description of the pipeline use</w:t>
      </w:r>
      <w:r w:rsidR="00851810" w:rsidRPr="00252B58">
        <w:rPr>
          <w:rFonts w:ascii="Arial" w:hAnsi="Arial" w:cs="Arial"/>
          <w:sz w:val="24"/>
        </w:rPr>
        <w:t>d here</w:t>
      </w:r>
      <w:r w:rsidR="00DC21FE" w:rsidRPr="00252B58">
        <w:rPr>
          <w:rFonts w:ascii="Arial" w:hAnsi="Arial" w:cs="Arial"/>
          <w:sz w:val="24"/>
        </w:rPr>
        <w:t xml:space="preserve"> for statistical analysis</w:t>
      </w:r>
      <w:r w:rsidR="00851810" w:rsidRPr="00252B58">
        <w:rPr>
          <w:rFonts w:ascii="Arial" w:hAnsi="Arial" w:cs="Arial"/>
          <w:sz w:val="24"/>
        </w:rPr>
        <w:t xml:space="preserve"> is </w:t>
      </w:r>
      <w:r w:rsidR="00444AA6" w:rsidRPr="00252B58">
        <w:rPr>
          <w:rFonts w:ascii="Arial" w:hAnsi="Arial" w:cs="Arial"/>
          <w:sz w:val="24"/>
        </w:rPr>
        <w:t>described in</w:t>
      </w:r>
      <w:r w:rsidR="00851810" w:rsidRPr="00252B58">
        <w:rPr>
          <w:rFonts w:ascii="Arial" w:hAnsi="Arial" w:cs="Arial"/>
          <w:sz w:val="24"/>
        </w:rPr>
        <w:t xml:space="preserve"> Aggio et al. 2016</w:t>
      </w:r>
      <w:r w:rsidR="009F7273" w:rsidRPr="00252B58">
        <w:rPr>
          <w:rFonts w:ascii="Arial" w:hAnsi="Arial" w:cs="Arial"/>
          <w:sz w:val="24"/>
          <w:vertAlign w:val="superscript"/>
        </w:rPr>
        <w:t>18</w:t>
      </w:r>
      <w:r w:rsidR="00851810" w:rsidRPr="00252B58">
        <w:rPr>
          <w:rFonts w:ascii="Arial" w:hAnsi="Arial" w:cs="Arial"/>
          <w:sz w:val="24"/>
        </w:rPr>
        <w:t xml:space="preserve">. </w:t>
      </w:r>
      <w:r w:rsidR="008B38FD" w:rsidRPr="00252B58">
        <w:rPr>
          <w:rFonts w:ascii="Arial" w:hAnsi="Arial" w:cs="Arial"/>
          <w:sz w:val="24"/>
        </w:rPr>
        <w:t xml:space="preserve">In summary, the </w:t>
      </w:r>
      <w:r w:rsidR="001D5FE0" w:rsidRPr="00252B58">
        <w:rPr>
          <w:rFonts w:ascii="Arial" w:hAnsi="Arial" w:cs="Arial"/>
          <w:sz w:val="24"/>
          <w:szCs w:val="24"/>
        </w:rPr>
        <w:t>gas chromatography</w:t>
      </w:r>
      <w:r w:rsidR="001D5FE0" w:rsidRPr="00252B58">
        <w:rPr>
          <w:rFonts w:ascii="Arial" w:hAnsi="Arial" w:cs="Arial"/>
          <w:sz w:val="24"/>
        </w:rPr>
        <w:t xml:space="preserve">-sensor characterizes the </w:t>
      </w:r>
      <w:r w:rsidR="001D5FE0" w:rsidRPr="00252B58">
        <w:rPr>
          <w:rFonts w:ascii="Arial" w:hAnsi="Arial" w:cs="Arial"/>
          <w:sz w:val="24"/>
          <w:szCs w:val="24"/>
        </w:rPr>
        <w:t>volatile chemicals</w:t>
      </w:r>
      <w:r w:rsidR="008B38FD" w:rsidRPr="00252B58">
        <w:rPr>
          <w:rFonts w:ascii="Arial" w:hAnsi="Arial" w:cs="Arial"/>
          <w:sz w:val="24"/>
        </w:rPr>
        <w:t xml:space="preserve"> present in biological samples. It produces a profile of the sensor resistance vs. time</w:t>
      </w:r>
      <w:r w:rsidR="001B0E8B" w:rsidRPr="00252B58">
        <w:rPr>
          <w:rFonts w:ascii="Arial" w:hAnsi="Arial" w:cs="Arial"/>
          <w:sz w:val="24"/>
        </w:rPr>
        <w:t>,</w:t>
      </w:r>
      <w:r w:rsidR="008B38FD" w:rsidRPr="00252B58">
        <w:rPr>
          <w:rFonts w:ascii="Arial" w:hAnsi="Arial" w:cs="Arial"/>
          <w:sz w:val="24"/>
        </w:rPr>
        <w:t xml:space="preserve"> which describes </w:t>
      </w:r>
      <w:r w:rsidR="003143DC" w:rsidRPr="00252B58">
        <w:rPr>
          <w:rFonts w:ascii="Arial" w:hAnsi="Arial" w:cs="Arial"/>
          <w:sz w:val="24"/>
        </w:rPr>
        <w:t>how the</w:t>
      </w:r>
      <w:r w:rsidR="001B0E8B" w:rsidRPr="00252B58">
        <w:rPr>
          <w:rFonts w:ascii="Arial" w:hAnsi="Arial" w:cs="Arial"/>
          <w:sz w:val="24"/>
        </w:rPr>
        <w:t xml:space="preserve"> </w:t>
      </w:r>
      <w:r w:rsidR="001B0E8B" w:rsidRPr="00252B58">
        <w:rPr>
          <w:rFonts w:ascii="Arial" w:hAnsi="Arial" w:cs="Arial"/>
          <w:sz w:val="24"/>
          <w:szCs w:val="24"/>
        </w:rPr>
        <w:t>abundance</w:t>
      </w:r>
      <w:r w:rsidR="003143DC" w:rsidRPr="00252B58">
        <w:rPr>
          <w:rFonts w:ascii="Arial" w:hAnsi="Arial" w:cs="Arial"/>
          <w:sz w:val="24"/>
          <w:szCs w:val="24"/>
        </w:rPr>
        <w:t>s</w:t>
      </w:r>
      <w:r w:rsidR="001B0E8B" w:rsidRPr="00252B58">
        <w:rPr>
          <w:rFonts w:ascii="Arial" w:hAnsi="Arial" w:cs="Arial"/>
          <w:sz w:val="24"/>
          <w:szCs w:val="24"/>
        </w:rPr>
        <w:t xml:space="preserve"> </w:t>
      </w:r>
      <w:r w:rsidR="008B38FD" w:rsidRPr="00252B58">
        <w:rPr>
          <w:rFonts w:ascii="Arial" w:hAnsi="Arial" w:cs="Arial"/>
          <w:sz w:val="24"/>
          <w:szCs w:val="24"/>
        </w:rPr>
        <w:t xml:space="preserve">of </w:t>
      </w:r>
      <w:r w:rsidR="001D5FE0" w:rsidRPr="00252B58">
        <w:rPr>
          <w:rFonts w:ascii="Arial" w:hAnsi="Arial" w:cs="Arial"/>
          <w:sz w:val="24"/>
          <w:szCs w:val="24"/>
        </w:rPr>
        <w:t xml:space="preserve">volatile compounds </w:t>
      </w:r>
      <w:r w:rsidR="008B38FD" w:rsidRPr="00252B58">
        <w:rPr>
          <w:rFonts w:ascii="Arial" w:hAnsi="Arial" w:cs="Arial"/>
          <w:sz w:val="24"/>
          <w:szCs w:val="24"/>
        </w:rPr>
        <w:t>c</w:t>
      </w:r>
      <w:r w:rsidR="003143DC" w:rsidRPr="00252B58">
        <w:rPr>
          <w:rFonts w:ascii="Arial" w:hAnsi="Arial" w:cs="Arial"/>
          <w:sz w:val="24"/>
        </w:rPr>
        <w:t>hange</w:t>
      </w:r>
      <w:r w:rsidR="008B38FD" w:rsidRPr="00252B58">
        <w:rPr>
          <w:rFonts w:ascii="Arial" w:hAnsi="Arial" w:cs="Arial"/>
          <w:sz w:val="24"/>
        </w:rPr>
        <w:t xml:space="preserve"> with time. </w:t>
      </w:r>
      <w:r w:rsidR="00CD013F" w:rsidRPr="00252B58">
        <w:rPr>
          <w:rFonts w:ascii="Arial" w:hAnsi="Arial" w:cs="Arial"/>
          <w:sz w:val="24"/>
        </w:rPr>
        <w:t>S</w:t>
      </w:r>
      <w:r w:rsidR="00FE177D" w:rsidRPr="00252B58">
        <w:rPr>
          <w:rFonts w:ascii="Arial" w:hAnsi="Arial" w:cs="Arial"/>
          <w:sz w:val="24"/>
        </w:rPr>
        <w:t xml:space="preserve">upplementary </w:t>
      </w:r>
      <w:r w:rsidR="008B38FD" w:rsidRPr="00252B58">
        <w:rPr>
          <w:rFonts w:ascii="Arial" w:hAnsi="Arial" w:cs="Arial"/>
          <w:sz w:val="24"/>
        </w:rPr>
        <w:t xml:space="preserve">Figure </w:t>
      </w:r>
      <w:r w:rsidR="00FE177D" w:rsidRPr="00252B58">
        <w:rPr>
          <w:rFonts w:ascii="Arial" w:hAnsi="Arial" w:cs="Arial"/>
          <w:sz w:val="24"/>
        </w:rPr>
        <w:t>S</w:t>
      </w:r>
      <w:r w:rsidR="008B38FD" w:rsidRPr="00252B58">
        <w:rPr>
          <w:rFonts w:ascii="Arial" w:hAnsi="Arial" w:cs="Arial"/>
          <w:sz w:val="24"/>
        </w:rPr>
        <w:t xml:space="preserve">1 is a </w:t>
      </w:r>
      <w:r w:rsidR="001B0E8B" w:rsidRPr="00252B58">
        <w:rPr>
          <w:rFonts w:ascii="Arial" w:hAnsi="Arial" w:cs="Arial"/>
          <w:sz w:val="24"/>
        </w:rPr>
        <w:t xml:space="preserve">illustrative </w:t>
      </w:r>
      <w:r w:rsidR="008B38FD" w:rsidRPr="00252B58">
        <w:rPr>
          <w:rFonts w:ascii="Arial" w:hAnsi="Arial" w:cs="Arial"/>
          <w:sz w:val="24"/>
        </w:rPr>
        <w:t>plot of the average normalised resistance for each of the</w:t>
      </w:r>
      <w:r w:rsidR="007E3ABA" w:rsidRPr="00252B58">
        <w:rPr>
          <w:rFonts w:ascii="Arial" w:hAnsi="Arial" w:cs="Arial"/>
          <w:sz w:val="24"/>
        </w:rPr>
        <w:t xml:space="preserve"> </w:t>
      </w:r>
      <w:r w:rsidR="007E3ABA" w:rsidRPr="00252B58">
        <w:rPr>
          <w:rFonts w:ascii="Arial" w:hAnsi="Arial" w:cs="Arial"/>
          <w:sz w:val="24"/>
          <w:szCs w:val="24"/>
        </w:rPr>
        <w:t>irritable bowel syndrome</w:t>
      </w:r>
      <w:r w:rsidR="008B38FD" w:rsidRPr="00252B58">
        <w:rPr>
          <w:rFonts w:ascii="Arial" w:hAnsi="Arial" w:cs="Arial"/>
          <w:sz w:val="24"/>
        </w:rPr>
        <w:t xml:space="preserve">, </w:t>
      </w:r>
      <w:r w:rsidR="008E4F58" w:rsidRPr="00252B58">
        <w:rPr>
          <w:rFonts w:ascii="Arial" w:hAnsi="Arial" w:cs="Arial"/>
          <w:sz w:val="24"/>
          <w:szCs w:val="24"/>
        </w:rPr>
        <w:t>inflammatory bowel disease</w:t>
      </w:r>
      <w:r w:rsidR="008B38FD" w:rsidRPr="00252B58">
        <w:rPr>
          <w:rFonts w:ascii="Arial" w:hAnsi="Arial" w:cs="Arial"/>
          <w:sz w:val="24"/>
        </w:rPr>
        <w:t xml:space="preserve">, and </w:t>
      </w:r>
      <w:r w:rsidR="0097748B" w:rsidRPr="00252B58">
        <w:rPr>
          <w:rFonts w:ascii="Arial" w:hAnsi="Arial" w:cs="Arial"/>
          <w:sz w:val="24"/>
        </w:rPr>
        <w:t>Control</w:t>
      </w:r>
      <w:r w:rsidR="008B38FD" w:rsidRPr="00252B58">
        <w:rPr>
          <w:rFonts w:ascii="Arial" w:hAnsi="Arial" w:cs="Arial"/>
          <w:sz w:val="24"/>
        </w:rPr>
        <w:t xml:space="preserve"> </w:t>
      </w:r>
      <w:r w:rsidR="003F265C" w:rsidRPr="00252B58">
        <w:rPr>
          <w:rFonts w:ascii="Arial" w:hAnsi="Arial" w:cs="Arial"/>
          <w:sz w:val="24"/>
        </w:rPr>
        <w:t xml:space="preserve">(healthy patients) </w:t>
      </w:r>
      <w:r w:rsidR="008B38FD" w:rsidRPr="00252B58">
        <w:rPr>
          <w:rFonts w:ascii="Arial" w:hAnsi="Arial" w:cs="Arial"/>
          <w:sz w:val="24"/>
        </w:rPr>
        <w:t>samples (data nor</w:t>
      </w:r>
      <w:r w:rsidR="008F7A43" w:rsidRPr="00252B58">
        <w:rPr>
          <w:rFonts w:ascii="Arial" w:hAnsi="Arial" w:cs="Arial"/>
          <w:sz w:val="24"/>
        </w:rPr>
        <w:t>malised to be between 0 and 1).</w:t>
      </w:r>
    </w:p>
    <w:p w14:paraId="6C1E44F8" w14:textId="10BBF93A" w:rsidR="008B38FD" w:rsidRPr="00252B58" w:rsidRDefault="008B38FD" w:rsidP="001E1FA0">
      <w:pPr>
        <w:spacing w:line="480" w:lineRule="auto"/>
        <w:jc w:val="both"/>
        <w:rPr>
          <w:rFonts w:ascii="Arial" w:hAnsi="Arial" w:cs="Arial"/>
          <w:sz w:val="24"/>
        </w:rPr>
      </w:pPr>
      <w:r w:rsidRPr="00252B58">
        <w:rPr>
          <w:rFonts w:ascii="Arial" w:hAnsi="Arial" w:cs="Arial"/>
          <w:sz w:val="24"/>
        </w:rPr>
        <w:t xml:space="preserve">Our in-house-developed pipeline performs chromatogram alignment and data transformation techniques for highlighting </w:t>
      </w:r>
      <w:r w:rsidR="001D5FE0" w:rsidRPr="00252B58">
        <w:rPr>
          <w:rFonts w:ascii="Arial" w:hAnsi="Arial" w:cs="Arial"/>
          <w:sz w:val="24"/>
          <w:szCs w:val="24"/>
        </w:rPr>
        <w:t>volatile chemical</w:t>
      </w:r>
      <w:r w:rsidR="001D5FE0" w:rsidRPr="00252B58">
        <w:rPr>
          <w:rFonts w:ascii="Arial" w:hAnsi="Arial" w:cs="Arial"/>
          <w:sz w:val="24"/>
        </w:rPr>
        <w:t xml:space="preserve"> </w:t>
      </w:r>
      <w:r w:rsidRPr="00252B58">
        <w:rPr>
          <w:rFonts w:ascii="Arial" w:hAnsi="Arial" w:cs="Arial"/>
          <w:sz w:val="24"/>
        </w:rPr>
        <w:t>patterns specific to different medical conditions. The features or resistance levels that best describe the differences between medical conditions are selected by 2 random forest</w:t>
      </w:r>
      <w:r w:rsidR="0021620C" w:rsidRPr="00252B58">
        <w:rPr>
          <w:rFonts w:ascii="Arial" w:hAnsi="Arial" w:cs="Arial"/>
          <w:sz w:val="24"/>
        </w:rPr>
        <w:t>-based</w:t>
      </w:r>
      <w:r w:rsidRPr="00252B58">
        <w:rPr>
          <w:rFonts w:ascii="Arial" w:hAnsi="Arial" w:cs="Arial"/>
          <w:sz w:val="24"/>
        </w:rPr>
        <w:t xml:space="preserve"> algorithm</w:t>
      </w:r>
      <w:r w:rsidR="0021620C" w:rsidRPr="00252B58">
        <w:rPr>
          <w:rFonts w:ascii="Arial" w:hAnsi="Arial" w:cs="Arial"/>
          <w:sz w:val="24"/>
        </w:rPr>
        <w:t>s</w:t>
      </w:r>
      <w:r w:rsidR="00E779CE" w:rsidRPr="00252B58">
        <w:rPr>
          <w:rFonts w:ascii="Arial" w:hAnsi="Arial" w:cs="Arial"/>
          <w:sz w:val="24"/>
          <w:vertAlign w:val="superscript"/>
        </w:rPr>
        <w:t>2</w:t>
      </w:r>
      <w:r w:rsidR="009F7273" w:rsidRPr="00252B58">
        <w:rPr>
          <w:rFonts w:ascii="Arial" w:hAnsi="Arial" w:cs="Arial"/>
          <w:sz w:val="24"/>
          <w:vertAlign w:val="superscript"/>
        </w:rPr>
        <w:t>4</w:t>
      </w:r>
      <w:r w:rsidR="0021620C" w:rsidRPr="00252B58">
        <w:rPr>
          <w:rFonts w:ascii="Arial" w:hAnsi="Arial" w:cs="Arial"/>
          <w:sz w:val="24"/>
          <w:vertAlign w:val="superscript"/>
        </w:rPr>
        <w:t>,2</w:t>
      </w:r>
      <w:r w:rsidR="009F7273" w:rsidRPr="00252B58">
        <w:rPr>
          <w:rFonts w:ascii="Arial" w:hAnsi="Arial" w:cs="Arial"/>
          <w:sz w:val="24"/>
          <w:vertAlign w:val="superscript"/>
        </w:rPr>
        <w:t>5</w:t>
      </w:r>
      <w:r w:rsidRPr="00252B58">
        <w:rPr>
          <w:rFonts w:ascii="Arial" w:hAnsi="Arial" w:cs="Arial"/>
          <w:sz w:val="24"/>
        </w:rPr>
        <w:t>. Partial least squares (PLS)</w:t>
      </w:r>
      <w:r w:rsidR="00E779CE" w:rsidRPr="00252B58">
        <w:rPr>
          <w:rFonts w:ascii="Arial" w:hAnsi="Arial" w:cs="Arial"/>
          <w:sz w:val="24"/>
          <w:vertAlign w:val="superscript"/>
        </w:rPr>
        <w:t>2</w:t>
      </w:r>
      <w:r w:rsidR="009F7273" w:rsidRPr="00252B58">
        <w:rPr>
          <w:rFonts w:ascii="Arial" w:hAnsi="Arial" w:cs="Arial"/>
          <w:sz w:val="24"/>
          <w:vertAlign w:val="superscript"/>
        </w:rPr>
        <w:t>6</w:t>
      </w:r>
      <w:r w:rsidRPr="00252B58">
        <w:rPr>
          <w:rFonts w:ascii="Arial" w:hAnsi="Arial" w:cs="Arial"/>
          <w:sz w:val="24"/>
        </w:rPr>
        <w:t xml:space="preserve"> and support vector machine (SVM) with polynomial kernel</w:t>
      </w:r>
      <w:r w:rsidR="00E779CE" w:rsidRPr="00252B58">
        <w:rPr>
          <w:rFonts w:ascii="Arial" w:hAnsi="Arial" w:cs="Arial"/>
          <w:sz w:val="24"/>
          <w:vertAlign w:val="superscript"/>
        </w:rPr>
        <w:t>2</w:t>
      </w:r>
      <w:r w:rsidR="009F7273" w:rsidRPr="00252B58">
        <w:rPr>
          <w:rFonts w:ascii="Arial" w:hAnsi="Arial" w:cs="Arial"/>
          <w:sz w:val="24"/>
          <w:vertAlign w:val="superscript"/>
        </w:rPr>
        <w:t>5</w:t>
      </w:r>
      <w:r w:rsidRPr="00252B58">
        <w:rPr>
          <w:rFonts w:ascii="Arial" w:hAnsi="Arial" w:cs="Arial"/>
          <w:sz w:val="24"/>
        </w:rPr>
        <w:t xml:space="preserve"> were applied as statistical modelling techniques to classify unknown samples using the derived features. The results reported by the </w:t>
      </w:r>
      <w:r w:rsidR="001D5FE0" w:rsidRPr="00252B58">
        <w:rPr>
          <w:rFonts w:ascii="Arial" w:hAnsi="Arial" w:cs="Arial"/>
          <w:sz w:val="24"/>
          <w:szCs w:val="24"/>
        </w:rPr>
        <w:t>gas chromatography</w:t>
      </w:r>
      <w:r w:rsidR="001D5FE0" w:rsidRPr="00252B58">
        <w:rPr>
          <w:rFonts w:ascii="Arial" w:hAnsi="Arial" w:cs="Arial"/>
          <w:sz w:val="24"/>
        </w:rPr>
        <w:t>-sensor</w:t>
      </w:r>
      <w:r w:rsidRPr="00252B58">
        <w:rPr>
          <w:rFonts w:ascii="Arial" w:hAnsi="Arial" w:cs="Arial"/>
          <w:sz w:val="24"/>
        </w:rPr>
        <w:t>-pipeline were validated using leave-one-out cross-validation, 10-fold cross-validation repeated 30 times</w:t>
      </w:r>
      <w:r w:rsidR="00E779CE" w:rsidRPr="00252B58">
        <w:rPr>
          <w:rFonts w:ascii="Arial" w:hAnsi="Arial" w:cs="Arial"/>
          <w:sz w:val="24"/>
          <w:vertAlign w:val="superscript"/>
        </w:rPr>
        <w:t>2</w:t>
      </w:r>
      <w:r w:rsidR="009F7273" w:rsidRPr="00252B58">
        <w:rPr>
          <w:rFonts w:ascii="Arial" w:hAnsi="Arial" w:cs="Arial"/>
          <w:sz w:val="24"/>
          <w:vertAlign w:val="superscript"/>
        </w:rPr>
        <w:t>7</w:t>
      </w:r>
      <w:r w:rsidRPr="00252B58">
        <w:rPr>
          <w:rFonts w:ascii="Arial" w:hAnsi="Arial" w:cs="Arial"/>
          <w:sz w:val="24"/>
        </w:rPr>
        <w:t xml:space="preserve">, 3-fold double cross-validation repeated 30 times with an inner loop of 2-fold </w:t>
      </w:r>
      <w:r w:rsidRPr="00252B58">
        <w:rPr>
          <w:rFonts w:ascii="Arial" w:hAnsi="Arial" w:cs="Arial"/>
          <w:sz w:val="24"/>
        </w:rPr>
        <w:lastRenderedPageBreak/>
        <w:t>cross-validation repeated 5 times</w:t>
      </w:r>
      <w:r w:rsidR="00641C56" w:rsidRPr="00252B58">
        <w:rPr>
          <w:rFonts w:ascii="Arial" w:hAnsi="Arial" w:cs="Arial"/>
          <w:sz w:val="24"/>
          <w:vertAlign w:val="superscript"/>
        </w:rPr>
        <w:t>2</w:t>
      </w:r>
      <w:r w:rsidR="009F7273" w:rsidRPr="00252B58">
        <w:rPr>
          <w:rFonts w:ascii="Arial" w:hAnsi="Arial" w:cs="Arial"/>
          <w:sz w:val="24"/>
          <w:vertAlign w:val="superscript"/>
        </w:rPr>
        <w:t>8</w:t>
      </w:r>
      <w:r w:rsidRPr="00252B58">
        <w:rPr>
          <w:rFonts w:ascii="Arial" w:hAnsi="Arial" w:cs="Arial"/>
          <w:sz w:val="24"/>
        </w:rPr>
        <w:t xml:space="preserve">, and their Monte Carlo variation with random class labels permutation. Principal component analysis (PCA) on the transformed resistance values was also performed. Receiver operating characteristic (ROC) curves were generated based on the </w:t>
      </w:r>
      <w:r w:rsidR="00FD7328" w:rsidRPr="00252B58">
        <w:rPr>
          <w:rFonts w:ascii="Arial" w:hAnsi="Arial" w:cs="Arial"/>
          <w:sz w:val="24"/>
        </w:rPr>
        <w:t xml:space="preserve">double cross-validation </w:t>
      </w:r>
      <w:r w:rsidRPr="00252B58">
        <w:rPr>
          <w:rFonts w:ascii="Arial" w:hAnsi="Arial" w:cs="Arial"/>
          <w:sz w:val="24"/>
        </w:rPr>
        <w:t xml:space="preserve">results in order to visualise the performance of the </w:t>
      </w:r>
      <w:r w:rsidR="001D5FE0" w:rsidRPr="00252B58">
        <w:rPr>
          <w:rFonts w:ascii="Arial" w:hAnsi="Arial" w:cs="Arial"/>
          <w:sz w:val="24"/>
          <w:szCs w:val="24"/>
        </w:rPr>
        <w:t>gas chromatography</w:t>
      </w:r>
      <w:r w:rsidR="001D5FE0" w:rsidRPr="00252B58">
        <w:rPr>
          <w:rFonts w:ascii="Arial" w:hAnsi="Arial" w:cs="Arial"/>
          <w:sz w:val="24"/>
        </w:rPr>
        <w:t>-sensor</w:t>
      </w:r>
      <w:r w:rsidRPr="00252B58">
        <w:rPr>
          <w:rFonts w:ascii="Arial" w:hAnsi="Arial" w:cs="Arial"/>
          <w:sz w:val="24"/>
        </w:rPr>
        <w:t xml:space="preserve">-pipeline. Statistical analyses were performed solely on the resistance profiles processed by the </w:t>
      </w:r>
      <w:r w:rsidR="001D5FE0" w:rsidRPr="00252B58">
        <w:rPr>
          <w:rFonts w:ascii="Arial" w:hAnsi="Arial" w:cs="Arial"/>
          <w:sz w:val="24"/>
          <w:szCs w:val="24"/>
        </w:rPr>
        <w:t>gas chromatography</w:t>
      </w:r>
      <w:r w:rsidR="001D5FE0" w:rsidRPr="00252B58">
        <w:rPr>
          <w:rFonts w:ascii="Arial" w:hAnsi="Arial" w:cs="Arial"/>
          <w:sz w:val="24"/>
        </w:rPr>
        <w:t>-sensor</w:t>
      </w:r>
      <w:r w:rsidRPr="00252B58">
        <w:rPr>
          <w:rFonts w:ascii="Arial" w:hAnsi="Arial" w:cs="Arial"/>
          <w:sz w:val="24"/>
        </w:rPr>
        <w:t>-pipeline. No other demographic or clinical features were considered for statistical modelling. Confidence intervals (CI) were calculated using bootstrapping. Data analysis was carried out using R software</w:t>
      </w:r>
      <w:r w:rsidR="009F7273" w:rsidRPr="00252B58">
        <w:rPr>
          <w:rFonts w:ascii="Arial" w:hAnsi="Arial" w:cs="Arial"/>
          <w:sz w:val="24"/>
          <w:vertAlign w:val="superscript"/>
        </w:rPr>
        <w:t>29</w:t>
      </w:r>
      <w:r w:rsidRPr="00252B58">
        <w:rPr>
          <w:rFonts w:ascii="Arial" w:hAnsi="Arial" w:cs="Arial"/>
          <w:sz w:val="24"/>
        </w:rPr>
        <w:t>.</w:t>
      </w:r>
    </w:p>
    <w:p w14:paraId="6048E197" w14:textId="77777777" w:rsidR="00BA08D5" w:rsidRPr="00252B58" w:rsidRDefault="008B38FD" w:rsidP="002C76CD">
      <w:pPr>
        <w:spacing w:line="480" w:lineRule="auto"/>
        <w:jc w:val="both"/>
        <w:rPr>
          <w:rFonts w:ascii="Arial" w:hAnsi="Arial" w:cs="Arial"/>
          <w:sz w:val="24"/>
        </w:rPr>
      </w:pPr>
      <w:r w:rsidRPr="00252B58">
        <w:rPr>
          <w:rFonts w:ascii="Arial" w:hAnsi="Arial" w:cs="Arial"/>
          <w:sz w:val="24"/>
        </w:rPr>
        <w:t xml:space="preserve">This study is based on data from n = 152 different patient samples comprising data from </w:t>
      </w:r>
      <w:r w:rsidR="00B24AD6" w:rsidRPr="00252B58">
        <w:rPr>
          <w:rFonts w:ascii="Arial" w:hAnsi="Arial" w:cs="Arial"/>
          <w:sz w:val="24"/>
        </w:rPr>
        <w:t>Control</w:t>
      </w:r>
      <w:r w:rsidR="00B21F64" w:rsidRPr="00252B58">
        <w:rPr>
          <w:rFonts w:ascii="Arial" w:hAnsi="Arial" w:cs="Arial"/>
          <w:sz w:val="24"/>
        </w:rPr>
        <w:t>s</w:t>
      </w:r>
      <w:r w:rsidRPr="00252B58">
        <w:rPr>
          <w:rFonts w:ascii="Arial" w:hAnsi="Arial" w:cs="Arial"/>
          <w:sz w:val="24"/>
        </w:rPr>
        <w:t xml:space="preserve"> (n = 41),</w:t>
      </w:r>
      <w:r w:rsidR="007E3ABA" w:rsidRPr="00252B58">
        <w:rPr>
          <w:rFonts w:ascii="Arial" w:hAnsi="Arial" w:cs="Arial"/>
          <w:sz w:val="24"/>
        </w:rPr>
        <w:t xml:space="preserve"> </w:t>
      </w:r>
      <w:r w:rsidR="007E3ABA" w:rsidRPr="00252B58">
        <w:rPr>
          <w:rFonts w:ascii="Arial" w:hAnsi="Arial" w:cs="Arial"/>
          <w:sz w:val="24"/>
          <w:szCs w:val="24"/>
        </w:rPr>
        <w:t>irritable bowel syndrome</w:t>
      </w:r>
      <w:r w:rsidRPr="00252B58">
        <w:rPr>
          <w:rFonts w:ascii="Arial" w:hAnsi="Arial" w:cs="Arial"/>
          <w:sz w:val="24"/>
        </w:rPr>
        <w:t xml:space="preserve"> (n = 28), and </w:t>
      </w:r>
      <w:r w:rsidR="008E4F58" w:rsidRPr="00252B58">
        <w:rPr>
          <w:rFonts w:ascii="Arial" w:hAnsi="Arial" w:cs="Arial"/>
          <w:sz w:val="24"/>
          <w:szCs w:val="24"/>
        </w:rPr>
        <w:t>inflammatory bowel disease</w:t>
      </w:r>
      <w:r w:rsidR="008E4F58" w:rsidRPr="00252B58">
        <w:rPr>
          <w:rFonts w:ascii="Arial" w:hAnsi="Arial" w:cs="Arial"/>
          <w:sz w:val="24"/>
        </w:rPr>
        <w:t xml:space="preserve"> </w:t>
      </w:r>
      <w:r w:rsidRPr="00252B58">
        <w:rPr>
          <w:rFonts w:ascii="Arial" w:hAnsi="Arial" w:cs="Arial"/>
          <w:sz w:val="24"/>
        </w:rPr>
        <w:t xml:space="preserve">(n = 83).  Pairwise comparisons </w:t>
      </w:r>
      <w:r w:rsidR="0021620C" w:rsidRPr="00252B58">
        <w:rPr>
          <w:rFonts w:ascii="Arial" w:hAnsi="Arial" w:cs="Arial"/>
          <w:sz w:val="24"/>
        </w:rPr>
        <w:t>were</w:t>
      </w:r>
      <w:r w:rsidRPr="00252B58">
        <w:rPr>
          <w:rFonts w:ascii="Arial" w:hAnsi="Arial" w:cs="Arial"/>
          <w:sz w:val="24"/>
        </w:rPr>
        <w:t xml:space="preserve"> </w:t>
      </w:r>
      <w:r w:rsidR="0021620C" w:rsidRPr="00252B58">
        <w:rPr>
          <w:rFonts w:ascii="Arial" w:hAnsi="Arial" w:cs="Arial"/>
          <w:sz w:val="24"/>
        </w:rPr>
        <w:t>performed</w:t>
      </w:r>
      <w:r w:rsidRPr="00252B58">
        <w:rPr>
          <w:rFonts w:ascii="Arial" w:hAnsi="Arial" w:cs="Arial"/>
          <w:sz w:val="24"/>
        </w:rPr>
        <w:t xml:space="preserve"> between these three groups.  For detailed comparisons</w:t>
      </w:r>
      <w:r w:rsidR="008E4F58" w:rsidRPr="00252B58">
        <w:rPr>
          <w:rFonts w:ascii="Arial" w:hAnsi="Arial" w:cs="Arial"/>
          <w:sz w:val="24"/>
        </w:rPr>
        <w:t xml:space="preserve"> </w:t>
      </w:r>
      <w:r w:rsidR="008E4F58" w:rsidRPr="00252B58">
        <w:rPr>
          <w:rFonts w:ascii="Arial" w:hAnsi="Arial" w:cs="Arial"/>
          <w:sz w:val="24"/>
          <w:szCs w:val="24"/>
        </w:rPr>
        <w:t>inflammatory bowel disease</w:t>
      </w:r>
      <w:r w:rsidRPr="00252B58">
        <w:rPr>
          <w:rFonts w:ascii="Arial" w:hAnsi="Arial" w:cs="Arial"/>
          <w:sz w:val="24"/>
        </w:rPr>
        <w:t xml:space="preserve"> is further considered as active (n = 33) or inactive (n = 50) and compared with </w:t>
      </w:r>
      <w:r w:rsidR="00603717" w:rsidRPr="00252B58">
        <w:rPr>
          <w:rFonts w:ascii="Arial" w:hAnsi="Arial" w:cs="Arial"/>
          <w:sz w:val="24"/>
        </w:rPr>
        <w:t>Controls</w:t>
      </w:r>
      <w:r w:rsidRPr="00252B58">
        <w:rPr>
          <w:rFonts w:ascii="Arial" w:hAnsi="Arial" w:cs="Arial"/>
          <w:sz w:val="24"/>
        </w:rPr>
        <w:t xml:space="preserve"> and </w:t>
      </w:r>
      <w:r w:rsidR="007E3ABA" w:rsidRPr="00252B58">
        <w:rPr>
          <w:rFonts w:ascii="Arial" w:hAnsi="Arial" w:cs="Arial"/>
          <w:sz w:val="24"/>
          <w:szCs w:val="24"/>
        </w:rPr>
        <w:t>irritable bowel syndrome</w:t>
      </w:r>
      <w:r w:rsidRPr="00252B58">
        <w:rPr>
          <w:rFonts w:ascii="Arial" w:hAnsi="Arial" w:cs="Arial"/>
          <w:sz w:val="24"/>
        </w:rPr>
        <w:t xml:space="preserve">. The </w:t>
      </w:r>
      <w:r w:rsidR="008E4F58" w:rsidRPr="00252B58">
        <w:rPr>
          <w:rFonts w:ascii="Arial" w:hAnsi="Arial" w:cs="Arial"/>
          <w:sz w:val="24"/>
          <w:szCs w:val="24"/>
        </w:rPr>
        <w:t>inflammatory bowel disease</w:t>
      </w:r>
      <w:r w:rsidR="008E4F58" w:rsidRPr="00252B58">
        <w:rPr>
          <w:rFonts w:ascii="Arial" w:hAnsi="Arial" w:cs="Arial"/>
          <w:sz w:val="24"/>
        </w:rPr>
        <w:t xml:space="preserve"> </w:t>
      </w:r>
      <w:r w:rsidRPr="00252B58">
        <w:rPr>
          <w:rFonts w:ascii="Arial" w:hAnsi="Arial" w:cs="Arial"/>
          <w:sz w:val="24"/>
        </w:rPr>
        <w:t xml:space="preserve">data comprises n = 47 </w:t>
      </w:r>
      <w:r w:rsidR="000D7F31" w:rsidRPr="00252B58">
        <w:rPr>
          <w:rFonts w:ascii="Arial" w:hAnsi="Arial" w:cs="Arial"/>
          <w:sz w:val="24"/>
          <w:szCs w:val="24"/>
        </w:rPr>
        <w:t>ulcerative colitis</w:t>
      </w:r>
      <w:r w:rsidR="000D7F31" w:rsidRPr="00252B58">
        <w:rPr>
          <w:rFonts w:ascii="Arial" w:hAnsi="Arial" w:cs="Arial"/>
          <w:sz w:val="24"/>
        </w:rPr>
        <w:t xml:space="preserve"> </w:t>
      </w:r>
      <w:r w:rsidRPr="00252B58">
        <w:rPr>
          <w:rFonts w:ascii="Arial" w:hAnsi="Arial" w:cs="Arial"/>
          <w:sz w:val="24"/>
        </w:rPr>
        <w:t>(active n = 14; inactive n = 3</w:t>
      </w:r>
      <w:r w:rsidR="003143DC" w:rsidRPr="00252B58">
        <w:rPr>
          <w:rFonts w:ascii="Arial" w:hAnsi="Arial" w:cs="Arial"/>
          <w:sz w:val="24"/>
        </w:rPr>
        <w:t>3</w:t>
      </w:r>
      <w:r w:rsidRPr="00252B58">
        <w:rPr>
          <w:rFonts w:ascii="Arial" w:hAnsi="Arial" w:cs="Arial"/>
          <w:sz w:val="24"/>
        </w:rPr>
        <w:t xml:space="preserve">) and n = 36 </w:t>
      </w:r>
      <w:r w:rsidR="000D7F31" w:rsidRPr="00252B58">
        <w:rPr>
          <w:rFonts w:ascii="Arial" w:hAnsi="Arial" w:cs="Arial"/>
          <w:sz w:val="24"/>
          <w:szCs w:val="24"/>
        </w:rPr>
        <w:t xml:space="preserve">Crohn’s disease </w:t>
      </w:r>
      <w:r w:rsidRPr="00252B58">
        <w:rPr>
          <w:rFonts w:ascii="Arial" w:hAnsi="Arial" w:cs="Arial"/>
          <w:sz w:val="24"/>
        </w:rPr>
        <w:t xml:space="preserve">(active n = 19; inactive n = 17) and these four subgroups of </w:t>
      </w:r>
      <w:r w:rsidR="008E4F58" w:rsidRPr="00252B58">
        <w:rPr>
          <w:rFonts w:ascii="Arial" w:hAnsi="Arial" w:cs="Arial"/>
          <w:sz w:val="24"/>
          <w:szCs w:val="24"/>
        </w:rPr>
        <w:t>inflammatory bowel disease</w:t>
      </w:r>
      <w:r w:rsidR="008E4F58" w:rsidRPr="00252B58">
        <w:rPr>
          <w:rFonts w:ascii="Arial" w:hAnsi="Arial" w:cs="Arial"/>
          <w:sz w:val="24"/>
        </w:rPr>
        <w:t xml:space="preserve"> </w:t>
      </w:r>
      <w:r w:rsidRPr="00252B58">
        <w:rPr>
          <w:rFonts w:ascii="Arial" w:hAnsi="Arial" w:cs="Arial"/>
          <w:sz w:val="24"/>
        </w:rPr>
        <w:t xml:space="preserve">are compared with the data from </w:t>
      </w:r>
      <w:r w:rsidR="00B24AD6" w:rsidRPr="00252B58">
        <w:rPr>
          <w:rFonts w:ascii="Arial" w:hAnsi="Arial" w:cs="Arial"/>
          <w:sz w:val="24"/>
        </w:rPr>
        <w:t>Control</w:t>
      </w:r>
      <w:r w:rsidR="00B21F64" w:rsidRPr="00252B58">
        <w:rPr>
          <w:rFonts w:ascii="Arial" w:hAnsi="Arial" w:cs="Arial"/>
          <w:sz w:val="24"/>
        </w:rPr>
        <w:t>s</w:t>
      </w:r>
      <w:r w:rsidRPr="00252B58">
        <w:rPr>
          <w:rFonts w:ascii="Arial" w:hAnsi="Arial" w:cs="Arial"/>
          <w:sz w:val="24"/>
        </w:rPr>
        <w:t xml:space="preserve"> and the </w:t>
      </w:r>
      <w:r w:rsidR="007E3ABA" w:rsidRPr="00252B58">
        <w:rPr>
          <w:rFonts w:ascii="Arial" w:hAnsi="Arial" w:cs="Arial"/>
          <w:sz w:val="24"/>
          <w:szCs w:val="24"/>
        </w:rPr>
        <w:t>irritable bowel syndrome</w:t>
      </w:r>
      <w:r w:rsidR="007E3ABA" w:rsidRPr="00252B58">
        <w:rPr>
          <w:rFonts w:ascii="Arial" w:hAnsi="Arial" w:cs="Arial"/>
          <w:sz w:val="24"/>
        </w:rPr>
        <w:t xml:space="preserve"> </w:t>
      </w:r>
      <w:r w:rsidRPr="00252B58">
        <w:rPr>
          <w:rFonts w:ascii="Arial" w:hAnsi="Arial" w:cs="Arial"/>
          <w:sz w:val="24"/>
        </w:rPr>
        <w:t xml:space="preserve">donors.  A listing of the comparisons is given in </w:t>
      </w:r>
      <w:r w:rsidR="00864B2E" w:rsidRPr="00252B58">
        <w:rPr>
          <w:rFonts w:ascii="Arial" w:hAnsi="Arial" w:cs="Arial"/>
          <w:sz w:val="24"/>
        </w:rPr>
        <w:t xml:space="preserve">Supplementary </w:t>
      </w:r>
      <w:r w:rsidRPr="00252B58">
        <w:rPr>
          <w:rFonts w:ascii="Arial" w:hAnsi="Arial" w:cs="Arial"/>
          <w:sz w:val="24"/>
        </w:rPr>
        <w:t xml:space="preserve">Table </w:t>
      </w:r>
      <w:r w:rsidR="0021620C" w:rsidRPr="00252B58">
        <w:rPr>
          <w:rFonts w:ascii="Arial" w:hAnsi="Arial" w:cs="Arial"/>
          <w:sz w:val="24"/>
        </w:rPr>
        <w:t>S</w:t>
      </w:r>
      <w:r w:rsidRPr="00252B58">
        <w:rPr>
          <w:rFonts w:ascii="Arial" w:hAnsi="Arial" w:cs="Arial"/>
          <w:sz w:val="24"/>
        </w:rPr>
        <w:t>1.</w:t>
      </w:r>
    </w:p>
    <w:p w14:paraId="670355AA" w14:textId="77777777" w:rsidR="00BA08D5" w:rsidRPr="00252B58" w:rsidRDefault="00BA08D5" w:rsidP="002C76CD">
      <w:pPr>
        <w:spacing w:line="480" w:lineRule="auto"/>
        <w:jc w:val="both"/>
        <w:rPr>
          <w:rFonts w:ascii="Arial" w:hAnsi="Arial" w:cs="Arial"/>
          <w:sz w:val="24"/>
        </w:rPr>
      </w:pPr>
    </w:p>
    <w:p w14:paraId="05FA459C" w14:textId="77777777" w:rsidR="00A54A89" w:rsidRPr="00252B58" w:rsidRDefault="00A54A89" w:rsidP="002C76CD">
      <w:pPr>
        <w:spacing w:line="480" w:lineRule="auto"/>
        <w:jc w:val="both"/>
        <w:rPr>
          <w:rFonts w:ascii="Arial" w:hAnsi="Arial" w:cs="Arial"/>
          <w:sz w:val="24"/>
        </w:rPr>
      </w:pPr>
    </w:p>
    <w:p w14:paraId="6D4D25E5" w14:textId="77777777" w:rsidR="008B38FD" w:rsidRPr="00252B58" w:rsidRDefault="008B38FD" w:rsidP="002C76CD">
      <w:pPr>
        <w:spacing w:line="480" w:lineRule="auto"/>
        <w:jc w:val="both"/>
        <w:rPr>
          <w:rFonts w:ascii="Arial" w:hAnsi="Arial" w:cs="Arial"/>
          <w:sz w:val="24"/>
          <w:szCs w:val="24"/>
        </w:rPr>
      </w:pPr>
      <w:r w:rsidRPr="00252B58">
        <w:rPr>
          <w:rFonts w:ascii="Arial" w:hAnsi="Arial" w:cs="Arial"/>
          <w:sz w:val="24"/>
          <w:szCs w:val="24"/>
        </w:rPr>
        <w:lastRenderedPageBreak/>
        <w:t>3 - Results</w:t>
      </w:r>
    </w:p>
    <w:p w14:paraId="43B3B32F" w14:textId="77777777" w:rsidR="008B38FD" w:rsidRPr="00252B58" w:rsidRDefault="008B38FD" w:rsidP="002C76CD">
      <w:pPr>
        <w:spacing w:line="480" w:lineRule="auto"/>
        <w:jc w:val="both"/>
        <w:rPr>
          <w:rFonts w:ascii="Arial" w:hAnsi="Arial" w:cs="Arial"/>
          <w:sz w:val="24"/>
          <w:szCs w:val="24"/>
        </w:rPr>
      </w:pPr>
      <w:r w:rsidRPr="00252B58">
        <w:rPr>
          <w:rFonts w:ascii="Arial" w:hAnsi="Arial" w:cs="Arial"/>
          <w:sz w:val="24"/>
          <w:szCs w:val="24"/>
        </w:rPr>
        <w:t xml:space="preserve">We have applied an in-house-developed </w:t>
      </w:r>
      <w:r w:rsidR="001D5FE0" w:rsidRPr="00252B58">
        <w:rPr>
          <w:rFonts w:ascii="Arial" w:hAnsi="Arial" w:cs="Arial"/>
          <w:sz w:val="24"/>
          <w:szCs w:val="24"/>
        </w:rPr>
        <w:t>gas chromatography</w:t>
      </w:r>
      <w:r w:rsidR="001D5FE0" w:rsidRPr="00252B58">
        <w:rPr>
          <w:rFonts w:ascii="Arial" w:hAnsi="Arial" w:cs="Arial"/>
          <w:sz w:val="24"/>
        </w:rPr>
        <w:t>-sensor</w:t>
      </w:r>
      <w:r w:rsidRPr="00252B58">
        <w:rPr>
          <w:rFonts w:ascii="Arial" w:hAnsi="Arial" w:cs="Arial"/>
          <w:sz w:val="24"/>
          <w:szCs w:val="24"/>
        </w:rPr>
        <w:t xml:space="preserve">-pipeline to analyse 152 faecal samples from patients with </w:t>
      </w:r>
      <w:r w:rsidR="007E3ABA" w:rsidRPr="00252B58">
        <w:rPr>
          <w:rFonts w:ascii="Arial" w:hAnsi="Arial" w:cs="Arial"/>
          <w:sz w:val="24"/>
          <w:szCs w:val="24"/>
        </w:rPr>
        <w:t>irritable bowel syndrome</w:t>
      </w:r>
      <w:r w:rsidRPr="00252B58">
        <w:rPr>
          <w:rFonts w:ascii="Arial" w:hAnsi="Arial" w:cs="Arial"/>
          <w:sz w:val="24"/>
          <w:szCs w:val="24"/>
        </w:rPr>
        <w:t xml:space="preserve">, active </w:t>
      </w:r>
      <w:r w:rsidR="008E4F58" w:rsidRPr="00252B58">
        <w:rPr>
          <w:rFonts w:ascii="Arial" w:hAnsi="Arial" w:cs="Arial"/>
          <w:sz w:val="24"/>
          <w:szCs w:val="24"/>
        </w:rPr>
        <w:t>inflammatory bowel disease</w:t>
      </w:r>
      <w:r w:rsidRPr="00252B58">
        <w:rPr>
          <w:rFonts w:ascii="Arial" w:hAnsi="Arial" w:cs="Arial"/>
          <w:sz w:val="24"/>
          <w:szCs w:val="24"/>
        </w:rPr>
        <w:t xml:space="preserve">, inactive </w:t>
      </w:r>
      <w:r w:rsidR="008E4F58" w:rsidRPr="00252B58">
        <w:rPr>
          <w:rFonts w:ascii="Arial" w:hAnsi="Arial" w:cs="Arial"/>
          <w:sz w:val="24"/>
          <w:szCs w:val="24"/>
        </w:rPr>
        <w:t>inflammatory bowel disease</w:t>
      </w:r>
      <w:r w:rsidRPr="00252B58">
        <w:rPr>
          <w:rFonts w:ascii="Arial" w:hAnsi="Arial" w:cs="Arial"/>
          <w:sz w:val="24"/>
          <w:szCs w:val="24"/>
        </w:rPr>
        <w:t xml:space="preserve">, active </w:t>
      </w:r>
      <w:r w:rsidR="000D7F31" w:rsidRPr="00252B58">
        <w:rPr>
          <w:rFonts w:ascii="Arial" w:hAnsi="Arial" w:cs="Arial"/>
          <w:sz w:val="24"/>
          <w:szCs w:val="24"/>
        </w:rPr>
        <w:t>Crohn’s disease</w:t>
      </w:r>
      <w:r w:rsidRPr="00252B58">
        <w:rPr>
          <w:rFonts w:ascii="Arial" w:hAnsi="Arial" w:cs="Arial"/>
          <w:sz w:val="24"/>
          <w:szCs w:val="24"/>
        </w:rPr>
        <w:t xml:space="preserve">, inactive </w:t>
      </w:r>
      <w:r w:rsidR="000D7F31" w:rsidRPr="00252B58">
        <w:rPr>
          <w:rFonts w:ascii="Arial" w:hAnsi="Arial" w:cs="Arial"/>
          <w:sz w:val="24"/>
          <w:szCs w:val="24"/>
        </w:rPr>
        <w:t>Crohn’s disease</w:t>
      </w:r>
      <w:r w:rsidRPr="00252B58">
        <w:rPr>
          <w:rFonts w:ascii="Arial" w:hAnsi="Arial" w:cs="Arial"/>
          <w:sz w:val="24"/>
          <w:szCs w:val="24"/>
        </w:rPr>
        <w:t xml:space="preserve">, active </w:t>
      </w:r>
      <w:r w:rsidR="000D7F31" w:rsidRPr="00252B58">
        <w:rPr>
          <w:rFonts w:ascii="Arial" w:hAnsi="Arial" w:cs="Arial"/>
          <w:sz w:val="24"/>
          <w:szCs w:val="24"/>
        </w:rPr>
        <w:t>ulcerative colitis</w:t>
      </w:r>
      <w:r w:rsidRPr="00252B58">
        <w:rPr>
          <w:rFonts w:ascii="Arial" w:hAnsi="Arial" w:cs="Arial"/>
          <w:sz w:val="24"/>
          <w:szCs w:val="24"/>
        </w:rPr>
        <w:t xml:space="preserve">, inactive </w:t>
      </w:r>
      <w:r w:rsidR="000D7F31" w:rsidRPr="00252B58">
        <w:rPr>
          <w:rFonts w:ascii="Arial" w:hAnsi="Arial" w:cs="Arial"/>
          <w:sz w:val="24"/>
          <w:szCs w:val="24"/>
        </w:rPr>
        <w:t xml:space="preserve">ulcerative colitis </w:t>
      </w:r>
      <w:r w:rsidRPr="00252B58">
        <w:rPr>
          <w:rFonts w:ascii="Arial" w:hAnsi="Arial" w:cs="Arial"/>
          <w:sz w:val="24"/>
          <w:szCs w:val="24"/>
        </w:rPr>
        <w:t>and health donors</w:t>
      </w:r>
      <w:r w:rsidR="00B24AD6" w:rsidRPr="00252B58">
        <w:rPr>
          <w:rFonts w:ascii="Arial" w:hAnsi="Arial" w:cs="Arial"/>
          <w:sz w:val="24"/>
          <w:szCs w:val="24"/>
        </w:rPr>
        <w:t xml:space="preserve"> or Control</w:t>
      </w:r>
      <w:r w:rsidRPr="00252B58">
        <w:rPr>
          <w:rFonts w:ascii="Arial" w:hAnsi="Arial" w:cs="Arial"/>
          <w:sz w:val="24"/>
          <w:szCs w:val="24"/>
        </w:rPr>
        <w:t xml:space="preserve">. Table </w:t>
      </w:r>
      <w:r w:rsidR="00864B2E" w:rsidRPr="00252B58">
        <w:rPr>
          <w:rFonts w:ascii="Arial" w:hAnsi="Arial" w:cs="Arial"/>
          <w:sz w:val="24"/>
          <w:szCs w:val="24"/>
        </w:rPr>
        <w:t>1</w:t>
      </w:r>
      <w:r w:rsidRPr="00252B58">
        <w:rPr>
          <w:rFonts w:ascii="Arial" w:hAnsi="Arial" w:cs="Arial"/>
          <w:sz w:val="24"/>
          <w:szCs w:val="24"/>
        </w:rPr>
        <w:t xml:space="preserve"> shows the demographics for the patient groups studied with their respective</w:t>
      </w:r>
      <w:r w:rsidR="00FD7328" w:rsidRPr="00252B58">
        <w:rPr>
          <w:rFonts w:ascii="Arial" w:hAnsi="Arial" w:cs="Arial"/>
          <w:sz w:val="24"/>
          <w:szCs w:val="24"/>
        </w:rPr>
        <w:t xml:space="preserve"> diagnosis, site of disease, </w:t>
      </w:r>
      <w:r w:rsidR="00FD7328" w:rsidRPr="00252B58">
        <w:rPr>
          <w:rFonts w:ascii="Arial" w:hAnsi="Arial" w:cs="Arial"/>
          <w:sz w:val="24"/>
        </w:rPr>
        <w:t>Harvey Bradshaw index</w:t>
      </w:r>
      <w:r w:rsidRPr="00252B58">
        <w:rPr>
          <w:rFonts w:ascii="Arial" w:hAnsi="Arial" w:cs="Arial"/>
          <w:sz w:val="24"/>
          <w:szCs w:val="24"/>
        </w:rPr>
        <w:t xml:space="preserve"> scores and </w:t>
      </w:r>
      <w:r w:rsidR="003143DC" w:rsidRPr="00252B58">
        <w:rPr>
          <w:rFonts w:ascii="Arial" w:hAnsi="Arial" w:cs="Arial"/>
          <w:sz w:val="24"/>
          <w:szCs w:val="24"/>
        </w:rPr>
        <w:t>simple clinical activity index (</w:t>
      </w:r>
      <w:r w:rsidRPr="00252B58">
        <w:rPr>
          <w:rFonts w:ascii="Arial" w:hAnsi="Arial" w:cs="Arial"/>
          <w:sz w:val="24"/>
          <w:szCs w:val="24"/>
        </w:rPr>
        <w:t>SCAI</w:t>
      </w:r>
      <w:r w:rsidR="003143DC" w:rsidRPr="00252B58">
        <w:rPr>
          <w:rFonts w:ascii="Arial" w:hAnsi="Arial" w:cs="Arial"/>
          <w:sz w:val="24"/>
          <w:szCs w:val="24"/>
        </w:rPr>
        <w:t>)</w:t>
      </w:r>
      <w:r w:rsidRPr="00252B58">
        <w:rPr>
          <w:rFonts w:ascii="Arial" w:hAnsi="Arial" w:cs="Arial"/>
          <w:sz w:val="24"/>
          <w:szCs w:val="24"/>
        </w:rPr>
        <w:t xml:space="preserve"> score, when applied</w:t>
      </w:r>
      <w:r w:rsidR="00864B2E" w:rsidRPr="00252B58">
        <w:rPr>
          <w:rFonts w:ascii="Arial" w:hAnsi="Arial" w:cs="Arial"/>
          <w:sz w:val="24"/>
          <w:szCs w:val="24"/>
        </w:rPr>
        <w:t>, smoking status, diet, medication and routine laboratory data</w:t>
      </w:r>
      <w:r w:rsidRPr="00252B58">
        <w:rPr>
          <w:rFonts w:ascii="Arial" w:hAnsi="Arial" w:cs="Arial"/>
          <w:sz w:val="24"/>
          <w:szCs w:val="24"/>
        </w:rPr>
        <w:t>.</w:t>
      </w:r>
    </w:p>
    <w:p w14:paraId="5FEDE89D" w14:textId="65CA2873" w:rsidR="002C76CD" w:rsidRPr="00252B58" w:rsidRDefault="0091722E" w:rsidP="002C76CD">
      <w:pPr>
        <w:spacing w:line="480" w:lineRule="auto"/>
        <w:jc w:val="both"/>
        <w:rPr>
          <w:rFonts w:ascii="Arial" w:hAnsi="Arial" w:cs="Arial"/>
          <w:sz w:val="24"/>
          <w:szCs w:val="24"/>
        </w:rPr>
      </w:pPr>
      <w:r w:rsidRPr="00252B58">
        <w:rPr>
          <w:rFonts w:ascii="Arial" w:hAnsi="Arial" w:cs="Arial"/>
          <w:sz w:val="24"/>
          <w:szCs w:val="24"/>
        </w:rPr>
        <w:t xml:space="preserve">Supplementary </w:t>
      </w:r>
      <w:r w:rsidR="008B38FD" w:rsidRPr="00252B58">
        <w:rPr>
          <w:rFonts w:ascii="Arial" w:hAnsi="Arial" w:cs="Arial"/>
          <w:sz w:val="24"/>
          <w:szCs w:val="24"/>
        </w:rPr>
        <w:t xml:space="preserve">Table </w:t>
      </w:r>
      <w:r w:rsidRPr="00252B58">
        <w:rPr>
          <w:rFonts w:ascii="Arial" w:hAnsi="Arial" w:cs="Arial"/>
          <w:sz w:val="24"/>
          <w:szCs w:val="24"/>
        </w:rPr>
        <w:t>S</w:t>
      </w:r>
      <w:r w:rsidR="00864B2E" w:rsidRPr="00252B58">
        <w:rPr>
          <w:rFonts w:ascii="Arial" w:hAnsi="Arial" w:cs="Arial"/>
          <w:sz w:val="24"/>
          <w:szCs w:val="24"/>
        </w:rPr>
        <w:t>2</w:t>
      </w:r>
      <w:r w:rsidR="008B38FD" w:rsidRPr="00252B58">
        <w:rPr>
          <w:rFonts w:ascii="Arial" w:hAnsi="Arial" w:cs="Arial"/>
          <w:sz w:val="24"/>
          <w:szCs w:val="24"/>
        </w:rPr>
        <w:t xml:space="preserve"> contains a summary of the results reported by the </w:t>
      </w:r>
      <w:r w:rsidR="00FD7328" w:rsidRPr="00252B58">
        <w:rPr>
          <w:rFonts w:ascii="Arial" w:hAnsi="Arial" w:cs="Arial"/>
          <w:sz w:val="24"/>
        </w:rPr>
        <w:t>double cross-validation</w:t>
      </w:r>
      <w:r w:rsidR="00FD7328" w:rsidRPr="00252B58">
        <w:rPr>
          <w:rFonts w:ascii="Arial" w:hAnsi="Arial" w:cs="Arial"/>
          <w:sz w:val="24"/>
          <w:szCs w:val="24"/>
        </w:rPr>
        <w:t xml:space="preserve"> </w:t>
      </w:r>
      <w:r w:rsidR="008B38FD" w:rsidRPr="00252B58">
        <w:rPr>
          <w:rFonts w:ascii="Arial" w:hAnsi="Arial" w:cs="Arial"/>
          <w:sz w:val="24"/>
          <w:szCs w:val="24"/>
        </w:rPr>
        <w:t xml:space="preserve">for each comparison performed and </w:t>
      </w:r>
      <w:r w:rsidRPr="00252B58">
        <w:rPr>
          <w:rFonts w:ascii="Arial" w:hAnsi="Arial" w:cs="Arial"/>
          <w:sz w:val="24"/>
          <w:szCs w:val="24"/>
        </w:rPr>
        <w:t xml:space="preserve">Supplementary </w:t>
      </w:r>
      <w:r w:rsidR="008B38FD" w:rsidRPr="00252B58">
        <w:rPr>
          <w:rFonts w:ascii="Arial" w:hAnsi="Arial" w:cs="Arial"/>
          <w:sz w:val="24"/>
          <w:szCs w:val="24"/>
        </w:rPr>
        <w:t xml:space="preserve">Table </w:t>
      </w:r>
      <w:r w:rsidR="00340B01" w:rsidRPr="00252B58">
        <w:rPr>
          <w:rFonts w:ascii="Arial" w:hAnsi="Arial" w:cs="Arial"/>
          <w:sz w:val="24"/>
          <w:szCs w:val="24"/>
        </w:rPr>
        <w:t>S</w:t>
      </w:r>
      <w:r w:rsidR="00864B2E" w:rsidRPr="00252B58">
        <w:rPr>
          <w:rFonts w:ascii="Arial" w:hAnsi="Arial" w:cs="Arial"/>
          <w:sz w:val="24"/>
          <w:szCs w:val="24"/>
        </w:rPr>
        <w:t>3</w:t>
      </w:r>
      <w:r w:rsidR="008B38FD" w:rsidRPr="00252B58">
        <w:rPr>
          <w:rFonts w:ascii="Arial" w:hAnsi="Arial" w:cs="Arial"/>
          <w:sz w:val="24"/>
          <w:szCs w:val="24"/>
        </w:rPr>
        <w:t xml:space="preserve"> contains the results of their associated ROC analysis. T</w:t>
      </w:r>
      <w:r w:rsidR="00FD7328" w:rsidRPr="00252B58">
        <w:rPr>
          <w:rFonts w:ascii="Arial" w:hAnsi="Arial" w:cs="Arial"/>
          <w:sz w:val="24"/>
          <w:szCs w:val="24"/>
        </w:rPr>
        <w:t xml:space="preserve">he results reported by the </w:t>
      </w:r>
      <w:r w:rsidR="00FD7328" w:rsidRPr="00252B58">
        <w:rPr>
          <w:rFonts w:ascii="Arial" w:hAnsi="Arial" w:cs="Arial"/>
          <w:sz w:val="24"/>
        </w:rPr>
        <w:t>leave-one-out cross-validation</w:t>
      </w:r>
      <w:r w:rsidR="008B38FD" w:rsidRPr="00252B58">
        <w:rPr>
          <w:rFonts w:ascii="Arial" w:hAnsi="Arial" w:cs="Arial"/>
          <w:sz w:val="24"/>
          <w:szCs w:val="24"/>
        </w:rPr>
        <w:t xml:space="preserve">, </w:t>
      </w:r>
      <w:r w:rsidR="009859DB" w:rsidRPr="00252B58">
        <w:rPr>
          <w:rFonts w:ascii="Arial" w:hAnsi="Arial" w:cs="Arial"/>
          <w:sz w:val="24"/>
        </w:rPr>
        <w:t>10-fold cross-validation</w:t>
      </w:r>
      <w:r w:rsidR="009859DB" w:rsidRPr="00252B58">
        <w:rPr>
          <w:rFonts w:ascii="Arial" w:hAnsi="Arial" w:cs="Arial"/>
          <w:sz w:val="24"/>
          <w:szCs w:val="24"/>
        </w:rPr>
        <w:t xml:space="preserve"> </w:t>
      </w:r>
      <w:r w:rsidR="008B38FD" w:rsidRPr="00252B58">
        <w:rPr>
          <w:rFonts w:ascii="Arial" w:hAnsi="Arial" w:cs="Arial"/>
          <w:sz w:val="24"/>
          <w:szCs w:val="24"/>
        </w:rPr>
        <w:t xml:space="preserve">and Monte Carlo are available as Supplementary Tables </w:t>
      </w:r>
      <w:r w:rsidR="00BA08D5" w:rsidRPr="00252B58">
        <w:rPr>
          <w:rFonts w:ascii="Arial" w:hAnsi="Arial" w:cs="Arial"/>
          <w:sz w:val="24"/>
          <w:szCs w:val="24"/>
        </w:rPr>
        <w:t>S4</w:t>
      </w:r>
      <w:r w:rsidR="008B38FD" w:rsidRPr="00252B58">
        <w:rPr>
          <w:rFonts w:ascii="Arial" w:hAnsi="Arial" w:cs="Arial"/>
          <w:sz w:val="24"/>
          <w:szCs w:val="24"/>
        </w:rPr>
        <w:t xml:space="preserve">, </w:t>
      </w:r>
      <w:r w:rsidR="00BA08D5" w:rsidRPr="00252B58">
        <w:rPr>
          <w:rFonts w:ascii="Arial" w:hAnsi="Arial" w:cs="Arial"/>
          <w:sz w:val="24"/>
          <w:szCs w:val="24"/>
        </w:rPr>
        <w:t>S5</w:t>
      </w:r>
      <w:r w:rsidR="008B38FD" w:rsidRPr="00252B58">
        <w:rPr>
          <w:rFonts w:ascii="Arial" w:hAnsi="Arial" w:cs="Arial"/>
          <w:sz w:val="24"/>
          <w:szCs w:val="24"/>
        </w:rPr>
        <w:t xml:space="preserve">, </w:t>
      </w:r>
      <w:r w:rsidR="00BA08D5" w:rsidRPr="00252B58">
        <w:rPr>
          <w:rFonts w:ascii="Arial" w:hAnsi="Arial" w:cs="Arial"/>
          <w:sz w:val="24"/>
          <w:szCs w:val="24"/>
        </w:rPr>
        <w:t>S6</w:t>
      </w:r>
      <w:r w:rsidR="008B38FD" w:rsidRPr="00252B58">
        <w:rPr>
          <w:rFonts w:ascii="Arial" w:hAnsi="Arial" w:cs="Arial"/>
          <w:sz w:val="24"/>
          <w:szCs w:val="24"/>
        </w:rPr>
        <w:t xml:space="preserve">, </w:t>
      </w:r>
      <w:r w:rsidR="00BA08D5" w:rsidRPr="00252B58">
        <w:rPr>
          <w:rFonts w:ascii="Arial" w:hAnsi="Arial" w:cs="Arial"/>
          <w:sz w:val="24"/>
          <w:szCs w:val="24"/>
        </w:rPr>
        <w:t>S7</w:t>
      </w:r>
      <w:r w:rsidR="00600AE7" w:rsidRPr="00252B58">
        <w:rPr>
          <w:rFonts w:ascii="Arial" w:hAnsi="Arial" w:cs="Arial"/>
          <w:sz w:val="24"/>
          <w:szCs w:val="24"/>
        </w:rPr>
        <w:t xml:space="preserve"> and</w:t>
      </w:r>
      <w:r w:rsidR="008B38FD" w:rsidRPr="00252B58">
        <w:rPr>
          <w:rFonts w:ascii="Arial" w:hAnsi="Arial" w:cs="Arial"/>
          <w:sz w:val="24"/>
          <w:szCs w:val="24"/>
        </w:rPr>
        <w:t xml:space="preserve"> </w:t>
      </w:r>
      <w:r w:rsidR="00BA08D5" w:rsidRPr="00252B58">
        <w:rPr>
          <w:rFonts w:ascii="Arial" w:hAnsi="Arial" w:cs="Arial"/>
          <w:sz w:val="24"/>
          <w:szCs w:val="24"/>
        </w:rPr>
        <w:t>S8</w:t>
      </w:r>
      <w:r w:rsidR="008B38FD" w:rsidRPr="00252B58">
        <w:rPr>
          <w:rFonts w:ascii="Arial" w:hAnsi="Arial" w:cs="Arial"/>
          <w:sz w:val="24"/>
          <w:szCs w:val="24"/>
        </w:rPr>
        <w:t xml:space="preserve">. </w:t>
      </w:r>
      <w:r w:rsidR="00B21F64" w:rsidRPr="00252B58">
        <w:rPr>
          <w:rFonts w:ascii="Arial" w:hAnsi="Arial" w:cs="Arial"/>
          <w:sz w:val="24"/>
          <w:szCs w:val="24"/>
        </w:rPr>
        <w:t xml:space="preserve">For </w:t>
      </w:r>
      <w:r w:rsidR="008B38FD" w:rsidRPr="00252B58">
        <w:rPr>
          <w:rFonts w:ascii="Arial" w:hAnsi="Arial" w:cs="Arial"/>
          <w:sz w:val="24"/>
          <w:szCs w:val="24"/>
        </w:rPr>
        <w:t>example, Figure</w:t>
      </w:r>
      <w:r w:rsidR="00B21F64" w:rsidRPr="00252B58">
        <w:rPr>
          <w:rFonts w:ascii="Arial" w:hAnsi="Arial" w:cs="Arial"/>
          <w:sz w:val="24"/>
          <w:szCs w:val="24"/>
        </w:rPr>
        <w:t>s</w:t>
      </w:r>
      <w:r w:rsidR="008B38FD" w:rsidRPr="00252B58">
        <w:rPr>
          <w:rFonts w:ascii="Arial" w:hAnsi="Arial" w:cs="Arial"/>
          <w:sz w:val="24"/>
          <w:szCs w:val="24"/>
        </w:rPr>
        <w:t xml:space="preserve"> </w:t>
      </w:r>
      <w:r w:rsidR="00FE177D" w:rsidRPr="00252B58">
        <w:rPr>
          <w:rFonts w:ascii="Arial" w:hAnsi="Arial" w:cs="Arial"/>
          <w:sz w:val="24"/>
          <w:szCs w:val="24"/>
        </w:rPr>
        <w:t>1 and 2</w:t>
      </w:r>
      <w:r w:rsidR="008B38FD" w:rsidRPr="00252B58">
        <w:rPr>
          <w:rFonts w:ascii="Arial" w:hAnsi="Arial" w:cs="Arial"/>
          <w:sz w:val="24"/>
          <w:szCs w:val="24"/>
        </w:rPr>
        <w:t xml:space="preserve"> show the features selected for the comparisons Act</w:t>
      </w:r>
      <w:r w:rsidR="000D7F31" w:rsidRPr="00252B58">
        <w:rPr>
          <w:rFonts w:ascii="Arial" w:hAnsi="Arial" w:cs="Arial"/>
          <w:sz w:val="24"/>
          <w:szCs w:val="24"/>
        </w:rPr>
        <w:t>ive</w:t>
      </w:r>
      <w:r w:rsidR="008B38FD" w:rsidRPr="00252B58">
        <w:rPr>
          <w:rFonts w:ascii="Arial" w:hAnsi="Arial" w:cs="Arial"/>
          <w:sz w:val="24"/>
          <w:szCs w:val="24"/>
        </w:rPr>
        <w:t>-</w:t>
      </w:r>
      <w:r w:rsidR="000D7F31" w:rsidRPr="00252B58">
        <w:rPr>
          <w:rFonts w:ascii="Arial" w:hAnsi="Arial" w:cs="Arial"/>
          <w:sz w:val="24"/>
          <w:szCs w:val="24"/>
        </w:rPr>
        <w:t xml:space="preserve"> Crohn’s disease </w:t>
      </w:r>
      <w:r w:rsidR="008B38FD" w:rsidRPr="00252B58">
        <w:rPr>
          <w:rFonts w:ascii="Arial" w:hAnsi="Arial" w:cs="Arial"/>
          <w:sz w:val="24"/>
          <w:szCs w:val="24"/>
        </w:rPr>
        <w:t>|</w:t>
      </w:r>
      <w:r w:rsidR="007E3ABA" w:rsidRPr="00252B58">
        <w:rPr>
          <w:rFonts w:ascii="Arial" w:hAnsi="Arial" w:cs="Arial"/>
          <w:sz w:val="24"/>
          <w:szCs w:val="24"/>
        </w:rPr>
        <w:t xml:space="preserve"> irritable bowel syndrome </w:t>
      </w:r>
      <w:r w:rsidR="008B38FD" w:rsidRPr="00252B58">
        <w:rPr>
          <w:rFonts w:ascii="Arial" w:hAnsi="Arial" w:cs="Arial"/>
          <w:sz w:val="24"/>
          <w:szCs w:val="24"/>
        </w:rPr>
        <w:t>and Act</w:t>
      </w:r>
      <w:r w:rsidR="008E4F58" w:rsidRPr="00252B58">
        <w:rPr>
          <w:rFonts w:ascii="Arial" w:hAnsi="Arial" w:cs="Arial"/>
          <w:sz w:val="24"/>
          <w:szCs w:val="24"/>
        </w:rPr>
        <w:t>ive</w:t>
      </w:r>
      <w:r w:rsidR="008B38FD" w:rsidRPr="00252B58">
        <w:rPr>
          <w:rFonts w:ascii="Arial" w:hAnsi="Arial" w:cs="Arial"/>
          <w:sz w:val="24"/>
          <w:szCs w:val="24"/>
        </w:rPr>
        <w:t>-</w:t>
      </w:r>
      <w:r w:rsidR="008E4F58" w:rsidRPr="00252B58">
        <w:rPr>
          <w:rFonts w:ascii="Arial" w:hAnsi="Arial" w:cs="Arial"/>
          <w:sz w:val="24"/>
          <w:szCs w:val="24"/>
        </w:rPr>
        <w:t xml:space="preserve"> inflammatory bowel disease</w:t>
      </w:r>
      <w:r w:rsidR="000D7F31" w:rsidRPr="00252B58">
        <w:rPr>
          <w:rFonts w:ascii="Arial" w:hAnsi="Arial" w:cs="Arial"/>
          <w:sz w:val="24"/>
          <w:szCs w:val="24"/>
        </w:rPr>
        <w:t xml:space="preserve"> </w:t>
      </w:r>
      <w:r w:rsidR="008B38FD" w:rsidRPr="00252B58">
        <w:rPr>
          <w:rFonts w:ascii="Arial" w:hAnsi="Arial" w:cs="Arial"/>
          <w:sz w:val="24"/>
          <w:szCs w:val="24"/>
        </w:rPr>
        <w:t>|</w:t>
      </w:r>
      <w:r w:rsidR="000D7F31" w:rsidRPr="00252B58">
        <w:rPr>
          <w:rFonts w:ascii="Arial" w:hAnsi="Arial" w:cs="Arial"/>
          <w:sz w:val="24"/>
          <w:szCs w:val="24"/>
        </w:rPr>
        <w:t xml:space="preserve"> </w:t>
      </w:r>
      <w:r w:rsidR="008B38FD" w:rsidRPr="00252B58">
        <w:rPr>
          <w:rFonts w:ascii="Arial" w:hAnsi="Arial" w:cs="Arial"/>
          <w:sz w:val="24"/>
          <w:szCs w:val="24"/>
        </w:rPr>
        <w:t>Inact</w:t>
      </w:r>
      <w:r w:rsidR="008E4F58" w:rsidRPr="00252B58">
        <w:rPr>
          <w:rFonts w:ascii="Arial" w:hAnsi="Arial" w:cs="Arial"/>
          <w:sz w:val="24"/>
          <w:szCs w:val="24"/>
        </w:rPr>
        <w:t>ive</w:t>
      </w:r>
      <w:r w:rsidR="008B38FD" w:rsidRPr="00252B58">
        <w:rPr>
          <w:rFonts w:ascii="Arial" w:hAnsi="Arial" w:cs="Arial"/>
          <w:sz w:val="24"/>
          <w:szCs w:val="24"/>
        </w:rPr>
        <w:t>-</w:t>
      </w:r>
      <w:r w:rsidR="008E4F58" w:rsidRPr="00252B58">
        <w:rPr>
          <w:rFonts w:ascii="Arial" w:hAnsi="Arial" w:cs="Arial"/>
          <w:sz w:val="24"/>
          <w:szCs w:val="24"/>
        </w:rPr>
        <w:t>inflammatory bowel disease</w:t>
      </w:r>
      <w:r w:rsidR="008B38FD" w:rsidRPr="00252B58">
        <w:rPr>
          <w:rFonts w:ascii="Arial" w:hAnsi="Arial" w:cs="Arial"/>
          <w:sz w:val="24"/>
          <w:szCs w:val="24"/>
        </w:rPr>
        <w:t xml:space="preserve">, respectively, in addition to their associated </w:t>
      </w:r>
      <w:r w:rsidR="006110A2" w:rsidRPr="00252B58">
        <w:rPr>
          <w:rFonts w:ascii="Arial" w:hAnsi="Arial" w:cs="Arial"/>
          <w:sz w:val="24"/>
          <w:szCs w:val="24"/>
        </w:rPr>
        <w:t xml:space="preserve">plot of principal components </w:t>
      </w:r>
      <w:r w:rsidR="008B38FD" w:rsidRPr="00252B58">
        <w:rPr>
          <w:rFonts w:ascii="Arial" w:hAnsi="Arial" w:cs="Arial"/>
          <w:sz w:val="24"/>
          <w:szCs w:val="24"/>
        </w:rPr>
        <w:t>and ROC curves. The results indicate that the platform is able to successfully differentiate most of the conditio</w:t>
      </w:r>
      <w:r w:rsidR="007E3ABA" w:rsidRPr="00252B58">
        <w:rPr>
          <w:rFonts w:ascii="Arial" w:hAnsi="Arial" w:cs="Arial"/>
          <w:sz w:val="24"/>
          <w:szCs w:val="24"/>
        </w:rPr>
        <w:t>ns studied here, with Act</w:t>
      </w:r>
      <w:r w:rsidR="000D7F31" w:rsidRPr="00252B58">
        <w:rPr>
          <w:rFonts w:ascii="Arial" w:hAnsi="Arial" w:cs="Arial"/>
          <w:sz w:val="24"/>
          <w:szCs w:val="24"/>
        </w:rPr>
        <w:t xml:space="preserve">ive-Crohn’s disease </w:t>
      </w:r>
      <w:r w:rsidR="007E3ABA" w:rsidRPr="00252B58">
        <w:rPr>
          <w:rFonts w:ascii="Arial" w:hAnsi="Arial" w:cs="Arial"/>
          <w:sz w:val="24"/>
          <w:szCs w:val="24"/>
        </w:rPr>
        <w:t>| irritable bowel syndrome</w:t>
      </w:r>
      <w:r w:rsidR="008B38FD" w:rsidRPr="00252B58">
        <w:rPr>
          <w:rFonts w:ascii="Arial" w:hAnsi="Arial" w:cs="Arial"/>
          <w:sz w:val="24"/>
          <w:szCs w:val="24"/>
        </w:rPr>
        <w:t xml:space="preserve"> being an example of near perfect sample classification and Act</w:t>
      </w:r>
      <w:r w:rsidR="008E4F58" w:rsidRPr="00252B58">
        <w:rPr>
          <w:rFonts w:ascii="Arial" w:hAnsi="Arial" w:cs="Arial"/>
          <w:sz w:val="24"/>
          <w:szCs w:val="24"/>
        </w:rPr>
        <w:t>ive</w:t>
      </w:r>
      <w:r w:rsidR="008B38FD" w:rsidRPr="00252B58">
        <w:rPr>
          <w:rFonts w:ascii="Arial" w:hAnsi="Arial" w:cs="Arial"/>
          <w:sz w:val="24"/>
          <w:szCs w:val="24"/>
        </w:rPr>
        <w:t>-</w:t>
      </w:r>
      <w:r w:rsidR="008E4F58" w:rsidRPr="00252B58">
        <w:rPr>
          <w:rFonts w:ascii="Arial" w:hAnsi="Arial" w:cs="Arial"/>
          <w:sz w:val="24"/>
          <w:szCs w:val="24"/>
        </w:rPr>
        <w:t xml:space="preserve">inflammatory bowel disease |Inactive-inflammatory bowel disease </w:t>
      </w:r>
      <w:r w:rsidR="008B38FD" w:rsidRPr="00252B58">
        <w:rPr>
          <w:rFonts w:ascii="Arial" w:hAnsi="Arial" w:cs="Arial"/>
          <w:sz w:val="24"/>
          <w:szCs w:val="24"/>
        </w:rPr>
        <w:t>being an example of a scenario where the platform has difficulty in classifying samples.</w:t>
      </w:r>
    </w:p>
    <w:p w14:paraId="4501C75F" w14:textId="77777777" w:rsidR="008B38FD" w:rsidRPr="008840A6" w:rsidRDefault="008B38FD" w:rsidP="002C76CD">
      <w:pPr>
        <w:spacing w:line="480" w:lineRule="auto"/>
        <w:jc w:val="both"/>
        <w:rPr>
          <w:rFonts w:ascii="Arial" w:hAnsi="Arial" w:cs="Arial"/>
          <w:sz w:val="24"/>
        </w:rPr>
      </w:pPr>
      <w:r w:rsidRPr="008840A6">
        <w:rPr>
          <w:rFonts w:ascii="Arial" w:hAnsi="Arial" w:cs="Arial"/>
          <w:sz w:val="24"/>
        </w:rPr>
        <w:lastRenderedPageBreak/>
        <w:t>4 - Discussion</w:t>
      </w:r>
    </w:p>
    <w:p w14:paraId="704A5669" w14:textId="064AA387" w:rsidR="00864B2E" w:rsidRPr="00252B58" w:rsidRDefault="008B38FD" w:rsidP="002C76CD">
      <w:pPr>
        <w:spacing w:line="480" w:lineRule="auto"/>
        <w:jc w:val="both"/>
        <w:rPr>
          <w:rFonts w:ascii="Arial" w:hAnsi="Arial" w:cs="Arial"/>
          <w:sz w:val="24"/>
        </w:rPr>
      </w:pPr>
      <w:r w:rsidRPr="00252B58">
        <w:rPr>
          <w:rFonts w:ascii="Arial" w:hAnsi="Arial" w:cs="Arial"/>
          <w:sz w:val="24"/>
        </w:rPr>
        <w:t xml:space="preserve">The prototype device we have built is able to distinguish faecal samples from healthy donors, patients with </w:t>
      </w:r>
      <w:r w:rsidR="007E3ABA" w:rsidRPr="00252B58">
        <w:rPr>
          <w:rFonts w:ascii="Arial" w:hAnsi="Arial" w:cs="Arial"/>
          <w:sz w:val="24"/>
          <w:szCs w:val="24"/>
        </w:rPr>
        <w:t>irritable bowel syndrome</w:t>
      </w:r>
      <w:r w:rsidR="007E3ABA" w:rsidRPr="00252B58">
        <w:rPr>
          <w:rFonts w:ascii="Arial" w:hAnsi="Arial" w:cs="Arial"/>
          <w:sz w:val="24"/>
        </w:rPr>
        <w:t xml:space="preserve"> </w:t>
      </w:r>
      <w:r w:rsidRPr="00252B58">
        <w:rPr>
          <w:rFonts w:ascii="Arial" w:hAnsi="Arial" w:cs="Arial"/>
          <w:sz w:val="24"/>
        </w:rPr>
        <w:t xml:space="preserve">and patients with </w:t>
      </w:r>
      <w:r w:rsidR="008E4F58" w:rsidRPr="00252B58">
        <w:rPr>
          <w:rFonts w:ascii="Arial" w:hAnsi="Arial" w:cs="Arial"/>
          <w:sz w:val="24"/>
          <w:szCs w:val="24"/>
        </w:rPr>
        <w:t>inflammatory bowel disease</w:t>
      </w:r>
      <w:r w:rsidRPr="00252B58">
        <w:rPr>
          <w:rFonts w:ascii="Arial" w:hAnsi="Arial" w:cs="Arial"/>
          <w:sz w:val="24"/>
        </w:rPr>
        <w:t xml:space="preserve">; the sensitivity and specificity for each is shown in </w:t>
      </w:r>
      <w:r w:rsidR="0091722E" w:rsidRPr="00252B58">
        <w:rPr>
          <w:rFonts w:ascii="Arial" w:hAnsi="Arial" w:cs="Arial"/>
          <w:sz w:val="24"/>
        </w:rPr>
        <w:t xml:space="preserve">Supplementary </w:t>
      </w:r>
      <w:r w:rsidRPr="00252B58">
        <w:rPr>
          <w:rFonts w:ascii="Arial" w:hAnsi="Arial" w:cs="Arial"/>
          <w:sz w:val="24"/>
        </w:rPr>
        <w:t xml:space="preserve">Table </w:t>
      </w:r>
      <w:r w:rsidR="0091722E" w:rsidRPr="00252B58">
        <w:rPr>
          <w:rFonts w:ascii="Arial" w:hAnsi="Arial" w:cs="Arial"/>
          <w:sz w:val="24"/>
        </w:rPr>
        <w:t>S</w:t>
      </w:r>
      <w:r w:rsidR="00864B2E" w:rsidRPr="00252B58">
        <w:rPr>
          <w:rFonts w:ascii="Arial" w:hAnsi="Arial" w:cs="Arial"/>
          <w:sz w:val="24"/>
        </w:rPr>
        <w:t>2</w:t>
      </w:r>
      <w:r w:rsidRPr="00252B58">
        <w:rPr>
          <w:rFonts w:ascii="Arial" w:hAnsi="Arial" w:cs="Arial"/>
          <w:sz w:val="24"/>
        </w:rPr>
        <w:t xml:space="preserve">. </w:t>
      </w:r>
    </w:p>
    <w:p w14:paraId="6EE1DE3F" w14:textId="0BFFDC71" w:rsidR="00203465" w:rsidRPr="00252B58" w:rsidRDefault="008B38FD" w:rsidP="00CC34FD">
      <w:pPr>
        <w:spacing w:line="480" w:lineRule="auto"/>
        <w:jc w:val="both"/>
        <w:rPr>
          <w:rFonts w:ascii="AdvP403A40" w:hAnsi="AdvP403A40" w:cs="AdvP403A40"/>
          <w:sz w:val="18"/>
          <w:szCs w:val="18"/>
        </w:rPr>
      </w:pPr>
      <w:r w:rsidRPr="00252B58">
        <w:rPr>
          <w:rFonts w:ascii="Arial" w:hAnsi="Arial" w:cs="Arial"/>
          <w:sz w:val="24"/>
          <w:szCs w:val="24"/>
        </w:rPr>
        <w:t>The pattern recognition software we have developed is based on wavelet transformation and does not rely on a neural network.</w:t>
      </w:r>
      <w:r w:rsidR="00E97FAB" w:rsidRPr="00252B58">
        <w:rPr>
          <w:rFonts w:ascii="Arial" w:hAnsi="Arial" w:cs="Arial"/>
          <w:sz w:val="24"/>
          <w:szCs w:val="24"/>
        </w:rPr>
        <w:t xml:space="preserve"> </w:t>
      </w:r>
      <w:r w:rsidR="00E5086B" w:rsidRPr="00252B58">
        <w:rPr>
          <w:rFonts w:ascii="Arial" w:hAnsi="Arial" w:cs="Arial"/>
          <w:sz w:val="24"/>
          <w:szCs w:val="24"/>
        </w:rPr>
        <w:t>In contrast to neural networks, which has been de</w:t>
      </w:r>
      <w:r w:rsidR="00DA6E1A" w:rsidRPr="00252B58">
        <w:rPr>
          <w:rFonts w:ascii="Arial" w:hAnsi="Arial" w:cs="Arial"/>
          <w:sz w:val="24"/>
          <w:szCs w:val="24"/>
        </w:rPr>
        <w:t>scribed</w:t>
      </w:r>
      <w:r w:rsidR="00E5086B" w:rsidRPr="00252B58">
        <w:rPr>
          <w:rFonts w:ascii="Arial" w:hAnsi="Arial" w:cs="Arial"/>
          <w:sz w:val="24"/>
          <w:szCs w:val="24"/>
        </w:rPr>
        <w:t xml:space="preserve"> as a ‘black box’ approach</w:t>
      </w:r>
      <w:r w:rsidR="009F7273" w:rsidRPr="00252B58">
        <w:rPr>
          <w:rFonts w:ascii="Arial" w:hAnsi="Arial" w:cs="Arial"/>
          <w:sz w:val="24"/>
          <w:szCs w:val="24"/>
          <w:vertAlign w:val="superscript"/>
        </w:rPr>
        <w:t>16</w:t>
      </w:r>
      <w:r w:rsidR="00E5086B" w:rsidRPr="00252B58">
        <w:rPr>
          <w:rFonts w:ascii="Arial" w:hAnsi="Arial" w:cs="Arial"/>
          <w:sz w:val="24"/>
          <w:szCs w:val="24"/>
          <w:vertAlign w:val="superscript"/>
        </w:rPr>
        <w:t>,</w:t>
      </w:r>
      <w:r w:rsidR="009F7273" w:rsidRPr="00252B58">
        <w:rPr>
          <w:rFonts w:ascii="Arial" w:hAnsi="Arial" w:cs="Arial"/>
          <w:sz w:val="24"/>
          <w:szCs w:val="24"/>
          <w:vertAlign w:val="superscript"/>
        </w:rPr>
        <w:t>17</w:t>
      </w:r>
      <w:r w:rsidR="00E5086B" w:rsidRPr="00252B58">
        <w:rPr>
          <w:rFonts w:ascii="Arial" w:hAnsi="Arial" w:cs="Arial"/>
          <w:sz w:val="24"/>
          <w:szCs w:val="24"/>
        </w:rPr>
        <w:t>, the w</w:t>
      </w:r>
      <w:r w:rsidR="00E97FAB" w:rsidRPr="00252B58">
        <w:rPr>
          <w:rFonts w:ascii="Arial" w:hAnsi="Arial" w:cs="Arial"/>
          <w:sz w:val="24"/>
          <w:szCs w:val="24"/>
        </w:rPr>
        <w:t>avelet transformation underpins the t</w:t>
      </w:r>
      <w:r w:rsidR="00E5086B" w:rsidRPr="00252B58">
        <w:rPr>
          <w:rFonts w:ascii="Arial" w:hAnsi="Arial" w:cs="Arial"/>
          <w:sz w:val="24"/>
          <w:szCs w:val="24"/>
        </w:rPr>
        <w:t>echnology used to interpret electrocardiogram, a</w:t>
      </w:r>
      <w:r w:rsidR="00E97FAB" w:rsidRPr="00252B58">
        <w:rPr>
          <w:rFonts w:ascii="Arial" w:hAnsi="Arial" w:cs="Arial"/>
          <w:sz w:val="24"/>
          <w:szCs w:val="24"/>
        </w:rPr>
        <w:t xml:space="preserve"> </w:t>
      </w:r>
      <w:r w:rsidR="00E5086B" w:rsidRPr="00252B58">
        <w:rPr>
          <w:rFonts w:ascii="Arial" w:hAnsi="Arial" w:cs="Arial"/>
          <w:sz w:val="24"/>
          <w:szCs w:val="24"/>
        </w:rPr>
        <w:t>well-known methodology accepted by the scientific community</w:t>
      </w:r>
      <w:r w:rsidR="00E97FAB" w:rsidRPr="00252B58">
        <w:rPr>
          <w:rFonts w:ascii="Arial" w:hAnsi="Arial" w:cs="Arial"/>
          <w:sz w:val="24"/>
          <w:szCs w:val="24"/>
        </w:rPr>
        <w:t xml:space="preserve">. </w:t>
      </w:r>
      <w:r w:rsidRPr="00252B58">
        <w:rPr>
          <w:rFonts w:ascii="Arial" w:hAnsi="Arial" w:cs="Arial"/>
          <w:sz w:val="24"/>
          <w:szCs w:val="24"/>
        </w:rPr>
        <w:t xml:space="preserve">We have used repeated double cross-validation to validate results. Furthermore, we have undertaken Monte Carlo randomisation to ensure the model is not over-fitted to the data. This is the first time these stringent methods have been used to report faecal </w:t>
      </w:r>
      <w:r w:rsidR="00FD7328" w:rsidRPr="00252B58">
        <w:rPr>
          <w:rFonts w:ascii="Arial" w:hAnsi="Arial" w:cs="Arial"/>
          <w:sz w:val="24"/>
          <w:szCs w:val="24"/>
        </w:rPr>
        <w:t xml:space="preserve">volatile compound </w:t>
      </w:r>
      <w:r w:rsidRPr="00252B58">
        <w:rPr>
          <w:rFonts w:ascii="Arial" w:hAnsi="Arial" w:cs="Arial"/>
          <w:sz w:val="24"/>
          <w:szCs w:val="24"/>
        </w:rPr>
        <w:t>p</w:t>
      </w:r>
      <w:r w:rsidRPr="00252B58">
        <w:rPr>
          <w:rFonts w:ascii="Arial" w:hAnsi="Arial" w:cs="Arial"/>
          <w:sz w:val="24"/>
        </w:rPr>
        <w:t xml:space="preserve">rofiles. These results are supported by </w:t>
      </w:r>
      <w:r w:rsidR="00FE177D" w:rsidRPr="00252B58">
        <w:rPr>
          <w:rFonts w:ascii="Arial" w:hAnsi="Arial" w:cs="Arial"/>
          <w:sz w:val="24"/>
        </w:rPr>
        <w:t xml:space="preserve">Supplementary </w:t>
      </w:r>
      <w:r w:rsidRPr="00252B58">
        <w:rPr>
          <w:rFonts w:ascii="Arial" w:hAnsi="Arial" w:cs="Arial"/>
          <w:sz w:val="24"/>
        </w:rPr>
        <w:t xml:space="preserve">Figure </w:t>
      </w:r>
      <w:r w:rsidR="00FE177D" w:rsidRPr="00252B58">
        <w:rPr>
          <w:rFonts w:ascii="Arial" w:hAnsi="Arial" w:cs="Arial"/>
          <w:sz w:val="24"/>
        </w:rPr>
        <w:t>S</w:t>
      </w:r>
      <w:r w:rsidRPr="00252B58">
        <w:rPr>
          <w:rFonts w:ascii="Arial" w:hAnsi="Arial" w:cs="Arial"/>
          <w:sz w:val="24"/>
        </w:rPr>
        <w:t xml:space="preserve">1B, which is a plot of average resistance normalised between 0 and 1 over the time </w:t>
      </w:r>
      <w:r w:rsidR="00580A6B" w:rsidRPr="00252B58">
        <w:rPr>
          <w:rFonts w:ascii="Arial" w:hAnsi="Arial" w:cs="Arial"/>
          <w:sz w:val="24"/>
        </w:rPr>
        <w:t>240</w:t>
      </w:r>
      <w:r w:rsidR="00DF1D85" w:rsidRPr="00252B58">
        <w:rPr>
          <w:rFonts w:ascii="Arial" w:hAnsi="Arial" w:cs="Arial"/>
          <w:sz w:val="24"/>
        </w:rPr>
        <w:t xml:space="preserve"> </w:t>
      </w:r>
      <w:r w:rsidRPr="00252B58">
        <w:rPr>
          <w:rFonts w:ascii="Arial" w:hAnsi="Arial" w:cs="Arial"/>
          <w:sz w:val="24"/>
        </w:rPr>
        <w:t xml:space="preserve">seconds to </w:t>
      </w:r>
      <w:r w:rsidR="00580A6B" w:rsidRPr="00252B58">
        <w:rPr>
          <w:rFonts w:ascii="Arial" w:hAnsi="Arial" w:cs="Arial"/>
          <w:sz w:val="24"/>
        </w:rPr>
        <w:t>540</w:t>
      </w:r>
      <w:r w:rsidR="00DF1D85" w:rsidRPr="00252B58">
        <w:rPr>
          <w:rFonts w:ascii="Arial" w:hAnsi="Arial" w:cs="Arial"/>
          <w:sz w:val="24"/>
        </w:rPr>
        <w:t xml:space="preserve"> </w:t>
      </w:r>
      <w:r w:rsidRPr="00252B58">
        <w:rPr>
          <w:rFonts w:ascii="Arial" w:hAnsi="Arial" w:cs="Arial"/>
          <w:sz w:val="24"/>
        </w:rPr>
        <w:t xml:space="preserve">seconds.  </w:t>
      </w:r>
      <w:r w:rsidR="00FE177D" w:rsidRPr="00252B58">
        <w:rPr>
          <w:rFonts w:ascii="Arial" w:hAnsi="Arial" w:cs="Arial"/>
          <w:sz w:val="24"/>
        </w:rPr>
        <w:t xml:space="preserve">Supplementary </w:t>
      </w:r>
      <w:r w:rsidRPr="00252B58">
        <w:rPr>
          <w:rFonts w:ascii="Arial" w:hAnsi="Arial" w:cs="Arial"/>
          <w:sz w:val="24"/>
        </w:rPr>
        <w:t xml:space="preserve">Figure </w:t>
      </w:r>
      <w:r w:rsidR="00FE177D" w:rsidRPr="00252B58">
        <w:rPr>
          <w:rFonts w:ascii="Arial" w:hAnsi="Arial" w:cs="Arial"/>
          <w:sz w:val="24"/>
        </w:rPr>
        <w:t>S</w:t>
      </w:r>
      <w:r w:rsidR="00DB3F5D" w:rsidRPr="00252B58">
        <w:rPr>
          <w:rFonts w:ascii="Arial" w:hAnsi="Arial" w:cs="Arial"/>
          <w:sz w:val="24"/>
        </w:rPr>
        <w:t>1</w:t>
      </w:r>
      <w:r w:rsidRPr="00252B58">
        <w:rPr>
          <w:rFonts w:ascii="Arial" w:hAnsi="Arial" w:cs="Arial"/>
          <w:sz w:val="24"/>
        </w:rPr>
        <w:t xml:space="preserve">B shows distinctive signature differences in average profiles between </w:t>
      </w:r>
      <w:r w:rsidR="007E3ABA" w:rsidRPr="00252B58">
        <w:rPr>
          <w:rFonts w:ascii="Arial" w:hAnsi="Arial" w:cs="Arial"/>
          <w:sz w:val="24"/>
          <w:szCs w:val="24"/>
        </w:rPr>
        <w:t>irritable bowel syndrome</w:t>
      </w:r>
      <w:r w:rsidRPr="00252B58">
        <w:rPr>
          <w:rFonts w:ascii="Arial" w:hAnsi="Arial" w:cs="Arial"/>
          <w:sz w:val="24"/>
        </w:rPr>
        <w:t xml:space="preserve">, </w:t>
      </w:r>
      <w:r w:rsidR="008E4F58" w:rsidRPr="00252B58">
        <w:rPr>
          <w:rFonts w:ascii="Arial" w:hAnsi="Arial" w:cs="Arial"/>
          <w:sz w:val="24"/>
          <w:szCs w:val="24"/>
        </w:rPr>
        <w:t>inflammatory bowel disease</w:t>
      </w:r>
      <w:r w:rsidR="008E4F58" w:rsidRPr="00252B58">
        <w:rPr>
          <w:rFonts w:ascii="Arial" w:hAnsi="Arial" w:cs="Arial"/>
          <w:sz w:val="24"/>
        </w:rPr>
        <w:t xml:space="preserve"> </w:t>
      </w:r>
      <w:r w:rsidRPr="00252B58">
        <w:rPr>
          <w:rFonts w:ascii="Arial" w:hAnsi="Arial" w:cs="Arial"/>
          <w:sz w:val="24"/>
        </w:rPr>
        <w:t>and Control</w:t>
      </w:r>
      <w:r w:rsidR="00B24AD6" w:rsidRPr="00252B58">
        <w:rPr>
          <w:rFonts w:ascii="Arial" w:hAnsi="Arial" w:cs="Arial"/>
          <w:sz w:val="24"/>
        </w:rPr>
        <w:t>s</w:t>
      </w:r>
      <w:r w:rsidRPr="00252B58">
        <w:rPr>
          <w:rFonts w:ascii="Arial" w:hAnsi="Arial" w:cs="Arial"/>
          <w:sz w:val="24"/>
        </w:rPr>
        <w:t xml:space="preserve"> over a sustained period.</w:t>
      </w:r>
    </w:p>
    <w:p w14:paraId="6A180A80" w14:textId="0DDBFF8A" w:rsidR="00CC34FD" w:rsidRPr="00252B58" w:rsidRDefault="008B38FD" w:rsidP="00526795">
      <w:pPr>
        <w:autoSpaceDE w:val="0"/>
        <w:autoSpaceDN w:val="0"/>
        <w:adjustRightInd w:val="0"/>
        <w:spacing w:after="0" w:line="480" w:lineRule="auto"/>
        <w:jc w:val="both"/>
        <w:rPr>
          <w:rFonts w:ascii="Arial" w:hAnsi="Arial" w:cs="Arial"/>
          <w:sz w:val="24"/>
          <w:szCs w:val="24"/>
        </w:rPr>
      </w:pPr>
      <w:r w:rsidRPr="00252B58">
        <w:rPr>
          <w:rFonts w:ascii="Arial" w:hAnsi="Arial" w:cs="Arial"/>
          <w:sz w:val="24"/>
        </w:rPr>
        <w:t xml:space="preserve">Making the diagnosis of </w:t>
      </w:r>
      <w:r w:rsidR="007E3ABA" w:rsidRPr="00252B58">
        <w:rPr>
          <w:rFonts w:ascii="Arial" w:hAnsi="Arial" w:cs="Arial"/>
          <w:sz w:val="24"/>
          <w:szCs w:val="24"/>
        </w:rPr>
        <w:t>irritable bowel syndrome</w:t>
      </w:r>
      <w:r w:rsidRPr="00252B58">
        <w:rPr>
          <w:rFonts w:ascii="Arial" w:hAnsi="Arial" w:cs="Arial"/>
          <w:sz w:val="24"/>
        </w:rPr>
        <w:t xml:space="preserve">, the second </w:t>
      </w:r>
      <w:r w:rsidR="00C74A74" w:rsidRPr="00252B58">
        <w:rPr>
          <w:rFonts w:ascii="Arial" w:hAnsi="Arial" w:cs="Arial"/>
          <w:sz w:val="24"/>
        </w:rPr>
        <w:t xml:space="preserve">most </w:t>
      </w:r>
      <w:r w:rsidRPr="00252B58">
        <w:rPr>
          <w:rFonts w:ascii="Arial" w:hAnsi="Arial" w:cs="Arial"/>
          <w:sz w:val="24"/>
        </w:rPr>
        <w:t>prevalent gastrointestinal disease of westernised populations, is problematic: despite the introduction of the Manning Criteria in 1978</w:t>
      </w:r>
      <w:r w:rsidR="00133614" w:rsidRPr="00252B58">
        <w:rPr>
          <w:rFonts w:ascii="Arial" w:hAnsi="Arial" w:cs="Arial"/>
          <w:sz w:val="24"/>
          <w:vertAlign w:val="superscript"/>
        </w:rPr>
        <w:t>3</w:t>
      </w:r>
      <w:r w:rsidR="009F7273" w:rsidRPr="00252B58">
        <w:rPr>
          <w:rFonts w:ascii="Arial" w:hAnsi="Arial" w:cs="Arial"/>
          <w:sz w:val="24"/>
          <w:vertAlign w:val="superscript"/>
        </w:rPr>
        <w:t>0</w:t>
      </w:r>
      <w:r w:rsidR="00133614" w:rsidRPr="00252B58">
        <w:rPr>
          <w:rFonts w:ascii="Arial" w:hAnsi="Arial" w:cs="Arial"/>
          <w:sz w:val="24"/>
        </w:rPr>
        <w:t xml:space="preserve"> </w:t>
      </w:r>
      <w:r w:rsidRPr="00252B58">
        <w:rPr>
          <w:rFonts w:ascii="Arial" w:hAnsi="Arial" w:cs="Arial"/>
          <w:sz w:val="24"/>
        </w:rPr>
        <w:t xml:space="preserve">and the numerous updates of the Rome Criteria many clinicians still feel that </w:t>
      </w:r>
      <w:r w:rsidR="007E3ABA" w:rsidRPr="00252B58">
        <w:rPr>
          <w:rFonts w:ascii="Arial" w:hAnsi="Arial" w:cs="Arial"/>
          <w:sz w:val="24"/>
          <w:szCs w:val="24"/>
        </w:rPr>
        <w:t>irritable bowel syndrome</w:t>
      </w:r>
      <w:r w:rsidR="007E3ABA" w:rsidRPr="00252B58">
        <w:rPr>
          <w:rFonts w:ascii="Arial" w:hAnsi="Arial" w:cs="Arial"/>
          <w:sz w:val="24"/>
        </w:rPr>
        <w:t xml:space="preserve"> </w:t>
      </w:r>
      <w:r w:rsidRPr="00252B58">
        <w:rPr>
          <w:rFonts w:ascii="Arial" w:hAnsi="Arial" w:cs="Arial"/>
          <w:sz w:val="24"/>
        </w:rPr>
        <w:t>is a diagnosis of exclusion</w:t>
      </w:r>
      <w:r w:rsidR="009F7273" w:rsidRPr="00252B58">
        <w:rPr>
          <w:rFonts w:ascii="Arial" w:hAnsi="Arial" w:cs="Arial"/>
          <w:sz w:val="24"/>
          <w:vertAlign w:val="superscript"/>
        </w:rPr>
        <w:t>4</w:t>
      </w:r>
      <w:r w:rsidRPr="00252B58">
        <w:rPr>
          <w:rFonts w:ascii="Arial" w:hAnsi="Arial" w:cs="Arial"/>
          <w:sz w:val="24"/>
        </w:rPr>
        <w:t xml:space="preserve">. The introduction of faecal calprotectin has helped to ‘rule out’ disorders such as </w:t>
      </w:r>
      <w:r w:rsidR="008E4F58" w:rsidRPr="00252B58">
        <w:rPr>
          <w:rFonts w:ascii="Arial" w:hAnsi="Arial" w:cs="Arial"/>
          <w:sz w:val="24"/>
          <w:szCs w:val="24"/>
        </w:rPr>
        <w:t>inflammatory bowel disease</w:t>
      </w:r>
      <w:r w:rsidRPr="00252B58">
        <w:rPr>
          <w:rFonts w:ascii="Arial" w:hAnsi="Arial" w:cs="Arial"/>
          <w:sz w:val="24"/>
        </w:rPr>
        <w:t xml:space="preserve">, but still treats </w:t>
      </w:r>
      <w:r w:rsidR="007E3ABA" w:rsidRPr="00252B58">
        <w:rPr>
          <w:rFonts w:ascii="Arial" w:hAnsi="Arial" w:cs="Arial"/>
          <w:sz w:val="24"/>
          <w:szCs w:val="24"/>
        </w:rPr>
        <w:t>irritable bowel syndrome</w:t>
      </w:r>
      <w:r w:rsidR="007E3ABA" w:rsidRPr="00252B58">
        <w:rPr>
          <w:rFonts w:ascii="Arial" w:hAnsi="Arial" w:cs="Arial"/>
          <w:sz w:val="24"/>
        </w:rPr>
        <w:t xml:space="preserve"> </w:t>
      </w:r>
      <w:r w:rsidRPr="00252B58">
        <w:rPr>
          <w:rFonts w:ascii="Arial" w:hAnsi="Arial" w:cs="Arial"/>
          <w:sz w:val="24"/>
        </w:rPr>
        <w:t xml:space="preserve">as a diagnosis of exclusion. The </w:t>
      </w:r>
      <w:r w:rsidRPr="00252B58">
        <w:rPr>
          <w:rFonts w:ascii="Arial" w:hAnsi="Arial" w:cs="Arial"/>
          <w:sz w:val="24"/>
        </w:rPr>
        <w:lastRenderedPageBreak/>
        <w:t xml:space="preserve">data we have presented is the best method to date for making a positive diagnosis of </w:t>
      </w:r>
      <w:r w:rsidR="007E3ABA" w:rsidRPr="00252B58">
        <w:rPr>
          <w:rFonts w:ascii="Arial" w:hAnsi="Arial" w:cs="Arial"/>
          <w:sz w:val="24"/>
          <w:szCs w:val="24"/>
        </w:rPr>
        <w:t>irritable bowel syndrome</w:t>
      </w:r>
      <w:r w:rsidR="007E3ABA" w:rsidRPr="00252B58">
        <w:rPr>
          <w:rFonts w:ascii="Arial" w:hAnsi="Arial" w:cs="Arial"/>
          <w:sz w:val="24"/>
        </w:rPr>
        <w:t xml:space="preserve"> </w:t>
      </w:r>
      <w:r w:rsidRPr="00252B58">
        <w:rPr>
          <w:rFonts w:ascii="Arial" w:hAnsi="Arial" w:cs="Arial"/>
          <w:sz w:val="24"/>
        </w:rPr>
        <w:t xml:space="preserve">based on an investigation. </w:t>
      </w:r>
      <w:r w:rsidR="00CC34FD" w:rsidRPr="00252B58">
        <w:rPr>
          <w:rFonts w:ascii="Arial" w:hAnsi="Arial" w:cs="Arial"/>
          <w:sz w:val="24"/>
          <w:szCs w:val="24"/>
        </w:rPr>
        <w:t xml:space="preserve">The new pipeline is an improvement on the previously reported neural network, for active </w:t>
      </w:r>
      <w:r w:rsidR="008E4F58" w:rsidRPr="00252B58">
        <w:rPr>
          <w:rFonts w:ascii="Arial" w:hAnsi="Arial" w:cs="Arial"/>
          <w:sz w:val="24"/>
          <w:szCs w:val="24"/>
        </w:rPr>
        <w:t xml:space="preserve">inflammatory bowel disease </w:t>
      </w:r>
      <w:r w:rsidR="00CC34FD" w:rsidRPr="00252B58">
        <w:rPr>
          <w:rFonts w:ascii="Arial" w:hAnsi="Arial" w:cs="Arial"/>
          <w:sz w:val="24"/>
          <w:szCs w:val="24"/>
        </w:rPr>
        <w:t>(</w:t>
      </w:r>
      <w:r w:rsidR="000D7F31" w:rsidRPr="00252B58">
        <w:rPr>
          <w:rFonts w:ascii="Arial" w:hAnsi="Arial" w:cs="Arial"/>
          <w:sz w:val="24"/>
          <w:szCs w:val="24"/>
        </w:rPr>
        <w:t xml:space="preserve">Crohn’s disease </w:t>
      </w:r>
      <w:r w:rsidR="00CC34FD" w:rsidRPr="00252B58">
        <w:rPr>
          <w:rFonts w:ascii="Arial" w:hAnsi="Arial" w:cs="Arial"/>
          <w:sz w:val="24"/>
          <w:szCs w:val="24"/>
        </w:rPr>
        <w:t xml:space="preserve">and </w:t>
      </w:r>
      <w:r w:rsidR="000D7F31" w:rsidRPr="00252B58">
        <w:rPr>
          <w:rFonts w:ascii="Arial" w:hAnsi="Arial" w:cs="Arial"/>
          <w:sz w:val="24"/>
          <w:szCs w:val="24"/>
        </w:rPr>
        <w:t>ulcerative colitis</w:t>
      </w:r>
      <w:r w:rsidR="00CC34FD" w:rsidRPr="00252B58">
        <w:rPr>
          <w:rFonts w:ascii="Arial" w:hAnsi="Arial" w:cs="Arial"/>
          <w:sz w:val="24"/>
          <w:szCs w:val="24"/>
        </w:rPr>
        <w:t xml:space="preserve">) vs </w:t>
      </w:r>
      <w:r w:rsidR="007E3ABA" w:rsidRPr="00252B58">
        <w:rPr>
          <w:rFonts w:ascii="Arial" w:hAnsi="Arial" w:cs="Arial"/>
          <w:sz w:val="24"/>
          <w:szCs w:val="24"/>
        </w:rPr>
        <w:t>irritable bowel syndrome</w:t>
      </w:r>
      <w:r w:rsidR="00CC34FD" w:rsidRPr="00252B58">
        <w:rPr>
          <w:rFonts w:ascii="Arial" w:hAnsi="Arial" w:cs="Arial"/>
          <w:sz w:val="24"/>
          <w:szCs w:val="24"/>
        </w:rPr>
        <w:t>, the pipeline has a mean sensitivity and specificity of 9</w:t>
      </w:r>
      <w:r w:rsidR="001054D4" w:rsidRPr="00252B58">
        <w:rPr>
          <w:rFonts w:ascii="Arial" w:hAnsi="Arial" w:cs="Arial"/>
          <w:sz w:val="24"/>
          <w:szCs w:val="24"/>
        </w:rPr>
        <w:t>3</w:t>
      </w:r>
      <w:r w:rsidR="00CC34FD" w:rsidRPr="00252B58">
        <w:rPr>
          <w:rFonts w:ascii="Arial" w:hAnsi="Arial" w:cs="Arial"/>
          <w:sz w:val="24"/>
          <w:szCs w:val="24"/>
        </w:rPr>
        <w:t>% and 9</w:t>
      </w:r>
      <w:r w:rsidR="001054D4" w:rsidRPr="00252B58">
        <w:rPr>
          <w:rFonts w:ascii="Arial" w:hAnsi="Arial" w:cs="Arial"/>
          <w:sz w:val="24"/>
          <w:szCs w:val="24"/>
        </w:rPr>
        <w:t>0</w:t>
      </w:r>
      <w:r w:rsidR="00CC34FD" w:rsidRPr="00252B58">
        <w:rPr>
          <w:rFonts w:ascii="Arial" w:hAnsi="Arial" w:cs="Arial"/>
          <w:sz w:val="24"/>
          <w:szCs w:val="24"/>
        </w:rPr>
        <w:t xml:space="preserve">%, respectively, the neural network had mean values of 76% and 88%; for </w:t>
      </w:r>
      <w:r w:rsidR="00285EE7" w:rsidRPr="00252B58">
        <w:rPr>
          <w:rFonts w:ascii="Arial" w:hAnsi="Arial" w:cs="Arial"/>
          <w:sz w:val="24"/>
          <w:szCs w:val="24"/>
        </w:rPr>
        <w:t xml:space="preserve">irritable bowel syndrome </w:t>
      </w:r>
      <w:r w:rsidR="00CC34FD" w:rsidRPr="00252B58">
        <w:rPr>
          <w:rFonts w:ascii="Arial" w:hAnsi="Arial" w:cs="Arial"/>
          <w:sz w:val="24"/>
          <w:szCs w:val="24"/>
        </w:rPr>
        <w:t>vs controls, the mean accuracy of pipeline and neural network were 9</w:t>
      </w:r>
      <w:r w:rsidR="001054D4" w:rsidRPr="00252B58">
        <w:rPr>
          <w:rFonts w:ascii="Arial" w:hAnsi="Arial" w:cs="Arial"/>
          <w:sz w:val="24"/>
          <w:szCs w:val="24"/>
        </w:rPr>
        <w:t>1</w:t>
      </w:r>
      <w:r w:rsidR="00CC34FD" w:rsidRPr="00252B58">
        <w:rPr>
          <w:rFonts w:ascii="Arial" w:hAnsi="Arial" w:cs="Arial"/>
          <w:sz w:val="24"/>
          <w:szCs w:val="24"/>
        </w:rPr>
        <w:t xml:space="preserve">% and 54%, respectively; while for </w:t>
      </w:r>
      <w:r w:rsidR="008E4F58" w:rsidRPr="00252B58">
        <w:rPr>
          <w:rFonts w:ascii="Arial" w:hAnsi="Arial" w:cs="Arial"/>
          <w:sz w:val="24"/>
          <w:szCs w:val="24"/>
        </w:rPr>
        <w:t xml:space="preserve">inflammatory bowel disease </w:t>
      </w:r>
      <w:r w:rsidR="00CC34FD" w:rsidRPr="00252B58">
        <w:rPr>
          <w:rFonts w:ascii="Arial" w:hAnsi="Arial" w:cs="Arial"/>
          <w:sz w:val="24"/>
          <w:szCs w:val="24"/>
        </w:rPr>
        <w:t>(combined</w:t>
      </w:r>
      <w:r w:rsidR="000D7F31" w:rsidRPr="00252B58">
        <w:rPr>
          <w:rFonts w:ascii="Arial" w:hAnsi="Arial" w:cs="Arial"/>
          <w:sz w:val="24"/>
          <w:szCs w:val="24"/>
        </w:rPr>
        <w:t xml:space="preserve"> Crohn’s disease</w:t>
      </w:r>
      <w:r w:rsidR="00CC34FD" w:rsidRPr="00252B58">
        <w:rPr>
          <w:rFonts w:ascii="Arial" w:hAnsi="Arial" w:cs="Arial"/>
          <w:sz w:val="24"/>
          <w:szCs w:val="24"/>
        </w:rPr>
        <w:t xml:space="preserve"> and </w:t>
      </w:r>
      <w:r w:rsidR="000D7F31" w:rsidRPr="00252B58">
        <w:rPr>
          <w:rFonts w:ascii="Arial" w:hAnsi="Arial" w:cs="Arial"/>
          <w:sz w:val="24"/>
          <w:szCs w:val="24"/>
        </w:rPr>
        <w:t>ulcerative colitis</w:t>
      </w:r>
      <w:r w:rsidR="00CC34FD" w:rsidRPr="00252B58">
        <w:rPr>
          <w:rFonts w:ascii="Arial" w:hAnsi="Arial" w:cs="Arial"/>
          <w:sz w:val="24"/>
          <w:szCs w:val="24"/>
        </w:rPr>
        <w:t xml:space="preserve">) vs controls the mean accuracies were </w:t>
      </w:r>
      <w:r w:rsidR="001054D4" w:rsidRPr="00252B58">
        <w:rPr>
          <w:rFonts w:ascii="Arial" w:hAnsi="Arial" w:cs="Arial"/>
          <w:sz w:val="24"/>
          <w:szCs w:val="24"/>
        </w:rPr>
        <w:t>78</w:t>
      </w:r>
      <w:r w:rsidR="00CC34FD" w:rsidRPr="00252B58">
        <w:rPr>
          <w:rFonts w:ascii="Arial" w:hAnsi="Arial" w:cs="Arial"/>
          <w:sz w:val="24"/>
          <w:szCs w:val="24"/>
        </w:rPr>
        <w:t xml:space="preserve">% and 79% for the pipeline and neural network, respectively. When </w:t>
      </w:r>
      <w:r w:rsidR="000D7F31" w:rsidRPr="00252B58">
        <w:rPr>
          <w:rFonts w:ascii="Arial" w:hAnsi="Arial" w:cs="Arial"/>
          <w:sz w:val="24"/>
          <w:szCs w:val="24"/>
        </w:rPr>
        <w:t xml:space="preserve">Crohn’s disease </w:t>
      </w:r>
      <w:r w:rsidR="00CC34FD" w:rsidRPr="00252B58">
        <w:rPr>
          <w:rFonts w:ascii="Arial" w:hAnsi="Arial" w:cs="Arial"/>
          <w:sz w:val="24"/>
          <w:szCs w:val="24"/>
        </w:rPr>
        <w:t xml:space="preserve">and </w:t>
      </w:r>
      <w:r w:rsidR="000D7F31" w:rsidRPr="00252B58">
        <w:rPr>
          <w:rFonts w:ascii="Arial" w:hAnsi="Arial" w:cs="Arial"/>
          <w:sz w:val="24"/>
          <w:szCs w:val="24"/>
        </w:rPr>
        <w:t xml:space="preserve">ulcerative colitis </w:t>
      </w:r>
      <w:r w:rsidR="00CC34FD" w:rsidRPr="00252B58">
        <w:rPr>
          <w:rFonts w:ascii="Arial" w:hAnsi="Arial" w:cs="Arial"/>
          <w:sz w:val="24"/>
          <w:szCs w:val="24"/>
        </w:rPr>
        <w:t>were analysed separately, the pipeline had a</w:t>
      </w:r>
      <w:r w:rsidR="001054D4" w:rsidRPr="00252B58">
        <w:rPr>
          <w:rFonts w:ascii="Arial" w:hAnsi="Arial" w:cs="Arial"/>
          <w:sz w:val="24"/>
          <w:szCs w:val="24"/>
        </w:rPr>
        <w:t>n</w:t>
      </w:r>
      <w:r w:rsidR="00CC34FD" w:rsidRPr="00252B58">
        <w:rPr>
          <w:rFonts w:ascii="Arial" w:hAnsi="Arial" w:cs="Arial"/>
          <w:sz w:val="24"/>
          <w:szCs w:val="24"/>
        </w:rPr>
        <w:t xml:space="preserve"> </w:t>
      </w:r>
      <w:r w:rsidR="001054D4" w:rsidRPr="00252B58">
        <w:rPr>
          <w:rFonts w:ascii="Arial" w:hAnsi="Arial" w:cs="Arial"/>
          <w:sz w:val="24"/>
          <w:szCs w:val="24"/>
        </w:rPr>
        <w:t>accuracy of 89%</w:t>
      </w:r>
      <w:r w:rsidR="00CC34FD" w:rsidRPr="00252B58">
        <w:rPr>
          <w:rFonts w:ascii="Arial" w:hAnsi="Arial" w:cs="Arial"/>
          <w:sz w:val="24"/>
          <w:szCs w:val="24"/>
        </w:rPr>
        <w:t xml:space="preserve">. </w:t>
      </w:r>
      <w:r w:rsidR="001054D4" w:rsidRPr="00252B58">
        <w:rPr>
          <w:rFonts w:ascii="Arial" w:hAnsi="Arial" w:cs="Arial"/>
          <w:sz w:val="24"/>
          <w:szCs w:val="24"/>
        </w:rPr>
        <w:t xml:space="preserve">This </w:t>
      </w:r>
      <w:r w:rsidR="00CC34FD" w:rsidRPr="00252B58">
        <w:rPr>
          <w:rFonts w:ascii="Arial" w:hAnsi="Arial" w:cs="Arial"/>
          <w:sz w:val="24"/>
          <w:szCs w:val="24"/>
        </w:rPr>
        <w:t xml:space="preserve">assessment </w:t>
      </w:r>
      <w:r w:rsidR="001054D4" w:rsidRPr="00252B58">
        <w:rPr>
          <w:rFonts w:ascii="Arial" w:hAnsi="Arial" w:cs="Arial"/>
          <w:sz w:val="24"/>
          <w:szCs w:val="24"/>
        </w:rPr>
        <w:t xml:space="preserve">was not </w:t>
      </w:r>
      <w:r w:rsidR="00C74A74" w:rsidRPr="00252B58">
        <w:rPr>
          <w:rFonts w:ascii="Arial" w:hAnsi="Arial" w:cs="Arial"/>
          <w:sz w:val="24"/>
          <w:szCs w:val="24"/>
        </w:rPr>
        <w:t>undertaken when using</w:t>
      </w:r>
      <w:r w:rsidR="00CC34FD" w:rsidRPr="00252B58">
        <w:rPr>
          <w:rFonts w:ascii="Arial" w:hAnsi="Arial" w:cs="Arial"/>
          <w:sz w:val="24"/>
          <w:szCs w:val="24"/>
        </w:rPr>
        <w:t xml:space="preserve"> the neural network.</w:t>
      </w:r>
    </w:p>
    <w:p w14:paraId="3757B4D4" w14:textId="0F6614D9" w:rsidR="008B38FD" w:rsidRPr="00252B58" w:rsidRDefault="008B38FD" w:rsidP="002C76CD">
      <w:pPr>
        <w:spacing w:line="480" w:lineRule="auto"/>
        <w:jc w:val="both"/>
        <w:rPr>
          <w:rFonts w:ascii="Arial" w:hAnsi="Arial" w:cs="Arial"/>
          <w:sz w:val="24"/>
        </w:rPr>
      </w:pPr>
      <w:r w:rsidRPr="00252B58">
        <w:rPr>
          <w:rFonts w:ascii="Arial" w:hAnsi="Arial" w:cs="Arial"/>
          <w:sz w:val="24"/>
        </w:rPr>
        <w:t xml:space="preserve">The new analysis also compared patients with active </w:t>
      </w:r>
      <w:r w:rsidR="000D7F31" w:rsidRPr="00252B58">
        <w:rPr>
          <w:rFonts w:ascii="Arial" w:hAnsi="Arial" w:cs="Arial"/>
          <w:sz w:val="24"/>
          <w:szCs w:val="24"/>
        </w:rPr>
        <w:t xml:space="preserve">Crohn’s disease </w:t>
      </w:r>
      <w:r w:rsidRPr="00252B58">
        <w:rPr>
          <w:rFonts w:ascii="Arial" w:hAnsi="Arial" w:cs="Arial"/>
          <w:sz w:val="24"/>
        </w:rPr>
        <w:t xml:space="preserve">and </w:t>
      </w:r>
      <w:r w:rsidR="000D7F31" w:rsidRPr="00252B58">
        <w:rPr>
          <w:rFonts w:ascii="Arial" w:hAnsi="Arial" w:cs="Arial"/>
          <w:sz w:val="24"/>
          <w:szCs w:val="24"/>
        </w:rPr>
        <w:t>ulcerative colitis</w:t>
      </w:r>
      <w:r w:rsidR="000D7F31" w:rsidRPr="00252B58">
        <w:rPr>
          <w:rFonts w:ascii="Arial" w:hAnsi="Arial" w:cs="Arial"/>
          <w:sz w:val="24"/>
        </w:rPr>
        <w:t xml:space="preserve"> </w:t>
      </w:r>
      <w:r w:rsidRPr="00252B58">
        <w:rPr>
          <w:rFonts w:ascii="Arial" w:hAnsi="Arial" w:cs="Arial"/>
          <w:sz w:val="24"/>
        </w:rPr>
        <w:t xml:space="preserve">for the first time. The traditional </w:t>
      </w:r>
      <w:r w:rsidR="006110A2" w:rsidRPr="00252B58">
        <w:rPr>
          <w:rFonts w:ascii="Arial" w:hAnsi="Arial" w:cs="Arial"/>
          <w:sz w:val="24"/>
        </w:rPr>
        <w:t>Partial Least Squares (</w:t>
      </w:r>
      <w:r w:rsidRPr="00252B58">
        <w:rPr>
          <w:rFonts w:ascii="Arial" w:hAnsi="Arial" w:cs="Arial"/>
          <w:sz w:val="24"/>
        </w:rPr>
        <w:t>PLS</w:t>
      </w:r>
      <w:r w:rsidR="006110A2" w:rsidRPr="00252B58">
        <w:rPr>
          <w:rFonts w:ascii="Arial" w:hAnsi="Arial" w:cs="Arial"/>
          <w:sz w:val="24"/>
        </w:rPr>
        <w:t>)</w:t>
      </w:r>
      <w:r w:rsidRPr="00252B58">
        <w:rPr>
          <w:rFonts w:ascii="Arial" w:hAnsi="Arial" w:cs="Arial"/>
          <w:sz w:val="24"/>
        </w:rPr>
        <w:t xml:space="preserve"> approach gave a mean accuracy of 9</w:t>
      </w:r>
      <w:r w:rsidR="001054D4" w:rsidRPr="00252B58">
        <w:rPr>
          <w:rFonts w:ascii="Arial" w:hAnsi="Arial" w:cs="Arial"/>
          <w:sz w:val="24"/>
        </w:rPr>
        <w:t>4</w:t>
      </w:r>
      <w:r w:rsidRPr="00252B58">
        <w:rPr>
          <w:rFonts w:ascii="Arial" w:hAnsi="Arial" w:cs="Arial"/>
          <w:sz w:val="24"/>
        </w:rPr>
        <w:t xml:space="preserve">% with an </w:t>
      </w:r>
      <w:r w:rsidR="006110A2" w:rsidRPr="00252B58">
        <w:rPr>
          <w:rFonts w:ascii="Arial" w:hAnsi="Arial" w:cs="Arial"/>
          <w:sz w:val="24"/>
        </w:rPr>
        <w:t xml:space="preserve">area under the </w:t>
      </w:r>
      <w:r w:rsidRPr="00252B58">
        <w:rPr>
          <w:rFonts w:ascii="Arial" w:hAnsi="Arial" w:cs="Arial"/>
          <w:sz w:val="24"/>
        </w:rPr>
        <w:t>ROC of 9</w:t>
      </w:r>
      <w:r w:rsidR="001054D4" w:rsidRPr="00252B58">
        <w:rPr>
          <w:rFonts w:ascii="Arial" w:hAnsi="Arial" w:cs="Arial"/>
          <w:sz w:val="24"/>
        </w:rPr>
        <w:t>9</w:t>
      </w:r>
      <w:r w:rsidRPr="00252B58">
        <w:rPr>
          <w:rFonts w:ascii="Arial" w:hAnsi="Arial" w:cs="Arial"/>
          <w:sz w:val="24"/>
        </w:rPr>
        <w:t>%, SVM gave 96% and 99</w:t>
      </w:r>
      <w:r w:rsidR="001054D4" w:rsidRPr="00252B58">
        <w:rPr>
          <w:rFonts w:ascii="Arial" w:hAnsi="Arial" w:cs="Arial"/>
          <w:sz w:val="24"/>
        </w:rPr>
        <w:t>%</w:t>
      </w:r>
      <w:r w:rsidRPr="00252B58">
        <w:rPr>
          <w:rFonts w:ascii="Arial" w:hAnsi="Arial" w:cs="Arial"/>
          <w:sz w:val="24"/>
        </w:rPr>
        <w:t xml:space="preserve">, respectively. There are no faecal markers with an ability to distinguish </w:t>
      </w:r>
      <w:r w:rsidR="000D7F31" w:rsidRPr="00252B58">
        <w:rPr>
          <w:rFonts w:ascii="Arial" w:hAnsi="Arial" w:cs="Arial"/>
          <w:sz w:val="24"/>
          <w:szCs w:val="24"/>
        </w:rPr>
        <w:t xml:space="preserve">Crohn’s disease </w:t>
      </w:r>
      <w:r w:rsidRPr="00252B58">
        <w:rPr>
          <w:rFonts w:ascii="Arial" w:hAnsi="Arial" w:cs="Arial"/>
          <w:sz w:val="24"/>
        </w:rPr>
        <w:t xml:space="preserve">and </w:t>
      </w:r>
      <w:r w:rsidR="000D7F31" w:rsidRPr="00252B58">
        <w:rPr>
          <w:rFonts w:ascii="Arial" w:hAnsi="Arial" w:cs="Arial"/>
          <w:sz w:val="24"/>
          <w:szCs w:val="24"/>
        </w:rPr>
        <w:t>ulcerative colitis</w:t>
      </w:r>
      <w:r w:rsidRPr="00252B58">
        <w:rPr>
          <w:rFonts w:ascii="Arial" w:hAnsi="Arial" w:cs="Arial"/>
          <w:sz w:val="24"/>
        </w:rPr>
        <w:t>, althou</w:t>
      </w:r>
      <w:r w:rsidRPr="00252B58">
        <w:rPr>
          <w:rFonts w:ascii="Arial" w:hAnsi="Arial" w:cs="Arial"/>
          <w:sz w:val="24"/>
          <w:szCs w:val="24"/>
        </w:rPr>
        <w:t>gh some serology panels show promise</w:t>
      </w:r>
      <w:r w:rsidR="0010726B" w:rsidRPr="00252B58">
        <w:rPr>
          <w:rFonts w:ascii="Arial" w:hAnsi="Arial" w:cs="Arial"/>
          <w:sz w:val="24"/>
          <w:szCs w:val="24"/>
          <w:vertAlign w:val="superscript"/>
        </w:rPr>
        <w:t>3</w:t>
      </w:r>
      <w:r w:rsidR="009F7273" w:rsidRPr="00252B58">
        <w:rPr>
          <w:rFonts w:ascii="Arial" w:hAnsi="Arial" w:cs="Arial"/>
          <w:sz w:val="24"/>
          <w:szCs w:val="24"/>
          <w:vertAlign w:val="superscript"/>
        </w:rPr>
        <w:t>1</w:t>
      </w:r>
      <w:r w:rsidR="00FD7328" w:rsidRPr="00252B58">
        <w:rPr>
          <w:rFonts w:ascii="Arial" w:hAnsi="Arial" w:cs="Arial"/>
          <w:sz w:val="24"/>
          <w:szCs w:val="24"/>
        </w:rPr>
        <w:t>. We do not expect faecal volatile compounds</w:t>
      </w:r>
      <w:r w:rsidRPr="00252B58">
        <w:rPr>
          <w:rFonts w:ascii="Arial" w:hAnsi="Arial" w:cs="Arial"/>
          <w:sz w:val="24"/>
        </w:rPr>
        <w:t xml:space="preserve"> to replace standard diagnostic tools such as colonoscopy and MRI or capsular endoscopy, but they could be used to help direct the choice of investigation. Importantly, the technique appears </w:t>
      </w:r>
      <w:r w:rsidR="00B21F64" w:rsidRPr="00252B58">
        <w:rPr>
          <w:rFonts w:ascii="Arial" w:hAnsi="Arial" w:cs="Arial"/>
          <w:sz w:val="24"/>
        </w:rPr>
        <w:t xml:space="preserve">to </w:t>
      </w:r>
      <w:r w:rsidRPr="00252B58">
        <w:rPr>
          <w:rFonts w:ascii="Arial" w:hAnsi="Arial" w:cs="Arial"/>
          <w:sz w:val="24"/>
        </w:rPr>
        <w:t xml:space="preserve">provide a tool </w:t>
      </w:r>
      <w:r w:rsidR="00B21F64" w:rsidRPr="00252B58">
        <w:rPr>
          <w:rFonts w:ascii="Arial" w:hAnsi="Arial" w:cs="Arial"/>
          <w:sz w:val="24"/>
        </w:rPr>
        <w:t>for diagnosing</w:t>
      </w:r>
      <w:r w:rsidRPr="00252B58">
        <w:rPr>
          <w:rFonts w:ascii="Arial" w:hAnsi="Arial" w:cs="Arial"/>
          <w:sz w:val="24"/>
        </w:rPr>
        <w:t xml:space="preserve"> </w:t>
      </w:r>
      <w:r w:rsidR="00285EE7" w:rsidRPr="00252B58">
        <w:rPr>
          <w:rFonts w:ascii="Arial" w:hAnsi="Arial" w:cs="Arial"/>
          <w:sz w:val="24"/>
          <w:szCs w:val="24"/>
        </w:rPr>
        <w:t>irritable bowel syndrome</w:t>
      </w:r>
      <w:r w:rsidR="00285EE7" w:rsidRPr="00252B58">
        <w:rPr>
          <w:rFonts w:ascii="Arial" w:hAnsi="Arial" w:cs="Arial"/>
          <w:sz w:val="24"/>
        </w:rPr>
        <w:t xml:space="preserve"> </w:t>
      </w:r>
      <w:r w:rsidRPr="00252B58">
        <w:rPr>
          <w:rFonts w:ascii="Arial" w:hAnsi="Arial" w:cs="Arial"/>
          <w:sz w:val="24"/>
        </w:rPr>
        <w:t>in a positive way, which will be of reassurance to patients, while saving them from unnecessary test</w:t>
      </w:r>
      <w:r w:rsidR="00DA6E1A" w:rsidRPr="00252B58">
        <w:rPr>
          <w:rFonts w:ascii="Arial" w:hAnsi="Arial" w:cs="Arial"/>
          <w:sz w:val="24"/>
        </w:rPr>
        <w:t>s</w:t>
      </w:r>
      <w:r w:rsidRPr="00252B58">
        <w:rPr>
          <w:rFonts w:ascii="Arial" w:hAnsi="Arial" w:cs="Arial"/>
          <w:sz w:val="24"/>
        </w:rPr>
        <w:t xml:space="preserve"> to rule </w:t>
      </w:r>
      <w:r w:rsidR="00C74A74" w:rsidRPr="00252B58">
        <w:rPr>
          <w:rFonts w:ascii="Arial" w:hAnsi="Arial" w:cs="Arial"/>
          <w:sz w:val="24"/>
        </w:rPr>
        <w:t>out</w:t>
      </w:r>
      <w:r w:rsidRPr="00252B58">
        <w:rPr>
          <w:rFonts w:ascii="Arial" w:hAnsi="Arial" w:cs="Arial"/>
          <w:sz w:val="24"/>
        </w:rPr>
        <w:t xml:space="preserve"> other conditions, saving time, money and risk to the patients.</w:t>
      </w:r>
    </w:p>
    <w:p w14:paraId="3AC10B2C" w14:textId="557D8B4B" w:rsidR="004E7839" w:rsidRPr="00252B58" w:rsidRDefault="008B38FD" w:rsidP="001E1FA0">
      <w:pPr>
        <w:spacing w:line="480" w:lineRule="auto"/>
        <w:jc w:val="both"/>
        <w:rPr>
          <w:rFonts w:ascii="Arial" w:hAnsi="Arial" w:cs="Arial"/>
          <w:sz w:val="24"/>
        </w:rPr>
      </w:pPr>
      <w:r w:rsidRPr="00252B58">
        <w:rPr>
          <w:rFonts w:ascii="Arial" w:hAnsi="Arial" w:cs="Arial"/>
          <w:sz w:val="24"/>
        </w:rPr>
        <w:lastRenderedPageBreak/>
        <w:t xml:space="preserve">Clinically, the most challenging comparison is between </w:t>
      </w:r>
      <w:r w:rsidR="007E3ABA" w:rsidRPr="00252B58">
        <w:rPr>
          <w:rFonts w:ascii="Arial" w:hAnsi="Arial" w:cs="Arial"/>
          <w:sz w:val="24"/>
          <w:szCs w:val="24"/>
        </w:rPr>
        <w:t>irritable bowel syndrome</w:t>
      </w:r>
      <w:r w:rsidR="007E3ABA" w:rsidRPr="00252B58">
        <w:rPr>
          <w:rFonts w:ascii="Arial" w:hAnsi="Arial" w:cs="Arial"/>
          <w:sz w:val="24"/>
        </w:rPr>
        <w:t xml:space="preserve"> </w:t>
      </w:r>
      <w:r w:rsidRPr="00252B58">
        <w:rPr>
          <w:rFonts w:ascii="Arial" w:hAnsi="Arial" w:cs="Arial"/>
          <w:sz w:val="24"/>
        </w:rPr>
        <w:t xml:space="preserve">and active Crohn’s disease since both cause abdominal pain and a change in bowel habit. The </w:t>
      </w:r>
      <w:r w:rsidR="001D5FE0" w:rsidRPr="00252B58">
        <w:rPr>
          <w:rFonts w:ascii="Arial" w:hAnsi="Arial" w:cs="Arial"/>
          <w:sz w:val="24"/>
          <w:szCs w:val="24"/>
        </w:rPr>
        <w:t>gas chromatography</w:t>
      </w:r>
      <w:r w:rsidRPr="00252B58">
        <w:rPr>
          <w:rFonts w:ascii="Arial" w:hAnsi="Arial" w:cs="Arial"/>
          <w:sz w:val="24"/>
        </w:rPr>
        <w:t xml:space="preserve">-sensor pipeline performed well for this comparison </w:t>
      </w:r>
      <w:r w:rsidR="00094EB6" w:rsidRPr="00252B58">
        <w:rPr>
          <w:rFonts w:ascii="Arial" w:hAnsi="Arial" w:cs="Arial"/>
          <w:sz w:val="24"/>
        </w:rPr>
        <w:t xml:space="preserve">with area under the </w:t>
      </w:r>
      <w:r w:rsidRPr="00252B58">
        <w:rPr>
          <w:rFonts w:ascii="Arial" w:hAnsi="Arial" w:cs="Arial"/>
          <w:sz w:val="24"/>
        </w:rPr>
        <w:t>ROC of 9</w:t>
      </w:r>
      <w:r w:rsidR="00696978" w:rsidRPr="00252B58">
        <w:rPr>
          <w:rFonts w:ascii="Arial" w:hAnsi="Arial" w:cs="Arial"/>
          <w:sz w:val="24"/>
        </w:rPr>
        <w:t>1</w:t>
      </w:r>
      <w:r w:rsidRPr="00252B58">
        <w:rPr>
          <w:rFonts w:ascii="Arial" w:hAnsi="Arial" w:cs="Arial"/>
          <w:sz w:val="24"/>
        </w:rPr>
        <w:t xml:space="preserve">% </w:t>
      </w:r>
      <w:r w:rsidR="00696978" w:rsidRPr="00252B58">
        <w:rPr>
          <w:rFonts w:ascii="Arial" w:hAnsi="Arial" w:cs="Arial"/>
          <w:sz w:val="24"/>
        </w:rPr>
        <w:t xml:space="preserve">and 94% </w:t>
      </w:r>
      <w:r w:rsidR="00FD7328" w:rsidRPr="00252B58">
        <w:rPr>
          <w:rFonts w:ascii="Arial" w:hAnsi="Arial" w:cs="Arial"/>
          <w:sz w:val="24"/>
        </w:rPr>
        <w:t xml:space="preserve">using PLS </w:t>
      </w:r>
      <w:r w:rsidR="00696978" w:rsidRPr="00252B58">
        <w:rPr>
          <w:rFonts w:ascii="Arial" w:hAnsi="Arial" w:cs="Arial"/>
          <w:sz w:val="24"/>
        </w:rPr>
        <w:t>and</w:t>
      </w:r>
      <w:r w:rsidR="00FD7328" w:rsidRPr="00252B58">
        <w:rPr>
          <w:rFonts w:ascii="Arial" w:hAnsi="Arial" w:cs="Arial"/>
          <w:sz w:val="24"/>
        </w:rPr>
        <w:t xml:space="preserve"> SVM</w:t>
      </w:r>
      <w:r w:rsidR="00696978" w:rsidRPr="00252B58">
        <w:rPr>
          <w:rFonts w:ascii="Arial" w:hAnsi="Arial" w:cs="Arial"/>
          <w:sz w:val="24"/>
        </w:rPr>
        <w:t>, respectively,</w:t>
      </w:r>
      <w:r w:rsidR="00FD7328" w:rsidRPr="00252B58">
        <w:rPr>
          <w:rFonts w:ascii="Arial" w:hAnsi="Arial" w:cs="Arial"/>
          <w:sz w:val="24"/>
        </w:rPr>
        <w:t xml:space="preserve"> after </w:t>
      </w:r>
      <w:r w:rsidR="009859DB" w:rsidRPr="00252B58">
        <w:rPr>
          <w:rFonts w:ascii="Arial" w:hAnsi="Arial" w:cs="Arial"/>
          <w:sz w:val="24"/>
        </w:rPr>
        <w:t xml:space="preserve">double </w:t>
      </w:r>
      <w:r w:rsidR="00893B88" w:rsidRPr="00252B58">
        <w:rPr>
          <w:rFonts w:ascii="Arial" w:hAnsi="Arial" w:cs="Arial"/>
          <w:sz w:val="24"/>
        </w:rPr>
        <w:t>cross-validation</w:t>
      </w:r>
      <w:r w:rsidRPr="00252B58">
        <w:rPr>
          <w:rFonts w:ascii="Arial" w:hAnsi="Arial" w:cs="Arial"/>
          <w:sz w:val="24"/>
        </w:rPr>
        <w:t xml:space="preserve">. The same performance was observed when classifying </w:t>
      </w:r>
      <w:r w:rsidR="007E3ABA" w:rsidRPr="00252B58">
        <w:rPr>
          <w:rFonts w:ascii="Arial" w:hAnsi="Arial" w:cs="Arial"/>
          <w:sz w:val="24"/>
          <w:szCs w:val="24"/>
        </w:rPr>
        <w:t>irritable bowel syndrome</w:t>
      </w:r>
      <w:r w:rsidR="007E3ABA" w:rsidRPr="00252B58">
        <w:rPr>
          <w:rFonts w:ascii="Arial" w:hAnsi="Arial" w:cs="Arial"/>
          <w:sz w:val="24"/>
        </w:rPr>
        <w:t xml:space="preserve"> </w:t>
      </w:r>
      <w:r w:rsidRPr="00252B58">
        <w:rPr>
          <w:rFonts w:ascii="Arial" w:hAnsi="Arial" w:cs="Arial"/>
          <w:sz w:val="24"/>
        </w:rPr>
        <w:t xml:space="preserve">and active </w:t>
      </w:r>
      <w:r w:rsidR="008E4F58" w:rsidRPr="00252B58">
        <w:rPr>
          <w:rFonts w:ascii="Arial" w:hAnsi="Arial" w:cs="Arial"/>
          <w:sz w:val="24"/>
          <w:szCs w:val="24"/>
        </w:rPr>
        <w:t>inflammatory bowel disease</w:t>
      </w:r>
      <w:r w:rsidRPr="00252B58">
        <w:rPr>
          <w:rFonts w:ascii="Arial" w:hAnsi="Arial" w:cs="Arial"/>
          <w:sz w:val="24"/>
        </w:rPr>
        <w:t xml:space="preserve">, inactive </w:t>
      </w:r>
      <w:r w:rsidR="008E4F58" w:rsidRPr="00252B58">
        <w:rPr>
          <w:rFonts w:ascii="Arial" w:hAnsi="Arial" w:cs="Arial"/>
          <w:sz w:val="24"/>
          <w:szCs w:val="24"/>
        </w:rPr>
        <w:t>inflammatory bowel disease</w:t>
      </w:r>
      <w:r w:rsidRPr="00252B58">
        <w:rPr>
          <w:rFonts w:ascii="Arial" w:hAnsi="Arial" w:cs="Arial"/>
          <w:sz w:val="24"/>
        </w:rPr>
        <w:t xml:space="preserve">, inactive </w:t>
      </w:r>
      <w:r w:rsidR="000D7F31" w:rsidRPr="00252B58">
        <w:rPr>
          <w:rFonts w:ascii="Arial" w:hAnsi="Arial" w:cs="Arial"/>
          <w:sz w:val="24"/>
          <w:szCs w:val="24"/>
        </w:rPr>
        <w:t>Crohn’s disease</w:t>
      </w:r>
      <w:r w:rsidRPr="00252B58">
        <w:rPr>
          <w:rFonts w:ascii="Arial" w:hAnsi="Arial" w:cs="Arial"/>
          <w:sz w:val="24"/>
        </w:rPr>
        <w:t xml:space="preserve">, or inactive </w:t>
      </w:r>
      <w:r w:rsidR="000D7F31" w:rsidRPr="00252B58">
        <w:rPr>
          <w:rFonts w:ascii="Arial" w:hAnsi="Arial" w:cs="Arial"/>
          <w:sz w:val="24"/>
          <w:szCs w:val="24"/>
        </w:rPr>
        <w:t>ulcerative colitis</w:t>
      </w:r>
      <w:r w:rsidR="000D7F31" w:rsidRPr="00252B58">
        <w:rPr>
          <w:rFonts w:ascii="Arial" w:hAnsi="Arial" w:cs="Arial"/>
          <w:sz w:val="24"/>
        </w:rPr>
        <w:t xml:space="preserve"> </w:t>
      </w:r>
      <w:r w:rsidRPr="00252B58">
        <w:rPr>
          <w:rFonts w:ascii="Arial" w:hAnsi="Arial" w:cs="Arial"/>
          <w:sz w:val="24"/>
        </w:rPr>
        <w:t>samples (</w:t>
      </w:r>
      <w:r w:rsidR="00FE177D" w:rsidRPr="00252B58">
        <w:rPr>
          <w:rFonts w:ascii="Arial" w:hAnsi="Arial" w:cs="Arial"/>
          <w:sz w:val="24"/>
        </w:rPr>
        <w:t>Supplementary Table</w:t>
      </w:r>
      <w:r w:rsidR="0010726B" w:rsidRPr="00252B58">
        <w:rPr>
          <w:rFonts w:ascii="Arial" w:hAnsi="Arial" w:cs="Arial"/>
          <w:sz w:val="24"/>
        </w:rPr>
        <w:t>s</w:t>
      </w:r>
      <w:r w:rsidRPr="00252B58">
        <w:rPr>
          <w:rFonts w:ascii="Arial" w:hAnsi="Arial" w:cs="Arial"/>
          <w:sz w:val="24"/>
        </w:rPr>
        <w:t xml:space="preserve"> </w:t>
      </w:r>
      <w:r w:rsidR="000E1750" w:rsidRPr="00252B58">
        <w:rPr>
          <w:rFonts w:ascii="Arial" w:hAnsi="Arial" w:cs="Arial"/>
          <w:sz w:val="24"/>
        </w:rPr>
        <w:t xml:space="preserve">S2 </w:t>
      </w:r>
      <w:r w:rsidR="0091722E" w:rsidRPr="00252B58">
        <w:rPr>
          <w:rFonts w:ascii="Arial" w:hAnsi="Arial" w:cs="Arial"/>
          <w:sz w:val="24"/>
        </w:rPr>
        <w:t xml:space="preserve">and </w:t>
      </w:r>
      <w:r w:rsidR="000E1750" w:rsidRPr="00252B58">
        <w:rPr>
          <w:rFonts w:ascii="Arial" w:hAnsi="Arial" w:cs="Arial"/>
          <w:sz w:val="24"/>
        </w:rPr>
        <w:t>S3</w:t>
      </w:r>
      <w:r w:rsidRPr="00252B58">
        <w:rPr>
          <w:rFonts w:ascii="Arial" w:hAnsi="Arial" w:cs="Arial"/>
          <w:sz w:val="24"/>
        </w:rPr>
        <w:t xml:space="preserve">). The assessment of active </w:t>
      </w:r>
      <w:r w:rsidR="007E3ABA" w:rsidRPr="00252B58">
        <w:rPr>
          <w:rFonts w:ascii="Arial" w:hAnsi="Arial" w:cs="Arial"/>
          <w:sz w:val="24"/>
          <w:szCs w:val="24"/>
        </w:rPr>
        <w:t>inflammatory bowel disease</w:t>
      </w:r>
      <w:r w:rsidR="007E3ABA" w:rsidRPr="00252B58">
        <w:rPr>
          <w:rFonts w:ascii="Arial" w:hAnsi="Arial" w:cs="Arial"/>
          <w:sz w:val="24"/>
        </w:rPr>
        <w:t xml:space="preserve"> </w:t>
      </w:r>
      <w:r w:rsidRPr="00252B58">
        <w:rPr>
          <w:rFonts w:ascii="Arial" w:hAnsi="Arial" w:cs="Arial"/>
          <w:sz w:val="24"/>
        </w:rPr>
        <w:t>/</w:t>
      </w:r>
      <w:r w:rsidR="007E3ABA" w:rsidRPr="00252B58">
        <w:rPr>
          <w:rFonts w:ascii="Arial" w:hAnsi="Arial" w:cs="Arial"/>
          <w:sz w:val="24"/>
        </w:rPr>
        <w:t xml:space="preserve"> </w:t>
      </w:r>
      <w:r w:rsidRPr="00252B58">
        <w:rPr>
          <w:rFonts w:ascii="Arial" w:hAnsi="Arial" w:cs="Arial"/>
          <w:sz w:val="24"/>
        </w:rPr>
        <w:t xml:space="preserve">inactive </w:t>
      </w:r>
      <w:r w:rsidR="008E4F58" w:rsidRPr="00252B58">
        <w:rPr>
          <w:rFonts w:ascii="Arial" w:hAnsi="Arial" w:cs="Arial"/>
          <w:sz w:val="24"/>
          <w:szCs w:val="24"/>
        </w:rPr>
        <w:t>inflammatory bowel disease</w:t>
      </w:r>
      <w:r w:rsidR="008E4F58" w:rsidRPr="00252B58">
        <w:rPr>
          <w:rFonts w:ascii="Arial" w:hAnsi="Arial" w:cs="Arial"/>
          <w:sz w:val="24"/>
        </w:rPr>
        <w:t xml:space="preserve"> </w:t>
      </w:r>
      <w:r w:rsidRPr="00252B58">
        <w:rPr>
          <w:rFonts w:ascii="Arial" w:hAnsi="Arial" w:cs="Arial"/>
          <w:sz w:val="24"/>
        </w:rPr>
        <w:t xml:space="preserve">is rarely </w:t>
      </w:r>
      <w:r w:rsidR="00B24AD6" w:rsidRPr="00252B58">
        <w:rPr>
          <w:rFonts w:ascii="Arial" w:hAnsi="Arial" w:cs="Arial"/>
          <w:sz w:val="24"/>
        </w:rPr>
        <w:t>useful,</w:t>
      </w:r>
      <w:r w:rsidRPr="00252B58">
        <w:rPr>
          <w:rFonts w:ascii="Arial" w:hAnsi="Arial" w:cs="Arial"/>
          <w:sz w:val="24"/>
        </w:rPr>
        <w:t xml:space="preserve"> as all patients ought to have a clear diagnosis of </w:t>
      </w:r>
      <w:r w:rsidR="000D7F31" w:rsidRPr="00252B58">
        <w:rPr>
          <w:rFonts w:ascii="Arial" w:hAnsi="Arial" w:cs="Arial"/>
          <w:sz w:val="24"/>
          <w:szCs w:val="24"/>
        </w:rPr>
        <w:t xml:space="preserve">Crohn’s disease </w:t>
      </w:r>
      <w:r w:rsidRPr="00252B58">
        <w:rPr>
          <w:rFonts w:ascii="Arial" w:hAnsi="Arial" w:cs="Arial"/>
          <w:sz w:val="24"/>
        </w:rPr>
        <w:t xml:space="preserve">or </w:t>
      </w:r>
      <w:r w:rsidR="000D7F31" w:rsidRPr="00252B58">
        <w:rPr>
          <w:rFonts w:ascii="Arial" w:hAnsi="Arial" w:cs="Arial"/>
          <w:sz w:val="24"/>
          <w:szCs w:val="24"/>
        </w:rPr>
        <w:t>ulcerative colitis</w:t>
      </w:r>
      <w:r w:rsidRPr="00252B58">
        <w:rPr>
          <w:rFonts w:ascii="Arial" w:hAnsi="Arial" w:cs="Arial"/>
          <w:sz w:val="24"/>
        </w:rPr>
        <w:t xml:space="preserve">; the models were relatively poor and reflect the mixed nature of </w:t>
      </w:r>
      <w:r w:rsidR="000D7F31" w:rsidRPr="00252B58">
        <w:rPr>
          <w:rFonts w:ascii="Arial" w:hAnsi="Arial" w:cs="Arial"/>
          <w:sz w:val="24"/>
          <w:szCs w:val="24"/>
        </w:rPr>
        <w:t>ulcerative colitis</w:t>
      </w:r>
      <w:r w:rsidR="000D7F31" w:rsidRPr="00252B58">
        <w:rPr>
          <w:rFonts w:ascii="Arial" w:hAnsi="Arial" w:cs="Arial"/>
          <w:sz w:val="24"/>
        </w:rPr>
        <w:t xml:space="preserve"> </w:t>
      </w:r>
      <w:r w:rsidRPr="00252B58">
        <w:rPr>
          <w:rFonts w:ascii="Arial" w:hAnsi="Arial" w:cs="Arial"/>
          <w:sz w:val="24"/>
        </w:rPr>
        <w:t xml:space="preserve">and </w:t>
      </w:r>
      <w:r w:rsidR="000D7F31" w:rsidRPr="00252B58">
        <w:rPr>
          <w:rFonts w:ascii="Arial" w:hAnsi="Arial" w:cs="Arial"/>
          <w:sz w:val="24"/>
          <w:szCs w:val="24"/>
        </w:rPr>
        <w:t xml:space="preserve">Crohn’s disease </w:t>
      </w:r>
      <w:r w:rsidRPr="00252B58">
        <w:rPr>
          <w:rFonts w:ascii="Arial" w:hAnsi="Arial" w:cs="Arial"/>
          <w:sz w:val="24"/>
        </w:rPr>
        <w:t>patients in the</w:t>
      </w:r>
      <w:r w:rsidR="007E3ABA" w:rsidRPr="00252B58">
        <w:rPr>
          <w:rFonts w:ascii="Arial" w:hAnsi="Arial" w:cs="Arial"/>
          <w:sz w:val="24"/>
          <w:szCs w:val="24"/>
        </w:rPr>
        <w:t xml:space="preserve"> inflammatory bowel disease</w:t>
      </w:r>
      <w:r w:rsidRPr="00252B58">
        <w:rPr>
          <w:rFonts w:ascii="Arial" w:hAnsi="Arial" w:cs="Arial"/>
          <w:sz w:val="24"/>
        </w:rPr>
        <w:t xml:space="preserve"> group (Figure </w:t>
      </w:r>
      <w:r w:rsidR="00FE177D" w:rsidRPr="00252B58">
        <w:rPr>
          <w:rFonts w:ascii="Arial" w:hAnsi="Arial" w:cs="Arial"/>
          <w:sz w:val="24"/>
        </w:rPr>
        <w:t>2</w:t>
      </w:r>
      <w:r w:rsidRPr="00252B58">
        <w:rPr>
          <w:rFonts w:ascii="Arial" w:hAnsi="Arial" w:cs="Arial"/>
          <w:sz w:val="24"/>
        </w:rPr>
        <w:t xml:space="preserve">).  We have chosen to use this figure to emphasise that the profiles for inactive and active </w:t>
      </w:r>
      <w:r w:rsidR="008E4F58" w:rsidRPr="00252B58">
        <w:rPr>
          <w:rFonts w:ascii="Arial" w:hAnsi="Arial" w:cs="Arial"/>
          <w:sz w:val="24"/>
          <w:szCs w:val="24"/>
        </w:rPr>
        <w:t>inflammatory bowel disease</w:t>
      </w:r>
      <w:r w:rsidR="008E4F58" w:rsidRPr="00252B58">
        <w:rPr>
          <w:rFonts w:ascii="Arial" w:hAnsi="Arial" w:cs="Arial"/>
          <w:sz w:val="24"/>
        </w:rPr>
        <w:t xml:space="preserve"> </w:t>
      </w:r>
      <w:r w:rsidRPr="00252B58">
        <w:rPr>
          <w:rFonts w:ascii="Arial" w:hAnsi="Arial" w:cs="Arial"/>
          <w:sz w:val="24"/>
        </w:rPr>
        <w:t xml:space="preserve">do overlap. More useful were the comparisons of inactive/active </w:t>
      </w:r>
      <w:r w:rsidR="000D7F31" w:rsidRPr="00252B58">
        <w:rPr>
          <w:rFonts w:ascii="Arial" w:hAnsi="Arial" w:cs="Arial"/>
          <w:sz w:val="24"/>
          <w:szCs w:val="24"/>
        </w:rPr>
        <w:t>ulcerative colitis</w:t>
      </w:r>
      <w:r w:rsidR="000D7F31" w:rsidRPr="00252B58">
        <w:rPr>
          <w:rFonts w:ascii="Arial" w:hAnsi="Arial" w:cs="Arial"/>
          <w:sz w:val="24"/>
        </w:rPr>
        <w:t xml:space="preserve"> </w:t>
      </w:r>
      <w:r w:rsidRPr="00252B58">
        <w:rPr>
          <w:rFonts w:ascii="Arial" w:hAnsi="Arial" w:cs="Arial"/>
          <w:sz w:val="24"/>
        </w:rPr>
        <w:t xml:space="preserve">or </w:t>
      </w:r>
      <w:r w:rsidR="000D7F31" w:rsidRPr="00252B58">
        <w:rPr>
          <w:rFonts w:ascii="Arial" w:hAnsi="Arial" w:cs="Arial"/>
          <w:sz w:val="24"/>
          <w:szCs w:val="24"/>
        </w:rPr>
        <w:t>Crohn’s disease</w:t>
      </w:r>
      <w:r w:rsidRPr="00252B58">
        <w:rPr>
          <w:rFonts w:ascii="Arial" w:hAnsi="Arial" w:cs="Arial"/>
          <w:sz w:val="24"/>
        </w:rPr>
        <w:t xml:space="preserve">, here the models were better, especially for </w:t>
      </w:r>
      <w:r w:rsidR="000D7F31" w:rsidRPr="00252B58">
        <w:rPr>
          <w:rFonts w:ascii="Arial" w:hAnsi="Arial" w:cs="Arial"/>
          <w:sz w:val="24"/>
          <w:szCs w:val="24"/>
        </w:rPr>
        <w:t>ulcerative colitis</w:t>
      </w:r>
      <w:r w:rsidR="000D7F31" w:rsidRPr="00252B58">
        <w:rPr>
          <w:rFonts w:ascii="Arial" w:hAnsi="Arial" w:cs="Arial"/>
          <w:sz w:val="24"/>
        </w:rPr>
        <w:t xml:space="preserve"> </w:t>
      </w:r>
      <w:r w:rsidRPr="00252B58">
        <w:rPr>
          <w:rFonts w:ascii="Arial" w:hAnsi="Arial" w:cs="Arial"/>
          <w:sz w:val="24"/>
        </w:rPr>
        <w:t>(</w:t>
      </w:r>
      <w:r w:rsidR="00FE177D" w:rsidRPr="00252B58">
        <w:rPr>
          <w:rFonts w:ascii="Arial" w:hAnsi="Arial" w:cs="Arial"/>
          <w:sz w:val="24"/>
        </w:rPr>
        <w:t xml:space="preserve">Supplementary </w:t>
      </w:r>
      <w:r w:rsidRPr="00252B58">
        <w:rPr>
          <w:rFonts w:ascii="Arial" w:hAnsi="Arial" w:cs="Arial"/>
          <w:sz w:val="24"/>
        </w:rPr>
        <w:t xml:space="preserve">Figure </w:t>
      </w:r>
      <w:r w:rsidR="00A54A89" w:rsidRPr="00252B58">
        <w:rPr>
          <w:rFonts w:ascii="Arial" w:hAnsi="Arial" w:cs="Arial"/>
          <w:sz w:val="24"/>
        </w:rPr>
        <w:t>S2</w:t>
      </w:r>
      <w:r w:rsidRPr="00252B58">
        <w:rPr>
          <w:rFonts w:ascii="Arial" w:hAnsi="Arial" w:cs="Arial"/>
          <w:sz w:val="24"/>
        </w:rPr>
        <w:t xml:space="preserve">) in which all but one sample from patients with active </w:t>
      </w:r>
      <w:r w:rsidR="000D7F31" w:rsidRPr="00252B58">
        <w:rPr>
          <w:rFonts w:ascii="Arial" w:hAnsi="Arial" w:cs="Arial"/>
          <w:sz w:val="24"/>
          <w:szCs w:val="24"/>
        </w:rPr>
        <w:t>ulcerative colitis</w:t>
      </w:r>
      <w:r w:rsidR="000D7F31" w:rsidRPr="00252B58">
        <w:rPr>
          <w:rFonts w:ascii="Arial" w:hAnsi="Arial" w:cs="Arial"/>
          <w:sz w:val="24"/>
        </w:rPr>
        <w:t xml:space="preserve"> </w:t>
      </w:r>
      <w:r w:rsidRPr="00252B58">
        <w:rPr>
          <w:rFonts w:ascii="Arial" w:hAnsi="Arial" w:cs="Arial"/>
          <w:sz w:val="24"/>
        </w:rPr>
        <w:t xml:space="preserve">lay to the right of the </w:t>
      </w:r>
      <w:r w:rsidR="000E1750" w:rsidRPr="00785F81">
        <w:rPr>
          <w:rFonts w:ascii="Arial" w:hAnsi="Arial" w:cs="Arial"/>
          <w:sz w:val="24"/>
        </w:rPr>
        <w:t>vertical</w:t>
      </w:r>
      <w:r w:rsidR="000E1750" w:rsidRPr="00252B58">
        <w:rPr>
          <w:rFonts w:ascii="Arial" w:hAnsi="Arial" w:cs="Arial"/>
          <w:sz w:val="24"/>
        </w:rPr>
        <w:t xml:space="preserve"> </w:t>
      </w:r>
      <w:r w:rsidRPr="00252B58">
        <w:rPr>
          <w:rFonts w:ascii="Arial" w:hAnsi="Arial" w:cs="Arial"/>
          <w:sz w:val="24"/>
        </w:rPr>
        <w:t xml:space="preserve">line on the </w:t>
      </w:r>
      <w:r w:rsidR="006110A2" w:rsidRPr="00252B58">
        <w:rPr>
          <w:rFonts w:ascii="Arial" w:hAnsi="Arial" w:cs="Arial"/>
          <w:sz w:val="24"/>
        </w:rPr>
        <w:t>principal component plot</w:t>
      </w:r>
      <w:r w:rsidRPr="00252B58">
        <w:rPr>
          <w:rFonts w:ascii="Arial" w:hAnsi="Arial" w:cs="Arial"/>
          <w:sz w:val="24"/>
        </w:rPr>
        <w:t xml:space="preserve">. </w:t>
      </w:r>
    </w:p>
    <w:p w14:paraId="1AD66EE1" w14:textId="77777777" w:rsidR="008B38FD" w:rsidRPr="00252B58" w:rsidRDefault="008B38FD" w:rsidP="001E1FA0">
      <w:pPr>
        <w:spacing w:line="480" w:lineRule="auto"/>
        <w:jc w:val="both"/>
        <w:rPr>
          <w:rFonts w:ascii="Arial" w:hAnsi="Arial" w:cs="Arial"/>
          <w:sz w:val="24"/>
        </w:rPr>
      </w:pPr>
      <w:r w:rsidRPr="00252B58">
        <w:rPr>
          <w:rFonts w:ascii="Arial" w:hAnsi="Arial" w:cs="Arial"/>
          <w:sz w:val="24"/>
        </w:rPr>
        <w:t xml:space="preserve">The clinical assessment of disease activity in </w:t>
      </w:r>
      <w:r w:rsidR="000D7F31" w:rsidRPr="00252B58">
        <w:rPr>
          <w:rFonts w:ascii="Arial" w:hAnsi="Arial" w:cs="Arial"/>
          <w:sz w:val="24"/>
          <w:szCs w:val="24"/>
        </w:rPr>
        <w:t>ulcerative colitis</w:t>
      </w:r>
      <w:r w:rsidR="000D7F31" w:rsidRPr="00252B58">
        <w:rPr>
          <w:rFonts w:ascii="Arial" w:hAnsi="Arial" w:cs="Arial"/>
          <w:sz w:val="24"/>
        </w:rPr>
        <w:t xml:space="preserve"> </w:t>
      </w:r>
      <w:r w:rsidRPr="00252B58">
        <w:rPr>
          <w:rFonts w:ascii="Arial" w:hAnsi="Arial" w:cs="Arial"/>
          <w:sz w:val="24"/>
        </w:rPr>
        <w:t xml:space="preserve">is more accurate than that of </w:t>
      </w:r>
      <w:r w:rsidR="000D7F31" w:rsidRPr="00252B58">
        <w:rPr>
          <w:rFonts w:ascii="Arial" w:hAnsi="Arial" w:cs="Arial"/>
          <w:sz w:val="24"/>
          <w:szCs w:val="24"/>
        </w:rPr>
        <w:t>Crohn’s disease</w:t>
      </w:r>
      <w:r w:rsidRPr="00252B58">
        <w:rPr>
          <w:rFonts w:ascii="Arial" w:hAnsi="Arial" w:cs="Arial"/>
          <w:sz w:val="24"/>
        </w:rPr>
        <w:t xml:space="preserve">, because the colon is more readily assessed than </w:t>
      </w:r>
      <w:r w:rsidR="00B21F64" w:rsidRPr="00252B58">
        <w:rPr>
          <w:rFonts w:ascii="Arial" w:hAnsi="Arial" w:cs="Arial"/>
          <w:sz w:val="24"/>
        </w:rPr>
        <w:t xml:space="preserve">the small bowel and the </w:t>
      </w:r>
      <w:r w:rsidR="006110A2" w:rsidRPr="00252B58">
        <w:rPr>
          <w:rFonts w:ascii="Arial" w:hAnsi="Arial" w:cs="Arial"/>
          <w:sz w:val="24"/>
        </w:rPr>
        <w:t>Crohn’s disease activity index</w:t>
      </w:r>
      <w:r w:rsidR="00B21F64" w:rsidRPr="00252B58">
        <w:rPr>
          <w:rFonts w:ascii="Arial" w:hAnsi="Arial" w:cs="Arial"/>
          <w:sz w:val="24"/>
        </w:rPr>
        <w:t>, a</w:t>
      </w:r>
      <w:r w:rsidRPr="00252B58">
        <w:rPr>
          <w:rFonts w:ascii="Arial" w:hAnsi="Arial" w:cs="Arial"/>
          <w:sz w:val="24"/>
        </w:rPr>
        <w:t xml:space="preserve"> commonly used scoring index in clinical trials, is very subjective.</w:t>
      </w:r>
      <w:r w:rsidR="00CC34FD" w:rsidRPr="00252B58">
        <w:rPr>
          <w:rFonts w:ascii="Arial" w:hAnsi="Arial" w:cs="Arial"/>
          <w:sz w:val="24"/>
        </w:rPr>
        <w:t xml:space="preserve"> The sa</w:t>
      </w:r>
      <w:r w:rsidR="0010726B" w:rsidRPr="00252B58">
        <w:rPr>
          <w:rFonts w:ascii="Arial" w:hAnsi="Arial" w:cs="Arial"/>
          <w:sz w:val="24"/>
        </w:rPr>
        <w:t>mples were collected in 2010-11. F</w:t>
      </w:r>
      <w:r w:rsidR="00CC34FD" w:rsidRPr="00252B58">
        <w:rPr>
          <w:rFonts w:ascii="Arial" w:hAnsi="Arial" w:cs="Arial"/>
          <w:sz w:val="24"/>
        </w:rPr>
        <w:t xml:space="preserve">aecal calprotectin testing was not routinely available at the research </w:t>
      </w:r>
      <w:r w:rsidR="005C458E" w:rsidRPr="00252B58">
        <w:rPr>
          <w:rFonts w:ascii="Arial" w:hAnsi="Arial" w:cs="Arial"/>
          <w:sz w:val="24"/>
        </w:rPr>
        <w:t>centre, which means we had no rob</w:t>
      </w:r>
      <w:r w:rsidR="0010726B" w:rsidRPr="00252B58">
        <w:rPr>
          <w:rFonts w:ascii="Arial" w:hAnsi="Arial" w:cs="Arial"/>
          <w:sz w:val="24"/>
        </w:rPr>
        <w:t>ust measure of disease activity.</w:t>
      </w:r>
      <w:r w:rsidR="005C458E" w:rsidRPr="00252B58">
        <w:rPr>
          <w:rFonts w:ascii="Arial" w:hAnsi="Arial" w:cs="Arial"/>
          <w:sz w:val="24"/>
        </w:rPr>
        <w:t xml:space="preserve"> </w:t>
      </w:r>
      <w:r w:rsidR="0010726B" w:rsidRPr="00252B58">
        <w:rPr>
          <w:rFonts w:ascii="Arial" w:hAnsi="Arial" w:cs="Arial"/>
          <w:sz w:val="24"/>
        </w:rPr>
        <w:t>In addition,</w:t>
      </w:r>
      <w:r w:rsidR="005C458E" w:rsidRPr="00252B58">
        <w:rPr>
          <w:rFonts w:ascii="Arial" w:hAnsi="Arial" w:cs="Arial"/>
          <w:sz w:val="24"/>
        </w:rPr>
        <w:t xml:space="preserve"> faecal calprotectin has its limitations in the </w:t>
      </w:r>
      <w:r w:rsidR="005C458E" w:rsidRPr="00252B58">
        <w:rPr>
          <w:rFonts w:ascii="Arial" w:hAnsi="Arial" w:cs="Arial"/>
          <w:sz w:val="24"/>
        </w:rPr>
        <w:lastRenderedPageBreak/>
        <w:t>assessment of small bowel Crohn’s disease.</w:t>
      </w:r>
      <w:r w:rsidR="00CC34FD" w:rsidRPr="00252B58">
        <w:rPr>
          <w:rFonts w:ascii="Arial" w:hAnsi="Arial" w:cs="Arial"/>
          <w:sz w:val="24"/>
        </w:rPr>
        <w:t xml:space="preserve"> </w:t>
      </w:r>
      <w:r w:rsidR="005C458E" w:rsidRPr="00252B58">
        <w:rPr>
          <w:rFonts w:ascii="Arial" w:hAnsi="Arial" w:cs="Arial"/>
          <w:sz w:val="24"/>
        </w:rPr>
        <w:t>Consequently, we chose two patient-friendly but reliable clin</w:t>
      </w:r>
      <w:r w:rsidR="00FD7328" w:rsidRPr="00252B58">
        <w:rPr>
          <w:rFonts w:ascii="Arial" w:hAnsi="Arial" w:cs="Arial"/>
          <w:sz w:val="24"/>
        </w:rPr>
        <w:t>ical tools, the simple clinical activity index and Harvey Bradshaw index</w:t>
      </w:r>
      <w:r w:rsidR="005C458E" w:rsidRPr="00252B58">
        <w:rPr>
          <w:rFonts w:ascii="Arial" w:hAnsi="Arial" w:cs="Arial"/>
          <w:sz w:val="24"/>
        </w:rPr>
        <w:t xml:space="preserve">. </w:t>
      </w:r>
      <w:r w:rsidRPr="00252B58">
        <w:rPr>
          <w:rFonts w:ascii="Arial" w:hAnsi="Arial" w:cs="Arial"/>
          <w:sz w:val="24"/>
        </w:rPr>
        <w:t xml:space="preserve">Future work will need to assess the performance compared with a robust gold-standard such as colonoscopy for </w:t>
      </w:r>
      <w:r w:rsidR="000D7F31" w:rsidRPr="00252B58">
        <w:rPr>
          <w:rFonts w:ascii="Arial" w:hAnsi="Arial" w:cs="Arial"/>
          <w:sz w:val="24"/>
          <w:szCs w:val="24"/>
        </w:rPr>
        <w:t>ulcerative colitis</w:t>
      </w:r>
      <w:r w:rsidRPr="00252B58">
        <w:rPr>
          <w:rFonts w:ascii="Arial" w:hAnsi="Arial" w:cs="Arial"/>
          <w:sz w:val="24"/>
        </w:rPr>
        <w:t xml:space="preserve">, or colonoscopy with MRI for </w:t>
      </w:r>
      <w:r w:rsidR="000D7F31" w:rsidRPr="00252B58">
        <w:rPr>
          <w:rFonts w:ascii="Arial" w:hAnsi="Arial" w:cs="Arial"/>
          <w:sz w:val="24"/>
          <w:szCs w:val="24"/>
        </w:rPr>
        <w:t>Crohn’s disease</w:t>
      </w:r>
      <w:r w:rsidRPr="00252B58">
        <w:rPr>
          <w:rFonts w:ascii="Arial" w:hAnsi="Arial" w:cs="Arial"/>
          <w:sz w:val="24"/>
        </w:rPr>
        <w:t xml:space="preserve">. </w:t>
      </w:r>
    </w:p>
    <w:p w14:paraId="2F6863B0" w14:textId="6967C356" w:rsidR="008B38FD" w:rsidRPr="00252B58" w:rsidRDefault="008B38FD" w:rsidP="00ED5BEB">
      <w:pPr>
        <w:spacing w:line="480" w:lineRule="auto"/>
        <w:jc w:val="both"/>
        <w:rPr>
          <w:rFonts w:ascii="Arial" w:hAnsi="Arial" w:cs="Arial"/>
          <w:sz w:val="24"/>
        </w:rPr>
      </w:pPr>
      <w:r w:rsidRPr="00252B58">
        <w:rPr>
          <w:rFonts w:ascii="Arial" w:hAnsi="Arial" w:cs="Arial"/>
          <w:sz w:val="24"/>
        </w:rPr>
        <w:t>The results reported here were validated using the following different validati</w:t>
      </w:r>
      <w:r w:rsidR="00FD7328" w:rsidRPr="00252B58">
        <w:rPr>
          <w:rFonts w:ascii="Arial" w:hAnsi="Arial" w:cs="Arial"/>
          <w:sz w:val="24"/>
        </w:rPr>
        <w:t>on schemes: leave-one-out cross-validation</w:t>
      </w:r>
      <w:r w:rsidRPr="00252B58">
        <w:rPr>
          <w:rFonts w:ascii="Arial" w:hAnsi="Arial" w:cs="Arial"/>
          <w:sz w:val="24"/>
        </w:rPr>
        <w:t xml:space="preserve">, </w:t>
      </w:r>
      <w:r w:rsidR="009859DB" w:rsidRPr="00252B58">
        <w:rPr>
          <w:rFonts w:ascii="Arial" w:hAnsi="Arial" w:cs="Arial"/>
          <w:sz w:val="24"/>
        </w:rPr>
        <w:t>10-fold cross-validation</w:t>
      </w:r>
      <w:r w:rsidRPr="00252B58">
        <w:rPr>
          <w:rFonts w:ascii="Arial" w:hAnsi="Arial" w:cs="Arial"/>
          <w:sz w:val="24"/>
        </w:rPr>
        <w:t xml:space="preserve">, </w:t>
      </w:r>
      <w:r w:rsidR="009859DB" w:rsidRPr="00252B58">
        <w:rPr>
          <w:rFonts w:ascii="Arial" w:hAnsi="Arial" w:cs="Arial"/>
          <w:sz w:val="24"/>
        </w:rPr>
        <w:t>double cross-validation</w:t>
      </w:r>
      <w:r w:rsidR="000E1750" w:rsidRPr="00252B58">
        <w:rPr>
          <w:rFonts w:ascii="Arial" w:hAnsi="Arial" w:cs="Arial"/>
          <w:sz w:val="24"/>
        </w:rPr>
        <w:t xml:space="preserve"> and </w:t>
      </w:r>
      <w:r w:rsidRPr="00252B58">
        <w:rPr>
          <w:rFonts w:ascii="Arial" w:hAnsi="Arial" w:cs="Arial"/>
          <w:sz w:val="24"/>
        </w:rPr>
        <w:t>Monte Carlo</w:t>
      </w:r>
      <w:r w:rsidR="00C74A74" w:rsidRPr="00252B58">
        <w:rPr>
          <w:rFonts w:ascii="Arial" w:hAnsi="Arial" w:cs="Arial"/>
          <w:sz w:val="24"/>
        </w:rPr>
        <w:t xml:space="preserve"> randomisation</w:t>
      </w:r>
      <w:r w:rsidRPr="00252B58">
        <w:rPr>
          <w:rFonts w:ascii="Arial" w:hAnsi="Arial" w:cs="Arial"/>
          <w:sz w:val="24"/>
        </w:rPr>
        <w:t xml:space="preserve">. </w:t>
      </w:r>
      <w:r w:rsidR="000A2406" w:rsidRPr="00252B58">
        <w:rPr>
          <w:rFonts w:ascii="Arial" w:hAnsi="Arial" w:cs="Arial"/>
          <w:sz w:val="24"/>
        </w:rPr>
        <w:t>Extant statistical literature holds all of these methods and approaches in good standing</w:t>
      </w:r>
      <w:r w:rsidRPr="00252B58">
        <w:rPr>
          <w:rFonts w:ascii="Arial" w:hAnsi="Arial" w:cs="Arial"/>
          <w:sz w:val="24"/>
        </w:rPr>
        <w:t xml:space="preserve">. Among them, the </w:t>
      </w:r>
      <w:r w:rsidR="009859DB" w:rsidRPr="00252B58">
        <w:rPr>
          <w:rFonts w:ascii="Arial" w:hAnsi="Arial" w:cs="Arial"/>
          <w:sz w:val="24"/>
        </w:rPr>
        <w:t xml:space="preserve">double cross-validation </w:t>
      </w:r>
      <w:r w:rsidR="000E1750" w:rsidRPr="00252B58">
        <w:rPr>
          <w:rFonts w:ascii="Arial" w:hAnsi="Arial" w:cs="Arial"/>
          <w:sz w:val="24"/>
        </w:rPr>
        <w:t>is</w:t>
      </w:r>
      <w:r w:rsidRPr="00252B58">
        <w:rPr>
          <w:rFonts w:ascii="Arial" w:hAnsi="Arial" w:cs="Arial"/>
          <w:sz w:val="24"/>
        </w:rPr>
        <w:t xml:space="preserve"> certainly the most stringent method. This stringent approach performed least well when comparing inactive/active </w:t>
      </w:r>
      <w:r w:rsidR="000D7F31" w:rsidRPr="00252B58">
        <w:rPr>
          <w:rFonts w:ascii="Arial" w:hAnsi="Arial" w:cs="Arial"/>
          <w:sz w:val="24"/>
          <w:szCs w:val="24"/>
        </w:rPr>
        <w:t>Crohn’s disease</w:t>
      </w:r>
      <w:r w:rsidRPr="00252B58">
        <w:rPr>
          <w:rFonts w:ascii="Arial" w:hAnsi="Arial" w:cs="Arial"/>
          <w:sz w:val="24"/>
        </w:rPr>
        <w:t xml:space="preserve">, or </w:t>
      </w:r>
      <w:r w:rsidR="000D7F31" w:rsidRPr="00252B58">
        <w:rPr>
          <w:rFonts w:ascii="Arial" w:hAnsi="Arial" w:cs="Arial"/>
          <w:sz w:val="24"/>
          <w:szCs w:val="24"/>
        </w:rPr>
        <w:t>ulcerative colitis</w:t>
      </w:r>
      <w:r w:rsidRPr="00252B58">
        <w:rPr>
          <w:rFonts w:ascii="Arial" w:hAnsi="Arial" w:cs="Arial"/>
          <w:sz w:val="24"/>
        </w:rPr>
        <w:t xml:space="preserve">. This is not unexpected for two reasons in addition to the sample </w:t>
      </w:r>
      <w:r w:rsidR="00FD7328" w:rsidRPr="00252B58">
        <w:rPr>
          <w:rFonts w:ascii="Arial" w:hAnsi="Arial" w:cs="Arial"/>
          <w:sz w:val="24"/>
        </w:rPr>
        <w:t xml:space="preserve">size; (1) the change in the </w:t>
      </w:r>
      <w:r w:rsidR="00FD7328" w:rsidRPr="00252B58">
        <w:rPr>
          <w:rFonts w:ascii="Arial" w:hAnsi="Arial" w:cs="Arial"/>
          <w:sz w:val="24"/>
          <w:szCs w:val="24"/>
        </w:rPr>
        <w:t>volatile compounds</w:t>
      </w:r>
      <w:r w:rsidRPr="00252B58">
        <w:rPr>
          <w:rFonts w:ascii="Arial" w:hAnsi="Arial" w:cs="Arial"/>
          <w:sz w:val="24"/>
          <w:szCs w:val="24"/>
        </w:rPr>
        <w:t xml:space="preserve"> are a continuous variable that was compared to an arbitrary cut poi</w:t>
      </w:r>
      <w:r w:rsidRPr="00252B58">
        <w:rPr>
          <w:rFonts w:ascii="Arial" w:hAnsi="Arial" w:cs="Arial"/>
          <w:sz w:val="24"/>
        </w:rPr>
        <w:t xml:space="preserve">nt in a </w:t>
      </w:r>
      <w:r w:rsidR="00633DF6" w:rsidRPr="00252B58">
        <w:rPr>
          <w:rFonts w:ascii="Arial" w:hAnsi="Arial" w:cs="Arial"/>
          <w:sz w:val="24"/>
        </w:rPr>
        <w:t>second</w:t>
      </w:r>
      <w:r w:rsidRPr="00252B58">
        <w:rPr>
          <w:rFonts w:ascii="Arial" w:hAnsi="Arial" w:cs="Arial"/>
          <w:sz w:val="24"/>
        </w:rPr>
        <w:t xml:space="preserve"> continuous variabl</w:t>
      </w:r>
      <w:r w:rsidR="00FD7328" w:rsidRPr="00252B58">
        <w:rPr>
          <w:rFonts w:ascii="Arial" w:hAnsi="Arial" w:cs="Arial"/>
          <w:sz w:val="24"/>
        </w:rPr>
        <w:t>e (Harvey Bradshaw index</w:t>
      </w:r>
      <w:r w:rsidRPr="00252B58">
        <w:rPr>
          <w:rFonts w:ascii="Arial" w:hAnsi="Arial" w:cs="Arial"/>
          <w:sz w:val="24"/>
        </w:rPr>
        <w:t xml:space="preserve"> or </w:t>
      </w:r>
      <w:r w:rsidR="00FD7328" w:rsidRPr="00252B58">
        <w:rPr>
          <w:rFonts w:ascii="Arial" w:hAnsi="Arial" w:cs="Arial"/>
          <w:sz w:val="24"/>
        </w:rPr>
        <w:t>simple clinical activity index</w:t>
      </w:r>
      <w:r w:rsidRPr="00252B58">
        <w:rPr>
          <w:rFonts w:ascii="Arial" w:hAnsi="Arial" w:cs="Arial"/>
          <w:sz w:val="24"/>
        </w:rPr>
        <w:t xml:space="preserve">) – comparing upper and lower quartiles may have been more discriminating, but the data set was too small for this; (2) patients may have had other reasons for their symptoms (such as bile salt diarrhoea, bacteria overgrowth or </w:t>
      </w:r>
      <w:r w:rsidR="00285EE7" w:rsidRPr="00252B58">
        <w:rPr>
          <w:rFonts w:ascii="Arial" w:hAnsi="Arial" w:cs="Arial"/>
          <w:sz w:val="24"/>
          <w:szCs w:val="24"/>
        </w:rPr>
        <w:t>irritable bowel syndrome</w:t>
      </w:r>
      <w:r w:rsidRPr="00252B58">
        <w:rPr>
          <w:rFonts w:ascii="Arial" w:hAnsi="Arial" w:cs="Arial"/>
          <w:sz w:val="24"/>
        </w:rPr>
        <w:t>) which meant the clinical scores over-estimated disease activity.</w:t>
      </w:r>
    </w:p>
    <w:p w14:paraId="52C52862" w14:textId="6D8A3185" w:rsidR="005C458E" w:rsidRPr="00252B58" w:rsidRDefault="0010726B" w:rsidP="00ED5BEB">
      <w:pPr>
        <w:spacing w:line="480" w:lineRule="auto"/>
        <w:jc w:val="both"/>
        <w:rPr>
          <w:rFonts w:ascii="Arial" w:hAnsi="Arial" w:cs="Arial"/>
          <w:sz w:val="24"/>
        </w:rPr>
      </w:pPr>
      <w:r w:rsidRPr="00252B58">
        <w:rPr>
          <w:rFonts w:ascii="Arial" w:hAnsi="Arial" w:cs="Arial"/>
          <w:sz w:val="24"/>
        </w:rPr>
        <w:t>T</w:t>
      </w:r>
      <w:r w:rsidR="005C458E" w:rsidRPr="00252B58">
        <w:rPr>
          <w:rFonts w:ascii="Arial" w:hAnsi="Arial" w:cs="Arial"/>
          <w:sz w:val="24"/>
        </w:rPr>
        <w:t xml:space="preserve">he Monte Carlo technique </w:t>
      </w:r>
      <w:r w:rsidRPr="00252B58">
        <w:rPr>
          <w:rFonts w:ascii="Arial" w:hAnsi="Arial" w:cs="Arial"/>
          <w:sz w:val="24"/>
        </w:rPr>
        <w:t xml:space="preserve">was applied in order to check for potential over-fitting of the developed classification models. The </w:t>
      </w:r>
      <w:bookmarkStart w:id="0" w:name="_GoBack"/>
      <w:bookmarkEnd w:id="0"/>
      <w:r w:rsidRPr="00252B58">
        <w:rPr>
          <w:rFonts w:ascii="Arial" w:hAnsi="Arial" w:cs="Arial"/>
          <w:sz w:val="24"/>
        </w:rPr>
        <w:t xml:space="preserve">Monte Carlo method was applied as described for the validation methods tested (i.e. </w:t>
      </w:r>
      <w:r w:rsidR="00FD7328" w:rsidRPr="00252B58">
        <w:rPr>
          <w:rFonts w:ascii="Arial" w:hAnsi="Arial" w:cs="Arial"/>
          <w:sz w:val="24"/>
        </w:rPr>
        <w:t>leave-one-out cross-validation</w:t>
      </w:r>
      <w:r w:rsidRPr="00252B58">
        <w:rPr>
          <w:rFonts w:ascii="Arial" w:hAnsi="Arial" w:cs="Arial"/>
          <w:sz w:val="24"/>
        </w:rPr>
        <w:t xml:space="preserve">, </w:t>
      </w:r>
      <w:r w:rsidR="009859DB" w:rsidRPr="00252B58">
        <w:rPr>
          <w:rFonts w:ascii="Arial" w:hAnsi="Arial" w:cs="Arial"/>
          <w:sz w:val="24"/>
        </w:rPr>
        <w:t>cross-validation</w:t>
      </w:r>
      <w:r w:rsidR="00FD6831" w:rsidRPr="00252B58">
        <w:rPr>
          <w:rFonts w:ascii="Arial" w:hAnsi="Arial" w:cs="Arial"/>
          <w:sz w:val="24"/>
        </w:rPr>
        <w:t xml:space="preserve"> and </w:t>
      </w:r>
      <w:r w:rsidR="009859DB" w:rsidRPr="00252B58">
        <w:rPr>
          <w:rFonts w:ascii="Arial" w:hAnsi="Arial" w:cs="Arial"/>
          <w:sz w:val="24"/>
        </w:rPr>
        <w:t>double cross-validation</w:t>
      </w:r>
      <w:r w:rsidRPr="00252B58">
        <w:rPr>
          <w:rFonts w:ascii="Arial" w:hAnsi="Arial" w:cs="Arial"/>
          <w:sz w:val="24"/>
        </w:rPr>
        <w:t>)</w:t>
      </w:r>
      <w:r w:rsidR="00EE6F72" w:rsidRPr="00252B58">
        <w:rPr>
          <w:rFonts w:ascii="Arial" w:hAnsi="Arial" w:cs="Arial"/>
          <w:sz w:val="24"/>
        </w:rPr>
        <w:t>, however, in this case</w:t>
      </w:r>
      <w:r w:rsidR="00C051A6" w:rsidRPr="00252B58">
        <w:rPr>
          <w:rFonts w:ascii="Arial" w:hAnsi="Arial" w:cs="Arial"/>
          <w:sz w:val="24"/>
        </w:rPr>
        <w:t>,</w:t>
      </w:r>
      <w:r w:rsidR="00EE6F72" w:rsidRPr="00252B58">
        <w:rPr>
          <w:rFonts w:ascii="Arial" w:hAnsi="Arial" w:cs="Arial"/>
          <w:sz w:val="24"/>
        </w:rPr>
        <w:t xml:space="preserve"> </w:t>
      </w:r>
      <w:r w:rsidR="00633DF6" w:rsidRPr="00252B58">
        <w:rPr>
          <w:rFonts w:ascii="Arial" w:hAnsi="Arial" w:cs="Arial"/>
          <w:sz w:val="24"/>
        </w:rPr>
        <w:t>sample labels were randomly permuted</w:t>
      </w:r>
      <w:r w:rsidR="00EE6F72" w:rsidRPr="00252B58">
        <w:rPr>
          <w:rFonts w:ascii="Arial" w:hAnsi="Arial" w:cs="Arial"/>
          <w:sz w:val="24"/>
        </w:rPr>
        <w:t xml:space="preserve"> before model construction. </w:t>
      </w:r>
      <w:r w:rsidR="00633DF6" w:rsidRPr="00252B58">
        <w:rPr>
          <w:rFonts w:ascii="Arial" w:hAnsi="Arial" w:cs="Arial"/>
          <w:sz w:val="24"/>
        </w:rPr>
        <w:lastRenderedPageBreak/>
        <w:t xml:space="preserve">This procedure </w:t>
      </w:r>
      <w:r w:rsidR="00EE6F72" w:rsidRPr="00252B58">
        <w:rPr>
          <w:rFonts w:ascii="Arial" w:hAnsi="Arial" w:cs="Arial"/>
          <w:sz w:val="24"/>
        </w:rPr>
        <w:t xml:space="preserve">simulates </w:t>
      </w:r>
      <w:r w:rsidR="005C458E" w:rsidRPr="00252B58">
        <w:rPr>
          <w:rFonts w:ascii="Arial" w:hAnsi="Arial" w:cs="Arial"/>
          <w:sz w:val="24"/>
        </w:rPr>
        <w:t xml:space="preserve">what would have happened </w:t>
      </w:r>
      <w:r w:rsidR="00EE6F72" w:rsidRPr="00252B58">
        <w:rPr>
          <w:rFonts w:ascii="Arial" w:hAnsi="Arial" w:cs="Arial"/>
          <w:sz w:val="24"/>
        </w:rPr>
        <w:t xml:space="preserve">if samples were to be classified simply </w:t>
      </w:r>
      <w:r w:rsidR="005C458E" w:rsidRPr="00252B58">
        <w:rPr>
          <w:rFonts w:ascii="Arial" w:hAnsi="Arial" w:cs="Arial"/>
          <w:sz w:val="24"/>
        </w:rPr>
        <w:t xml:space="preserve">by chance. The </w:t>
      </w:r>
      <w:r w:rsidR="00EE6F72" w:rsidRPr="00252B58">
        <w:rPr>
          <w:rFonts w:ascii="Arial" w:hAnsi="Arial" w:cs="Arial"/>
          <w:sz w:val="24"/>
        </w:rPr>
        <w:t>results</w:t>
      </w:r>
      <w:r w:rsidR="005C458E" w:rsidRPr="00252B58">
        <w:rPr>
          <w:rFonts w:ascii="Arial" w:hAnsi="Arial" w:cs="Arial"/>
          <w:sz w:val="24"/>
        </w:rPr>
        <w:t xml:space="preserve"> (</w:t>
      </w:r>
      <w:r w:rsidR="00EE6F72" w:rsidRPr="00252B58">
        <w:rPr>
          <w:rFonts w:ascii="Arial" w:hAnsi="Arial" w:cs="Arial"/>
          <w:sz w:val="24"/>
        </w:rPr>
        <w:t>Supplementary T</w:t>
      </w:r>
      <w:r w:rsidR="005C458E" w:rsidRPr="00252B58">
        <w:rPr>
          <w:rFonts w:ascii="Arial" w:hAnsi="Arial" w:cs="Arial"/>
          <w:sz w:val="24"/>
        </w:rPr>
        <w:t>able</w:t>
      </w:r>
      <w:r w:rsidR="00EE6F72" w:rsidRPr="00252B58">
        <w:rPr>
          <w:rFonts w:ascii="Arial" w:hAnsi="Arial" w:cs="Arial"/>
          <w:sz w:val="24"/>
        </w:rPr>
        <w:t>s</w:t>
      </w:r>
      <w:r w:rsidR="005C458E" w:rsidRPr="00252B58">
        <w:rPr>
          <w:rFonts w:ascii="Arial" w:hAnsi="Arial" w:cs="Arial"/>
          <w:sz w:val="24"/>
        </w:rPr>
        <w:t xml:space="preserve"> </w:t>
      </w:r>
      <w:r w:rsidR="0091722E" w:rsidRPr="00252B58">
        <w:rPr>
          <w:rFonts w:ascii="Arial" w:hAnsi="Arial" w:cs="Arial"/>
          <w:sz w:val="24"/>
        </w:rPr>
        <w:t>S</w:t>
      </w:r>
      <w:r w:rsidR="00A54A89" w:rsidRPr="00785F81">
        <w:rPr>
          <w:rFonts w:ascii="Arial" w:hAnsi="Arial" w:cs="Arial"/>
          <w:sz w:val="24"/>
        </w:rPr>
        <w:t>4</w:t>
      </w:r>
      <w:r w:rsidR="0091722E" w:rsidRPr="00252B58">
        <w:rPr>
          <w:rFonts w:ascii="Arial" w:hAnsi="Arial" w:cs="Arial"/>
          <w:sz w:val="24"/>
        </w:rPr>
        <w:t>, S</w:t>
      </w:r>
      <w:r w:rsidR="00A54A89" w:rsidRPr="00785F81">
        <w:rPr>
          <w:rFonts w:ascii="Arial" w:hAnsi="Arial" w:cs="Arial"/>
          <w:sz w:val="24"/>
        </w:rPr>
        <w:t>6 and</w:t>
      </w:r>
      <w:r w:rsidR="0091722E" w:rsidRPr="00252B58">
        <w:rPr>
          <w:rFonts w:ascii="Arial" w:hAnsi="Arial" w:cs="Arial"/>
          <w:sz w:val="24"/>
        </w:rPr>
        <w:t xml:space="preserve"> </w:t>
      </w:r>
      <w:r w:rsidR="00A54A89" w:rsidRPr="00252B58">
        <w:rPr>
          <w:rFonts w:ascii="Arial" w:hAnsi="Arial" w:cs="Arial"/>
          <w:sz w:val="24"/>
        </w:rPr>
        <w:t>S8</w:t>
      </w:r>
      <w:r w:rsidR="005C458E" w:rsidRPr="00252B58">
        <w:rPr>
          <w:rFonts w:ascii="Arial" w:hAnsi="Arial" w:cs="Arial"/>
          <w:sz w:val="24"/>
        </w:rPr>
        <w:t xml:space="preserve">) suggest the data were not over-fitted. </w:t>
      </w:r>
    </w:p>
    <w:p w14:paraId="70AB2272" w14:textId="77777777" w:rsidR="001E1FA0" w:rsidRPr="00252B58" w:rsidRDefault="008B38FD" w:rsidP="00EF7929">
      <w:pPr>
        <w:spacing w:line="480" w:lineRule="auto"/>
        <w:jc w:val="both"/>
        <w:rPr>
          <w:rFonts w:ascii="Arial" w:hAnsi="Arial" w:cs="Arial"/>
        </w:rPr>
      </w:pPr>
      <w:r w:rsidRPr="00252B58">
        <w:rPr>
          <w:rFonts w:ascii="Arial" w:hAnsi="Arial" w:cs="Arial"/>
          <w:sz w:val="24"/>
        </w:rPr>
        <w:t xml:space="preserve">We have developed a </w:t>
      </w:r>
      <w:r w:rsidR="001D5FE0" w:rsidRPr="00252B58">
        <w:rPr>
          <w:rFonts w:ascii="Arial" w:hAnsi="Arial" w:cs="Arial"/>
          <w:sz w:val="24"/>
          <w:szCs w:val="24"/>
        </w:rPr>
        <w:t>gas chromatography</w:t>
      </w:r>
      <w:r w:rsidR="001D5FE0" w:rsidRPr="00252B58">
        <w:rPr>
          <w:rFonts w:ascii="Arial" w:hAnsi="Arial" w:cs="Arial"/>
          <w:sz w:val="24"/>
        </w:rPr>
        <w:t xml:space="preserve">-sensor </w:t>
      </w:r>
      <w:r w:rsidRPr="00252B58">
        <w:rPr>
          <w:rFonts w:ascii="Arial" w:hAnsi="Arial" w:cs="Arial"/>
          <w:sz w:val="24"/>
        </w:rPr>
        <w:t xml:space="preserve">pipeline for the diagnosis and assessment of </w:t>
      </w:r>
      <w:r w:rsidR="008E4F58" w:rsidRPr="00252B58">
        <w:rPr>
          <w:rFonts w:ascii="Arial" w:hAnsi="Arial" w:cs="Arial"/>
          <w:sz w:val="24"/>
          <w:szCs w:val="24"/>
        </w:rPr>
        <w:t>inflammatory bowel disease</w:t>
      </w:r>
      <w:r w:rsidR="008E4F58" w:rsidRPr="00252B58">
        <w:rPr>
          <w:rFonts w:ascii="Arial" w:hAnsi="Arial" w:cs="Arial"/>
          <w:sz w:val="24"/>
        </w:rPr>
        <w:t xml:space="preserve"> </w:t>
      </w:r>
      <w:r w:rsidRPr="00252B58">
        <w:rPr>
          <w:rFonts w:ascii="Arial" w:hAnsi="Arial" w:cs="Arial"/>
          <w:sz w:val="24"/>
        </w:rPr>
        <w:t xml:space="preserve">and </w:t>
      </w:r>
      <w:r w:rsidR="00285EE7" w:rsidRPr="00252B58">
        <w:rPr>
          <w:rFonts w:ascii="Arial" w:hAnsi="Arial" w:cs="Arial"/>
          <w:sz w:val="24"/>
          <w:szCs w:val="24"/>
        </w:rPr>
        <w:t>irritable bowel syndrome</w:t>
      </w:r>
      <w:r w:rsidRPr="00252B58">
        <w:rPr>
          <w:rFonts w:ascii="Arial" w:hAnsi="Arial" w:cs="Arial"/>
          <w:sz w:val="24"/>
        </w:rPr>
        <w:t xml:space="preserve">. The separation of active disease groups is excellent. The potential to use the pipeline to determine disease activity will require more work. Although the sample sizes were too small to provide separate validation sets, we have used stringent statistical tools to double cross validate our models. We are planning further large cohort studies with gold-standard assessments of disease activity and validation sets. If confirmed these findings could mean that </w:t>
      </w:r>
      <w:r w:rsidR="00285EE7" w:rsidRPr="00252B58">
        <w:rPr>
          <w:rFonts w:ascii="Arial" w:hAnsi="Arial" w:cs="Arial"/>
          <w:sz w:val="24"/>
          <w:szCs w:val="24"/>
        </w:rPr>
        <w:t>irritable bowel syndrome</w:t>
      </w:r>
      <w:r w:rsidR="00285EE7" w:rsidRPr="00252B58">
        <w:rPr>
          <w:rFonts w:ascii="Arial" w:hAnsi="Arial" w:cs="Arial"/>
          <w:sz w:val="24"/>
        </w:rPr>
        <w:t xml:space="preserve"> </w:t>
      </w:r>
      <w:r w:rsidRPr="00252B58">
        <w:rPr>
          <w:rFonts w:ascii="Arial" w:hAnsi="Arial" w:cs="Arial"/>
          <w:sz w:val="24"/>
        </w:rPr>
        <w:t xml:space="preserve">can be diagnosed positively and offers the potential to develop new tools to diagnose and assess </w:t>
      </w:r>
      <w:r w:rsidR="008E4F58" w:rsidRPr="00252B58">
        <w:rPr>
          <w:rFonts w:ascii="Arial" w:hAnsi="Arial" w:cs="Arial"/>
          <w:sz w:val="24"/>
          <w:szCs w:val="24"/>
        </w:rPr>
        <w:t>inflammatory bowel disease</w:t>
      </w:r>
      <w:r w:rsidR="008E4F58" w:rsidRPr="00252B58">
        <w:rPr>
          <w:rFonts w:ascii="Arial" w:hAnsi="Arial" w:cs="Arial"/>
          <w:sz w:val="24"/>
        </w:rPr>
        <w:t xml:space="preserve"> </w:t>
      </w:r>
      <w:r w:rsidRPr="00252B58">
        <w:rPr>
          <w:rFonts w:ascii="Arial" w:hAnsi="Arial" w:cs="Arial"/>
          <w:sz w:val="24"/>
        </w:rPr>
        <w:t xml:space="preserve">and distinguish </w:t>
      </w:r>
      <w:r w:rsidR="000D7F31" w:rsidRPr="00252B58">
        <w:rPr>
          <w:rFonts w:ascii="Arial" w:hAnsi="Arial" w:cs="Arial"/>
          <w:sz w:val="24"/>
          <w:szCs w:val="24"/>
        </w:rPr>
        <w:t>ulcerative colitis</w:t>
      </w:r>
      <w:r w:rsidR="000D7F31" w:rsidRPr="00252B58">
        <w:rPr>
          <w:rFonts w:ascii="Arial" w:hAnsi="Arial" w:cs="Arial"/>
          <w:sz w:val="24"/>
        </w:rPr>
        <w:t xml:space="preserve"> </w:t>
      </w:r>
      <w:r w:rsidRPr="00252B58">
        <w:rPr>
          <w:rFonts w:ascii="Arial" w:hAnsi="Arial" w:cs="Arial"/>
          <w:sz w:val="24"/>
        </w:rPr>
        <w:t xml:space="preserve">and </w:t>
      </w:r>
      <w:r w:rsidR="000D7F31" w:rsidRPr="00252B58">
        <w:rPr>
          <w:rFonts w:ascii="Arial" w:hAnsi="Arial" w:cs="Arial"/>
          <w:sz w:val="24"/>
          <w:szCs w:val="24"/>
        </w:rPr>
        <w:t>Crohn’s disease</w:t>
      </w:r>
      <w:r w:rsidRPr="00252B58">
        <w:rPr>
          <w:rFonts w:ascii="Arial" w:hAnsi="Arial" w:cs="Arial"/>
          <w:sz w:val="24"/>
        </w:rPr>
        <w:t>.</w:t>
      </w:r>
    </w:p>
    <w:p w14:paraId="7055705D" w14:textId="77777777" w:rsidR="008840A6" w:rsidRPr="00252B58" w:rsidRDefault="008840A6" w:rsidP="00EF7929">
      <w:pPr>
        <w:spacing w:line="480" w:lineRule="auto"/>
        <w:jc w:val="both"/>
        <w:rPr>
          <w:rFonts w:ascii="Arial" w:hAnsi="Arial" w:cs="Arial"/>
          <w:sz w:val="24"/>
          <w:szCs w:val="24"/>
        </w:rPr>
      </w:pPr>
    </w:p>
    <w:p w14:paraId="18C490DB" w14:textId="77777777" w:rsidR="00C051A6" w:rsidRPr="00252B58" w:rsidRDefault="00C051A6">
      <w:pPr>
        <w:spacing w:after="0" w:line="240" w:lineRule="auto"/>
        <w:rPr>
          <w:rFonts w:ascii="Arial" w:hAnsi="Arial" w:cs="Arial"/>
          <w:sz w:val="24"/>
          <w:szCs w:val="24"/>
        </w:rPr>
      </w:pPr>
      <w:r w:rsidRPr="00252B58">
        <w:rPr>
          <w:rFonts w:ascii="Arial" w:hAnsi="Arial" w:cs="Arial"/>
          <w:sz w:val="24"/>
          <w:szCs w:val="24"/>
        </w:rPr>
        <w:br w:type="page"/>
      </w:r>
    </w:p>
    <w:p w14:paraId="47F5D8C8" w14:textId="77777777" w:rsidR="008B38FD" w:rsidRPr="008840A6" w:rsidRDefault="008B38FD" w:rsidP="00EF7929">
      <w:pPr>
        <w:spacing w:line="480" w:lineRule="auto"/>
        <w:jc w:val="both"/>
        <w:rPr>
          <w:rFonts w:ascii="Arial" w:hAnsi="Arial" w:cs="Arial"/>
          <w:sz w:val="24"/>
          <w:szCs w:val="24"/>
        </w:rPr>
      </w:pPr>
      <w:r w:rsidRPr="008840A6">
        <w:rPr>
          <w:rFonts w:ascii="Arial" w:hAnsi="Arial" w:cs="Arial"/>
          <w:sz w:val="24"/>
          <w:szCs w:val="24"/>
        </w:rPr>
        <w:lastRenderedPageBreak/>
        <w:t>Acknowledgements</w:t>
      </w:r>
    </w:p>
    <w:p w14:paraId="3D8A457A" w14:textId="699A9D2C" w:rsidR="008B38FD" w:rsidRPr="00252B58" w:rsidRDefault="008B38FD" w:rsidP="00EF7929">
      <w:pPr>
        <w:spacing w:line="480" w:lineRule="auto"/>
        <w:jc w:val="both"/>
        <w:rPr>
          <w:rFonts w:ascii="Arial" w:hAnsi="Arial" w:cs="Arial"/>
          <w:sz w:val="24"/>
          <w:szCs w:val="24"/>
        </w:rPr>
      </w:pPr>
      <w:r w:rsidRPr="00252B58">
        <w:rPr>
          <w:rFonts w:ascii="Arial" w:hAnsi="Arial" w:cs="Arial"/>
          <w:sz w:val="24"/>
          <w:szCs w:val="24"/>
        </w:rPr>
        <w:t xml:space="preserve">We are grateful to patients and colleagues </w:t>
      </w:r>
      <w:r w:rsidR="00C74A74" w:rsidRPr="00252B58">
        <w:rPr>
          <w:rFonts w:ascii="Arial" w:hAnsi="Arial" w:cs="Arial"/>
          <w:sz w:val="24"/>
          <w:szCs w:val="24"/>
        </w:rPr>
        <w:t xml:space="preserve">for </w:t>
      </w:r>
      <w:r w:rsidRPr="00252B58">
        <w:rPr>
          <w:rFonts w:ascii="Arial" w:hAnsi="Arial" w:cs="Arial"/>
          <w:sz w:val="24"/>
          <w:szCs w:val="24"/>
        </w:rPr>
        <w:t xml:space="preserve">providing us with the clinical samples. We would like to thank Miss Sophie Shepherd for providing technical support by aliquoting and loading samples. </w:t>
      </w:r>
    </w:p>
    <w:p w14:paraId="7C982478" w14:textId="77777777" w:rsidR="008B38FD" w:rsidRPr="00252B58" w:rsidRDefault="001E1FA0" w:rsidP="00EF7929">
      <w:pPr>
        <w:spacing w:line="480" w:lineRule="auto"/>
        <w:jc w:val="both"/>
        <w:rPr>
          <w:rFonts w:ascii="Arial" w:hAnsi="Arial" w:cs="Arial"/>
        </w:rPr>
      </w:pPr>
      <w:r w:rsidRPr="00252B58">
        <w:rPr>
          <w:rFonts w:ascii="Arial" w:hAnsi="Arial" w:cs="Arial"/>
        </w:rPr>
        <w:t>Figure caption:</w:t>
      </w:r>
    </w:p>
    <w:p w14:paraId="73BC16E9" w14:textId="77777777" w:rsidR="001E1FA0" w:rsidRPr="00252B58" w:rsidRDefault="001E1FA0" w:rsidP="001E1FA0">
      <w:pPr>
        <w:spacing w:line="480" w:lineRule="auto"/>
        <w:jc w:val="both"/>
        <w:rPr>
          <w:rFonts w:ascii="Arial" w:hAnsi="Arial" w:cs="Arial"/>
          <w:sz w:val="20"/>
          <w:szCs w:val="20"/>
        </w:rPr>
      </w:pPr>
      <w:r w:rsidRPr="00252B58">
        <w:rPr>
          <w:rFonts w:ascii="Arial" w:hAnsi="Arial" w:cs="Arial"/>
          <w:sz w:val="20"/>
          <w:szCs w:val="20"/>
        </w:rPr>
        <w:t xml:space="preserve">Figure </w:t>
      </w:r>
      <w:r w:rsidR="00FE177D" w:rsidRPr="00252B58">
        <w:rPr>
          <w:rFonts w:ascii="Arial" w:hAnsi="Arial" w:cs="Arial"/>
          <w:sz w:val="20"/>
          <w:szCs w:val="20"/>
        </w:rPr>
        <w:t>1</w:t>
      </w:r>
      <w:r w:rsidRPr="00252B58">
        <w:rPr>
          <w:rFonts w:ascii="Arial" w:hAnsi="Arial" w:cs="Arial"/>
          <w:sz w:val="20"/>
          <w:szCs w:val="20"/>
        </w:rPr>
        <w:t xml:space="preserve">. </w:t>
      </w:r>
      <w:r w:rsidR="001B1394" w:rsidRPr="00252B58">
        <w:rPr>
          <w:rFonts w:ascii="Arial" w:hAnsi="Arial" w:cs="Arial"/>
          <w:sz w:val="20"/>
          <w:szCs w:val="20"/>
        </w:rPr>
        <w:t xml:space="preserve">Volatile compounds were extracted from faecal samples and analysed using an in-house-developed gas chromatography – sensor </w:t>
      </w:r>
      <w:r w:rsidR="004F2047" w:rsidRPr="00252B58">
        <w:rPr>
          <w:rFonts w:ascii="Arial" w:hAnsi="Arial" w:cs="Arial"/>
          <w:sz w:val="20"/>
          <w:szCs w:val="20"/>
        </w:rPr>
        <w:t>device</w:t>
      </w:r>
      <w:r w:rsidR="001B1394" w:rsidRPr="00252B58">
        <w:rPr>
          <w:rFonts w:ascii="Arial" w:hAnsi="Arial" w:cs="Arial"/>
          <w:sz w:val="20"/>
          <w:szCs w:val="20"/>
        </w:rPr>
        <w:t xml:space="preserve">. The profiles of </w:t>
      </w:r>
      <w:r w:rsidR="001D5FE0" w:rsidRPr="00252B58">
        <w:rPr>
          <w:rFonts w:ascii="Arial" w:hAnsi="Arial" w:cs="Arial"/>
          <w:sz w:val="20"/>
          <w:szCs w:val="20"/>
        </w:rPr>
        <w:t xml:space="preserve">volatile chemicals </w:t>
      </w:r>
      <w:r w:rsidR="001B1394" w:rsidRPr="00252B58">
        <w:rPr>
          <w:rFonts w:ascii="Arial" w:hAnsi="Arial" w:cs="Arial"/>
          <w:sz w:val="20"/>
          <w:szCs w:val="20"/>
        </w:rPr>
        <w:t>were further analysed using a</w:t>
      </w:r>
      <w:r w:rsidR="00C74A74" w:rsidRPr="00252B58">
        <w:rPr>
          <w:rFonts w:ascii="Arial" w:hAnsi="Arial" w:cs="Arial"/>
          <w:sz w:val="20"/>
          <w:szCs w:val="20"/>
        </w:rPr>
        <w:t>n</w:t>
      </w:r>
      <w:r w:rsidR="001B1394" w:rsidRPr="00252B58">
        <w:rPr>
          <w:rFonts w:ascii="Arial" w:hAnsi="Arial" w:cs="Arial"/>
          <w:sz w:val="20"/>
          <w:szCs w:val="20"/>
        </w:rPr>
        <w:t xml:space="preserve"> in-house-developed computer algorithm that identifies resistance patterns associated </w:t>
      </w:r>
      <w:r w:rsidR="001609B6" w:rsidRPr="00252B58">
        <w:rPr>
          <w:rFonts w:ascii="Arial" w:hAnsi="Arial" w:cs="Arial"/>
          <w:sz w:val="20"/>
          <w:szCs w:val="20"/>
        </w:rPr>
        <w:t>with specific medical conditions</w:t>
      </w:r>
      <w:r w:rsidR="001B1394" w:rsidRPr="00252B58">
        <w:rPr>
          <w:rFonts w:ascii="Arial" w:hAnsi="Arial" w:cs="Arial"/>
          <w:sz w:val="20"/>
          <w:szCs w:val="20"/>
        </w:rPr>
        <w:t xml:space="preserve">. </w:t>
      </w:r>
      <w:r w:rsidRPr="00252B58">
        <w:rPr>
          <w:rFonts w:ascii="Arial" w:hAnsi="Arial" w:cs="Arial"/>
          <w:sz w:val="20"/>
          <w:szCs w:val="20"/>
        </w:rPr>
        <w:t xml:space="preserve">This figure shows the selected features used to differentiate </w:t>
      </w:r>
      <w:r w:rsidR="001609B6" w:rsidRPr="00252B58">
        <w:rPr>
          <w:rFonts w:ascii="Arial" w:hAnsi="Arial" w:cs="Arial"/>
          <w:sz w:val="20"/>
          <w:szCs w:val="20"/>
        </w:rPr>
        <w:t xml:space="preserve">19 </w:t>
      </w:r>
      <w:r w:rsidRPr="00252B58">
        <w:rPr>
          <w:rFonts w:ascii="Arial" w:hAnsi="Arial" w:cs="Arial"/>
          <w:sz w:val="20"/>
          <w:szCs w:val="20"/>
        </w:rPr>
        <w:t xml:space="preserve">samples from patients with active Crohn’s disease (Act-CD) and </w:t>
      </w:r>
      <w:r w:rsidR="001609B6" w:rsidRPr="00252B58">
        <w:rPr>
          <w:rFonts w:ascii="Arial" w:hAnsi="Arial" w:cs="Arial"/>
          <w:sz w:val="20"/>
          <w:szCs w:val="20"/>
        </w:rPr>
        <w:t xml:space="preserve">28 </w:t>
      </w:r>
      <w:r w:rsidRPr="00252B58">
        <w:rPr>
          <w:rFonts w:ascii="Arial" w:hAnsi="Arial" w:cs="Arial"/>
          <w:sz w:val="20"/>
          <w:szCs w:val="20"/>
        </w:rPr>
        <w:t xml:space="preserve">patients with irritable bowel syndrome (IBS), and a two-component principal component plot </w:t>
      </w:r>
      <w:r w:rsidR="004F2047" w:rsidRPr="00252B58">
        <w:rPr>
          <w:rFonts w:ascii="Arial" w:hAnsi="Arial" w:cs="Arial"/>
          <w:sz w:val="20"/>
          <w:szCs w:val="20"/>
        </w:rPr>
        <w:t xml:space="preserve">based on </w:t>
      </w:r>
      <w:r w:rsidRPr="00252B58">
        <w:rPr>
          <w:rFonts w:ascii="Arial" w:hAnsi="Arial" w:cs="Arial"/>
          <w:sz w:val="20"/>
          <w:szCs w:val="20"/>
        </w:rPr>
        <w:t xml:space="preserve">the selected features. </w:t>
      </w:r>
    </w:p>
    <w:p w14:paraId="11C7EAA6" w14:textId="77777777" w:rsidR="001E1FA0" w:rsidRPr="00252B58" w:rsidRDefault="00FE177D" w:rsidP="0070227B">
      <w:pPr>
        <w:spacing w:line="480" w:lineRule="auto"/>
        <w:jc w:val="both"/>
        <w:rPr>
          <w:rFonts w:ascii="Arial" w:hAnsi="Arial" w:cs="Arial"/>
          <w:sz w:val="20"/>
          <w:szCs w:val="20"/>
        </w:rPr>
      </w:pPr>
      <w:r w:rsidRPr="00252B58">
        <w:rPr>
          <w:rFonts w:ascii="Arial" w:hAnsi="Arial" w:cs="Arial"/>
          <w:sz w:val="20"/>
          <w:szCs w:val="20"/>
        </w:rPr>
        <w:t>Figure 2</w:t>
      </w:r>
      <w:r w:rsidR="001E1FA0" w:rsidRPr="00252B58">
        <w:rPr>
          <w:rFonts w:ascii="Arial" w:hAnsi="Arial" w:cs="Arial"/>
          <w:sz w:val="20"/>
          <w:szCs w:val="20"/>
        </w:rPr>
        <w:t xml:space="preserve">. </w:t>
      </w:r>
      <w:r w:rsidR="006D2496" w:rsidRPr="00252B58">
        <w:rPr>
          <w:rFonts w:ascii="Arial" w:hAnsi="Arial" w:cs="Arial"/>
          <w:sz w:val="20"/>
          <w:szCs w:val="20"/>
        </w:rPr>
        <w:t xml:space="preserve">Volatile compounds were extracted from faecal samples and analysed using an in-house-developed gas chromatography – sensor </w:t>
      </w:r>
      <w:r w:rsidR="004F2047" w:rsidRPr="00252B58">
        <w:rPr>
          <w:rFonts w:ascii="Arial" w:hAnsi="Arial" w:cs="Arial"/>
          <w:sz w:val="20"/>
          <w:szCs w:val="20"/>
        </w:rPr>
        <w:t>device</w:t>
      </w:r>
      <w:r w:rsidR="006D2496" w:rsidRPr="00252B58">
        <w:rPr>
          <w:rFonts w:ascii="Arial" w:hAnsi="Arial" w:cs="Arial"/>
          <w:sz w:val="20"/>
          <w:szCs w:val="20"/>
        </w:rPr>
        <w:t xml:space="preserve">. The profiles of </w:t>
      </w:r>
      <w:r w:rsidR="001D5FE0" w:rsidRPr="00252B58">
        <w:rPr>
          <w:rFonts w:ascii="Arial" w:hAnsi="Arial" w:cs="Arial"/>
          <w:sz w:val="20"/>
          <w:szCs w:val="20"/>
        </w:rPr>
        <w:t xml:space="preserve">volatile compounds </w:t>
      </w:r>
      <w:r w:rsidR="006D2496" w:rsidRPr="00252B58">
        <w:rPr>
          <w:rFonts w:ascii="Arial" w:hAnsi="Arial" w:cs="Arial"/>
          <w:sz w:val="20"/>
          <w:szCs w:val="20"/>
        </w:rPr>
        <w:t>were further analysed using a</w:t>
      </w:r>
      <w:r w:rsidR="00C74A74" w:rsidRPr="00252B58">
        <w:rPr>
          <w:rFonts w:ascii="Arial" w:hAnsi="Arial" w:cs="Arial"/>
          <w:sz w:val="20"/>
          <w:szCs w:val="20"/>
        </w:rPr>
        <w:t>n</w:t>
      </w:r>
      <w:r w:rsidR="006D2496" w:rsidRPr="00252B58">
        <w:rPr>
          <w:rFonts w:ascii="Arial" w:hAnsi="Arial" w:cs="Arial"/>
          <w:sz w:val="20"/>
          <w:szCs w:val="20"/>
        </w:rPr>
        <w:t xml:space="preserve"> in-house-developed computer algorithm that identifies resistance patterns associated with specific medical conditions. This figure shows the </w:t>
      </w:r>
      <w:hyperlink r:id="rId8" w:history="1">
        <w:r w:rsidR="006D2496" w:rsidRPr="00252B58">
          <w:rPr>
            <w:rStyle w:val="Hyperlink"/>
            <w:rFonts w:ascii="Arial" w:hAnsi="Arial" w:cs="Arial"/>
            <w:bCs/>
            <w:color w:val="auto"/>
            <w:sz w:val="20"/>
            <w:szCs w:val="20"/>
            <w:lang w:val="en-NZ"/>
          </w:rPr>
          <w:t>Receiver operating characteristic</w:t>
        </w:r>
      </w:hyperlink>
      <w:r w:rsidR="006D2496" w:rsidRPr="00252B58">
        <w:rPr>
          <w:rFonts w:ascii="Arial" w:hAnsi="Arial" w:cs="Arial"/>
          <w:b/>
          <w:bCs/>
          <w:sz w:val="20"/>
          <w:szCs w:val="20"/>
          <w:lang w:val="en-NZ"/>
        </w:rPr>
        <w:t xml:space="preserve"> (</w:t>
      </w:r>
      <w:r w:rsidR="006D2496" w:rsidRPr="00252B58">
        <w:rPr>
          <w:rFonts w:ascii="Arial" w:hAnsi="Arial" w:cs="Arial"/>
          <w:sz w:val="20"/>
          <w:szCs w:val="20"/>
        </w:rPr>
        <w:t xml:space="preserve">ROC) curve and </w:t>
      </w:r>
      <w:r w:rsidR="00D74AC0" w:rsidRPr="00252B58">
        <w:rPr>
          <w:rFonts w:ascii="Arial" w:hAnsi="Arial" w:cs="Arial"/>
          <w:sz w:val="20"/>
          <w:szCs w:val="20"/>
        </w:rPr>
        <w:t xml:space="preserve">the </w:t>
      </w:r>
      <w:r w:rsidR="006D2496" w:rsidRPr="00252B58">
        <w:rPr>
          <w:rFonts w:ascii="Arial" w:hAnsi="Arial" w:cs="Arial"/>
          <w:sz w:val="20"/>
          <w:szCs w:val="20"/>
        </w:rPr>
        <w:t xml:space="preserve">principal component analysis </w:t>
      </w:r>
      <w:r w:rsidR="0070227B" w:rsidRPr="00252B58">
        <w:rPr>
          <w:rFonts w:ascii="Arial" w:hAnsi="Arial" w:cs="Arial"/>
          <w:sz w:val="20"/>
          <w:szCs w:val="20"/>
        </w:rPr>
        <w:t xml:space="preserve">based on </w:t>
      </w:r>
      <w:r w:rsidR="00D74AC0" w:rsidRPr="00252B58">
        <w:rPr>
          <w:rFonts w:ascii="Arial" w:hAnsi="Arial" w:cs="Arial"/>
          <w:sz w:val="20"/>
          <w:szCs w:val="20"/>
        </w:rPr>
        <w:t xml:space="preserve">the </w:t>
      </w:r>
      <w:r w:rsidR="0070227B" w:rsidRPr="00252B58">
        <w:rPr>
          <w:rFonts w:ascii="Arial" w:hAnsi="Arial" w:cs="Arial"/>
          <w:sz w:val="20"/>
          <w:szCs w:val="20"/>
        </w:rPr>
        <w:t>selected features used to differentiate 33 samples from patients with active inflammatory bowel disease (Act-IBD) and 50 patients with inactive inflammatory bowel disease (Inact-IBD).</w:t>
      </w:r>
      <w:r w:rsidR="006D2496" w:rsidRPr="00252B58">
        <w:rPr>
          <w:rFonts w:ascii="Arial" w:hAnsi="Arial" w:cs="Arial"/>
          <w:sz w:val="20"/>
          <w:szCs w:val="20"/>
        </w:rPr>
        <w:t xml:space="preserve"> </w:t>
      </w:r>
      <w:r w:rsidR="001E1FA0" w:rsidRPr="00252B58">
        <w:rPr>
          <w:rFonts w:ascii="Arial" w:hAnsi="Arial" w:cs="Arial"/>
          <w:sz w:val="20"/>
          <w:szCs w:val="20"/>
        </w:rPr>
        <w:t xml:space="preserve">The ROC analysis </w:t>
      </w:r>
      <w:r w:rsidR="0070227B" w:rsidRPr="00252B58">
        <w:rPr>
          <w:rFonts w:ascii="Arial" w:hAnsi="Arial" w:cs="Arial"/>
          <w:sz w:val="20"/>
          <w:szCs w:val="20"/>
        </w:rPr>
        <w:t xml:space="preserve">was </w:t>
      </w:r>
      <w:r w:rsidR="001E1FA0" w:rsidRPr="00252B58">
        <w:rPr>
          <w:rFonts w:ascii="Arial" w:hAnsi="Arial" w:cs="Arial"/>
          <w:sz w:val="20"/>
          <w:szCs w:val="20"/>
        </w:rPr>
        <w:t xml:space="preserve">based on repeated double cross-validation </w:t>
      </w:r>
      <w:r w:rsidR="0070227B" w:rsidRPr="00252B58">
        <w:rPr>
          <w:rFonts w:ascii="Arial" w:hAnsi="Arial" w:cs="Arial"/>
          <w:sz w:val="20"/>
          <w:szCs w:val="20"/>
        </w:rPr>
        <w:t xml:space="preserve">using </w:t>
      </w:r>
      <w:r w:rsidR="001E1FA0" w:rsidRPr="00252B58">
        <w:rPr>
          <w:rFonts w:ascii="Arial" w:hAnsi="Arial" w:cs="Arial"/>
          <w:sz w:val="20"/>
          <w:szCs w:val="20"/>
        </w:rPr>
        <w:t>support vector machine polynomial</w:t>
      </w:r>
      <w:r w:rsidR="0070227B" w:rsidRPr="00252B58">
        <w:rPr>
          <w:rFonts w:ascii="Arial" w:hAnsi="Arial" w:cs="Arial"/>
          <w:sz w:val="20"/>
          <w:szCs w:val="20"/>
        </w:rPr>
        <w:t xml:space="preserve"> and </w:t>
      </w:r>
      <w:r w:rsidR="001E1FA0" w:rsidRPr="00252B58">
        <w:rPr>
          <w:rFonts w:ascii="Arial" w:hAnsi="Arial" w:cs="Arial"/>
          <w:sz w:val="20"/>
          <w:szCs w:val="20"/>
        </w:rPr>
        <w:t>partial least squares.</w:t>
      </w:r>
    </w:p>
    <w:p w14:paraId="3D819B7A" w14:textId="77777777" w:rsidR="001D4051" w:rsidRPr="00252B58" w:rsidRDefault="001D4051" w:rsidP="00EF7929">
      <w:pPr>
        <w:spacing w:line="480" w:lineRule="auto"/>
        <w:jc w:val="both"/>
        <w:rPr>
          <w:rFonts w:ascii="Arial" w:hAnsi="Arial" w:cs="Arial"/>
          <w:sz w:val="24"/>
          <w:szCs w:val="24"/>
        </w:rPr>
      </w:pPr>
    </w:p>
    <w:p w14:paraId="30366180" w14:textId="77777777" w:rsidR="001D4051" w:rsidRPr="00252B58" w:rsidRDefault="001D4051" w:rsidP="00EF7929">
      <w:pPr>
        <w:spacing w:line="480" w:lineRule="auto"/>
        <w:jc w:val="both"/>
        <w:rPr>
          <w:rFonts w:ascii="Arial" w:hAnsi="Arial" w:cs="Arial"/>
          <w:sz w:val="24"/>
          <w:szCs w:val="24"/>
        </w:rPr>
      </w:pPr>
    </w:p>
    <w:p w14:paraId="31473E99" w14:textId="77777777" w:rsidR="00F36FE3" w:rsidRPr="00252B58" w:rsidRDefault="00F36FE3" w:rsidP="00EF7929">
      <w:pPr>
        <w:spacing w:line="480" w:lineRule="auto"/>
        <w:jc w:val="both"/>
        <w:rPr>
          <w:rFonts w:ascii="Arial" w:hAnsi="Arial" w:cs="Arial"/>
          <w:sz w:val="24"/>
          <w:szCs w:val="24"/>
        </w:rPr>
      </w:pPr>
      <w:r w:rsidRPr="00252B58">
        <w:rPr>
          <w:rFonts w:ascii="Arial" w:hAnsi="Arial" w:cs="Arial"/>
          <w:sz w:val="24"/>
          <w:szCs w:val="24"/>
        </w:rPr>
        <w:lastRenderedPageBreak/>
        <w:t>References</w:t>
      </w:r>
    </w:p>
    <w:p w14:paraId="153937EB" w14:textId="77777777" w:rsidR="00F36FE3" w:rsidRPr="00252B58" w:rsidRDefault="00E001B9" w:rsidP="00EF7929">
      <w:pPr>
        <w:spacing w:line="480" w:lineRule="auto"/>
        <w:jc w:val="both"/>
        <w:rPr>
          <w:rFonts w:ascii="Arial" w:hAnsi="Arial" w:cs="Arial"/>
          <w:sz w:val="24"/>
          <w:szCs w:val="24"/>
          <w:lang w:val="en-US"/>
        </w:rPr>
      </w:pPr>
      <w:r w:rsidRPr="00252B58">
        <w:rPr>
          <w:rFonts w:ascii="Arial" w:hAnsi="Arial" w:cs="Arial"/>
          <w:sz w:val="24"/>
          <w:szCs w:val="24"/>
        </w:rPr>
        <w:t xml:space="preserve">1 - </w:t>
      </w:r>
      <w:r w:rsidRPr="00252B58">
        <w:rPr>
          <w:rFonts w:ascii="Arial" w:hAnsi="Arial" w:cs="Arial"/>
          <w:sz w:val="24"/>
          <w:szCs w:val="24"/>
          <w:lang w:val="en-US"/>
        </w:rPr>
        <w:t xml:space="preserve">Spiller R, Aziz Q, Creed F. Guidelines on the irritable bowel syndrome: Mechanisms and practical management (vol 56, pg 1770, 2007). </w:t>
      </w:r>
      <w:r w:rsidRPr="00252B58">
        <w:rPr>
          <w:rFonts w:ascii="Arial" w:hAnsi="Arial" w:cs="Arial"/>
          <w:i/>
          <w:iCs/>
          <w:sz w:val="24"/>
          <w:szCs w:val="24"/>
          <w:lang w:val="en-US"/>
        </w:rPr>
        <w:t>Gut</w:t>
      </w:r>
      <w:r w:rsidRPr="00252B58">
        <w:rPr>
          <w:rFonts w:ascii="Arial" w:hAnsi="Arial" w:cs="Arial"/>
          <w:sz w:val="24"/>
          <w:szCs w:val="24"/>
          <w:lang w:val="en-US"/>
        </w:rPr>
        <w:t xml:space="preserve"> 2008;</w:t>
      </w:r>
      <w:r w:rsidRPr="00252B58">
        <w:rPr>
          <w:rFonts w:ascii="Arial" w:hAnsi="Arial" w:cs="Arial"/>
          <w:b/>
          <w:bCs/>
          <w:sz w:val="24"/>
          <w:szCs w:val="24"/>
          <w:lang w:val="en-US"/>
        </w:rPr>
        <w:t>57</w:t>
      </w:r>
      <w:r w:rsidRPr="00252B58">
        <w:rPr>
          <w:rFonts w:ascii="Arial" w:hAnsi="Arial" w:cs="Arial"/>
          <w:sz w:val="24"/>
          <w:szCs w:val="24"/>
          <w:lang w:val="en-US"/>
        </w:rPr>
        <w:t>:1743-.</w:t>
      </w:r>
    </w:p>
    <w:p w14:paraId="4F22FF06" w14:textId="77777777" w:rsidR="00E001B9" w:rsidRPr="00252B58" w:rsidRDefault="00DD14F2" w:rsidP="00EF7929">
      <w:pPr>
        <w:spacing w:line="480" w:lineRule="auto"/>
        <w:jc w:val="both"/>
        <w:rPr>
          <w:rFonts w:ascii="Arial" w:hAnsi="Arial" w:cs="Arial"/>
          <w:sz w:val="24"/>
          <w:szCs w:val="24"/>
          <w:lang w:val="en-US"/>
        </w:rPr>
      </w:pPr>
      <w:r w:rsidRPr="00252B58">
        <w:rPr>
          <w:rFonts w:ascii="Arial" w:hAnsi="Arial" w:cs="Arial"/>
          <w:sz w:val="24"/>
          <w:szCs w:val="24"/>
          <w:lang w:val="en-US"/>
        </w:rPr>
        <w:t>2</w:t>
      </w:r>
      <w:r w:rsidR="00E001B9" w:rsidRPr="00252B58">
        <w:rPr>
          <w:rFonts w:ascii="Arial" w:hAnsi="Arial" w:cs="Arial"/>
          <w:sz w:val="24"/>
          <w:szCs w:val="24"/>
          <w:lang w:val="en-US"/>
        </w:rPr>
        <w:t xml:space="preserve"> - Longstreth GF, Thompson WG, Chey WD</w:t>
      </w:r>
      <w:r w:rsidR="00E001B9" w:rsidRPr="00252B58">
        <w:rPr>
          <w:rFonts w:ascii="Arial" w:hAnsi="Arial" w:cs="Arial"/>
          <w:i/>
          <w:iCs/>
          <w:sz w:val="24"/>
          <w:szCs w:val="24"/>
          <w:lang w:val="en-US"/>
        </w:rPr>
        <w:t>, et al.</w:t>
      </w:r>
      <w:r w:rsidR="00E001B9" w:rsidRPr="00252B58">
        <w:rPr>
          <w:rFonts w:ascii="Arial" w:hAnsi="Arial" w:cs="Arial"/>
          <w:sz w:val="24"/>
          <w:szCs w:val="24"/>
          <w:lang w:val="en-US"/>
        </w:rPr>
        <w:t xml:space="preserve"> Functional bowel disorders. </w:t>
      </w:r>
      <w:r w:rsidR="00E001B9" w:rsidRPr="00252B58">
        <w:rPr>
          <w:rFonts w:ascii="Arial" w:hAnsi="Arial" w:cs="Arial"/>
          <w:i/>
          <w:iCs/>
          <w:sz w:val="24"/>
          <w:szCs w:val="24"/>
          <w:lang w:val="en-US"/>
        </w:rPr>
        <w:t>Gastroenterology</w:t>
      </w:r>
      <w:r w:rsidR="00E001B9" w:rsidRPr="00252B58">
        <w:rPr>
          <w:rFonts w:ascii="Arial" w:hAnsi="Arial" w:cs="Arial"/>
          <w:sz w:val="24"/>
          <w:szCs w:val="24"/>
          <w:lang w:val="en-US"/>
        </w:rPr>
        <w:t xml:space="preserve"> 2006;</w:t>
      </w:r>
      <w:r w:rsidR="00E001B9" w:rsidRPr="00252B58">
        <w:rPr>
          <w:rFonts w:ascii="Arial" w:hAnsi="Arial" w:cs="Arial"/>
          <w:b/>
          <w:bCs/>
          <w:sz w:val="24"/>
          <w:szCs w:val="24"/>
          <w:lang w:val="en-US"/>
        </w:rPr>
        <w:t>130</w:t>
      </w:r>
      <w:r w:rsidR="00E001B9" w:rsidRPr="00252B58">
        <w:rPr>
          <w:rFonts w:ascii="Arial" w:hAnsi="Arial" w:cs="Arial"/>
          <w:sz w:val="24"/>
          <w:szCs w:val="24"/>
          <w:lang w:val="en-US"/>
        </w:rPr>
        <w:t>:1480-91.</w:t>
      </w:r>
    </w:p>
    <w:p w14:paraId="0C9E5C0E" w14:textId="77777777" w:rsidR="00E001B9" w:rsidRPr="00252B58" w:rsidRDefault="0058623B" w:rsidP="00EF7929">
      <w:pPr>
        <w:spacing w:line="480" w:lineRule="auto"/>
        <w:jc w:val="both"/>
        <w:rPr>
          <w:rFonts w:ascii="Arial" w:hAnsi="Arial" w:cs="Arial"/>
          <w:sz w:val="24"/>
          <w:szCs w:val="24"/>
          <w:lang w:val="en-US"/>
        </w:rPr>
      </w:pPr>
      <w:r w:rsidRPr="00252B58">
        <w:rPr>
          <w:rFonts w:ascii="Arial" w:hAnsi="Arial" w:cs="Arial"/>
          <w:sz w:val="24"/>
          <w:szCs w:val="24"/>
          <w:lang w:val="en-US"/>
        </w:rPr>
        <w:t>3</w:t>
      </w:r>
      <w:r w:rsidR="00E001B9" w:rsidRPr="00252B58">
        <w:rPr>
          <w:rFonts w:ascii="Arial" w:hAnsi="Arial" w:cs="Arial"/>
          <w:sz w:val="24"/>
          <w:szCs w:val="24"/>
          <w:lang w:val="en-US"/>
        </w:rPr>
        <w:t xml:space="preserve"> - Drossman DA, Camilleri M, Mayer EA, Whitehead WE. A</w:t>
      </w:r>
      <w:r w:rsidR="0013597C" w:rsidRPr="00252B58">
        <w:rPr>
          <w:rFonts w:ascii="Arial" w:hAnsi="Arial" w:cs="Arial"/>
          <w:sz w:val="24"/>
          <w:szCs w:val="24"/>
          <w:lang w:val="en-US"/>
        </w:rPr>
        <w:t>GA</w:t>
      </w:r>
      <w:r w:rsidR="00E001B9" w:rsidRPr="00252B58">
        <w:rPr>
          <w:rFonts w:ascii="Arial" w:hAnsi="Arial" w:cs="Arial"/>
          <w:sz w:val="24"/>
          <w:szCs w:val="24"/>
          <w:lang w:val="en-US"/>
        </w:rPr>
        <w:t xml:space="preserve"> technical review on irritable bowel syndrome. </w:t>
      </w:r>
      <w:r w:rsidR="00E001B9" w:rsidRPr="00252B58">
        <w:rPr>
          <w:rFonts w:ascii="Arial" w:hAnsi="Arial" w:cs="Arial"/>
          <w:i/>
          <w:iCs/>
          <w:sz w:val="24"/>
          <w:szCs w:val="24"/>
          <w:lang w:val="en-US"/>
        </w:rPr>
        <w:t>Gastroenterology</w:t>
      </w:r>
      <w:r w:rsidR="00E001B9" w:rsidRPr="00252B58">
        <w:rPr>
          <w:rFonts w:ascii="Arial" w:hAnsi="Arial" w:cs="Arial"/>
          <w:sz w:val="24"/>
          <w:szCs w:val="24"/>
          <w:lang w:val="en-US"/>
        </w:rPr>
        <w:t xml:space="preserve"> 2002;</w:t>
      </w:r>
      <w:r w:rsidR="00E001B9" w:rsidRPr="00252B58">
        <w:rPr>
          <w:rFonts w:ascii="Arial" w:hAnsi="Arial" w:cs="Arial"/>
          <w:b/>
          <w:bCs/>
          <w:sz w:val="24"/>
          <w:szCs w:val="24"/>
          <w:lang w:val="en-US"/>
        </w:rPr>
        <w:t>123</w:t>
      </w:r>
      <w:r w:rsidR="00E001B9" w:rsidRPr="00252B58">
        <w:rPr>
          <w:rFonts w:ascii="Arial" w:hAnsi="Arial" w:cs="Arial"/>
          <w:sz w:val="24"/>
          <w:szCs w:val="24"/>
          <w:lang w:val="en-US"/>
        </w:rPr>
        <w:t>:2108-31.</w:t>
      </w:r>
    </w:p>
    <w:p w14:paraId="323E3484" w14:textId="77777777" w:rsidR="00E001B9" w:rsidRPr="00252B58" w:rsidRDefault="0058623B" w:rsidP="00EF7929">
      <w:pPr>
        <w:spacing w:line="480" w:lineRule="auto"/>
        <w:jc w:val="both"/>
        <w:rPr>
          <w:rFonts w:ascii="Arial" w:hAnsi="Arial" w:cs="Arial"/>
          <w:sz w:val="24"/>
          <w:szCs w:val="24"/>
          <w:lang w:val="en-US"/>
        </w:rPr>
      </w:pPr>
      <w:r w:rsidRPr="00252B58">
        <w:rPr>
          <w:rFonts w:ascii="Arial" w:hAnsi="Arial" w:cs="Arial"/>
          <w:sz w:val="24"/>
          <w:szCs w:val="24"/>
          <w:lang w:val="en-US"/>
        </w:rPr>
        <w:t>4</w:t>
      </w:r>
      <w:r w:rsidR="00E001B9" w:rsidRPr="00252B58">
        <w:rPr>
          <w:rFonts w:ascii="Arial" w:hAnsi="Arial" w:cs="Arial"/>
          <w:sz w:val="24"/>
          <w:szCs w:val="24"/>
          <w:lang w:val="en-US"/>
        </w:rPr>
        <w:t xml:space="preserve"> - Spiegel BMR, Farid M, Esrailian E, Talley J, Chang L. Is irritable bowel syndrome a diagnosis of exclusion?: A survey of primary care providers, gastroenterologists, and </w:t>
      </w:r>
      <w:r w:rsidR="0013597C" w:rsidRPr="00252B58">
        <w:rPr>
          <w:rFonts w:ascii="Arial" w:hAnsi="Arial" w:cs="Arial"/>
          <w:sz w:val="24"/>
          <w:szCs w:val="24"/>
          <w:lang w:val="en-US"/>
        </w:rPr>
        <w:t>IBS</w:t>
      </w:r>
      <w:r w:rsidR="00E001B9" w:rsidRPr="00252B58">
        <w:rPr>
          <w:rFonts w:ascii="Arial" w:hAnsi="Arial" w:cs="Arial"/>
          <w:sz w:val="24"/>
          <w:szCs w:val="24"/>
          <w:lang w:val="en-US"/>
        </w:rPr>
        <w:t xml:space="preserve"> experts. </w:t>
      </w:r>
      <w:r w:rsidR="00E001B9" w:rsidRPr="00252B58">
        <w:rPr>
          <w:rFonts w:ascii="Arial" w:hAnsi="Arial" w:cs="Arial"/>
          <w:i/>
          <w:iCs/>
          <w:sz w:val="24"/>
          <w:szCs w:val="24"/>
          <w:lang w:val="en-US"/>
        </w:rPr>
        <w:t>American Journal of Gastroenterology</w:t>
      </w:r>
      <w:r w:rsidR="00E001B9" w:rsidRPr="00252B58">
        <w:rPr>
          <w:rFonts w:ascii="Arial" w:hAnsi="Arial" w:cs="Arial"/>
          <w:sz w:val="24"/>
          <w:szCs w:val="24"/>
          <w:lang w:val="en-US"/>
        </w:rPr>
        <w:t xml:space="preserve"> 2010;</w:t>
      </w:r>
      <w:r w:rsidR="00E001B9" w:rsidRPr="00252B58">
        <w:rPr>
          <w:rFonts w:ascii="Arial" w:hAnsi="Arial" w:cs="Arial"/>
          <w:b/>
          <w:bCs/>
          <w:sz w:val="24"/>
          <w:szCs w:val="24"/>
          <w:lang w:val="en-US"/>
        </w:rPr>
        <w:t>105</w:t>
      </w:r>
      <w:r w:rsidR="00E001B9" w:rsidRPr="00252B58">
        <w:rPr>
          <w:rFonts w:ascii="Arial" w:hAnsi="Arial" w:cs="Arial"/>
          <w:sz w:val="24"/>
          <w:szCs w:val="24"/>
          <w:lang w:val="en-US"/>
        </w:rPr>
        <w:t>:848-58.</w:t>
      </w:r>
    </w:p>
    <w:p w14:paraId="177184F9" w14:textId="77777777" w:rsidR="00E001B9" w:rsidRPr="00252B58" w:rsidRDefault="0058623B" w:rsidP="00EF7929">
      <w:pPr>
        <w:spacing w:line="480" w:lineRule="auto"/>
        <w:jc w:val="both"/>
        <w:rPr>
          <w:rFonts w:ascii="Arial" w:hAnsi="Arial" w:cs="Arial"/>
          <w:sz w:val="24"/>
          <w:szCs w:val="24"/>
          <w:lang w:val="en-US"/>
        </w:rPr>
      </w:pPr>
      <w:r w:rsidRPr="00252B58">
        <w:rPr>
          <w:rFonts w:ascii="Arial" w:hAnsi="Arial" w:cs="Arial"/>
          <w:sz w:val="24"/>
          <w:szCs w:val="24"/>
          <w:lang w:val="en-US"/>
        </w:rPr>
        <w:t>5</w:t>
      </w:r>
      <w:r w:rsidR="00E001B9" w:rsidRPr="00252B58">
        <w:rPr>
          <w:rFonts w:ascii="Arial" w:hAnsi="Arial" w:cs="Arial"/>
          <w:sz w:val="24"/>
          <w:szCs w:val="24"/>
          <w:lang w:val="en-US"/>
        </w:rPr>
        <w:t xml:space="preserve"> - Porter CK, Cash BD, Pimentel M, Akinseye A, Riddle MS. Risk of inflammatory bowel disease following a diagnosis of irritable bowel syndrome. </w:t>
      </w:r>
      <w:r w:rsidR="00E001B9" w:rsidRPr="00252B58">
        <w:rPr>
          <w:rFonts w:ascii="Arial" w:hAnsi="Arial" w:cs="Arial"/>
          <w:i/>
          <w:iCs/>
          <w:sz w:val="24"/>
          <w:szCs w:val="24"/>
          <w:lang w:val="en-US"/>
        </w:rPr>
        <w:t>B</w:t>
      </w:r>
      <w:r w:rsidR="0013597C" w:rsidRPr="00252B58">
        <w:rPr>
          <w:rFonts w:ascii="Arial" w:hAnsi="Arial" w:cs="Arial"/>
          <w:i/>
          <w:iCs/>
          <w:sz w:val="24"/>
          <w:szCs w:val="24"/>
          <w:lang w:val="en-US"/>
        </w:rPr>
        <w:t>MC</w:t>
      </w:r>
      <w:r w:rsidR="002C1301" w:rsidRPr="00252B58">
        <w:rPr>
          <w:rFonts w:ascii="Arial" w:hAnsi="Arial" w:cs="Arial"/>
          <w:i/>
          <w:iCs/>
          <w:sz w:val="24"/>
          <w:szCs w:val="24"/>
          <w:lang w:val="en-US"/>
        </w:rPr>
        <w:t xml:space="preserve"> </w:t>
      </w:r>
      <w:r w:rsidR="00E001B9" w:rsidRPr="00252B58">
        <w:rPr>
          <w:rFonts w:ascii="Arial" w:hAnsi="Arial" w:cs="Arial"/>
          <w:i/>
          <w:iCs/>
          <w:sz w:val="24"/>
          <w:szCs w:val="24"/>
          <w:lang w:val="en-US"/>
        </w:rPr>
        <w:t>Gastroenterology</w:t>
      </w:r>
      <w:r w:rsidR="00E001B9" w:rsidRPr="00252B58">
        <w:rPr>
          <w:rFonts w:ascii="Arial" w:hAnsi="Arial" w:cs="Arial"/>
          <w:sz w:val="24"/>
          <w:szCs w:val="24"/>
          <w:lang w:val="en-US"/>
        </w:rPr>
        <w:t xml:space="preserve"> 2012;</w:t>
      </w:r>
      <w:r w:rsidR="00E001B9" w:rsidRPr="00252B58">
        <w:rPr>
          <w:rFonts w:ascii="Arial" w:hAnsi="Arial" w:cs="Arial"/>
          <w:b/>
          <w:bCs/>
          <w:sz w:val="24"/>
          <w:szCs w:val="24"/>
          <w:lang w:val="en-US"/>
        </w:rPr>
        <w:t>12</w:t>
      </w:r>
      <w:r w:rsidR="00E001B9" w:rsidRPr="00252B58">
        <w:rPr>
          <w:rFonts w:ascii="Arial" w:hAnsi="Arial" w:cs="Arial"/>
          <w:sz w:val="24"/>
          <w:szCs w:val="24"/>
          <w:lang w:val="en-US"/>
        </w:rPr>
        <w:t>.</w:t>
      </w:r>
    </w:p>
    <w:p w14:paraId="7906EFD6" w14:textId="77777777" w:rsidR="00E001B9" w:rsidRPr="00252B58" w:rsidRDefault="0058623B" w:rsidP="00EF7929">
      <w:pPr>
        <w:spacing w:line="480" w:lineRule="auto"/>
        <w:jc w:val="both"/>
        <w:rPr>
          <w:rFonts w:ascii="Arial" w:hAnsi="Arial" w:cs="Arial"/>
          <w:sz w:val="24"/>
          <w:szCs w:val="24"/>
          <w:lang w:val="en-US"/>
        </w:rPr>
      </w:pPr>
      <w:r w:rsidRPr="00252B58">
        <w:rPr>
          <w:rFonts w:ascii="Arial" w:hAnsi="Arial" w:cs="Arial"/>
          <w:sz w:val="24"/>
          <w:szCs w:val="24"/>
          <w:lang w:val="en-US"/>
        </w:rPr>
        <w:t>6</w:t>
      </w:r>
      <w:r w:rsidR="00E001B9" w:rsidRPr="00252B58">
        <w:rPr>
          <w:rFonts w:ascii="Arial" w:hAnsi="Arial" w:cs="Arial"/>
          <w:sz w:val="24"/>
          <w:szCs w:val="24"/>
          <w:lang w:val="en-US"/>
        </w:rPr>
        <w:t xml:space="preserve"> - Halpin SJ, Ford AC. Prevalence of symptoms meeting criteria for irritable bowel syndrome in inflammatory bowel disease: Systematic review and meta-analysis. </w:t>
      </w:r>
      <w:r w:rsidR="00E001B9" w:rsidRPr="00252B58">
        <w:rPr>
          <w:rFonts w:ascii="Arial" w:hAnsi="Arial" w:cs="Arial"/>
          <w:i/>
          <w:iCs/>
          <w:sz w:val="24"/>
          <w:szCs w:val="24"/>
          <w:lang w:val="en-US"/>
        </w:rPr>
        <w:t>American Journal of Gastroenterology</w:t>
      </w:r>
      <w:r w:rsidR="00E001B9" w:rsidRPr="00252B58">
        <w:rPr>
          <w:rFonts w:ascii="Arial" w:hAnsi="Arial" w:cs="Arial"/>
          <w:sz w:val="24"/>
          <w:szCs w:val="24"/>
          <w:lang w:val="en-US"/>
        </w:rPr>
        <w:t xml:space="preserve"> 2012;</w:t>
      </w:r>
      <w:r w:rsidR="00E001B9" w:rsidRPr="00252B58">
        <w:rPr>
          <w:rFonts w:ascii="Arial" w:hAnsi="Arial" w:cs="Arial"/>
          <w:b/>
          <w:bCs/>
          <w:sz w:val="24"/>
          <w:szCs w:val="24"/>
          <w:lang w:val="en-US"/>
        </w:rPr>
        <w:t>107</w:t>
      </w:r>
      <w:r w:rsidR="00E001B9" w:rsidRPr="00252B58">
        <w:rPr>
          <w:rFonts w:ascii="Arial" w:hAnsi="Arial" w:cs="Arial"/>
          <w:sz w:val="24"/>
          <w:szCs w:val="24"/>
          <w:lang w:val="en-US"/>
        </w:rPr>
        <w:t>:1474-82.</w:t>
      </w:r>
    </w:p>
    <w:p w14:paraId="1A2BEB77" w14:textId="77777777" w:rsidR="00E001B9" w:rsidRPr="00252B58" w:rsidRDefault="0058623B" w:rsidP="00EF7929">
      <w:pPr>
        <w:spacing w:line="480" w:lineRule="auto"/>
        <w:jc w:val="both"/>
        <w:rPr>
          <w:rFonts w:ascii="Arial" w:hAnsi="Arial" w:cs="Arial"/>
          <w:sz w:val="24"/>
          <w:szCs w:val="24"/>
          <w:lang w:val="en-US"/>
        </w:rPr>
      </w:pPr>
      <w:r w:rsidRPr="00252B58">
        <w:rPr>
          <w:rFonts w:ascii="Arial" w:hAnsi="Arial" w:cs="Arial"/>
          <w:sz w:val="24"/>
          <w:szCs w:val="24"/>
          <w:lang w:val="en-US"/>
        </w:rPr>
        <w:t>7</w:t>
      </w:r>
      <w:r w:rsidR="00E001B9" w:rsidRPr="00252B58">
        <w:rPr>
          <w:rFonts w:ascii="Arial" w:hAnsi="Arial" w:cs="Arial"/>
          <w:sz w:val="24"/>
          <w:szCs w:val="24"/>
          <w:lang w:val="en-US"/>
        </w:rPr>
        <w:t xml:space="preserve"> - Casen C, Vebo HC, Sekelja M</w:t>
      </w:r>
      <w:r w:rsidR="00E001B9" w:rsidRPr="00252B58">
        <w:rPr>
          <w:rFonts w:ascii="Arial" w:hAnsi="Arial" w:cs="Arial"/>
          <w:i/>
          <w:iCs/>
          <w:sz w:val="24"/>
          <w:szCs w:val="24"/>
          <w:lang w:val="en-US"/>
        </w:rPr>
        <w:t>, et al.</w:t>
      </w:r>
      <w:r w:rsidR="00E001B9" w:rsidRPr="00252B58">
        <w:rPr>
          <w:rFonts w:ascii="Arial" w:hAnsi="Arial" w:cs="Arial"/>
          <w:sz w:val="24"/>
          <w:szCs w:val="24"/>
          <w:lang w:val="en-US"/>
        </w:rPr>
        <w:t xml:space="preserve"> Deviations in human gut microbiota: A novel diagnostic test for determining dysbiosis in patients with </w:t>
      </w:r>
      <w:r w:rsidR="0013597C" w:rsidRPr="00252B58">
        <w:rPr>
          <w:rFonts w:ascii="Arial" w:hAnsi="Arial" w:cs="Arial"/>
          <w:sz w:val="24"/>
          <w:szCs w:val="24"/>
          <w:lang w:val="en-US"/>
        </w:rPr>
        <w:t>IBS</w:t>
      </w:r>
      <w:r w:rsidR="00E001B9" w:rsidRPr="00252B58">
        <w:rPr>
          <w:rFonts w:ascii="Arial" w:hAnsi="Arial" w:cs="Arial"/>
          <w:sz w:val="24"/>
          <w:szCs w:val="24"/>
          <w:lang w:val="en-US"/>
        </w:rPr>
        <w:t xml:space="preserve"> or </w:t>
      </w:r>
      <w:r w:rsidR="0013597C" w:rsidRPr="00252B58">
        <w:rPr>
          <w:rFonts w:ascii="Arial" w:hAnsi="Arial" w:cs="Arial"/>
          <w:sz w:val="24"/>
          <w:szCs w:val="24"/>
          <w:lang w:val="en-US"/>
        </w:rPr>
        <w:t>IBD</w:t>
      </w:r>
      <w:r w:rsidR="00E001B9" w:rsidRPr="00252B58">
        <w:rPr>
          <w:rFonts w:ascii="Arial" w:hAnsi="Arial" w:cs="Arial"/>
          <w:sz w:val="24"/>
          <w:szCs w:val="24"/>
          <w:lang w:val="en-US"/>
        </w:rPr>
        <w:t xml:space="preserve">. </w:t>
      </w:r>
      <w:r w:rsidR="00E001B9" w:rsidRPr="00252B58">
        <w:rPr>
          <w:rFonts w:ascii="Arial" w:hAnsi="Arial" w:cs="Arial"/>
          <w:i/>
          <w:iCs/>
          <w:sz w:val="24"/>
          <w:szCs w:val="24"/>
          <w:lang w:val="en-US"/>
        </w:rPr>
        <w:t>Alimentary Pharmacology &amp; Therapeutics</w:t>
      </w:r>
      <w:r w:rsidR="00E001B9" w:rsidRPr="00252B58">
        <w:rPr>
          <w:rFonts w:ascii="Arial" w:hAnsi="Arial" w:cs="Arial"/>
          <w:sz w:val="24"/>
          <w:szCs w:val="24"/>
          <w:lang w:val="en-US"/>
        </w:rPr>
        <w:t xml:space="preserve"> 2015;</w:t>
      </w:r>
      <w:r w:rsidR="00E001B9" w:rsidRPr="00252B58">
        <w:rPr>
          <w:rFonts w:ascii="Arial" w:hAnsi="Arial" w:cs="Arial"/>
          <w:b/>
          <w:bCs/>
          <w:sz w:val="24"/>
          <w:szCs w:val="24"/>
          <w:lang w:val="en-US"/>
        </w:rPr>
        <w:t>42</w:t>
      </w:r>
      <w:r w:rsidR="00E001B9" w:rsidRPr="00252B58">
        <w:rPr>
          <w:rFonts w:ascii="Arial" w:hAnsi="Arial" w:cs="Arial"/>
          <w:sz w:val="24"/>
          <w:szCs w:val="24"/>
          <w:lang w:val="en-US"/>
        </w:rPr>
        <w:t>:71-83.</w:t>
      </w:r>
    </w:p>
    <w:p w14:paraId="21F4FE7D" w14:textId="77777777" w:rsidR="00E001B9" w:rsidRPr="00252B58" w:rsidRDefault="0058623B" w:rsidP="00EF7929">
      <w:pPr>
        <w:spacing w:line="480" w:lineRule="auto"/>
        <w:jc w:val="both"/>
        <w:rPr>
          <w:rFonts w:ascii="Arial" w:hAnsi="Arial" w:cs="Arial"/>
          <w:sz w:val="24"/>
          <w:szCs w:val="24"/>
          <w:lang w:val="en-US"/>
        </w:rPr>
      </w:pPr>
      <w:r w:rsidRPr="00252B58">
        <w:rPr>
          <w:rFonts w:ascii="Arial" w:hAnsi="Arial" w:cs="Arial"/>
          <w:sz w:val="24"/>
          <w:szCs w:val="24"/>
          <w:lang w:val="en-US"/>
        </w:rPr>
        <w:lastRenderedPageBreak/>
        <w:t>8</w:t>
      </w:r>
      <w:r w:rsidR="00E001B9" w:rsidRPr="00252B58">
        <w:rPr>
          <w:rFonts w:ascii="Arial" w:hAnsi="Arial" w:cs="Arial"/>
          <w:sz w:val="24"/>
          <w:szCs w:val="24"/>
          <w:lang w:val="en-US"/>
        </w:rPr>
        <w:t xml:space="preserve"> - Carding S, Verbeke K, Vipond DT, Corfe BM, Owen LJ. Dysbiosis of the gut microbiota in disease. </w:t>
      </w:r>
      <w:r w:rsidR="00C051A6" w:rsidRPr="00252B58">
        <w:rPr>
          <w:rFonts w:ascii="Arial" w:hAnsi="Arial" w:cs="Arial"/>
          <w:i/>
          <w:iCs/>
          <w:sz w:val="24"/>
          <w:szCs w:val="24"/>
          <w:lang w:val="en-US"/>
        </w:rPr>
        <w:t>Microbial Ecology in Health and D</w:t>
      </w:r>
      <w:r w:rsidR="00E001B9" w:rsidRPr="00252B58">
        <w:rPr>
          <w:rFonts w:ascii="Arial" w:hAnsi="Arial" w:cs="Arial"/>
          <w:i/>
          <w:iCs/>
          <w:sz w:val="24"/>
          <w:szCs w:val="24"/>
          <w:lang w:val="en-US"/>
        </w:rPr>
        <w:t>isease</w:t>
      </w:r>
      <w:r w:rsidR="00E001B9" w:rsidRPr="00252B58">
        <w:rPr>
          <w:rFonts w:ascii="Arial" w:hAnsi="Arial" w:cs="Arial"/>
          <w:sz w:val="24"/>
          <w:szCs w:val="24"/>
          <w:lang w:val="en-US"/>
        </w:rPr>
        <w:t xml:space="preserve"> 2015;</w:t>
      </w:r>
      <w:r w:rsidR="00E001B9" w:rsidRPr="00252B58">
        <w:rPr>
          <w:rFonts w:ascii="Arial" w:hAnsi="Arial" w:cs="Arial"/>
          <w:b/>
          <w:bCs/>
          <w:sz w:val="24"/>
          <w:szCs w:val="24"/>
          <w:lang w:val="en-US"/>
        </w:rPr>
        <w:t>26</w:t>
      </w:r>
      <w:r w:rsidR="00E001B9" w:rsidRPr="00252B58">
        <w:rPr>
          <w:rFonts w:ascii="Arial" w:hAnsi="Arial" w:cs="Arial"/>
          <w:sz w:val="24"/>
          <w:szCs w:val="24"/>
          <w:lang w:val="en-US"/>
        </w:rPr>
        <w:t>:26191-.</w:t>
      </w:r>
    </w:p>
    <w:p w14:paraId="4ED3B51C" w14:textId="77777777" w:rsidR="00E001B9" w:rsidRPr="00252B58" w:rsidRDefault="0058623B" w:rsidP="00EF7929">
      <w:pPr>
        <w:spacing w:line="480" w:lineRule="auto"/>
        <w:jc w:val="both"/>
        <w:rPr>
          <w:rFonts w:ascii="Arial" w:hAnsi="Arial" w:cs="Arial"/>
          <w:sz w:val="24"/>
          <w:szCs w:val="24"/>
          <w:lang w:val="en-US"/>
        </w:rPr>
      </w:pPr>
      <w:r w:rsidRPr="00252B58">
        <w:rPr>
          <w:rFonts w:ascii="Arial" w:hAnsi="Arial" w:cs="Arial"/>
          <w:sz w:val="24"/>
          <w:szCs w:val="24"/>
          <w:lang w:val="en-US"/>
        </w:rPr>
        <w:t>9</w:t>
      </w:r>
      <w:r w:rsidR="00E001B9" w:rsidRPr="00252B58">
        <w:rPr>
          <w:rFonts w:ascii="Arial" w:hAnsi="Arial" w:cs="Arial"/>
          <w:sz w:val="24"/>
          <w:szCs w:val="24"/>
          <w:lang w:val="en-US"/>
        </w:rPr>
        <w:t xml:space="preserve"> - Zlatkis A, Brazell RS, Poole CF. The role of organic volatile profiles in clinical-diagnosis. </w:t>
      </w:r>
      <w:r w:rsidR="00E001B9" w:rsidRPr="00252B58">
        <w:rPr>
          <w:rFonts w:ascii="Arial" w:hAnsi="Arial" w:cs="Arial"/>
          <w:i/>
          <w:iCs/>
          <w:sz w:val="24"/>
          <w:szCs w:val="24"/>
          <w:lang w:val="en-US"/>
        </w:rPr>
        <w:t>Clinical Chemistry</w:t>
      </w:r>
      <w:r w:rsidR="00E001B9" w:rsidRPr="00252B58">
        <w:rPr>
          <w:rFonts w:ascii="Arial" w:hAnsi="Arial" w:cs="Arial"/>
          <w:sz w:val="24"/>
          <w:szCs w:val="24"/>
          <w:lang w:val="en-US"/>
        </w:rPr>
        <w:t xml:space="preserve"> 1981;</w:t>
      </w:r>
      <w:r w:rsidR="00E001B9" w:rsidRPr="00252B58">
        <w:rPr>
          <w:rFonts w:ascii="Arial" w:hAnsi="Arial" w:cs="Arial"/>
          <w:b/>
          <w:bCs/>
          <w:sz w:val="24"/>
          <w:szCs w:val="24"/>
          <w:lang w:val="en-US"/>
        </w:rPr>
        <w:t>27</w:t>
      </w:r>
      <w:r w:rsidR="00E001B9" w:rsidRPr="00252B58">
        <w:rPr>
          <w:rFonts w:ascii="Arial" w:hAnsi="Arial" w:cs="Arial"/>
          <w:sz w:val="24"/>
          <w:szCs w:val="24"/>
          <w:lang w:val="en-US"/>
        </w:rPr>
        <w:t>:789-97.</w:t>
      </w:r>
    </w:p>
    <w:p w14:paraId="2AD7D9C0" w14:textId="77777777" w:rsidR="00E001B9" w:rsidRPr="00252B58" w:rsidRDefault="00E001B9" w:rsidP="00EF7929">
      <w:pPr>
        <w:spacing w:line="480" w:lineRule="auto"/>
        <w:jc w:val="both"/>
        <w:rPr>
          <w:rFonts w:ascii="Arial" w:hAnsi="Arial" w:cs="Arial"/>
          <w:sz w:val="24"/>
          <w:szCs w:val="24"/>
          <w:lang w:val="en-US"/>
        </w:rPr>
      </w:pPr>
      <w:r w:rsidRPr="00252B58">
        <w:rPr>
          <w:rFonts w:ascii="Arial" w:hAnsi="Arial" w:cs="Arial"/>
          <w:sz w:val="24"/>
          <w:szCs w:val="24"/>
          <w:lang w:val="en-US"/>
        </w:rPr>
        <w:t>1</w:t>
      </w:r>
      <w:r w:rsidR="0058623B" w:rsidRPr="00252B58">
        <w:rPr>
          <w:rFonts w:ascii="Arial" w:hAnsi="Arial" w:cs="Arial"/>
          <w:sz w:val="24"/>
          <w:szCs w:val="24"/>
          <w:lang w:val="en-US"/>
        </w:rPr>
        <w:t>0</w:t>
      </w:r>
      <w:r w:rsidRPr="00252B58">
        <w:rPr>
          <w:rFonts w:ascii="Arial" w:hAnsi="Arial" w:cs="Arial"/>
          <w:sz w:val="24"/>
          <w:szCs w:val="24"/>
          <w:lang w:val="en-US"/>
        </w:rPr>
        <w:t xml:space="preserve"> - Probert CSJ, Ahmed I, Khalid T</w:t>
      </w:r>
      <w:r w:rsidRPr="00252B58">
        <w:rPr>
          <w:rFonts w:ascii="Arial" w:hAnsi="Arial" w:cs="Arial"/>
          <w:i/>
          <w:iCs/>
          <w:sz w:val="24"/>
          <w:szCs w:val="24"/>
          <w:lang w:val="en-US"/>
        </w:rPr>
        <w:t>, et al.</w:t>
      </w:r>
      <w:r w:rsidRPr="00252B58">
        <w:rPr>
          <w:rFonts w:ascii="Arial" w:hAnsi="Arial" w:cs="Arial"/>
          <w:sz w:val="24"/>
          <w:szCs w:val="24"/>
          <w:lang w:val="en-US"/>
        </w:rPr>
        <w:t xml:space="preserve"> Volatile organic compounds as diagnostic biomarkers in gastrointestinal and liver diseases. </w:t>
      </w:r>
      <w:r w:rsidRPr="00252B58">
        <w:rPr>
          <w:rFonts w:ascii="Arial" w:hAnsi="Arial" w:cs="Arial"/>
          <w:i/>
          <w:iCs/>
          <w:sz w:val="24"/>
          <w:szCs w:val="24"/>
          <w:lang w:val="en-US"/>
        </w:rPr>
        <w:t>Journal of Gastrointestinal and Liver Diseases</w:t>
      </w:r>
      <w:r w:rsidRPr="00252B58">
        <w:rPr>
          <w:rFonts w:ascii="Arial" w:hAnsi="Arial" w:cs="Arial"/>
          <w:sz w:val="24"/>
          <w:szCs w:val="24"/>
          <w:lang w:val="en-US"/>
        </w:rPr>
        <w:t xml:space="preserve"> 2009;</w:t>
      </w:r>
      <w:r w:rsidRPr="00252B58">
        <w:rPr>
          <w:rFonts w:ascii="Arial" w:hAnsi="Arial" w:cs="Arial"/>
          <w:b/>
          <w:bCs/>
          <w:sz w:val="24"/>
          <w:szCs w:val="24"/>
          <w:lang w:val="en-US"/>
        </w:rPr>
        <w:t>18</w:t>
      </w:r>
      <w:r w:rsidRPr="00252B58">
        <w:rPr>
          <w:rFonts w:ascii="Arial" w:hAnsi="Arial" w:cs="Arial"/>
          <w:sz w:val="24"/>
          <w:szCs w:val="24"/>
          <w:lang w:val="en-US"/>
        </w:rPr>
        <w:t>:337-43.</w:t>
      </w:r>
    </w:p>
    <w:p w14:paraId="35C967C7" w14:textId="77777777" w:rsidR="00E001B9" w:rsidRPr="00252B58" w:rsidRDefault="00E001B9" w:rsidP="00EF7929">
      <w:pPr>
        <w:spacing w:line="480" w:lineRule="auto"/>
        <w:jc w:val="both"/>
        <w:rPr>
          <w:rFonts w:ascii="Arial" w:hAnsi="Arial" w:cs="Arial"/>
          <w:sz w:val="24"/>
          <w:szCs w:val="24"/>
          <w:lang w:val="en-US"/>
        </w:rPr>
      </w:pPr>
      <w:r w:rsidRPr="00252B58">
        <w:rPr>
          <w:rFonts w:ascii="Arial" w:hAnsi="Arial" w:cs="Arial"/>
          <w:sz w:val="24"/>
          <w:szCs w:val="24"/>
          <w:lang w:val="en-US"/>
        </w:rPr>
        <w:t>1</w:t>
      </w:r>
      <w:r w:rsidR="0058623B" w:rsidRPr="00252B58">
        <w:rPr>
          <w:rFonts w:ascii="Arial" w:hAnsi="Arial" w:cs="Arial"/>
          <w:sz w:val="24"/>
          <w:szCs w:val="24"/>
          <w:lang w:val="en-US"/>
        </w:rPr>
        <w:t>1</w:t>
      </w:r>
      <w:r w:rsidRPr="00252B58">
        <w:rPr>
          <w:rFonts w:ascii="Arial" w:hAnsi="Arial" w:cs="Arial"/>
          <w:sz w:val="24"/>
          <w:szCs w:val="24"/>
          <w:lang w:val="en-US"/>
        </w:rPr>
        <w:t xml:space="preserve"> - Ahmed I, Greenwood R, Costello B, Ratcliffe N, Probert CS. Investigation of faecal volatile organic metabolites as novel diagnostic biomarkers in inflammatory bowel disease. </w:t>
      </w:r>
      <w:r w:rsidRPr="00252B58">
        <w:rPr>
          <w:rFonts w:ascii="Arial" w:hAnsi="Arial" w:cs="Arial"/>
          <w:i/>
          <w:iCs/>
          <w:sz w:val="24"/>
          <w:szCs w:val="24"/>
          <w:lang w:val="en-US"/>
        </w:rPr>
        <w:t xml:space="preserve">Alimentary </w:t>
      </w:r>
      <w:r w:rsidR="00600DF9" w:rsidRPr="00252B58">
        <w:rPr>
          <w:rFonts w:ascii="Arial" w:hAnsi="Arial" w:cs="Arial"/>
          <w:i/>
          <w:iCs/>
          <w:sz w:val="24"/>
          <w:szCs w:val="24"/>
          <w:lang w:val="en-US"/>
        </w:rPr>
        <w:t>P</w:t>
      </w:r>
      <w:r w:rsidRPr="00252B58">
        <w:rPr>
          <w:rFonts w:ascii="Arial" w:hAnsi="Arial" w:cs="Arial"/>
          <w:i/>
          <w:iCs/>
          <w:sz w:val="24"/>
          <w:szCs w:val="24"/>
          <w:lang w:val="en-US"/>
        </w:rPr>
        <w:t xml:space="preserve">harmacology &amp; </w:t>
      </w:r>
      <w:r w:rsidR="00600DF9" w:rsidRPr="00252B58">
        <w:rPr>
          <w:rFonts w:ascii="Arial" w:hAnsi="Arial" w:cs="Arial"/>
          <w:i/>
          <w:iCs/>
          <w:sz w:val="24"/>
          <w:szCs w:val="24"/>
          <w:lang w:val="en-US"/>
        </w:rPr>
        <w:t>T</w:t>
      </w:r>
      <w:r w:rsidRPr="00252B58">
        <w:rPr>
          <w:rFonts w:ascii="Arial" w:hAnsi="Arial" w:cs="Arial"/>
          <w:i/>
          <w:iCs/>
          <w:sz w:val="24"/>
          <w:szCs w:val="24"/>
          <w:lang w:val="en-US"/>
        </w:rPr>
        <w:t>herapeutics</w:t>
      </w:r>
      <w:r w:rsidRPr="00252B58">
        <w:rPr>
          <w:rFonts w:ascii="Arial" w:hAnsi="Arial" w:cs="Arial"/>
          <w:sz w:val="24"/>
          <w:szCs w:val="24"/>
          <w:lang w:val="en-US"/>
        </w:rPr>
        <w:t xml:space="preserve"> 2016;</w:t>
      </w:r>
      <w:r w:rsidRPr="00252B58">
        <w:rPr>
          <w:rFonts w:ascii="Arial" w:hAnsi="Arial" w:cs="Arial"/>
          <w:b/>
          <w:bCs/>
          <w:sz w:val="24"/>
          <w:szCs w:val="24"/>
          <w:lang w:val="en-US"/>
        </w:rPr>
        <w:t>43</w:t>
      </w:r>
      <w:r w:rsidRPr="00252B58">
        <w:rPr>
          <w:rFonts w:ascii="Arial" w:hAnsi="Arial" w:cs="Arial"/>
          <w:sz w:val="24"/>
          <w:szCs w:val="24"/>
          <w:lang w:val="en-US"/>
        </w:rPr>
        <w:t>:596-611.</w:t>
      </w:r>
    </w:p>
    <w:p w14:paraId="0A9F0CA5" w14:textId="77777777" w:rsidR="00E001B9" w:rsidRPr="00252B58" w:rsidRDefault="0058623B" w:rsidP="00EF7929">
      <w:pPr>
        <w:spacing w:line="480" w:lineRule="auto"/>
        <w:jc w:val="both"/>
        <w:rPr>
          <w:rFonts w:ascii="Arial" w:hAnsi="Arial" w:cs="Arial"/>
          <w:sz w:val="24"/>
          <w:szCs w:val="24"/>
          <w:lang w:val="en-US"/>
        </w:rPr>
      </w:pPr>
      <w:r w:rsidRPr="00252B58">
        <w:rPr>
          <w:rFonts w:ascii="Arial" w:hAnsi="Arial" w:cs="Arial"/>
          <w:sz w:val="24"/>
          <w:szCs w:val="24"/>
          <w:lang w:val="en-US"/>
        </w:rPr>
        <w:t>12</w:t>
      </w:r>
      <w:r w:rsidR="00E001B9" w:rsidRPr="00252B58">
        <w:rPr>
          <w:rFonts w:ascii="Arial" w:hAnsi="Arial" w:cs="Arial"/>
          <w:sz w:val="24"/>
          <w:szCs w:val="24"/>
          <w:lang w:val="en-US"/>
        </w:rPr>
        <w:t xml:space="preserve"> - Cauchi M, Fowler DP, Walton C</w:t>
      </w:r>
      <w:r w:rsidR="00E001B9" w:rsidRPr="00252B58">
        <w:rPr>
          <w:rFonts w:ascii="Arial" w:hAnsi="Arial" w:cs="Arial"/>
          <w:i/>
          <w:iCs/>
          <w:sz w:val="24"/>
          <w:szCs w:val="24"/>
          <w:lang w:val="en-US"/>
        </w:rPr>
        <w:t>, et al.</w:t>
      </w:r>
      <w:r w:rsidR="00E001B9" w:rsidRPr="00252B58">
        <w:rPr>
          <w:rFonts w:ascii="Arial" w:hAnsi="Arial" w:cs="Arial"/>
          <w:sz w:val="24"/>
          <w:szCs w:val="24"/>
          <w:lang w:val="en-US"/>
        </w:rPr>
        <w:t xml:space="preserve"> Comparison of </w:t>
      </w:r>
      <w:r w:rsidR="00C051A6" w:rsidRPr="00252B58">
        <w:rPr>
          <w:rFonts w:ascii="Arial" w:hAnsi="Arial" w:cs="Arial"/>
          <w:sz w:val="24"/>
          <w:szCs w:val="24"/>
          <w:lang w:val="en-US"/>
        </w:rPr>
        <w:t>GC-MS</w:t>
      </w:r>
      <w:r w:rsidR="00E001B9" w:rsidRPr="00252B58">
        <w:rPr>
          <w:rFonts w:ascii="Arial" w:hAnsi="Arial" w:cs="Arial"/>
          <w:sz w:val="24"/>
          <w:szCs w:val="24"/>
          <w:lang w:val="en-US"/>
        </w:rPr>
        <w:t xml:space="preserve">, </w:t>
      </w:r>
      <w:r w:rsidR="00C051A6" w:rsidRPr="00252B58">
        <w:rPr>
          <w:rFonts w:ascii="Arial" w:hAnsi="Arial" w:cs="Arial"/>
          <w:sz w:val="24"/>
          <w:szCs w:val="24"/>
          <w:lang w:val="en-US"/>
        </w:rPr>
        <w:t>HPLC-MS</w:t>
      </w:r>
      <w:r w:rsidR="00E001B9" w:rsidRPr="00252B58">
        <w:rPr>
          <w:rFonts w:ascii="Arial" w:hAnsi="Arial" w:cs="Arial"/>
          <w:sz w:val="24"/>
          <w:szCs w:val="24"/>
          <w:lang w:val="en-US"/>
        </w:rPr>
        <w:t xml:space="preserve"> and </w:t>
      </w:r>
      <w:r w:rsidR="00C051A6" w:rsidRPr="00252B58">
        <w:rPr>
          <w:rFonts w:ascii="Arial" w:hAnsi="Arial" w:cs="Arial"/>
          <w:sz w:val="24"/>
          <w:szCs w:val="24"/>
          <w:lang w:val="en-US"/>
        </w:rPr>
        <w:t>SIFT-MS</w:t>
      </w:r>
      <w:r w:rsidR="00E001B9" w:rsidRPr="00252B58">
        <w:rPr>
          <w:rFonts w:ascii="Arial" w:hAnsi="Arial" w:cs="Arial"/>
          <w:sz w:val="24"/>
          <w:szCs w:val="24"/>
          <w:lang w:val="en-US"/>
        </w:rPr>
        <w:t xml:space="preserve"> in conjunction with multivariate classification for the diagnosis of </w:t>
      </w:r>
      <w:r w:rsidR="00C62C0D" w:rsidRPr="00252B58">
        <w:rPr>
          <w:rFonts w:ascii="Arial" w:hAnsi="Arial" w:cs="Arial"/>
          <w:sz w:val="24"/>
          <w:szCs w:val="24"/>
          <w:lang w:val="en-US"/>
        </w:rPr>
        <w:t>C</w:t>
      </w:r>
      <w:r w:rsidR="00E001B9" w:rsidRPr="00252B58">
        <w:rPr>
          <w:rFonts w:ascii="Arial" w:hAnsi="Arial" w:cs="Arial"/>
          <w:sz w:val="24"/>
          <w:szCs w:val="24"/>
          <w:lang w:val="en-US"/>
        </w:rPr>
        <w:t xml:space="preserve">rohn's disease in urine. </w:t>
      </w:r>
      <w:r w:rsidR="00E001B9" w:rsidRPr="00252B58">
        <w:rPr>
          <w:rFonts w:ascii="Arial" w:hAnsi="Arial" w:cs="Arial"/>
          <w:i/>
          <w:iCs/>
          <w:sz w:val="24"/>
          <w:szCs w:val="24"/>
          <w:lang w:val="en-US"/>
        </w:rPr>
        <w:t>Analytical Methods</w:t>
      </w:r>
      <w:r w:rsidR="00E001B9" w:rsidRPr="00252B58">
        <w:rPr>
          <w:rFonts w:ascii="Arial" w:hAnsi="Arial" w:cs="Arial"/>
          <w:sz w:val="24"/>
          <w:szCs w:val="24"/>
          <w:lang w:val="en-US"/>
        </w:rPr>
        <w:t xml:space="preserve"> 2015;</w:t>
      </w:r>
      <w:r w:rsidR="00E001B9" w:rsidRPr="00252B58">
        <w:rPr>
          <w:rFonts w:ascii="Arial" w:hAnsi="Arial" w:cs="Arial"/>
          <w:b/>
          <w:bCs/>
          <w:sz w:val="24"/>
          <w:szCs w:val="24"/>
          <w:lang w:val="en-US"/>
        </w:rPr>
        <w:t>7</w:t>
      </w:r>
      <w:r w:rsidR="00E001B9" w:rsidRPr="00252B58">
        <w:rPr>
          <w:rFonts w:ascii="Arial" w:hAnsi="Arial" w:cs="Arial"/>
          <w:sz w:val="24"/>
          <w:szCs w:val="24"/>
          <w:lang w:val="en-US"/>
        </w:rPr>
        <w:t>:8379-85.</w:t>
      </w:r>
    </w:p>
    <w:p w14:paraId="12B4D722" w14:textId="77777777" w:rsidR="0010726B" w:rsidRPr="00252B58" w:rsidRDefault="0058623B" w:rsidP="00E76E5D">
      <w:pPr>
        <w:spacing w:line="480" w:lineRule="auto"/>
        <w:jc w:val="both"/>
        <w:rPr>
          <w:rFonts w:ascii="Arial" w:hAnsi="Arial" w:cs="Arial"/>
          <w:sz w:val="24"/>
          <w:szCs w:val="24"/>
          <w:lang w:val="en-US"/>
        </w:rPr>
      </w:pPr>
      <w:r w:rsidRPr="00252B58">
        <w:rPr>
          <w:rFonts w:ascii="Arial" w:hAnsi="Arial" w:cs="Arial"/>
          <w:sz w:val="24"/>
          <w:szCs w:val="24"/>
          <w:lang w:val="en-US"/>
        </w:rPr>
        <w:t>13</w:t>
      </w:r>
      <w:r w:rsidR="00E001B9" w:rsidRPr="00252B58">
        <w:rPr>
          <w:rFonts w:ascii="Arial" w:hAnsi="Arial" w:cs="Arial"/>
          <w:sz w:val="24"/>
          <w:szCs w:val="24"/>
          <w:lang w:val="en-US"/>
        </w:rPr>
        <w:t xml:space="preserve"> - Bodelier AGL, Smolinska A, Baranska A</w:t>
      </w:r>
      <w:r w:rsidR="00E001B9" w:rsidRPr="00252B58">
        <w:rPr>
          <w:rFonts w:ascii="Arial" w:hAnsi="Arial" w:cs="Arial"/>
          <w:i/>
          <w:iCs/>
          <w:sz w:val="24"/>
          <w:szCs w:val="24"/>
          <w:lang w:val="en-US"/>
        </w:rPr>
        <w:t>, et al.</w:t>
      </w:r>
      <w:r w:rsidR="00E001B9" w:rsidRPr="00252B58">
        <w:rPr>
          <w:rFonts w:ascii="Arial" w:hAnsi="Arial" w:cs="Arial"/>
          <w:sz w:val="24"/>
          <w:szCs w:val="24"/>
          <w:lang w:val="en-US"/>
        </w:rPr>
        <w:t xml:space="preserve"> Volatile organic compounds in exhaled air as novel marker for disease activity in </w:t>
      </w:r>
      <w:r w:rsidR="00E35279" w:rsidRPr="00252B58">
        <w:rPr>
          <w:rFonts w:ascii="Arial" w:hAnsi="Arial" w:cs="Arial"/>
          <w:sz w:val="24"/>
          <w:szCs w:val="24"/>
          <w:lang w:val="en-US"/>
        </w:rPr>
        <w:t>Cr</w:t>
      </w:r>
      <w:r w:rsidR="00E001B9" w:rsidRPr="00252B58">
        <w:rPr>
          <w:rFonts w:ascii="Arial" w:hAnsi="Arial" w:cs="Arial"/>
          <w:sz w:val="24"/>
          <w:szCs w:val="24"/>
          <w:lang w:val="en-US"/>
        </w:rPr>
        <w:t xml:space="preserve">ohn's disease: A metabolomic approach. </w:t>
      </w:r>
      <w:r w:rsidR="00E001B9" w:rsidRPr="00252B58">
        <w:rPr>
          <w:rFonts w:ascii="Arial" w:hAnsi="Arial" w:cs="Arial"/>
          <w:i/>
          <w:iCs/>
          <w:sz w:val="24"/>
          <w:szCs w:val="24"/>
          <w:lang w:val="en-US"/>
        </w:rPr>
        <w:t>Inflammatory Bowel Diseases</w:t>
      </w:r>
      <w:r w:rsidR="00E001B9" w:rsidRPr="00252B58">
        <w:rPr>
          <w:rFonts w:ascii="Arial" w:hAnsi="Arial" w:cs="Arial"/>
          <w:sz w:val="24"/>
          <w:szCs w:val="24"/>
          <w:lang w:val="en-US"/>
        </w:rPr>
        <w:t xml:space="preserve"> 2015;</w:t>
      </w:r>
      <w:r w:rsidR="00E001B9" w:rsidRPr="00252B58">
        <w:rPr>
          <w:rFonts w:ascii="Arial" w:hAnsi="Arial" w:cs="Arial"/>
          <w:b/>
          <w:bCs/>
          <w:sz w:val="24"/>
          <w:szCs w:val="24"/>
          <w:lang w:val="en-US"/>
        </w:rPr>
        <w:t>21</w:t>
      </w:r>
      <w:r w:rsidR="00E001B9" w:rsidRPr="00252B58">
        <w:rPr>
          <w:rFonts w:ascii="Arial" w:hAnsi="Arial" w:cs="Arial"/>
          <w:sz w:val="24"/>
          <w:szCs w:val="24"/>
          <w:lang w:val="en-US"/>
        </w:rPr>
        <w:t>:1776-85.</w:t>
      </w:r>
    </w:p>
    <w:p w14:paraId="3EADE7E0" w14:textId="77777777" w:rsidR="00E001B9" w:rsidRPr="00252B58" w:rsidRDefault="00E76E5D" w:rsidP="00EF7929">
      <w:pPr>
        <w:spacing w:line="480" w:lineRule="auto"/>
        <w:jc w:val="both"/>
        <w:rPr>
          <w:rFonts w:ascii="Arial" w:hAnsi="Arial" w:cs="Arial"/>
          <w:sz w:val="24"/>
          <w:szCs w:val="24"/>
          <w:lang w:val="en-US"/>
        </w:rPr>
      </w:pPr>
      <w:r w:rsidRPr="00252B58">
        <w:rPr>
          <w:rFonts w:ascii="Arial" w:hAnsi="Arial" w:cs="Arial"/>
          <w:sz w:val="24"/>
          <w:szCs w:val="24"/>
          <w:lang w:val="en-US"/>
        </w:rPr>
        <w:t xml:space="preserve">14 - Ahmed I, Greenwood R, Costello Bdl, Ratcliffe NM, Probert CS. An Investigation of Fecal Volatile Organic Metabolites in Irritable Bowel Syndrome. </w:t>
      </w:r>
      <w:r w:rsidRPr="00252B58">
        <w:rPr>
          <w:rFonts w:ascii="Arial" w:hAnsi="Arial" w:cs="Arial"/>
          <w:i/>
          <w:sz w:val="24"/>
          <w:szCs w:val="24"/>
          <w:lang w:val="en-US"/>
        </w:rPr>
        <w:t>Plos One</w:t>
      </w:r>
      <w:r w:rsidRPr="00252B58">
        <w:rPr>
          <w:rFonts w:ascii="Arial" w:hAnsi="Arial" w:cs="Arial"/>
          <w:sz w:val="24"/>
          <w:szCs w:val="24"/>
          <w:lang w:val="en-US"/>
        </w:rPr>
        <w:t>. 2013;</w:t>
      </w:r>
      <w:r w:rsidRPr="00252B58">
        <w:rPr>
          <w:rFonts w:ascii="Arial" w:hAnsi="Arial" w:cs="Arial"/>
          <w:b/>
          <w:sz w:val="24"/>
          <w:szCs w:val="24"/>
          <w:lang w:val="en-US"/>
        </w:rPr>
        <w:t>8</w:t>
      </w:r>
      <w:r w:rsidRPr="00252B58">
        <w:rPr>
          <w:rFonts w:ascii="Arial" w:hAnsi="Arial" w:cs="Arial"/>
          <w:sz w:val="24"/>
          <w:szCs w:val="24"/>
          <w:lang w:val="en-US"/>
        </w:rPr>
        <w:t>(3).</w:t>
      </w:r>
    </w:p>
    <w:p w14:paraId="30A562E1" w14:textId="77777777" w:rsidR="003C1875" w:rsidRPr="00252B58" w:rsidRDefault="003C1875" w:rsidP="00EF7929">
      <w:pPr>
        <w:spacing w:line="480" w:lineRule="auto"/>
        <w:jc w:val="both"/>
        <w:rPr>
          <w:rFonts w:ascii="Arial" w:hAnsi="Arial" w:cs="Arial"/>
          <w:sz w:val="24"/>
          <w:szCs w:val="24"/>
          <w:lang w:val="en-US"/>
        </w:rPr>
      </w:pPr>
      <w:r w:rsidRPr="00252B58">
        <w:rPr>
          <w:rFonts w:ascii="Arial" w:hAnsi="Arial" w:cs="Arial"/>
          <w:sz w:val="24"/>
          <w:szCs w:val="24"/>
          <w:lang w:val="en-US"/>
        </w:rPr>
        <w:lastRenderedPageBreak/>
        <w:t>1</w:t>
      </w:r>
      <w:r w:rsidR="0058623B" w:rsidRPr="00252B58">
        <w:rPr>
          <w:rFonts w:ascii="Arial" w:hAnsi="Arial" w:cs="Arial"/>
          <w:sz w:val="24"/>
          <w:szCs w:val="24"/>
          <w:lang w:val="en-US"/>
        </w:rPr>
        <w:t>5</w:t>
      </w:r>
      <w:r w:rsidRPr="00252B58">
        <w:rPr>
          <w:rFonts w:ascii="Arial" w:hAnsi="Arial" w:cs="Arial"/>
          <w:sz w:val="24"/>
          <w:szCs w:val="24"/>
          <w:lang w:val="en-US"/>
        </w:rPr>
        <w:t xml:space="preserve"> - Shepherd SF, McGuire ND, de Lacy Costello BPJ</w:t>
      </w:r>
      <w:r w:rsidRPr="00252B58">
        <w:rPr>
          <w:rFonts w:ascii="Arial" w:hAnsi="Arial" w:cs="Arial"/>
          <w:i/>
          <w:iCs/>
          <w:sz w:val="24"/>
          <w:szCs w:val="24"/>
          <w:lang w:val="en-US"/>
        </w:rPr>
        <w:t>, et al.</w:t>
      </w:r>
      <w:r w:rsidRPr="00252B58">
        <w:rPr>
          <w:rFonts w:ascii="Arial" w:hAnsi="Arial" w:cs="Arial"/>
          <w:sz w:val="24"/>
          <w:szCs w:val="24"/>
          <w:lang w:val="en-US"/>
        </w:rPr>
        <w:t xml:space="preserve"> The use of a gas chromatograph coupled to a metal oxide sensor for rapid assessment of stool samples from irritable bowel syndrome and inflammatory bowel disease patients. </w:t>
      </w:r>
      <w:r w:rsidRPr="00252B58">
        <w:rPr>
          <w:rFonts w:ascii="Arial" w:hAnsi="Arial" w:cs="Arial"/>
          <w:i/>
          <w:iCs/>
          <w:sz w:val="24"/>
          <w:szCs w:val="24"/>
          <w:lang w:val="en-US"/>
        </w:rPr>
        <w:t>Journal of Breath Research</w:t>
      </w:r>
      <w:r w:rsidRPr="00252B58">
        <w:rPr>
          <w:rFonts w:ascii="Arial" w:hAnsi="Arial" w:cs="Arial"/>
          <w:sz w:val="24"/>
          <w:szCs w:val="24"/>
          <w:lang w:val="en-US"/>
        </w:rPr>
        <w:t xml:space="preserve"> 2014;</w:t>
      </w:r>
      <w:r w:rsidRPr="00252B58">
        <w:rPr>
          <w:rFonts w:ascii="Arial" w:hAnsi="Arial" w:cs="Arial"/>
          <w:b/>
          <w:bCs/>
          <w:sz w:val="24"/>
          <w:szCs w:val="24"/>
          <w:lang w:val="en-US"/>
        </w:rPr>
        <w:t>8</w:t>
      </w:r>
      <w:r w:rsidRPr="00252B58">
        <w:rPr>
          <w:rFonts w:ascii="Arial" w:hAnsi="Arial" w:cs="Arial"/>
          <w:sz w:val="24"/>
          <w:szCs w:val="24"/>
          <w:lang w:val="en-US"/>
        </w:rPr>
        <w:t>.</w:t>
      </w:r>
    </w:p>
    <w:p w14:paraId="53CF17CC" w14:textId="77777777" w:rsidR="003C1875" w:rsidRPr="00252B58" w:rsidRDefault="00C36F26" w:rsidP="00EF7929">
      <w:pPr>
        <w:spacing w:line="480" w:lineRule="auto"/>
        <w:jc w:val="both"/>
        <w:rPr>
          <w:rFonts w:ascii="Arial" w:hAnsi="Arial" w:cs="Arial"/>
          <w:sz w:val="24"/>
          <w:szCs w:val="24"/>
          <w:lang w:val="en-US"/>
        </w:rPr>
      </w:pPr>
      <w:r w:rsidRPr="00252B58">
        <w:rPr>
          <w:rFonts w:ascii="Arial" w:hAnsi="Arial" w:cs="Arial"/>
          <w:sz w:val="24"/>
          <w:szCs w:val="24"/>
          <w:lang w:val="en-US"/>
        </w:rPr>
        <w:t>16</w:t>
      </w:r>
      <w:r w:rsidR="003C1875" w:rsidRPr="00252B58">
        <w:rPr>
          <w:rFonts w:ascii="Arial" w:hAnsi="Arial" w:cs="Arial"/>
          <w:sz w:val="24"/>
          <w:szCs w:val="24"/>
          <w:lang w:val="en-US"/>
        </w:rPr>
        <w:t xml:space="preserve"> - Rodvold DM. Validation and regulation of medical neural networks. </w:t>
      </w:r>
      <w:r w:rsidR="003C1875" w:rsidRPr="00252B58">
        <w:rPr>
          <w:rFonts w:ascii="Arial" w:hAnsi="Arial" w:cs="Arial"/>
          <w:i/>
          <w:iCs/>
          <w:sz w:val="24"/>
          <w:szCs w:val="24"/>
          <w:lang w:val="en-US"/>
        </w:rPr>
        <w:t>Molecular Urology</w:t>
      </w:r>
      <w:r w:rsidR="003C1875" w:rsidRPr="00252B58">
        <w:rPr>
          <w:rFonts w:ascii="Arial" w:hAnsi="Arial" w:cs="Arial"/>
          <w:sz w:val="24"/>
          <w:szCs w:val="24"/>
          <w:lang w:val="en-US"/>
        </w:rPr>
        <w:t xml:space="preserve"> 2001;</w:t>
      </w:r>
      <w:r w:rsidR="003C1875" w:rsidRPr="00252B58">
        <w:rPr>
          <w:rFonts w:ascii="Arial" w:hAnsi="Arial" w:cs="Arial"/>
          <w:b/>
          <w:bCs/>
          <w:sz w:val="24"/>
          <w:szCs w:val="24"/>
          <w:lang w:val="en-US"/>
        </w:rPr>
        <w:t>5</w:t>
      </w:r>
      <w:r w:rsidR="003C1875" w:rsidRPr="00252B58">
        <w:rPr>
          <w:rFonts w:ascii="Arial" w:hAnsi="Arial" w:cs="Arial"/>
          <w:sz w:val="24"/>
          <w:szCs w:val="24"/>
          <w:lang w:val="en-US"/>
        </w:rPr>
        <w:t>:141-5.</w:t>
      </w:r>
    </w:p>
    <w:p w14:paraId="4AD0C094" w14:textId="77777777" w:rsidR="003C1875" w:rsidRPr="00252B58" w:rsidRDefault="00C36F26" w:rsidP="00EF7929">
      <w:pPr>
        <w:spacing w:line="480" w:lineRule="auto"/>
        <w:jc w:val="both"/>
        <w:rPr>
          <w:rFonts w:ascii="Arial" w:hAnsi="Arial" w:cs="Arial"/>
          <w:sz w:val="24"/>
          <w:szCs w:val="24"/>
          <w:lang w:val="en-US"/>
        </w:rPr>
      </w:pPr>
      <w:r w:rsidRPr="00252B58">
        <w:rPr>
          <w:rFonts w:ascii="Arial" w:hAnsi="Arial" w:cs="Arial"/>
          <w:sz w:val="24"/>
          <w:szCs w:val="24"/>
          <w:lang w:val="en-US"/>
        </w:rPr>
        <w:t>17</w:t>
      </w:r>
      <w:r w:rsidR="003C1875" w:rsidRPr="00252B58">
        <w:rPr>
          <w:rFonts w:ascii="Arial" w:hAnsi="Arial" w:cs="Arial"/>
          <w:sz w:val="24"/>
          <w:szCs w:val="24"/>
          <w:lang w:val="en-US"/>
        </w:rPr>
        <w:t xml:space="preserve"> - Lisboa PJ, Taktak AFG. The use of artificial neural networks in decision support in cancer: A systematic review. </w:t>
      </w:r>
      <w:r w:rsidR="003C1875" w:rsidRPr="00252B58">
        <w:rPr>
          <w:rFonts w:ascii="Arial" w:hAnsi="Arial" w:cs="Arial"/>
          <w:i/>
          <w:iCs/>
          <w:sz w:val="24"/>
          <w:szCs w:val="24"/>
          <w:lang w:val="en-US"/>
        </w:rPr>
        <w:t>Neural Networks</w:t>
      </w:r>
      <w:r w:rsidR="003C1875" w:rsidRPr="00252B58">
        <w:rPr>
          <w:rFonts w:ascii="Arial" w:hAnsi="Arial" w:cs="Arial"/>
          <w:sz w:val="24"/>
          <w:szCs w:val="24"/>
          <w:lang w:val="en-US"/>
        </w:rPr>
        <w:t xml:space="preserve"> 2006;</w:t>
      </w:r>
      <w:r w:rsidR="003C1875" w:rsidRPr="00252B58">
        <w:rPr>
          <w:rFonts w:ascii="Arial" w:hAnsi="Arial" w:cs="Arial"/>
          <w:b/>
          <w:bCs/>
          <w:sz w:val="24"/>
          <w:szCs w:val="24"/>
          <w:lang w:val="en-US"/>
        </w:rPr>
        <w:t>19</w:t>
      </w:r>
      <w:r w:rsidR="003C1875" w:rsidRPr="00252B58">
        <w:rPr>
          <w:rFonts w:ascii="Arial" w:hAnsi="Arial" w:cs="Arial"/>
          <w:sz w:val="24"/>
          <w:szCs w:val="24"/>
          <w:lang w:val="en-US"/>
        </w:rPr>
        <w:t>:408-15.</w:t>
      </w:r>
    </w:p>
    <w:p w14:paraId="4578D4F1" w14:textId="77777777" w:rsidR="003C1875" w:rsidRPr="00252B58" w:rsidRDefault="00C36F26" w:rsidP="00EF7929">
      <w:pPr>
        <w:spacing w:line="480" w:lineRule="auto"/>
        <w:jc w:val="both"/>
        <w:rPr>
          <w:rFonts w:ascii="Arial" w:hAnsi="Arial" w:cs="Arial"/>
          <w:sz w:val="24"/>
          <w:szCs w:val="24"/>
          <w:lang w:val="en-US"/>
        </w:rPr>
      </w:pPr>
      <w:r w:rsidRPr="00252B58">
        <w:rPr>
          <w:rFonts w:ascii="Arial" w:hAnsi="Arial" w:cs="Arial"/>
          <w:sz w:val="24"/>
          <w:szCs w:val="24"/>
          <w:lang w:val="en-US"/>
        </w:rPr>
        <w:t>18</w:t>
      </w:r>
      <w:r w:rsidR="003C1875" w:rsidRPr="00252B58">
        <w:rPr>
          <w:rFonts w:ascii="Arial" w:hAnsi="Arial" w:cs="Arial"/>
          <w:sz w:val="24"/>
          <w:szCs w:val="24"/>
          <w:lang w:val="en-US"/>
        </w:rPr>
        <w:t xml:space="preserve"> - Aggio RBM, de Lacy Costello B, White P</w:t>
      </w:r>
      <w:r w:rsidR="003C1875" w:rsidRPr="00252B58">
        <w:rPr>
          <w:rFonts w:ascii="Arial" w:hAnsi="Arial" w:cs="Arial"/>
          <w:i/>
          <w:iCs/>
          <w:sz w:val="24"/>
          <w:szCs w:val="24"/>
          <w:lang w:val="en-US"/>
        </w:rPr>
        <w:t>, et al.</w:t>
      </w:r>
      <w:r w:rsidR="003C1875" w:rsidRPr="00252B58">
        <w:rPr>
          <w:rFonts w:ascii="Arial" w:hAnsi="Arial" w:cs="Arial"/>
          <w:sz w:val="24"/>
          <w:szCs w:val="24"/>
          <w:lang w:val="en-US"/>
        </w:rPr>
        <w:t xml:space="preserve"> The use of a gas chromatography-sensor system combined with advanced statistical methods, towards the diagnosis of urological malignancies. </w:t>
      </w:r>
      <w:r w:rsidR="003C1875" w:rsidRPr="00252B58">
        <w:rPr>
          <w:rFonts w:ascii="Arial" w:hAnsi="Arial" w:cs="Arial"/>
          <w:i/>
          <w:iCs/>
          <w:sz w:val="24"/>
          <w:szCs w:val="24"/>
          <w:lang w:val="en-US"/>
        </w:rPr>
        <w:t xml:space="preserve">Journal of </w:t>
      </w:r>
      <w:r w:rsidR="00600DF9" w:rsidRPr="00252B58">
        <w:rPr>
          <w:rFonts w:ascii="Arial" w:hAnsi="Arial" w:cs="Arial"/>
          <w:i/>
          <w:iCs/>
          <w:sz w:val="24"/>
          <w:szCs w:val="24"/>
          <w:lang w:val="en-US"/>
        </w:rPr>
        <w:t>B</w:t>
      </w:r>
      <w:r w:rsidR="003C1875" w:rsidRPr="00252B58">
        <w:rPr>
          <w:rFonts w:ascii="Arial" w:hAnsi="Arial" w:cs="Arial"/>
          <w:i/>
          <w:iCs/>
          <w:sz w:val="24"/>
          <w:szCs w:val="24"/>
          <w:lang w:val="en-US"/>
        </w:rPr>
        <w:t xml:space="preserve">reath </w:t>
      </w:r>
      <w:r w:rsidR="00600DF9" w:rsidRPr="00252B58">
        <w:rPr>
          <w:rFonts w:ascii="Arial" w:hAnsi="Arial" w:cs="Arial"/>
          <w:i/>
          <w:iCs/>
          <w:sz w:val="24"/>
          <w:szCs w:val="24"/>
          <w:lang w:val="en-US"/>
        </w:rPr>
        <w:t>R</w:t>
      </w:r>
      <w:r w:rsidR="003C1875" w:rsidRPr="00252B58">
        <w:rPr>
          <w:rFonts w:ascii="Arial" w:hAnsi="Arial" w:cs="Arial"/>
          <w:i/>
          <w:iCs/>
          <w:sz w:val="24"/>
          <w:szCs w:val="24"/>
          <w:lang w:val="en-US"/>
        </w:rPr>
        <w:t>esearch</w:t>
      </w:r>
      <w:r w:rsidR="003C1875" w:rsidRPr="00252B58">
        <w:rPr>
          <w:rFonts w:ascii="Arial" w:hAnsi="Arial" w:cs="Arial"/>
          <w:sz w:val="24"/>
          <w:szCs w:val="24"/>
          <w:lang w:val="en-US"/>
        </w:rPr>
        <w:t xml:space="preserve"> 2016;</w:t>
      </w:r>
      <w:r w:rsidR="003C1875" w:rsidRPr="00252B58">
        <w:rPr>
          <w:rFonts w:ascii="Arial" w:hAnsi="Arial" w:cs="Arial"/>
          <w:b/>
          <w:bCs/>
          <w:sz w:val="24"/>
          <w:szCs w:val="24"/>
          <w:lang w:val="en-US"/>
        </w:rPr>
        <w:t>10</w:t>
      </w:r>
      <w:r w:rsidR="003C1875" w:rsidRPr="00252B58">
        <w:rPr>
          <w:rFonts w:ascii="Arial" w:hAnsi="Arial" w:cs="Arial"/>
          <w:sz w:val="24"/>
          <w:szCs w:val="24"/>
          <w:lang w:val="en-US"/>
        </w:rPr>
        <w:t>:017106-.</w:t>
      </w:r>
    </w:p>
    <w:p w14:paraId="478DFFF6" w14:textId="77777777" w:rsidR="00E35279" w:rsidRPr="00252B58" w:rsidRDefault="00C36F26" w:rsidP="00EF7929">
      <w:pPr>
        <w:spacing w:line="480" w:lineRule="auto"/>
        <w:jc w:val="both"/>
        <w:rPr>
          <w:rFonts w:ascii="Arial" w:hAnsi="Arial" w:cs="Arial"/>
          <w:sz w:val="24"/>
          <w:szCs w:val="24"/>
          <w:lang w:val="en-US"/>
        </w:rPr>
      </w:pPr>
      <w:r w:rsidRPr="00252B58">
        <w:rPr>
          <w:rFonts w:ascii="Arial" w:hAnsi="Arial" w:cs="Arial"/>
          <w:sz w:val="24"/>
          <w:szCs w:val="24"/>
          <w:lang w:val="en-US"/>
        </w:rPr>
        <w:t xml:space="preserve">19 - </w:t>
      </w:r>
      <w:r w:rsidR="0059062F" w:rsidRPr="00252B58">
        <w:rPr>
          <w:rFonts w:ascii="Arial" w:hAnsi="Arial" w:cs="Arial"/>
          <w:sz w:val="24"/>
          <w:szCs w:val="24"/>
          <w:lang w:val="en-US"/>
        </w:rPr>
        <w:t>Drossman DA. The functional gastrointestinal disorders and the Rome II process. Gut. 1999;</w:t>
      </w:r>
      <w:r w:rsidR="0059062F" w:rsidRPr="00252B58">
        <w:rPr>
          <w:rFonts w:ascii="Arial" w:hAnsi="Arial" w:cs="Arial"/>
          <w:b/>
          <w:sz w:val="24"/>
          <w:szCs w:val="24"/>
          <w:lang w:val="en-US"/>
        </w:rPr>
        <w:t>45</w:t>
      </w:r>
      <w:r w:rsidR="0059062F" w:rsidRPr="00252B58">
        <w:rPr>
          <w:rFonts w:ascii="Arial" w:hAnsi="Arial" w:cs="Arial"/>
          <w:sz w:val="24"/>
          <w:szCs w:val="24"/>
          <w:lang w:val="en-US"/>
        </w:rPr>
        <w:t>:1-5.</w:t>
      </w:r>
    </w:p>
    <w:p w14:paraId="2DA1551D" w14:textId="77777777" w:rsidR="003C1875" w:rsidRPr="00252B58" w:rsidRDefault="009F7273" w:rsidP="00EF7929">
      <w:pPr>
        <w:spacing w:line="480" w:lineRule="auto"/>
        <w:jc w:val="both"/>
        <w:rPr>
          <w:rFonts w:ascii="Arial" w:hAnsi="Arial" w:cs="Arial"/>
          <w:sz w:val="24"/>
          <w:szCs w:val="24"/>
          <w:lang w:val="en-US"/>
        </w:rPr>
      </w:pPr>
      <w:r w:rsidRPr="00252B58">
        <w:rPr>
          <w:rFonts w:ascii="Arial" w:hAnsi="Arial" w:cs="Arial"/>
          <w:sz w:val="24"/>
          <w:szCs w:val="24"/>
          <w:lang w:val="en-US"/>
        </w:rPr>
        <w:t>20</w:t>
      </w:r>
      <w:r w:rsidR="003C1875" w:rsidRPr="00252B58">
        <w:rPr>
          <w:rFonts w:ascii="Arial" w:hAnsi="Arial" w:cs="Arial"/>
          <w:sz w:val="24"/>
          <w:szCs w:val="24"/>
          <w:lang w:val="en-US"/>
        </w:rPr>
        <w:t xml:space="preserve"> - Walmsley RS, Ayres RCS, Pounder RE, Allan RN. A simple clinical colitis activity index. </w:t>
      </w:r>
      <w:r w:rsidR="003C1875" w:rsidRPr="00252B58">
        <w:rPr>
          <w:rFonts w:ascii="Arial" w:hAnsi="Arial" w:cs="Arial"/>
          <w:i/>
          <w:iCs/>
          <w:sz w:val="24"/>
          <w:szCs w:val="24"/>
          <w:lang w:val="en-US"/>
        </w:rPr>
        <w:t>Gut</w:t>
      </w:r>
      <w:r w:rsidR="003C1875" w:rsidRPr="00252B58">
        <w:rPr>
          <w:rFonts w:ascii="Arial" w:hAnsi="Arial" w:cs="Arial"/>
          <w:sz w:val="24"/>
          <w:szCs w:val="24"/>
          <w:lang w:val="en-US"/>
        </w:rPr>
        <w:t xml:space="preserve"> 1998;</w:t>
      </w:r>
      <w:r w:rsidR="003C1875" w:rsidRPr="00252B58">
        <w:rPr>
          <w:rFonts w:ascii="Arial" w:hAnsi="Arial" w:cs="Arial"/>
          <w:b/>
          <w:bCs/>
          <w:sz w:val="24"/>
          <w:szCs w:val="24"/>
          <w:lang w:val="en-US"/>
        </w:rPr>
        <w:t>43</w:t>
      </w:r>
      <w:r w:rsidR="003C1875" w:rsidRPr="00252B58">
        <w:rPr>
          <w:rFonts w:ascii="Arial" w:hAnsi="Arial" w:cs="Arial"/>
          <w:sz w:val="24"/>
          <w:szCs w:val="24"/>
          <w:lang w:val="en-US"/>
        </w:rPr>
        <w:t>:29-32.</w:t>
      </w:r>
    </w:p>
    <w:p w14:paraId="214AFDB9" w14:textId="77777777" w:rsidR="003C1875" w:rsidRPr="00252B58" w:rsidRDefault="009F7273" w:rsidP="00EF7929">
      <w:pPr>
        <w:spacing w:line="480" w:lineRule="auto"/>
        <w:jc w:val="both"/>
        <w:rPr>
          <w:rFonts w:ascii="Arial" w:hAnsi="Arial" w:cs="Arial"/>
          <w:sz w:val="24"/>
          <w:szCs w:val="24"/>
          <w:lang w:val="en-US"/>
        </w:rPr>
      </w:pPr>
      <w:r w:rsidRPr="00252B58">
        <w:rPr>
          <w:rFonts w:ascii="Arial" w:hAnsi="Arial" w:cs="Arial"/>
          <w:sz w:val="24"/>
          <w:szCs w:val="24"/>
          <w:lang w:val="en-US"/>
        </w:rPr>
        <w:t>21</w:t>
      </w:r>
      <w:r w:rsidR="003C1875" w:rsidRPr="00252B58">
        <w:rPr>
          <w:rFonts w:ascii="Arial" w:hAnsi="Arial" w:cs="Arial"/>
          <w:sz w:val="24"/>
          <w:szCs w:val="24"/>
          <w:lang w:val="en-US"/>
        </w:rPr>
        <w:t xml:space="preserve"> - Harvey RF, Bradshaw JM. </w:t>
      </w:r>
      <w:r w:rsidR="002B7AD4" w:rsidRPr="00252B58">
        <w:rPr>
          <w:rFonts w:ascii="Arial" w:hAnsi="Arial" w:cs="Arial"/>
          <w:sz w:val="24"/>
          <w:szCs w:val="24"/>
          <w:lang w:val="en-US"/>
        </w:rPr>
        <w:t>A s</w:t>
      </w:r>
      <w:r w:rsidR="003C1875" w:rsidRPr="00252B58">
        <w:rPr>
          <w:rFonts w:ascii="Arial" w:hAnsi="Arial" w:cs="Arial"/>
          <w:sz w:val="24"/>
          <w:szCs w:val="24"/>
          <w:lang w:val="en-US"/>
        </w:rPr>
        <w:t xml:space="preserve">imple index of </w:t>
      </w:r>
      <w:r w:rsidR="00600DF9" w:rsidRPr="00252B58">
        <w:rPr>
          <w:rFonts w:ascii="Arial" w:hAnsi="Arial" w:cs="Arial"/>
          <w:sz w:val="24"/>
          <w:szCs w:val="24"/>
          <w:lang w:val="en-US"/>
        </w:rPr>
        <w:t>C</w:t>
      </w:r>
      <w:r w:rsidR="003C1875" w:rsidRPr="00252B58">
        <w:rPr>
          <w:rFonts w:ascii="Arial" w:hAnsi="Arial" w:cs="Arial"/>
          <w:sz w:val="24"/>
          <w:szCs w:val="24"/>
          <w:lang w:val="en-US"/>
        </w:rPr>
        <w:t>rohn</w:t>
      </w:r>
      <w:r w:rsidR="00600DF9" w:rsidRPr="00252B58">
        <w:rPr>
          <w:rFonts w:ascii="Arial" w:hAnsi="Arial" w:cs="Arial"/>
          <w:sz w:val="24"/>
          <w:szCs w:val="24"/>
          <w:lang w:val="en-US"/>
        </w:rPr>
        <w:t xml:space="preserve">’ </w:t>
      </w:r>
      <w:r w:rsidR="003C1875" w:rsidRPr="00252B58">
        <w:rPr>
          <w:rFonts w:ascii="Arial" w:hAnsi="Arial" w:cs="Arial"/>
          <w:sz w:val="24"/>
          <w:szCs w:val="24"/>
          <w:lang w:val="en-US"/>
        </w:rPr>
        <w:t>s</w:t>
      </w:r>
      <w:r w:rsidR="00600DF9" w:rsidRPr="00252B58">
        <w:rPr>
          <w:rFonts w:ascii="Arial" w:hAnsi="Arial" w:cs="Arial"/>
          <w:sz w:val="24"/>
          <w:szCs w:val="24"/>
          <w:lang w:val="en-US"/>
        </w:rPr>
        <w:t xml:space="preserve"> </w:t>
      </w:r>
      <w:r w:rsidR="003C1875" w:rsidRPr="00252B58">
        <w:rPr>
          <w:rFonts w:ascii="Arial" w:hAnsi="Arial" w:cs="Arial"/>
          <w:sz w:val="24"/>
          <w:szCs w:val="24"/>
          <w:lang w:val="en-US"/>
        </w:rPr>
        <w:t xml:space="preserve">disease activity. </w:t>
      </w:r>
      <w:r w:rsidR="003C1875" w:rsidRPr="00252B58">
        <w:rPr>
          <w:rFonts w:ascii="Arial" w:hAnsi="Arial" w:cs="Arial"/>
          <w:i/>
          <w:iCs/>
          <w:sz w:val="24"/>
          <w:szCs w:val="24"/>
          <w:lang w:val="en-US"/>
        </w:rPr>
        <w:t>Lancet</w:t>
      </w:r>
      <w:r w:rsidR="003C1875" w:rsidRPr="00252B58">
        <w:rPr>
          <w:rFonts w:ascii="Arial" w:hAnsi="Arial" w:cs="Arial"/>
          <w:sz w:val="24"/>
          <w:szCs w:val="24"/>
          <w:lang w:val="en-US"/>
        </w:rPr>
        <w:t xml:space="preserve"> 1980;</w:t>
      </w:r>
      <w:r w:rsidR="003C1875" w:rsidRPr="00252B58">
        <w:rPr>
          <w:rFonts w:ascii="Arial" w:hAnsi="Arial" w:cs="Arial"/>
          <w:b/>
          <w:bCs/>
          <w:sz w:val="24"/>
          <w:szCs w:val="24"/>
          <w:lang w:val="en-US"/>
        </w:rPr>
        <w:t>1</w:t>
      </w:r>
      <w:r w:rsidR="003C1875" w:rsidRPr="00252B58">
        <w:rPr>
          <w:rFonts w:ascii="Arial" w:hAnsi="Arial" w:cs="Arial"/>
          <w:sz w:val="24"/>
          <w:szCs w:val="24"/>
          <w:lang w:val="en-US"/>
        </w:rPr>
        <w:t>:5</w:t>
      </w:r>
      <w:r w:rsidR="002B7AD4" w:rsidRPr="00252B58">
        <w:rPr>
          <w:rFonts w:ascii="Arial" w:hAnsi="Arial" w:cs="Arial"/>
          <w:sz w:val="24"/>
          <w:szCs w:val="24"/>
          <w:lang w:val="en-US"/>
        </w:rPr>
        <w:t>14</w:t>
      </w:r>
      <w:r w:rsidR="003C1875" w:rsidRPr="00252B58">
        <w:rPr>
          <w:rFonts w:ascii="Arial" w:hAnsi="Arial" w:cs="Arial"/>
          <w:sz w:val="24"/>
          <w:szCs w:val="24"/>
          <w:lang w:val="en-US"/>
        </w:rPr>
        <w:t>.</w:t>
      </w:r>
    </w:p>
    <w:p w14:paraId="54F460EC" w14:textId="77777777" w:rsidR="00444AA6" w:rsidRPr="00252B58" w:rsidRDefault="009F7273" w:rsidP="00444AA6">
      <w:pPr>
        <w:spacing w:line="480" w:lineRule="auto"/>
        <w:jc w:val="both"/>
        <w:rPr>
          <w:rFonts w:ascii="Arial" w:hAnsi="Arial" w:cs="Arial"/>
          <w:sz w:val="24"/>
          <w:szCs w:val="24"/>
          <w:lang w:val="en-US"/>
        </w:rPr>
      </w:pPr>
      <w:r w:rsidRPr="00252B58">
        <w:rPr>
          <w:rFonts w:ascii="Arial" w:hAnsi="Arial" w:cs="Arial"/>
          <w:sz w:val="24"/>
          <w:szCs w:val="24"/>
          <w:lang w:val="en-US"/>
        </w:rPr>
        <w:t>22</w:t>
      </w:r>
      <w:r w:rsidR="002B709A" w:rsidRPr="00252B58">
        <w:rPr>
          <w:rFonts w:ascii="Arial" w:hAnsi="Arial" w:cs="Arial"/>
          <w:sz w:val="24"/>
          <w:szCs w:val="24"/>
          <w:lang w:val="en-US"/>
        </w:rPr>
        <w:t xml:space="preserve"> - </w:t>
      </w:r>
      <w:r w:rsidR="00444AA6" w:rsidRPr="00252B58">
        <w:rPr>
          <w:rFonts w:ascii="Arial" w:hAnsi="Arial" w:cs="Arial"/>
          <w:sz w:val="24"/>
          <w:szCs w:val="24"/>
        </w:rPr>
        <w:t xml:space="preserve">Turner D, Seow CH, Greenberg GR, et al. A systematic prospective comparison of noninvasive disease activity indices in ulcerative colitis. </w:t>
      </w:r>
      <w:r w:rsidR="00444AA6" w:rsidRPr="00252B58">
        <w:rPr>
          <w:rFonts w:ascii="Arial" w:hAnsi="Arial" w:cs="Arial"/>
          <w:i/>
          <w:sz w:val="24"/>
          <w:szCs w:val="24"/>
        </w:rPr>
        <w:t>Clinical Gastroenterology and Hepatology</w:t>
      </w:r>
      <w:r w:rsidR="00444AA6" w:rsidRPr="00252B58">
        <w:rPr>
          <w:rFonts w:ascii="Arial" w:hAnsi="Arial" w:cs="Arial"/>
          <w:sz w:val="24"/>
          <w:szCs w:val="24"/>
        </w:rPr>
        <w:t xml:space="preserve"> 2009;7:1081-8</w:t>
      </w:r>
    </w:p>
    <w:p w14:paraId="3E3718D9" w14:textId="77777777" w:rsidR="00444AA6" w:rsidRPr="00252B58" w:rsidRDefault="002B709A" w:rsidP="00EF7929">
      <w:pPr>
        <w:spacing w:line="480" w:lineRule="auto"/>
        <w:jc w:val="both"/>
        <w:rPr>
          <w:rFonts w:ascii="Arial" w:hAnsi="Arial" w:cs="Arial"/>
          <w:sz w:val="24"/>
          <w:szCs w:val="24"/>
          <w:lang w:val="en-US"/>
        </w:rPr>
      </w:pPr>
      <w:r w:rsidRPr="00252B58">
        <w:rPr>
          <w:rFonts w:ascii="Arial" w:hAnsi="Arial" w:cs="Arial"/>
          <w:sz w:val="24"/>
          <w:szCs w:val="24"/>
        </w:rPr>
        <w:lastRenderedPageBreak/>
        <w:t xml:space="preserve">23 - </w:t>
      </w:r>
      <w:r w:rsidR="009F7273" w:rsidRPr="00252B58">
        <w:rPr>
          <w:rFonts w:ascii="Arial" w:hAnsi="Arial" w:cs="Arial"/>
          <w:sz w:val="24"/>
          <w:szCs w:val="24"/>
        </w:rPr>
        <w:t xml:space="preserve"> </w:t>
      </w:r>
      <w:r w:rsidR="0059062F" w:rsidRPr="00252B58">
        <w:rPr>
          <w:rFonts w:ascii="Arial" w:hAnsi="Arial" w:cs="Arial"/>
          <w:sz w:val="24"/>
          <w:szCs w:val="24"/>
          <w:lang w:val="en-US"/>
        </w:rPr>
        <w:t xml:space="preserve">Ahmed I, Smith S, Probert CS. Volatile organic compounds as diagnostic faecal biomarkers in inflammatory bowel disease method development. </w:t>
      </w:r>
      <w:r w:rsidR="0059062F" w:rsidRPr="00252B58">
        <w:rPr>
          <w:rFonts w:ascii="Arial" w:hAnsi="Arial" w:cs="Arial"/>
          <w:i/>
          <w:sz w:val="24"/>
          <w:szCs w:val="24"/>
          <w:lang w:val="en-US"/>
        </w:rPr>
        <w:t>Gut</w:t>
      </w:r>
      <w:r w:rsidR="0059062F" w:rsidRPr="00252B58">
        <w:rPr>
          <w:rFonts w:ascii="Arial" w:hAnsi="Arial" w:cs="Arial"/>
          <w:sz w:val="24"/>
          <w:szCs w:val="24"/>
          <w:lang w:val="en-US"/>
        </w:rPr>
        <w:t xml:space="preserve"> 2009;</w:t>
      </w:r>
      <w:r w:rsidR="0059062F" w:rsidRPr="00252B58">
        <w:rPr>
          <w:rFonts w:ascii="Arial" w:hAnsi="Arial" w:cs="Arial"/>
          <w:b/>
          <w:sz w:val="24"/>
          <w:szCs w:val="24"/>
          <w:lang w:val="en-US"/>
        </w:rPr>
        <w:t>58</w:t>
      </w:r>
      <w:r w:rsidR="0059062F" w:rsidRPr="00252B58">
        <w:rPr>
          <w:rFonts w:ascii="Arial" w:hAnsi="Arial" w:cs="Arial"/>
          <w:sz w:val="24"/>
          <w:szCs w:val="24"/>
          <w:lang w:val="en-US"/>
        </w:rPr>
        <w:t>:A63-A.</w:t>
      </w:r>
    </w:p>
    <w:p w14:paraId="62C111E0" w14:textId="77777777" w:rsidR="003C1875" w:rsidRPr="00252B58" w:rsidRDefault="003C1875" w:rsidP="00EF7929">
      <w:pPr>
        <w:spacing w:line="480" w:lineRule="auto"/>
        <w:jc w:val="both"/>
        <w:rPr>
          <w:rFonts w:ascii="Arial" w:hAnsi="Arial" w:cs="Arial"/>
          <w:sz w:val="24"/>
          <w:szCs w:val="24"/>
          <w:lang w:val="en-US"/>
        </w:rPr>
      </w:pPr>
      <w:r w:rsidRPr="00252B58">
        <w:rPr>
          <w:rFonts w:ascii="Arial" w:hAnsi="Arial" w:cs="Arial"/>
          <w:sz w:val="24"/>
          <w:szCs w:val="24"/>
          <w:lang w:val="en-US"/>
        </w:rPr>
        <w:t>2</w:t>
      </w:r>
      <w:r w:rsidR="009F7273" w:rsidRPr="00252B58">
        <w:rPr>
          <w:rFonts w:ascii="Arial" w:hAnsi="Arial" w:cs="Arial"/>
          <w:sz w:val="24"/>
          <w:szCs w:val="24"/>
          <w:lang w:val="en-US"/>
        </w:rPr>
        <w:t>4</w:t>
      </w:r>
      <w:r w:rsidRPr="00252B58">
        <w:rPr>
          <w:rFonts w:ascii="Arial" w:hAnsi="Arial" w:cs="Arial"/>
          <w:sz w:val="24"/>
          <w:szCs w:val="24"/>
          <w:lang w:val="en-US"/>
        </w:rPr>
        <w:t xml:space="preserve"> - Kursa MB, Rudnicki WR. Feature selection with the boruta package. </w:t>
      </w:r>
      <w:r w:rsidRPr="00252B58">
        <w:rPr>
          <w:rFonts w:ascii="Arial" w:hAnsi="Arial" w:cs="Arial"/>
          <w:i/>
          <w:iCs/>
          <w:sz w:val="24"/>
          <w:szCs w:val="24"/>
          <w:lang w:val="en-US"/>
        </w:rPr>
        <w:t>Journal of Statistical Software</w:t>
      </w:r>
      <w:r w:rsidRPr="00252B58">
        <w:rPr>
          <w:rFonts w:ascii="Arial" w:hAnsi="Arial" w:cs="Arial"/>
          <w:sz w:val="24"/>
          <w:szCs w:val="24"/>
          <w:lang w:val="en-US"/>
        </w:rPr>
        <w:t xml:space="preserve"> 2010;</w:t>
      </w:r>
      <w:r w:rsidRPr="00252B58">
        <w:rPr>
          <w:rFonts w:ascii="Arial" w:hAnsi="Arial" w:cs="Arial"/>
          <w:b/>
          <w:bCs/>
          <w:sz w:val="24"/>
          <w:szCs w:val="24"/>
          <w:lang w:val="en-US"/>
        </w:rPr>
        <w:t>36</w:t>
      </w:r>
      <w:r w:rsidRPr="00252B58">
        <w:rPr>
          <w:rFonts w:ascii="Arial" w:hAnsi="Arial" w:cs="Arial"/>
          <w:sz w:val="24"/>
          <w:szCs w:val="24"/>
          <w:lang w:val="en-US"/>
        </w:rPr>
        <w:t>:1-13.</w:t>
      </w:r>
    </w:p>
    <w:p w14:paraId="23D79E6F" w14:textId="77777777" w:rsidR="003C1875" w:rsidRPr="00252B58" w:rsidRDefault="003C1875" w:rsidP="00EF7929">
      <w:pPr>
        <w:spacing w:line="480" w:lineRule="auto"/>
        <w:jc w:val="both"/>
        <w:rPr>
          <w:rFonts w:ascii="Arial" w:hAnsi="Arial" w:cs="Arial"/>
          <w:sz w:val="24"/>
          <w:szCs w:val="24"/>
          <w:lang w:val="en-US"/>
        </w:rPr>
      </w:pPr>
      <w:r w:rsidRPr="00252B58">
        <w:rPr>
          <w:rFonts w:ascii="Arial" w:hAnsi="Arial" w:cs="Arial"/>
          <w:sz w:val="24"/>
          <w:szCs w:val="24"/>
          <w:lang w:val="en-US"/>
        </w:rPr>
        <w:t>2</w:t>
      </w:r>
      <w:r w:rsidR="009F7273" w:rsidRPr="00252B58">
        <w:rPr>
          <w:rFonts w:ascii="Arial" w:hAnsi="Arial" w:cs="Arial"/>
          <w:sz w:val="24"/>
          <w:szCs w:val="24"/>
          <w:lang w:val="en-US"/>
        </w:rPr>
        <w:t>5</w:t>
      </w:r>
      <w:r w:rsidRPr="00252B58">
        <w:rPr>
          <w:rFonts w:ascii="Arial" w:hAnsi="Arial" w:cs="Arial"/>
          <w:sz w:val="24"/>
          <w:szCs w:val="24"/>
          <w:lang w:val="en-US"/>
        </w:rPr>
        <w:t xml:space="preserve"> - Kuhn M. Caret: Classification and regression training. R package version 6.0-30 edn., 2014.</w:t>
      </w:r>
    </w:p>
    <w:p w14:paraId="21E5DCEC" w14:textId="77777777" w:rsidR="003C1875" w:rsidRPr="00252B58" w:rsidRDefault="009F7273" w:rsidP="00EF7929">
      <w:pPr>
        <w:spacing w:line="480" w:lineRule="auto"/>
        <w:jc w:val="both"/>
        <w:rPr>
          <w:rFonts w:ascii="Arial" w:hAnsi="Arial" w:cs="Arial"/>
          <w:sz w:val="24"/>
          <w:szCs w:val="24"/>
          <w:lang w:val="en-US"/>
        </w:rPr>
      </w:pPr>
      <w:r w:rsidRPr="00252B58">
        <w:rPr>
          <w:rFonts w:ascii="Arial" w:hAnsi="Arial" w:cs="Arial"/>
          <w:sz w:val="24"/>
          <w:szCs w:val="24"/>
          <w:lang w:val="en-US"/>
        </w:rPr>
        <w:t>26</w:t>
      </w:r>
      <w:r w:rsidR="003C1875" w:rsidRPr="00252B58">
        <w:rPr>
          <w:rFonts w:ascii="Arial" w:hAnsi="Arial" w:cs="Arial"/>
          <w:sz w:val="24"/>
          <w:szCs w:val="24"/>
          <w:lang w:val="en-US"/>
        </w:rPr>
        <w:t xml:space="preserve"> - Geladi P, Kowalski BR. Partial least-squares regression - a tutorial. </w:t>
      </w:r>
      <w:r w:rsidR="003C1875" w:rsidRPr="00252B58">
        <w:rPr>
          <w:rFonts w:ascii="Arial" w:hAnsi="Arial" w:cs="Arial"/>
          <w:i/>
          <w:iCs/>
          <w:sz w:val="24"/>
          <w:szCs w:val="24"/>
          <w:lang w:val="en-US"/>
        </w:rPr>
        <w:t>Analytica Chimica Acta</w:t>
      </w:r>
      <w:r w:rsidR="003C1875" w:rsidRPr="00252B58">
        <w:rPr>
          <w:rFonts w:ascii="Arial" w:hAnsi="Arial" w:cs="Arial"/>
          <w:sz w:val="24"/>
          <w:szCs w:val="24"/>
          <w:lang w:val="en-US"/>
        </w:rPr>
        <w:t xml:space="preserve"> 1986;</w:t>
      </w:r>
      <w:r w:rsidR="003C1875" w:rsidRPr="00252B58">
        <w:rPr>
          <w:rFonts w:ascii="Arial" w:hAnsi="Arial" w:cs="Arial"/>
          <w:b/>
          <w:bCs/>
          <w:sz w:val="24"/>
          <w:szCs w:val="24"/>
          <w:lang w:val="en-US"/>
        </w:rPr>
        <w:t>185</w:t>
      </w:r>
      <w:r w:rsidR="003C1875" w:rsidRPr="00252B58">
        <w:rPr>
          <w:rFonts w:ascii="Arial" w:hAnsi="Arial" w:cs="Arial"/>
          <w:sz w:val="24"/>
          <w:szCs w:val="24"/>
          <w:lang w:val="en-US"/>
        </w:rPr>
        <w:t>:1-17.</w:t>
      </w:r>
    </w:p>
    <w:p w14:paraId="0A58FFFC" w14:textId="77777777" w:rsidR="003C1875" w:rsidRPr="00252B58" w:rsidRDefault="009F7273" w:rsidP="00EF7929">
      <w:pPr>
        <w:spacing w:line="480" w:lineRule="auto"/>
        <w:jc w:val="both"/>
        <w:rPr>
          <w:rFonts w:ascii="Arial" w:hAnsi="Arial" w:cs="Arial"/>
          <w:sz w:val="24"/>
          <w:szCs w:val="24"/>
          <w:lang w:val="en-US"/>
        </w:rPr>
      </w:pPr>
      <w:r w:rsidRPr="00252B58">
        <w:rPr>
          <w:rFonts w:ascii="Arial" w:hAnsi="Arial" w:cs="Arial"/>
          <w:sz w:val="24"/>
          <w:szCs w:val="24"/>
          <w:lang w:val="en-US"/>
        </w:rPr>
        <w:t>27</w:t>
      </w:r>
      <w:r w:rsidR="003C1875" w:rsidRPr="00252B58">
        <w:rPr>
          <w:rFonts w:ascii="Arial" w:hAnsi="Arial" w:cs="Arial"/>
          <w:sz w:val="24"/>
          <w:szCs w:val="24"/>
          <w:lang w:val="en-US"/>
        </w:rPr>
        <w:t xml:space="preserve"> - Delen D. Analysis of cancer data: A data mining approach. </w:t>
      </w:r>
      <w:r w:rsidR="003C1875" w:rsidRPr="00252B58">
        <w:rPr>
          <w:rFonts w:ascii="Arial" w:hAnsi="Arial" w:cs="Arial"/>
          <w:i/>
          <w:iCs/>
          <w:sz w:val="24"/>
          <w:szCs w:val="24"/>
          <w:lang w:val="en-US"/>
        </w:rPr>
        <w:t>Expert Systems</w:t>
      </w:r>
      <w:r w:rsidR="003C1875" w:rsidRPr="00252B58">
        <w:rPr>
          <w:rFonts w:ascii="Arial" w:hAnsi="Arial" w:cs="Arial"/>
          <w:sz w:val="24"/>
          <w:szCs w:val="24"/>
          <w:lang w:val="en-US"/>
        </w:rPr>
        <w:t xml:space="preserve"> 2009;</w:t>
      </w:r>
      <w:r w:rsidR="003C1875" w:rsidRPr="00252B58">
        <w:rPr>
          <w:rFonts w:ascii="Arial" w:hAnsi="Arial" w:cs="Arial"/>
          <w:b/>
          <w:bCs/>
          <w:sz w:val="24"/>
          <w:szCs w:val="24"/>
          <w:lang w:val="en-US"/>
        </w:rPr>
        <w:t>26</w:t>
      </w:r>
      <w:r w:rsidR="003C1875" w:rsidRPr="00252B58">
        <w:rPr>
          <w:rFonts w:ascii="Arial" w:hAnsi="Arial" w:cs="Arial"/>
          <w:sz w:val="24"/>
          <w:szCs w:val="24"/>
          <w:lang w:val="en-US"/>
        </w:rPr>
        <w:t>:100-12.</w:t>
      </w:r>
    </w:p>
    <w:p w14:paraId="13612D82" w14:textId="77777777" w:rsidR="003C1875" w:rsidRPr="00252B58" w:rsidRDefault="003C1875" w:rsidP="00EF7929">
      <w:pPr>
        <w:spacing w:line="480" w:lineRule="auto"/>
        <w:jc w:val="both"/>
        <w:rPr>
          <w:rFonts w:ascii="Arial" w:hAnsi="Arial" w:cs="Arial"/>
          <w:sz w:val="24"/>
          <w:szCs w:val="24"/>
          <w:lang w:val="en-US"/>
        </w:rPr>
      </w:pPr>
      <w:r w:rsidRPr="00252B58">
        <w:rPr>
          <w:rFonts w:ascii="Arial" w:hAnsi="Arial" w:cs="Arial"/>
          <w:sz w:val="24"/>
          <w:szCs w:val="24"/>
          <w:lang w:val="en-US"/>
        </w:rPr>
        <w:t>2</w:t>
      </w:r>
      <w:r w:rsidR="009F7273" w:rsidRPr="00252B58">
        <w:rPr>
          <w:rFonts w:ascii="Arial" w:hAnsi="Arial" w:cs="Arial"/>
          <w:sz w:val="24"/>
          <w:szCs w:val="24"/>
          <w:lang w:val="en-US"/>
        </w:rPr>
        <w:t>8</w:t>
      </w:r>
      <w:r w:rsidRPr="00252B58">
        <w:rPr>
          <w:rFonts w:ascii="Arial" w:hAnsi="Arial" w:cs="Arial"/>
          <w:sz w:val="24"/>
          <w:szCs w:val="24"/>
          <w:lang w:val="en-US"/>
        </w:rPr>
        <w:t xml:space="preserve"> - Filzmoser P, Liebmann B, Varmuza K. Repeated double cross validation. </w:t>
      </w:r>
      <w:r w:rsidRPr="00252B58">
        <w:rPr>
          <w:rFonts w:ascii="Arial" w:hAnsi="Arial" w:cs="Arial"/>
          <w:i/>
          <w:iCs/>
          <w:sz w:val="24"/>
          <w:szCs w:val="24"/>
          <w:lang w:val="en-US"/>
        </w:rPr>
        <w:t>Journal of Chemometrics</w:t>
      </w:r>
      <w:r w:rsidRPr="00252B58">
        <w:rPr>
          <w:rFonts w:ascii="Arial" w:hAnsi="Arial" w:cs="Arial"/>
          <w:sz w:val="24"/>
          <w:szCs w:val="24"/>
          <w:lang w:val="en-US"/>
        </w:rPr>
        <w:t xml:space="preserve"> 2009;</w:t>
      </w:r>
      <w:r w:rsidRPr="00252B58">
        <w:rPr>
          <w:rFonts w:ascii="Arial" w:hAnsi="Arial" w:cs="Arial"/>
          <w:b/>
          <w:bCs/>
          <w:sz w:val="24"/>
          <w:szCs w:val="24"/>
          <w:lang w:val="en-US"/>
        </w:rPr>
        <w:t>23</w:t>
      </w:r>
      <w:r w:rsidRPr="00252B58">
        <w:rPr>
          <w:rFonts w:ascii="Arial" w:hAnsi="Arial" w:cs="Arial"/>
          <w:sz w:val="24"/>
          <w:szCs w:val="24"/>
          <w:lang w:val="en-US"/>
        </w:rPr>
        <w:t>:160-71.</w:t>
      </w:r>
    </w:p>
    <w:p w14:paraId="121B883B" w14:textId="77777777" w:rsidR="003C1875" w:rsidRPr="00252B58" w:rsidRDefault="009F7273" w:rsidP="00EF7929">
      <w:pPr>
        <w:spacing w:line="480" w:lineRule="auto"/>
        <w:jc w:val="both"/>
        <w:rPr>
          <w:rFonts w:ascii="Arial" w:hAnsi="Arial" w:cs="Arial"/>
          <w:sz w:val="24"/>
          <w:szCs w:val="24"/>
          <w:lang w:val="en-US"/>
        </w:rPr>
      </w:pPr>
      <w:r w:rsidRPr="00252B58">
        <w:rPr>
          <w:rFonts w:ascii="Arial" w:hAnsi="Arial" w:cs="Arial"/>
          <w:sz w:val="24"/>
          <w:szCs w:val="24"/>
          <w:lang w:val="en-US"/>
        </w:rPr>
        <w:t>29</w:t>
      </w:r>
      <w:r w:rsidR="003C1875" w:rsidRPr="00252B58">
        <w:rPr>
          <w:rFonts w:ascii="Arial" w:hAnsi="Arial" w:cs="Arial"/>
          <w:sz w:val="24"/>
          <w:szCs w:val="24"/>
          <w:lang w:val="en-US"/>
        </w:rPr>
        <w:t xml:space="preserve"> - Team RC. R: A language and environment for statistical computing.: R Foundation for Statistical Computing., 2015.</w:t>
      </w:r>
    </w:p>
    <w:p w14:paraId="4545F528" w14:textId="77777777" w:rsidR="003C1875" w:rsidRPr="00252B58" w:rsidRDefault="009F7273" w:rsidP="003C1875">
      <w:pPr>
        <w:spacing w:line="480" w:lineRule="auto"/>
        <w:jc w:val="both"/>
        <w:rPr>
          <w:rFonts w:ascii="Arial" w:hAnsi="Arial" w:cs="Arial"/>
          <w:sz w:val="24"/>
          <w:szCs w:val="24"/>
          <w:lang w:val="en-US"/>
        </w:rPr>
      </w:pPr>
      <w:r w:rsidRPr="00252B58">
        <w:rPr>
          <w:rFonts w:ascii="Arial" w:hAnsi="Arial" w:cs="Arial"/>
          <w:sz w:val="24"/>
          <w:szCs w:val="24"/>
          <w:lang w:val="en-US"/>
        </w:rPr>
        <w:t>30</w:t>
      </w:r>
      <w:r w:rsidR="003C1875" w:rsidRPr="00252B58">
        <w:rPr>
          <w:rFonts w:ascii="Arial" w:hAnsi="Arial" w:cs="Arial"/>
          <w:sz w:val="24"/>
          <w:szCs w:val="24"/>
          <w:lang w:val="en-US"/>
        </w:rPr>
        <w:t xml:space="preserve"> - Manning AP, Thompson WG, Heaton KW, Morris AF. Towards positive diagnosis of irritable bowel. </w:t>
      </w:r>
      <w:r w:rsidR="003C1875" w:rsidRPr="00252B58">
        <w:rPr>
          <w:rFonts w:ascii="Arial" w:hAnsi="Arial" w:cs="Arial"/>
          <w:i/>
          <w:iCs/>
          <w:sz w:val="24"/>
          <w:szCs w:val="24"/>
          <w:lang w:val="en-US"/>
        </w:rPr>
        <w:t>British Medical Journal</w:t>
      </w:r>
      <w:r w:rsidR="003C1875" w:rsidRPr="00252B58">
        <w:rPr>
          <w:rFonts w:ascii="Arial" w:hAnsi="Arial" w:cs="Arial"/>
          <w:sz w:val="24"/>
          <w:szCs w:val="24"/>
          <w:lang w:val="en-US"/>
        </w:rPr>
        <w:t xml:space="preserve"> 1978;</w:t>
      </w:r>
      <w:r w:rsidR="003C1875" w:rsidRPr="00252B58">
        <w:rPr>
          <w:rFonts w:ascii="Arial" w:hAnsi="Arial" w:cs="Arial"/>
          <w:b/>
          <w:bCs/>
          <w:sz w:val="24"/>
          <w:szCs w:val="24"/>
          <w:lang w:val="en-US"/>
        </w:rPr>
        <w:t>2</w:t>
      </w:r>
      <w:r w:rsidR="003C1875" w:rsidRPr="00252B58">
        <w:rPr>
          <w:rFonts w:ascii="Arial" w:hAnsi="Arial" w:cs="Arial"/>
          <w:sz w:val="24"/>
          <w:szCs w:val="24"/>
          <w:lang w:val="en-US"/>
        </w:rPr>
        <w:t>:653-4.</w:t>
      </w:r>
    </w:p>
    <w:p w14:paraId="27DAE270" w14:textId="77777777" w:rsidR="0010726B" w:rsidRPr="00252B58" w:rsidRDefault="0010726B" w:rsidP="0010726B">
      <w:pPr>
        <w:spacing w:line="480" w:lineRule="auto"/>
        <w:jc w:val="both"/>
        <w:rPr>
          <w:rFonts w:ascii="Arial" w:hAnsi="Arial" w:cs="Arial"/>
          <w:sz w:val="24"/>
          <w:szCs w:val="24"/>
          <w:lang w:val="en-US"/>
        </w:rPr>
      </w:pPr>
      <w:r w:rsidRPr="00252B58">
        <w:rPr>
          <w:rFonts w:ascii="Arial" w:hAnsi="Arial" w:cs="Arial"/>
          <w:sz w:val="24"/>
          <w:szCs w:val="24"/>
          <w:lang w:val="en-US"/>
        </w:rPr>
        <w:t>3</w:t>
      </w:r>
      <w:r w:rsidR="009F7273" w:rsidRPr="00252B58">
        <w:rPr>
          <w:rFonts w:ascii="Arial" w:hAnsi="Arial" w:cs="Arial"/>
          <w:sz w:val="24"/>
          <w:szCs w:val="24"/>
          <w:lang w:val="en-US"/>
        </w:rPr>
        <w:t>1</w:t>
      </w:r>
      <w:r w:rsidRPr="00252B58">
        <w:rPr>
          <w:rFonts w:ascii="Arial" w:hAnsi="Arial" w:cs="Arial"/>
          <w:sz w:val="24"/>
          <w:szCs w:val="24"/>
          <w:lang w:val="en-US"/>
        </w:rPr>
        <w:t xml:space="preserve"> - Plevy S, Silverberg MS, Lockton S</w:t>
      </w:r>
      <w:r w:rsidRPr="00252B58">
        <w:rPr>
          <w:rFonts w:ascii="Arial" w:hAnsi="Arial" w:cs="Arial"/>
          <w:i/>
          <w:iCs/>
          <w:sz w:val="24"/>
          <w:szCs w:val="24"/>
          <w:lang w:val="en-US"/>
        </w:rPr>
        <w:t>, et al.</w:t>
      </w:r>
      <w:r w:rsidRPr="00252B58">
        <w:rPr>
          <w:rFonts w:ascii="Arial" w:hAnsi="Arial" w:cs="Arial"/>
          <w:sz w:val="24"/>
          <w:szCs w:val="24"/>
          <w:lang w:val="en-US"/>
        </w:rPr>
        <w:t xml:space="preserve"> Combined serological, genetic, and inflammatory </w:t>
      </w:r>
      <w:r w:rsidR="00C051A6" w:rsidRPr="00252B58">
        <w:rPr>
          <w:rFonts w:ascii="Arial" w:hAnsi="Arial" w:cs="Arial"/>
          <w:sz w:val="24"/>
          <w:szCs w:val="24"/>
          <w:lang w:val="en-US"/>
        </w:rPr>
        <w:t>markers differentiate non-IBD, C</w:t>
      </w:r>
      <w:r w:rsidRPr="00252B58">
        <w:rPr>
          <w:rFonts w:ascii="Arial" w:hAnsi="Arial" w:cs="Arial"/>
          <w:sz w:val="24"/>
          <w:szCs w:val="24"/>
          <w:lang w:val="en-US"/>
        </w:rPr>
        <w:t xml:space="preserve">rohn's disease, and ulcerative colitis patients. </w:t>
      </w:r>
      <w:r w:rsidRPr="00252B58">
        <w:rPr>
          <w:rFonts w:ascii="Arial" w:hAnsi="Arial" w:cs="Arial"/>
          <w:i/>
          <w:iCs/>
          <w:sz w:val="24"/>
          <w:szCs w:val="24"/>
          <w:lang w:val="en-US"/>
        </w:rPr>
        <w:t>Inflammatory Bowel Diseases</w:t>
      </w:r>
      <w:r w:rsidRPr="00252B58">
        <w:rPr>
          <w:rFonts w:ascii="Arial" w:hAnsi="Arial" w:cs="Arial"/>
          <w:sz w:val="24"/>
          <w:szCs w:val="24"/>
          <w:lang w:val="en-US"/>
        </w:rPr>
        <w:t xml:space="preserve"> 2013;</w:t>
      </w:r>
      <w:r w:rsidRPr="00252B58">
        <w:rPr>
          <w:rFonts w:ascii="Arial" w:hAnsi="Arial" w:cs="Arial"/>
          <w:b/>
          <w:bCs/>
          <w:sz w:val="24"/>
          <w:szCs w:val="24"/>
          <w:lang w:val="en-US"/>
        </w:rPr>
        <w:t>19</w:t>
      </w:r>
      <w:r w:rsidRPr="00252B58">
        <w:rPr>
          <w:rFonts w:ascii="Arial" w:hAnsi="Arial" w:cs="Arial"/>
          <w:sz w:val="24"/>
          <w:szCs w:val="24"/>
          <w:lang w:val="en-US"/>
        </w:rPr>
        <w:t>:1139-48.</w:t>
      </w:r>
    </w:p>
    <w:p w14:paraId="132DB38A" w14:textId="77777777" w:rsidR="00DA6E1A" w:rsidRPr="00252B58" w:rsidRDefault="00DA6E1A" w:rsidP="003C1875">
      <w:pPr>
        <w:spacing w:line="480" w:lineRule="auto"/>
        <w:jc w:val="both"/>
        <w:rPr>
          <w:rFonts w:ascii="Arial" w:hAnsi="Arial" w:cs="Arial"/>
        </w:rPr>
      </w:pPr>
    </w:p>
    <w:p w14:paraId="5B4D683C" w14:textId="77777777" w:rsidR="009305F1" w:rsidRPr="00252B58" w:rsidRDefault="00DC74F7" w:rsidP="00DC74F7">
      <w:pPr>
        <w:spacing w:line="480" w:lineRule="auto"/>
        <w:jc w:val="both"/>
        <w:rPr>
          <w:rFonts w:ascii="Arial" w:hAnsi="Arial" w:cs="Arial"/>
          <w:sz w:val="24"/>
          <w:szCs w:val="24"/>
        </w:rPr>
      </w:pPr>
      <w:r w:rsidRPr="00252B58">
        <w:rPr>
          <w:rFonts w:ascii="Arial" w:hAnsi="Arial" w:cs="Arial"/>
          <w:sz w:val="24"/>
          <w:szCs w:val="24"/>
        </w:rPr>
        <w:lastRenderedPageBreak/>
        <w:t>Tables</w:t>
      </w:r>
    </w:p>
    <w:p w14:paraId="43A49AFE" w14:textId="77777777" w:rsidR="009305F1" w:rsidRPr="00252B58" w:rsidRDefault="00DC74F7" w:rsidP="00DC74F7">
      <w:pPr>
        <w:spacing w:line="480" w:lineRule="auto"/>
        <w:jc w:val="both"/>
        <w:rPr>
          <w:rFonts w:ascii="Arial" w:hAnsi="Arial" w:cs="Arial"/>
          <w:sz w:val="24"/>
          <w:szCs w:val="24"/>
        </w:rPr>
      </w:pPr>
      <w:r w:rsidRPr="00252B58">
        <w:rPr>
          <w:rFonts w:ascii="Arial" w:hAnsi="Arial" w:cs="Arial"/>
          <w:sz w:val="24"/>
          <w:szCs w:val="24"/>
        </w:rPr>
        <w:t xml:space="preserve">Table </w:t>
      </w:r>
      <w:r w:rsidR="0021620C" w:rsidRPr="00252B58">
        <w:rPr>
          <w:rFonts w:ascii="Arial" w:hAnsi="Arial" w:cs="Arial"/>
          <w:sz w:val="24"/>
          <w:szCs w:val="24"/>
        </w:rPr>
        <w:t>1</w:t>
      </w:r>
      <w:r w:rsidRPr="00252B58">
        <w:rPr>
          <w:rFonts w:ascii="Arial" w:hAnsi="Arial" w:cs="Arial"/>
          <w:sz w:val="24"/>
          <w:szCs w:val="24"/>
        </w:rPr>
        <w:t>. Summary of demographic of patients with</w:t>
      </w:r>
      <w:r w:rsidR="007E3ABA" w:rsidRPr="00252B58">
        <w:rPr>
          <w:rFonts w:ascii="Arial" w:hAnsi="Arial" w:cs="Arial"/>
          <w:sz w:val="24"/>
          <w:szCs w:val="24"/>
        </w:rPr>
        <w:t xml:space="preserve"> inflammatory bowel disease</w:t>
      </w:r>
      <w:r w:rsidRPr="00252B58">
        <w:rPr>
          <w:rFonts w:ascii="Arial" w:hAnsi="Arial" w:cs="Arial"/>
          <w:sz w:val="24"/>
          <w:szCs w:val="24"/>
        </w:rPr>
        <w:t xml:space="preserve"> and </w:t>
      </w:r>
      <w:r w:rsidR="007E3ABA" w:rsidRPr="00252B58">
        <w:rPr>
          <w:rFonts w:ascii="Arial" w:hAnsi="Arial" w:cs="Arial"/>
          <w:sz w:val="24"/>
          <w:szCs w:val="24"/>
        </w:rPr>
        <w:t>irritable bowel syndrome</w:t>
      </w:r>
    </w:p>
    <w:tbl>
      <w:tblPr>
        <w:tblW w:w="14601" w:type="dxa"/>
        <w:tblInd w:w="-318" w:type="dxa"/>
        <w:tblLayout w:type="fixed"/>
        <w:tblLook w:val="04A0" w:firstRow="1" w:lastRow="0" w:firstColumn="1" w:lastColumn="0" w:noHBand="0" w:noVBand="1"/>
      </w:tblPr>
      <w:tblGrid>
        <w:gridCol w:w="500"/>
        <w:gridCol w:w="970"/>
        <w:gridCol w:w="708"/>
        <w:gridCol w:w="375"/>
        <w:gridCol w:w="667"/>
        <w:gridCol w:w="1843"/>
        <w:gridCol w:w="1842"/>
        <w:gridCol w:w="574"/>
        <w:gridCol w:w="1594"/>
        <w:gridCol w:w="1958"/>
        <w:gridCol w:w="1678"/>
        <w:gridCol w:w="1892"/>
      </w:tblGrid>
      <w:tr w:rsidR="00252B58" w:rsidRPr="00252B58" w14:paraId="16180722" w14:textId="77777777" w:rsidTr="004D0EA7">
        <w:trPr>
          <w:trHeight w:val="300"/>
        </w:trPr>
        <w:tc>
          <w:tcPr>
            <w:tcW w:w="500" w:type="dxa"/>
            <w:tcBorders>
              <w:top w:val="single" w:sz="4" w:space="0" w:color="auto"/>
              <w:left w:val="single" w:sz="4" w:space="0" w:color="auto"/>
              <w:bottom w:val="nil"/>
              <w:right w:val="nil"/>
            </w:tcBorders>
            <w:shd w:val="clear" w:color="auto" w:fill="auto"/>
            <w:noWrap/>
            <w:vAlign w:val="bottom"/>
            <w:hideMark/>
          </w:tcPr>
          <w:p w14:paraId="1CDAC9E8" w14:textId="77777777" w:rsidR="009305F1" w:rsidRPr="00252B58" w:rsidRDefault="009305F1" w:rsidP="004D0EA7">
            <w:pPr>
              <w:spacing w:after="0" w:line="240" w:lineRule="auto"/>
              <w:rPr>
                <w:rFonts w:eastAsia="Times New Roman"/>
                <w:lang w:eastAsia="en-GB"/>
              </w:rPr>
            </w:pPr>
            <w:r w:rsidRPr="00252B58">
              <w:rPr>
                <w:rFonts w:eastAsia="Times New Roman"/>
                <w:lang w:eastAsia="en-GB"/>
              </w:rPr>
              <w:t> </w:t>
            </w:r>
          </w:p>
        </w:tc>
        <w:tc>
          <w:tcPr>
            <w:tcW w:w="970" w:type="dxa"/>
            <w:tcBorders>
              <w:top w:val="single" w:sz="4" w:space="0" w:color="auto"/>
              <w:left w:val="nil"/>
              <w:bottom w:val="nil"/>
              <w:right w:val="nil"/>
            </w:tcBorders>
            <w:shd w:val="clear" w:color="auto" w:fill="auto"/>
            <w:noWrap/>
            <w:vAlign w:val="bottom"/>
            <w:hideMark/>
          </w:tcPr>
          <w:p w14:paraId="108095A3" w14:textId="77777777" w:rsidR="009305F1" w:rsidRPr="00252B58" w:rsidRDefault="009305F1" w:rsidP="004D0EA7">
            <w:pPr>
              <w:spacing w:after="0" w:line="240" w:lineRule="auto"/>
              <w:rPr>
                <w:rFonts w:eastAsia="Times New Roman"/>
                <w:lang w:eastAsia="en-GB"/>
              </w:rPr>
            </w:pPr>
            <w:r w:rsidRPr="00252B58">
              <w:rPr>
                <w:rFonts w:eastAsia="Times New Roman"/>
                <w:lang w:eastAsia="en-GB"/>
              </w:rPr>
              <w:t> </w:t>
            </w:r>
          </w:p>
        </w:tc>
        <w:tc>
          <w:tcPr>
            <w:tcW w:w="708" w:type="dxa"/>
            <w:tcBorders>
              <w:top w:val="single" w:sz="4" w:space="0" w:color="auto"/>
              <w:left w:val="nil"/>
              <w:bottom w:val="nil"/>
              <w:right w:val="nil"/>
            </w:tcBorders>
            <w:shd w:val="clear" w:color="auto" w:fill="auto"/>
            <w:noWrap/>
            <w:vAlign w:val="bottom"/>
            <w:hideMark/>
          </w:tcPr>
          <w:p w14:paraId="2FF94537" w14:textId="77777777" w:rsidR="009305F1" w:rsidRPr="00252B58" w:rsidRDefault="009305F1" w:rsidP="004D0EA7">
            <w:pPr>
              <w:spacing w:after="0" w:line="240" w:lineRule="auto"/>
              <w:rPr>
                <w:rFonts w:eastAsia="Times New Roman"/>
                <w:lang w:eastAsia="en-GB"/>
              </w:rPr>
            </w:pPr>
            <w:r w:rsidRPr="00252B58">
              <w:rPr>
                <w:rFonts w:eastAsia="Times New Roman"/>
                <w:lang w:eastAsia="en-GB"/>
              </w:rPr>
              <w:t> </w:t>
            </w:r>
          </w:p>
        </w:tc>
        <w:tc>
          <w:tcPr>
            <w:tcW w:w="375" w:type="dxa"/>
            <w:tcBorders>
              <w:top w:val="single" w:sz="4" w:space="0" w:color="auto"/>
              <w:left w:val="nil"/>
              <w:bottom w:val="nil"/>
              <w:right w:val="nil"/>
            </w:tcBorders>
            <w:shd w:val="clear" w:color="auto" w:fill="auto"/>
            <w:noWrap/>
            <w:vAlign w:val="bottom"/>
            <w:hideMark/>
          </w:tcPr>
          <w:p w14:paraId="08E10EE6" w14:textId="77777777" w:rsidR="009305F1" w:rsidRPr="00252B58" w:rsidRDefault="009305F1" w:rsidP="004D0EA7">
            <w:pPr>
              <w:spacing w:after="0" w:line="240" w:lineRule="auto"/>
              <w:rPr>
                <w:rFonts w:eastAsia="Times New Roman"/>
                <w:lang w:eastAsia="en-GB"/>
              </w:rPr>
            </w:pPr>
            <w:r w:rsidRPr="00252B58">
              <w:rPr>
                <w:rFonts w:eastAsia="Times New Roman"/>
                <w:lang w:eastAsia="en-GB"/>
              </w:rPr>
              <w:t> </w:t>
            </w:r>
          </w:p>
        </w:tc>
        <w:tc>
          <w:tcPr>
            <w:tcW w:w="667" w:type="dxa"/>
            <w:tcBorders>
              <w:top w:val="single" w:sz="4" w:space="0" w:color="auto"/>
              <w:left w:val="nil"/>
              <w:bottom w:val="nil"/>
              <w:right w:val="nil"/>
            </w:tcBorders>
            <w:shd w:val="clear" w:color="auto" w:fill="auto"/>
            <w:noWrap/>
            <w:vAlign w:val="bottom"/>
            <w:hideMark/>
          </w:tcPr>
          <w:p w14:paraId="3D053EB5" w14:textId="77777777" w:rsidR="009305F1" w:rsidRPr="00252B58" w:rsidRDefault="009305F1" w:rsidP="004D0EA7">
            <w:pPr>
              <w:spacing w:after="0" w:line="240" w:lineRule="auto"/>
              <w:rPr>
                <w:rFonts w:eastAsia="Times New Roman"/>
                <w:lang w:eastAsia="en-GB"/>
              </w:rPr>
            </w:pPr>
            <w:r w:rsidRPr="00252B58">
              <w:rPr>
                <w:rFonts w:eastAsia="Times New Roman"/>
                <w:lang w:eastAsia="en-GB"/>
              </w:rPr>
              <w:t> </w:t>
            </w:r>
          </w:p>
        </w:tc>
        <w:tc>
          <w:tcPr>
            <w:tcW w:w="3685"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D438597" w14:textId="77777777" w:rsidR="009305F1" w:rsidRPr="00252B58" w:rsidRDefault="009305F1" w:rsidP="004D0EA7">
            <w:pPr>
              <w:spacing w:after="0" w:line="240" w:lineRule="auto"/>
              <w:jc w:val="center"/>
              <w:rPr>
                <w:rFonts w:eastAsia="Times New Roman"/>
                <w:b/>
                <w:bCs/>
                <w:lang w:eastAsia="en-GB"/>
              </w:rPr>
            </w:pPr>
            <w:r w:rsidRPr="00252B58">
              <w:rPr>
                <w:rFonts w:eastAsia="Times New Roman"/>
                <w:b/>
                <w:bCs/>
                <w:lang w:eastAsia="en-GB"/>
              </w:rPr>
              <w:t>Crohn's disease</w:t>
            </w:r>
          </w:p>
        </w:tc>
        <w:tc>
          <w:tcPr>
            <w:tcW w:w="574" w:type="dxa"/>
            <w:tcBorders>
              <w:top w:val="single" w:sz="4" w:space="0" w:color="auto"/>
              <w:left w:val="nil"/>
              <w:bottom w:val="nil"/>
              <w:right w:val="nil"/>
            </w:tcBorders>
            <w:shd w:val="clear" w:color="auto" w:fill="auto"/>
            <w:noWrap/>
            <w:vAlign w:val="bottom"/>
            <w:hideMark/>
          </w:tcPr>
          <w:p w14:paraId="7268B18B" w14:textId="77777777" w:rsidR="009305F1" w:rsidRPr="00252B58" w:rsidRDefault="009305F1" w:rsidP="004D0EA7">
            <w:pPr>
              <w:spacing w:after="0" w:line="240" w:lineRule="auto"/>
              <w:rPr>
                <w:rFonts w:eastAsia="Times New Roman"/>
                <w:lang w:eastAsia="en-GB"/>
              </w:rPr>
            </w:pPr>
            <w:r w:rsidRPr="00252B58">
              <w:rPr>
                <w:rFonts w:eastAsia="Times New Roman"/>
                <w:lang w:eastAsia="en-GB"/>
              </w:rPr>
              <w:t> </w:t>
            </w:r>
          </w:p>
        </w:tc>
        <w:tc>
          <w:tcPr>
            <w:tcW w:w="3552" w:type="dxa"/>
            <w:gridSpan w:val="2"/>
            <w:tcBorders>
              <w:top w:val="single" w:sz="4" w:space="0" w:color="auto"/>
              <w:left w:val="nil"/>
              <w:bottom w:val="nil"/>
              <w:right w:val="single" w:sz="4" w:space="0" w:color="000000"/>
            </w:tcBorders>
            <w:shd w:val="clear" w:color="auto" w:fill="auto"/>
            <w:vAlign w:val="center"/>
            <w:hideMark/>
          </w:tcPr>
          <w:p w14:paraId="35700A79" w14:textId="77777777" w:rsidR="009305F1" w:rsidRPr="00252B58" w:rsidRDefault="009305F1" w:rsidP="004D0EA7">
            <w:pPr>
              <w:spacing w:after="0" w:line="240" w:lineRule="auto"/>
              <w:jc w:val="center"/>
              <w:rPr>
                <w:rFonts w:eastAsia="Times New Roman"/>
                <w:b/>
                <w:bCs/>
                <w:lang w:eastAsia="en-GB"/>
              </w:rPr>
            </w:pPr>
            <w:r w:rsidRPr="00252B58">
              <w:rPr>
                <w:rFonts w:eastAsia="Times New Roman"/>
                <w:b/>
                <w:bCs/>
                <w:lang w:eastAsia="en-GB"/>
              </w:rPr>
              <w:t>Ulcerative colitis</w:t>
            </w:r>
          </w:p>
        </w:tc>
        <w:tc>
          <w:tcPr>
            <w:tcW w:w="1678" w:type="dxa"/>
            <w:tcBorders>
              <w:top w:val="single" w:sz="4" w:space="0" w:color="auto"/>
              <w:left w:val="nil"/>
              <w:bottom w:val="nil"/>
              <w:right w:val="single" w:sz="4" w:space="0" w:color="auto"/>
            </w:tcBorders>
            <w:shd w:val="clear" w:color="auto" w:fill="auto"/>
            <w:noWrap/>
            <w:vAlign w:val="center"/>
            <w:hideMark/>
          </w:tcPr>
          <w:p w14:paraId="264E89DE" w14:textId="77777777" w:rsidR="009305F1" w:rsidRPr="00252B58" w:rsidRDefault="009305F1" w:rsidP="004D0EA7">
            <w:pPr>
              <w:spacing w:after="0" w:line="240" w:lineRule="auto"/>
              <w:jc w:val="center"/>
              <w:rPr>
                <w:rFonts w:eastAsia="Times New Roman"/>
                <w:b/>
                <w:bCs/>
                <w:lang w:eastAsia="en-GB"/>
              </w:rPr>
            </w:pPr>
            <w:r w:rsidRPr="00252B58">
              <w:rPr>
                <w:rFonts w:eastAsia="Times New Roman"/>
                <w:b/>
                <w:bCs/>
                <w:lang w:eastAsia="en-GB"/>
              </w:rPr>
              <w:t>IBS</w:t>
            </w:r>
          </w:p>
        </w:tc>
        <w:tc>
          <w:tcPr>
            <w:tcW w:w="1892" w:type="dxa"/>
            <w:tcBorders>
              <w:top w:val="single" w:sz="4" w:space="0" w:color="auto"/>
              <w:left w:val="nil"/>
              <w:bottom w:val="nil"/>
              <w:right w:val="single" w:sz="4" w:space="0" w:color="auto"/>
            </w:tcBorders>
            <w:shd w:val="clear" w:color="auto" w:fill="auto"/>
            <w:noWrap/>
            <w:vAlign w:val="center"/>
            <w:hideMark/>
          </w:tcPr>
          <w:p w14:paraId="2E0BCF2F" w14:textId="77777777" w:rsidR="009305F1" w:rsidRPr="00252B58" w:rsidRDefault="009305F1" w:rsidP="004D0EA7">
            <w:pPr>
              <w:spacing w:after="0" w:line="240" w:lineRule="auto"/>
              <w:jc w:val="center"/>
              <w:rPr>
                <w:rFonts w:eastAsia="Times New Roman"/>
                <w:b/>
                <w:bCs/>
                <w:lang w:eastAsia="en-GB"/>
              </w:rPr>
            </w:pPr>
            <w:r w:rsidRPr="00252B58">
              <w:rPr>
                <w:rFonts w:eastAsia="Times New Roman"/>
                <w:b/>
                <w:bCs/>
                <w:lang w:eastAsia="en-GB"/>
              </w:rPr>
              <w:t>Controls</w:t>
            </w:r>
          </w:p>
        </w:tc>
      </w:tr>
      <w:tr w:rsidR="00252B58" w:rsidRPr="00252B58" w14:paraId="24DF64FE" w14:textId="77777777" w:rsidTr="004D0EA7">
        <w:trPr>
          <w:trHeight w:val="300"/>
        </w:trPr>
        <w:tc>
          <w:tcPr>
            <w:tcW w:w="2178" w:type="dxa"/>
            <w:gridSpan w:val="3"/>
            <w:tcBorders>
              <w:top w:val="nil"/>
              <w:left w:val="single" w:sz="4" w:space="0" w:color="auto"/>
              <w:bottom w:val="single" w:sz="4" w:space="0" w:color="auto"/>
              <w:right w:val="nil"/>
            </w:tcBorders>
            <w:shd w:val="clear" w:color="auto" w:fill="auto"/>
            <w:noWrap/>
            <w:vAlign w:val="center"/>
            <w:hideMark/>
          </w:tcPr>
          <w:p w14:paraId="32D65AA6" w14:textId="77777777" w:rsidR="009305F1" w:rsidRPr="00252B58" w:rsidRDefault="009305F1" w:rsidP="004D0EA7">
            <w:pPr>
              <w:spacing w:after="0" w:line="240" w:lineRule="auto"/>
              <w:rPr>
                <w:rFonts w:eastAsia="Times New Roman"/>
                <w:lang w:eastAsia="en-GB"/>
              </w:rPr>
            </w:pPr>
            <w:r w:rsidRPr="00252B58">
              <w:rPr>
                <w:rFonts w:eastAsia="Times New Roman"/>
                <w:lang w:eastAsia="en-GB"/>
              </w:rPr>
              <w:t> </w:t>
            </w:r>
          </w:p>
        </w:tc>
        <w:tc>
          <w:tcPr>
            <w:tcW w:w="375" w:type="dxa"/>
            <w:tcBorders>
              <w:top w:val="nil"/>
              <w:left w:val="nil"/>
              <w:bottom w:val="single" w:sz="4" w:space="0" w:color="auto"/>
              <w:right w:val="nil"/>
            </w:tcBorders>
            <w:shd w:val="clear" w:color="auto" w:fill="auto"/>
            <w:noWrap/>
            <w:vAlign w:val="center"/>
            <w:hideMark/>
          </w:tcPr>
          <w:p w14:paraId="64606E17" w14:textId="77777777" w:rsidR="009305F1" w:rsidRPr="00252B58" w:rsidRDefault="009305F1" w:rsidP="004D0EA7">
            <w:pPr>
              <w:spacing w:after="0" w:line="240" w:lineRule="auto"/>
              <w:rPr>
                <w:rFonts w:eastAsia="Times New Roman"/>
                <w:lang w:eastAsia="en-GB"/>
              </w:rPr>
            </w:pPr>
            <w:r w:rsidRPr="00252B58">
              <w:rPr>
                <w:rFonts w:eastAsia="Times New Roman"/>
                <w:lang w:eastAsia="en-GB"/>
              </w:rPr>
              <w:t> </w:t>
            </w:r>
          </w:p>
        </w:tc>
        <w:tc>
          <w:tcPr>
            <w:tcW w:w="667" w:type="dxa"/>
            <w:tcBorders>
              <w:top w:val="nil"/>
              <w:left w:val="nil"/>
              <w:bottom w:val="single" w:sz="4" w:space="0" w:color="auto"/>
              <w:right w:val="nil"/>
            </w:tcBorders>
            <w:shd w:val="clear" w:color="auto" w:fill="auto"/>
            <w:noWrap/>
            <w:vAlign w:val="center"/>
            <w:hideMark/>
          </w:tcPr>
          <w:p w14:paraId="626C55C0" w14:textId="77777777" w:rsidR="009305F1" w:rsidRPr="00252B58" w:rsidRDefault="009305F1" w:rsidP="004D0EA7">
            <w:pPr>
              <w:spacing w:after="0" w:line="240" w:lineRule="auto"/>
              <w:rPr>
                <w:rFonts w:eastAsia="Times New Roman"/>
                <w:b/>
                <w:bCs/>
                <w:lang w:eastAsia="en-GB"/>
              </w:rPr>
            </w:pPr>
            <w:r w:rsidRPr="00252B58">
              <w:rPr>
                <w:rFonts w:eastAsia="Times New Roman"/>
                <w:b/>
                <w:bCs/>
                <w:lang w:eastAsia="en-GB"/>
              </w:rPr>
              <w:t> </w:t>
            </w:r>
          </w:p>
        </w:tc>
        <w:tc>
          <w:tcPr>
            <w:tcW w:w="1843" w:type="dxa"/>
            <w:tcBorders>
              <w:top w:val="nil"/>
              <w:left w:val="single" w:sz="4" w:space="0" w:color="auto"/>
              <w:bottom w:val="single" w:sz="4" w:space="0" w:color="auto"/>
              <w:right w:val="nil"/>
            </w:tcBorders>
            <w:shd w:val="clear" w:color="auto" w:fill="auto"/>
            <w:noWrap/>
            <w:vAlign w:val="center"/>
            <w:hideMark/>
          </w:tcPr>
          <w:p w14:paraId="71228814"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Inactive CD N=17</w:t>
            </w:r>
          </w:p>
        </w:tc>
        <w:tc>
          <w:tcPr>
            <w:tcW w:w="1842" w:type="dxa"/>
            <w:tcBorders>
              <w:top w:val="nil"/>
              <w:left w:val="nil"/>
              <w:bottom w:val="single" w:sz="4" w:space="0" w:color="auto"/>
              <w:right w:val="single" w:sz="4" w:space="0" w:color="auto"/>
            </w:tcBorders>
            <w:shd w:val="clear" w:color="auto" w:fill="auto"/>
            <w:noWrap/>
            <w:vAlign w:val="center"/>
            <w:hideMark/>
          </w:tcPr>
          <w:p w14:paraId="54CB6598"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Active CD N=19</w:t>
            </w:r>
          </w:p>
        </w:tc>
        <w:tc>
          <w:tcPr>
            <w:tcW w:w="574" w:type="dxa"/>
            <w:tcBorders>
              <w:top w:val="nil"/>
              <w:left w:val="nil"/>
              <w:bottom w:val="single" w:sz="4" w:space="0" w:color="auto"/>
              <w:right w:val="nil"/>
            </w:tcBorders>
            <w:shd w:val="clear" w:color="auto" w:fill="auto"/>
            <w:noWrap/>
            <w:vAlign w:val="center"/>
            <w:hideMark/>
          </w:tcPr>
          <w:p w14:paraId="1A055BA7" w14:textId="77777777" w:rsidR="009305F1" w:rsidRPr="00252B58" w:rsidRDefault="009305F1" w:rsidP="004D0EA7">
            <w:pPr>
              <w:spacing w:after="0" w:line="240" w:lineRule="auto"/>
              <w:jc w:val="center"/>
              <w:rPr>
                <w:rFonts w:eastAsia="Times New Roman"/>
                <w:b/>
                <w:bCs/>
                <w:lang w:eastAsia="en-GB"/>
              </w:rPr>
            </w:pPr>
            <w:r w:rsidRPr="00252B58">
              <w:rPr>
                <w:rFonts w:eastAsia="Times New Roman"/>
                <w:b/>
                <w:bCs/>
                <w:lang w:eastAsia="en-GB"/>
              </w:rPr>
              <w:t> </w:t>
            </w:r>
          </w:p>
        </w:tc>
        <w:tc>
          <w:tcPr>
            <w:tcW w:w="1594" w:type="dxa"/>
            <w:tcBorders>
              <w:top w:val="nil"/>
              <w:left w:val="nil"/>
              <w:bottom w:val="single" w:sz="4" w:space="0" w:color="auto"/>
              <w:right w:val="nil"/>
            </w:tcBorders>
            <w:shd w:val="clear" w:color="auto" w:fill="auto"/>
            <w:noWrap/>
            <w:vAlign w:val="center"/>
            <w:hideMark/>
          </w:tcPr>
          <w:p w14:paraId="5A99CA91"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Inactive UC N=35</w:t>
            </w:r>
          </w:p>
        </w:tc>
        <w:tc>
          <w:tcPr>
            <w:tcW w:w="1958" w:type="dxa"/>
            <w:tcBorders>
              <w:top w:val="nil"/>
              <w:left w:val="nil"/>
              <w:bottom w:val="single" w:sz="4" w:space="0" w:color="auto"/>
              <w:right w:val="single" w:sz="4" w:space="0" w:color="auto"/>
            </w:tcBorders>
            <w:shd w:val="clear" w:color="auto" w:fill="auto"/>
            <w:noWrap/>
            <w:vAlign w:val="center"/>
            <w:hideMark/>
          </w:tcPr>
          <w:p w14:paraId="58FCFFA8"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Active UC N=14</w:t>
            </w:r>
          </w:p>
        </w:tc>
        <w:tc>
          <w:tcPr>
            <w:tcW w:w="1678" w:type="dxa"/>
            <w:tcBorders>
              <w:top w:val="nil"/>
              <w:left w:val="nil"/>
              <w:bottom w:val="single" w:sz="4" w:space="0" w:color="auto"/>
              <w:right w:val="single" w:sz="4" w:space="0" w:color="auto"/>
            </w:tcBorders>
            <w:shd w:val="clear" w:color="auto" w:fill="auto"/>
            <w:noWrap/>
            <w:vAlign w:val="center"/>
            <w:hideMark/>
          </w:tcPr>
          <w:p w14:paraId="7CE8A7D8"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N=28</w:t>
            </w:r>
          </w:p>
        </w:tc>
        <w:tc>
          <w:tcPr>
            <w:tcW w:w="1892" w:type="dxa"/>
            <w:tcBorders>
              <w:top w:val="nil"/>
              <w:left w:val="nil"/>
              <w:bottom w:val="single" w:sz="4" w:space="0" w:color="auto"/>
              <w:right w:val="single" w:sz="4" w:space="0" w:color="auto"/>
            </w:tcBorders>
            <w:shd w:val="clear" w:color="auto" w:fill="auto"/>
            <w:noWrap/>
            <w:vAlign w:val="center"/>
            <w:hideMark/>
          </w:tcPr>
          <w:p w14:paraId="047C052E"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N=41</w:t>
            </w:r>
          </w:p>
        </w:tc>
      </w:tr>
      <w:tr w:rsidR="00252B58" w:rsidRPr="00252B58" w14:paraId="64E8CD85" w14:textId="77777777" w:rsidTr="004D0EA7">
        <w:trPr>
          <w:trHeight w:val="300"/>
        </w:trPr>
        <w:tc>
          <w:tcPr>
            <w:tcW w:w="2178" w:type="dxa"/>
            <w:gridSpan w:val="3"/>
            <w:tcBorders>
              <w:top w:val="single" w:sz="4" w:space="0" w:color="auto"/>
              <w:left w:val="single" w:sz="4" w:space="0" w:color="auto"/>
              <w:bottom w:val="single" w:sz="4" w:space="0" w:color="auto"/>
              <w:right w:val="nil"/>
            </w:tcBorders>
            <w:shd w:val="clear" w:color="auto" w:fill="auto"/>
            <w:noWrap/>
            <w:vAlign w:val="center"/>
            <w:hideMark/>
          </w:tcPr>
          <w:p w14:paraId="29322F5A" w14:textId="77777777" w:rsidR="009305F1" w:rsidRPr="00252B58" w:rsidRDefault="009305F1" w:rsidP="004D0EA7">
            <w:pPr>
              <w:spacing w:after="0" w:line="192" w:lineRule="auto"/>
              <w:rPr>
                <w:rFonts w:eastAsia="Times New Roman"/>
                <w:lang w:eastAsia="en-GB"/>
              </w:rPr>
            </w:pPr>
            <w:r w:rsidRPr="00252B58">
              <w:rPr>
                <w:rFonts w:eastAsia="Times New Roman"/>
                <w:b/>
                <w:lang w:eastAsia="en-GB"/>
              </w:rPr>
              <w:t>Mean Age</w:t>
            </w:r>
            <w:r w:rsidRPr="00252B58">
              <w:rPr>
                <w:rFonts w:eastAsia="Times New Roman"/>
                <w:lang w:eastAsia="en-GB"/>
              </w:rPr>
              <w:t xml:space="preserve"> (range)</w:t>
            </w:r>
          </w:p>
        </w:tc>
        <w:tc>
          <w:tcPr>
            <w:tcW w:w="375" w:type="dxa"/>
            <w:tcBorders>
              <w:top w:val="nil"/>
              <w:left w:val="nil"/>
              <w:bottom w:val="single" w:sz="4" w:space="0" w:color="auto"/>
              <w:right w:val="nil"/>
            </w:tcBorders>
            <w:shd w:val="clear" w:color="auto" w:fill="auto"/>
            <w:noWrap/>
            <w:vAlign w:val="center"/>
            <w:hideMark/>
          </w:tcPr>
          <w:p w14:paraId="054F69B0" w14:textId="77777777" w:rsidR="009305F1" w:rsidRPr="00252B58" w:rsidRDefault="009305F1" w:rsidP="004D0EA7">
            <w:pPr>
              <w:spacing w:after="0" w:line="192" w:lineRule="auto"/>
              <w:rPr>
                <w:rFonts w:eastAsia="Times New Roman"/>
                <w:lang w:eastAsia="en-GB"/>
              </w:rPr>
            </w:pPr>
            <w:r w:rsidRPr="00252B58">
              <w:rPr>
                <w:rFonts w:eastAsia="Times New Roman"/>
                <w:lang w:eastAsia="en-GB"/>
              </w:rPr>
              <w:t> </w:t>
            </w:r>
          </w:p>
        </w:tc>
        <w:tc>
          <w:tcPr>
            <w:tcW w:w="667" w:type="dxa"/>
            <w:tcBorders>
              <w:top w:val="nil"/>
              <w:left w:val="nil"/>
              <w:bottom w:val="single" w:sz="4" w:space="0" w:color="auto"/>
              <w:right w:val="nil"/>
            </w:tcBorders>
            <w:shd w:val="clear" w:color="auto" w:fill="auto"/>
            <w:noWrap/>
            <w:vAlign w:val="center"/>
            <w:hideMark/>
          </w:tcPr>
          <w:p w14:paraId="52963E2F"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843" w:type="dxa"/>
            <w:tcBorders>
              <w:top w:val="nil"/>
              <w:left w:val="single" w:sz="4" w:space="0" w:color="auto"/>
              <w:bottom w:val="single" w:sz="4" w:space="0" w:color="auto"/>
              <w:right w:val="nil"/>
            </w:tcBorders>
            <w:shd w:val="clear" w:color="auto" w:fill="auto"/>
            <w:noWrap/>
            <w:vAlign w:val="center"/>
            <w:hideMark/>
          </w:tcPr>
          <w:p w14:paraId="68DC6238"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47.9 (19-67)</w:t>
            </w:r>
          </w:p>
        </w:tc>
        <w:tc>
          <w:tcPr>
            <w:tcW w:w="1842" w:type="dxa"/>
            <w:tcBorders>
              <w:top w:val="nil"/>
              <w:left w:val="nil"/>
              <w:bottom w:val="single" w:sz="4" w:space="0" w:color="auto"/>
              <w:right w:val="single" w:sz="4" w:space="0" w:color="auto"/>
            </w:tcBorders>
            <w:shd w:val="clear" w:color="auto" w:fill="auto"/>
            <w:noWrap/>
            <w:vAlign w:val="center"/>
            <w:hideMark/>
          </w:tcPr>
          <w:p w14:paraId="69B0F3AE"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44.0 (23-63)</w:t>
            </w:r>
          </w:p>
        </w:tc>
        <w:tc>
          <w:tcPr>
            <w:tcW w:w="574" w:type="dxa"/>
            <w:tcBorders>
              <w:top w:val="nil"/>
              <w:left w:val="nil"/>
              <w:bottom w:val="single" w:sz="4" w:space="0" w:color="auto"/>
              <w:right w:val="nil"/>
            </w:tcBorders>
            <w:shd w:val="clear" w:color="auto" w:fill="auto"/>
            <w:noWrap/>
            <w:vAlign w:val="center"/>
            <w:hideMark/>
          </w:tcPr>
          <w:p w14:paraId="44814549"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594" w:type="dxa"/>
            <w:tcBorders>
              <w:top w:val="nil"/>
              <w:left w:val="nil"/>
              <w:bottom w:val="single" w:sz="4" w:space="0" w:color="auto"/>
              <w:right w:val="nil"/>
            </w:tcBorders>
            <w:shd w:val="clear" w:color="auto" w:fill="auto"/>
            <w:noWrap/>
            <w:vAlign w:val="center"/>
            <w:hideMark/>
          </w:tcPr>
          <w:p w14:paraId="2E4BCAA7"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60.8 (22-90)</w:t>
            </w:r>
          </w:p>
        </w:tc>
        <w:tc>
          <w:tcPr>
            <w:tcW w:w="1958" w:type="dxa"/>
            <w:tcBorders>
              <w:top w:val="nil"/>
              <w:left w:val="nil"/>
              <w:bottom w:val="single" w:sz="4" w:space="0" w:color="auto"/>
              <w:right w:val="single" w:sz="4" w:space="0" w:color="auto"/>
            </w:tcBorders>
            <w:shd w:val="clear" w:color="auto" w:fill="auto"/>
            <w:noWrap/>
            <w:vAlign w:val="center"/>
            <w:hideMark/>
          </w:tcPr>
          <w:p w14:paraId="2CAA26EF"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56.8 (34-81)</w:t>
            </w:r>
          </w:p>
        </w:tc>
        <w:tc>
          <w:tcPr>
            <w:tcW w:w="1678" w:type="dxa"/>
            <w:tcBorders>
              <w:top w:val="nil"/>
              <w:left w:val="nil"/>
              <w:bottom w:val="single" w:sz="4" w:space="0" w:color="auto"/>
              <w:right w:val="single" w:sz="4" w:space="0" w:color="auto"/>
            </w:tcBorders>
            <w:shd w:val="clear" w:color="auto" w:fill="auto"/>
            <w:noWrap/>
            <w:vAlign w:val="center"/>
            <w:hideMark/>
          </w:tcPr>
          <w:p w14:paraId="16A4767E"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43.1 (18-73)</w:t>
            </w:r>
          </w:p>
        </w:tc>
        <w:tc>
          <w:tcPr>
            <w:tcW w:w="1892" w:type="dxa"/>
            <w:tcBorders>
              <w:top w:val="nil"/>
              <w:left w:val="nil"/>
              <w:bottom w:val="single" w:sz="4" w:space="0" w:color="auto"/>
              <w:right w:val="single" w:sz="4" w:space="0" w:color="auto"/>
            </w:tcBorders>
            <w:shd w:val="clear" w:color="auto" w:fill="auto"/>
            <w:noWrap/>
            <w:vAlign w:val="center"/>
            <w:hideMark/>
          </w:tcPr>
          <w:p w14:paraId="3E62872E"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53.6 (17-94)</w:t>
            </w:r>
          </w:p>
        </w:tc>
      </w:tr>
      <w:tr w:rsidR="00252B58" w:rsidRPr="00252B58" w14:paraId="5B68916A" w14:textId="77777777" w:rsidTr="004D0EA7">
        <w:trPr>
          <w:trHeight w:val="300"/>
        </w:trPr>
        <w:tc>
          <w:tcPr>
            <w:tcW w:w="2178" w:type="dxa"/>
            <w:gridSpan w:val="3"/>
            <w:tcBorders>
              <w:top w:val="single" w:sz="4" w:space="0" w:color="auto"/>
              <w:left w:val="single" w:sz="4" w:space="0" w:color="auto"/>
              <w:bottom w:val="nil"/>
              <w:right w:val="nil"/>
            </w:tcBorders>
            <w:shd w:val="clear" w:color="auto" w:fill="auto"/>
            <w:noWrap/>
            <w:vAlign w:val="center"/>
            <w:hideMark/>
          </w:tcPr>
          <w:p w14:paraId="5221510A" w14:textId="77777777" w:rsidR="009305F1" w:rsidRPr="00252B58" w:rsidRDefault="009305F1" w:rsidP="004D0EA7">
            <w:pPr>
              <w:spacing w:after="0" w:line="192" w:lineRule="auto"/>
              <w:rPr>
                <w:rFonts w:eastAsia="Times New Roman"/>
                <w:b/>
                <w:lang w:eastAsia="en-GB"/>
              </w:rPr>
            </w:pPr>
            <w:r w:rsidRPr="00252B58">
              <w:rPr>
                <w:rFonts w:eastAsia="Times New Roman"/>
                <w:b/>
                <w:lang w:eastAsia="en-GB"/>
              </w:rPr>
              <w:t>Gender</w:t>
            </w:r>
          </w:p>
        </w:tc>
        <w:tc>
          <w:tcPr>
            <w:tcW w:w="375" w:type="dxa"/>
            <w:tcBorders>
              <w:top w:val="nil"/>
              <w:left w:val="nil"/>
              <w:bottom w:val="nil"/>
              <w:right w:val="nil"/>
            </w:tcBorders>
            <w:shd w:val="clear" w:color="auto" w:fill="auto"/>
            <w:noWrap/>
            <w:vAlign w:val="center"/>
            <w:hideMark/>
          </w:tcPr>
          <w:p w14:paraId="632ED1C9" w14:textId="77777777" w:rsidR="009305F1" w:rsidRPr="00252B58" w:rsidRDefault="009305F1" w:rsidP="004D0EA7">
            <w:pPr>
              <w:spacing w:after="0" w:line="192" w:lineRule="auto"/>
              <w:rPr>
                <w:rFonts w:eastAsia="Times New Roman"/>
                <w:lang w:eastAsia="en-GB"/>
              </w:rPr>
            </w:pPr>
            <w:r w:rsidRPr="00252B58">
              <w:rPr>
                <w:rFonts w:eastAsia="Times New Roman"/>
                <w:lang w:eastAsia="en-GB"/>
              </w:rPr>
              <w:t>F</w:t>
            </w:r>
          </w:p>
        </w:tc>
        <w:tc>
          <w:tcPr>
            <w:tcW w:w="667" w:type="dxa"/>
            <w:tcBorders>
              <w:top w:val="nil"/>
              <w:left w:val="nil"/>
              <w:bottom w:val="nil"/>
              <w:right w:val="nil"/>
            </w:tcBorders>
            <w:shd w:val="clear" w:color="auto" w:fill="auto"/>
            <w:noWrap/>
            <w:vAlign w:val="center"/>
            <w:hideMark/>
          </w:tcPr>
          <w:p w14:paraId="1632EE1B"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843" w:type="dxa"/>
            <w:tcBorders>
              <w:top w:val="nil"/>
              <w:left w:val="single" w:sz="4" w:space="0" w:color="auto"/>
              <w:bottom w:val="nil"/>
              <w:right w:val="nil"/>
            </w:tcBorders>
            <w:shd w:val="clear" w:color="auto" w:fill="auto"/>
            <w:noWrap/>
            <w:vAlign w:val="center"/>
            <w:hideMark/>
          </w:tcPr>
          <w:p w14:paraId="3AE52C5E"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7</w:t>
            </w:r>
          </w:p>
        </w:tc>
        <w:tc>
          <w:tcPr>
            <w:tcW w:w="1842" w:type="dxa"/>
            <w:tcBorders>
              <w:top w:val="nil"/>
              <w:left w:val="nil"/>
              <w:bottom w:val="nil"/>
              <w:right w:val="single" w:sz="4" w:space="0" w:color="auto"/>
            </w:tcBorders>
            <w:shd w:val="clear" w:color="auto" w:fill="auto"/>
            <w:noWrap/>
            <w:vAlign w:val="center"/>
            <w:hideMark/>
          </w:tcPr>
          <w:p w14:paraId="04E3F296"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8</w:t>
            </w:r>
          </w:p>
        </w:tc>
        <w:tc>
          <w:tcPr>
            <w:tcW w:w="574" w:type="dxa"/>
            <w:tcBorders>
              <w:top w:val="nil"/>
              <w:left w:val="nil"/>
              <w:bottom w:val="nil"/>
              <w:right w:val="nil"/>
            </w:tcBorders>
            <w:shd w:val="clear" w:color="auto" w:fill="auto"/>
            <w:noWrap/>
            <w:vAlign w:val="center"/>
            <w:hideMark/>
          </w:tcPr>
          <w:p w14:paraId="37DE0F34"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594" w:type="dxa"/>
            <w:tcBorders>
              <w:top w:val="nil"/>
              <w:left w:val="nil"/>
              <w:bottom w:val="nil"/>
              <w:right w:val="nil"/>
            </w:tcBorders>
            <w:shd w:val="clear" w:color="auto" w:fill="auto"/>
            <w:noWrap/>
            <w:vAlign w:val="center"/>
            <w:hideMark/>
          </w:tcPr>
          <w:p w14:paraId="5CFA05E5"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13</w:t>
            </w:r>
          </w:p>
        </w:tc>
        <w:tc>
          <w:tcPr>
            <w:tcW w:w="1958" w:type="dxa"/>
            <w:tcBorders>
              <w:top w:val="nil"/>
              <w:left w:val="nil"/>
              <w:bottom w:val="nil"/>
              <w:right w:val="single" w:sz="4" w:space="0" w:color="auto"/>
            </w:tcBorders>
            <w:shd w:val="clear" w:color="auto" w:fill="auto"/>
            <w:noWrap/>
            <w:vAlign w:val="center"/>
            <w:hideMark/>
          </w:tcPr>
          <w:p w14:paraId="7EC11162"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6</w:t>
            </w:r>
          </w:p>
        </w:tc>
        <w:tc>
          <w:tcPr>
            <w:tcW w:w="1678" w:type="dxa"/>
            <w:tcBorders>
              <w:top w:val="nil"/>
              <w:left w:val="nil"/>
              <w:bottom w:val="nil"/>
              <w:right w:val="single" w:sz="4" w:space="0" w:color="auto"/>
            </w:tcBorders>
            <w:shd w:val="clear" w:color="auto" w:fill="auto"/>
            <w:noWrap/>
            <w:vAlign w:val="center"/>
            <w:hideMark/>
          </w:tcPr>
          <w:p w14:paraId="4FC4CBB8"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19</w:t>
            </w:r>
          </w:p>
        </w:tc>
        <w:tc>
          <w:tcPr>
            <w:tcW w:w="1892" w:type="dxa"/>
            <w:tcBorders>
              <w:top w:val="nil"/>
              <w:left w:val="nil"/>
              <w:bottom w:val="nil"/>
              <w:right w:val="single" w:sz="4" w:space="0" w:color="auto"/>
            </w:tcBorders>
            <w:shd w:val="clear" w:color="auto" w:fill="auto"/>
            <w:noWrap/>
            <w:vAlign w:val="center"/>
            <w:hideMark/>
          </w:tcPr>
          <w:p w14:paraId="4BC83A12"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24</w:t>
            </w:r>
          </w:p>
        </w:tc>
      </w:tr>
      <w:tr w:rsidR="00252B58" w:rsidRPr="00252B58" w14:paraId="5ACBD78A" w14:textId="77777777" w:rsidTr="004D0EA7">
        <w:trPr>
          <w:trHeight w:val="300"/>
        </w:trPr>
        <w:tc>
          <w:tcPr>
            <w:tcW w:w="2178" w:type="dxa"/>
            <w:gridSpan w:val="3"/>
            <w:tcBorders>
              <w:top w:val="nil"/>
              <w:left w:val="single" w:sz="4" w:space="0" w:color="auto"/>
              <w:bottom w:val="single" w:sz="4" w:space="0" w:color="auto"/>
              <w:right w:val="nil"/>
            </w:tcBorders>
            <w:shd w:val="clear" w:color="auto" w:fill="auto"/>
            <w:noWrap/>
            <w:vAlign w:val="center"/>
            <w:hideMark/>
          </w:tcPr>
          <w:p w14:paraId="559F7748"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375" w:type="dxa"/>
            <w:tcBorders>
              <w:top w:val="nil"/>
              <w:left w:val="nil"/>
              <w:bottom w:val="single" w:sz="4" w:space="0" w:color="auto"/>
              <w:right w:val="nil"/>
            </w:tcBorders>
            <w:shd w:val="clear" w:color="auto" w:fill="auto"/>
            <w:noWrap/>
            <w:vAlign w:val="center"/>
            <w:hideMark/>
          </w:tcPr>
          <w:p w14:paraId="61AFF4F3" w14:textId="77777777" w:rsidR="009305F1" w:rsidRPr="00252B58" w:rsidRDefault="009305F1" w:rsidP="004D0EA7">
            <w:pPr>
              <w:spacing w:after="0" w:line="192" w:lineRule="auto"/>
              <w:rPr>
                <w:rFonts w:eastAsia="Times New Roman"/>
                <w:lang w:eastAsia="en-GB"/>
              </w:rPr>
            </w:pPr>
            <w:r w:rsidRPr="00252B58">
              <w:rPr>
                <w:rFonts w:eastAsia="Times New Roman"/>
                <w:lang w:eastAsia="en-GB"/>
              </w:rPr>
              <w:t>M</w:t>
            </w:r>
          </w:p>
        </w:tc>
        <w:tc>
          <w:tcPr>
            <w:tcW w:w="667" w:type="dxa"/>
            <w:tcBorders>
              <w:top w:val="nil"/>
              <w:left w:val="nil"/>
              <w:bottom w:val="single" w:sz="4" w:space="0" w:color="auto"/>
              <w:right w:val="nil"/>
            </w:tcBorders>
            <w:shd w:val="clear" w:color="auto" w:fill="auto"/>
            <w:noWrap/>
            <w:vAlign w:val="center"/>
            <w:hideMark/>
          </w:tcPr>
          <w:p w14:paraId="3654E86B"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843" w:type="dxa"/>
            <w:tcBorders>
              <w:top w:val="nil"/>
              <w:left w:val="single" w:sz="4" w:space="0" w:color="auto"/>
              <w:bottom w:val="single" w:sz="4" w:space="0" w:color="auto"/>
              <w:right w:val="nil"/>
            </w:tcBorders>
            <w:shd w:val="clear" w:color="auto" w:fill="auto"/>
            <w:noWrap/>
            <w:vAlign w:val="center"/>
            <w:hideMark/>
          </w:tcPr>
          <w:p w14:paraId="7265180D"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10</w:t>
            </w:r>
          </w:p>
        </w:tc>
        <w:tc>
          <w:tcPr>
            <w:tcW w:w="1842" w:type="dxa"/>
            <w:tcBorders>
              <w:top w:val="nil"/>
              <w:left w:val="nil"/>
              <w:bottom w:val="single" w:sz="4" w:space="0" w:color="auto"/>
              <w:right w:val="single" w:sz="4" w:space="0" w:color="auto"/>
            </w:tcBorders>
            <w:shd w:val="clear" w:color="auto" w:fill="auto"/>
            <w:noWrap/>
            <w:vAlign w:val="center"/>
            <w:hideMark/>
          </w:tcPr>
          <w:p w14:paraId="2B5899FE"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11</w:t>
            </w:r>
          </w:p>
        </w:tc>
        <w:tc>
          <w:tcPr>
            <w:tcW w:w="574" w:type="dxa"/>
            <w:tcBorders>
              <w:top w:val="nil"/>
              <w:left w:val="nil"/>
              <w:bottom w:val="single" w:sz="4" w:space="0" w:color="auto"/>
              <w:right w:val="nil"/>
            </w:tcBorders>
            <w:shd w:val="clear" w:color="auto" w:fill="auto"/>
            <w:noWrap/>
            <w:vAlign w:val="center"/>
            <w:hideMark/>
          </w:tcPr>
          <w:p w14:paraId="01187514"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594" w:type="dxa"/>
            <w:tcBorders>
              <w:top w:val="nil"/>
              <w:left w:val="nil"/>
              <w:bottom w:val="single" w:sz="4" w:space="0" w:color="auto"/>
              <w:right w:val="nil"/>
            </w:tcBorders>
            <w:shd w:val="clear" w:color="auto" w:fill="auto"/>
            <w:noWrap/>
            <w:vAlign w:val="center"/>
            <w:hideMark/>
          </w:tcPr>
          <w:p w14:paraId="22501E8A"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20</w:t>
            </w:r>
          </w:p>
        </w:tc>
        <w:tc>
          <w:tcPr>
            <w:tcW w:w="1958" w:type="dxa"/>
            <w:tcBorders>
              <w:top w:val="nil"/>
              <w:left w:val="nil"/>
              <w:bottom w:val="single" w:sz="4" w:space="0" w:color="auto"/>
              <w:right w:val="single" w:sz="4" w:space="0" w:color="auto"/>
            </w:tcBorders>
            <w:shd w:val="clear" w:color="auto" w:fill="auto"/>
            <w:noWrap/>
            <w:vAlign w:val="center"/>
            <w:hideMark/>
          </w:tcPr>
          <w:p w14:paraId="76B0564B"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8</w:t>
            </w:r>
          </w:p>
        </w:tc>
        <w:tc>
          <w:tcPr>
            <w:tcW w:w="1678" w:type="dxa"/>
            <w:tcBorders>
              <w:top w:val="nil"/>
              <w:left w:val="nil"/>
              <w:bottom w:val="single" w:sz="4" w:space="0" w:color="auto"/>
              <w:right w:val="single" w:sz="4" w:space="0" w:color="auto"/>
            </w:tcBorders>
            <w:shd w:val="clear" w:color="auto" w:fill="auto"/>
            <w:noWrap/>
            <w:vAlign w:val="center"/>
            <w:hideMark/>
          </w:tcPr>
          <w:p w14:paraId="65EB6F7F"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9</w:t>
            </w:r>
          </w:p>
        </w:tc>
        <w:tc>
          <w:tcPr>
            <w:tcW w:w="1892" w:type="dxa"/>
            <w:tcBorders>
              <w:top w:val="nil"/>
              <w:left w:val="nil"/>
              <w:bottom w:val="single" w:sz="4" w:space="0" w:color="auto"/>
              <w:right w:val="single" w:sz="4" w:space="0" w:color="auto"/>
            </w:tcBorders>
            <w:shd w:val="clear" w:color="auto" w:fill="auto"/>
            <w:noWrap/>
            <w:vAlign w:val="center"/>
            <w:hideMark/>
          </w:tcPr>
          <w:p w14:paraId="1421411E"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17</w:t>
            </w:r>
          </w:p>
        </w:tc>
      </w:tr>
      <w:tr w:rsidR="00252B58" w:rsidRPr="00252B58" w14:paraId="7D74CBCE" w14:textId="77777777" w:rsidTr="004D0EA7">
        <w:trPr>
          <w:trHeight w:val="300"/>
        </w:trPr>
        <w:tc>
          <w:tcPr>
            <w:tcW w:w="2178" w:type="dxa"/>
            <w:gridSpan w:val="3"/>
            <w:vMerge w:val="restart"/>
            <w:tcBorders>
              <w:top w:val="single" w:sz="4" w:space="0" w:color="auto"/>
              <w:left w:val="single" w:sz="4" w:space="0" w:color="auto"/>
              <w:bottom w:val="nil"/>
              <w:right w:val="nil"/>
            </w:tcBorders>
            <w:shd w:val="clear" w:color="auto" w:fill="auto"/>
            <w:noWrap/>
            <w:vAlign w:val="center"/>
            <w:hideMark/>
          </w:tcPr>
          <w:p w14:paraId="5918B973" w14:textId="77777777" w:rsidR="009305F1" w:rsidRPr="00252B58" w:rsidRDefault="009305F1" w:rsidP="004D0EA7">
            <w:pPr>
              <w:spacing w:after="0" w:line="192" w:lineRule="auto"/>
              <w:rPr>
                <w:rFonts w:eastAsia="Times New Roman"/>
                <w:b/>
                <w:lang w:eastAsia="en-GB"/>
              </w:rPr>
            </w:pPr>
            <w:r w:rsidRPr="00252B58">
              <w:rPr>
                <w:rFonts w:eastAsia="Times New Roman"/>
                <w:b/>
                <w:lang w:eastAsia="en-GB"/>
              </w:rPr>
              <w:t>Site of disease</w:t>
            </w:r>
          </w:p>
        </w:tc>
        <w:tc>
          <w:tcPr>
            <w:tcW w:w="375" w:type="dxa"/>
            <w:tcBorders>
              <w:top w:val="nil"/>
              <w:left w:val="nil"/>
              <w:bottom w:val="nil"/>
              <w:right w:val="nil"/>
            </w:tcBorders>
            <w:shd w:val="clear" w:color="auto" w:fill="auto"/>
            <w:noWrap/>
            <w:vAlign w:val="center"/>
            <w:hideMark/>
          </w:tcPr>
          <w:p w14:paraId="248F5555" w14:textId="77777777" w:rsidR="009305F1" w:rsidRPr="00252B58" w:rsidRDefault="009305F1" w:rsidP="004D0EA7">
            <w:pPr>
              <w:spacing w:after="0" w:line="192" w:lineRule="auto"/>
              <w:rPr>
                <w:rFonts w:eastAsia="Times New Roman"/>
                <w:lang w:eastAsia="en-GB"/>
              </w:rPr>
            </w:pPr>
            <w:r w:rsidRPr="00252B58">
              <w:rPr>
                <w:rFonts w:eastAsia="Times New Roman"/>
                <w:lang w:eastAsia="en-GB"/>
              </w:rPr>
              <w:t> </w:t>
            </w:r>
          </w:p>
        </w:tc>
        <w:tc>
          <w:tcPr>
            <w:tcW w:w="667" w:type="dxa"/>
            <w:tcBorders>
              <w:top w:val="nil"/>
              <w:left w:val="single" w:sz="4" w:space="0" w:color="auto"/>
              <w:bottom w:val="nil"/>
              <w:right w:val="single" w:sz="4" w:space="0" w:color="auto"/>
            </w:tcBorders>
            <w:shd w:val="clear" w:color="auto" w:fill="auto"/>
            <w:noWrap/>
            <w:vAlign w:val="center"/>
            <w:hideMark/>
          </w:tcPr>
          <w:p w14:paraId="29C96E94" w14:textId="77777777" w:rsidR="009305F1" w:rsidRPr="00252B58" w:rsidRDefault="009305F1" w:rsidP="004D0EA7">
            <w:pPr>
              <w:spacing w:after="0" w:line="192" w:lineRule="auto"/>
              <w:jc w:val="center"/>
              <w:rPr>
                <w:rFonts w:eastAsia="Times New Roman"/>
                <w:i/>
                <w:iCs/>
                <w:lang w:eastAsia="en-GB"/>
              </w:rPr>
            </w:pPr>
            <w:r w:rsidRPr="00252B58">
              <w:rPr>
                <w:rFonts w:eastAsia="Times New Roman"/>
                <w:i/>
                <w:iCs/>
                <w:lang w:eastAsia="en-GB"/>
              </w:rPr>
              <w:t>L1</w:t>
            </w:r>
          </w:p>
        </w:tc>
        <w:tc>
          <w:tcPr>
            <w:tcW w:w="1843" w:type="dxa"/>
            <w:tcBorders>
              <w:top w:val="nil"/>
              <w:left w:val="nil"/>
              <w:bottom w:val="nil"/>
              <w:right w:val="nil"/>
            </w:tcBorders>
            <w:shd w:val="clear" w:color="auto" w:fill="auto"/>
            <w:noWrap/>
            <w:vAlign w:val="center"/>
            <w:hideMark/>
          </w:tcPr>
          <w:p w14:paraId="2FA3EF4B"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5</w:t>
            </w:r>
          </w:p>
        </w:tc>
        <w:tc>
          <w:tcPr>
            <w:tcW w:w="1842" w:type="dxa"/>
            <w:tcBorders>
              <w:top w:val="nil"/>
              <w:left w:val="nil"/>
              <w:bottom w:val="nil"/>
              <w:right w:val="single" w:sz="4" w:space="0" w:color="auto"/>
            </w:tcBorders>
            <w:shd w:val="clear" w:color="auto" w:fill="auto"/>
            <w:noWrap/>
            <w:vAlign w:val="center"/>
            <w:hideMark/>
          </w:tcPr>
          <w:p w14:paraId="3F1FEDAF"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6</w:t>
            </w:r>
          </w:p>
        </w:tc>
        <w:tc>
          <w:tcPr>
            <w:tcW w:w="574" w:type="dxa"/>
            <w:tcBorders>
              <w:top w:val="nil"/>
              <w:left w:val="nil"/>
              <w:bottom w:val="nil"/>
              <w:right w:val="single" w:sz="4" w:space="0" w:color="auto"/>
            </w:tcBorders>
            <w:shd w:val="clear" w:color="auto" w:fill="auto"/>
            <w:noWrap/>
            <w:vAlign w:val="center"/>
            <w:hideMark/>
          </w:tcPr>
          <w:p w14:paraId="46EE1975" w14:textId="77777777" w:rsidR="009305F1" w:rsidRPr="00252B58" w:rsidRDefault="009305F1" w:rsidP="004D0EA7">
            <w:pPr>
              <w:spacing w:after="0" w:line="192" w:lineRule="auto"/>
              <w:jc w:val="center"/>
              <w:rPr>
                <w:rFonts w:eastAsia="Times New Roman"/>
                <w:i/>
                <w:iCs/>
                <w:lang w:eastAsia="en-GB"/>
              </w:rPr>
            </w:pPr>
            <w:r w:rsidRPr="00252B58">
              <w:rPr>
                <w:rFonts w:eastAsia="Times New Roman"/>
                <w:i/>
                <w:iCs/>
                <w:lang w:eastAsia="en-GB"/>
              </w:rPr>
              <w:t>E1</w:t>
            </w:r>
          </w:p>
        </w:tc>
        <w:tc>
          <w:tcPr>
            <w:tcW w:w="1594" w:type="dxa"/>
            <w:tcBorders>
              <w:top w:val="nil"/>
              <w:left w:val="nil"/>
              <w:bottom w:val="nil"/>
              <w:right w:val="nil"/>
            </w:tcBorders>
            <w:shd w:val="clear" w:color="auto" w:fill="auto"/>
            <w:noWrap/>
            <w:vAlign w:val="center"/>
            <w:hideMark/>
          </w:tcPr>
          <w:p w14:paraId="375370E6"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4</w:t>
            </w:r>
          </w:p>
        </w:tc>
        <w:tc>
          <w:tcPr>
            <w:tcW w:w="1958" w:type="dxa"/>
            <w:tcBorders>
              <w:top w:val="nil"/>
              <w:left w:val="nil"/>
              <w:bottom w:val="nil"/>
              <w:right w:val="single" w:sz="4" w:space="0" w:color="auto"/>
            </w:tcBorders>
            <w:shd w:val="clear" w:color="auto" w:fill="auto"/>
            <w:noWrap/>
            <w:vAlign w:val="center"/>
            <w:hideMark/>
          </w:tcPr>
          <w:p w14:paraId="171F07C4"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4</w:t>
            </w:r>
          </w:p>
        </w:tc>
        <w:tc>
          <w:tcPr>
            <w:tcW w:w="1678" w:type="dxa"/>
            <w:tcBorders>
              <w:top w:val="nil"/>
              <w:left w:val="nil"/>
              <w:bottom w:val="nil"/>
              <w:right w:val="single" w:sz="4" w:space="0" w:color="auto"/>
            </w:tcBorders>
            <w:shd w:val="clear" w:color="auto" w:fill="auto"/>
            <w:noWrap/>
            <w:vAlign w:val="center"/>
            <w:hideMark/>
          </w:tcPr>
          <w:p w14:paraId="1C79A65F"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NA</w:t>
            </w:r>
          </w:p>
        </w:tc>
        <w:tc>
          <w:tcPr>
            <w:tcW w:w="1892" w:type="dxa"/>
            <w:tcBorders>
              <w:top w:val="nil"/>
              <w:left w:val="nil"/>
              <w:bottom w:val="nil"/>
              <w:right w:val="single" w:sz="4" w:space="0" w:color="auto"/>
            </w:tcBorders>
            <w:shd w:val="clear" w:color="auto" w:fill="auto"/>
            <w:noWrap/>
            <w:vAlign w:val="center"/>
            <w:hideMark/>
          </w:tcPr>
          <w:p w14:paraId="01F05EE3"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NA</w:t>
            </w:r>
          </w:p>
        </w:tc>
      </w:tr>
      <w:tr w:rsidR="00252B58" w:rsidRPr="00252B58" w14:paraId="20CFC7B9" w14:textId="77777777" w:rsidTr="004D0EA7">
        <w:trPr>
          <w:trHeight w:val="300"/>
        </w:trPr>
        <w:tc>
          <w:tcPr>
            <w:tcW w:w="2178" w:type="dxa"/>
            <w:gridSpan w:val="3"/>
            <w:vMerge/>
            <w:tcBorders>
              <w:top w:val="single" w:sz="4" w:space="0" w:color="auto"/>
              <w:left w:val="single" w:sz="4" w:space="0" w:color="auto"/>
              <w:bottom w:val="nil"/>
              <w:right w:val="nil"/>
            </w:tcBorders>
            <w:vAlign w:val="center"/>
            <w:hideMark/>
          </w:tcPr>
          <w:p w14:paraId="04BB9787" w14:textId="77777777" w:rsidR="009305F1" w:rsidRPr="00252B58" w:rsidRDefault="009305F1" w:rsidP="004D0EA7">
            <w:pPr>
              <w:spacing w:after="0" w:line="192" w:lineRule="auto"/>
              <w:rPr>
                <w:rFonts w:eastAsia="Times New Roman"/>
                <w:lang w:eastAsia="en-GB"/>
              </w:rPr>
            </w:pPr>
          </w:p>
        </w:tc>
        <w:tc>
          <w:tcPr>
            <w:tcW w:w="375" w:type="dxa"/>
            <w:tcBorders>
              <w:top w:val="nil"/>
              <w:left w:val="nil"/>
              <w:bottom w:val="nil"/>
              <w:right w:val="nil"/>
            </w:tcBorders>
            <w:shd w:val="clear" w:color="auto" w:fill="auto"/>
            <w:noWrap/>
            <w:vAlign w:val="center"/>
            <w:hideMark/>
          </w:tcPr>
          <w:p w14:paraId="2BB0B9A3" w14:textId="77777777" w:rsidR="009305F1" w:rsidRPr="00252B58" w:rsidRDefault="009305F1" w:rsidP="004D0EA7">
            <w:pPr>
              <w:spacing w:after="0" w:line="192" w:lineRule="auto"/>
              <w:rPr>
                <w:rFonts w:eastAsia="Times New Roman"/>
                <w:lang w:eastAsia="en-GB"/>
              </w:rPr>
            </w:pPr>
          </w:p>
        </w:tc>
        <w:tc>
          <w:tcPr>
            <w:tcW w:w="667" w:type="dxa"/>
            <w:tcBorders>
              <w:top w:val="nil"/>
              <w:left w:val="single" w:sz="4" w:space="0" w:color="auto"/>
              <w:bottom w:val="nil"/>
              <w:right w:val="single" w:sz="4" w:space="0" w:color="auto"/>
            </w:tcBorders>
            <w:shd w:val="clear" w:color="auto" w:fill="auto"/>
            <w:noWrap/>
            <w:vAlign w:val="center"/>
            <w:hideMark/>
          </w:tcPr>
          <w:p w14:paraId="35CE6068" w14:textId="77777777" w:rsidR="009305F1" w:rsidRPr="00252B58" w:rsidRDefault="009305F1" w:rsidP="004D0EA7">
            <w:pPr>
              <w:spacing w:after="0" w:line="192" w:lineRule="auto"/>
              <w:jc w:val="center"/>
              <w:rPr>
                <w:rFonts w:eastAsia="Times New Roman"/>
                <w:i/>
                <w:iCs/>
                <w:lang w:eastAsia="en-GB"/>
              </w:rPr>
            </w:pPr>
            <w:r w:rsidRPr="00252B58">
              <w:rPr>
                <w:rFonts w:eastAsia="Times New Roman"/>
                <w:i/>
                <w:iCs/>
                <w:lang w:eastAsia="en-GB"/>
              </w:rPr>
              <w:t>L2</w:t>
            </w:r>
          </w:p>
        </w:tc>
        <w:tc>
          <w:tcPr>
            <w:tcW w:w="1843" w:type="dxa"/>
            <w:tcBorders>
              <w:top w:val="nil"/>
              <w:left w:val="nil"/>
              <w:bottom w:val="nil"/>
              <w:right w:val="nil"/>
            </w:tcBorders>
            <w:shd w:val="clear" w:color="auto" w:fill="auto"/>
            <w:noWrap/>
            <w:vAlign w:val="center"/>
            <w:hideMark/>
          </w:tcPr>
          <w:p w14:paraId="4955467B"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8</w:t>
            </w:r>
          </w:p>
        </w:tc>
        <w:tc>
          <w:tcPr>
            <w:tcW w:w="1842" w:type="dxa"/>
            <w:tcBorders>
              <w:top w:val="nil"/>
              <w:left w:val="nil"/>
              <w:bottom w:val="nil"/>
              <w:right w:val="single" w:sz="4" w:space="0" w:color="auto"/>
            </w:tcBorders>
            <w:shd w:val="clear" w:color="auto" w:fill="auto"/>
            <w:noWrap/>
            <w:vAlign w:val="center"/>
            <w:hideMark/>
          </w:tcPr>
          <w:p w14:paraId="677DA836"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12</w:t>
            </w:r>
          </w:p>
        </w:tc>
        <w:tc>
          <w:tcPr>
            <w:tcW w:w="574" w:type="dxa"/>
            <w:tcBorders>
              <w:top w:val="nil"/>
              <w:left w:val="nil"/>
              <w:bottom w:val="nil"/>
              <w:right w:val="single" w:sz="4" w:space="0" w:color="auto"/>
            </w:tcBorders>
            <w:shd w:val="clear" w:color="auto" w:fill="auto"/>
            <w:noWrap/>
            <w:vAlign w:val="center"/>
            <w:hideMark/>
          </w:tcPr>
          <w:p w14:paraId="5AAAFD0D" w14:textId="77777777" w:rsidR="009305F1" w:rsidRPr="00252B58" w:rsidRDefault="009305F1" w:rsidP="004D0EA7">
            <w:pPr>
              <w:spacing w:after="0" w:line="192" w:lineRule="auto"/>
              <w:jc w:val="center"/>
              <w:rPr>
                <w:rFonts w:eastAsia="Times New Roman"/>
                <w:i/>
                <w:iCs/>
                <w:lang w:eastAsia="en-GB"/>
              </w:rPr>
            </w:pPr>
            <w:r w:rsidRPr="00252B58">
              <w:rPr>
                <w:rFonts w:eastAsia="Times New Roman"/>
                <w:i/>
                <w:iCs/>
                <w:lang w:eastAsia="en-GB"/>
              </w:rPr>
              <w:t>E2</w:t>
            </w:r>
          </w:p>
        </w:tc>
        <w:tc>
          <w:tcPr>
            <w:tcW w:w="1594" w:type="dxa"/>
            <w:tcBorders>
              <w:top w:val="nil"/>
              <w:left w:val="nil"/>
              <w:bottom w:val="nil"/>
              <w:right w:val="nil"/>
            </w:tcBorders>
            <w:shd w:val="clear" w:color="auto" w:fill="auto"/>
            <w:noWrap/>
            <w:vAlign w:val="center"/>
            <w:hideMark/>
          </w:tcPr>
          <w:p w14:paraId="6CBAC8F7"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14</w:t>
            </w:r>
          </w:p>
        </w:tc>
        <w:tc>
          <w:tcPr>
            <w:tcW w:w="1958" w:type="dxa"/>
            <w:tcBorders>
              <w:top w:val="nil"/>
              <w:left w:val="nil"/>
              <w:bottom w:val="nil"/>
              <w:right w:val="single" w:sz="4" w:space="0" w:color="auto"/>
            </w:tcBorders>
            <w:shd w:val="clear" w:color="auto" w:fill="auto"/>
            <w:noWrap/>
            <w:vAlign w:val="center"/>
            <w:hideMark/>
          </w:tcPr>
          <w:p w14:paraId="54BCA57D"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6</w:t>
            </w:r>
          </w:p>
        </w:tc>
        <w:tc>
          <w:tcPr>
            <w:tcW w:w="1678" w:type="dxa"/>
            <w:tcBorders>
              <w:top w:val="nil"/>
              <w:left w:val="nil"/>
              <w:bottom w:val="nil"/>
              <w:right w:val="single" w:sz="4" w:space="0" w:color="auto"/>
            </w:tcBorders>
            <w:shd w:val="clear" w:color="auto" w:fill="auto"/>
            <w:noWrap/>
            <w:vAlign w:val="center"/>
            <w:hideMark/>
          </w:tcPr>
          <w:p w14:paraId="64258CB1"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892" w:type="dxa"/>
            <w:tcBorders>
              <w:top w:val="nil"/>
              <w:left w:val="nil"/>
              <w:bottom w:val="nil"/>
              <w:right w:val="single" w:sz="4" w:space="0" w:color="auto"/>
            </w:tcBorders>
            <w:shd w:val="clear" w:color="auto" w:fill="auto"/>
            <w:noWrap/>
            <w:vAlign w:val="center"/>
            <w:hideMark/>
          </w:tcPr>
          <w:p w14:paraId="0F934BCE"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r>
      <w:tr w:rsidR="00252B58" w:rsidRPr="00252B58" w14:paraId="22E41B9C" w14:textId="77777777" w:rsidTr="004D0EA7">
        <w:trPr>
          <w:trHeight w:val="300"/>
        </w:trPr>
        <w:tc>
          <w:tcPr>
            <w:tcW w:w="2178" w:type="dxa"/>
            <w:gridSpan w:val="3"/>
            <w:vMerge/>
            <w:tcBorders>
              <w:top w:val="single" w:sz="4" w:space="0" w:color="auto"/>
              <w:left w:val="single" w:sz="4" w:space="0" w:color="auto"/>
              <w:bottom w:val="nil"/>
              <w:right w:val="nil"/>
            </w:tcBorders>
            <w:vAlign w:val="center"/>
            <w:hideMark/>
          </w:tcPr>
          <w:p w14:paraId="5E2DCC49" w14:textId="77777777" w:rsidR="009305F1" w:rsidRPr="00252B58" w:rsidRDefault="009305F1" w:rsidP="004D0EA7">
            <w:pPr>
              <w:spacing w:after="0" w:line="192" w:lineRule="auto"/>
              <w:rPr>
                <w:rFonts w:eastAsia="Times New Roman"/>
                <w:lang w:eastAsia="en-GB"/>
              </w:rPr>
            </w:pPr>
          </w:p>
        </w:tc>
        <w:tc>
          <w:tcPr>
            <w:tcW w:w="375" w:type="dxa"/>
            <w:tcBorders>
              <w:top w:val="nil"/>
              <w:left w:val="nil"/>
              <w:bottom w:val="nil"/>
              <w:right w:val="nil"/>
            </w:tcBorders>
            <w:shd w:val="clear" w:color="auto" w:fill="auto"/>
            <w:noWrap/>
            <w:vAlign w:val="center"/>
            <w:hideMark/>
          </w:tcPr>
          <w:p w14:paraId="1E0302AF" w14:textId="77777777" w:rsidR="009305F1" w:rsidRPr="00252B58" w:rsidRDefault="009305F1" w:rsidP="004D0EA7">
            <w:pPr>
              <w:spacing w:after="0" w:line="192" w:lineRule="auto"/>
              <w:rPr>
                <w:rFonts w:eastAsia="Times New Roman"/>
                <w:lang w:eastAsia="en-GB"/>
              </w:rPr>
            </w:pPr>
          </w:p>
        </w:tc>
        <w:tc>
          <w:tcPr>
            <w:tcW w:w="667" w:type="dxa"/>
            <w:tcBorders>
              <w:top w:val="nil"/>
              <w:left w:val="single" w:sz="4" w:space="0" w:color="auto"/>
              <w:bottom w:val="nil"/>
              <w:right w:val="single" w:sz="4" w:space="0" w:color="auto"/>
            </w:tcBorders>
            <w:shd w:val="clear" w:color="auto" w:fill="auto"/>
            <w:noWrap/>
            <w:vAlign w:val="center"/>
            <w:hideMark/>
          </w:tcPr>
          <w:p w14:paraId="748AB835" w14:textId="77777777" w:rsidR="009305F1" w:rsidRPr="00252B58" w:rsidRDefault="009305F1" w:rsidP="004D0EA7">
            <w:pPr>
              <w:spacing w:after="0" w:line="192" w:lineRule="auto"/>
              <w:jc w:val="center"/>
              <w:rPr>
                <w:rFonts w:eastAsia="Times New Roman"/>
                <w:i/>
                <w:iCs/>
                <w:lang w:eastAsia="en-GB"/>
              </w:rPr>
            </w:pPr>
            <w:r w:rsidRPr="00252B58">
              <w:rPr>
                <w:rFonts w:eastAsia="Times New Roman"/>
                <w:i/>
                <w:iCs/>
                <w:lang w:eastAsia="en-GB"/>
              </w:rPr>
              <w:t>L3</w:t>
            </w:r>
          </w:p>
        </w:tc>
        <w:tc>
          <w:tcPr>
            <w:tcW w:w="1843" w:type="dxa"/>
            <w:tcBorders>
              <w:top w:val="nil"/>
              <w:left w:val="nil"/>
              <w:bottom w:val="nil"/>
              <w:right w:val="nil"/>
            </w:tcBorders>
            <w:shd w:val="clear" w:color="auto" w:fill="auto"/>
            <w:noWrap/>
            <w:vAlign w:val="center"/>
            <w:hideMark/>
          </w:tcPr>
          <w:p w14:paraId="08C9B1C8"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2</w:t>
            </w:r>
          </w:p>
        </w:tc>
        <w:tc>
          <w:tcPr>
            <w:tcW w:w="1842" w:type="dxa"/>
            <w:tcBorders>
              <w:top w:val="nil"/>
              <w:left w:val="nil"/>
              <w:bottom w:val="nil"/>
              <w:right w:val="single" w:sz="4" w:space="0" w:color="auto"/>
            </w:tcBorders>
            <w:shd w:val="clear" w:color="auto" w:fill="auto"/>
            <w:noWrap/>
            <w:vAlign w:val="center"/>
            <w:hideMark/>
          </w:tcPr>
          <w:p w14:paraId="3CB6081E"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w:t>
            </w:r>
          </w:p>
        </w:tc>
        <w:tc>
          <w:tcPr>
            <w:tcW w:w="574" w:type="dxa"/>
            <w:tcBorders>
              <w:top w:val="nil"/>
              <w:left w:val="nil"/>
              <w:bottom w:val="nil"/>
              <w:right w:val="single" w:sz="4" w:space="0" w:color="auto"/>
            </w:tcBorders>
            <w:shd w:val="clear" w:color="auto" w:fill="auto"/>
            <w:noWrap/>
            <w:vAlign w:val="center"/>
            <w:hideMark/>
          </w:tcPr>
          <w:p w14:paraId="2E624529" w14:textId="77777777" w:rsidR="009305F1" w:rsidRPr="00252B58" w:rsidRDefault="009305F1" w:rsidP="004D0EA7">
            <w:pPr>
              <w:spacing w:after="0" w:line="192" w:lineRule="auto"/>
              <w:jc w:val="center"/>
              <w:rPr>
                <w:rFonts w:eastAsia="Times New Roman"/>
                <w:i/>
                <w:iCs/>
                <w:lang w:eastAsia="en-GB"/>
              </w:rPr>
            </w:pPr>
            <w:r w:rsidRPr="00252B58">
              <w:rPr>
                <w:rFonts w:eastAsia="Times New Roman"/>
                <w:i/>
                <w:iCs/>
                <w:lang w:eastAsia="en-GB"/>
              </w:rPr>
              <w:t>E3</w:t>
            </w:r>
          </w:p>
        </w:tc>
        <w:tc>
          <w:tcPr>
            <w:tcW w:w="1594" w:type="dxa"/>
            <w:tcBorders>
              <w:top w:val="nil"/>
              <w:left w:val="nil"/>
              <w:bottom w:val="nil"/>
              <w:right w:val="nil"/>
            </w:tcBorders>
            <w:shd w:val="clear" w:color="auto" w:fill="auto"/>
            <w:noWrap/>
            <w:vAlign w:val="center"/>
            <w:hideMark/>
          </w:tcPr>
          <w:p w14:paraId="0B03FCB5"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15</w:t>
            </w:r>
          </w:p>
        </w:tc>
        <w:tc>
          <w:tcPr>
            <w:tcW w:w="1958" w:type="dxa"/>
            <w:tcBorders>
              <w:top w:val="nil"/>
              <w:left w:val="nil"/>
              <w:bottom w:val="nil"/>
              <w:right w:val="single" w:sz="4" w:space="0" w:color="auto"/>
            </w:tcBorders>
            <w:shd w:val="clear" w:color="auto" w:fill="auto"/>
            <w:noWrap/>
            <w:vAlign w:val="center"/>
            <w:hideMark/>
          </w:tcPr>
          <w:p w14:paraId="330251D2"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4</w:t>
            </w:r>
          </w:p>
        </w:tc>
        <w:tc>
          <w:tcPr>
            <w:tcW w:w="1678" w:type="dxa"/>
            <w:tcBorders>
              <w:top w:val="nil"/>
              <w:left w:val="nil"/>
              <w:bottom w:val="nil"/>
              <w:right w:val="single" w:sz="4" w:space="0" w:color="auto"/>
            </w:tcBorders>
            <w:shd w:val="clear" w:color="auto" w:fill="auto"/>
            <w:noWrap/>
            <w:vAlign w:val="center"/>
            <w:hideMark/>
          </w:tcPr>
          <w:p w14:paraId="7B09A340"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892" w:type="dxa"/>
            <w:tcBorders>
              <w:top w:val="nil"/>
              <w:left w:val="nil"/>
              <w:bottom w:val="nil"/>
              <w:right w:val="single" w:sz="4" w:space="0" w:color="auto"/>
            </w:tcBorders>
            <w:shd w:val="clear" w:color="auto" w:fill="auto"/>
            <w:noWrap/>
            <w:vAlign w:val="center"/>
            <w:hideMark/>
          </w:tcPr>
          <w:p w14:paraId="3BC8D6C5"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r>
      <w:tr w:rsidR="00252B58" w:rsidRPr="00252B58" w14:paraId="529C15A8" w14:textId="77777777" w:rsidTr="004D0EA7">
        <w:trPr>
          <w:trHeight w:val="300"/>
        </w:trPr>
        <w:tc>
          <w:tcPr>
            <w:tcW w:w="2178" w:type="dxa"/>
            <w:gridSpan w:val="3"/>
            <w:vMerge/>
            <w:tcBorders>
              <w:top w:val="single" w:sz="4" w:space="0" w:color="auto"/>
              <w:left w:val="single" w:sz="4" w:space="0" w:color="auto"/>
              <w:bottom w:val="single" w:sz="4" w:space="0" w:color="auto"/>
              <w:right w:val="nil"/>
            </w:tcBorders>
            <w:vAlign w:val="center"/>
            <w:hideMark/>
          </w:tcPr>
          <w:p w14:paraId="2403F38F" w14:textId="77777777" w:rsidR="009305F1" w:rsidRPr="00252B58" w:rsidRDefault="009305F1" w:rsidP="004D0EA7">
            <w:pPr>
              <w:spacing w:after="0" w:line="192" w:lineRule="auto"/>
              <w:rPr>
                <w:rFonts w:eastAsia="Times New Roman"/>
                <w:lang w:eastAsia="en-GB"/>
              </w:rPr>
            </w:pPr>
          </w:p>
        </w:tc>
        <w:tc>
          <w:tcPr>
            <w:tcW w:w="375" w:type="dxa"/>
            <w:tcBorders>
              <w:top w:val="nil"/>
              <w:left w:val="nil"/>
              <w:bottom w:val="single" w:sz="4" w:space="0" w:color="auto"/>
              <w:right w:val="nil"/>
            </w:tcBorders>
            <w:shd w:val="clear" w:color="auto" w:fill="auto"/>
            <w:noWrap/>
            <w:vAlign w:val="center"/>
            <w:hideMark/>
          </w:tcPr>
          <w:p w14:paraId="46A37E27" w14:textId="77777777" w:rsidR="009305F1" w:rsidRPr="00252B58" w:rsidRDefault="009305F1" w:rsidP="004D0EA7">
            <w:pPr>
              <w:spacing w:after="0" w:line="192" w:lineRule="auto"/>
              <w:rPr>
                <w:rFonts w:eastAsia="Times New Roman"/>
                <w:lang w:eastAsia="en-GB"/>
              </w:rPr>
            </w:pP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92B89C5" w14:textId="77777777" w:rsidR="009305F1" w:rsidRPr="00252B58" w:rsidRDefault="009305F1" w:rsidP="004D0EA7">
            <w:pPr>
              <w:spacing w:after="0" w:line="192" w:lineRule="auto"/>
              <w:jc w:val="center"/>
              <w:rPr>
                <w:rFonts w:eastAsia="Times New Roman"/>
                <w:i/>
                <w:iCs/>
                <w:lang w:eastAsia="en-GB"/>
              </w:rPr>
            </w:pPr>
            <w:r w:rsidRPr="00252B58">
              <w:rPr>
                <w:rFonts w:eastAsia="Times New Roman"/>
                <w:i/>
                <w:iCs/>
                <w:lang w:eastAsia="en-GB"/>
              </w:rPr>
              <w:t>L4</w:t>
            </w:r>
          </w:p>
        </w:tc>
        <w:tc>
          <w:tcPr>
            <w:tcW w:w="1843" w:type="dxa"/>
            <w:tcBorders>
              <w:top w:val="nil"/>
              <w:left w:val="nil"/>
              <w:bottom w:val="single" w:sz="4" w:space="0" w:color="auto"/>
              <w:right w:val="nil"/>
            </w:tcBorders>
            <w:shd w:val="clear" w:color="auto" w:fill="auto"/>
            <w:noWrap/>
            <w:vAlign w:val="center"/>
            <w:hideMark/>
          </w:tcPr>
          <w:p w14:paraId="6650F7BF"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2</w:t>
            </w:r>
          </w:p>
        </w:tc>
        <w:tc>
          <w:tcPr>
            <w:tcW w:w="1842" w:type="dxa"/>
            <w:tcBorders>
              <w:top w:val="nil"/>
              <w:left w:val="nil"/>
              <w:bottom w:val="single" w:sz="4" w:space="0" w:color="auto"/>
              <w:right w:val="single" w:sz="4" w:space="0" w:color="auto"/>
            </w:tcBorders>
            <w:shd w:val="clear" w:color="auto" w:fill="auto"/>
            <w:noWrap/>
            <w:vAlign w:val="center"/>
            <w:hideMark/>
          </w:tcPr>
          <w:p w14:paraId="4B3D4888"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574" w:type="dxa"/>
            <w:tcBorders>
              <w:top w:val="nil"/>
              <w:left w:val="nil"/>
              <w:bottom w:val="single" w:sz="4" w:space="0" w:color="auto"/>
              <w:right w:val="single" w:sz="4" w:space="0" w:color="auto"/>
            </w:tcBorders>
            <w:shd w:val="clear" w:color="auto" w:fill="auto"/>
            <w:noWrap/>
            <w:vAlign w:val="center"/>
            <w:hideMark/>
          </w:tcPr>
          <w:p w14:paraId="091463B3"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594" w:type="dxa"/>
            <w:tcBorders>
              <w:top w:val="nil"/>
              <w:left w:val="nil"/>
              <w:bottom w:val="single" w:sz="4" w:space="0" w:color="auto"/>
              <w:right w:val="nil"/>
            </w:tcBorders>
            <w:shd w:val="clear" w:color="auto" w:fill="auto"/>
            <w:noWrap/>
            <w:vAlign w:val="center"/>
            <w:hideMark/>
          </w:tcPr>
          <w:p w14:paraId="6E4178C8" w14:textId="77777777" w:rsidR="009305F1" w:rsidRPr="00252B58" w:rsidRDefault="009305F1" w:rsidP="004D0EA7">
            <w:pPr>
              <w:spacing w:after="0" w:line="192" w:lineRule="auto"/>
              <w:jc w:val="center"/>
              <w:rPr>
                <w:rFonts w:eastAsia="Times New Roman"/>
                <w:lang w:eastAsia="en-GB"/>
              </w:rPr>
            </w:pPr>
          </w:p>
        </w:tc>
        <w:tc>
          <w:tcPr>
            <w:tcW w:w="1958" w:type="dxa"/>
            <w:tcBorders>
              <w:top w:val="nil"/>
              <w:left w:val="nil"/>
              <w:bottom w:val="single" w:sz="4" w:space="0" w:color="auto"/>
              <w:right w:val="single" w:sz="4" w:space="0" w:color="auto"/>
            </w:tcBorders>
            <w:shd w:val="clear" w:color="auto" w:fill="auto"/>
            <w:noWrap/>
            <w:vAlign w:val="center"/>
            <w:hideMark/>
          </w:tcPr>
          <w:p w14:paraId="60C377AE"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678" w:type="dxa"/>
            <w:tcBorders>
              <w:top w:val="nil"/>
              <w:left w:val="nil"/>
              <w:bottom w:val="single" w:sz="4" w:space="0" w:color="auto"/>
              <w:right w:val="single" w:sz="4" w:space="0" w:color="auto"/>
            </w:tcBorders>
            <w:shd w:val="clear" w:color="auto" w:fill="auto"/>
            <w:noWrap/>
            <w:vAlign w:val="center"/>
            <w:hideMark/>
          </w:tcPr>
          <w:p w14:paraId="45D3451F"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892" w:type="dxa"/>
            <w:tcBorders>
              <w:top w:val="nil"/>
              <w:left w:val="nil"/>
              <w:bottom w:val="single" w:sz="4" w:space="0" w:color="auto"/>
              <w:right w:val="single" w:sz="4" w:space="0" w:color="auto"/>
            </w:tcBorders>
            <w:shd w:val="clear" w:color="auto" w:fill="auto"/>
            <w:noWrap/>
            <w:vAlign w:val="center"/>
            <w:hideMark/>
          </w:tcPr>
          <w:p w14:paraId="550F9A37"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r>
      <w:tr w:rsidR="00252B58" w:rsidRPr="00252B58" w14:paraId="5757C312" w14:textId="77777777" w:rsidTr="004D0EA7">
        <w:trPr>
          <w:trHeight w:val="300"/>
        </w:trPr>
        <w:tc>
          <w:tcPr>
            <w:tcW w:w="32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7BA87" w14:textId="77777777" w:rsidR="009305F1" w:rsidRPr="00252B58" w:rsidRDefault="009305F1" w:rsidP="004D0EA7">
            <w:pPr>
              <w:spacing w:after="0" w:line="192" w:lineRule="auto"/>
              <w:rPr>
                <w:rFonts w:eastAsia="Times New Roman"/>
                <w:lang w:eastAsia="en-GB"/>
              </w:rPr>
            </w:pPr>
            <w:r w:rsidRPr="00252B58">
              <w:rPr>
                <w:rFonts w:eastAsia="Times New Roman"/>
                <w:b/>
                <w:lang w:eastAsia="en-GB"/>
              </w:rPr>
              <w:t>Median disease activity</w:t>
            </w:r>
            <w:r w:rsidRPr="00252B58">
              <w:rPr>
                <w:rFonts w:eastAsia="Times New Roman"/>
                <w:lang w:eastAsia="en-GB"/>
              </w:rPr>
              <w:t xml:space="preserve"> (range)</w:t>
            </w:r>
          </w:p>
        </w:tc>
        <w:tc>
          <w:tcPr>
            <w:tcW w:w="1843" w:type="dxa"/>
            <w:tcBorders>
              <w:top w:val="single" w:sz="4" w:space="0" w:color="auto"/>
              <w:left w:val="single" w:sz="4" w:space="0" w:color="auto"/>
              <w:bottom w:val="single" w:sz="4" w:space="0" w:color="auto"/>
            </w:tcBorders>
            <w:shd w:val="clear" w:color="auto" w:fill="auto"/>
            <w:noWrap/>
            <w:vAlign w:val="center"/>
            <w:hideMark/>
          </w:tcPr>
          <w:p w14:paraId="62BBA77B"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0 (0-3)</w:t>
            </w:r>
          </w:p>
        </w:tc>
        <w:tc>
          <w:tcPr>
            <w:tcW w:w="1842" w:type="dxa"/>
            <w:tcBorders>
              <w:top w:val="single" w:sz="4" w:space="0" w:color="auto"/>
              <w:bottom w:val="single" w:sz="4" w:space="0" w:color="auto"/>
              <w:right w:val="single" w:sz="4" w:space="0" w:color="auto"/>
            </w:tcBorders>
            <w:shd w:val="clear" w:color="auto" w:fill="auto"/>
            <w:noWrap/>
            <w:vAlign w:val="center"/>
            <w:hideMark/>
          </w:tcPr>
          <w:p w14:paraId="5414FCBD"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8 (4-22)</w:t>
            </w:r>
          </w:p>
        </w:tc>
        <w:tc>
          <w:tcPr>
            <w:tcW w:w="574" w:type="dxa"/>
            <w:tcBorders>
              <w:top w:val="single" w:sz="4" w:space="0" w:color="auto"/>
              <w:left w:val="single" w:sz="4" w:space="0" w:color="auto"/>
              <w:bottom w:val="single" w:sz="4" w:space="0" w:color="auto"/>
            </w:tcBorders>
            <w:shd w:val="clear" w:color="auto" w:fill="auto"/>
            <w:noWrap/>
            <w:vAlign w:val="center"/>
            <w:hideMark/>
          </w:tcPr>
          <w:p w14:paraId="4430BD72"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594" w:type="dxa"/>
            <w:tcBorders>
              <w:top w:val="single" w:sz="4" w:space="0" w:color="auto"/>
              <w:bottom w:val="single" w:sz="4" w:space="0" w:color="auto"/>
            </w:tcBorders>
            <w:shd w:val="clear" w:color="auto" w:fill="auto"/>
            <w:noWrap/>
            <w:vAlign w:val="center"/>
            <w:hideMark/>
          </w:tcPr>
          <w:p w14:paraId="1CE08FA4"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0 (0-2)</w:t>
            </w:r>
          </w:p>
        </w:tc>
        <w:tc>
          <w:tcPr>
            <w:tcW w:w="1958" w:type="dxa"/>
            <w:tcBorders>
              <w:top w:val="single" w:sz="4" w:space="0" w:color="auto"/>
              <w:bottom w:val="single" w:sz="4" w:space="0" w:color="auto"/>
              <w:right w:val="single" w:sz="4" w:space="0" w:color="auto"/>
            </w:tcBorders>
            <w:shd w:val="clear" w:color="auto" w:fill="auto"/>
            <w:noWrap/>
            <w:vAlign w:val="center"/>
            <w:hideMark/>
          </w:tcPr>
          <w:p w14:paraId="6DF33628"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6 (3-9)</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1837C"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NA </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DF5B3"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NA </w:t>
            </w:r>
          </w:p>
        </w:tc>
      </w:tr>
      <w:tr w:rsidR="00252B58" w:rsidRPr="00252B58" w14:paraId="04E8E037" w14:textId="77777777" w:rsidTr="004D0EA7">
        <w:trPr>
          <w:trHeight w:val="480"/>
        </w:trPr>
        <w:tc>
          <w:tcPr>
            <w:tcW w:w="3220" w:type="dxa"/>
            <w:gridSpan w:val="5"/>
            <w:tcBorders>
              <w:top w:val="single" w:sz="4" w:space="0" w:color="auto"/>
              <w:left w:val="single" w:sz="4" w:space="0" w:color="auto"/>
              <w:right w:val="single" w:sz="4" w:space="0" w:color="000000"/>
            </w:tcBorders>
            <w:shd w:val="clear" w:color="auto" w:fill="auto"/>
            <w:vAlign w:val="center"/>
            <w:hideMark/>
          </w:tcPr>
          <w:p w14:paraId="5CE36ADF" w14:textId="77777777" w:rsidR="009305F1" w:rsidRPr="00252B58" w:rsidRDefault="009305F1" w:rsidP="004D0EA7">
            <w:pPr>
              <w:spacing w:after="0" w:line="192" w:lineRule="auto"/>
              <w:rPr>
                <w:rFonts w:eastAsia="Times New Roman"/>
                <w:b/>
                <w:lang w:eastAsia="en-GB"/>
              </w:rPr>
            </w:pPr>
            <w:r w:rsidRPr="00252B58">
              <w:rPr>
                <w:rFonts w:eastAsia="Times New Roman"/>
                <w:b/>
                <w:lang w:eastAsia="en-GB"/>
              </w:rPr>
              <w:t xml:space="preserve">Median CRP  </w:t>
            </w:r>
            <w:r w:rsidRPr="00252B58">
              <w:rPr>
                <w:rFonts w:eastAsia="Times New Roman"/>
                <w:lang w:eastAsia="en-GB"/>
              </w:rPr>
              <w:t>(n, range)</w:t>
            </w:r>
          </w:p>
        </w:tc>
        <w:tc>
          <w:tcPr>
            <w:tcW w:w="1843" w:type="dxa"/>
            <w:tcBorders>
              <w:top w:val="nil"/>
              <w:left w:val="nil"/>
              <w:right w:val="nil"/>
            </w:tcBorders>
            <w:shd w:val="clear" w:color="auto" w:fill="auto"/>
            <w:vAlign w:val="center"/>
            <w:hideMark/>
          </w:tcPr>
          <w:p w14:paraId="1B87C4FB"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3.0(6, 0.9-12)</w:t>
            </w:r>
          </w:p>
        </w:tc>
        <w:tc>
          <w:tcPr>
            <w:tcW w:w="1842" w:type="dxa"/>
            <w:tcBorders>
              <w:top w:val="nil"/>
              <w:left w:val="nil"/>
              <w:right w:val="single" w:sz="4" w:space="0" w:color="auto"/>
            </w:tcBorders>
            <w:shd w:val="clear" w:color="auto" w:fill="auto"/>
            <w:vAlign w:val="center"/>
            <w:hideMark/>
          </w:tcPr>
          <w:p w14:paraId="429C8E1A"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9.5(12, 2-40)</w:t>
            </w:r>
          </w:p>
        </w:tc>
        <w:tc>
          <w:tcPr>
            <w:tcW w:w="574" w:type="dxa"/>
            <w:tcBorders>
              <w:top w:val="single" w:sz="4" w:space="0" w:color="auto"/>
              <w:left w:val="nil"/>
              <w:right w:val="nil"/>
            </w:tcBorders>
            <w:shd w:val="clear" w:color="auto" w:fill="auto"/>
            <w:vAlign w:val="center"/>
            <w:hideMark/>
          </w:tcPr>
          <w:p w14:paraId="0B0448C6"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594" w:type="dxa"/>
            <w:tcBorders>
              <w:top w:val="single" w:sz="4" w:space="0" w:color="auto"/>
              <w:left w:val="nil"/>
              <w:right w:val="nil"/>
            </w:tcBorders>
            <w:shd w:val="clear" w:color="auto" w:fill="auto"/>
            <w:vAlign w:val="center"/>
            <w:hideMark/>
          </w:tcPr>
          <w:p w14:paraId="3E6898CA"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2 (14, 1-25)</w:t>
            </w:r>
          </w:p>
        </w:tc>
        <w:tc>
          <w:tcPr>
            <w:tcW w:w="1958" w:type="dxa"/>
            <w:tcBorders>
              <w:top w:val="single" w:sz="4" w:space="0" w:color="auto"/>
              <w:left w:val="nil"/>
              <w:right w:val="single" w:sz="4" w:space="0" w:color="auto"/>
            </w:tcBorders>
            <w:shd w:val="clear" w:color="auto" w:fill="auto"/>
            <w:vAlign w:val="center"/>
            <w:hideMark/>
          </w:tcPr>
          <w:p w14:paraId="4DBA5473"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5 (10, 0.9-6)</w:t>
            </w:r>
          </w:p>
        </w:tc>
        <w:tc>
          <w:tcPr>
            <w:tcW w:w="1678" w:type="dxa"/>
            <w:tcBorders>
              <w:top w:val="single" w:sz="4" w:space="0" w:color="auto"/>
              <w:left w:val="nil"/>
              <w:right w:val="single" w:sz="4" w:space="0" w:color="auto"/>
            </w:tcBorders>
            <w:shd w:val="clear" w:color="auto" w:fill="auto"/>
            <w:vAlign w:val="center"/>
            <w:hideMark/>
          </w:tcPr>
          <w:p w14:paraId="00469C2B"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3.5 (8, 1-9)</w:t>
            </w:r>
          </w:p>
        </w:tc>
        <w:tc>
          <w:tcPr>
            <w:tcW w:w="1892" w:type="dxa"/>
            <w:tcBorders>
              <w:top w:val="single" w:sz="4" w:space="0" w:color="auto"/>
              <w:left w:val="nil"/>
              <w:right w:val="single" w:sz="4" w:space="0" w:color="auto"/>
            </w:tcBorders>
            <w:shd w:val="clear" w:color="auto" w:fill="auto"/>
            <w:vAlign w:val="center"/>
            <w:hideMark/>
          </w:tcPr>
          <w:p w14:paraId="2FE1CFAD"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 (10, 1-5)</w:t>
            </w:r>
          </w:p>
        </w:tc>
      </w:tr>
      <w:tr w:rsidR="00252B58" w:rsidRPr="00252B58" w14:paraId="7FEC8A37" w14:textId="77777777" w:rsidTr="004D0EA7">
        <w:trPr>
          <w:trHeight w:val="495"/>
        </w:trPr>
        <w:tc>
          <w:tcPr>
            <w:tcW w:w="3220" w:type="dxa"/>
            <w:gridSpan w:val="5"/>
            <w:tcBorders>
              <w:top w:val="nil"/>
              <w:left w:val="single" w:sz="4" w:space="0" w:color="auto"/>
              <w:right w:val="single" w:sz="4" w:space="0" w:color="000000"/>
            </w:tcBorders>
            <w:shd w:val="clear" w:color="auto" w:fill="auto"/>
            <w:vAlign w:val="center"/>
            <w:hideMark/>
          </w:tcPr>
          <w:p w14:paraId="74EE60F7" w14:textId="77777777" w:rsidR="009305F1" w:rsidRPr="00252B58" w:rsidRDefault="009305F1" w:rsidP="004D0EA7">
            <w:pPr>
              <w:spacing w:after="0" w:line="192" w:lineRule="auto"/>
              <w:rPr>
                <w:rFonts w:eastAsia="Times New Roman"/>
                <w:lang w:eastAsia="en-GB"/>
              </w:rPr>
            </w:pPr>
            <w:r w:rsidRPr="00252B58">
              <w:rPr>
                <w:rFonts w:eastAsia="Times New Roman"/>
                <w:b/>
                <w:lang w:eastAsia="en-GB"/>
              </w:rPr>
              <w:t>Median WCC</w:t>
            </w:r>
            <w:r w:rsidRPr="00252B58">
              <w:rPr>
                <w:rFonts w:eastAsia="Times New Roman"/>
                <w:lang w:eastAsia="en-GB"/>
              </w:rPr>
              <w:t xml:space="preserve"> (n, range)</w:t>
            </w:r>
          </w:p>
        </w:tc>
        <w:tc>
          <w:tcPr>
            <w:tcW w:w="1843" w:type="dxa"/>
            <w:tcBorders>
              <w:top w:val="nil"/>
              <w:left w:val="nil"/>
              <w:right w:val="nil"/>
            </w:tcBorders>
            <w:shd w:val="clear" w:color="auto" w:fill="auto"/>
            <w:vAlign w:val="center"/>
            <w:hideMark/>
          </w:tcPr>
          <w:p w14:paraId="780ACC67"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5.6(7, 3.5-8.2)</w:t>
            </w:r>
          </w:p>
        </w:tc>
        <w:tc>
          <w:tcPr>
            <w:tcW w:w="1842" w:type="dxa"/>
            <w:tcBorders>
              <w:top w:val="nil"/>
              <w:left w:val="nil"/>
              <w:right w:val="single" w:sz="4" w:space="0" w:color="auto"/>
            </w:tcBorders>
            <w:shd w:val="clear" w:color="auto" w:fill="auto"/>
            <w:vAlign w:val="center"/>
            <w:hideMark/>
          </w:tcPr>
          <w:p w14:paraId="5150822E"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7.4 (12, 6.3-17.8)</w:t>
            </w:r>
          </w:p>
        </w:tc>
        <w:tc>
          <w:tcPr>
            <w:tcW w:w="574" w:type="dxa"/>
            <w:tcBorders>
              <w:top w:val="nil"/>
              <w:left w:val="nil"/>
              <w:right w:val="nil"/>
            </w:tcBorders>
            <w:shd w:val="clear" w:color="auto" w:fill="auto"/>
            <w:vAlign w:val="center"/>
            <w:hideMark/>
          </w:tcPr>
          <w:p w14:paraId="189EF4CE"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 </w:t>
            </w:r>
          </w:p>
        </w:tc>
        <w:tc>
          <w:tcPr>
            <w:tcW w:w="1594" w:type="dxa"/>
            <w:tcBorders>
              <w:top w:val="nil"/>
              <w:left w:val="nil"/>
              <w:right w:val="nil"/>
            </w:tcBorders>
            <w:shd w:val="clear" w:color="auto" w:fill="auto"/>
            <w:vAlign w:val="center"/>
            <w:hideMark/>
          </w:tcPr>
          <w:p w14:paraId="2522515D"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7(18, 3.8-10.2)</w:t>
            </w:r>
          </w:p>
        </w:tc>
        <w:tc>
          <w:tcPr>
            <w:tcW w:w="1958" w:type="dxa"/>
            <w:tcBorders>
              <w:top w:val="nil"/>
              <w:left w:val="nil"/>
              <w:right w:val="single" w:sz="4" w:space="0" w:color="auto"/>
            </w:tcBorders>
            <w:shd w:val="clear" w:color="auto" w:fill="auto"/>
            <w:vAlign w:val="center"/>
            <w:hideMark/>
          </w:tcPr>
          <w:p w14:paraId="30981E0D"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6.8(10, 4.5-13.6)</w:t>
            </w:r>
          </w:p>
        </w:tc>
        <w:tc>
          <w:tcPr>
            <w:tcW w:w="1678" w:type="dxa"/>
            <w:tcBorders>
              <w:top w:val="nil"/>
              <w:left w:val="nil"/>
              <w:right w:val="single" w:sz="4" w:space="0" w:color="auto"/>
            </w:tcBorders>
            <w:shd w:val="clear" w:color="auto" w:fill="auto"/>
            <w:vAlign w:val="center"/>
            <w:hideMark/>
          </w:tcPr>
          <w:p w14:paraId="56C59437"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7.4 (10, 3.5-9.7)</w:t>
            </w:r>
          </w:p>
        </w:tc>
        <w:tc>
          <w:tcPr>
            <w:tcW w:w="1892" w:type="dxa"/>
            <w:tcBorders>
              <w:top w:val="nil"/>
              <w:left w:val="nil"/>
              <w:right w:val="single" w:sz="4" w:space="0" w:color="auto"/>
            </w:tcBorders>
            <w:shd w:val="clear" w:color="auto" w:fill="auto"/>
            <w:vAlign w:val="center"/>
            <w:hideMark/>
          </w:tcPr>
          <w:p w14:paraId="74D3E45C"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6.2 (10, 5.4-12.7)</w:t>
            </w:r>
          </w:p>
        </w:tc>
      </w:tr>
      <w:tr w:rsidR="00252B58" w:rsidRPr="00252B58" w14:paraId="630527DF" w14:textId="77777777" w:rsidTr="004D0EA7">
        <w:trPr>
          <w:trHeight w:val="495"/>
        </w:trPr>
        <w:tc>
          <w:tcPr>
            <w:tcW w:w="3220" w:type="dxa"/>
            <w:gridSpan w:val="5"/>
            <w:tcBorders>
              <w:left w:val="single" w:sz="4" w:space="0" w:color="auto"/>
              <w:bottom w:val="single" w:sz="4" w:space="0" w:color="auto"/>
              <w:right w:val="single" w:sz="4" w:space="0" w:color="000000"/>
            </w:tcBorders>
            <w:shd w:val="clear" w:color="auto" w:fill="auto"/>
            <w:vAlign w:val="center"/>
          </w:tcPr>
          <w:p w14:paraId="307F564B" w14:textId="77777777" w:rsidR="009305F1" w:rsidRPr="00252B58" w:rsidRDefault="009305F1" w:rsidP="004D0EA7">
            <w:pPr>
              <w:spacing w:after="0" w:line="192" w:lineRule="auto"/>
              <w:rPr>
                <w:rFonts w:eastAsia="Times New Roman"/>
                <w:b/>
                <w:lang w:eastAsia="en-GB"/>
              </w:rPr>
            </w:pPr>
            <w:r w:rsidRPr="00252B58">
              <w:rPr>
                <w:rFonts w:eastAsia="Times New Roman"/>
                <w:b/>
                <w:lang w:eastAsia="en-GB"/>
              </w:rPr>
              <w:t xml:space="preserve">Median PV </w:t>
            </w:r>
            <w:r w:rsidRPr="00252B58">
              <w:rPr>
                <w:rFonts w:eastAsia="Times New Roman"/>
                <w:lang w:eastAsia="en-GB"/>
              </w:rPr>
              <w:t>(n)</w:t>
            </w:r>
          </w:p>
        </w:tc>
        <w:tc>
          <w:tcPr>
            <w:tcW w:w="1843" w:type="dxa"/>
            <w:tcBorders>
              <w:left w:val="nil"/>
              <w:bottom w:val="single" w:sz="4" w:space="0" w:color="auto"/>
              <w:right w:val="nil"/>
            </w:tcBorders>
            <w:shd w:val="clear" w:color="auto" w:fill="auto"/>
            <w:vAlign w:val="center"/>
          </w:tcPr>
          <w:p w14:paraId="201E4DE5"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1.7 (4)</w:t>
            </w:r>
          </w:p>
        </w:tc>
        <w:tc>
          <w:tcPr>
            <w:tcW w:w="1842" w:type="dxa"/>
            <w:tcBorders>
              <w:left w:val="nil"/>
              <w:bottom w:val="single" w:sz="4" w:space="0" w:color="auto"/>
              <w:right w:val="single" w:sz="4" w:space="0" w:color="auto"/>
            </w:tcBorders>
            <w:shd w:val="clear" w:color="auto" w:fill="auto"/>
            <w:vAlign w:val="center"/>
          </w:tcPr>
          <w:p w14:paraId="459F0B14"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1.8 (10)</w:t>
            </w:r>
          </w:p>
        </w:tc>
        <w:tc>
          <w:tcPr>
            <w:tcW w:w="574" w:type="dxa"/>
            <w:tcBorders>
              <w:left w:val="nil"/>
              <w:bottom w:val="single" w:sz="4" w:space="0" w:color="auto"/>
              <w:right w:val="nil"/>
            </w:tcBorders>
            <w:shd w:val="clear" w:color="auto" w:fill="auto"/>
            <w:vAlign w:val="center"/>
          </w:tcPr>
          <w:p w14:paraId="0178E3A6" w14:textId="77777777" w:rsidR="009305F1" w:rsidRPr="00252B58" w:rsidRDefault="009305F1" w:rsidP="004D0EA7">
            <w:pPr>
              <w:spacing w:after="0" w:line="192" w:lineRule="auto"/>
              <w:jc w:val="center"/>
              <w:rPr>
                <w:rFonts w:eastAsia="Times New Roman"/>
                <w:lang w:eastAsia="en-GB"/>
              </w:rPr>
            </w:pPr>
          </w:p>
        </w:tc>
        <w:tc>
          <w:tcPr>
            <w:tcW w:w="1594" w:type="dxa"/>
            <w:tcBorders>
              <w:left w:val="nil"/>
              <w:bottom w:val="single" w:sz="4" w:space="0" w:color="auto"/>
              <w:right w:val="nil"/>
            </w:tcBorders>
            <w:shd w:val="clear" w:color="auto" w:fill="auto"/>
            <w:vAlign w:val="center"/>
          </w:tcPr>
          <w:p w14:paraId="15C20191"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1.7 (12)</w:t>
            </w:r>
          </w:p>
        </w:tc>
        <w:tc>
          <w:tcPr>
            <w:tcW w:w="1958" w:type="dxa"/>
            <w:tcBorders>
              <w:left w:val="nil"/>
              <w:bottom w:val="single" w:sz="4" w:space="0" w:color="auto"/>
              <w:right w:val="single" w:sz="4" w:space="0" w:color="auto"/>
            </w:tcBorders>
            <w:shd w:val="clear" w:color="auto" w:fill="auto"/>
            <w:vAlign w:val="center"/>
          </w:tcPr>
          <w:p w14:paraId="4EC2DC3C"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1.7 (10)</w:t>
            </w:r>
          </w:p>
        </w:tc>
        <w:tc>
          <w:tcPr>
            <w:tcW w:w="1678" w:type="dxa"/>
            <w:tcBorders>
              <w:left w:val="nil"/>
              <w:bottom w:val="single" w:sz="4" w:space="0" w:color="auto"/>
              <w:right w:val="single" w:sz="4" w:space="0" w:color="auto"/>
            </w:tcBorders>
            <w:shd w:val="clear" w:color="auto" w:fill="auto"/>
            <w:vAlign w:val="center"/>
          </w:tcPr>
          <w:p w14:paraId="2487D6DB"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1.6 (8)</w:t>
            </w:r>
          </w:p>
        </w:tc>
        <w:tc>
          <w:tcPr>
            <w:tcW w:w="1892" w:type="dxa"/>
            <w:tcBorders>
              <w:left w:val="nil"/>
              <w:bottom w:val="single" w:sz="4" w:space="0" w:color="auto"/>
              <w:right w:val="single" w:sz="4" w:space="0" w:color="auto"/>
            </w:tcBorders>
            <w:shd w:val="clear" w:color="auto" w:fill="auto"/>
            <w:vAlign w:val="center"/>
          </w:tcPr>
          <w:p w14:paraId="0A4A64AE" w14:textId="77777777" w:rsidR="009305F1" w:rsidRPr="00252B58" w:rsidRDefault="009305F1" w:rsidP="004D0EA7">
            <w:pPr>
              <w:spacing w:after="0" w:line="192" w:lineRule="auto"/>
              <w:jc w:val="center"/>
              <w:rPr>
                <w:rFonts w:eastAsia="Times New Roman"/>
                <w:lang w:eastAsia="en-GB"/>
              </w:rPr>
            </w:pPr>
            <w:r w:rsidRPr="00252B58">
              <w:rPr>
                <w:rFonts w:eastAsia="Times New Roman"/>
                <w:lang w:eastAsia="en-GB"/>
              </w:rPr>
              <w:t>NA</w:t>
            </w:r>
          </w:p>
        </w:tc>
      </w:tr>
      <w:tr w:rsidR="00252B58" w:rsidRPr="00252B58" w14:paraId="5BAAE9D4" w14:textId="77777777" w:rsidTr="004D0EA7">
        <w:trPr>
          <w:trHeight w:val="300"/>
        </w:trPr>
        <w:tc>
          <w:tcPr>
            <w:tcW w:w="2178" w:type="dxa"/>
            <w:gridSpan w:val="3"/>
            <w:tcBorders>
              <w:top w:val="nil"/>
              <w:left w:val="single" w:sz="4" w:space="0" w:color="auto"/>
              <w:bottom w:val="nil"/>
              <w:right w:val="nil"/>
            </w:tcBorders>
            <w:shd w:val="clear" w:color="auto" w:fill="auto"/>
            <w:vAlign w:val="center"/>
            <w:hideMark/>
          </w:tcPr>
          <w:p w14:paraId="57D78CD9" w14:textId="77777777" w:rsidR="009305F1" w:rsidRPr="00252B58" w:rsidRDefault="009305F1" w:rsidP="004D0EA7">
            <w:pPr>
              <w:spacing w:after="0" w:line="240" w:lineRule="auto"/>
              <w:rPr>
                <w:rFonts w:eastAsia="Times New Roman"/>
                <w:b/>
                <w:bCs/>
                <w:lang w:eastAsia="en-GB"/>
              </w:rPr>
            </w:pPr>
            <w:r w:rsidRPr="00252B58">
              <w:rPr>
                <w:rFonts w:eastAsia="Times New Roman"/>
                <w:b/>
                <w:bCs/>
                <w:lang w:eastAsia="en-GB"/>
              </w:rPr>
              <w:t>Current medication</w:t>
            </w:r>
          </w:p>
        </w:tc>
        <w:tc>
          <w:tcPr>
            <w:tcW w:w="375" w:type="dxa"/>
            <w:tcBorders>
              <w:top w:val="nil"/>
              <w:left w:val="nil"/>
              <w:bottom w:val="nil"/>
              <w:right w:val="nil"/>
            </w:tcBorders>
            <w:shd w:val="clear" w:color="auto" w:fill="auto"/>
            <w:vAlign w:val="center"/>
            <w:hideMark/>
          </w:tcPr>
          <w:p w14:paraId="03433DD2" w14:textId="77777777" w:rsidR="009305F1" w:rsidRPr="00252B58" w:rsidRDefault="009305F1" w:rsidP="004D0EA7">
            <w:pPr>
              <w:spacing w:after="0" w:line="240" w:lineRule="auto"/>
              <w:rPr>
                <w:rFonts w:eastAsia="Times New Roman"/>
                <w:b/>
                <w:bCs/>
                <w:lang w:eastAsia="en-GB"/>
              </w:rPr>
            </w:pPr>
          </w:p>
        </w:tc>
        <w:tc>
          <w:tcPr>
            <w:tcW w:w="667" w:type="dxa"/>
            <w:tcBorders>
              <w:top w:val="nil"/>
              <w:left w:val="nil"/>
              <w:bottom w:val="nil"/>
              <w:right w:val="single" w:sz="4" w:space="0" w:color="auto"/>
            </w:tcBorders>
            <w:shd w:val="clear" w:color="auto" w:fill="auto"/>
            <w:vAlign w:val="center"/>
            <w:hideMark/>
          </w:tcPr>
          <w:p w14:paraId="45A764B9"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1843" w:type="dxa"/>
            <w:tcBorders>
              <w:top w:val="nil"/>
              <w:left w:val="nil"/>
              <w:bottom w:val="nil"/>
              <w:right w:val="nil"/>
            </w:tcBorders>
            <w:shd w:val="clear" w:color="auto" w:fill="auto"/>
            <w:vAlign w:val="center"/>
            <w:hideMark/>
          </w:tcPr>
          <w:p w14:paraId="41CFF955"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1842" w:type="dxa"/>
            <w:tcBorders>
              <w:top w:val="nil"/>
              <w:left w:val="nil"/>
              <w:bottom w:val="nil"/>
              <w:right w:val="single" w:sz="4" w:space="0" w:color="auto"/>
            </w:tcBorders>
            <w:shd w:val="clear" w:color="auto" w:fill="auto"/>
            <w:vAlign w:val="center"/>
            <w:hideMark/>
          </w:tcPr>
          <w:p w14:paraId="629D007A"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574" w:type="dxa"/>
            <w:tcBorders>
              <w:top w:val="nil"/>
              <w:left w:val="nil"/>
              <w:bottom w:val="nil"/>
              <w:right w:val="nil"/>
            </w:tcBorders>
            <w:shd w:val="clear" w:color="auto" w:fill="auto"/>
            <w:vAlign w:val="center"/>
            <w:hideMark/>
          </w:tcPr>
          <w:p w14:paraId="3C2836EA"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1594" w:type="dxa"/>
            <w:tcBorders>
              <w:top w:val="nil"/>
              <w:left w:val="nil"/>
              <w:bottom w:val="nil"/>
              <w:right w:val="nil"/>
            </w:tcBorders>
            <w:shd w:val="clear" w:color="auto" w:fill="auto"/>
            <w:vAlign w:val="center"/>
            <w:hideMark/>
          </w:tcPr>
          <w:p w14:paraId="6DCF8CBE" w14:textId="77777777" w:rsidR="009305F1" w:rsidRPr="00252B58" w:rsidRDefault="009305F1" w:rsidP="004D0EA7">
            <w:pPr>
              <w:spacing w:after="0" w:line="240" w:lineRule="auto"/>
              <w:jc w:val="center"/>
              <w:rPr>
                <w:rFonts w:eastAsia="Times New Roman"/>
                <w:lang w:eastAsia="en-GB"/>
              </w:rPr>
            </w:pPr>
          </w:p>
        </w:tc>
        <w:tc>
          <w:tcPr>
            <w:tcW w:w="1958" w:type="dxa"/>
            <w:tcBorders>
              <w:top w:val="nil"/>
              <w:left w:val="nil"/>
              <w:bottom w:val="nil"/>
              <w:right w:val="single" w:sz="4" w:space="0" w:color="auto"/>
            </w:tcBorders>
            <w:shd w:val="clear" w:color="auto" w:fill="auto"/>
            <w:vAlign w:val="center"/>
            <w:hideMark/>
          </w:tcPr>
          <w:p w14:paraId="4E5737C7"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1678" w:type="dxa"/>
            <w:tcBorders>
              <w:top w:val="nil"/>
              <w:left w:val="nil"/>
              <w:bottom w:val="nil"/>
              <w:right w:val="single" w:sz="4" w:space="0" w:color="auto"/>
            </w:tcBorders>
            <w:shd w:val="clear" w:color="auto" w:fill="auto"/>
            <w:vAlign w:val="center"/>
            <w:hideMark/>
          </w:tcPr>
          <w:p w14:paraId="0303B6B9"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1892" w:type="dxa"/>
            <w:tcBorders>
              <w:top w:val="nil"/>
              <w:left w:val="nil"/>
              <w:bottom w:val="nil"/>
              <w:right w:val="single" w:sz="4" w:space="0" w:color="auto"/>
            </w:tcBorders>
            <w:shd w:val="clear" w:color="auto" w:fill="auto"/>
            <w:vAlign w:val="center"/>
            <w:hideMark/>
          </w:tcPr>
          <w:p w14:paraId="40857A20"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r>
      <w:tr w:rsidR="00252B58" w:rsidRPr="00252B58" w14:paraId="18A0FA33" w14:textId="77777777" w:rsidTr="004D0EA7">
        <w:trPr>
          <w:trHeight w:val="300"/>
        </w:trPr>
        <w:tc>
          <w:tcPr>
            <w:tcW w:w="500" w:type="dxa"/>
            <w:tcBorders>
              <w:top w:val="nil"/>
              <w:left w:val="single" w:sz="4" w:space="0" w:color="auto"/>
              <w:bottom w:val="nil"/>
              <w:right w:val="nil"/>
            </w:tcBorders>
            <w:shd w:val="clear" w:color="auto" w:fill="auto"/>
            <w:vAlign w:val="center"/>
            <w:hideMark/>
          </w:tcPr>
          <w:p w14:paraId="46D95071"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1678" w:type="dxa"/>
            <w:gridSpan w:val="2"/>
            <w:tcBorders>
              <w:top w:val="nil"/>
              <w:left w:val="nil"/>
              <w:bottom w:val="nil"/>
              <w:right w:val="nil"/>
            </w:tcBorders>
            <w:shd w:val="clear" w:color="auto" w:fill="auto"/>
            <w:vAlign w:val="center"/>
            <w:hideMark/>
          </w:tcPr>
          <w:p w14:paraId="19EFE482" w14:textId="77777777" w:rsidR="009305F1" w:rsidRPr="00252B58" w:rsidRDefault="009305F1" w:rsidP="004D0EA7">
            <w:pPr>
              <w:spacing w:after="0" w:line="168" w:lineRule="auto"/>
              <w:rPr>
                <w:rFonts w:eastAsia="Times New Roman"/>
                <w:lang w:eastAsia="en-GB"/>
              </w:rPr>
            </w:pPr>
            <w:r w:rsidRPr="00252B58">
              <w:rPr>
                <w:rFonts w:eastAsia="Times New Roman"/>
                <w:lang w:eastAsia="en-GB"/>
              </w:rPr>
              <w:t>Steroids</w:t>
            </w:r>
          </w:p>
        </w:tc>
        <w:tc>
          <w:tcPr>
            <w:tcW w:w="375" w:type="dxa"/>
            <w:tcBorders>
              <w:top w:val="nil"/>
              <w:left w:val="nil"/>
              <w:bottom w:val="nil"/>
              <w:right w:val="nil"/>
            </w:tcBorders>
            <w:shd w:val="clear" w:color="auto" w:fill="auto"/>
            <w:vAlign w:val="center"/>
            <w:hideMark/>
          </w:tcPr>
          <w:p w14:paraId="231E0075" w14:textId="77777777" w:rsidR="009305F1" w:rsidRPr="00252B58" w:rsidRDefault="009305F1" w:rsidP="004D0EA7">
            <w:pPr>
              <w:spacing w:after="0" w:line="168" w:lineRule="auto"/>
              <w:rPr>
                <w:rFonts w:eastAsia="Times New Roman"/>
                <w:lang w:eastAsia="en-GB"/>
              </w:rPr>
            </w:pPr>
          </w:p>
        </w:tc>
        <w:tc>
          <w:tcPr>
            <w:tcW w:w="667" w:type="dxa"/>
            <w:tcBorders>
              <w:top w:val="nil"/>
              <w:left w:val="nil"/>
              <w:bottom w:val="nil"/>
              <w:right w:val="single" w:sz="4" w:space="0" w:color="auto"/>
            </w:tcBorders>
            <w:shd w:val="clear" w:color="auto" w:fill="auto"/>
            <w:vAlign w:val="center"/>
            <w:hideMark/>
          </w:tcPr>
          <w:p w14:paraId="510448F1"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43" w:type="dxa"/>
            <w:tcBorders>
              <w:top w:val="nil"/>
              <w:left w:val="nil"/>
              <w:bottom w:val="nil"/>
              <w:right w:val="nil"/>
            </w:tcBorders>
            <w:shd w:val="clear" w:color="auto" w:fill="auto"/>
            <w:vAlign w:val="center"/>
            <w:hideMark/>
          </w:tcPr>
          <w:p w14:paraId="2C6F277C"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2</w:t>
            </w:r>
          </w:p>
        </w:tc>
        <w:tc>
          <w:tcPr>
            <w:tcW w:w="1842" w:type="dxa"/>
            <w:tcBorders>
              <w:top w:val="nil"/>
              <w:left w:val="nil"/>
              <w:bottom w:val="nil"/>
              <w:right w:val="single" w:sz="4" w:space="0" w:color="auto"/>
            </w:tcBorders>
            <w:shd w:val="clear" w:color="auto" w:fill="auto"/>
            <w:vAlign w:val="center"/>
            <w:hideMark/>
          </w:tcPr>
          <w:p w14:paraId="3F4A8308"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8</w:t>
            </w:r>
          </w:p>
        </w:tc>
        <w:tc>
          <w:tcPr>
            <w:tcW w:w="574" w:type="dxa"/>
            <w:tcBorders>
              <w:top w:val="nil"/>
              <w:left w:val="nil"/>
              <w:bottom w:val="nil"/>
              <w:right w:val="nil"/>
            </w:tcBorders>
            <w:shd w:val="clear" w:color="auto" w:fill="auto"/>
            <w:vAlign w:val="center"/>
            <w:hideMark/>
          </w:tcPr>
          <w:p w14:paraId="2891B295"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594" w:type="dxa"/>
            <w:tcBorders>
              <w:top w:val="nil"/>
              <w:left w:val="nil"/>
              <w:bottom w:val="nil"/>
              <w:right w:val="nil"/>
            </w:tcBorders>
            <w:shd w:val="clear" w:color="auto" w:fill="auto"/>
            <w:vAlign w:val="center"/>
            <w:hideMark/>
          </w:tcPr>
          <w:p w14:paraId="787CCE73" w14:textId="77777777" w:rsidR="009305F1" w:rsidRPr="00252B58" w:rsidRDefault="009305F1" w:rsidP="004D0EA7">
            <w:pPr>
              <w:spacing w:after="0" w:line="168" w:lineRule="auto"/>
              <w:jc w:val="center"/>
              <w:rPr>
                <w:rFonts w:eastAsia="Times New Roman"/>
                <w:lang w:eastAsia="en-GB"/>
              </w:rPr>
            </w:pPr>
          </w:p>
        </w:tc>
        <w:tc>
          <w:tcPr>
            <w:tcW w:w="1958" w:type="dxa"/>
            <w:tcBorders>
              <w:top w:val="nil"/>
              <w:left w:val="nil"/>
              <w:bottom w:val="nil"/>
              <w:right w:val="single" w:sz="4" w:space="0" w:color="auto"/>
            </w:tcBorders>
            <w:shd w:val="clear" w:color="auto" w:fill="auto"/>
            <w:vAlign w:val="center"/>
            <w:hideMark/>
          </w:tcPr>
          <w:p w14:paraId="67090730"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3</w:t>
            </w:r>
          </w:p>
        </w:tc>
        <w:tc>
          <w:tcPr>
            <w:tcW w:w="1678" w:type="dxa"/>
            <w:tcBorders>
              <w:top w:val="nil"/>
              <w:left w:val="nil"/>
              <w:bottom w:val="nil"/>
              <w:right w:val="single" w:sz="4" w:space="0" w:color="auto"/>
            </w:tcBorders>
            <w:shd w:val="clear" w:color="auto" w:fill="auto"/>
            <w:vAlign w:val="center"/>
            <w:hideMark/>
          </w:tcPr>
          <w:p w14:paraId="6065AE8D"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92" w:type="dxa"/>
            <w:tcBorders>
              <w:top w:val="nil"/>
              <w:left w:val="nil"/>
              <w:bottom w:val="nil"/>
              <w:right w:val="single" w:sz="4" w:space="0" w:color="auto"/>
            </w:tcBorders>
            <w:shd w:val="clear" w:color="auto" w:fill="auto"/>
            <w:vAlign w:val="center"/>
            <w:hideMark/>
          </w:tcPr>
          <w:p w14:paraId="37E64990"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r>
      <w:tr w:rsidR="00252B58" w:rsidRPr="00252B58" w14:paraId="46118156" w14:textId="77777777" w:rsidTr="004D0EA7">
        <w:trPr>
          <w:trHeight w:val="690"/>
        </w:trPr>
        <w:tc>
          <w:tcPr>
            <w:tcW w:w="500" w:type="dxa"/>
            <w:tcBorders>
              <w:top w:val="nil"/>
              <w:left w:val="single" w:sz="4" w:space="0" w:color="auto"/>
              <w:bottom w:val="nil"/>
              <w:right w:val="nil"/>
            </w:tcBorders>
            <w:shd w:val="clear" w:color="auto" w:fill="auto"/>
            <w:vAlign w:val="center"/>
            <w:hideMark/>
          </w:tcPr>
          <w:p w14:paraId="72AB24AE"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1678" w:type="dxa"/>
            <w:gridSpan w:val="2"/>
            <w:tcBorders>
              <w:top w:val="nil"/>
              <w:left w:val="nil"/>
              <w:bottom w:val="nil"/>
              <w:right w:val="nil"/>
            </w:tcBorders>
            <w:shd w:val="clear" w:color="auto" w:fill="auto"/>
            <w:vAlign w:val="center"/>
            <w:hideMark/>
          </w:tcPr>
          <w:p w14:paraId="2AAB2338" w14:textId="77777777" w:rsidR="009305F1" w:rsidRPr="00252B58" w:rsidRDefault="009305F1" w:rsidP="004D0EA7">
            <w:pPr>
              <w:spacing w:after="0" w:line="168" w:lineRule="auto"/>
              <w:rPr>
                <w:rFonts w:eastAsia="Times New Roman"/>
                <w:lang w:eastAsia="en-GB"/>
              </w:rPr>
            </w:pPr>
            <w:r w:rsidRPr="00252B58">
              <w:rPr>
                <w:rFonts w:eastAsia="Times New Roman"/>
                <w:lang w:eastAsia="en-GB"/>
              </w:rPr>
              <w:t>Azathiopine / Mercaptopurine</w:t>
            </w:r>
          </w:p>
        </w:tc>
        <w:tc>
          <w:tcPr>
            <w:tcW w:w="375" w:type="dxa"/>
            <w:tcBorders>
              <w:top w:val="nil"/>
              <w:left w:val="nil"/>
              <w:bottom w:val="nil"/>
              <w:right w:val="nil"/>
            </w:tcBorders>
            <w:shd w:val="clear" w:color="auto" w:fill="auto"/>
            <w:vAlign w:val="center"/>
            <w:hideMark/>
          </w:tcPr>
          <w:p w14:paraId="0272E680" w14:textId="77777777" w:rsidR="009305F1" w:rsidRPr="00252B58" w:rsidRDefault="009305F1" w:rsidP="004D0EA7">
            <w:pPr>
              <w:spacing w:after="0" w:line="168" w:lineRule="auto"/>
              <w:rPr>
                <w:rFonts w:eastAsia="Times New Roman"/>
                <w:lang w:eastAsia="en-GB"/>
              </w:rPr>
            </w:pPr>
          </w:p>
        </w:tc>
        <w:tc>
          <w:tcPr>
            <w:tcW w:w="667" w:type="dxa"/>
            <w:tcBorders>
              <w:top w:val="nil"/>
              <w:left w:val="nil"/>
              <w:bottom w:val="nil"/>
              <w:right w:val="single" w:sz="4" w:space="0" w:color="auto"/>
            </w:tcBorders>
            <w:shd w:val="clear" w:color="auto" w:fill="auto"/>
            <w:vAlign w:val="center"/>
            <w:hideMark/>
          </w:tcPr>
          <w:p w14:paraId="0D017719"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43" w:type="dxa"/>
            <w:tcBorders>
              <w:top w:val="nil"/>
              <w:left w:val="nil"/>
              <w:bottom w:val="nil"/>
              <w:right w:val="nil"/>
            </w:tcBorders>
            <w:shd w:val="clear" w:color="auto" w:fill="auto"/>
            <w:vAlign w:val="center"/>
            <w:hideMark/>
          </w:tcPr>
          <w:p w14:paraId="0C42AF36"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2</w:t>
            </w:r>
          </w:p>
        </w:tc>
        <w:tc>
          <w:tcPr>
            <w:tcW w:w="1842" w:type="dxa"/>
            <w:tcBorders>
              <w:top w:val="nil"/>
              <w:left w:val="nil"/>
              <w:bottom w:val="nil"/>
              <w:right w:val="single" w:sz="4" w:space="0" w:color="auto"/>
            </w:tcBorders>
            <w:shd w:val="clear" w:color="auto" w:fill="auto"/>
            <w:vAlign w:val="center"/>
            <w:hideMark/>
          </w:tcPr>
          <w:p w14:paraId="75486CC4"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3</w:t>
            </w:r>
          </w:p>
        </w:tc>
        <w:tc>
          <w:tcPr>
            <w:tcW w:w="574" w:type="dxa"/>
            <w:tcBorders>
              <w:top w:val="nil"/>
              <w:left w:val="nil"/>
              <w:bottom w:val="nil"/>
              <w:right w:val="nil"/>
            </w:tcBorders>
            <w:shd w:val="clear" w:color="auto" w:fill="auto"/>
            <w:vAlign w:val="center"/>
            <w:hideMark/>
          </w:tcPr>
          <w:p w14:paraId="76819B0E"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594" w:type="dxa"/>
            <w:tcBorders>
              <w:top w:val="nil"/>
              <w:left w:val="nil"/>
              <w:bottom w:val="nil"/>
              <w:right w:val="nil"/>
            </w:tcBorders>
            <w:shd w:val="clear" w:color="auto" w:fill="auto"/>
            <w:vAlign w:val="center"/>
            <w:hideMark/>
          </w:tcPr>
          <w:p w14:paraId="65266B22"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5</w:t>
            </w:r>
          </w:p>
        </w:tc>
        <w:tc>
          <w:tcPr>
            <w:tcW w:w="1958" w:type="dxa"/>
            <w:tcBorders>
              <w:top w:val="nil"/>
              <w:left w:val="nil"/>
              <w:bottom w:val="nil"/>
              <w:right w:val="single" w:sz="4" w:space="0" w:color="auto"/>
            </w:tcBorders>
            <w:shd w:val="clear" w:color="auto" w:fill="auto"/>
            <w:vAlign w:val="center"/>
            <w:hideMark/>
          </w:tcPr>
          <w:p w14:paraId="0DE8EBB8"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2</w:t>
            </w:r>
          </w:p>
        </w:tc>
        <w:tc>
          <w:tcPr>
            <w:tcW w:w="1678" w:type="dxa"/>
            <w:tcBorders>
              <w:top w:val="nil"/>
              <w:left w:val="nil"/>
              <w:bottom w:val="nil"/>
              <w:right w:val="single" w:sz="4" w:space="0" w:color="auto"/>
            </w:tcBorders>
            <w:shd w:val="clear" w:color="auto" w:fill="auto"/>
            <w:vAlign w:val="center"/>
            <w:hideMark/>
          </w:tcPr>
          <w:p w14:paraId="3BA7A8B1"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92" w:type="dxa"/>
            <w:tcBorders>
              <w:top w:val="nil"/>
              <w:left w:val="nil"/>
              <w:bottom w:val="nil"/>
              <w:right w:val="single" w:sz="4" w:space="0" w:color="auto"/>
            </w:tcBorders>
            <w:shd w:val="clear" w:color="auto" w:fill="auto"/>
            <w:vAlign w:val="center"/>
            <w:hideMark/>
          </w:tcPr>
          <w:p w14:paraId="29FF66A5"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r>
      <w:tr w:rsidR="00252B58" w:rsidRPr="00252B58" w14:paraId="76B93C4C" w14:textId="77777777" w:rsidTr="004D0EA7">
        <w:trPr>
          <w:trHeight w:val="435"/>
        </w:trPr>
        <w:tc>
          <w:tcPr>
            <w:tcW w:w="500" w:type="dxa"/>
            <w:tcBorders>
              <w:top w:val="nil"/>
              <w:left w:val="single" w:sz="4" w:space="0" w:color="auto"/>
              <w:bottom w:val="nil"/>
              <w:right w:val="nil"/>
            </w:tcBorders>
            <w:shd w:val="clear" w:color="auto" w:fill="auto"/>
            <w:vAlign w:val="center"/>
            <w:hideMark/>
          </w:tcPr>
          <w:p w14:paraId="289B9F54"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1678" w:type="dxa"/>
            <w:gridSpan w:val="2"/>
            <w:tcBorders>
              <w:top w:val="nil"/>
              <w:left w:val="nil"/>
              <w:bottom w:val="nil"/>
              <w:right w:val="nil"/>
            </w:tcBorders>
            <w:shd w:val="clear" w:color="auto" w:fill="auto"/>
            <w:vAlign w:val="center"/>
            <w:hideMark/>
          </w:tcPr>
          <w:p w14:paraId="753C203F" w14:textId="77777777" w:rsidR="009305F1" w:rsidRPr="00252B58" w:rsidRDefault="009305F1" w:rsidP="004D0EA7">
            <w:pPr>
              <w:spacing w:after="0" w:line="168" w:lineRule="auto"/>
              <w:rPr>
                <w:rFonts w:eastAsia="Times New Roman"/>
                <w:lang w:eastAsia="en-GB"/>
              </w:rPr>
            </w:pPr>
            <w:r w:rsidRPr="00252B58">
              <w:rPr>
                <w:rFonts w:eastAsia="Times New Roman"/>
                <w:lang w:eastAsia="en-GB"/>
              </w:rPr>
              <w:t>Methotrexate</w:t>
            </w:r>
          </w:p>
        </w:tc>
        <w:tc>
          <w:tcPr>
            <w:tcW w:w="375" w:type="dxa"/>
            <w:tcBorders>
              <w:top w:val="nil"/>
              <w:left w:val="nil"/>
              <w:bottom w:val="nil"/>
              <w:right w:val="nil"/>
            </w:tcBorders>
            <w:shd w:val="clear" w:color="auto" w:fill="auto"/>
            <w:vAlign w:val="center"/>
            <w:hideMark/>
          </w:tcPr>
          <w:p w14:paraId="1EADFCB6" w14:textId="77777777" w:rsidR="009305F1" w:rsidRPr="00252B58" w:rsidRDefault="009305F1" w:rsidP="004D0EA7">
            <w:pPr>
              <w:spacing w:after="0" w:line="168" w:lineRule="auto"/>
              <w:rPr>
                <w:rFonts w:eastAsia="Times New Roman"/>
                <w:lang w:eastAsia="en-GB"/>
              </w:rPr>
            </w:pPr>
          </w:p>
        </w:tc>
        <w:tc>
          <w:tcPr>
            <w:tcW w:w="667" w:type="dxa"/>
            <w:tcBorders>
              <w:top w:val="nil"/>
              <w:left w:val="nil"/>
              <w:bottom w:val="nil"/>
              <w:right w:val="single" w:sz="4" w:space="0" w:color="auto"/>
            </w:tcBorders>
            <w:shd w:val="clear" w:color="auto" w:fill="auto"/>
            <w:vAlign w:val="center"/>
            <w:hideMark/>
          </w:tcPr>
          <w:p w14:paraId="13C49448"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43" w:type="dxa"/>
            <w:tcBorders>
              <w:top w:val="nil"/>
              <w:left w:val="nil"/>
              <w:bottom w:val="nil"/>
              <w:right w:val="nil"/>
            </w:tcBorders>
            <w:shd w:val="clear" w:color="auto" w:fill="auto"/>
            <w:vAlign w:val="center"/>
            <w:hideMark/>
          </w:tcPr>
          <w:p w14:paraId="7779508A"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1</w:t>
            </w:r>
          </w:p>
        </w:tc>
        <w:tc>
          <w:tcPr>
            <w:tcW w:w="1842" w:type="dxa"/>
            <w:tcBorders>
              <w:top w:val="nil"/>
              <w:left w:val="nil"/>
              <w:bottom w:val="nil"/>
              <w:right w:val="single" w:sz="4" w:space="0" w:color="auto"/>
            </w:tcBorders>
            <w:shd w:val="clear" w:color="auto" w:fill="auto"/>
            <w:vAlign w:val="center"/>
            <w:hideMark/>
          </w:tcPr>
          <w:p w14:paraId="0413BBCB"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2</w:t>
            </w:r>
          </w:p>
        </w:tc>
        <w:tc>
          <w:tcPr>
            <w:tcW w:w="574" w:type="dxa"/>
            <w:tcBorders>
              <w:top w:val="nil"/>
              <w:left w:val="nil"/>
              <w:bottom w:val="nil"/>
              <w:right w:val="nil"/>
            </w:tcBorders>
            <w:shd w:val="clear" w:color="auto" w:fill="auto"/>
            <w:vAlign w:val="center"/>
            <w:hideMark/>
          </w:tcPr>
          <w:p w14:paraId="0417FF64"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594" w:type="dxa"/>
            <w:tcBorders>
              <w:top w:val="nil"/>
              <w:left w:val="nil"/>
              <w:bottom w:val="nil"/>
              <w:right w:val="nil"/>
            </w:tcBorders>
            <w:shd w:val="clear" w:color="auto" w:fill="auto"/>
            <w:vAlign w:val="center"/>
            <w:hideMark/>
          </w:tcPr>
          <w:p w14:paraId="27AD4BFD"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1</w:t>
            </w:r>
          </w:p>
        </w:tc>
        <w:tc>
          <w:tcPr>
            <w:tcW w:w="1958" w:type="dxa"/>
            <w:tcBorders>
              <w:top w:val="nil"/>
              <w:left w:val="nil"/>
              <w:bottom w:val="nil"/>
              <w:right w:val="single" w:sz="4" w:space="0" w:color="auto"/>
            </w:tcBorders>
            <w:shd w:val="clear" w:color="auto" w:fill="auto"/>
            <w:vAlign w:val="center"/>
            <w:hideMark/>
          </w:tcPr>
          <w:p w14:paraId="3E48E647"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678" w:type="dxa"/>
            <w:tcBorders>
              <w:top w:val="nil"/>
              <w:left w:val="nil"/>
              <w:bottom w:val="nil"/>
              <w:right w:val="single" w:sz="4" w:space="0" w:color="auto"/>
            </w:tcBorders>
            <w:shd w:val="clear" w:color="auto" w:fill="auto"/>
            <w:vAlign w:val="center"/>
            <w:hideMark/>
          </w:tcPr>
          <w:p w14:paraId="0DB70292"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92" w:type="dxa"/>
            <w:tcBorders>
              <w:top w:val="nil"/>
              <w:left w:val="nil"/>
              <w:bottom w:val="nil"/>
              <w:right w:val="single" w:sz="4" w:space="0" w:color="auto"/>
            </w:tcBorders>
            <w:shd w:val="clear" w:color="auto" w:fill="auto"/>
            <w:vAlign w:val="center"/>
            <w:hideMark/>
          </w:tcPr>
          <w:p w14:paraId="40EA472C"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r>
      <w:tr w:rsidR="00252B58" w:rsidRPr="00252B58" w14:paraId="4216BEBD" w14:textId="77777777" w:rsidTr="004D0EA7">
        <w:trPr>
          <w:trHeight w:val="345"/>
        </w:trPr>
        <w:tc>
          <w:tcPr>
            <w:tcW w:w="500" w:type="dxa"/>
            <w:tcBorders>
              <w:top w:val="nil"/>
              <w:left w:val="single" w:sz="4" w:space="0" w:color="auto"/>
              <w:bottom w:val="nil"/>
              <w:right w:val="nil"/>
            </w:tcBorders>
            <w:shd w:val="clear" w:color="auto" w:fill="auto"/>
            <w:vAlign w:val="center"/>
            <w:hideMark/>
          </w:tcPr>
          <w:p w14:paraId="3B4B1D3B"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1678" w:type="dxa"/>
            <w:gridSpan w:val="2"/>
            <w:tcBorders>
              <w:top w:val="nil"/>
              <w:left w:val="nil"/>
              <w:bottom w:val="nil"/>
              <w:right w:val="nil"/>
            </w:tcBorders>
            <w:shd w:val="clear" w:color="auto" w:fill="auto"/>
            <w:vAlign w:val="center"/>
            <w:hideMark/>
          </w:tcPr>
          <w:p w14:paraId="4BAD3062" w14:textId="77777777" w:rsidR="009305F1" w:rsidRPr="00252B58" w:rsidRDefault="009305F1" w:rsidP="004D0EA7">
            <w:pPr>
              <w:spacing w:after="0" w:line="168" w:lineRule="auto"/>
              <w:rPr>
                <w:rFonts w:eastAsia="Times New Roman"/>
                <w:lang w:eastAsia="en-GB"/>
              </w:rPr>
            </w:pPr>
            <w:r w:rsidRPr="00252B58">
              <w:rPr>
                <w:rFonts w:eastAsia="Times New Roman"/>
                <w:lang w:eastAsia="en-GB"/>
              </w:rPr>
              <w:t>Infliximab</w:t>
            </w:r>
          </w:p>
        </w:tc>
        <w:tc>
          <w:tcPr>
            <w:tcW w:w="375" w:type="dxa"/>
            <w:tcBorders>
              <w:top w:val="nil"/>
              <w:left w:val="nil"/>
              <w:bottom w:val="nil"/>
              <w:right w:val="nil"/>
            </w:tcBorders>
            <w:shd w:val="clear" w:color="auto" w:fill="auto"/>
            <w:vAlign w:val="center"/>
            <w:hideMark/>
          </w:tcPr>
          <w:p w14:paraId="4E25F22C" w14:textId="77777777" w:rsidR="009305F1" w:rsidRPr="00252B58" w:rsidRDefault="009305F1" w:rsidP="004D0EA7">
            <w:pPr>
              <w:spacing w:after="0" w:line="168" w:lineRule="auto"/>
              <w:rPr>
                <w:rFonts w:eastAsia="Times New Roman"/>
                <w:lang w:eastAsia="en-GB"/>
              </w:rPr>
            </w:pPr>
          </w:p>
        </w:tc>
        <w:tc>
          <w:tcPr>
            <w:tcW w:w="667" w:type="dxa"/>
            <w:tcBorders>
              <w:top w:val="nil"/>
              <w:left w:val="nil"/>
              <w:bottom w:val="nil"/>
              <w:right w:val="single" w:sz="4" w:space="0" w:color="auto"/>
            </w:tcBorders>
            <w:shd w:val="clear" w:color="auto" w:fill="auto"/>
            <w:vAlign w:val="center"/>
            <w:hideMark/>
          </w:tcPr>
          <w:p w14:paraId="20C86245"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43" w:type="dxa"/>
            <w:tcBorders>
              <w:top w:val="nil"/>
              <w:left w:val="nil"/>
              <w:bottom w:val="nil"/>
              <w:right w:val="nil"/>
            </w:tcBorders>
            <w:shd w:val="clear" w:color="auto" w:fill="auto"/>
            <w:vAlign w:val="center"/>
            <w:hideMark/>
          </w:tcPr>
          <w:p w14:paraId="426EB434"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2</w:t>
            </w:r>
          </w:p>
        </w:tc>
        <w:tc>
          <w:tcPr>
            <w:tcW w:w="1842" w:type="dxa"/>
            <w:tcBorders>
              <w:top w:val="nil"/>
              <w:left w:val="nil"/>
              <w:bottom w:val="nil"/>
              <w:right w:val="single" w:sz="4" w:space="0" w:color="auto"/>
            </w:tcBorders>
            <w:shd w:val="clear" w:color="auto" w:fill="auto"/>
            <w:vAlign w:val="center"/>
            <w:hideMark/>
          </w:tcPr>
          <w:p w14:paraId="2C03FF24"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1</w:t>
            </w:r>
          </w:p>
        </w:tc>
        <w:tc>
          <w:tcPr>
            <w:tcW w:w="574" w:type="dxa"/>
            <w:tcBorders>
              <w:top w:val="nil"/>
              <w:left w:val="nil"/>
              <w:bottom w:val="nil"/>
              <w:right w:val="nil"/>
            </w:tcBorders>
            <w:shd w:val="clear" w:color="auto" w:fill="auto"/>
            <w:vAlign w:val="center"/>
            <w:hideMark/>
          </w:tcPr>
          <w:p w14:paraId="305FD029"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594" w:type="dxa"/>
            <w:tcBorders>
              <w:top w:val="nil"/>
              <w:left w:val="nil"/>
              <w:bottom w:val="nil"/>
              <w:right w:val="nil"/>
            </w:tcBorders>
            <w:shd w:val="clear" w:color="auto" w:fill="auto"/>
            <w:vAlign w:val="center"/>
            <w:hideMark/>
          </w:tcPr>
          <w:p w14:paraId="66C184B1" w14:textId="77777777" w:rsidR="009305F1" w:rsidRPr="00252B58" w:rsidRDefault="009305F1" w:rsidP="004D0EA7">
            <w:pPr>
              <w:spacing w:after="0" w:line="168" w:lineRule="auto"/>
              <w:jc w:val="center"/>
              <w:rPr>
                <w:rFonts w:eastAsia="Times New Roman"/>
                <w:lang w:eastAsia="en-GB"/>
              </w:rPr>
            </w:pPr>
          </w:p>
        </w:tc>
        <w:tc>
          <w:tcPr>
            <w:tcW w:w="1958" w:type="dxa"/>
            <w:tcBorders>
              <w:top w:val="nil"/>
              <w:left w:val="nil"/>
              <w:bottom w:val="nil"/>
              <w:right w:val="single" w:sz="4" w:space="0" w:color="auto"/>
            </w:tcBorders>
            <w:shd w:val="clear" w:color="auto" w:fill="auto"/>
            <w:vAlign w:val="center"/>
            <w:hideMark/>
          </w:tcPr>
          <w:p w14:paraId="290C654D"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678" w:type="dxa"/>
            <w:tcBorders>
              <w:top w:val="nil"/>
              <w:left w:val="nil"/>
              <w:bottom w:val="nil"/>
              <w:right w:val="single" w:sz="4" w:space="0" w:color="auto"/>
            </w:tcBorders>
            <w:shd w:val="clear" w:color="auto" w:fill="auto"/>
            <w:vAlign w:val="center"/>
            <w:hideMark/>
          </w:tcPr>
          <w:p w14:paraId="5B96FD22"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92" w:type="dxa"/>
            <w:tcBorders>
              <w:top w:val="nil"/>
              <w:left w:val="nil"/>
              <w:bottom w:val="nil"/>
              <w:right w:val="single" w:sz="4" w:space="0" w:color="auto"/>
            </w:tcBorders>
            <w:shd w:val="clear" w:color="auto" w:fill="auto"/>
            <w:vAlign w:val="center"/>
            <w:hideMark/>
          </w:tcPr>
          <w:p w14:paraId="4A79EA1A"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r>
      <w:tr w:rsidR="00252B58" w:rsidRPr="00252B58" w14:paraId="265DB5C9" w14:textId="77777777" w:rsidTr="004D0EA7">
        <w:trPr>
          <w:trHeight w:val="345"/>
        </w:trPr>
        <w:tc>
          <w:tcPr>
            <w:tcW w:w="500" w:type="dxa"/>
            <w:tcBorders>
              <w:top w:val="nil"/>
              <w:left w:val="single" w:sz="4" w:space="0" w:color="auto"/>
              <w:bottom w:val="nil"/>
              <w:right w:val="nil"/>
            </w:tcBorders>
            <w:shd w:val="clear" w:color="auto" w:fill="auto"/>
            <w:vAlign w:val="center"/>
            <w:hideMark/>
          </w:tcPr>
          <w:p w14:paraId="7DA02396"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1678" w:type="dxa"/>
            <w:gridSpan w:val="2"/>
            <w:tcBorders>
              <w:top w:val="nil"/>
              <w:left w:val="nil"/>
              <w:bottom w:val="nil"/>
              <w:right w:val="nil"/>
            </w:tcBorders>
            <w:shd w:val="clear" w:color="auto" w:fill="auto"/>
            <w:vAlign w:val="center"/>
            <w:hideMark/>
          </w:tcPr>
          <w:p w14:paraId="038223E9" w14:textId="77777777" w:rsidR="009305F1" w:rsidRPr="00252B58" w:rsidRDefault="009305F1" w:rsidP="004D0EA7">
            <w:pPr>
              <w:spacing w:after="0" w:line="168" w:lineRule="auto"/>
              <w:rPr>
                <w:rFonts w:eastAsia="Times New Roman"/>
                <w:lang w:eastAsia="en-GB"/>
              </w:rPr>
            </w:pPr>
            <w:r w:rsidRPr="00252B58">
              <w:rPr>
                <w:rFonts w:eastAsia="Times New Roman"/>
                <w:lang w:eastAsia="en-GB"/>
              </w:rPr>
              <w:t>Adalimumab</w:t>
            </w:r>
          </w:p>
        </w:tc>
        <w:tc>
          <w:tcPr>
            <w:tcW w:w="375" w:type="dxa"/>
            <w:tcBorders>
              <w:top w:val="nil"/>
              <w:left w:val="nil"/>
              <w:bottom w:val="nil"/>
              <w:right w:val="nil"/>
            </w:tcBorders>
            <w:shd w:val="clear" w:color="auto" w:fill="auto"/>
            <w:vAlign w:val="center"/>
            <w:hideMark/>
          </w:tcPr>
          <w:p w14:paraId="32A86335" w14:textId="77777777" w:rsidR="009305F1" w:rsidRPr="00252B58" w:rsidRDefault="009305F1" w:rsidP="004D0EA7">
            <w:pPr>
              <w:spacing w:after="0" w:line="168" w:lineRule="auto"/>
              <w:rPr>
                <w:rFonts w:eastAsia="Times New Roman"/>
                <w:lang w:eastAsia="en-GB"/>
              </w:rPr>
            </w:pPr>
          </w:p>
        </w:tc>
        <w:tc>
          <w:tcPr>
            <w:tcW w:w="667" w:type="dxa"/>
            <w:tcBorders>
              <w:top w:val="nil"/>
              <w:left w:val="nil"/>
              <w:bottom w:val="nil"/>
              <w:right w:val="single" w:sz="4" w:space="0" w:color="auto"/>
            </w:tcBorders>
            <w:shd w:val="clear" w:color="auto" w:fill="auto"/>
            <w:vAlign w:val="center"/>
            <w:hideMark/>
          </w:tcPr>
          <w:p w14:paraId="00F2BFA0"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43" w:type="dxa"/>
            <w:tcBorders>
              <w:top w:val="nil"/>
              <w:left w:val="nil"/>
              <w:bottom w:val="nil"/>
              <w:right w:val="nil"/>
            </w:tcBorders>
            <w:shd w:val="clear" w:color="auto" w:fill="auto"/>
            <w:vAlign w:val="center"/>
            <w:hideMark/>
          </w:tcPr>
          <w:p w14:paraId="7BAE08A8"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0</w:t>
            </w:r>
          </w:p>
        </w:tc>
        <w:tc>
          <w:tcPr>
            <w:tcW w:w="1842" w:type="dxa"/>
            <w:tcBorders>
              <w:top w:val="nil"/>
              <w:left w:val="nil"/>
              <w:bottom w:val="nil"/>
              <w:right w:val="single" w:sz="4" w:space="0" w:color="auto"/>
            </w:tcBorders>
            <w:shd w:val="clear" w:color="auto" w:fill="auto"/>
            <w:vAlign w:val="center"/>
            <w:hideMark/>
          </w:tcPr>
          <w:p w14:paraId="5E8F0353"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1</w:t>
            </w:r>
          </w:p>
        </w:tc>
        <w:tc>
          <w:tcPr>
            <w:tcW w:w="574" w:type="dxa"/>
            <w:tcBorders>
              <w:top w:val="nil"/>
              <w:left w:val="nil"/>
              <w:bottom w:val="nil"/>
              <w:right w:val="nil"/>
            </w:tcBorders>
            <w:shd w:val="clear" w:color="auto" w:fill="auto"/>
            <w:vAlign w:val="center"/>
            <w:hideMark/>
          </w:tcPr>
          <w:p w14:paraId="2F7F7AEB"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594" w:type="dxa"/>
            <w:tcBorders>
              <w:top w:val="nil"/>
              <w:left w:val="nil"/>
              <w:bottom w:val="nil"/>
              <w:right w:val="nil"/>
            </w:tcBorders>
            <w:shd w:val="clear" w:color="auto" w:fill="auto"/>
            <w:vAlign w:val="center"/>
            <w:hideMark/>
          </w:tcPr>
          <w:p w14:paraId="489B5533" w14:textId="77777777" w:rsidR="009305F1" w:rsidRPr="00252B58" w:rsidRDefault="009305F1" w:rsidP="004D0EA7">
            <w:pPr>
              <w:spacing w:after="0" w:line="168" w:lineRule="auto"/>
              <w:jc w:val="center"/>
              <w:rPr>
                <w:rFonts w:eastAsia="Times New Roman"/>
                <w:lang w:eastAsia="en-GB"/>
              </w:rPr>
            </w:pPr>
          </w:p>
        </w:tc>
        <w:tc>
          <w:tcPr>
            <w:tcW w:w="1958" w:type="dxa"/>
            <w:tcBorders>
              <w:top w:val="nil"/>
              <w:left w:val="nil"/>
              <w:bottom w:val="nil"/>
              <w:right w:val="single" w:sz="4" w:space="0" w:color="auto"/>
            </w:tcBorders>
            <w:shd w:val="clear" w:color="auto" w:fill="auto"/>
            <w:vAlign w:val="center"/>
            <w:hideMark/>
          </w:tcPr>
          <w:p w14:paraId="0A20587A"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678" w:type="dxa"/>
            <w:tcBorders>
              <w:top w:val="nil"/>
              <w:left w:val="nil"/>
              <w:bottom w:val="nil"/>
              <w:right w:val="single" w:sz="4" w:space="0" w:color="auto"/>
            </w:tcBorders>
            <w:shd w:val="clear" w:color="auto" w:fill="auto"/>
            <w:vAlign w:val="center"/>
            <w:hideMark/>
          </w:tcPr>
          <w:p w14:paraId="15EEF6B9"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92" w:type="dxa"/>
            <w:tcBorders>
              <w:top w:val="nil"/>
              <w:left w:val="nil"/>
              <w:bottom w:val="nil"/>
              <w:right w:val="single" w:sz="4" w:space="0" w:color="auto"/>
            </w:tcBorders>
            <w:shd w:val="clear" w:color="auto" w:fill="auto"/>
            <w:vAlign w:val="center"/>
            <w:hideMark/>
          </w:tcPr>
          <w:p w14:paraId="0B7BC5BE"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r>
      <w:tr w:rsidR="00252B58" w:rsidRPr="00252B58" w14:paraId="6EC2AF80" w14:textId="77777777" w:rsidTr="004D0EA7">
        <w:trPr>
          <w:trHeight w:val="300"/>
        </w:trPr>
        <w:tc>
          <w:tcPr>
            <w:tcW w:w="500" w:type="dxa"/>
            <w:tcBorders>
              <w:top w:val="nil"/>
              <w:left w:val="single" w:sz="4" w:space="0" w:color="auto"/>
              <w:bottom w:val="nil"/>
              <w:right w:val="nil"/>
            </w:tcBorders>
            <w:shd w:val="clear" w:color="auto" w:fill="auto"/>
            <w:vAlign w:val="center"/>
            <w:hideMark/>
          </w:tcPr>
          <w:p w14:paraId="7413967D"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lastRenderedPageBreak/>
              <w:t> </w:t>
            </w:r>
          </w:p>
        </w:tc>
        <w:tc>
          <w:tcPr>
            <w:tcW w:w="1678" w:type="dxa"/>
            <w:gridSpan w:val="2"/>
            <w:tcBorders>
              <w:top w:val="nil"/>
              <w:left w:val="nil"/>
              <w:bottom w:val="nil"/>
              <w:right w:val="nil"/>
            </w:tcBorders>
            <w:shd w:val="clear" w:color="auto" w:fill="auto"/>
            <w:vAlign w:val="center"/>
            <w:hideMark/>
          </w:tcPr>
          <w:p w14:paraId="2E813BA3" w14:textId="77777777" w:rsidR="009305F1" w:rsidRPr="00252B58" w:rsidRDefault="009305F1" w:rsidP="004D0EA7">
            <w:pPr>
              <w:spacing w:after="0" w:line="168" w:lineRule="auto"/>
              <w:rPr>
                <w:rFonts w:eastAsia="Times New Roman"/>
                <w:lang w:eastAsia="en-GB"/>
              </w:rPr>
            </w:pPr>
            <w:r w:rsidRPr="00252B58">
              <w:rPr>
                <w:rFonts w:eastAsia="Times New Roman"/>
                <w:lang w:eastAsia="en-GB"/>
              </w:rPr>
              <w:t>5-ASA</w:t>
            </w:r>
          </w:p>
        </w:tc>
        <w:tc>
          <w:tcPr>
            <w:tcW w:w="375" w:type="dxa"/>
            <w:tcBorders>
              <w:top w:val="nil"/>
              <w:left w:val="nil"/>
              <w:bottom w:val="nil"/>
              <w:right w:val="nil"/>
            </w:tcBorders>
            <w:shd w:val="clear" w:color="auto" w:fill="auto"/>
            <w:vAlign w:val="center"/>
            <w:hideMark/>
          </w:tcPr>
          <w:p w14:paraId="2ED9AA5E" w14:textId="77777777" w:rsidR="009305F1" w:rsidRPr="00252B58" w:rsidRDefault="009305F1" w:rsidP="004D0EA7">
            <w:pPr>
              <w:spacing w:after="0" w:line="168" w:lineRule="auto"/>
              <w:rPr>
                <w:rFonts w:eastAsia="Times New Roman"/>
                <w:lang w:eastAsia="en-GB"/>
              </w:rPr>
            </w:pPr>
          </w:p>
        </w:tc>
        <w:tc>
          <w:tcPr>
            <w:tcW w:w="667" w:type="dxa"/>
            <w:tcBorders>
              <w:top w:val="nil"/>
              <w:left w:val="nil"/>
              <w:bottom w:val="nil"/>
              <w:right w:val="single" w:sz="4" w:space="0" w:color="auto"/>
            </w:tcBorders>
            <w:shd w:val="clear" w:color="auto" w:fill="auto"/>
            <w:vAlign w:val="center"/>
            <w:hideMark/>
          </w:tcPr>
          <w:p w14:paraId="6F699CEE"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43" w:type="dxa"/>
            <w:tcBorders>
              <w:top w:val="nil"/>
              <w:left w:val="nil"/>
              <w:bottom w:val="nil"/>
              <w:right w:val="nil"/>
            </w:tcBorders>
            <w:shd w:val="clear" w:color="auto" w:fill="auto"/>
            <w:vAlign w:val="center"/>
            <w:hideMark/>
          </w:tcPr>
          <w:p w14:paraId="41B64CEC"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3</w:t>
            </w:r>
          </w:p>
        </w:tc>
        <w:tc>
          <w:tcPr>
            <w:tcW w:w="1842" w:type="dxa"/>
            <w:tcBorders>
              <w:top w:val="nil"/>
              <w:left w:val="nil"/>
              <w:bottom w:val="nil"/>
              <w:right w:val="single" w:sz="4" w:space="0" w:color="auto"/>
            </w:tcBorders>
            <w:shd w:val="clear" w:color="auto" w:fill="auto"/>
            <w:vAlign w:val="center"/>
            <w:hideMark/>
          </w:tcPr>
          <w:p w14:paraId="09B1DA52"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2</w:t>
            </w:r>
          </w:p>
        </w:tc>
        <w:tc>
          <w:tcPr>
            <w:tcW w:w="574" w:type="dxa"/>
            <w:tcBorders>
              <w:top w:val="nil"/>
              <w:left w:val="nil"/>
              <w:bottom w:val="nil"/>
              <w:right w:val="nil"/>
            </w:tcBorders>
            <w:shd w:val="clear" w:color="auto" w:fill="auto"/>
            <w:vAlign w:val="center"/>
            <w:hideMark/>
          </w:tcPr>
          <w:p w14:paraId="07113470"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594" w:type="dxa"/>
            <w:tcBorders>
              <w:top w:val="nil"/>
              <w:left w:val="nil"/>
              <w:bottom w:val="nil"/>
              <w:right w:val="nil"/>
            </w:tcBorders>
            <w:shd w:val="clear" w:color="auto" w:fill="auto"/>
            <w:vAlign w:val="center"/>
            <w:hideMark/>
          </w:tcPr>
          <w:p w14:paraId="3A156C74"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25</w:t>
            </w:r>
          </w:p>
        </w:tc>
        <w:tc>
          <w:tcPr>
            <w:tcW w:w="1958" w:type="dxa"/>
            <w:tcBorders>
              <w:top w:val="nil"/>
              <w:left w:val="nil"/>
              <w:bottom w:val="nil"/>
              <w:right w:val="single" w:sz="4" w:space="0" w:color="auto"/>
            </w:tcBorders>
            <w:shd w:val="clear" w:color="auto" w:fill="auto"/>
            <w:vAlign w:val="center"/>
            <w:hideMark/>
          </w:tcPr>
          <w:p w14:paraId="62EE67B8"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9</w:t>
            </w:r>
          </w:p>
        </w:tc>
        <w:tc>
          <w:tcPr>
            <w:tcW w:w="1678" w:type="dxa"/>
            <w:tcBorders>
              <w:top w:val="nil"/>
              <w:left w:val="nil"/>
              <w:bottom w:val="nil"/>
              <w:right w:val="single" w:sz="4" w:space="0" w:color="auto"/>
            </w:tcBorders>
            <w:shd w:val="clear" w:color="auto" w:fill="auto"/>
            <w:vAlign w:val="center"/>
            <w:hideMark/>
          </w:tcPr>
          <w:p w14:paraId="6F0DE5EB"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92" w:type="dxa"/>
            <w:tcBorders>
              <w:top w:val="nil"/>
              <w:left w:val="nil"/>
              <w:bottom w:val="nil"/>
              <w:right w:val="single" w:sz="4" w:space="0" w:color="auto"/>
            </w:tcBorders>
            <w:shd w:val="clear" w:color="auto" w:fill="auto"/>
            <w:vAlign w:val="center"/>
            <w:hideMark/>
          </w:tcPr>
          <w:p w14:paraId="033A4DAE"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r>
      <w:tr w:rsidR="00252B58" w:rsidRPr="00252B58" w14:paraId="6917069A" w14:textId="77777777" w:rsidTr="004D0EA7">
        <w:trPr>
          <w:trHeight w:val="285"/>
        </w:trPr>
        <w:tc>
          <w:tcPr>
            <w:tcW w:w="500" w:type="dxa"/>
            <w:tcBorders>
              <w:top w:val="nil"/>
              <w:left w:val="single" w:sz="4" w:space="0" w:color="auto"/>
              <w:bottom w:val="nil"/>
              <w:right w:val="nil"/>
            </w:tcBorders>
            <w:shd w:val="clear" w:color="auto" w:fill="auto"/>
            <w:vAlign w:val="center"/>
            <w:hideMark/>
          </w:tcPr>
          <w:p w14:paraId="3DD3B08C"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1678" w:type="dxa"/>
            <w:gridSpan w:val="2"/>
            <w:tcBorders>
              <w:top w:val="nil"/>
              <w:left w:val="nil"/>
              <w:bottom w:val="nil"/>
              <w:right w:val="nil"/>
            </w:tcBorders>
            <w:shd w:val="clear" w:color="auto" w:fill="auto"/>
            <w:vAlign w:val="center"/>
            <w:hideMark/>
          </w:tcPr>
          <w:p w14:paraId="7D28BCC1" w14:textId="77777777" w:rsidR="009305F1" w:rsidRPr="00252B58" w:rsidRDefault="009305F1" w:rsidP="004D0EA7">
            <w:pPr>
              <w:spacing w:after="0" w:line="168" w:lineRule="auto"/>
              <w:rPr>
                <w:rFonts w:eastAsia="Times New Roman"/>
                <w:lang w:eastAsia="en-GB"/>
              </w:rPr>
            </w:pPr>
            <w:r w:rsidRPr="00252B58">
              <w:rPr>
                <w:rFonts w:eastAsia="Times New Roman"/>
                <w:lang w:eastAsia="en-GB"/>
              </w:rPr>
              <w:t>Salazopyrine</w:t>
            </w:r>
          </w:p>
        </w:tc>
        <w:tc>
          <w:tcPr>
            <w:tcW w:w="375" w:type="dxa"/>
            <w:tcBorders>
              <w:top w:val="nil"/>
              <w:left w:val="nil"/>
              <w:bottom w:val="nil"/>
              <w:right w:val="nil"/>
            </w:tcBorders>
            <w:shd w:val="clear" w:color="auto" w:fill="auto"/>
            <w:vAlign w:val="center"/>
            <w:hideMark/>
          </w:tcPr>
          <w:p w14:paraId="1EDE2669" w14:textId="77777777" w:rsidR="009305F1" w:rsidRPr="00252B58" w:rsidRDefault="009305F1" w:rsidP="004D0EA7">
            <w:pPr>
              <w:spacing w:after="0" w:line="168" w:lineRule="auto"/>
              <w:rPr>
                <w:rFonts w:eastAsia="Times New Roman"/>
                <w:lang w:eastAsia="en-GB"/>
              </w:rPr>
            </w:pPr>
          </w:p>
        </w:tc>
        <w:tc>
          <w:tcPr>
            <w:tcW w:w="667" w:type="dxa"/>
            <w:tcBorders>
              <w:top w:val="nil"/>
              <w:left w:val="nil"/>
              <w:bottom w:val="nil"/>
              <w:right w:val="single" w:sz="4" w:space="0" w:color="auto"/>
            </w:tcBorders>
            <w:shd w:val="clear" w:color="auto" w:fill="auto"/>
            <w:vAlign w:val="center"/>
            <w:hideMark/>
          </w:tcPr>
          <w:p w14:paraId="4B744C02"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43" w:type="dxa"/>
            <w:tcBorders>
              <w:top w:val="nil"/>
              <w:left w:val="nil"/>
              <w:bottom w:val="nil"/>
              <w:right w:val="nil"/>
            </w:tcBorders>
            <w:shd w:val="clear" w:color="auto" w:fill="auto"/>
            <w:vAlign w:val="center"/>
            <w:hideMark/>
          </w:tcPr>
          <w:p w14:paraId="4794B59A"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2</w:t>
            </w:r>
          </w:p>
        </w:tc>
        <w:tc>
          <w:tcPr>
            <w:tcW w:w="1842" w:type="dxa"/>
            <w:tcBorders>
              <w:top w:val="nil"/>
              <w:left w:val="nil"/>
              <w:bottom w:val="nil"/>
              <w:right w:val="single" w:sz="4" w:space="0" w:color="auto"/>
            </w:tcBorders>
            <w:shd w:val="clear" w:color="auto" w:fill="auto"/>
            <w:vAlign w:val="center"/>
            <w:hideMark/>
          </w:tcPr>
          <w:p w14:paraId="2F07BCB9"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0</w:t>
            </w:r>
          </w:p>
        </w:tc>
        <w:tc>
          <w:tcPr>
            <w:tcW w:w="574" w:type="dxa"/>
            <w:tcBorders>
              <w:top w:val="nil"/>
              <w:left w:val="nil"/>
              <w:bottom w:val="nil"/>
              <w:right w:val="nil"/>
            </w:tcBorders>
            <w:shd w:val="clear" w:color="auto" w:fill="auto"/>
            <w:vAlign w:val="center"/>
            <w:hideMark/>
          </w:tcPr>
          <w:p w14:paraId="56DFCEA3"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594" w:type="dxa"/>
            <w:tcBorders>
              <w:top w:val="nil"/>
              <w:left w:val="nil"/>
              <w:bottom w:val="nil"/>
              <w:right w:val="nil"/>
            </w:tcBorders>
            <w:shd w:val="clear" w:color="auto" w:fill="auto"/>
            <w:vAlign w:val="center"/>
            <w:hideMark/>
          </w:tcPr>
          <w:p w14:paraId="63071D5A" w14:textId="77777777" w:rsidR="009305F1" w:rsidRPr="00252B58" w:rsidRDefault="009305F1" w:rsidP="004D0EA7">
            <w:pPr>
              <w:spacing w:after="0" w:line="168" w:lineRule="auto"/>
              <w:jc w:val="center"/>
              <w:rPr>
                <w:rFonts w:eastAsia="Times New Roman"/>
                <w:lang w:eastAsia="en-GB"/>
              </w:rPr>
            </w:pPr>
          </w:p>
        </w:tc>
        <w:tc>
          <w:tcPr>
            <w:tcW w:w="1958" w:type="dxa"/>
            <w:tcBorders>
              <w:top w:val="nil"/>
              <w:left w:val="nil"/>
              <w:bottom w:val="nil"/>
              <w:right w:val="single" w:sz="4" w:space="0" w:color="auto"/>
            </w:tcBorders>
            <w:shd w:val="clear" w:color="auto" w:fill="auto"/>
            <w:vAlign w:val="center"/>
            <w:hideMark/>
          </w:tcPr>
          <w:p w14:paraId="22FDF33E"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678" w:type="dxa"/>
            <w:tcBorders>
              <w:top w:val="nil"/>
              <w:left w:val="nil"/>
              <w:bottom w:val="nil"/>
              <w:right w:val="single" w:sz="4" w:space="0" w:color="auto"/>
            </w:tcBorders>
            <w:shd w:val="clear" w:color="auto" w:fill="auto"/>
            <w:vAlign w:val="center"/>
            <w:hideMark/>
          </w:tcPr>
          <w:p w14:paraId="03695A6F"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92" w:type="dxa"/>
            <w:tcBorders>
              <w:top w:val="nil"/>
              <w:left w:val="nil"/>
              <w:bottom w:val="nil"/>
              <w:right w:val="single" w:sz="4" w:space="0" w:color="auto"/>
            </w:tcBorders>
            <w:shd w:val="clear" w:color="auto" w:fill="auto"/>
            <w:vAlign w:val="center"/>
            <w:hideMark/>
          </w:tcPr>
          <w:p w14:paraId="7BBEFDAE"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r>
      <w:tr w:rsidR="00252B58" w:rsidRPr="00252B58" w14:paraId="3883E19E" w14:textId="77777777" w:rsidTr="004D0EA7">
        <w:trPr>
          <w:trHeight w:val="300"/>
        </w:trPr>
        <w:tc>
          <w:tcPr>
            <w:tcW w:w="500" w:type="dxa"/>
            <w:tcBorders>
              <w:top w:val="nil"/>
              <w:left w:val="single" w:sz="4" w:space="0" w:color="auto"/>
              <w:bottom w:val="nil"/>
              <w:right w:val="nil"/>
            </w:tcBorders>
            <w:shd w:val="clear" w:color="auto" w:fill="auto"/>
            <w:vAlign w:val="center"/>
            <w:hideMark/>
          </w:tcPr>
          <w:p w14:paraId="33652EAB"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1678" w:type="dxa"/>
            <w:gridSpan w:val="2"/>
            <w:tcBorders>
              <w:top w:val="nil"/>
              <w:left w:val="nil"/>
              <w:bottom w:val="nil"/>
              <w:right w:val="nil"/>
            </w:tcBorders>
            <w:shd w:val="clear" w:color="auto" w:fill="auto"/>
            <w:vAlign w:val="center"/>
            <w:hideMark/>
          </w:tcPr>
          <w:p w14:paraId="4BBC1F1A" w14:textId="77777777" w:rsidR="009305F1" w:rsidRPr="00252B58" w:rsidRDefault="009305F1" w:rsidP="004D0EA7">
            <w:pPr>
              <w:spacing w:after="0" w:line="168" w:lineRule="auto"/>
              <w:rPr>
                <w:rFonts w:eastAsia="Times New Roman"/>
                <w:lang w:eastAsia="en-GB"/>
              </w:rPr>
            </w:pPr>
            <w:r w:rsidRPr="00252B58">
              <w:rPr>
                <w:rFonts w:eastAsia="Times New Roman"/>
                <w:lang w:eastAsia="en-GB"/>
              </w:rPr>
              <w:t>Iron</w:t>
            </w:r>
          </w:p>
        </w:tc>
        <w:tc>
          <w:tcPr>
            <w:tcW w:w="375" w:type="dxa"/>
            <w:tcBorders>
              <w:top w:val="nil"/>
              <w:left w:val="nil"/>
              <w:bottom w:val="nil"/>
              <w:right w:val="nil"/>
            </w:tcBorders>
            <w:shd w:val="clear" w:color="auto" w:fill="auto"/>
            <w:vAlign w:val="center"/>
            <w:hideMark/>
          </w:tcPr>
          <w:p w14:paraId="0B01FF24" w14:textId="77777777" w:rsidR="009305F1" w:rsidRPr="00252B58" w:rsidRDefault="009305F1" w:rsidP="004D0EA7">
            <w:pPr>
              <w:spacing w:after="0" w:line="168" w:lineRule="auto"/>
              <w:rPr>
                <w:rFonts w:eastAsia="Times New Roman"/>
                <w:lang w:eastAsia="en-GB"/>
              </w:rPr>
            </w:pPr>
          </w:p>
        </w:tc>
        <w:tc>
          <w:tcPr>
            <w:tcW w:w="667" w:type="dxa"/>
            <w:tcBorders>
              <w:top w:val="nil"/>
              <w:left w:val="nil"/>
              <w:bottom w:val="nil"/>
              <w:right w:val="single" w:sz="4" w:space="0" w:color="auto"/>
            </w:tcBorders>
            <w:shd w:val="clear" w:color="auto" w:fill="auto"/>
            <w:vAlign w:val="center"/>
            <w:hideMark/>
          </w:tcPr>
          <w:p w14:paraId="66A5C19F"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43" w:type="dxa"/>
            <w:tcBorders>
              <w:top w:val="nil"/>
              <w:left w:val="nil"/>
              <w:bottom w:val="nil"/>
              <w:right w:val="nil"/>
            </w:tcBorders>
            <w:shd w:val="clear" w:color="auto" w:fill="auto"/>
            <w:vAlign w:val="center"/>
            <w:hideMark/>
          </w:tcPr>
          <w:p w14:paraId="0001DDC9"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42" w:type="dxa"/>
            <w:tcBorders>
              <w:top w:val="nil"/>
              <w:left w:val="nil"/>
              <w:bottom w:val="nil"/>
              <w:right w:val="single" w:sz="4" w:space="0" w:color="auto"/>
            </w:tcBorders>
            <w:shd w:val="clear" w:color="auto" w:fill="auto"/>
            <w:vAlign w:val="center"/>
            <w:hideMark/>
          </w:tcPr>
          <w:p w14:paraId="62A62682"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574" w:type="dxa"/>
            <w:tcBorders>
              <w:top w:val="nil"/>
              <w:left w:val="nil"/>
              <w:bottom w:val="nil"/>
              <w:right w:val="nil"/>
            </w:tcBorders>
            <w:shd w:val="clear" w:color="auto" w:fill="auto"/>
            <w:vAlign w:val="center"/>
            <w:hideMark/>
          </w:tcPr>
          <w:p w14:paraId="1B2035CD"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594" w:type="dxa"/>
            <w:tcBorders>
              <w:top w:val="nil"/>
              <w:left w:val="nil"/>
              <w:bottom w:val="nil"/>
              <w:right w:val="nil"/>
            </w:tcBorders>
            <w:shd w:val="clear" w:color="auto" w:fill="auto"/>
            <w:vAlign w:val="center"/>
            <w:hideMark/>
          </w:tcPr>
          <w:p w14:paraId="3DBCC261" w14:textId="77777777" w:rsidR="009305F1" w:rsidRPr="00252B58" w:rsidRDefault="009305F1" w:rsidP="004D0EA7">
            <w:pPr>
              <w:spacing w:after="0" w:line="168" w:lineRule="auto"/>
              <w:jc w:val="center"/>
              <w:rPr>
                <w:rFonts w:eastAsia="Times New Roman"/>
                <w:lang w:eastAsia="en-GB"/>
              </w:rPr>
            </w:pPr>
          </w:p>
        </w:tc>
        <w:tc>
          <w:tcPr>
            <w:tcW w:w="1958" w:type="dxa"/>
            <w:tcBorders>
              <w:top w:val="nil"/>
              <w:left w:val="nil"/>
              <w:bottom w:val="nil"/>
              <w:right w:val="single" w:sz="4" w:space="0" w:color="auto"/>
            </w:tcBorders>
            <w:shd w:val="clear" w:color="auto" w:fill="auto"/>
            <w:vAlign w:val="center"/>
            <w:hideMark/>
          </w:tcPr>
          <w:p w14:paraId="0D79D2F7"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678" w:type="dxa"/>
            <w:tcBorders>
              <w:top w:val="nil"/>
              <w:left w:val="nil"/>
              <w:bottom w:val="nil"/>
              <w:right w:val="single" w:sz="4" w:space="0" w:color="auto"/>
            </w:tcBorders>
            <w:shd w:val="clear" w:color="auto" w:fill="auto"/>
            <w:vAlign w:val="center"/>
            <w:hideMark/>
          </w:tcPr>
          <w:p w14:paraId="159F0B66"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92" w:type="dxa"/>
            <w:tcBorders>
              <w:top w:val="nil"/>
              <w:left w:val="nil"/>
              <w:bottom w:val="nil"/>
              <w:right w:val="single" w:sz="4" w:space="0" w:color="auto"/>
            </w:tcBorders>
            <w:shd w:val="clear" w:color="auto" w:fill="auto"/>
            <w:vAlign w:val="center"/>
            <w:hideMark/>
          </w:tcPr>
          <w:p w14:paraId="11850E57"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4</w:t>
            </w:r>
          </w:p>
        </w:tc>
      </w:tr>
      <w:tr w:rsidR="00252B58" w:rsidRPr="00252B58" w14:paraId="63A0E417" w14:textId="77777777" w:rsidTr="004D0EA7">
        <w:trPr>
          <w:trHeight w:val="300"/>
        </w:trPr>
        <w:tc>
          <w:tcPr>
            <w:tcW w:w="500" w:type="dxa"/>
            <w:tcBorders>
              <w:top w:val="nil"/>
              <w:left w:val="single" w:sz="4" w:space="0" w:color="auto"/>
              <w:bottom w:val="single" w:sz="4" w:space="0" w:color="auto"/>
              <w:right w:val="nil"/>
            </w:tcBorders>
            <w:shd w:val="clear" w:color="auto" w:fill="auto"/>
            <w:vAlign w:val="center"/>
            <w:hideMark/>
          </w:tcPr>
          <w:p w14:paraId="36734536" w14:textId="77777777" w:rsidR="009305F1" w:rsidRPr="00252B58" w:rsidRDefault="009305F1" w:rsidP="004D0EA7">
            <w:pPr>
              <w:spacing w:after="0" w:line="240" w:lineRule="auto"/>
              <w:jc w:val="center"/>
              <w:rPr>
                <w:rFonts w:eastAsia="Times New Roman"/>
                <w:lang w:eastAsia="en-GB"/>
              </w:rPr>
            </w:pPr>
            <w:r w:rsidRPr="00252B58">
              <w:rPr>
                <w:rFonts w:eastAsia="Times New Roman"/>
                <w:lang w:eastAsia="en-GB"/>
              </w:rPr>
              <w:t> </w:t>
            </w:r>
          </w:p>
        </w:tc>
        <w:tc>
          <w:tcPr>
            <w:tcW w:w="1678" w:type="dxa"/>
            <w:gridSpan w:val="2"/>
            <w:tcBorders>
              <w:top w:val="nil"/>
              <w:left w:val="nil"/>
              <w:bottom w:val="single" w:sz="4" w:space="0" w:color="auto"/>
              <w:right w:val="nil"/>
            </w:tcBorders>
            <w:shd w:val="clear" w:color="auto" w:fill="auto"/>
            <w:vAlign w:val="center"/>
            <w:hideMark/>
          </w:tcPr>
          <w:p w14:paraId="7F330826" w14:textId="77777777" w:rsidR="009305F1" w:rsidRPr="00252B58" w:rsidRDefault="009305F1" w:rsidP="004D0EA7">
            <w:pPr>
              <w:spacing w:after="0" w:line="168" w:lineRule="auto"/>
              <w:rPr>
                <w:rFonts w:eastAsia="Times New Roman"/>
                <w:lang w:eastAsia="en-GB"/>
              </w:rPr>
            </w:pPr>
            <w:r w:rsidRPr="00252B58">
              <w:rPr>
                <w:rFonts w:eastAsia="Times New Roman"/>
                <w:lang w:eastAsia="en-GB"/>
              </w:rPr>
              <w:t>Movicol</w:t>
            </w:r>
          </w:p>
        </w:tc>
        <w:tc>
          <w:tcPr>
            <w:tcW w:w="375" w:type="dxa"/>
            <w:tcBorders>
              <w:top w:val="nil"/>
              <w:left w:val="nil"/>
              <w:bottom w:val="single" w:sz="4" w:space="0" w:color="auto"/>
              <w:right w:val="nil"/>
            </w:tcBorders>
            <w:shd w:val="clear" w:color="auto" w:fill="auto"/>
            <w:vAlign w:val="center"/>
            <w:hideMark/>
          </w:tcPr>
          <w:p w14:paraId="63CC8A58" w14:textId="77777777" w:rsidR="009305F1" w:rsidRPr="00252B58" w:rsidRDefault="009305F1" w:rsidP="004D0EA7">
            <w:pPr>
              <w:spacing w:after="0" w:line="168" w:lineRule="auto"/>
              <w:rPr>
                <w:rFonts w:eastAsia="Times New Roman"/>
                <w:lang w:eastAsia="en-GB"/>
              </w:rPr>
            </w:pPr>
            <w:r w:rsidRPr="00252B58">
              <w:rPr>
                <w:rFonts w:eastAsia="Times New Roman"/>
                <w:lang w:eastAsia="en-GB"/>
              </w:rPr>
              <w:t> </w:t>
            </w:r>
          </w:p>
        </w:tc>
        <w:tc>
          <w:tcPr>
            <w:tcW w:w="667" w:type="dxa"/>
            <w:tcBorders>
              <w:top w:val="nil"/>
              <w:left w:val="nil"/>
              <w:bottom w:val="single" w:sz="4" w:space="0" w:color="auto"/>
              <w:right w:val="single" w:sz="4" w:space="0" w:color="auto"/>
            </w:tcBorders>
            <w:shd w:val="clear" w:color="auto" w:fill="auto"/>
            <w:vAlign w:val="center"/>
            <w:hideMark/>
          </w:tcPr>
          <w:p w14:paraId="38E44B94"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43" w:type="dxa"/>
            <w:tcBorders>
              <w:top w:val="nil"/>
              <w:left w:val="nil"/>
              <w:bottom w:val="single" w:sz="4" w:space="0" w:color="auto"/>
              <w:right w:val="nil"/>
            </w:tcBorders>
            <w:shd w:val="clear" w:color="auto" w:fill="auto"/>
            <w:vAlign w:val="center"/>
            <w:hideMark/>
          </w:tcPr>
          <w:p w14:paraId="29343F0A"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842" w:type="dxa"/>
            <w:tcBorders>
              <w:top w:val="nil"/>
              <w:left w:val="nil"/>
              <w:bottom w:val="single" w:sz="4" w:space="0" w:color="auto"/>
              <w:right w:val="single" w:sz="4" w:space="0" w:color="auto"/>
            </w:tcBorders>
            <w:shd w:val="clear" w:color="auto" w:fill="auto"/>
            <w:vAlign w:val="center"/>
            <w:hideMark/>
          </w:tcPr>
          <w:p w14:paraId="5463270B"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574" w:type="dxa"/>
            <w:tcBorders>
              <w:top w:val="nil"/>
              <w:left w:val="nil"/>
              <w:bottom w:val="single" w:sz="4" w:space="0" w:color="auto"/>
              <w:right w:val="nil"/>
            </w:tcBorders>
            <w:shd w:val="clear" w:color="auto" w:fill="auto"/>
            <w:vAlign w:val="center"/>
            <w:hideMark/>
          </w:tcPr>
          <w:p w14:paraId="7ADDA49D"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594" w:type="dxa"/>
            <w:tcBorders>
              <w:top w:val="nil"/>
              <w:left w:val="nil"/>
              <w:bottom w:val="single" w:sz="4" w:space="0" w:color="auto"/>
              <w:right w:val="nil"/>
            </w:tcBorders>
            <w:shd w:val="clear" w:color="auto" w:fill="auto"/>
            <w:vAlign w:val="center"/>
            <w:hideMark/>
          </w:tcPr>
          <w:p w14:paraId="24011026"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958" w:type="dxa"/>
            <w:tcBorders>
              <w:top w:val="nil"/>
              <w:left w:val="nil"/>
              <w:bottom w:val="single" w:sz="4" w:space="0" w:color="auto"/>
              <w:right w:val="single" w:sz="4" w:space="0" w:color="auto"/>
            </w:tcBorders>
            <w:shd w:val="clear" w:color="auto" w:fill="auto"/>
            <w:vAlign w:val="center"/>
            <w:hideMark/>
          </w:tcPr>
          <w:p w14:paraId="57D5580C"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c>
          <w:tcPr>
            <w:tcW w:w="1678" w:type="dxa"/>
            <w:tcBorders>
              <w:top w:val="nil"/>
              <w:left w:val="nil"/>
              <w:bottom w:val="single" w:sz="4" w:space="0" w:color="auto"/>
              <w:right w:val="single" w:sz="4" w:space="0" w:color="auto"/>
            </w:tcBorders>
            <w:shd w:val="clear" w:color="auto" w:fill="auto"/>
            <w:vAlign w:val="center"/>
            <w:hideMark/>
          </w:tcPr>
          <w:p w14:paraId="2E9FA0D3"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2</w:t>
            </w:r>
          </w:p>
        </w:tc>
        <w:tc>
          <w:tcPr>
            <w:tcW w:w="1892" w:type="dxa"/>
            <w:tcBorders>
              <w:top w:val="nil"/>
              <w:left w:val="nil"/>
              <w:bottom w:val="single" w:sz="4" w:space="0" w:color="auto"/>
              <w:right w:val="single" w:sz="4" w:space="0" w:color="auto"/>
            </w:tcBorders>
            <w:shd w:val="clear" w:color="auto" w:fill="auto"/>
            <w:vAlign w:val="center"/>
            <w:hideMark/>
          </w:tcPr>
          <w:p w14:paraId="3CE977AC"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w:t>
            </w:r>
          </w:p>
        </w:tc>
      </w:tr>
      <w:tr w:rsidR="00252B58" w:rsidRPr="00252B58" w14:paraId="7983418A" w14:textId="77777777" w:rsidTr="004D0EA7">
        <w:trPr>
          <w:trHeight w:val="300"/>
        </w:trPr>
        <w:tc>
          <w:tcPr>
            <w:tcW w:w="32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5B21B2" w14:textId="77777777" w:rsidR="009305F1" w:rsidRPr="00252B58" w:rsidRDefault="009305F1" w:rsidP="004D0EA7">
            <w:pPr>
              <w:spacing w:after="0" w:line="168" w:lineRule="auto"/>
              <w:rPr>
                <w:rFonts w:eastAsia="Times New Roman"/>
                <w:lang w:eastAsia="en-GB"/>
              </w:rPr>
            </w:pPr>
          </w:p>
          <w:p w14:paraId="79286D3F" w14:textId="77777777" w:rsidR="009305F1" w:rsidRPr="00252B58" w:rsidRDefault="009305F1" w:rsidP="004D0EA7">
            <w:pPr>
              <w:spacing w:after="0" w:line="168" w:lineRule="auto"/>
              <w:rPr>
                <w:rFonts w:eastAsia="Times New Roman"/>
                <w:lang w:eastAsia="en-GB"/>
              </w:rPr>
            </w:pPr>
            <w:r w:rsidRPr="00252B58">
              <w:rPr>
                <w:rFonts w:eastAsia="Times New Roman"/>
                <w:b/>
                <w:lang w:eastAsia="en-GB"/>
              </w:rPr>
              <w:t>Smoker:</w:t>
            </w:r>
            <w:r w:rsidRPr="00252B58">
              <w:rPr>
                <w:rFonts w:eastAsia="Times New Roman"/>
                <w:lang w:eastAsia="en-GB"/>
              </w:rPr>
              <w:t xml:space="preserve"> Yes/No/ Ex</w:t>
            </w:r>
          </w:p>
          <w:p w14:paraId="1EF403F2" w14:textId="77777777" w:rsidR="009305F1" w:rsidRPr="00252B58" w:rsidRDefault="009305F1" w:rsidP="004D0EA7">
            <w:pPr>
              <w:spacing w:after="0" w:line="168" w:lineRule="auto"/>
              <w:rPr>
                <w:rFonts w:eastAsia="Times New Roman"/>
                <w:lang w:eastAsia="en-GB"/>
              </w:rPr>
            </w:pPr>
          </w:p>
        </w:tc>
        <w:tc>
          <w:tcPr>
            <w:tcW w:w="1843" w:type="dxa"/>
            <w:tcBorders>
              <w:top w:val="single" w:sz="4" w:space="0" w:color="auto"/>
              <w:left w:val="single" w:sz="4" w:space="0" w:color="auto"/>
              <w:bottom w:val="single" w:sz="4" w:space="0" w:color="auto"/>
            </w:tcBorders>
            <w:shd w:val="clear" w:color="auto" w:fill="auto"/>
            <w:vAlign w:val="center"/>
          </w:tcPr>
          <w:p w14:paraId="124830B6"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6/1/11</w:t>
            </w:r>
          </w:p>
        </w:tc>
        <w:tc>
          <w:tcPr>
            <w:tcW w:w="1842" w:type="dxa"/>
            <w:tcBorders>
              <w:top w:val="single" w:sz="4" w:space="0" w:color="auto"/>
              <w:bottom w:val="single" w:sz="4" w:space="0" w:color="auto"/>
              <w:right w:val="single" w:sz="4" w:space="0" w:color="auto"/>
            </w:tcBorders>
            <w:shd w:val="clear" w:color="auto" w:fill="auto"/>
            <w:vAlign w:val="center"/>
          </w:tcPr>
          <w:p w14:paraId="768168C4"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1/16</w:t>
            </w:r>
          </w:p>
        </w:tc>
        <w:tc>
          <w:tcPr>
            <w:tcW w:w="574" w:type="dxa"/>
            <w:tcBorders>
              <w:top w:val="single" w:sz="4" w:space="0" w:color="auto"/>
              <w:left w:val="single" w:sz="4" w:space="0" w:color="auto"/>
              <w:bottom w:val="single" w:sz="4" w:space="0" w:color="auto"/>
            </w:tcBorders>
            <w:shd w:val="clear" w:color="auto" w:fill="auto"/>
            <w:vAlign w:val="center"/>
          </w:tcPr>
          <w:p w14:paraId="5D9D1F50" w14:textId="77777777" w:rsidR="009305F1" w:rsidRPr="00252B58" w:rsidRDefault="009305F1" w:rsidP="004D0EA7">
            <w:pPr>
              <w:spacing w:after="0" w:line="168" w:lineRule="auto"/>
              <w:jc w:val="center"/>
              <w:rPr>
                <w:rFonts w:eastAsia="Times New Roman"/>
                <w:lang w:eastAsia="en-GB"/>
              </w:rPr>
            </w:pPr>
          </w:p>
        </w:tc>
        <w:tc>
          <w:tcPr>
            <w:tcW w:w="1594" w:type="dxa"/>
            <w:tcBorders>
              <w:top w:val="single" w:sz="4" w:space="0" w:color="auto"/>
              <w:bottom w:val="single" w:sz="4" w:space="0" w:color="auto"/>
            </w:tcBorders>
            <w:shd w:val="clear" w:color="auto" w:fill="auto"/>
            <w:vAlign w:val="center"/>
          </w:tcPr>
          <w:p w14:paraId="6FC7207E"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2/28/5</w:t>
            </w:r>
          </w:p>
        </w:tc>
        <w:tc>
          <w:tcPr>
            <w:tcW w:w="1958" w:type="dxa"/>
            <w:tcBorders>
              <w:top w:val="single" w:sz="4" w:space="0" w:color="auto"/>
              <w:bottom w:val="single" w:sz="4" w:space="0" w:color="auto"/>
              <w:right w:val="single" w:sz="4" w:space="0" w:color="auto"/>
            </w:tcBorders>
            <w:shd w:val="clear" w:color="auto" w:fill="auto"/>
            <w:vAlign w:val="center"/>
          </w:tcPr>
          <w:p w14:paraId="45367936"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1/9/4</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55D4D4C6"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NA</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F386B2"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NA</w:t>
            </w:r>
          </w:p>
        </w:tc>
      </w:tr>
      <w:tr w:rsidR="00252B58" w:rsidRPr="00252B58" w14:paraId="250B8A63" w14:textId="77777777" w:rsidTr="004D0EA7">
        <w:trPr>
          <w:trHeight w:val="300"/>
        </w:trPr>
        <w:tc>
          <w:tcPr>
            <w:tcW w:w="32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763408" w14:textId="77777777" w:rsidR="009305F1" w:rsidRPr="00252B58" w:rsidRDefault="009305F1" w:rsidP="004D0EA7">
            <w:pPr>
              <w:spacing w:after="0" w:line="168" w:lineRule="auto"/>
              <w:rPr>
                <w:rFonts w:eastAsia="Times New Roman"/>
                <w:lang w:eastAsia="en-GB"/>
              </w:rPr>
            </w:pPr>
            <w:r w:rsidRPr="00252B58">
              <w:rPr>
                <w:rFonts w:eastAsia="Times New Roman"/>
                <w:b/>
                <w:lang w:eastAsia="en-GB"/>
              </w:rPr>
              <w:t>Diet:</w:t>
            </w:r>
            <w:r w:rsidRPr="00252B58">
              <w:rPr>
                <w:rFonts w:eastAsia="Times New Roman"/>
                <w:lang w:eastAsia="en-GB"/>
              </w:rPr>
              <w:t xml:space="preserve"> Mixed / Veg/Polymeric</w:t>
            </w:r>
          </w:p>
        </w:tc>
        <w:tc>
          <w:tcPr>
            <w:tcW w:w="1843" w:type="dxa"/>
            <w:tcBorders>
              <w:top w:val="single" w:sz="4" w:space="0" w:color="auto"/>
              <w:left w:val="nil"/>
              <w:bottom w:val="single" w:sz="4" w:space="0" w:color="auto"/>
              <w:right w:val="nil"/>
            </w:tcBorders>
            <w:shd w:val="clear" w:color="auto" w:fill="auto"/>
            <w:vAlign w:val="center"/>
          </w:tcPr>
          <w:p w14:paraId="40B6FC22"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17/0/0</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F38D67"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17/1/1</w:t>
            </w:r>
          </w:p>
        </w:tc>
        <w:tc>
          <w:tcPr>
            <w:tcW w:w="574" w:type="dxa"/>
            <w:tcBorders>
              <w:top w:val="single" w:sz="4" w:space="0" w:color="auto"/>
              <w:left w:val="nil"/>
              <w:bottom w:val="single" w:sz="4" w:space="0" w:color="auto"/>
              <w:right w:val="nil"/>
            </w:tcBorders>
            <w:shd w:val="clear" w:color="auto" w:fill="auto"/>
            <w:vAlign w:val="center"/>
          </w:tcPr>
          <w:p w14:paraId="08847539" w14:textId="77777777" w:rsidR="009305F1" w:rsidRPr="00252B58" w:rsidRDefault="009305F1" w:rsidP="004D0EA7">
            <w:pPr>
              <w:spacing w:after="0" w:line="168" w:lineRule="auto"/>
              <w:jc w:val="center"/>
              <w:rPr>
                <w:rFonts w:eastAsia="Times New Roman"/>
                <w:lang w:eastAsia="en-GB"/>
              </w:rPr>
            </w:pPr>
          </w:p>
        </w:tc>
        <w:tc>
          <w:tcPr>
            <w:tcW w:w="1594" w:type="dxa"/>
            <w:tcBorders>
              <w:top w:val="single" w:sz="4" w:space="0" w:color="auto"/>
              <w:left w:val="nil"/>
              <w:bottom w:val="single" w:sz="4" w:space="0" w:color="auto"/>
              <w:right w:val="nil"/>
            </w:tcBorders>
            <w:shd w:val="clear" w:color="auto" w:fill="auto"/>
            <w:vAlign w:val="center"/>
          </w:tcPr>
          <w:p w14:paraId="5C91C626"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33/2/0</w:t>
            </w:r>
          </w:p>
        </w:tc>
        <w:tc>
          <w:tcPr>
            <w:tcW w:w="1958" w:type="dxa"/>
            <w:tcBorders>
              <w:top w:val="single" w:sz="4" w:space="0" w:color="auto"/>
              <w:left w:val="nil"/>
              <w:bottom w:val="single" w:sz="4" w:space="0" w:color="auto"/>
              <w:right w:val="single" w:sz="4" w:space="0" w:color="auto"/>
            </w:tcBorders>
            <w:shd w:val="clear" w:color="auto" w:fill="auto"/>
            <w:vAlign w:val="center"/>
          </w:tcPr>
          <w:p w14:paraId="5F6B93B8"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11/0/0</w:t>
            </w:r>
          </w:p>
        </w:tc>
        <w:tc>
          <w:tcPr>
            <w:tcW w:w="1678" w:type="dxa"/>
            <w:tcBorders>
              <w:top w:val="single" w:sz="4" w:space="0" w:color="auto"/>
              <w:left w:val="nil"/>
              <w:bottom w:val="single" w:sz="4" w:space="0" w:color="auto"/>
              <w:right w:val="single" w:sz="4" w:space="0" w:color="auto"/>
            </w:tcBorders>
            <w:shd w:val="clear" w:color="auto" w:fill="auto"/>
            <w:vAlign w:val="center"/>
          </w:tcPr>
          <w:p w14:paraId="3D0ED39C"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 xml:space="preserve">NA </w:t>
            </w:r>
          </w:p>
        </w:tc>
        <w:tc>
          <w:tcPr>
            <w:tcW w:w="1892" w:type="dxa"/>
            <w:tcBorders>
              <w:top w:val="single" w:sz="4" w:space="0" w:color="auto"/>
              <w:left w:val="nil"/>
              <w:bottom w:val="single" w:sz="4" w:space="0" w:color="auto"/>
              <w:right w:val="single" w:sz="4" w:space="0" w:color="auto"/>
            </w:tcBorders>
            <w:shd w:val="clear" w:color="auto" w:fill="auto"/>
            <w:vAlign w:val="center"/>
          </w:tcPr>
          <w:p w14:paraId="7CD8D25F" w14:textId="77777777" w:rsidR="009305F1" w:rsidRPr="00252B58" w:rsidRDefault="009305F1" w:rsidP="004D0EA7">
            <w:pPr>
              <w:spacing w:after="0" w:line="168" w:lineRule="auto"/>
              <w:jc w:val="center"/>
              <w:rPr>
                <w:rFonts w:eastAsia="Times New Roman"/>
                <w:lang w:eastAsia="en-GB"/>
              </w:rPr>
            </w:pPr>
            <w:r w:rsidRPr="00252B58">
              <w:rPr>
                <w:rFonts w:eastAsia="Times New Roman"/>
                <w:lang w:eastAsia="en-GB"/>
              </w:rPr>
              <w:t>NA</w:t>
            </w:r>
          </w:p>
        </w:tc>
      </w:tr>
    </w:tbl>
    <w:p w14:paraId="46C8C5D1" w14:textId="77777777" w:rsidR="009305F1" w:rsidRDefault="009305F1" w:rsidP="00DC74F7">
      <w:pPr>
        <w:spacing w:line="480" w:lineRule="auto"/>
        <w:jc w:val="both"/>
        <w:rPr>
          <w:rFonts w:ascii="Arial" w:hAnsi="Arial" w:cs="Arial"/>
          <w:sz w:val="20"/>
          <w:szCs w:val="20"/>
        </w:rPr>
      </w:pPr>
    </w:p>
    <w:p w14:paraId="364AE55B" w14:textId="7DDFC30B" w:rsidR="00252B58" w:rsidRDefault="00252B58" w:rsidP="00DC74F7">
      <w:pPr>
        <w:spacing w:line="480" w:lineRule="auto"/>
        <w:jc w:val="both"/>
        <w:rPr>
          <w:rFonts w:ascii="Arial" w:hAnsi="Arial" w:cs="Arial"/>
          <w:sz w:val="20"/>
          <w:szCs w:val="20"/>
        </w:rPr>
      </w:pPr>
      <w:r>
        <w:rPr>
          <w:rFonts w:ascii="Arial" w:hAnsi="Arial" w:cs="Arial"/>
          <w:sz w:val="20"/>
          <w:szCs w:val="20"/>
        </w:rPr>
        <w:br/>
      </w:r>
    </w:p>
    <w:p w14:paraId="0C4A702A" w14:textId="77777777" w:rsidR="00252B58" w:rsidRDefault="00252B58">
      <w:pPr>
        <w:spacing w:after="0" w:line="240" w:lineRule="auto"/>
        <w:rPr>
          <w:rFonts w:ascii="Arial" w:hAnsi="Arial" w:cs="Arial"/>
          <w:sz w:val="20"/>
          <w:szCs w:val="20"/>
        </w:rPr>
      </w:pPr>
      <w:r>
        <w:rPr>
          <w:rFonts w:ascii="Arial" w:hAnsi="Arial" w:cs="Arial"/>
          <w:sz w:val="20"/>
          <w:szCs w:val="20"/>
        </w:rPr>
        <w:br w:type="page"/>
      </w:r>
    </w:p>
    <w:tbl>
      <w:tblPr>
        <w:tblStyle w:val="Grilledutableau1"/>
        <w:tblW w:w="5534" w:type="pct"/>
        <w:tblInd w:w="-510"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166"/>
        <w:gridCol w:w="2376"/>
        <w:gridCol w:w="738"/>
        <w:gridCol w:w="10022"/>
        <w:gridCol w:w="2329"/>
      </w:tblGrid>
      <w:tr w:rsidR="00194ED3" w:rsidRPr="008469D3" w14:paraId="23D59AED" w14:textId="77777777" w:rsidTr="00252B58">
        <w:trPr>
          <w:trHeight w:val="288"/>
        </w:trPr>
        <w:tc>
          <w:tcPr>
            <w:tcW w:w="166" w:type="dxa"/>
            <w:tcBorders>
              <w:top w:val="single" w:sz="4" w:space="0" w:color="auto"/>
              <w:left w:val="nil"/>
              <w:bottom w:val="single" w:sz="4" w:space="0" w:color="auto"/>
              <w:right w:val="nil"/>
            </w:tcBorders>
            <w:shd w:val="clear" w:color="auto" w:fill="4F81BD" w:themeFill="accent1"/>
            <w:tcMar>
              <w:left w:w="57" w:type="dxa"/>
              <w:right w:w="57" w:type="dxa"/>
            </w:tcMar>
            <w:vAlign w:val="center"/>
          </w:tcPr>
          <w:p w14:paraId="7AF4CCA6" w14:textId="77777777" w:rsidR="00194ED3" w:rsidRPr="008469D3" w:rsidRDefault="00194ED3" w:rsidP="001609B6">
            <w:pPr>
              <w:rPr>
                <w:rFonts w:cstheme="minorHAnsi"/>
                <w:color w:val="FFFFFF" w:themeColor="background1"/>
                <w:sz w:val="18"/>
                <w:lang w:val="en-GB"/>
              </w:rPr>
            </w:pPr>
          </w:p>
        </w:tc>
        <w:tc>
          <w:tcPr>
            <w:tcW w:w="2376" w:type="dxa"/>
            <w:tcBorders>
              <w:top w:val="single" w:sz="4" w:space="0" w:color="auto"/>
              <w:left w:val="nil"/>
              <w:bottom w:val="single" w:sz="4" w:space="0" w:color="auto"/>
              <w:right w:val="nil"/>
            </w:tcBorders>
            <w:shd w:val="clear" w:color="auto" w:fill="4F81BD" w:themeFill="accent1"/>
            <w:vAlign w:val="center"/>
          </w:tcPr>
          <w:p w14:paraId="1C5BF89B" w14:textId="77777777" w:rsidR="00194ED3" w:rsidRPr="008469D3" w:rsidRDefault="00194ED3" w:rsidP="001609B6">
            <w:pPr>
              <w:rPr>
                <w:rFonts w:cstheme="minorHAnsi"/>
                <w:b/>
                <w:color w:val="FFFFFF" w:themeColor="background1"/>
                <w:sz w:val="18"/>
                <w:lang w:val="en-GB"/>
              </w:rPr>
            </w:pPr>
            <w:r w:rsidRPr="008469D3">
              <w:rPr>
                <w:rFonts w:cstheme="minorHAnsi"/>
                <w:b/>
                <w:color w:val="FFFFFF" w:themeColor="background1"/>
                <w:sz w:val="18"/>
                <w:lang w:val="en-GB"/>
              </w:rPr>
              <w:t>Section &amp; Topic</w:t>
            </w:r>
          </w:p>
        </w:tc>
        <w:tc>
          <w:tcPr>
            <w:tcW w:w="738" w:type="dxa"/>
            <w:tcBorders>
              <w:top w:val="single" w:sz="4" w:space="0" w:color="auto"/>
              <w:left w:val="nil"/>
              <w:bottom w:val="single" w:sz="4" w:space="0" w:color="auto"/>
              <w:right w:val="nil"/>
            </w:tcBorders>
            <w:shd w:val="clear" w:color="auto" w:fill="4F81BD" w:themeFill="accent1"/>
            <w:vAlign w:val="center"/>
          </w:tcPr>
          <w:p w14:paraId="0F5D03B1" w14:textId="77777777" w:rsidR="00194ED3" w:rsidRPr="008469D3" w:rsidRDefault="00194ED3" w:rsidP="001609B6">
            <w:pPr>
              <w:rPr>
                <w:rFonts w:cstheme="minorHAnsi"/>
                <w:b/>
                <w:color w:val="FFFFFF" w:themeColor="background1"/>
                <w:sz w:val="18"/>
                <w:lang w:val="en-GB"/>
              </w:rPr>
            </w:pPr>
            <w:r>
              <w:rPr>
                <w:rFonts w:cstheme="minorHAnsi"/>
                <w:b/>
                <w:color w:val="FFFFFF" w:themeColor="background1"/>
                <w:sz w:val="18"/>
                <w:lang w:val="en-GB"/>
              </w:rPr>
              <w:t>No</w:t>
            </w:r>
          </w:p>
        </w:tc>
        <w:tc>
          <w:tcPr>
            <w:tcW w:w="10022" w:type="dxa"/>
            <w:tcBorders>
              <w:top w:val="single" w:sz="4" w:space="0" w:color="auto"/>
              <w:left w:val="nil"/>
              <w:bottom w:val="single" w:sz="4" w:space="0" w:color="auto"/>
              <w:right w:val="nil"/>
            </w:tcBorders>
            <w:shd w:val="clear" w:color="auto" w:fill="4F81BD" w:themeFill="accent1"/>
            <w:vAlign w:val="center"/>
          </w:tcPr>
          <w:p w14:paraId="7E63454F" w14:textId="77777777" w:rsidR="00194ED3" w:rsidRPr="008469D3" w:rsidRDefault="00194ED3" w:rsidP="001609B6">
            <w:pPr>
              <w:rPr>
                <w:rFonts w:cstheme="minorHAnsi"/>
                <w:b/>
                <w:color w:val="FFFFFF" w:themeColor="background1"/>
                <w:sz w:val="18"/>
                <w:lang w:val="en-GB"/>
              </w:rPr>
            </w:pPr>
            <w:r w:rsidRPr="008469D3">
              <w:rPr>
                <w:rFonts w:cstheme="minorHAnsi"/>
                <w:b/>
                <w:color w:val="FFFFFF" w:themeColor="background1"/>
                <w:sz w:val="18"/>
                <w:lang w:val="en-GB"/>
              </w:rPr>
              <w:t>Item</w:t>
            </w:r>
          </w:p>
        </w:tc>
        <w:tc>
          <w:tcPr>
            <w:tcW w:w="2329" w:type="dxa"/>
            <w:tcBorders>
              <w:top w:val="single" w:sz="4" w:space="0" w:color="auto"/>
              <w:left w:val="nil"/>
              <w:bottom w:val="single" w:sz="4" w:space="0" w:color="auto"/>
              <w:right w:val="nil"/>
            </w:tcBorders>
            <w:shd w:val="clear" w:color="auto" w:fill="4F81BD" w:themeFill="accent1"/>
          </w:tcPr>
          <w:p w14:paraId="4166E7C0" w14:textId="77777777" w:rsidR="00194ED3" w:rsidRPr="008469D3" w:rsidRDefault="00194ED3" w:rsidP="001609B6">
            <w:pPr>
              <w:rPr>
                <w:rFonts w:cstheme="minorHAnsi"/>
                <w:b/>
                <w:color w:val="FFFFFF" w:themeColor="background1"/>
                <w:sz w:val="18"/>
                <w:lang w:val="en-GB"/>
              </w:rPr>
            </w:pPr>
            <w:r>
              <w:rPr>
                <w:rFonts w:cstheme="minorHAnsi"/>
                <w:b/>
                <w:color w:val="FFFFFF" w:themeColor="background1"/>
                <w:sz w:val="18"/>
                <w:lang w:val="en-GB"/>
              </w:rPr>
              <w:t>Reported on page #</w:t>
            </w:r>
          </w:p>
        </w:tc>
      </w:tr>
      <w:tr w:rsidR="00194ED3" w:rsidRPr="005320D9" w14:paraId="5069C289" w14:textId="77777777" w:rsidTr="00252B58">
        <w:trPr>
          <w:trHeight w:val="20"/>
        </w:trPr>
        <w:tc>
          <w:tcPr>
            <w:tcW w:w="166" w:type="dxa"/>
            <w:tcBorders>
              <w:top w:val="single" w:sz="4" w:space="0" w:color="auto"/>
              <w:left w:val="nil"/>
              <w:bottom w:val="nil"/>
              <w:right w:val="nil"/>
            </w:tcBorders>
            <w:tcMar>
              <w:left w:w="57" w:type="dxa"/>
              <w:right w:w="57" w:type="dxa"/>
            </w:tcMar>
          </w:tcPr>
          <w:p w14:paraId="54A53855" w14:textId="77777777" w:rsidR="00194ED3" w:rsidRPr="005320D9" w:rsidRDefault="00194ED3" w:rsidP="001609B6">
            <w:pPr>
              <w:rPr>
                <w:rFonts w:cstheme="minorHAnsi"/>
                <w:color w:val="000000" w:themeColor="text1"/>
                <w:sz w:val="8"/>
                <w:lang w:val="en-GB"/>
              </w:rPr>
            </w:pPr>
          </w:p>
        </w:tc>
        <w:tc>
          <w:tcPr>
            <w:tcW w:w="2376" w:type="dxa"/>
            <w:tcBorders>
              <w:top w:val="single" w:sz="4" w:space="0" w:color="auto"/>
              <w:left w:val="nil"/>
              <w:bottom w:val="nil"/>
              <w:right w:val="nil"/>
            </w:tcBorders>
          </w:tcPr>
          <w:p w14:paraId="616F0498" w14:textId="77777777" w:rsidR="00194ED3" w:rsidRPr="005320D9" w:rsidRDefault="00194ED3" w:rsidP="001609B6">
            <w:pPr>
              <w:rPr>
                <w:rFonts w:cstheme="minorHAnsi"/>
                <w:b/>
                <w:color w:val="4F81BD" w:themeColor="accent1"/>
                <w:sz w:val="8"/>
                <w:lang w:val="en-GB"/>
              </w:rPr>
            </w:pPr>
          </w:p>
        </w:tc>
        <w:tc>
          <w:tcPr>
            <w:tcW w:w="738" w:type="dxa"/>
            <w:tcBorders>
              <w:top w:val="single" w:sz="4" w:space="0" w:color="auto"/>
              <w:left w:val="nil"/>
              <w:bottom w:val="nil"/>
              <w:right w:val="nil"/>
            </w:tcBorders>
          </w:tcPr>
          <w:p w14:paraId="7B1034C0" w14:textId="77777777" w:rsidR="00194ED3" w:rsidRPr="005320D9" w:rsidRDefault="00194ED3" w:rsidP="001609B6">
            <w:pPr>
              <w:jc w:val="center"/>
              <w:rPr>
                <w:rFonts w:cstheme="minorHAnsi"/>
                <w:b/>
                <w:color w:val="000000" w:themeColor="text1"/>
                <w:sz w:val="8"/>
                <w:lang w:val="en-GB"/>
              </w:rPr>
            </w:pPr>
          </w:p>
        </w:tc>
        <w:tc>
          <w:tcPr>
            <w:tcW w:w="10022" w:type="dxa"/>
            <w:tcBorders>
              <w:top w:val="single" w:sz="4" w:space="0" w:color="auto"/>
              <w:left w:val="nil"/>
              <w:bottom w:val="nil"/>
              <w:right w:val="nil"/>
            </w:tcBorders>
          </w:tcPr>
          <w:p w14:paraId="37C49B6B" w14:textId="77777777" w:rsidR="00194ED3" w:rsidRPr="005320D9" w:rsidRDefault="00194ED3" w:rsidP="001609B6">
            <w:pPr>
              <w:jc w:val="center"/>
              <w:rPr>
                <w:rFonts w:cstheme="minorHAnsi"/>
                <w:b/>
                <w:color w:val="000000" w:themeColor="text1"/>
                <w:sz w:val="8"/>
                <w:lang w:val="en-GB"/>
              </w:rPr>
            </w:pPr>
          </w:p>
        </w:tc>
        <w:tc>
          <w:tcPr>
            <w:tcW w:w="2329" w:type="dxa"/>
            <w:tcBorders>
              <w:top w:val="single" w:sz="4" w:space="0" w:color="auto"/>
              <w:left w:val="nil"/>
              <w:bottom w:val="nil"/>
              <w:right w:val="nil"/>
            </w:tcBorders>
          </w:tcPr>
          <w:p w14:paraId="0C8B207B" w14:textId="77777777" w:rsidR="00194ED3" w:rsidRPr="005320D9" w:rsidRDefault="00194ED3" w:rsidP="001609B6">
            <w:pPr>
              <w:rPr>
                <w:rFonts w:cstheme="minorHAnsi"/>
                <w:b/>
                <w:color w:val="000000" w:themeColor="text1"/>
                <w:sz w:val="8"/>
                <w:lang w:val="en-GB"/>
              </w:rPr>
            </w:pPr>
          </w:p>
        </w:tc>
      </w:tr>
      <w:tr w:rsidR="00194ED3" w:rsidRPr="008469D3" w14:paraId="669D0F05" w14:textId="77777777" w:rsidTr="00252B58">
        <w:tc>
          <w:tcPr>
            <w:tcW w:w="166" w:type="dxa"/>
            <w:tcBorders>
              <w:top w:val="nil"/>
              <w:left w:val="nil"/>
              <w:bottom w:val="nil"/>
              <w:right w:val="nil"/>
            </w:tcBorders>
            <w:tcMar>
              <w:left w:w="57" w:type="dxa"/>
              <w:right w:w="57" w:type="dxa"/>
            </w:tcMar>
          </w:tcPr>
          <w:p w14:paraId="0458CFEC" w14:textId="77777777" w:rsidR="00194ED3" w:rsidRPr="008469D3" w:rsidRDefault="00194ED3" w:rsidP="001609B6">
            <w:pPr>
              <w:rPr>
                <w:rFonts w:cstheme="minorHAnsi"/>
                <w:color w:val="000000" w:themeColor="text1"/>
                <w:sz w:val="18"/>
                <w:lang w:val="en-GB"/>
              </w:rPr>
            </w:pPr>
          </w:p>
        </w:tc>
        <w:tc>
          <w:tcPr>
            <w:tcW w:w="2376" w:type="dxa"/>
            <w:tcBorders>
              <w:top w:val="nil"/>
              <w:left w:val="nil"/>
              <w:bottom w:val="dotted" w:sz="6" w:space="0" w:color="4F81BD" w:themeColor="accent1"/>
              <w:right w:val="dotted" w:sz="6" w:space="0" w:color="4F81BD" w:themeColor="accent1"/>
            </w:tcBorders>
          </w:tcPr>
          <w:p w14:paraId="5E2D5584" w14:textId="77777777" w:rsidR="00194ED3" w:rsidRPr="008469D3" w:rsidRDefault="00194ED3" w:rsidP="001609B6">
            <w:pPr>
              <w:rPr>
                <w:rFonts w:cstheme="minorHAnsi"/>
                <w:b/>
                <w:color w:val="365F91" w:themeColor="accent1" w:themeShade="BF"/>
                <w:sz w:val="18"/>
                <w:lang w:val="en-GB"/>
              </w:rPr>
            </w:pPr>
            <w:r w:rsidRPr="008469D3">
              <w:rPr>
                <w:rFonts w:cstheme="minorHAnsi"/>
                <w:b/>
                <w:color w:val="365F91" w:themeColor="accent1" w:themeShade="BF"/>
                <w:sz w:val="18"/>
                <w:lang w:val="en-GB"/>
              </w:rPr>
              <w:t>TITLE OR ABSTRACT</w:t>
            </w:r>
          </w:p>
        </w:tc>
        <w:tc>
          <w:tcPr>
            <w:tcW w:w="738" w:type="dxa"/>
            <w:tcBorders>
              <w:top w:val="nil"/>
              <w:left w:val="dotted" w:sz="6" w:space="0" w:color="4F81BD" w:themeColor="accent1"/>
              <w:bottom w:val="dotted" w:sz="6" w:space="0" w:color="4F81BD" w:themeColor="accent1"/>
              <w:right w:val="dotted" w:sz="6" w:space="0" w:color="4F81BD" w:themeColor="accent1"/>
            </w:tcBorders>
          </w:tcPr>
          <w:p w14:paraId="0C369F6B" w14:textId="77777777" w:rsidR="00194ED3" w:rsidRPr="008469D3" w:rsidRDefault="00194ED3" w:rsidP="001609B6">
            <w:pPr>
              <w:jc w:val="center"/>
              <w:rPr>
                <w:rFonts w:cstheme="minorHAnsi"/>
                <w:b/>
                <w:color w:val="000000" w:themeColor="text1"/>
                <w:sz w:val="18"/>
                <w:lang w:val="en-GB"/>
              </w:rPr>
            </w:pPr>
          </w:p>
        </w:tc>
        <w:tc>
          <w:tcPr>
            <w:tcW w:w="10022" w:type="dxa"/>
            <w:tcBorders>
              <w:top w:val="nil"/>
              <w:left w:val="dotted" w:sz="6" w:space="0" w:color="4F81BD" w:themeColor="accent1"/>
              <w:bottom w:val="dotted" w:sz="6" w:space="0" w:color="4F81BD" w:themeColor="accent1"/>
              <w:right w:val="nil"/>
            </w:tcBorders>
          </w:tcPr>
          <w:p w14:paraId="268E8604" w14:textId="77777777" w:rsidR="00194ED3" w:rsidRPr="008469D3" w:rsidRDefault="00194ED3" w:rsidP="001609B6">
            <w:pPr>
              <w:jc w:val="center"/>
              <w:rPr>
                <w:rFonts w:cstheme="minorHAnsi"/>
                <w:b/>
                <w:color w:val="000000" w:themeColor="text1"/>
                <w:sz w:val="18"/>
                <w:lang w:val="en-GB"/>
              </w:rPr>
            </w:pPr>
          </w:p>
        </w:tc>
        <w:tc>
          <w:tcPr>
            <w:tcW w:w="2329" w:type="dxa"/>
            <w:tcBorders>
              <w:top w:val="nil"/>
              <w:left w:val="dotted" w:sz="6" w:space="0" w:color="4F81BD" w:themeColor="accent1"/>
              <w:bottom w:val="dotted" w:sz="6" w:space="0" w:color="4F81BD" w:themeColor="accent1"/>
              <w:right w:val="nil"/>
            </w:tcBorders>
          </w:tcPr>
          <w:p w14:paraId="44B81F7E" w14:textId="77777777" w:rsidR="00194ED3" w:rsidRPr="008469D3" w:rsidRDefault="00194ED3" w:rsidP="001609B6">
            <w:pPr>
              <w:rPr>
                <w:rFonts w:cstheme="minorHAnsi"/>
                <w:b/>
                <w:color w:val="000000" w:themeColor="text1"/>
                <w:sz w:val="18"/>
                <w:lang w:val="en-GB"/>
              </w:rPr>
            </w:pPr>
          </w:p>
        </w:tc>
      </w:tr>
      <w:tr w:rsidR="00194ED3" w:rsidRPr="008469D3" w14:paraId="614C7172" w14:textId="77777777" w:rsidTr="00252B58">
        <w:tc>
          <w:tcPr>
            <w:tcW w:w="166" w:type="dxa"/>
            <w:tcBorders>
              <w:top w:val="nil"/>
              <w:left w:val="nil"/>
              <w:bottom w:val="nil"/>
              <w:right w:val="nil"/>
            </w:tcBorders>
            <w:tcMar>
              <w:left w:w="57" w:type="dxa"/>
              <w:right w:w="57" w:type="dxa"/>
            </w:tcMar>
          </w:tcPr>
          <w:p w14:paraId="32562263"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2D71F533"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07D87913" w14:textId="77777777" w:rsidR="00194ED3" w:rsidRPr="0046212E" w:rsidRDefault="00194ED3" w:rsidP="001609B6">
            <w:pPr>
              <w:jc w:val="center"/>
              <w:rPr>
                <w:rFonts w:cstheme="minorHAnsi"/>
                <w:b/>
                <w:sz w:val="18"/>
                <w:lang w:val="en-GB"/>
              </w:rPr>
            </w:pPr>
            <w:r w:rsidRPr="0046212E">
              <w:rPr>
                <w:rFonts w:cstheme="minorHAnsi"/>
                <w:b/>
                <w:sz w:val="18"/>
                <w:lang w:val="en-GB"/>
              </w:rPr>
              <w:t>1</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16A995B0"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Identification as a study of diagnostic accuracy using at least one measure of accuracy</w:t>
            </w:r>
          </w:p>
          <w:p w14:paraId="02E034DE"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(such as sensitivity, specificity, predictive values, or AUC)</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6E58D767"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4</w:t>
            </w:r>
          </w:p>
        </w:tc>
      </w:tr>
      <w:tr w:rsidR="00194ED3" w:rsidRPr="008469D3" w14:paraId="5CEECA27" w14:textId="77777777" w:rsidTr="00252B58">
        <w:tc>
          <w:tcPr>
            <w:tcW w:w="166" w:type="dxa"/>
            <w:tcBorders>
              <w:top w:val="nil"/>
              <w:left w:val="nil"/>
              <w:bottom w:val="nil"/>
              <w:right w:val="nil"/>
            </w:tcBorders>
            <w:tcMar>
              <w:left w:w="57" w:type="dxa"/>
              <w:right w:w="57" w:type="dxa"/>
            </w:tcMar>
          </w:tcPr>
          <w:p w14:paraId="4CA909E4"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0BED43C0" w14:textId="77777777" w:rsidR="00194ED3" w:rsidRPr="008469D3" w:rsidRDefault="00194ED3" w:rsidP="001609B6">
            <w:pPr>
              <w:rPr>
                <w:rFonts w:cstheme="minorHAnsi"/>
                <w:b/>
                <w:color w:val="365F91" w:themeColor="accent1" w:themeShade="BF"/>
                <w:sz w:val="18"/>
                <w:lang w:val="en-GB"/>
              </w:rPr>
            </w:pPr>
            <w:r w:rsidRPr="008469D3">
              <w:rPr>
                <w:rFonts w:cstheme="minorHAnsi"/>
                <w:b/>
                <w:color w:val="365F91" w:themeColor="accent1" w:themeShade="BF"/>
                <w:sz w:val="18"/>
                <w:lang w:val="en-GB"/>
              </w:rPr>
              <w:t>ABSTRACT</w:t>
            </w: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284CE103" w14:textId="77777777" w:rsidR="00194ED3" w:rsidRPr="0046212E" w:rsidRDefault="00194ED3" w:rsidP="001609B6">
            <w:pPr>
              <w:jc w:val="center"/>
              <w:rPr>
                <w:rFonts w:cstheme="minorHAnsi"/>
                <w:b/>
                <w:sz w:val="18"/>
                <w:lang w:val="en-GB"/>
              </w:rPr>
            </w:pP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2860F5C6" w14:textId="77777777" w:rsidR="00194ED3" w:rsidRPr="008469D3" w:rsidRDefault="00194ED3" w:rsidP="001609B6">
            <w:pPr>
              <w:rPr>
                <w:rFonts w:cstheme="minorHAnsi"/>
                <w:color w:val="000000" w:themeColor="text1"/>
                <w:sz w:val="18"/>
                <w:lang w:val="en-GB"/>
              </w:rPr>
            </w:pP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2AC183EC" w14:textId="77777777" w:rsidR="00194ED3" w:rsidRPr="008469D3" w:rsidRDefault="00194ED3" w:rsidP="001609B6">
            <w:pPr>
              <w:rPr>
                <w:rFonts w:cstheme="minorHAnsi"/>
                <w:color w:val="000000" w:themeColor="text1"/>
                <w:sz w:val="18"/>
                <w:lang w:val="en-GB"/>
              </w:rPr>
            </w:pPr>
          </w:p>
        </w:tc>
      </w:tr>
      <w:tr w:rsidR="00194ED3" w:rsidRPr="008469D3" w14:paraId="5F935B90" w14:textId="77777777" w:rsidTr="00252B58">
        <w:tc>
          <w:tcPr>
            <w:tcW w:w="166" w:type="dxa"/>
            <w:tcBorders>
              <w:top w:val="nil"/>
              <w:left w:val="nil"/>
              <w:bottom w:val="nil"/>
              <w:right w:val="nil"/>
            </w:tcBorders>
            <w:tcMar>
              <w:left w:w="57" w:type="dxa"/>
              <w:right w:w="57" w:type="dxa"/>
            </w:tcMar>
          </w:tcPr>
          <w:p w14:paraId="4FCE16B4"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3049DDBE" w14:textId="77777777" w:rsidR="00194ED3" w:rsidRPr="008469D3" w:rsidRDefault="00194ED3" w:rsidP="001609B6">
            <w:pPr>
              <w:rPr>
                <w:rFonts w:cstheme="minorHAnsi"/>
                <w:b/>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1CCCA083" w14:textId="77777777" w:rsidR="00194ED3" w:rsidRPr="0046212E" w:rsidRDefault="00194ED3" w:rsidP="001609B6">
            <w:pPr>
              <w:jc w:val="center"/>
              <w:rPr>
                <w:rFonts w:cstheme="minorHAnsi"/>
                <w:b/>
                <w:sz w:val="18"/>
                <w:lang w:val="en-GB"/>
              </w:rPr>
            </w:pPr>
            <w:r w:rsidRPr="0046212E">
              <w:rPr>
                <w:rFonts w:cstheme="minorHAnsi"/>
                <w:b/>
                <w:sz w:val="18"/>
                <w:lang w:val="en-GB"/>
              </w:rPr>
              <w:t>2</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713676F0" w14:textId="77777777" w:rsidR="00194ED3" w:rsidRPr="008469D3" w:rsidRDefault="00194ED3" w:rsidP="001609B6">
            <w:pPr>
              <w:rPr>
                <w:rFonts w:cstheme="minorHAnsi"/>
                <w:i/>
                <w:color w:val="000000" w:themeColor="text1"/>
                <w:sz w:val="18"/>
              </w:rPr>
            </w:pPr>
            <w:r w:rsidRPr="008469D3">
              <w:rPr>
                <w:rFonts w:cstheme="minorHAnsi"/>
                <w:color w:val="000000" w:themeColor="text1"/>
                <w:sz w:val="18"/>
                <w:lang w:val="en-GB"/>
              </w:rPr>
              <w:t xml:space="preserve">Structured summary of study design, methods, results, and conclusions </w:t>
            </w:r>
            <w:r w:rsidRPr="008469D3">
              <w:rPr>
                <w:rFonts w:cstheme="minorHAnsi"/>
                <w:color w:val="000000" w:themeColor="text1"/>
                <w:sz w:val="18"/>
                <w:lang w:val="en-GB"/>
              </w:rPr>
              <w:br/>
              <w:t>(for specific guidance, see STARD for Abstracts)</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517DBB9D"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4</w:t>
            </w:r>
          </w:p>
        </w:tc>
      </w:tr>
      <w:tr w:rsidR="00194ED3" w:rsidRPr="008469D3" w14:paraId="3220ED38" w14:textId="77777777" w:rsidTr="00252B58">
        <w:tc>
          <w:tcPr>
            <w:tcW w:w="166" w:type="dxa"/>
            <w:tcBorders>
              <w:top w:val="nil"/>
              <w:left w:val="nil"/>
              <w:bottom w:val="nil"/>
              <w:right w:val="nil"/>
            </w:tcBorders>
            <w:tcMar>
              <w:left w:w="57" w:type="dxa"/>
              <w:right w:w="57" w:type="dxa"/>
            </w:tcMar>
          </w:tcPr>
          <w:p w14:paraId="332C81E0"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4D7F2AB1" w14:textId="77777777" w:rsidR="00194ED3" w:rsidRPr="008469D3" w:rsidRDefault="00194ED3" w:rsidP="001609B6">
            <w:pPr>
              <w:rPr>
                <w:rFonts w:cstheme="minorHAnsi"/>
                <w:b/>
                <w:color w:val="365F91" w:themeColor="accent1" w:themeShade="BF"/>
                <w:sz w:val="18"/>
                <w:lang w:val="en-GB"/>
              </w:rPr>
            </w:pPr>
            <w:r w:rsidRPr="008469D3">
              <w:rPr>
                <w:rFonts w:cstheme="minorHAnsi"/>
                <w:b/>
                <w:color w:val="365F91" w:themeColor="accent1" w:themeShade="BF"/>
                <w:sz w:val="18"/>
                <w:lang w:val="en-GB"/>
              </w:rPr>
              <w:t>INTRODUCTION</w:t>
            </w: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2295AA9C" w14:textId="77777777" w:rsidR="00194ED3" w:rsidRPr="0046212E" w:rsidRDefault="00194ED3" w:rsidP="001609B6">
            <w:pPr>
              <w:jc w:val="center"/>
              <w:rPr>
                <w:rFonts w:cstheme="minorHAnsi"/>
                <w:b/>
                <w:sz w:val="18"/>
                <w:lang w:val="en-GB"/>
              </w:rPr>
            </w:pP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62BEE222" w14:textId="77777777" w:rsidR="00194ED3" w:rsidRPr="008469D3" w:rsidRDefault="00194ED3" w:rsidP="001609B6">
            <w:pPr>
              <w:rPr>
                <w:rFonts w:cstheme="minorHAnsi"/>
                <w:i/>
                <w:color w:val="000000" w:themeColor="text1"/>
                <w:sz w:val="18"/>
                <w:lang w:val="en-GB"/>
              </w:rPr>
            </w:pP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4FF62CC9" w14:textId="77777777" w:rsidR="00194ED3" w:rsidRPr="008469D3" w:rsidRDefault="00194ED3" w:rsidP="001609B6">
            <w:pPr>
              <w:rPr>
                <w:rFonts w:cstheme="minorHAnsi"/>
                <w:i/>
                <w:color w:val="000000" w:themeColor="text1"/>
                <w:sz w:val="18"/>
                <w:lang w:val="en-GB"/>
              </w:rPr>
            </w:pPr>
          </w:p>
        </w:tc>
      </w:tr>
      <w:tr w:rsidR="00194ED3" w:rsidRPr="008469D3" w14:paraId="540521F9" w14:textId="77777777" w:rsidTr="00252B58">
        <w:tc>
          <w:tcPr>
            <w:tcW w:w="166" w:type="dxa"/>
            <w:tcBorders>
              <w:top w:val="nil"/>
              <w:left w:val="nil"/>
              <w:bottom w:val="nil"/>
              <w:right w:val="nil"/>
            </w:tcBorders>
            <w:tcMar>
              <w:left w:w="57" w:type="dxa"/>
              <w:right w:w="57" w:type="dxa"/>
            </w:tcMar>
          </w:tcPr>
          <w:p w14:paraId="34393AC9"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129108C3"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6109EF37" w14:textId="77777777" w:rsidR="00194ED3" w:rsidRPr="0046212E" w:rsidRDefault="00194ED3" w:rsidP="001609B6">
            <w:pPr>
              <w:jc w:val="center"/>
              <w:rPr>
                <w:rFonts w:cstheme="minorHAnsi"/>
                <w:b/>
                <w:sz w:val="18"/>
                <w:lang w:val="en-GB"/>
              </w:rPr>
            </w:pPr>
            <w:r w:rsidRPr="0046212E">
              <w:rPr>
                <w:rFonts w:cstheme="minorHAnsi"/>
                <w:b/>
                <w:sz w:val="18"/>
                <w:lang w:val="en-GB"/>
              </w:rPr>
              <w:t>3</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552AEAAB"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Scientific and clinical background, including the intended use and clinical role of the index test</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6A798C38"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5,6</w:t>
            </w:r>
          </w:p>
        </w:tc>
      </w:tr>
      <w:tr w:rsidR="00194ED3" w:rsidRPr="008469D3" w14:paraId="1471D6E7" w14:textId="77777777" w:rsidTr="00252B58">
        <w:tc>
          <w:tcPr>
            <w:tcW w:w="166" w:type="dxa"/>
            <w:tcBorders>
              <w:top w:val="nil"/>
              <w:left w:val="nil"/>
              <w:bottom w:val="nil"/>
              <w:right w:val="nil"/>
            </w:tcBorders>
            <w:tcMar>
              <w:left w:w="57" w:type="dxa"/>
              <w:right w:w="57" w:type="dxa"/>
            </w:tcMar>
          </w:tcPr>
          <w:p w14:paraId="63F5414B"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52D6D368"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16790B9C" w14:textId="77777777" w:rsidR="00194ED3" w:rsidRPr="0046212E" w:rsidRDefault="00194ED3" w:rsidP="001609B6">
            <w:pPr>
              <w:jc w:val="center"/>
              <w:rPr>
                <w:rFonts w:cstheme="minorHAnsi"/>
                <w:b/>
                <w:sz w:val="18"/>
                <w:lang w:val="en-GB"/>
              </w:rPr>
            </w:pPr>
            <w:r w:rsidRPr="0046212E">
              <w:rPr>
                <w:rFonts w:cstheme="minorHAnsi"/>
                <w:b/>
                <w:sz w:val="18"/>
                <w:lang w:val="en-GB"/>
              </w:rPr>
              <w:t>4</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3CBF1672"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Study objectives and hypotheses</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09CCE4CA"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7</w:t>
            </w:r>
          </w:p>
        </w:tc>
      </w:tr>
      <w:tr w:rsidR="00194ED3" w:rsidRPr="008469D3" w14:paraId="4FD7AEA1" w14:textId="77777777" w:rsidTr="00252B58">
        <w:tc>
          <w:tcPr>
            <w:tcW w:w="166" w:type="dxa"/>
            <w:tcBorders>
              <w:top w:val="nil"/>
              <w:left w:val="nil"/>
              <w:bottom w:val="nil"/>
              <w:right w:val="nil"/>
            </w:tcBorders>
            <w:tcMar>
              <w:left w:w="57" w:type="dxa"/>
              <w:right w:w="57" w:type="dxa"/>
            </w:tcMar>
          </w:tcPr>
          <w:p w14:paraId="6E4E1443"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446C3EF5" w14:textId="77777777" w:rsidR="00194ED3" w:rsidRPr="008469D3" w:rsidRDefault="00194ED3" w:rsidP="001609B6">
            <w:pPr>
              <w:rPr>
                <w:rFonts w:cstheme="minorHAnsi"/>
                <w:b/>
                <w:color w:val="365F91" w:themeColor="accent1" w:themeShade="BF"/>
                <w:sz w:val="18"/>
                <w:lang w:val="en-GB"/>
              </w:rPr>
            </w:pPr>
            <w:r w:rsidRPr="008469D3">
              <w:rPr>
                <w:rFonts w:cstheme="minorHAnsi"/>
                <w:b/>
                <w:color w:val="365F91" w:themeColor="accent1" w:themeShade="BF"/>
                <w:sz w:val="18"/>
                <w:lang w:val="en-GB"/>
              </w:rPr>
              <w:t>METHODS</w:t>
            </w: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07B81725" w14:textId="77777777" w:rsidR="00194ED3" w:rsidRPr="0046212E" w:rsidRDefault="00194ED3" w:rsidP="001609B6">
            <w:pPr>
              <w:jc w:val="center"/>
              <w:rPr>
                <w:rFonts w:cstheme="minorHAnsi"/>
                <w:b/>
                <w:sz w:val="18"/>
                <w:lang w:val="en-GB"/>
              </w:rPr>
            </w:pP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3C5CADA0" w14:textId="77777777" w:rsidR="00194ED3" w:rsidRPr="008469D3" w:rsidRDefault="00194ED3" w:rsidP="001609B6">
            <w:pPr>
              <w:rPr>
                <w:rFonts w:cstheme="minorHAnsi"/>
                <w:i/>
                <w:color w:val="000000" w:themeColor="text1"/>
                <w:sz w:val="18"/>
                <w:lang w:val="en-GB"/>
              </w:rPr>
            </w:pP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4A7D9C08" w14:textId="77777777" w:rsidR="00194ED3" w:rsidRPr="008469D3" w:rsidRDefault="00194ED3" w:rsidP="001609B6">
            <w:pPr>
              <w:rPr>
                <w:rFonts w:cstheme="minorHAnsi"/>
                <w:i/>
                <w:color w:val="000000" w:themeColor="text1"/>
                <w:sz w:val="18"/>
                <w:lang w:val="en-GB"/>
              </w:rPr>
            </w:pPr>
          </w:p>
        </w:tc>
      </w:tr>
      <w:tr w:rsidR="00194ED3" w:rsidRPr="008469D3" w14:paraId="0548EE20" w14:textId="77777777" w:rsidTr="00252B58">
        <w:tc>
          <w:tcPr>
            <w:tcW w:w="166" w:type="dxa"/>
            <w:tcBorders>
              <w:top w:val="nil"/>
              <w:left w:val="nil"/>
              <w:bottom w:val="nil"/>
              <w:right w:val="nil"/>
            </w:tcBorders>
            <w:tcMar>
              <w:left w:w="57" w:type="dxa"/>
              <w:right w:w="57" w:type="dxa"/>
            </w:tcMar>
          </w:tcPr>
          <w:p w14:paraId="20533A85" w14:textId="77777777" w:rsidR="00194ED3" w:rsidRPr="008469D3" w:rsidRDefault="00194ED3" w:rsidP="001609B6">
            <w:pPr>
              <w:rPr>
                <w:rFonts w:cstheme="minorHAnsi"/>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33F8C69A" w14:textId="77777777" w:rsidR="00194ED3" w:rsidRPr="008469D3" w:rsidRDefault="00194ED3" w:rsidP="001609B6">
            <w:pPr>
              <w:rPr>
                <w:rFonts w:cstheme="minorHAnsi"/>
                <w:i/>
                <w:color w:val="365F91" w:themeColor="accent1" w:themeShade="BF"/>
                <w:sz w:val="18"/>
                <w:lang w:val="en-GB"/>
              </w:rPr>
            </w:pPr>
            <w:r w:rsidRPr="008469D3">
              <w:rPr>
                <w:rFonts w:cstheme="minorHAnsi"/>
                <w:i/>
                <w:color w:val="365F91" w:themeColor="accent1" w:themeShade="BF"/>
                <w:sz w:val="18"/>
                <w:lang w:val="en-GB"/>
              </w:rPr>
              <w:t>Study design</w:t>
            </w: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69E7C3F4" w14:textId="77777777" w:rsidR="00194ED3" w:rsidRPr="0046212E" w:rsidRDefault="00194ED3" w:rsidP="001609B6">
            <w:pPr>
              <w:jc w:val="center"/>
              <w:rPr>
                <w:rFonts w:cstheme="minorHAnsi"/>
                <w:b/>
                <w:sz w:val="18"/>
                <w:lang w:val="en-GB"/>
              </w:rPr>
            </w:pPr>
            <w:r w:rsidRPr="0046212E">
              <w:rPr>
                <w:rFonts w:cstheme="minorHAnsi"/>
                <w:b/>
                <w:sz w:val="18"/>
                <w:lang w:val="en-GB"/>
              </w:rPr>
              <w:t>5</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7B5568D0"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 xml:space="preserve">Whether data collection was planned before the index test and reference standard </w:t>
            </w:r>
            <w:r w:rsidRPr="008469D3">
              <w:rPr>
                <w:rFonts w:cstheme="minorHAnsi"/>
                <w:color w:val="000000" w:themeColor="text1"/>
                <w:sz w:val="18"/>
                <w:lang w:val="en-GB"/>
              </w:rPr>
              <w:br/>
              <w:t>were performed (prospective study) or after (retrospective study)</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16A2F976"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7,8</w:t>
            </w:r>
          </w:p>
        </w:tc>
      </w:tr>
      <w:tr w:rsidR="00194ED3" w:rsidRPr="008469D3" w14:paraId="0843BEF3" w14:textId="77777777" w:rsidTr="00252B58">
        <w:tc>
          <w:tcPr>
            <w:tcW w:w="166" w:type="dxa"/>
            <w:tcBorders>
              <w:top w:val="nil"/>
              <w:left w:val="nil"/>
              <w:bottom w:val="nil"/>
              <w:right w:val="nil"/>
            </w:tcBorders>
            <w:tcMar>
              <w:left w:w="57" w:type="dxa"/>
              <w:right w:w="57" w:type="dxa"/>
            </w:tcMar>
          </w:tcPr>
          <w:p w14:paraId="59E3F553" w14:textId="77777777" w:rsidR="00194ED3" w:rsidRPr="008469D3" w:rsidRDefault="00194ED3" w:rsidP="001609B6">
            <w:pPr>
              <w:rPr>
                <w:rFonts w:cstheme="minorHAnsi"/>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194757BB" w14:textId="77777777" w:rsidR="00194ED3" w:rsidRPr="008469D3" w:rsidRDefault="00194ED3" w:rsidP="001609B6">
            <w:pPr>
              <w:rPr>
                <w:rFonts w:cstheme="minorHAnsi"/>
                <w:i/>
                <w:color w:val="365F91" w:themeColor="accent1" w:themeShade="BF"/>
                <w:sz w:val="18"/>
                <w:lang w:val="en-GB"/>
              </w:rPr>
            </w:pPr>
            <w:r w:rsidRPr="008469D3">
              <w:rPr>
                <w:rFonts w:cstheme="minorHAnsi"/>
                <w:i/>
                <w:color w:val="365F91" w:themeColor="accent1" w:themeShade="BF"/>
                <w:sz w:val="18"/>
                <w:lang w:val="en-GB"/>
              </w:rPr>
              <w:t>Participants</w:t>
            </w: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60FD6DF5" w14:textId="77777777" w:rsidR="00194ED3" w:rsidRPr="0046212E" w:rsidRDefault="00194ED3" w:rsidP="001609B6">
            <w:pPr>
              <w:jc w:val="center"/>
              <w:rPr>
                <w:rFonts w:cstheme="minorHAnsi"/>
                <w:b/>
                <w:sz w:val="18"/>
                <w:lang w:val="en-GB"/>
              </w:rPr>
            </w:pPr>
            <w:r w:rsidRPr="0046212E">
              <w:rPr>
                <w:rFonts w:cstheme="minorHAnsi"/>
                <w:b/>
                <w:sz w:val="18"/>
                <w:lang w:val="en-GB"/>
              </w:rPr>
              <w:t>6</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757045B7"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 xml:space="preserve">Eligibility criteria </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6F2F6507"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7</w:t>
            </w:r>
          </w:p>
        </w:tc>
      </w:tr>
      <w:tr w:rsidR="00194ED3" w:rsidRPr="008469D3" w14:paraId="46890547" w14:textId="77777777" w:rsidTr="00252B58">
        <w:tc>
          <w:tcPr>
            <w:tcW w:w="166" w:type="dxa"/>
            <w:tcBorders>
              <w:top w:val="nil"/>
              <w:left w:val="nil"/>
              <w:bottom w:val="nil"/>
              <w:right w:val="nil"/>
            </w:tcBorders>
            <w:tcMar>
              <w:left w:w="57" w:type="dxa"/>
              <w:right w:w="57" w:type="dxa"/>
            </w:tcMar>
          </w:tcPr>
          <w:p w14:paraId="2A011811"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070508F7"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67359577" w14:textId="77777777" w:rsidR="00194ED3" w:rsidRPr="0046212E" w:rsidRDefault="00194ED3" w:rsidP="001609B6">
            <w:pPr>
              <w:jc w:val="center"/>
              <w:rPr>
                <w:rFonts w:cstheme="minorHAnsi"/>
                <w:b/>
                <w:sz w:val="18"/>
                <w:lang w:val="en-GB"/>
              </w:rPr>
            </w:pPr>
            <w:r w:rsidRPr="0046212E">
              <w:rPr>
                <w:rFonts w:cstheme="minorHAnsi"/>
                <w:b/>
                <w:sz w:val="18"/>
                <w:lang w:val="en-GB"/>
              </w:rPr>
              <w:t>7</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0DB3D6BE"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 xml:space="preserve">On what basis potentially eligible participants were identified </w:t>
            </w:r>
            <w:r w:rsidRPr="008469D3">
              <w:rPr>
                <w:rFonts w:cstheme="minorHAnsi"/>
                <w:color w:val="000000" w:themeColor="text1"/>
                <w:sz w:val="18"/>
                <w:lang w:val="en-GB"/>
              </w:rPr>
              <w:br/>
              <w:t>(such as symptoms, results from previous tests, inclusion in registry)</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4741E8B3"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7</w:t>
            </w:r>
          </w:p>
        </w:tc>
      </w:tr>
      <w:tr w:rsidR="00194ED3" w:rsidRPr="008469D3" w14:paraId="403DB3C0" w14:textId="77777777" w:rsidTr="00252B58">
        <w:tc>
          <w:tcPr>
            <w:tcW w:w="166" w:type="dxa"/>
            <w:tcBorders>
              <w:top w:val="nil"/>
              <w:left w:val="nil"/>
              <w:bottom w:val="nil"/>
              <w:right w:val="nil"/>
            </w:tcBorders>
            <w:tcMar>
              <w:left w:w="57" w:type="dxa"/>
              <w:right w:w="57" w:type="dxa"/>
            </w:tcMar>
          </w:tcPr>
          <w:p w14:paraId="119C3E00"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32034B3C"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436A1058" w14:textId="77777777" w:rsidR="00194ED3" w:rsidRPr="0046212E" w:rsidRDefault="00194ED3" w:rsidP="001609B6">
            <w:pPr>
              <w:jc w:val="center"/>
              <w:rPr>
                <w:rFonts w:cstheme="minorHAnsi"/>
                <w:b/>
                <w:sz w:val="18"/>
                <w:lang w:val="en-GB"/>
              </w:rPr>
            </w:pPr>
            <w:r w:rsidRPr="0046212E">
              <w:rPr>
                <w:rFonts w:cstheme="minorHAnsi"/>
                <w:b/>
                <w:sz w:val="18"/>
                <w:lang w:val="en-GB"/>
              </w:rPr>
              <w:t>8</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5701C7C0" w14:textId="77777777" w:rsidR="00194ED3" w:rsidRPr="008469D3" w:rsidRDefault="00194ED3" w:rsidP="001609B6">
            <w:pPr>
              <w:tabs>
                <w:tab w:val="left" w:pos="527"/>
              </w:tabs>
              <w:rPr>
                <w:rFonts w:cstheme="minorHAnsi"/>
                <w:color w:val="000000" w:themeColor="text1"/>
                <w:sz w:val="18"/>
                <w:lang w:val="en-GB"/>
              </w:rPr>
            </w:pPr>
            <w:r w:rsidRPr="008469D3">
              <w:rPr>
                <w:rFonts w:cstheme="minorHAnsi"/>
                <w:color w:val="000000" w:themeColor="text1"/>
                <w:sz w:val="18"/>
                <w:lang w:val="en-GB"/>
              </w:rPr>
              <w:t>Where and when potentially eligible participants were identified (setting, location and dates)</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7A58EB09" w14:textId="77777777" w:rsidR="00194ED3" w:rsidRPr="008469D3" w:rsidRDefault="00194ED3" w:rsidP="001609B6">
            <w:pPr>
              <w:tabs>
                <w:tab w:val="left" w:pos="527"/>
              </w:tabs>
              <w:rPr>
                <w:rFonts w:cstheme="minorHAnsi"/>
                <w:color w:val="000000" w:themeColor="text1"/>
                <w:sz w:val="18"/>
                <w:lang w:val="en-GB"/>
              </w:rPr>
            </w:pPr>
            <w:r>
              <w:rPr>
                <w:rFonts w:cstheme="minorHAnsi"/>
                <w:color w:val="000000" w:themeColor="text1"/>
                <w:sz w:val="18"/>
                <w:lang w:val="en-GB"/>
              </w:rPr>
              <w:t>7</w:t>
            </w:r>
          </w:p>
        </w:tc>
      </w:tr>
      <w:tr w:rsidR="00194ED3" w:rsidRPr="008469D3" w14:paraId="107E1256" w14:textId="77777777" w:rsidTr="00252B58">
        <w:tc>
          <w:tcPr>
            <w:tcW w:w="166" w:type="dxa"/>
            <w:tcBorders>
              <w:top w:val="nil"/>
              <w:left w:val="nil"/>
              <w:bottom w:val="nil"/>
              <w:right w:val="nil"/>
            </w:tcBorders>
            <w:tcMar>
              <w:left w:w="57" w:type="dxa"/>
              <w:right w:w="57" w:type="dxa"/>
            </w:tcMar>
          </w:tcPr>
          <w:p w14:paraId="1A25B3C7" w14:textId="77777777" w:rsidR="00194ED3" w:rsidRPr="008469D3" w:rsidRDefault="00194ED3" w:rsidP="001609B6">
            <w:pPr>
              <w:rPr>
                <w:rFonts w:cstheme="minorHAnsi"/>
                <w:color w:val="000000" w:themeColor="text1"/>
                <w:sz w:val="18"/>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336EA9C4" w14:textId="77777777" w:rsidR="00194ED3" w:rsidRPr="008469D3" w:rsidRDefault="00194ED3" w:rsidP="001609B6">
            <w:pPr>
              <w:rPr>
                <w:rFonts w:cstheme="minorHAnsi"/>
                <w:color w:val="365F91" w:themeColor="accent1" w:themeShade="BF"/>
                <w:sz w:val="18"/>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3773A131" w14:textId="77777777" w:rsidR="00194ED3" w:rsidRPr="0046212E" w:rsidRDefault="00194ED3" w:rsidP="001609B6">
            <w:pPr>
              <w:jc w:val="center"/>
              <w:rPr>
                <w:rFonts w:cstheme="minorHAnsi"/>
                <w:b/>
                <w:sz w:val="18"/>
                <w:lang w:val="en-GB"/>
              </w:rPr>
            </w:pPr>
            <w:r w:rsidRPr="0046212E">
              <w:rPr>
                <w:rFonts w:cstheme="minorHAnsi"/>
                <w:b/>
                <w:sz w:val="18"/>
                <w:lang w:val="en-GB"/>
              </w:rPr>
              <w:t>9</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69FB983C"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Whether participants formed a consecutive, random or convenience series</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740C21EA"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7</w:t>
            </w:r>
          </w:p>
        </w:tc>
      </w:tr>
      <w:tr w:rsidR="00194ED3" w:rsidRPr="008469D3" w14:paraId="1FFE19D4" w14:textId="77777777" w:rsidTr="00252B58">
        <w:tc>
          <w:tcPr>
            <w:tcW w:w="166" w:type="dxa"/>
            <w:tcBorders>
              <w:top w:val="nil"/>
              <w:left w:val="nil"/>
              <w:bottom w:val="nil"/>
              <w:right w:val="nil"/>
            </w:tcBorders>
            <w:tcMar>
              <w:left w:w="57" w:type="dxa"/>
              <w:right w:w="57" w:type="dxa"/>
            </w:tcMar>
          </w:tcPr>
          <w:p w14:paraId="4F921853"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32BC1300" w14:textId="77777777" w:rsidR="00194ED3" w:rsidRPr="008469D3" w:rsidRDefault="00194ED3" w:rsidP="001609B6">
            <w:pPr>
              <w:rPr>
                <w:rFonts w:cstheme="minorHAnsi"/>
                <w:i/>
                <w:color w:val="365F91" w:themeColor="accent1" w:themeShade="BF"/>
                <w:sz w:val="18"/>
                <w:lang w:val="en-GB"/>
              </w:rPr>
            </w:pPr>
            <w:r w:rsidRPr="008469D3">
              <w:rPr>
                <w:rFonts w:cstheme="minorHAnsi"/>
                <w:i/>
                <w:color w:val="365F91" w:themeColor="accent1" w:themeShade="BF"/>
                <w:sz w:val="18"/>
                <w:lang w:val="en-GB"/>
              </w:rPr>
              <w:t>Test methods</w:t>
            </w: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7431C196" w14:textId="77777777" w:rsidR="00194ED3" w:rsidRPr="0046212E" w:rsidRDefault="00194ED3" w:rsidP="001609B6">
            <w:pPr>
              <w:jc w:val="center"/>
              <w:rPr>
                <w:rFonts w:cstheme="minorHAnsi"/>
                <w:b/>
                <w:sz w:val="18"/>
                <w:lang w:val="en-GB"/>
              </w:rPr>
            </w:pPr>
            <w:r w:rsidRPr="0046212E">
              <w:rPr>
                <w:rFonts w:cstheme="minorHAnsi"/>
                <w:b/>
                <w:sz w:val="18"/>
                <w:lang w:val="en-GB"/>
              </w:rPr>
              <w:t>10a</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33DC887C"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Index test, in sufficient detail to allow replication</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2E6CD397"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8,9,10</w:t>
            </w:r>
          </w:p>
        </w:tc>
      </w:tr>
      <w:tr w:rsidR="00194ED3" w:rsidRPr="008469D3" w14:paraId="13428C4E" w14:textId="77777777" w:rsidTr="00252B58">
        <w:tc>
          <w:tcPr>
            <w:tcW w:w="166" w:type="dxa"/>
            <w:tcBorders>
              <w:top w:val="nil"/>
              <w:left w:val="nil"/>
              <w:bottom w:val="nil"/>
              <w:right w:val="nil"/>
            </w:tcBorders>
            <w:tcMar>
              <w:left w:w="57" w:type="dxa"/>
              <w:right w:w="57" w:type="dxa"/>
            </w:tcMar>
          </w:tcPr>
          <w:p w14:paraId="7231A8EA"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7629FD1C"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43E00EC9" w14:textId="77777777" w:rsidR="00194ED3" w:rsidRPr="0046212E" w:rsidRDefault="00194ED3" w:rsidP="001609B6">
            <w:pPr>
              <w:jc w:val="center"/>
              <w:rPr>
                <w:rFonts w:cstheme="minorHAnsi"/>
                <w:b/>
                <w:sz w:val="18"/>
                <w:lang w:val="en-GB"/>
              </w:rPr>
            </w:pPr>
            <w:r w:rsidRPr="0046212E">
              <w:rPr>
                <w:rFonts w:cstheme="minorHAnsi"/>
                <w:b/>
                <w:sz w:val="18"/>
                <w:lang w:val="en-GB"/>
              </w:rPr>
              <w:t>10b</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05A4195A"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Reference standard, in sufficient detail to allow replication</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036D4D7E"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8,9,10</w:t>
            </w:r>
          </w:p>
        </w:tc>
      </w:tr>
      <w:tr w:rsidR="00194ED3" w:rsidRPr="008469D3" w14:paraId="0B57B8B0" w14:textId="77777777" w:rsidTr="00252B58">
        <w:tc>
          <w:tcPr>
            <w:tcW w:w="166" w:type="dxa"/>
            <w:tcBorders>
              <w:top w:val="nil"/>
              <w:left w:val="nil"/>
              <w:bottom w:val="nil"/>
              <w:right w:val="nil"/>
            </w:tcBorders>
            <w:tcMar>
              <w:left w:w="57" w:type="dxa"/>
              <w:right w:w="57" w:type="dxa"/>
            </w:tcMar>
          </w:tcPr>
          <w:p w14:paraId="7B0D4248"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46B4BBF7"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1E9BDDA8" w14:textId="77777777" w:rsidR="00194ED3" w:rsidRPr="0046212E" w:rsidRDefault="00194ED3" w:rsidP="001609B6">
            <w:pPr>
              <w:jc w:val="center"/>
              <w:rPr>
                <w:rFonts w:cstheme="minorHAnsi"/>
                <w:b/>
                <w:sz w:val="18"/>
                <w:lang w:val="en-GB"/>
              </w:rPr>
            </w:pPr>
            <w:r w:rsidRPr="0046212E">
              <w:rPr>
                <w:rFonts w:cstheme="minorHAnsi"/>
                <w:b/>
                <w:sz w:val="18"/>
                <w:lang w:val="en-GB"/>
              </w:rPr>
              <w:t>11</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5C933139"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Rationale for choosing the reference standard (if alternatives exist)</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15D44495"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8,9,10</w:t>
            </w:r>
          </w:p>
        </w:tc>
      </w:tr>
      <w:tr w:rsidR="00194ED3" w:rsidRPr="008469D3" w14:paraId="4B30046F" w14:textId="77777777" w:rsidTr="00252B58">
        <w:tc>
          <w:tcPr>
            <w:tcW w:w="166" w:type="dxa"/>
            <w:tcBorders>
              <w:top w:val="nil"/>
              <w:left w:val="nil"/>
              <w:bottom w:val="nil"/>
              <w:right w:val="nil"/>
            </w:tcBorders>
            <w:tcMar>
              <w:left w:w="57" w:type="dxa"/>
              <w:right w:w="57" w:type="dxa"/>
            </w:tcMar>
          </w:tcPr>
          <w:p w14:paraId="3F54E006" w14:textId="77777777" w:rsidR="00194ED3" w:rsidRPr="008469D3" w:rsidRDefault="00194ED3" w:rsidP="001609B6">
            <w:pPr>
              <w:rPr>
                <w:rFonts w:cstheme="minorHAnsi"/>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362326D7"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7D95C5B7" w14:textId="77777777" w:rsidR="00194ED3" w:rsidRPr="0046212E" w:rsidRDefault="00194ED3" w:rsidP="001609B6">
            <w:pPr>
              <w:jc w:val="center"/>
              <w:rPr>
                <w:rFonts w:cstheme="minorHAnsi"/>
                <w:b/>
                <w:sz w:val="18"/>
                <w:lang w:val="en-GB"/>
              </w:rPr>
            </w:pPr>
            <w:r w:rsidRPr="0046212E">
              <w:rPr>
                <w:rFonts w:cstheme="minorHAnsi"/>
                <w:b/>
                <w:sz w:val="18"/>
                <w:lang w:val="en-GB"/>
              </w:rPr>
              <w:t>12a</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75CF05D9" w14:textId="77777777" w:rsidR="00194ED3" w:rsidRPr="008469D3" w:rsidRDefault="00194ED3" w:rsidP="001609B6">
            <w:pPr>
              <w:rPr>
                <w:rFonts w:cstheme="minorHAnsi"/>
                <w:sz w:val="18"/>
                <w:lang w:val="en-GB"/>
              </w:rPr>
            </w:pPr>
            <w:r w:rsidRPr="008469D3">
              <w:rPr>
                <w:rFonts w:cstheme="minorHAnsi"/>
                <w:sz w:val="18"/>
                <w:lang w:val="en-GB"/>
              </w:rPr>
              <w:t xml:space="preserve">Definition of and rationale for test positivity cut-offs or result categories </w:t>
            </w:r>
            <w:r w:rsidRPr="008469D3">
              <w:rPr>
                <w:rFonts w:cstheme="minorHAnsi"/>
                <w:sz w:val="18"/>
                <w:lang w:val="en-GB"/>
              </w:rPr>
              <w:br/>
              <w:t xml:space="preserve">of the index test, </w:t>
            </w:r>
            <w:r w:rsidRPr="008469D3">
              <w:rPr>
                <w:rFonts w:cstheme="minorHAnsi"/>
                <w:sz w:val="18"/>
              </w:rPr>
              <w:t>distinguishing pre-specified from exploratory</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22204627" w14:textId="77777777" w:rsidR="00194ED3" w:rsidRPr="008469D3" w:rsidRDefault="00194ED3" w:rsidP="001609B6">
            <w:pPr>
              <w:rPr>
                <w:rFonts w:cstheme="minorHAnsi"/>
                <w:sz w:val="18"/>
                <w:lang w:val="en-GB"/>
              </w:rPr>
            </w:pPr>
            <w:r>
              <w:rPr>
                <w:rFonts w:cstheme="minorHAnsi"/>
                <w:color w:val="000000" w:themeColor="text1"/>
                <w:sz w:val="18"/>
                <w:lang w:val="en-GB"/>
              </w:rPr>
              <w:t>8,9,10</w:t>
            </w:r>
          </w:p>
        </w:tc>
      </w:tr>
      <w:tr w:rsidR="00194ED3" w:rsidRPr="008469D3" w14:paraId="68BD8F99" w14:textId="77777777" w:rsidTr="00252B58">
        <w:tc>
          <w:tcPr>
            <w:tcW w:w="166" w:type="dxa"/>
            <w:tcBorders>
              <w:top w:val="nil"/>
              <w:left w:val="nil"/>
              <w:bottom w:val="nil"/>
              <w:right w:val="nil"/>
            </w:tcBorders>
            <w:tcMar>
              <w:left w:w="57" w:type="dxa"/>
              <w:right w:w="57" w:type="dxa"/>
            </w:tcMar>
          </w:tcPr>
          <w:p w14:paraId="0C26EDFE" w14:textId="77777777" w:rsidR="00194ED3" w:rsidRPr="008469D3" w:rsidRDefault="00194ED3" w:rsidP="001609B6">
            <w:pPr>
              <w:rPr>
                <w:rFonts w:cstheme="minorHAnsi"/>
                <w:sz w:val="18"/>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4C84F0AE" w14:textId="77777777" w:rsidR="00194ED3" w:rsidRPr="008469D3" w:rsidRDefault="00194ED3" w:rsidP="001609B6">
            <w:pPr>
              <w:rPr>
                <w:rFonts w:cstheme="minorHAnsi"/>
                <w:color w:val="365F91" w:themeColor="accent1" w:themeShade="BF"/>
                <w:sz w:val="18"/>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23122106" w14:textId="77777777" w:rsidR="00194ED3" w:rsidRPr="0046212E" w:rsidRDefault="00194ED3" w:rsidP="001609B6">
            <w:pPr>
              <w:jc w:val="center"/>
              <w:rPr>
                <w:rFonts w:cstheme="minorHAnsi"/>
                <w:b/>
                <w:sz w:val="18"/>
                <w:lang w:val="en-GB"/>
              </w:rPr>
            </w:pPr>
            <w:r w:rsidRPr="0046212E">
              <w:rPr>
                <w:rFonts w:cstheme="minorHAnsi"/>
                <w:b/>
                <w:sz w:val="18"/>
                <w:lang w:val="en-GB"/>
              </w:rPr>
              <w:t>12b</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0989A68B" w14:textId="77777777" w:rsidR="00194ED3" w:rsidRPr="008469D3" w:rsidRDefault="00194ED3" w:rsidP="001609B6">
            <w:pPr>
              <w:rPr>
                <w:rFonts w:cstheme="minorHAnsi"/>
                <w:sz w:val="18"/>
                <w:lang w:val="en-GB"/>
              </w:rPr>
            </w:pPr>
            <w:r w:rsidRPr="008469D3">
              <w:rPr>
                <w:rFonts w:cstheme="minorHAnsi"/>
                <w:sz w:val="18"/>
                <w:lang w:val="en-GB"/>
              </w:rPr>
              <w:t xml:space="preserve">Definition of and rationale for test positivity cut-offs or result categories </w:t>
            </w:r>
            <w:r w:rsidRPr="008469D3">
              <w:rPr>
                <w:rFonts w:cstheme="minorHAnsi"/>
                <w:sz w:val="18"/>
                <w:lang w:val="en-GB"/>
              </w:rPr>
              <w:br/>
              <w:t xml:space="preserve">of the reference standard, </w:t>
            </w:r>
            <w:r w:rsidRPr="008469D3">
              <w:rPr>
                <w:rFonts w:cstheme="minorHAnsi"/>
                <w:sz w:val="18"/>
              </w:rPr>
              <w:t>distinguishing pre-specified from exploratory</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00C6E14A" w14:textId="77777777" w:rsidR="00194ED3" w:rsidRPr="008469D3" w:rsidRDefault="00194ED3" w:rsidP="001609B6">
            <w:pPr>
              <w:rPr>
                <w:rFonts w:cstheme="minorHAnsi"/>
                <w:sz w:val="18"/>
                <w:lang w:val="en-GB"/>
              </w:rPr>
            </w:pPr>
            <w:r>
              <w:rPr>
                <w:rFonts w:cstheme="minorHAnsi"/>
                <w:color w:val="000000" w:themeColor="text1"/>
                <w:sz w:val="18"/>
                <w:lang w:val="en-GB"/>
              </w:rPr>
              <w:t>8,9,10</w:t>
            </w:r>
          </w:p>
        </w:tc>
      </w:tr>
      <w:tr w:rsidR="00194ED3" w:rsidRPr="008469D3" w14:paraId="602748AD" w14:textId="77777777" w:rsidTr="00252B58">
        <w:tc>
          <w:tcPr>
            <w:tcW w:w="166" w:type="dxa"/>
            <w:tcBorders>
              <w:top w:val="nil"/>
              <w:left w:val="nil"/>
              <w:bottom w:val="nil"/>
              <w:right w:val="nil"/>
            </w:tcBorders>
            <w:tcMar>
              <w:left w:w="57" w:type="dxa"/>
              <w:right w:w="57" w:type="dxa"/>
            </w:tcMar>
          </w:tcPr>
          <w:p w14:paraId="4B3AD7DE"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2B784B8C"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40F702EA" w14:textId="77777777" w:rsidR="00194ED3" w:rsidRPr="0046212E" w:rsidRDefault="00194ED3" w:rsidP="001609B6">
            <w:pPr>
              <w:jc w:val="center"/>
              <w:rPr>
                <w:rFonts w:cstheme="minorHAnsi"/>
                <w:b/>
                <w:sz w:val="18"/>
                <w:lang w:val="en-GB"/>
              </w:rPr>
            </w:pPr>
            <w:r w:rsidRPr="0046212E">
              <w:rPr>
                <w:rFonts w:cstheme="minorHAnsi"/>
                <w:b/>
                <w:sz w:val="18"/>
                <w:lang w:val="en-GB"/>
              </w:rPr>
              <w:t>13a</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5F37A8AB"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 xml:space="preserve">Whether clinical information and reference standard results were available </w:t>
            </w:r>
            <w:r w:rsidRPr="008469D3">
              <w:rPr>
                <w:rFonts w:cstheme="minorHAnsi"/>
                <w:color w:val="000000" w:themeColor="text1"/>
                <w:sz w:val="18"/>
                <w:lang w:val="en-GB"/>
              </w:rPr>
              <w:br/>
              <w:t>to the performers/readers of the index test</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754E83E8"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8,9,10</w:t>
            </w:r>
          </w:p>
        </w:tc>
      </w:tr>
      <w:tr w:rsidR="00194ED3" w:rsidRPr="008469D3" w14:paraId="225C9A5A" w14:textId="77777777" w:rsidTr="00252B58">
        <w:tc>
          <w:tcPr>
            <w:tcW w:w="166" w:type="dxa"/>
            <w:tcBorders>
              <w:top w:val="nil"/>
              <w:left w:val="nil"/>
              <w:bottom w:val="nil"/>
              <w:right w:val="nil"/>
            </w:tcBorders>
            <w:tcMar>
              <w:left w:w="57" w:type="dxa"/>
              <w:right w:w="57" w:type="dxa"/>
            </w:tcMar>
          </w:tcPr>
          <w:p w14:paraId="5E1BF62E" w14:textId="77777777" w:rsidR="00194ED3" w:rsidRPr="008469D3" w:rsidDel="0039653F"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71C01AAD" w14:textId="77777777" w:rsidR="00194ED3" w:rsidRPr="008469D3" w:rsidDel="0039653F"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71CC4220" w14:textId="77777777" w:rsidR="00194ED3" w:rsidRPr="0046212E" w:rsidRDefault="00194ED3" w:rsidP="001609B6">
            <w:pPr>
              <w:jc w:val="center"/>
              <w:rPr>
                <w:rFonts w:cstheme="minorHAnsi"/>
                <w:b/>
                <w:sz w:val="18"/>
                <w:lang w:val="en-GB"/>
              </w:rPr>
            </w:pPr>
            <w:r w:rsidRPr="0046212E">
              <w:rPr>
                <w:rFonts w:cstheme="minorHAnsi"/>
                <w:b/>
                <w:sz w:val="18"/>
                <w:lang w:val="en-GB"/>
              </w:rPr>
              <w:t>13b</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4411B964"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 xml:space="preserve">Whether clinical information and index test results were available </w:t>
            </w:r>
            <w:r w:rsidRPr="008469D3">
              <w:rPr>
                <w:rFonts w:cstheme="minorHAnsi"/>
                <w:color w:val="000000" w:themeColor="text1"/>
                <w:sz w:val="18"/>
                <w:lang w:val="en-GB"/>
              </w:rPr>
              <w:br/>
              <w:t>to the assessors of the reference standard</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7701FD3A"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8,9,10</w:t>
            </w:r>
          </w:p>
        </w:tc>
      </w:tr>
      <w:tr w:rsidR="00194ED3" w:rsidRPr="008469D3" w14:paraId="2DA9B950" w14:textId="77777777" w:rsidTr="00252B58">
        <w:tc>
          <w:tcPr>
            <w:tcW w:w="166" w:type="dxa"/>
            <w:tcBorders>
              <w:top w:val="nil"/>
              <w:left w:val="nil"/>
              <w:bottom w:val="nil"/>
              <w:right w:val="nil"/>
            </w:tcBorders>
            <w:tcMar>
              <w:left w:w="57" w:type="dxa"/>
              <w:right w:w="57" w:type="dxa"/>
            </w:tcMar>
          </w:tcPr>
          <w:p w14:paraId="559A20F9"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14EFC5BA" w14:textId="77777777" w:rsidR="00194ED3" w:rsidRPr="008469D3" w:rsidRDefault="00194ED3" w:rsidP="001609B6">
            <w:pPr>
              <w:rPr>
                <w:rFonts w:cstheme="minorHAnsi"/>
                <w:i/>
                <w:color w:val="365F91" w:themeColor="accent1" w:themeShade="BF"/>
                <w:sz w:val="18"/>
                <w:lang w:val="en-GB"/>
              </w:rPr>
            </w:pPr>
            <w:r w:rsidRPr="008469D3">
              <w:rPr>
                <w:rFonts w:cstheme="minorHAnsi"/>
                <w:i/>
                <w:color w:val="365F91" w:themeColor="accent1" w:themeShade="BF"/>
                <w:sz w:val="18"/>
                <w:lang w:val="en-GB"/>
              </w:rPr>
              <w:t>Analysis</w:t>
            </w: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4D813F2B" w14:textId="77777777" w:rsidR="00194ED3" w:rsidRPr="0046212E" w:rsidRDefault="00194ED3" w:rsidP="001609B6">
            <w:pPr>
              <w:jc w:val="center"/>
              <w:rPr>
                <w:rFonts w:cstheme="minorHAnsi"/>
                <w:b/>
                <w:sz w:val="18"/>
                <w:lang w:val="en-GB"/>
              </w:rPr>
            </w:pPr>
            <w:r w:rsidRPr="0046212E">
              <w:rPr>
                <w:rFonts w:cstheme="minorHAnsi"/>
                <w:b/>
                <w:sz w:val="18"/>
                <w:lang w:val="en-GB"/>
              </w:rPr>
              <w:t>14</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72614336"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Methods for estimating or comparing measures of diagnostic accuracy</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185C72B8"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8,9,10</w:t>
            </w:r>
          </w:p>
        </w:tc>
      </w:tr>
      <w:tr w:rsidR="00194ED3" w:rsidRPr="008469D3" w14:paraId="24FBF2CA" w14:textId="77777777" w:rsidTr="00252B58">
        <w:tc>
          <w:tcPr>
            <w:tcW w:w="166" w:type="dxa"/>
            <w:tcBorders>
              <w:top w:val="nil"/>
              <w:left w:val="nil"/>
              <w:bottom w:val="nil"/>
              <w:right w:val="nil"/>
            </w:tcBorders>
            <w:tcMar>
              <w:left w:w="57" w:type="dxa"/>
              <w:right w:w="57" w:type="dxa"/>
            </w:tcMar>
          </w:tcPr>
          <w:p w14:paraId="6336FBF1"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4F6C2A23"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0399558A" w14:textId="77777777" w:rsidR="00194ED3" w:rsidRPr="0046212E" w:rsidRDefault="00194ED3" w:rsidP="001609B6">
            <w:pPr>
              <w:jc w:val="center"/>
              <w:rPr>
                <w:rFonts w:cstheme="minorHAnsi"/>
                <w:b/>
                <w:sz w:val="18"/>
                <w:lang w:val="en-GB"/>
              </w:rPr>
            </w:pPr>
            <w:r w:rsidRPr="0046212E">
              <w:rPr>
                <w:rFonts w:cstheme="minorHAnsi"/>
                <w:b/>
                <w:sz w:val="18"/>
                <w:lang w:val="en-GB"/>
              </w:rPr>
              <w:t>15</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2C7333ED"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How indeterminate index test or reference standard results were handled</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5A9BC5B1"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8,9,10</w:t>
            </w:r>
          </w:p>
        </w:tc>
      </w:tr>
      <w:tr w:rsidR="00194ED3" w:rsidRPr="008469D3" w14:paraId="796A1240" w14:textId="77777777" w:rsidTr="00252B58">
        <w:tc>
          <w:tcPr>
            <w:tcW w:w="166" w:type="dxa"/>
            <w:tcBorders>
              <w:top w:val="nil"/>
              <w:left w:val="nil"/>
              <w:bottom w:val="nil"/>
              <w:right w:val="nil"/>
            </w:tcBorders>
            <w:tcMar>
              <w:left w:w="57" w:type="dxa"/>
              <w:right w:w="57" w:type="dxa"/>
            </w:tcMar>
          </w:tcPr>
          <w:p w14:paraId="709E00E7" w14:textId="77777777" w:rsidR="00194ED3" w:rsidRPr="008469D3" w:rsidRDefault="00194ED3" w:rsidP="001609B6">
            <w:pPr>
              <w:rPr>
                <w:rFonts w:cstheme="minorHAnsi"/>
                <w:color w:val="000000" w:themeColor="text1"/>
                <w:sz w:val="18"/>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78958FBB" w14:textId="77777777" w:rsidR="00194ED3" w:rsidRPr="008469D3" w:rsidRDefault="00194ED3" w:rsidP="001609B6">
            <w:pPr>
              <w:rPr>
                <w:rFonts w:cstheme="minorHAnsi"/>
                <w:color w:val="365F91" w:themeColor="accent1" w:themeShade="BF"/>
                <w:sz w:val="18"/>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1CB7F5D7" w14:textId="77777777" w:rsidR="00194ED3" w:rsidRPr="0046212E" w:rsidRDefault="00194ED3" w:rsidP="001609B6">
            <w:pPr>
              <w:jc w:val="center"/>
              <w:rPr>
                <w:rFonts w:cstheme="minorHAnsi"/>
                <w:b/>
                <w:sz w:val="18"/>
                <w:lang w:val="en-GB"/>
              </w:rPr>
            </w:pPr>
            <w:r w:rsidRPr="0046212E">
              <w:rPr>
                <w:rFonts w:cstheme="minorHAnsi"/>
                <w:b/>
                <w:sz w:val="18"/>
                <w:lang w:val="en-GB"/>
              </w:rPr>
              <w:t>16</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585F0B27"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How missing data on the index test and reference standard were handled</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513BAD09"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NA</w:t>
            </w:r>
          </w:p>
        </w:tc>
      </w:tr>
      <w:tr w:rsidR="00194ED3" w:rsidRPr="008469D3" w14:paraId="3B82D3D9" w14:textId="77777777" w:rsidTr="00252B58">
        <w:trPr>
          <w:trHeight w:val="187"/>
        </w:trPr>
        <w:tc>
          <w:tcPr>
            <w:tcW w:w="166" w:type="dxa"/>
            <w:tcBorders>
              <w:top w:val="nil"/>
              <w:left w:val="nil"/>
              <w:bottom w:val="nil"/>
              <w:right w:val="nil"/>
            </w:tcBorders>
            <w:tcMar>
              <w:left w:w="57" w:type="dxa"/>
              <w:right w:w="57" w:type="dxa"/>
            </w:tcMar>
          </w:tcPr>
          <w:p w14:paraId="754B153C"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5C7AA5E4"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683B08D9" w14:textId="77777777" w:rsidR="00194ED3" w:rsidRPr="0046212E" w:rsidRDefault="00194ED3" w:rsidP="001609B6">
            <w:pPr>
              <w:jc w:val="center"/>
              <w:rPr>
                <w:rFonts w:cstheme="minorHAnsi"/>
                <w:b/>
                <w:sz w:val="18"/>
                <w:lang w:val="en-GB"/>
              </w:rPr>
            </w:pPr>
            <w:r w:rsidRPr="0046212E">
              <w:rPr>
                <w:rFonts w:cstheme="minorHAnsi"/>
                <w:b/>
                <w:sz w:val="18"/>
                <w:lang w:val="en-GB"/>
              </w:rPr>
              <w:t>17</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3BCF51B0" w14:textId="77777777" w:rsidR="00194ED3" w:rsidRPr="008469D3" w:rsidRDefault="00194ED3" w:rsidP="001609B6">
            <w:pPr>
              <w:rPr>
                <w:rFonts w:cstheme="minorHAnsi"/>
                <w:color w:val="000000" w:themeColor="text1"/>
                <w:sz w:val="18"/>
                <w:lang w:val="en-GB"/>
              </w:rPr>
            </w:pPr>
            <w:r w:rsidRPr="008469D3">
              <w:rPr>
                <w:rFonts w:cstheme="minorHAnsi"/>
                <w:sz w:val="18"/>
                <w:lang w:val="en-GB"/>
              </w:rPr>
              <w:t>Any analyses of variability in diagnostic accuracy, distinguishing pre-specified from exploratory</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1B7D9326" w14:textId="77777777" w:rsidR="00194ED3" w:rsidRPr="008469D3" w:rsidRDefault="00194ED3" w:rsidP="001609B6">
            <w:pPr>
              <w:rPr>
                <w:rFonts w:cstheme="minorHAnsi"/>
                <w:sz w:val="18"/>
                <w:lang w:val="en-GB"/>
              </w:rPr>
            </w:pPr>
            <w:r>
              <w:rPr>
                <w:rFonts w:cstheme="minorHAnsi"/>
                <w:color w:val="000000" w:themeColor="text1"/>
                <w:sz w:val="18"/>
                <w:lang w:val="en-GB"/>
              </w:rPr>
              <w:t>NA</w:t>
            </w:r>
          </w:p>
        </w:tc>
      </w:tr>
      <w:tr w:rsidR="00194ED3" w:rsidRPr="008469D3" w14:paraId="4071B4C5" w14:textId="77777777" w:rsidTr="00252B58">
        <w:tc>
          <w:tcPr>
            <w:tcW w:w="166" w:type="dxa"/>
            <w:tcBorders>
              <w:top w:val="nil"/>
              <w:left w:val="nil"/>
              <w:bottom w:val="nil"/>
              <w:right w:val="nil"/>
            </w:tcBorders>
            <w:tcMar>
              <w:left w:w="57" w:type="dxa"/>
              <w:right w:w="57" w:type="dxa"/>
            </w:tcMar>
          </w:tcPr>
          <w:p w14:paraId="25060AC5"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73D7E05C" w14:textId="77777777" w:rsidR="00194ED3" w:rsidRPr="008469D3" w:rsidRDefault="00194ED3" w:rsidP="001609B6">
            <w:pPr>
              <w:rPr>
                <w:rFonts w:cstheme="minorHAnsi"/>
                <w:color w:val="000000" w:themeColor="text1"/>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3BC71D7D" w14:textId="77777777" w:rsidR="00194ED3" w:rsidRPr="0046212E" w:rsidRDefault="00194ED3" w:rsidP="001609B6">
            <w:pPr>
              <w:jc w:val="center"/>
              <w:rPr>
                <w:rFonts w:cstheme="minorHAnsi"/>
                <w:b/>
                <w:sz w:val="18"/>
                <w:lang w:val="en-GB"/>
              </w:rPr>
            </w:pPr>
            <w:r w:rsidRPr="0046212E">
              <w:rPr>
                <w:rFonts w:cstheme="minorHAnsi"/>
                <w:b/>
                <w:sz w:val="18"/>
                <w:lang w:val="en-GB"/>
              </w:rPr>
              <w:t>18</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60C305D2" w14:textId="77777777" w:rsidR="00194ED3" w:rsidRPr="008469D3" w:rsidRDefault="00194ED3" w:rsidP="001609B6">
            <w:pPr>
              <w:rPr>
                <w:rFonts w:cstheme="minorHAnsi"/>
                <w:color w:val="000000" w:themeColor="text1"/>
                <w:sz w:val="18"/>
                <w:lang w:val="en-GB"/>
              </w:rPr>
            </w:pPr>
            <w:r w:rsidRPr="008469D3">
              <w:rPr>
                <w:rFonts w:cstheme="minorHAnsi"/>
                <w:sz w:val="18"/>
                <w:lang w:val="en-GB"/>
              </w:rPr>
              <w:t>Intended</w:t>
            </w:r>
            <w:r w:rsidRPr="008469D3">
              <w:rPr>
                <w:rFonts w:cstheme="minorHAnsi"/>
                <w:color w:val="000000" w:themeColor="text1"/>
                <w:sz w:val="18"/>
                <w:lang w:val="en-GB"/>
              </w:rPr>
              <w:t xml:space="preserve"> sample size and how it was determined</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34C33915" w14:textId="77777777" w:rsidR="00194ED3" w:rsidRPr="008469D3" w:rsidRDefault="00194ED3" w:rsidP="001609B6">
            <w:pPr>
              <w:rPr>
                <w:rFonts w:cstheme="minorHAnsi"/>
                <w:sz w:val="18"/>
                <w:lang w:val="en-GB"/>
              </w:rPr>
            </w:pPr>
            <w:r>
              <w:rPr>
                <w:rFonts w:cstheme="minorHAnsi"/>
                <w:color w:val="000000" w:themeColor="text1"/>
                <w:sz w:val="18"/>
                <w:lang w:val="en-GB"/>
              </w:rPr>
              <w:t>NA</w:t>
            </w:r>
          </w:p>
        </w:tc>
      </w:tr>
      <w:tr w:rsidR="00194ED3" w:rsidRPr="008469D3" w14:paraId="283A2895" w14:textId="77777777" w:rsidTr="00252B58">
        <w:tc>
          <w:tcPr>
            <w:tcW w:w="166" w:type="dxa"/>
            <w:tcBorders>
              <w:top w:val="nil"/>
              <w:left w:val="nil"/>
              <w:bottom w:val="nil"/>
              <w:right w:val="nil"/>
            </w:tcBorders>
            <w:tcMar>
              <w:left w:w="57" w:type="dxa"/>
              <w:right w:w="57" w:type="dxa"/>
            </w:tcMar>
          </w:tcPr>
          <w:p w14:paraId="6530B0BF" w14:textId="77777777" w:rsidR="00194ED3" w:rsidRPr="008469D3" w:rsidRDefault="00194ED3" w:rsidP="001609B6">
            <w:pPr>
              <w:rPr>
                <w:rFonts w:eastAsia="Times New Roman"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17F97EA8" w14:textId="77777777" w:rsidR="00194ED3" w:rsidRPr="008469D3" w:rsidRDefault="00194ED3" w:rsidP="001609B6">
            <w:pPr>
              <w:rPr>
                <w:rFonts w:cstheme="minorHAnsi"/>
                <w:b/>
                <w:color w:val="000000" w:themeColor="text1"/>
                <w:sz w:val="18"/>
                <w:lang w:val="en-GB"/>
              </w:rPr>
            </w:pPr>
            <w:r w:rsidRPr="008469D3">
              <w:rPr>
                <w:rFonts w:eastAsia="Times New Roman" w:cstheme="minorHAnsi"/>
                <w:color w:val="000000" w:themeColor="text1"/>
                <w:sz w:val="18"/>
                <w:lang w:val="en-GB"/>
              </w:rPr>
              <w:br w:type="page"/>
            </w:r>
            <w:r w:rsidRPr="008469D3">
              <w:rPr>
                <w:rFonts w:cstheme="minorHAnsi"/>
                <w:b/>
                <w:color w:val="365F91" w:themeColor="accent1" w:themeShade="BF"/>
                <w:sz w:val="18"/>
                <w:lang w:val="en-GB"/>
              </w:rPr>
              <w:t>RESULTS</w:t>
            </w: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597CC2C1" w14:textId="77777777" w:rsidR="00194ED3" w:rsidRPr="0046212E" w:rsidRDefault="00194ED3" w:rsidP="001609B6">
            <w:pPr>
              <w:jc w:val="center"/>
              <w:rPr>
                <w:rFonts w:cstheme="minorHAnsi"/>
                <w:b/>
                <w:sz w:val="18"/>
                <w:lang w:val="en-GB"/>
              </w:rPr>
            </w:pP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22484A25" w14:textId="77777777" w:rsidR="00194ED3" w:rsidRPr="008469D3" w:rsidRDefault="00194ED3" w:rsidP="001609B6">
            <w:pPr>
              <w:rPr>
                <w:rFonts w:cstheme="minorHAnsi"/>
                <w:i/>
                <w:color w:val="000000" w:themeColor="text1"/>
                <w:sz w:val="18"/>
                <w:lang w:val="en-GB"/>
              </w:rPr>
            </w:pP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4A5133B9" w14:textId="77777777" w:rsidR="00194ED3" w:rsidRPr="008469D3" w:rsidRDefault="00194ED3" w:rsidP="001609B6">
            <w:pPr>
              <w:rPr>
                <w:rFonts w:cstheme="minorHAnsi"/>
                <w:i/>
                <w:color w:val="000000" w:themeColor="text1"/>
                <w:sz w:val="18"/>
                <w:lang w:val="en-GB"/>
              </w:rPr>
            </w:pPr>
          </w:p>
        </w:tc>
      </w:tr>
      <w:tr w:rsidR="00194ED3" w:rsidRPr="008469D3" w14:paraId="2C9EF162" w14:textId="77777777" w:rsidTr="00252B58">
        <w:tc>
          <w:tcPr>
            <w:tcW w:w="166" w:type="dxa"/>
            <w:tcBorders>
              <w:top w:val="nil"/>
              <w:left w:val="nil"/>
              <w:bottom w:val="nil"/>
              <w:right w:val="nil"/>
            </w:tcBorders>
            <w:tcMar>
              <w:left w:w="57" w:type="dxa"/>
              <w:right w:w="57" w:type="dxa"/>
            </w:tcMar>
          </w:tcPr>
          <w:p w14:paraId="5A33B6F1"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0CFE1B16" w14:textId="77777777" w:rsidR="00194ED3" w:rsidRPr="008469D3" w:rsidRDefault="00194ED3" w:rsidP="001609B6">
            <w:pPr>
              <w:rPr>
                <w:rFonts w:cstheme="minorHAnsi"/>
                <w:i/>
                <w:color w:val="365F91" w:themeColor="accent1" w:themeShade="BF"/>
                <w:sz w:val="18"/>
                <w:lang w:val="en-GB"/>
              </w:rPr>
            </w:pPr>
            <w:r w:rsidRPr="008469D3">
              <w:rPr>
                <w:rFonts w:cstheme="minorHAnsi"/>
                <w:i/>
                <w:color w:val="365F91" w:themeColor="accent1" w:themeShade="BF"/>
                <w:sz w:val="18"/>
                <w:lang w:val="en-GB"/>
              </w:rPr>
              <w:t>Participants</w:t>
            </w: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0B61E52D" w14:textId="77777777" w:rsidR="00194ED3" w:rsidRPr="0046212E" w:rsidRDefault="00194ED3" w:rsidP="001609B6">
            <w:pPr>
              <w:jc w:val="center"/>
              <w:rPr>
                <w:rFonts w:cstheme="minorHAnsi"/>
                <w:b/>
                <w:sz w:val="18"/>
                <w:lang w:val="en-GB"/>
              </w:rPr>
            </w:pPr>
            <w:r w:rsidRPr="0046212E">
              <w:rPr>
                <w:rFonts w:cstheme="minorHAnsi"/>
                <w:b/>
                <w:sz w:val="18"/>
                <w:lang w:val="en-GB"/>
              </w:rPr>
              <w:t>19</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45A19C14"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Flow of participants, using a diagram</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63ED95F6"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NA</w:t>
            </w:r>
          </w:p>
        </w:tc>
      </w:tr>
      <w:tr w:rsidR="00194ED3" w:rsidRPr="008469D3" w14:paraId="31C66952" w14:textId="77777777" w:rsidTr="00252B58">
        <w:tc>
          <w:tcPr>
            <w:tcW w:w="166" w:type="dxa"/>
            <w:tcBorders>
              <w:top w:val="nil"/>
              <w:left w:val="nil"/>
              <w:bottom w:val="nil"/>
              <w:right w:val="nil"/>
            </w:tcBorders>
            <w:tcMar>
              <w:left w:w="57" w:type="dxa"/>
              <w:right w:w="57" w:type="dxa"/>
            </w:tcMar>
          </w:tcPr>
          <w:p w14:paraId="689F0F78"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39216AC0"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520920C4" w14:textId="77777777" w:rsidR="00194ED3" w:rsidRPr="0046212E" w:rsidRDefault="00194ED3" w:rsidP="001609B6">
            <w:pPr>
              <w:jc w:val="center"/>
              <w:rPr>
                <w:rFonts w:cstheme="minorHAnsi"/>
                <w:b/>
                <w:sz w:val="18"/>
                <w:lang w:val="en-GB"/>
              </w:rPr>
            </w:pPr>
            <w:r w:rsidRPr="0046212E">
              <w:rPr>
                <w:rFonts w:cstheme="minorHAnsi"/>
                <w:b/>
                <w:sz w:val="18"/>
                <w:lang w:val="en-GB"/>
              </w:rPr>
              <w:t>20</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433AD0F3"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rPr>
              <w:t>Baseline demographic and clinical characteristics of participants</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426EDAA3" w14:textId="77777777" w:rsidR="00194ED3" w:rsidRPr="008469D3" w:rsidRDefault="00194ED3" w:rsidP="001609B6">
            <w:pPr>
              <w:rPr>
                <w:rFonts w:cstheme="minorHAnsi"/>
                <w:color w:val="000000" w:themeColor="text1"/>
                <w:sz w:val="18"/>
              </w:rPr>
            </w:pPr>
            <w:r>
              <w:rPr>
                <w:rFonts w:cstheme="minorHAnsi"/>
                <w:color w:val="000000" w:themeColor="text1"/>
                <w:sz w:val="18"/>
              </w:rPr>
              <w:t>10</w:t>
            </w:r>
          </w:p>
        </w:tc>
      </w:tr>
      <w:tr w:rsidR="00194ED3" w:rsidRPr="008469D3" w14:paraId="5FD09A2D" w14:textId="77777777" w:rsidTr="00252B58">
        <w:tc>
          <w:tcPr>
            <w:tcW w:w="166" w:type="dxa"/>
            <w:tcBorders>
              <w:top w:val="nil"/>
              <w:left w:val="nil"/>
              <w:bottom w:val="nil"/>
              <w:right w:val="nil"/>
            </w:tcBorders>
            <w:tcMar>
              <w:left w:w="57" w:type="dxa"/>
              <w:right w:w="57" w:type="dxa"/>
            </w:tcMar>
          </w:tcPr>
          <w:p w14:paraId="23C33AEB"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13B811D4" w14:textId="77777777" w:rsidR="00194ED3" w:rsidRPr="008469D3" w:rsidRDefault="00194ED3" w:rsidP="001609B6">
            <w:pPr>
              <w:rPr>
                <w:rFonts w:cstheme="minorHAnsi"/>
                <w:b/>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1790BE4C" w14:textId="77777777" w:rsidR="00194ED3" w:rsidRPr="0046212E" w:rsidRDefault="00194ED3" w:rsidP="001609B6">
            <w:pPr>
              <w:jc w:val="center"/>
              <w:rPr>
                <w:rFonts w:cstheme="minorHAnsi"/>
                <w:b/>
                <w:sz w:val="18"/>
                <w:lang w:val="en-GB"/>
              </w:rPr>
            </w:pPr>
            <w:r w:rsidRPr="0046212E">
              <w:rPr>
                <w:rFonts w:cstheme="minorHAnsi"/>
                <w:b/>
                <w:sz w:val="18"/>
                <w:lang w:val="en-GB"/>
              </w:rPr>
              <w:t>21a</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26E119A4"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Distribution of severity of disease in those with the target condition</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24A16C9D"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10</w:t>
            </w:r>
          </w:p>
        </w:tc>
      </w:tr>
      <w:tr w:rsidR="00194ED3" w:rsidRPr="008469D3" w14:paraId="381D5490" w14:textId="77777777" w:rsidTr="00252B58">
        <w:tc>
          <w:tcPr>
            <w:tcW w:w="166" w:type="dxa"/>
            <w:tcBorders>
              <w:top w:val="nil"/>
              <w:left w:val="nil"/>
              <w:bottom w:val="nil"/>
              <w:right w:val="nil"/>
            </w:tcBorders>
            <w:tcMar>
              <w:left w:w="57" w:type="dxa"/>
              <w:right w:w="57" w:type="dxa"/>
            </w:tcMar>
          </w:tcPr>
          <w:p w14:paraId="60B793B3" w14:textId="77777777" w:rsidR="00194ED3" w:rsidRPr="008469D3" w:rsidRDefault="00194ED3" w:rsidP="001609B6">
            <w:pPr>
              <w:rPr>
                <w:rFonts w:cstheme="minorHAnsi"/>
                <w:color w:val="000000" w:themeColor="text1"/>
                <w:sz w:val="18"/>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7DAA34AE" w14:textId="77777777" w:rsidR="00194ED3" w:rsidRPr="008469D3" w:rsidRDefault="00194ED3" w:rsidP="001609B6">
            <w:pPr>
              <w:rPr>
                <w:rFonts w:cstheme="minorHAnsi"/>
                <w:b/>
                <w:color w:val="365F91" w:themeColor="accent1" w:themeShade="BF"/>
                <w:sz w:val="18"/>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05B404AE" w14:textId="77777777" w:rsidR="00194ED3" w:rsidRPr="0046212E" w:rsidRDefault="00194ED3" w:rsidP="001609B6">
            <w:pPr>
              <w:jc w:val="center"/>
              <w:rPr>
                <w:rFonts w:cstheme="minorHAnsi"/>
                <w:b/>
                <w:sz w:val="18"/>
                <w:lang w:val="en-GB"/>
              </w:rPr>
            </w:pPr>
            <w:r w:rsidRPr="0046212E">
              <w:rPr>
                <w:rFonts w:cstheme="minorHAnsi"/>
                <w:b/>
                <w:sz w:val="18"/>
                <w:lang w:val="en-GB"/>
              </w:rPr>
              <w:t>21b</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66243849" w14:textId="77777777" w:rsidR="00194ED3" w:rsidRPr="008469D3" w:rsidRDefault="00194ED3" w:rsidP="001609B6">
            <w:pPr>
              <w:rPr>
                <w:rFonts w:cstheme="minorHAnsi"/>
                <w:color w:val="000000" w:themeColor="text1"/>
                <w:sz w:val="18"/>
                <w:lang w:val="en-GB"/>
              </w:rPr>
            </w:pPr>
            <w:r w:rsidRPr="008469D3">
              <w:rPr>
                <w:rFonts w:cstheme="minorHAnsi"/>
                <w:sz w:val="18"/>
                <w:lang w:val="en-GB"/>
              </w:rPr>
              <w:t>Distribution of</w:t>
            </w:r>
            <w:r w:rsidRPr="008469D3">
              <w:rPr>
                <w:rFonts w:cstheme="minorHAnsi"/>
                <w:color w:val="FF0000"/>
                <w:sz w:val="18"/>
                <w:lang w:val="en-GB"/>
              </w:rPr>
              <w:t xml:space="preserve"> </w:t>
            </w:r>
            <w:r w:rsidRPr="008469D3">
              <w:rPr>
                <w:rFonts w:cstheme="minorHAnsi"/>
                <w:color w:val="000000" w:themeColor="text1"/>
                <w:sz w:val="18"/>
                <w:lang w:val="en-GB"/>
              </w:rPr>
              <w:t>alternative diagnoses in those without the target condition</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169047C0" w14:textId="77777777" w:rsidR="00194ED3" w:rsidRPr="008469D3" w:rsidRDefault="00194ED3" w:rsidP="001609B6">
            <w:pPr>
              <w:rPr>
                <w:rFonts w:cstheme="minorHAnsi"/>
                <w:sz w:val="18"/>
                <w:lang w:val="en-GB"/>
              </w:rPr>
            </w:pPr>
            <w:r>
              <w:rPr>
                <w:rFonts w:cstheme="minorHAnsi"/>
                <w:sz w:val="18"/>
                <w:lang w:val="en-GB"/>
              </w:rPr>
              <w:t>10</w:t>
            </w:r>
          </w:p>
        </w:tc>
      </w:tr>
      <w:tr w:rsidR="00194ED3" w:rsidRPr="008469D3" w14:paraId="44784783" w14:textId="77777777" w:rsidTr="00252B58">
        <w:tc>
          <w:tcPr>
            <w:tcW w:w="166" w:type="dxa"/>
            <w:tcBorders>
              <w:top w:val="nil"/>
              <w:left w:val="nil"/>
              <w:bottom w:val="nil"/>
              <w:right w:val="nil"/>
            </w:tcBorders>
            <w:tcMar>
              <w:left w:w="57" w:type="dxa"/>
              <w:right w:w="57" w:type="dxa"/>
            </w:tcMar>
          </w:tcPr>
          <w:p w14:paraId="5841DA8C"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716A1C93" w14:textId="77777777" w:rsidR="00194ED3" w:rsidRPr="008469D3" w:rsidRDefault="00194ED3" w:rsidP="001609B6">
            <w:pPr>
              <w:rPr>
                <w:rFonts w:cstheme="minorHAnsi"/>
                <w:b/>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0ED72CF0" w14:textId="77777777" w:rsidR="00194ED3" w:rsidRPr="0046212E" w:rsidRDefault="00194ED3" w:rsidP="001609B6">
            <w:pPr>
              <w:jc w:val="center"/>
              <w:rPr>
                <w:rFonts w:cstheme="minorHAnsi"/>
                <w:b/>
                <w:sz w:val="18"/>
                <w:lang w:val="en-GB"/>
              </w:rPr>
            </w:pPr>
            <w:r w:rsidRPr="0046212E">
              <w:rPr>
                <w:rFonts w:cstheme="minorHAnsi"/>
                <w:b/>
                <w:sz w:val="18"/>
                <w:lang w:val="en-GB"/>
              </w:rPr>
              <w:t>22</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6FE3BEA3" w14:textId="77777777" w:rsidR="00194ED3" w:rsidRPr="008469D3" w:rsidRDefault="00194ED3" w:rsidP="001609B6">
            <w:pPr>
              <w:rPr>
                <w:rFonts w:cstheme="minorHAnsi"/>
                <w:sz w:val="18"/>
                <w:lang w:val="en-GB"/>
              </w:rPr>
            </w:pPr>
            <w:r w:rsidRPr="008469D3">
              <w:rPr>
                <w:rFonts w:cstheme="minorHAnsi"/>
                <w:sz w:val="18"/>
                <w:lang w:val="en-GB"/>
              </w:rPr>
              <w:t>Time interval and any clinical interventions between index test and reference standard</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0F15700C" w14:textId="77777777" w:rsidR="00194ED3" w:rsidRPr="008469D3" w:rsidRDefault="00194ED3" w:rsidP="001609B6">
            <w:pPr>
              <w:rPr>
                <w:rFonts w:cstheme="minorHAnsi"/>
                <w:sz w:val="18"/>
                <w:lang w:val="en-GB"/>
              </w:rPr>
            </w:pPr>
            <w:r>
              <w:rPr>
                <w:rFonts w:cstheme="minorHAnsi"/>
                <w:sz w:val="18"/>
                <w:lang w:val="en-GB"/>
              </w:rPr>
              <w:t>NA</w:t>
            </w:r>
          </w:p>
        </w:tc>
      </w:tr>
      <w:tr w:rsidR="00194ED3" w:rsidRPr="008469D3" w14:paraId="5238C4F4" w14:textId="77777777" w:rsidTr="00252B58">
        <w:tc>
          <w:tcPr>
            <w:tcW w:w="166" w:type="dxa"/>
            <w:tcBorders>
              <w:top w:val="nil"/>
              <w:left w:val="nil"/>
              <w:bottom w:val="nil"/>
              <w:right w:val="nil"/>
            </w:tcBorders>
            <w:tcMar>
              <w:left w:w="57" w:type="dxa"/>
              <w:right w:w="57" w:type="dxa"/>
            </w:tcMar>
          </w:tcPr>
          <w:p w14:paraId="555C4D8C"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5117CF59" w14:textId="77777777" w:rsidR="00194ED3" w:rsidRPr="008469D3" w:rsidRDefault="00194ED3" w:rsidP="001609B6">
            <w:pPr>
              <w:rPr>
                <w:rFonts w:cstheme="minorHAnsi"/>
                <w:i/>
                <w:color w:val="365F91" w:themeColor="accent1" w:themeShade="BF"/>
                <w:sz w:val="18"/>
                <w:lang w:val="en-GB"/>
              </w:rPr>
            </w:pPr>
            <w:r w:rsidRPr="008469D3">
              <w:rPr>
                <w:rFonts w:cstheme="minorHAnsi"/>
                <w:i/>
                <w:color w:val="365F91" w:themeColor="accent1" w:themeShade="BF"/>
                <w:sz w:val="18"/>
                <w:lang w:val="en-GB"/>
              </w:rPr>
              <w:t>Test results</w:t>
            </w: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197A5ADB" w14:textId="77777777" w:rsidR="00194ED3" w:rsidRPr="0046212E" w:rsidRDefault="00194ED3" w:rsidP="001609B6">
            <w:pPr>
              <w:jc w:val="center"/>
              <w:rPr>
                <w:rFonts w:cstheme="minorHAnsi"/>
                <w:b/>
                <w:sz w:val="18"/>
                <w:lang w:val="en-GB"/>
              </w:rPr>
            </w:pPr>
            <w:r w:rsidRPr="0046212E">
              <w:rPr>
                <w:rFonts w:cstheme="minorHAnsi"/>
                <w:b/>
                <w:sz w:val="18"/>
                <w:lang w:val="en-GB"/>
              </w:rPr>
              <w:t>23</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05FC4F04"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 xml:space="preserve">Cross tabulation of the index test results (or their distribution) </w:t>
            </w:r>
            <w:r w:rsidRPr="008469D3">
              <w:rPr>
                <w:rFonts w:cstheme="minorHAnsi"/>
                <w:color w:val="000000" w:themeColor="text1"/>
                <w:sz w:val="18"/>
                <w:lang w:val="en-GB"/>
              </w:rPr>
              <w:br/>
              <w:t>by the results of the reference standard</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3B6FFC8F"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11</w:t>
            </w:r>
          </w:p>
        </w:tc>
      </w:tr>
      <w:tr w:rsidR="00194ED3" w:rsidRPr="008469D3" w14:paraId="2D593864" w14:textId="77777777" w:rsidTr="00252B58">
        <w:tc>
          <w:tcPr>
            <w:tcW w:w="166" w:type="dxa"/>
            <w:tcBorders>
              <w:top w:val="nil"/>
              <w:left w:val="nil"/>
              <w:bottom w:val="nil"/>
              <w:right w:val="nil"/>
            </w:tcBorders>
            <w:tcMar>
              <w:left w:w="57" w:type="dxa"/>
              <w:right w:w="57" w:type="dxa"/>
            </w:tcMar>
          </w:tcPr>
          <w:p w14:paraId="66E897A9" w14:textId="77777777" w:rsidR="00194ED3" w:rsidRPr="008469D3" w:rsidRDefault="00194ED3" w:rsidP="001609B6">
            <w:pPr>
              <w:rPr>
                <w:rFonts w:cstheme="minorHAnsi"/>
                <w:color w:val="000000" w:themeColor="text1"/>
                <w:sz w:val="18"/>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040F1221" w14:textId="77777777" w:rsidR="00194ED3" w:rsidRPr="008469D3" w:rsidRDefault="00194ED3" w:rsidP="001609B6">
            <w:pPr>
              <w:rPr>
                <w:rFonts w:cstheme="minorHAnsi"/>
                <w:color w:val="000000" w:themeColor="text1"/>
                <w:sz w:val="18"/>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51372666" w14:textId="77777777" w:rsidR="00194ED3" w:rsidRPr="0046212E" w:rsidRDefault="00194ED3" w:rsidP="001609B6">
            <w:pPr>
              <w:jc w:val="center"/>
              <w:rPr>
                <w:rFonts w:cstheme="minorHAnsi"/>
                <w:b/>
                <w:sz w:val="18"/>
                <w:lang w:val="en-GB"/>
              </w:rPr>
            </w:pPr>
            <w:r w:rsidRPr="0046212E">
              <w:rPr>
                <w:rFonts w:cstheme="minorHAnsi"/>
                <w:b/>
                <w:sz w:val="18"/>
                <w:lang w:val="en-GB"/>
              </w:rPr>
              <w:t>24</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4BC8E98D"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Estimates of diagnostic accuracy and their precision (such as 95% confidence intervals)</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75B49F89"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11</w:t>
            </w:r>
          </w:p>
        </w:tc>
      </w:tr>
      <w:tr w:rsidR="00194ED3" w:rsidRPr="008469D3" w14:paraId="121EC72B" w14:textId="77777777" w:rsidTr="00252B58">
        <w:tc>
          <w:tcPr>
            <w:tcW w:w="166" w:type="dxa"/>
            <w:tcBorders>
              <w:top w:val="nil"/>
              <w:left w:val="nil"/>
              <w:bottom w:val="nil"/>
              <w:right w:val="nil"/>
            </w:tcBorders>
            <w:tcMar>
              <w:left w:w="57" w:type="dxa"/>
              <w:right w:w="57" w:type="dxa"/>
            </w:tcMar>
          </w:tcPr>
          <w:p w14:paraId="52D52447" w14:textId="77777777" w:rsidR="00194ED3" w:rsidRPr="008469D3" w:rsidRDefault="00194ED3" w:rsidP="001609B6">
            <w:pPr>
              <w:rPr>
                <w:rFonts w:cstheme="minorHAnsi"/>
                <w:color w:val="000000" w:themeColor="text1"/>
                <w:sz w:val="18"/>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55DD8A5D" w14:textId="77777777" w:rsidR="00194ED3" w:rsidRPr="008469D3" w:rsidRDefault="00194ED3" w:rsidP="001609B6">
            <w:pPr>
              <w:rPr>
                <w:rFonts w:cstheme="minorHAnsi"/>
                <w:color w:val="000000" w:themeColor="text1"/>
                <w:sz w:val="18"/>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2F11F212" w14:textId="77777777" w:rsidR="00194ED3" w:rsidRPr="0046212E" w:rsidRDefault="00194ED3" w:rsidP="001609B6">
            <w:pPr>
              <w:jc w:val="center"/>
              <w:rPr>
                <w:rFonts w:cstheme="minorHAnsi"/>
                <w:b/>
                <w:sz w:val="18"/>
                <w:lang w:val="en-GB"/>
              </w:rPr>
            </w:pPr>
            <w:r w:rsidRPr="0046212E">
              <w:rPr>
                <w:rFonts w:cstheme="minorHAnsi"/>
                <w:b/>
                <w:sz w:val="18"/>
                <w:lang w:val="en-GB"/>
              </w:rPr>
              <w:t>25</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5E805FAC"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Any adverse events from performing the index test or the reference standard</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7DE34018"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NA</w:t>
            </w:r>
          </w:p>
        </w:tc>
      </w:tr>
      <w:tr w:rsidR="00194ED3" w:rsidRPr="008469D3" w14:paraId="62489892" w14:textId="77777777" w:rsidTr="00252B58">
        <w:tc>
          <w:tcPr>
            <w:tcW w:w="166" w:type="dxa"/>
            <w:tcBorders>
              <w:top w:val="nil"/>
              <w:left w:val="nil"/>
              <w:bottom w:val="nil"/>
              <w:right w:val="nil"/>
            </w:tcBorders>
            <w:tcMar>
              <w:left w:w="57" w:type="dxa"/>
              <w:right w:w="57" w:type="dxa"/>
            </w:tcMar>
          </w:tcPr>
          <w:p w14:paraId="41CB6635"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331CD1D3" w14:textId="77777777" w:rsidR="00194ED3" w:rsidRPr="008469D3" w:rsidRDefault="00194ED3" w:rsidP="001609B6">
            <w:pPr>
              <w:rPr>
                <w:rFonts w:cstheme="minorHAnsi"/>
                <w:b/>
                <w:color w:val="365F91" w:themeColor="accent1" w:themeShade="BF"/>
                <w:sz w:val="18"/>
                <w:lang w:val="en-GB"/>
              </w:rPr>
            </w:pPr>
            <w:r w:rsidRPr="008469D3">
              <w:rPr>
                <w:rFonts w:cstheme="minorHAnsi"/>
                <w:b/>
                <w:color w:val="365F91" w:themeColor="accent1" w:themeShade="BF"/>
                <w:sz w:val="18"/>
                <w:lang w:val="en-GB"/>
              </w:rPr>
              <w:t>DISCUSSION</w:t>
            </w: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73AA6BEF" w14:textId="77777777" w:rsidR="00194ED3" w:rsidRPr="0046212E" w:rsidRDefault="00194ED3" w:rsidP="001609B6">
            <w:pPr>
              <w:jc w:val="center"/>
              <w:rPr>
                <w:rFonts w:cstheme="minorHAnsi"/>
                <w:b/>
                <w:sz w:val="18"/>
                <w:lang w:val="en-GB"/>
              </w:rPr>
            </w:pP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6BFB9952" w14:textId="77777777" w:rsidR="00194ED3" w:rsidRPr="008469D3" w:rsidRDefault="00194ED3" w:rsidP="001609B6">
            <w:pPr>
              <w:rPr>
                <w:rFonts w:cstheme="minorHAnsi"/>
                <w:i/>
                <w:color w:val="000000" w:themeColor="text1"/>
                <w:sz w:val="18"/>
                <w:lang w:val="en-GB"/>
              </w:rPr>
            </w:pP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2E35D567" w14:textId="77777777" w:rsidR="00194ED3" w:rsidRPr="008469D3" w:rsidRDefault="00194ED3" w:rsidP="001609B6">
            <w:pPr>
              <w:rPr>
                <w:rFonts w:cstheme="minorHAnsi"/>
                <w:i/>
                <w:color w:val="000000" w:themeColor="text1"/>
                <w:sz w:val="18"/>
                <w:lang w:val="en-GB"/>
              </w:rPr>
            </w:pPr>
          </w:p>
        </w:tc>
      </w:tr>
      <w:tr w:rsidR="00194ED3" w:rsidRPr="008469D3" w14:paraId="646A243D" w14:textId="77777777" w:rsidTr="00252B58">
        <w:tc>
          <w:tcPr>
            <w:tcW w:w="166" w:type="dxa"/>
            <w:tcBorders>
              <w:top w:val="nil"/>
              <w:left w:val="nil"/>
              <w:bottom w:val="nil"/>
              <w:right w:val="nil"/>
            </w:tcBorders>
            <w:tcMar>
              <w:left w:w="57" w:type="dxa"/>
              <w:right w:w="57" w:type="dxa"/>
            </w:tcMar>
          </w:tcPr>
          <w:p w14:paraId="1612162C"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4EE9567F"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68A82F09" w14:textId="77777777" w:rsidR="00194ED3" w:rsidRPr="0046212E" w:rsidRDefault="00194ED3" w:rsidP="001609B6">
            <w:pPr>
              <w:jc w:val="center"/>
              <w:rPr>
                <w:rFonts w:cstheme="minorHAnsi"/>
                <w:b/>
                <w:sz w:val="18"/>
                <w:lang w:val="en-GB"/>
              </w:rPr>
            </w:pPr>
            <w:r w:rsidRPr="0046212E">
              <w:rPr>
                <w:rFonts w:cstheme="minorHAnsi"/>
                <w:b/>
                <w:sz w:val="18"/>
                <w:lang w:val="en-GB"/>
              </w:rPr>
              <w:t>26</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17215180"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 xml:space="preserve">Study limitations, </w:t>
            </w:r>
            <w:r w:rsidRPr="008469D3">
              <w:rPr>
                <w:rFonts w:cstheme="minorHAnsi"/>
                <w:sz w:val="18"/>
                <w:lang w:val="en-GB"/>
              </w:rPr>
              <w:t>including</w:t>
            </w:r>
            <w:r w:rsidRPr="008469D3">
              <w:rPr>
                <w:rFonts w:cstheme="minorHAnsi"/>
                <w:color w:val="000000" w:themeColor="text1"/>
                <w:sz w:val="18"/>
                <w:lang w:val="en-GB"/>
              </w:rPr>
              <w:t xml:space="preserve"> sources of potential bias, statistical uncertainty, and generalisability</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74405E2F"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11,12,13,14,15</w:t>
            </w:r>
          </w:p>
        </w:tc>
      </w:tr>
      <w:tr w:rsidR="00194ED3" w:rsidRPr="008469D3" w14:paraId="106A3037" w14:textId="77777777" w:rsidTr="00252B58">
        <w:tc>
          <w:tcPr>
            <w:tcW w:w="166" w:type="dxa"/>
            <w:tcBorders>
              <w:top w:val="nil"/>
              <w:left w:val="nil"/>
              <w:bottom w:val="nil"/>
              <w:right w:val="nil"/>
            </w:tcBorders>
            <w:tcMar>
              <w:left w:w="57" w:type="dxa"/>
              <w:right w:w="57" w:type="dxa"/>
            </w:tcMar>
          </w:tcPr>
          <w:p w14:paraId="56FD190B"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46B68F84" w14:textId="77777777" w:rsidR="00194ED3" w:rsidRPr="008469D3" w:rsidRDefault="00194ED3" w:rsidP="001609B6">
            <w:pPr>
              <w:rPr>
                <w:rFonts w:cstheme="minorHAnsi"/>
                <w:color w:val="365F91" w:themeColor="accent1" w:themeShade="BF"/>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64AC9098" w14:textId="77777777" w:rsidR="00194ED3" w:rsidRPr="0046212E" w:rsidRDefault="00194ED3" w:rsidP="001609B6">
            <w:pPr>
              <w:jc w:val="center"/>
              <w:rPr>
                <w:rFonts w:cstheme="minorHAnsi"/>
                <w:b/>
                <w:sz w:val="18"/>
                <w:lang w:val="en-GB"/>
              </w:rPr>
            </w:pPr>
            <w:r w:rsidRPr="0046212E">
              <w:rPr>
                <w:rFonts w:cstheme="minorHAnsi"/>
                <w:b/>
                <w:sz w:val="18"/>
                <w:lang w:val="en-GB"/>
              </w:rPr>
              <w:t>27</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4B3408A9"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Implications for practice, including the intended use and clinical role of the index test</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263D1563"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11,12,13,14,15</w:t>
            </w:r>
          </w:p>
        </w:tc>
      </w:tr>
      <w:tr w:rsidR="00194ED3" w:rsidRPr="008469D3" w14:paraId="269FC92D" w14:textId="77777777" w:rsidTr="00252B58">
        <w:tc>
          <w:tcPr>
            <w:tcW w:w="166" w:type="dxa"/>
            <w:tcBorders>
              <w:top w:val="nil"/>
              <w:left w:val="nil"/>
              <w:bottom w:val="nil"/>
              <w:right w:val="nil"/>
            </w:tcBorders>
            <w:tcMar>
              <w:left w:w="57" w:type="dxa"/>
              <w:right w:w="57" w:type="dxa"/>
            </w:tcMar>
          </w:tcPr>
          <w:p w14:paraId="54C858C3"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2502262E" w14:textId="77777777" w:rsidR="00194ED3" w:rsidRPr="008469D3" w:rsidRDefault="00194ED3" w:rsidP="001609B6">
            <w:pPr>
              <w:rPr>
                <w:rFonts w:cstheme="minorHAnsi"/>
                <w:b/>
                <w:color w:val="365F91" w:themeColor="accent1" w:themeShade="BF"/>
                <w:sz w:val="18"/>
                <w:lang w:val="en-GB"/>
              </w:rPr>
            </w:pPr>
            <w:r w:rsidRPr="008469D3">
              <w:rPr>
                <w:rFonts w:cstheme="minorHAnsi"/>
                <w:b/>
                <w:color w:val="365F91" w:themeColor="accent1" w:themeShade="BF"/>
                <w:sz w:val="18"/>
                <w:lang w:val="en-GB"/>
              </w:rPr>
              <w:t>OTHER INFORMATION</w:t>
            </w: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5E7F776B" w14:textId="77777777" w:rsidR="00194ED3" w:rsidRPr="0046212E" w:rsidRDefault="00194ED3" w:rsidP="001609B6">
            <w:pPr>
              <w:jc w:val="center"/>
              <w:rPr>
                <w:rFonts w:cstheme="minorHAnsi"/>
                <w:b/>
                <w:sz w:val="18"/>
                <w:lang w:val="en-GB"/>
              </w:rPr>
            </w:pP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5B15335D" w14:textId="77777777" w:rsidR="00194ED3" w:rsidRPr="008469D3" w:rsidRDefault="00194ED3" w:rsidP="001609B6">
            <w:pPr>
              <w:rPr>
                <w:rFonts w:cstheme="minorHAnsi"/>
                <w:i/>
                <w:color w:val="000000" w:themeColor="text1"/>
                <w:sz w:val="18"/>
                <w:lang w:val="en-GB"/>
              </w:rPr>
            </w:pP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57605B6A" w14:textId="77777777" w:rsidR="00194ED3" w:rsidRPr="008469D3" w:rsidRDefault="00194ED3" w:rsidP="001609B6">
            <w:pPr>
              <w:rPr>
                <w:rFonts w:cstheme="minorHAnsi"/>
                <w:i/>
                <w:color w:val="000000" w:themeColor="text1"/>
                <w:sz w:val="18"/>
                <w:lang w:val="en-GB"/>
              </w:rPr>
            </w:pPr>
          </w:p>
        </w:tc>
      </w:tr>
      <w:tr w:rsidR="00194ED3" w:rsidRPr="008469D3" w14:paraId="66896F75" w14:textId="77777777" w:rsidTr="00252B58">
        <w:tc>
          <w:tcPr>
            <w:tcW w:w="166" w:type="dxa"/>
            <w:tcBorders>
              <w:top w:val="nil"/>
              <w:left w:val="nil"/>
              <w:bottom w:val="nil"/>
              <w:right w:val="nil"/>
            </w:tcBorders>
            <w:tcMar>
              <w:left w:w="57" w:type="dxa"/>
              <w:right w:w="57" w:type="dxa"/>
            </w:tcMar>
          </w:tcPr>
          <w:p w14:paraId="5AF58AC1"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18D8EBED" w14:textId="77777777" w:rsidR="00194ED3" w:rsidRPr="008469D3" w:rsidRDefault="00194ED3" w:rsidP="001609B6">
            <w:pPr>
              <w:rPr>
                <w:rFonts w:cstheme="minorHAnsi"/>
                <w:color w:val="000000" w:themeColor="text1"/>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54DFA675" w14:textId="77777777" w:rsidR="00194ED3" w:rsidRPr="0046212E" w:rsidRDefault="00194ED3" w:rsidP="001609B6">
            <w:pPr>
              <w:jc w:val="center"/>
              <w:rPr>
                <w:rFonts w:cstheme="minorHAnsi"/>
                <w:b/>
                <w:sz w:val="18"/>
                <w:lang w:val="en-GB"/>
              </w:rPr>
            </w:pPr>
            <w:r w:rsidRPr="0046212E">
              <w:rPr>
                <w:rFonts w:cstheme="minorHAnsi"/>
                <w:b/>
                <w:sz w:val="18"/>
                <w:lang w:val="en-GB"/>
              </w:rPr>
              <w:t>28</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2301BBA9" w14:textId="77777777" w:rsidR="00194ED3" w:rsidRPr="008469D3" w:rsidRDefault="00194ED3" w:rsidP="001609B6">
            <w:pPr>
              <w:rPr>
                <w:rFonts w:cstheme="minorHAnsi"/>
                <w:color w:val="000000" w:themeColor="text1"/>
                <w:sz w:val="18"/>
                <w:lang w:val="en-GB"/>
              </w:rPr>
            </w:pPr>
            <w:r w:rsidRPr="008469D3">
              <w:rPr>
                <w:rFonts w:cstheme="minorHAnsi"/>
                <w:color w:val="000000" w:themeColor="text1"/>
                <w:sz w:val="18"/>
                <w:lang w:val="en-GB"/>
              </w:rPr>
              <w:t>Registration number and name of registry</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1488FE1E" w14:textId="77777777" w:rsidR="00194ED3" w:rsidRPr="008469D3" w:rsidRDefault="00194ED3" w:rsidP="001609B6">
            <w:pPr>
              <w:rPr>
                <w:rFonts w:cstheme="minorHAnsi"/>
                <w:color w:val="000000" w:themeColor="text1"/>
                <w:sz w:val="18"/>
                <w:lang w:val="en-GB"/>
              </w:rPr>
            </w:pPr>
            <w:r>
              <w:rPr>
                <w:rFonts w:cstheme="minorHAnsi"/>
                <w:color w:val="000000" w:themeColor="text1"/>
                <w:sz w:val="18"/>
                <w:lang w:val="en-GB"/>
              </w:rPr>
              <w:t>NA</w:t>
            </w:r>
          </w:p>
        </w:tc>
      </w:tr>
      <w:tr w:rsidR="00194ED3" w:rsidRPr="008469D3" w14:paraId="3448773E" w14:textId="77777777" w:rsidTr="00252B58">
        <w:tc>
          <w:tcPr>
            <w:tcW w:w="166" w:type="dxa"/>
            <w:tcBorders>
              <w:top w:val="nil"/>
              <w:left w:val="nil"/>
              <w:bottom w:val="nil"/>
              <w:right w:val="nil"/>
            </w:tcBorders>
            <w:tcMar>
              <w:left w:w="57" w:type="dxa"/>
              <w:right w:w="57" w:type="dxa"/>
            </w:tcMar>
          </w:tcPr>
          <w:p w14:paraId="4185BBF0" w14:textId="77777777" w:rsidR="00194ED3" w:rsidRPr="008469D3" w:rsidRDefault="00194ED3" w:rsidP="001609B6">
            <w:pPr>
              <w:rPr>
                <w:rFonts w:cstheme="minorHAnsi"/>
                <w:color w:val="000000" w:themeColor="text1"/>
                <w:sz w:val="18"/>
                <w:lang w:val="en-GB"/>
              </w:rPr>
            </w:pPr>
          </w:p>
        </w:tc>
        <w:tc>
          <w:tcPr>
            <w:tcW w:w="2376" w:type="dxa"/>
            <w:tcBorders>
              <w:top w:val="dotted" w:sz="6" w:space="0" w:color="4F81BD" w:themeColor="accent1"/>
              <w:left w:val="nil"/>
              <w:bottom w:val="dotted" w:sz="6" w:space="0" w:color="4F81BD" w:themeColor="accent1"/>
              <w:right w:val="dotted" w:sz="6" w:space="0" w:color="4F81BD" w:themeColor="accent1"/>
            </w:tcBorders>
          </w:tcPr>
          <w:p w14:paraId="4287B743" w14:textId="77777777" w:rsidR="00194ED3" w:rsidRPr="008469D3" w:rsidRDefault="00194ED3" w:rsidP="001609B6">
            <w:pPr>
              <w:rPr>
                <w:rFonts w:cstheme="minorHAnsi"/>
                <w:color w:val="000000" w:themeColor="text1"/>
                <w:sz w:val="18"/>
                <w:lang w:val="en-GB"/>
              </w:rPr>
            </w:pPr>
          </w:p>
        </w:tc>
        <w:tc>
          <w:tcPr>
            <w:tcW w:w="738" w:type="dxa"/>
            <w:tcBorders>
              <w:top w:val="dotted" w:sz="6" w:space="0" w:color="4F81BD" w:themeColor="accent1"/>
              <w:left w:val="dotted" w:sz="6" w:space="0" w:color="4F81BD" w:themeColor="accent1"/>
              <w:bottom w:val="dotted" w:sz="6" w:space="0" w:color="4F81BD" w:themeColor="accent1"/>
              <w:right w:val="dotted" w:sz="6" w:space="0" w:color="4F81BD" w:themeColor="accent1"/>
            </w:tcBorders>
          </w:tcPr>
          <w:p w14:paraId="6B8E4D58" w14:textId="77777777" w:rsidR="00194ED3" w:rsidRPr="0046212E" w:rsidRDefault="00194ED3" w:rsidP="001609B6">
            <w:pPr>
              <w:jc w:val="center"/>
              <w:rPr>
                <w:rFonts w:cstheme="minorHAnsi"/>
                <w:b/>
                <w:sz w:val="18"/>
                <w:lang w:val="en-GB"/>
              </w:rPr>
            </w:pPr>
            <w:r w:rsidRPr="0046212E">
              <w:rPr>
                <w:rFonts w:cstheme="minorHAnsi"/>
                <w:b/>
                <w:sz w:val="18"/>
                <w:lang w:val="en-GB"/>
              </w:rPr>
              <w:t>29</w:t>
            </w:r>
          </w:p>
        </w:tc>
        <w:tc>
          <w:tcPr>
            <w:tcW w:w="10022" w:type="dxa"/>
            <w:tcBorders>
              <w:top w:val="dotted" w:sz="6" w:space="0" w:color="4F81BD" w:themeColor="accent1"/>
              <w:left w:val="dotted" w:sz="6" w:space="0" w:color="4F81BD" w:themeColor="accent1"/>
              <w:bottom w:val="dotted" w:sz="6" w:space="0" w:color="4F81BD" w:themeColor="accent1"/>
              <w:right w:val="nil"/>
            </w:tcBorders>
          </w:tcPr>
          <w:p w14:paraId="4D3A1829" w14:textId="77777777" w:rsidR="00194ED3" w:rsidRPr="008469D3" w:rsidRDefault="00194ED3" w:rsidP="001609B6">
            <w:pPr>
              <w:rPr>
                <w:rFonts w:cstheme="minorHAnsi"/>
                <w:color w:val="000000" w:themeColor="text1"/>
                <w:sz w:val="18"/>
              </w:rPr>
            </w:pPr>
            <w:r w:rsidRPr="008469D3">
              <w:rPr>
                <w:rFonts w:cstheme="minorHAnsi"/>
                <w:color w:val="000000" w:themeColor="text1"/>
                <w:sz w:val="18"/>
              </w:rPr>
              <w:t>Where the full study protocol can be accessed</w:t>
            </w:r>
          </w:p>
        </w:tc>
        <w:tc>
          <w:tcPr>
            <w:tcW w:w="2329" w:type="dxa"/>
            <w:tcBorders>
              <w:top w:val="dotted" w:sz="6" w:space="0" w:color="4F81BD" w:themeColor="accent1"/>
              <w:left w:val="dotted" w:sz="6" w:space="0" w:color="4F81BD" w:themeColor="accent1"/>
              <w:bottom w:val="dotted" w:sz="6" w:space="0" w:color="4F81BD" w:themeColor="accent1"/>
              <w:right w:val="nil"/>
            </w:tcBorders>
          </w:tcPr>
          <w:p w14:paraId="48BDCC03" w14:textId="77777777" w:rsidR="00194ED3" w:rsidRPr="008469D3" w:rsidRDefault="00194ED3" w:rsidP="001609B6">
            <w:pPr>
              <w:rPr>
                <w:rFonts w:cstheme="minorHAnsi"/>
                <w:color w:val="000000" w:themeColor="text1"/>
                <w:sz w:val="18"/>
              </w:rPr>
            </w:pPr>
            <w:r>
              <w:rPr>
                <w:rFonts w:cstheme="minorHAnsi"/>
                <w:color w:val="000000" w:themeColor="text1"/>
                <w:sz w:val="18"/>
              </w:rPr>
              <w:t>7,8</w:t>
            </w:r>
          </w:p>
        </w:tc>
      </w:tr>
      <w:tr w:rsidR="00194ED3" w:rsidRPr="008469D3" w14:paraId="1C4804FE" w14:textId="77777777" w:rsidTr="00252B58">
        <w:tc>
          <w:tcPr>
            <w:tcW w:w="166" w:type="dxa"/>
            <w:tcBorders>
              <w:top w:val="nil"/>
              <w:left w:val="nil"/>
              <w:bottom w:val="nil"/>
              <w:right w:val="nil"/>
            </w:tcBorders>
            <w:tcMar>
              <w:left w:w="57" w:type="dxa"/>
              <w:right w:w="57" w:type="dxa"/>
            </w:tcMar>
          </w:tcPr>
          <w:p w14:paraId="5B134B6E" w14:textId="77777777" w:rsidR="00194ED3" w:rsidRPr="008469D3" w:rsidRDefault="00194ED3" w:rsidP="001609B6">
            <w:pPr>
              <w:rPr>
                <w:rFonts w:cstheme="minorHAnsi"/>
                <w:color w:val="000000" w:themeColor="text1"/>
                <w:sz w:val="18"/>
              </w:rPr>
            </w:pPr>
          </w:p>
        </w:tc>
        <w:tc>
          <w:tcPr>
            <w:tcW w:w="2376" w:type="dxa"/>
            <w:tcBorders>
              <w:top w:val="dotted" w:sz="6" w:space="0" w:color="4F81BD" w:themeColor="accent1"/>
              <w:left w:val="nil"/>
              <w:bottom w:val="nil"/>
              <w:right w:val="dotted" w:sz="6" w:space="0" w:color="4F81BD" w:themeColor="accent1"/>
            </w:tcBorders>
          </w:tcPr>
          <w:p w14:paraId="0E41A6DC" w14:textId="77777777" w:rsidR="00194ED3" w:rsidRPr="008469D3" w:rsidRDefault="00194ED3" w:rsidP="001609B6">
            <w:pPr>
              <w:rPr>
                <w:rFonts w:cstheme="minorHAnsi"/>
                <w:color w:val="000000" w:themeColor="text1"/>
                <w:sz w:val="18"/>
              </w:rPr>
            </w:pPr>
          </w:p>
        </w:tc>
        <w:tc>
          <w:tcPr>
            <w:tcW w:w="738" w:type="dxa"/>
            <w:tcBorders>
              <w:top w:val="dotted" w:sz="6" w:space="0" w:color="4F81BD" w:themeColor="accent1"/>
              <w:left w:val="dotted" w:sz="6" w:space="0" w:color="4F81BD" w:themeColor="accent1"/>
              <w:bottom w:val="nil"/>
              <w:right w:val="dotted" w:sz="6" w:space="0" w:color="4F81BD" w:themeColor="accent1"/>
            </w:tcBorders>
          </w:tcPr>
          <w:p w14:paraId="07AB0EFB" w14:textId="77777777" w:rsidR="00194ED3" w:rsidRPr="0046212E" w:rsidRDefault="00194ED3" w:rsidP="001609B6">
            <w:pPr>
              <w:jc w:val="center"/>
              <w:rPr>
                <w:rFonts w:cstheme="minorHAnsi"/>
                <w:b/>
                <w:sz w:val="18"/>
                <w:lang w:val="en-GB"/>
              </w:rPr>
            </w:pPr>
            <w:r w:rsidRPr="0046212E">
              <w:rPr>
                <w:rFonts w:cstheme="minorHAnsi"/>
                <w:b/>
                <w:sz w:val="18"/>
                <w:lang w:val="en-GB"/>
              </w:rPr>
              <w:t>30</w:t>
            </w:r>
          </w:p>
        </w:tc>
        <w:tc>
          <w:tcPr>
            <w:tcW w:w="10022" w:type="dxa"/>
            <w:tcBorders>
              <w:top w:val="dotted" w:sz="6" w:space="0" w:color="4F81BD" w:themeColor="accent1"/>
              <w:left w:val="dotted" w:sz="6" w:space="0" w:color="4F81BD" w:themeColor="accent1"/>
              <w:bottom w:val="nil"/>
              <w:right w:val="nil"/>
            </w:tcBorders>
          </w:tcPr>
          <w:p w14:paraId="486A6A7B" w14:textId="77777777" w:rsidR="00194ED3" w:rsidRPr="008469D3" w:rsidRDefault="00194ED3" w:rsidP="001609B6">
            <w:pPr>
              <w:rPr>
                <w:rFonts w:cstheme="minorHAnsi"/>
                <w:color w:val="000000" w:themeColor="text1"/>
                <w:sz w:val="18"/>
              </w:rPr>
            </w:pPr>
            <w:r w:rsidRPr="008469D3">
              <w:rPr>
                <w:rFonts w:cstheme="minorHAnsi"/>
                <w:color w:val="000000" w:themeColor="text1"/>
                <w:sz w:val="18"/>
              </w:rPr>
              <w:t>Sources of funding and other support; role of funders</w:t>
            </w:r>
          </w:p>
        </w:tc>
        <w:tc>
          <w:tcPr>
            <w:tcW w:w="2329" w:type="dxa"/>
            <w:tcBorders>
              <w:top w:val="dotted" w:sz="6" w:space="0" w:color="4F81BD" w:themeColor="accent1"/>
              <w:left w:val="dotted" w:sz="6" w:space="0" w:color="4F81BD" w:themeColor="accent1"/>
              <w:bottom w:val="nil"/>
              <w:right w:val="nil"/>
            </w:tcBorders>
          </w:tcPr>
          <w:p w14:paraId="3583CC79" w14:textId="77777777" w:rsidR="00194ED3" w:rsidRPr="008469D3" w:rsidRDefault="00194ED3" w:rsidP="001609B6">
            <w:pPr>
              <w:rPr>
                <w:rFonts w:cstheme="minorHAnsi"/>
                <w:color w:val="000000" w:themeColor="text1"/>
                <w:sz w:val="18"/>
              </w:rPr>
            </w:pPr>
            <w:r>
              <w:rPr>
                <w:rFonts w:cstheme="minorHAnsi"/>
                <w:color w:val="000000" w:themeColor="text1"/>
                <w:sz w:val="18"/>
              </w:rPr>
              <w:t>1</w:t>
            </w:r>
          </w:p>
        </w:tc>
      </w:tr>
      <w:tr w:rsidR="00194ED3" w:rsidRPr="005320D9" w14:paraId="41D6B466" w14:textId="77777777" w:rsidTr="00252B58">
        <w:trPr>
          <w:trHeight w:val="70"/>
        </w:trPr>
        <w:tc>
          <w:tcPr>
            <w:tcW w:w="166" w:type="dxa"/>
            <w:tcBorders>
              <w:top w:val="nil"/>
              <w:left w:val="nil"/>
              <w:bottom w:val="single" w:sz="4" w:space="0" w:color="auto"/>
              <w:right w:val="nil"/>
            </w:tcBorders>
            <w:tcMar>
              <w:left w:w="57" w:type="dxa"/>
              <w:right w:w="57" w:type="dxa"/>
            </w:tcMar>
          </w:tcPr>
          <w:p w14:paraId="11F43F3F" w14:textId="77777777" w:rsidR="00194ED3" w:rsidRPr="005320D9" w:rsidRDefault="00194ED3" w:rsidP="001609B6">
            <w:pPr>
              <w:rPr>
                <w:rFonts w:cstheme="minorHAnsi"/>
                <w:color w:val="000000" w:themeColor="text1"/>
                <w:sz w:val="8"/>
              </w:rPr>
            </w:pPr>
          </w:p>
        </w:tc>
        <w:tc>
          <w:tcPr>
            <w:tcW w:w="2376" w:type="dxa"/>
            <w:tcBorders>
              <w:top w:val="nil"/>
              <w:left w:val="nil"/>
              <w:bottom w:val="single" w:sz="4" w:space="0" w:color="auto"/>
              <w:right w:val="nil"/>
            </w:tcBorders>
          </w:tcPr>
          <w:p w14:paraId="622B057D" w14:textId="77777777" w:rsidR="00194ED3" w:rsidRPr="005320D9" w:rsidRDefault="00194ED3" w:rsidP="001609B6">
            <w:pPr>
              <w:rPr>
                <w:rFonts w:cstheme="minorHAnsi"/>
                <w:color w:val="000000" w:themeColor="text1"/>
                <w:sz w:val="8"/>
              </w:rPr>
            </w:pPr>
          </w:p>
        </w:tc>
        <w:tc>
          <w:tcPr>
            <w:tcW w:w="738" w:type="dxa"/>
            <w:tcBorders>
              <w:top w:val="nil"/>
              <w:left w:val="nil"/>
              <w:bottom w:val="single" w:sz="4" w:space="0" w:color="auto"/>
              <w:right w:val="nil"/>
            </w:tcBorders>
          </w:tcPr>
          <w:p w14:paraId="277E6FB1" w14:textId="77777777" w:rsidR="00194ED3" w:rsidRPr="005320D9" w:rsidRDefault="00194ED3" w:rsidP="001609B6">
            <w:pPr>
              <w:jc w:val="center"/>
              <w:rPr>
                <w:rFonts w:cstheme="minorHAnsi"/>
                <w:b/>
                <w:sz w:val="8"/>
                <w:lang w:val="en-GB"/>
              </w:rPr>
            </w:pPr>
          </w:p>
        </w:tc>
        <w:tc>
          <w:tcPr>
            <w:tcW w:w="10022" w:type="dxa"/>
            <w:tcBorders>
              <w:top w:val="nil"/>
              <w:left w:val="nil"/>
              <w:bottom w:val="single" w:sz="4" w:space="0" w:color="auto"/>
              <w:right w:val="nil"/>
            </w:tcBorders>
          </w:tcPr>
          <w:p w14:paraId="388FA6A1" w14:textId="77777777" w:rsidR="00194ED3" w:rsidRPr="005320D9" w:rsidRDefault="00194ED3" w:rsidP="001609B6">
            <w:pPr>
              <w:rPr>
                <w:rFonts w:cstheme="minorHAnsi"/>
                <w:color w:val="000000" w:themeColor="text1"/>
                <w:sz w:val="8"/>
              </w:rPr>
            </w:pPr>
          </w:p>
        </w:tc>
        <w:tc>
          <w:tcPr>
            <w:tcW w:w="2329" w:type="dxa"/>
            <w:tcBorders>
              <w:top w:val="nil"/>
              <w:left w:val="nil"/>
              <w:bottom w:val="single" w:sz="4" w:space="0" w:color="auto"/>
              <w:right w:val="nil"/>
            </w:tcBorders>
          </w:tcPr>
          <w:p w14:paraId="79F83358" w14:textId="77777777" w:rsidR="00194ED3" w:rsidRPr="005320D9" w:rsidRDefault="00194ED3" w:rsidP="001609B6">
            <w:pPr>
              <w:rPr>
                <w:rFonts w:cstheme="minorHAnsi"/>
                <w:color w:val="000000" w:themeColor="text1"/>
                <w:sz w:val="8"/>
              </w:rPr>
            </w:pPr>
          </w:p>
        </w:tc>
      </w:tr>
    </w:tbl>
    <w:p w14:paraId="64D38997" w14:textId="77777777" w:rsidR="00DC74F7" w:rsidRPr="008840A6" w:rsidRDefault="00DC74F7" w:rsidP="003C1875">
      <w:pPr>
        <w:spacing w:line="480" w:lineRule="auto"/>
        <w:jc w:val="both"/>
        <w:rPr>
          <w:rFonts w:ascii="Arial" w:hAnsi="Arial" w:cs="Arial"/>
        </w:rPr>
      </w:pPr>
    </w:p>
    <w:p w14:paraId="22524C36" w14:textId="77777777" w:rsidR="003C1875" w:rsidRPr="008840A6" w:rsidRDefault="003C1875" w:rsidP="003C1875">
      <w:pPr>
        <w:spacing w:line="480" w:lineRule="auto"/>
        <w:jc w:val="both"/>
        <w:rPr>
          <w:rFonts w:ascii="Arial" w:hAnsi="Arial" w:cs="Arial"/>
        </w:rPr>
      </w:pPr>
    </w:p>
    <w:p w14:paraId="4A426BBD" w14:textId="77777777" w:rsidR="003C1875" w:rsidRPr="008840A6" w:rsidRDefault="003C1875" w:rsidP="003C1875">
      <w:pPr>
        <w:spacing w:line="480" w:lineRule="auto"/>
        <w:jc w:val="both"/>
        <w:rPr>
          <w:rFonts w:ascii="Arial" w:hAnsi="Arial" w:cs="Arial"/>
        </w:rPr>
      </w:pPr>
    </w:p>
    <w:p w14:paraId="712C0D5F" w14:textId="77777777" w:rsidR="003C1875" w:rsidRPr="008840A6" w:rsidRDefault="003C1875" w:rsidP="003C1875">
      <w:pPr>
        <w:spacing w:line="480" w:lineRule="auto"/>
        <w:jc w:val="both"/>
        <w:rPr>
          <w:rFonts w:ascii="Arial" w:hAnsi="Arial" w:cs="Arial"/>
        </w:rPr>
      </w:pPr>
    </w:p>
    <w:p w14:paraId="079FC2FB" w14:textId="77777777" w:rsidR="008B38FD" w:rsidRPr="008840A6" w:rsidRDefault="003C1875" w:rsidP="00550347">
      <w:pPr>
        <w:spacing w:line="480" w:lineRule="auto"/>
        <w:jc w:val="both"/>
        <w:rPr>
          <w:rFonts w:ascii="Arial" w:hAnsi="Arial" w:cs="Arial"/>
        </w:rPr>
      </w:pPr>
      <w:r w:rsidRPr="008840A6">
        <w:rPr>
          <w:rFonts w:ascii="Arial" w:hAnsi="Arial" w:cs="Arial"/>
        </w:rPr>
        <w:t xml:space="preserve"> </w:t>
      </w:r>
    </w:p>
    <w:sectPr w:rsidR="008B38FD" w:rsidRPr="008840A6" w:rsidSect="00F76CF3">
      <w:headerReference w:type="even" r:id="rId9"/>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7EE74" w14:textId="77777777" w:rsidR="009E4EC3" w:rsidRDefault="009E4EC3" w:rsidP="007C2C56">
      <w:pPr>
        <w:spacing w:after="0" w:line="240" w:lineRule="auto"/>
      </w:pPr>
      <w:r>
        <w:separator/>
      </w:r>
    </w:p>
  </w:endnote>
  <w:endnote w:type="continuationSeparator" w:id="0">
    <w:p w14:paraId="200B47A5" w14:textId="77777777" w:rsidR="009E4EC3" w:rsidRDefault="009E4EC3" w:rsidP="007C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vP403A40">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58BDA" w14:textId="77777777" w:rsidR="009E4EC3" w:rsidRDefault="009E4EC3" w:rsidP="007C2C56">
      <w:pPr>
        <w:spacing w:after="0" w:line="240" w:lineRule="auto"/>
      </w:pPr>
      <w:r>
        <w:separator/>
      </w:r>
    </w:p>
  </w:footnote>
  <w:footnote w:type="continuationSeparator" w:id="0">
    <w:p w14:paraId="0B6A64E5" w14:textId="77777777" w:rsidR="009E4EC3" w:rsidRDefault="009E4EC3" w:rsidP="007C2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74636" w14:textId="77777777" w:rsidR="00580A6B" w:rsidRDefault="00580A6B" w:rsidP="00BC4A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BD569E" w14:textId="77777777" w:rsidR="00580A6B" w:rsidRDefault="00580A6B" w:rsidP="007C2C5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11A5" w14:textId="77777777" w:rsidR="00580A6B" w:rsidRDefault="00580A6B" w:rsidP="00BC4A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5F81">
      <w:rPr>
        <w:rStyle w:val="PageNumber"/>
        <w:noProof/>
      </w:rPr>
      <w:t>19</w:t>
    </w:r>
    <w:r>
      <w:rPr>
        <w:rStyle w:val="PageNumber"/>
      </w:rPr>
      <w:fldChar w:fldCharType="end"/>
    </w:r>
  </w:p>
  <w:p w14:paraId="6DB588F5" w14:textId="77777777" w:rsidR="00580A6B" w:rsidRDefault="00580A6B" w:rsidP="007C2C5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2.25pt;height:8.25pt" o:bullet="t">
        <v:imagedata r:id="rId1" o:title="li-arrow"/>
      </v:shape>
    </w:pict>
  </w:numPicBullet>
  <w:numPicBullet w:numPicBulletId="3">
    <w:pict>
      <v:shape id="_x0000_i1037" type="#_x0000_t75" style="width:3in;height:3in" o:bullet="t"/>
    </w:pict>
  </w:numPicBullet>
  <w:abstractNum w:abstractNumId="0" w15:restartNumberingAfterBreak="0">
    <w:nsid w:val="03A7407E"/>
    <w:multiLevelType w:val="hybridMultilevel"/>
    <w:tmpl w:val="79286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41C1D"/>
    <w:multiLevelType w:val="hybridMultilevel"/>
    <w:tmpl w:val="14FC5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90481"/>
    <w:multiLevelType w:val="hybridMultilevel"/>
    <w:tmpl w:val="B9B29728"/>
    <w:lvl w:ilvl="0" w:tplc="0C767EA4">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215138"/>
    <w:multiLevelType w:val="multilevel"/>
    <w:tmpl w:val="4F80372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46796"/>
    <w:multiLevelType w:val="multilevel"/>
    <w:tmpl w:val="67361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E0190B"/>
    <w:multiLevelType w:val="multilevel"/>
    <w:tmpl w:val="EDA8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FF4454"/>
    <w:multiLevelType w:val="multilevel"/>
    <w:tmpl w:val="062C498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57C50"/>
    <w:multiLevelType w:val="multilevel"/>
    <w:tmpl w:val="B0E6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D44CA5"/>
    <w:multiLevelType w:val="multilevel"/>
    <w:tmpl w:val="54B2A69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2vwttw5ravpafefz9mvxszz2p2tesfftdft&quot;&gt;My VOC EndNote Library&lt;record-ids&gt;&lt;item&gt;2&lt;/item&gt;&lt;item&gt;63&lt;/item&gt;&lt;item&gt;122&lt;/item&gt;&lt;item&gt;123&lt;/item&gt;&lt;item&gt;124&lt;/item&gt;&lt;item&gt;125&lt;/item&gt;&lt;item&gt;126&lt;/item&gt;&lt;item&gt;127&lt;/item&gt;&lt;item&gt;128&lt;/item&gt;&lt;item&gt;129&lt;/item&gt;&lt;item&gt;130&lt;/item&gt;&lt;item&gt;131&lt;/item&gt;&lt;item&gt;132&lt;/item&gt;&lt;item&gt;133&lt;/item&gt;&lt;item&gt;134&lt;/item&gt;&lt;item&gt;135&lt;/item&gt;&lt;/record-ids&gt;&lt;/item&gt;&lt;item db-id=&quot;2vd09fxthdwpxbeserrvztshe2ar0wf9a5wz&quot;&gt;5ASAsteroid&lt;record-ids&gt;&lt;item&gt;27&lt;/item&gt;&lt;/record-ids&gt;&lt;/item&gt;&lt;/Libraries&gt;"/>
  </w:docVars>
  <w:rsids>
    <w:rsidRoot w:val="00D42D95"/>
    <w:rsid w:val="000143AA"/>
    <w:rsid w:val="00015668"/>
    <w:rsid w:val="00016745"/>
    <w:rsid w:val="0002113B"/>
    <w:rsid w:val="00022303"/>
    <w:rsid w:val="0002396A"/>
    <w:rsid w:val="00024AB2"/>
    <w:rsid w:val="00026926"/>
    <w:rsid w:val="000303F5"/>
    <w:rsid w:val="000311A6"/>
    <w:rsid w:val="00036DAB"/>
    <w:rsid w:val="00040B50"/>
    <w:rsid w:val="000456C1"/>
    <w:rsid w:val="00046DD4"/>
    <w:rsid w:val="0005368B"/>
    <w:rsid w:val="00053D1C"/>
    <w:rsid w:val="000572A4"/>
    <w:rsid w:val="00063A84"/>
    <w:rsid w:val="000673FF"/>
    <w:rsid w:val="000729CB"/>
    <w:rsid w:val="00094678"/>
    <w:rsid w:val="00094EA8"/>
    <w:rsid w:val="00094EB6"/>
    <w:rsid w:val="000A05B4"/>
    <w:rsid w:val="000A1B25"/>
    <w:rsid w:val="000A1E98"/>
    <w:rsid w:val="000A2406"/>
    <w:rsid w:val="000A27F6"/>
    <w:rsid w:val="000A2A22"/>
    <w:rsid w:val="000A5A2A"/>
    <w:rsid w:val="000A747C"/>
    <w:rsid w:val="000B2B53"/>
    <w:rsid w:val="000B3A13"/>
    <w:rsid w:val="000B3BD3"/>
    <w:rsid w:val="000C4EE8"/>
    <w:rsid w:val="000D12E1"/>
    <w:rsid w:val="000D6D99"/>
    <w:rsid w:val="000D7F31"/>
    <w:rsid w:val="000E1750"/>
    <w:rsid w:val="000E26AD"/>
    <w:rsid w:val="000E5209"/>
    <w:rsid w:val="000E7A4F"/>
    <w:rsid w:val="000F17A7"/>
    <w:rsid w:val="000F4163"/>
    <w:rsid w:val="001024E9"/>
    <w:rsid w:val="001054D4"/>
    <w:rsid w:val="0010726B"/>
    <w:rsid w:val="00111CBD"/>
    <w:rsid w:val="00115630"/>
    <w:rsid w:val="00115D28"/>
    <w:rsid w:val="00120697"/>
    <w:rsid w:val="001214BF"/>
    <w:rsid w:val="0013029E"/>
    <w:rsid w:val="001315A7"/>
    <w:rsid w:val="00133614"/>
    <w:rsid w:val="00134022"/>
    <w:rsid w:val="00134683"/>
    <w:rsid w:val="0013597C"/>
    <w:rsid w:val="00144B39"/>
    <w:rsid w:val="00144BB6"/>
    <w:rsid w:val="001609B6"/>
    <w:rsid w:val="0018511C"/>
    <w:rsid w:val="00187A0E"/>
    <w:rsid w:val="00194ED3"/>
    <w:rsid w:val="0019686A"/>
    <w:rsid w:val="001A3F0D"/>
    <w:rsid w:val="001A6F0B"/>
    <w:rsid w:val="001A71C6"/>
    <w:rsid w:val="001B0E8B"/>
    <w:rsid w:val="001B1394"/>
    <w:rsid w:val="001B29E9"/>
    <w:rsid w:val="001B5EA7"/>
    <w:rsid w:val="001C06E0"/>
    <w:rsid w:val="001C0A59"/>
    <w:rsid w:val="001C0A94"/>
    <w:rsid w:val="001C13D5"/>
    <w:rsid w:val="001C3387"/>
    <w:rsid w:val="001D0A3B"/>
    <w:rsid w:val="001D2AB5"/>
    <w:rsid w:val="001D2C52"/>
    <w:rsid w:val="001D4051"/>
    <w:rsid w:val="001D5A5C"/>
    <w:rsid w:val="001D5FE0"/>
    <w:rsid w:val="001D690F"/>
    <w:rsid w:val="001E1FA0"/>
    <w:rsid w:val="001E6DF0"/>
    <w:rsid w:val="001F0CBC"/>
    <w:rsid w:val="001F5597"/>
    <w:rsid w:val="00201FC2"/>
    <w:rsid w:val="0020322F"/>
    <w:rsid w:val="00203465"/>
    <w:rsid w:val="00203A12"/>
    <w:rsid w:val="00205F34"/>
    <w:rsid w:val="002161A1"/>
    <w:rsid w:val="0021620C"/>
    <w:rsid w:val="00227336"/>
    <w:rsid w:val="002308E1"/>
    <w:rsid w:val="00241F5E"/>
    <w:rsid w:val="00244E09"/>
    <w:rsid w:val="00252B58"/>
    <w:rsid w:val="00262372"/>
    <w:rsid w:val="00275D4D"/>
    <w:rsid w:val="00284B26"/>
    <w:rsid w:val="00285EE7"/>
    <w:rsid w:val="00290972"/>
    <w:rsid w:val="002941B5"/>
    <w:rsid w:val="00296D5E"/>
    <w:rsid w:val="00297405"/>
    <w:rsid w:val="0029752B"/>
    <w:rsid w:val="002979F9"/>
    <w:rsid w:val="00297EB9"/>
    <w:rsid w:val="00297FD1"/>
    <w:rsid w:val="002A0FF7"/>
    <w:rsid w:val="002A40DF"/>
    <w:rsid w:val="002B285C"/>
    <w:rsid w:val="002B317E"/>
    <w:rsid w:val="002B709A"/>
    <w:rsid w:val="002B795F"/>
    <w:rsid w:val="002B7AD4"/>
    <w:rsid w:val="002C1301"/>
    <w:rsid w:val="002C76CD"/>
    <w:rsid w:val="002D5DD8"/>
    <w:rsid w:val="002E0697"/>
    <w:rsid w:val="002E2577"/>
    <w:rsid w:val="002E58DE"/>
    <w:rsid w:val="002F030A"/>
    <w:rsid w:val="002F5A18"/>
    <w:rsid w:val="002F7324"/>
    <w:rsid w:val="00300C4B"/>
    <w:rsid w:val="00301B0B"/>
    <w:rsid w:val="0030241F"/>
    <w:rsid w:val="00302C62"/>
    <w:rsid w:val="003075A1"/>
    <w:rsid w:val="003143DC"/>
    <w:rsid w:val="00315657"/>
    <w:rsid w:val="00332E35"/>
    <w:rsid w:val="00335066"/>
    <w:rsid w:val="003377F3"/>
    <w:rsid w:val="00340B01"/>
    <w:rsid w:val="00343785"/>
    <w:rsid w:val="0034768F"/>
    <w:rsid w:val="003522A5"/>
    <w:rsid w:val="00354B5F"/>
    <w:rsid w:val="003632A2"/>
    <w:rsid w:val="003667CF"/>
    <w:rsid w:val="00374851"/>
    <w:rsid w:val="00375433"/>
    <w:rsid w:val="00382F2C"/>
    <w:rsid w:val="00382F74"/>
    <w:rsid w:val="00384515"/>
    <w:rsid w:val="00390106"/>
    <w:rsid w:val="00390D41"/>
    <w:rsid w:val="003963CF"/>
    <w:rsid w:val="003A03BA"/>
    <w:rsid w:val="003A320C"/>
    <w:rsid w:val="003B2946"/>
    <w:rsid w:val="003B4CB6"/>
    <w:rsid w:val="003C1875"/>
    <w:rsid w:val="003C7C69"/>
    <w:rsid w:val="003D18B7"/>
    <w:rsid w:val="003D6B5D"/>
    <w:rsid w:val="003E028F"/>
    <w:rsid w:val="003E18E2"/>
    <w:rsid w:val="003F23DA"/>
    <w:rsid w:val="003F265C"/>
    <w:rsid w:val="003F588E"/>
    <w:rsid w:val="00407FE3"/>
    <w:rsid w:val="004142D4"/>
    <w:rsid w:val="00414EB0"/>
    <w:rsid w:val="00424420"/>
    <w:rsid w:val="004406CE"/>
    <w:rsid w:val="00444AA6"/>
    <w:rsid w:val="004461F5"/>
    <w:rsid w:val="00447969"/>
    <w:rsid w:val="00456CC2"/>
    <w:rsid w:val="0047504E"/>
    <w:rsid w:val="0048036B"/>
    <w:rsid w:val="00483103"/>
    <w:rsid w:val="004907A9"/>
    <w:rsid w:val="004928D7"/>
    <w:rsid w:val="00493388"/>
    <w:rsid w:val="00496267"/>
    <w:rsid w:val="004A169F"/>
    <w:rsid w:val="004B497B"/>
    <w:rsid w:val="004C4552"/>
    <w:rsid w:val="004C68DB"/>
    <w:rsid w:val="004D0EA7"/>
    <w:rsid w:val="004D54CD"/>
    <w:rsid w:val="004E3A1E"/>
    <w:rsid w:val="004E6630"/>
    <w:rsid w:val="004E7839"/>
    <w:rsid w:val="004F10B5"/>
    <w:rsid w:val="004F19FC"/>
    <w:rsid w:val="004F1F77"/>
    <w:rsid w:val="004F1FFE"/>
    <w:rsid w:val="004F2047"/>
    <w:rsid w:val="004F26DB"/>
    <w:rsid w:val="004F2EAC"/>
    <w:rsid w:val="004F6A77"/>
    <w:rsid w:val="00503679"/>
    <w:rsid w:val="005105AA"/>
    <w:rsid w:val="005231D5"/>
    <w:rsid w:val="00526795"/>
    <w:rsid w:val="00527779"/>
    <w:rsid w:val="00533ECC"/>
    <w:rsid w:val="0053611A"/>
    <w:rsid w:val="00546726"/>
    <w:rsid w:val="005468AF"/>
    <w:rsid w:val="00550347"/>
    <w:rsid w:val="00552C5A"/>
    <w:rsid w:val="00555489"/>
    <w:rsid w:val="00562061"/>
    <w:rsid w:val="00563240"/>
    <w:rsid w:val="0056428E"/>
    <w:rsid w:val="005665F3"/>
    <w:rsid w:val="005748AB"/>
    <w:rsid w:val="00577384"/>
    <w:rsid w:val="00580A6B"/>
    <w:rsid w:val="00582ABF"/>
    <w:rsid w:val="0058623B"/>
    <w:rsid w:val="005901EB"/>
    <w:rsid w:val="0059062F"/>
    <w:rsid w:val="00590C60"/>
    <w:rsid w:val="00592526"/>
    <w:rsid w:val="005931CC"/>
    <w:rsid w:val="005A2107"/>
    <w:rsid w:val="005A4C88"/>
    <w:rsid w:val="005B09D0"/>
    <w:rsid w:val="005B0B0C"/>
    <w:rsid w:val="005C13C5"/>
    <w:rsid w:val="005C458E"/>
    <w:rsid w:val="005C5B27"/>
    <w:rsid w:val="005D5F93"/>
    <w:rsid w:val="005E2E30"/>
    <w:rsid w:val="005E4B9A"/>
    <w:rsid w:val="005E76AD"/>
    <w:rsid w:val="005F4F57"/>
    <w:rsid w:val="00600AE7"/>
    <w:rsid w:val="00600DF9"/>
    <w:rsid w:val="00603717"/>
    <w:rsid w:val="00604C22"/>
    <w:rsid w:val="00605BF6"/>
    <w:rsid w:val="006110A2"/>
    <w:rsid w:val="00616940"/>
    <w:rsid w:val="00622869"/>
    <w:rsid w:val="00622B59"/>
    <w:rsid w:val="00622E5F"/>
    <w:rsid w:val="006263A8"/>
    <w:rsid w:val="00626D46"/>
    <w:rsid w:val="00633DF6"/>
    <w:rsid w:val="00635EAB"/>
    <w:rsid w:val="006365E9"/>
    <w:rsid w:val="00637318"/>
    <w:rsid w:val="00641C56"/>
    <w:rsid w:val="00646132"/>
    <w:rsid w:val="00663803"/>
    <w:rsid w:val="006644C3"/>
    <w:rsid w:val="00673230"/>
    <w:rsid w:val="0067640E"/>
    <w:rsid w:val="00682C3B"/>
    <w:rsid w:val="00696615"/>
    <w:rsid w:val="00696978"/>
    <w:rsid w:val="006A3059"/>
    <w:rsid w:val="006A3D47"/>
    <w:rsid w:val="006A7B14"/>
    <w:rsid w:val="006B4CB3"/>
    <w:rsid w:val="006C0957"/>
    <w:rsid w:val="006D2496"/>
    <w:rsid w:val="006E0E91"/>
    <w:rsid w:val="006F0A55"/>
    <w:rsid w:val="0070227B"/>
    <w:rsid w:val="00703075"/>
    <w:rsid w:val="00703B4F"/>
    <w:rsid w:val="007100B9"/>
    <w:rsid w:val="00711F46"/>
    <w:rsid w:val="007171B7"/>
    <w:rsid w:val="00727395"/>
    <w:rsid w:val="0073000F"/>
    <w:rsid w:val="0073486C"/>
    <w:rsid w:val="00734CDB"/>
    <w:rsid w:val="00743686"/>
    <w:rsid w:val="007451F4"/>
    <w:rsid w:val="007472DF"/>
    <w:rsid w:val="0075287E"/>
    <w:rsid w:val="007540B4"/>
    <w:rsid w:val="007544B4"/>
    <w:rsid w:val="00755CEF"/>
    <w:rsid w:val="00757EBE"/>
    <w:rsid w:val="0076016E"/>
    <w:rsid w:val="00770502"/>
    <w:rsid w:val="00771B8E"/>
    <w:rsid w:val="00785F81"/>
    <w:rsid w:val="00786CF6"/>
    <w:rsid w:val="007924D8"/>
    <w:rsid w:val="007A4915"/>
    <w:rsid w:val="007A78A3"/>
    <w:rsid w:val="007C2C56"/>
    <w:rsid w:val="007C5B1B"/>
    <w:rsid w:val="007C649B"/>
    <w:rsid w:val="007D4CE5"/>
    <w:rsid w:val="007D7C31"/>
    <w:rsid w:val="007E1F8A"/>
    <w:rsid w:val="007E3ABA"/>
    <w:rsid w:val="007F013C"/>
    <w:rsid w:val="007F27A2"/>
    <w:rsid w:val="007F7753"/>
    <w:rsid w:val="00805112"/>
    <w:rsid w:val="00807C42"/>
    <w:rsid w:val="0081425D"/>
    <w:rsid w:val="00814C5B"/>
    <w:rsid w:val="00825CA6"/>
    <w:rsid w:val="00827C90"/>
    <w:rsid w:val="00832764"/>
    <w:rsid w:val="008359BD"/>
    <w:rsid w:val="00845B32"/>
    <w:rsid w:val="00851810"/>
    <w:rsid w:val="00853CD8"/>
    <w:rsid w:val="0085416E"/>
    <w:rsid w:val="008549E5"/>
    <w:rsid w:val="008550E2"/>
    <w:rsid w:val="00860A95"/>
    <w:rsid w:val="00862870"/>
    <w:rsid w:val="00864B2E"/>
    <w:rsid w:val="00877CA4"/>
    <w:rsid w:val="008838F8"/>
    <w:rsid w:val="008840A6"/>
    <w:rsid w:val="00885C65"/>
    <w:rsid w:val="008911E4"/>
    <w:rsid w:val="00893B88"/>
    <w:rsid w:val="00897DAA"/>
    <w:rsid w:val="008A326D"/>
    <w:rsid w:val="008B2244"/>
    <w:rsid w:val="008B38FD"/>
    <w:rsid w:val="008B520E"/>
    <w:rsid w:val="008B588A"/>
    <w:rsid w:val="008B6367"/>
    <w:rsid w:val="008C054C"/>
    <w:rsid w:val="008C2923"/>
    <w:rsid w:val="008C3919"/>
    <w:rsid w:val="008C6997"/>
    <w:rsid w:val="008C739C"/>
    <w:rsid w:val="008D4014"/>
    <w:rsid w:val="008E153A"/>
    <w:rsid w:val="008E4F58"/>
    <w:rsid w:val="008E6B46"/>
    <w:rsid w:val="008E6DF0"/>
    <w:rsid w:val="008F6957"/>
    <w:rsid w:val="008F7A43"/>
    <w:rsid w:val="00900694"/>
    <w:rsid w:val="00910339"/>
    <w:rsid w:val="00910E38"/>
    <w:rsid w:val="00912ACE"/>
    <w:rsid w:val="0091722E"/>
    <w:rsid w:val="00925D24"/>
    <w:rsid w:val="009305F1"/>
    <w:rsid w:val="009411F5"/>
    <w:rsid w:val="009436D9"/>
    <w:rsid w:val="00945D21"/>
    <w:rsid w:val="00951964"/>
    <w:rsid w:val="009544FA"/>
    <w:rsid w:val="00954CDF"/>
    <w:rsid w:val="00956246"/>
    <w:rsid w:val="00957039"/>
    <w:rsid w:val="00964A5D"/>
    <w:rsid w:val="00965090"/>
    <w:rsid w:val="00965916"/>
    <w:rsid w:val="00967C05"/>
    <w:rsid w:val="00973271"/>
    <w:rsid w:val="0097431A"/>
    <w:rsid w:val="0097748B"/>
    <w:rsid w:val="009859DB"/>
    <w:rsid w:val="009A2087"/>
    <w:rsid w:val="009B6DCC"/>
    <w:rsid w:val="009B6E70"/>
    <w:rsid w:val="009C1039"/>
    <w:rsid w:val="009C7EB5"/>
    <w:rsid w:val="009D127E"/>
    <w:rsid w:val="009D2957"/>
    <w:rsid w:val="009D3922"/>
    <w:rsid w:val="009D5916"/>
    <w:rsid w:val="009E1C2C"/>
    <w:rsid w:val="009E2A02"/>
    <w:rsid w:val="009E4EC3"/>
    <w:rsid w:val="009F5C5A"/>
    <w:rsid w:val="009F7273"/>
    <w:rsid w:val="00A03AF0"/>
    <w:rsid w:val="00A23605"/>
    <w:rsid w:val="00A30D6A"/>
    <w:rsid w:val="00A33623"/>
    <w:rsid w:val="00A33A77"/>
    <w:rsid w:val="00A44835"/>
    <w:rsid w:val="00A45480"/>
    <w:rsid w:val="00A47218"/>
    <w:rsid w:val="00A51606"/>
    <w:rsid w:val="00A51647"/>
    <w:rsid w:val="00A51D25"/>
    <w:rsid w:val="00A54A89"/>
    <w:rsid w:val="00A62B3D"/>
    <w:rsid w:val="00A64EC3"/>
    <w:rsid w:val="00A75CBD"/>
    <w:rsid w:val="00A840BF"/>
    <w:rsid w:val="00A8427C"/>
    <w:rsid w:val="00A85391"/>
    <w:rsid w:val="00A875F9"/>
    <w:rsid w:val="00AA40CF"/>
    <w:rsid w:val="00AB3E04"/>
    <w:rsid w:val="00AB62E4"/>
    <w:rsid w:val="00AD158B"/>
    <w:rsid w:val="00AE44EE"/>
    <w:rsid w:val="00AF47FD"/>
    <w:rsid w:val="00B01CBC"/>
    <w:rsid w:val="00B02888"/>
    <w:rsid w:val="00B02CFB"/>
    <w:rsid w:val="00B13766"/>
    <w:rsid w:val="00B17E8D"/>
    <w:rsid w:val="00B210D3"/>
    <w:rsid w:val="00B21D47"/>
    <w:rsid w:val="00B21F64"/>
    <w:rsid w:val="00B23221"/>
    <w:rsid w:val="00B24AD6"/>
    <w:rsid w:val="00B25934"/>
    <w:rsid w:val="00B26FBA"/>
    <w:rsid w:val="00B30264"/>
    <w:rsid w:val="00B30A29"/>
    <w:rsid w:val="00B52278"/>
    <w:rsid w:val="00B5290B"/>
    <w:rsid w:val="00B617E4"/>
    <w:rsid w:val="00B64474"/>
    <w:rsid w:val="00B6581D"/>
    <w:rsid w:val="00B66E8D"/>
    <w:rsid w:val="00B701A2"/>
    <w:rsid w:val="00B7190E"/>
    <w:rsid w:val="00B720BF"/>
    <w:rsid w:val="00B73920"/>
    <w:rsid w:val="00B81258"/>
    <w:rsid w:val="00B83CAC"/>
    <w:rsid w:val="00B93F03"/>
    <w:rsid w:val="00B97DB4"/>
    <w:rsid w:val="00BA08D5"/>
    <w:rsid w:val="00BA138F"/>
    <w:rsid w:val="00BA3E23"/>
    <w:rsid w:val="00BB07FE"/>
    <w:rsid w:val="00BB70EF"/>
    <w:rsid w:val="00BC4A41"/>
    <w:rsid w:val="00BC694F"/>
    <w:rsid w:val="00BD26EE"/>
    <w:rsid w:val="00BD3EF7"/>
    <w:rsid w:val="00BE1033"/>
    <w:rsid w:val="00BE1C4F"/>
    <w:rsid w:val="00C009DE"/>
    <w:rsid w:val="00C051A6"/>
    <w:rsid w:val="00C214BD"/>
    <w:rsid w:val="00C22E77"/>
    <w:rsid w:val="00C24714"/>
    <w:rsid w:val="00C25937"/>
    <w:rsid w:val="00C26E61"/>
    <w:rsid w:val="00C31F16"/>
    <w:rsid w:val="00C36F26"/>
    <w:rsid w:val="00C503C0"/>
    <w:rsid w:val="00C52AE4"/>
    <w:rsid w:val="00C541D3"/>
    <w:rsid w:val="00C54A55"/>
    <w:rsid w:val="00C55EE0"/>
    <w:rsid w:val="00C56DDB"/>
    <w:rsid w:val="00C62C0D"/>
    <w:rsid w:val="00C65A45"/>
    <w:rsid w:val="00C74A74"/>
    <w:rsid w:val="00C8119C"/>
    <w:rsid w:val="00C866A4"/>
    <w:rsid w:val="00CA1A11"/>
    <w:rsid w:val="00CA2FA5"/>
    <w:rsid w:val="00CA5539"/>
    <w:rsid w:val="00CA633D"/>
    <w:rsid w:val="00CA7557"/>
    <w:rsid w:val="00CB2ACA"/>
    <w:rsid w:val="00CB6A4E"/>
    <w:rsid w:val="00CC0E63"/>
    <w:rsid w:val="00CC34FD"/>
    <w:rsid w:val="00CC588C"/>
    <w:rsid w:val="00CD013F"/>
    <w:rsid w:val="00CD04B2"/>
    <w:rsid w:val="00CE3DE8"/>
    <w:rsid w:val="00CF048C"/>
    <w:rsid w:val="00CF45AB"/>
    <w:rsid w:val="00CF4BC1"/>
    <w:rsid w:val="00D11710"/>
    <w:rsid w:val="00D20AA0"/>
    <w:rsid w:val="00D2466E"/>
    <w:rsid w:val="00D27B27"/>
    <w:rsid w:val="00D4127E"/>
    <w:rsid w:val="00D4224F"/>
    <w:rsid w:val="00D42D95"/>
    <w:rsid w:val="00D526DE"/>
    <w:rsid w:val="00D5445B"/>
    <w:rsid w:val="00D54FB5"/>
    <w:rsid w:val="00D567AB"/>
    <w:rsid w:val="00D6241F"/>
    <w:rsid w:val="00D6429B"/>
    <w:rsid w:val="00D67F1B"/>
    <w:rsid w:val="00D74AC0"/>
    <w:rsid w:val="00D753D6"/>
    <w:rsid w:val="00D75EE0"/>
    <w:rsid w:val="00D9138A"/>
    <w:rsid w:val="00D9691A"/>
    <w:rsid w:val="00DA6E1A"/>
    <w:rsid w:val="00DB3F5D"/>
    <w:rsid w:val="00DB6B45"/>
    <w:rsid w:val="00DC0FD3"/>
    <w:rsid w:val="00DC21FE"/>
    <w:rsid w:val="00DC3E22"/>
    <w:rsid w:val="00DC74F7"/>
    <w:rsid w:val="00DC79A2"/>
    <w:rsid w:val="00DD14F2"/>
    <w:rsid w:val="00DD30C7"/>
    <w:rsid w:val="00DD3BE1"/>
    <w:rsid w:val="00DD3EF6"/>
    <w:rsid w:val="00DD7D2C"/>
    <w:rsid w:val="00DE1814"/>
    <w:rsid w:val="00DF00C3"/>
    <w:rsid w:val="00DF1D85"/>
    <w:rsid w:val="00DF5AAF"/>
    <w:rsid w:val="00E001B9"/>
    <w:rsid w:val="00E00316"/>
    <w:rsid w:val="00E06D82"/>
    <w:rsid w:val="00E07202"/>
    <w:rsid w:val="00E079A1"/>
    <w:rsid w:val="00E127AC"/>
    <w:rsid w:val="00E134DE"/>
    <w:rsid w:val="00E15884"/>
    <w:rsid w:val="00E16C20"/>
    <w:rsid w:val="00E26AC2"/>
    <w:rsid w:val="00E35279"/>
    <w:rsid w:val="00E40F69"/>
    <w:rsid w:val="00E45361"/>
    <w:rsid w:val="00E5086B"/>
    <w:rsid w:val="00E556F7"/>
    <w:rsid w:val="00E56D8B"/>
    <w:rsid w:val="00E609E5"/>
    <w:rsid w:val="00E707ED"/>
    <w:rsid w:val="00E76E5D"/>
    <w:rsid w:val="00E779CE"/>
    <w:rsid w:val="00E802CB"/>
    <w:rsid w:val="00E828C2"/>
    <w:rsid w:val="00E8544F"/>
    <w:rsid w:val="00E858C9"/>
    <w:rsid w:val="00E93050"/>
    <w:rsid w:val="00E97FAB"/>
    <w:rsid w:val="00EA0150"/>
    <w:rsid w:val="00EC1839"/>
    <w:rsid w:val="00EC4BD0"/>
    <w:rsid w:val="00EC6075"/>
    <w:rsid w:val="00EC6F0E"/>
    <w:rsid w:val="00EC7DF9"/>
    <w:rsid w:val="00ED2751"/>
    <w:rsid w:val="00ED5BEB"/>
    <w:rsid w:val="00ED6E96"/>
    <w:rsid w:val="00EE6F72"/>
    <w:rsid w:val="00EF15EA"/>
    <w:rsid w:val="00EF7929"/>
    <w:rsid w:val="00F0308F"/>
    <w:rsid w:val="00F126F9"/>
    <w:rsid w:val="00F14DDE"/>
    <w:rsid w:val="00F155C9"/>
    <w:rsid w:val="00F15DED"/>
    <w:rsid w:val="00F2209C"/>
    <w:rsid w:val="00F36FE3"/>
    <w:rsid w:val="00F40180"/>
    <w:rsid w:val="00F51E2C"/>
    <w:rsid w:val="00F576BB"/>
    <w:rsid w:val="00F728C2"/>
    <w:rsid w:val="00F74E42"/>
    <w:rsid w:val="00F76CF3"/>
    <w:rsid w:val="00F87B6B"/>
    <w:rsid w:val="00F92FD1"/>
    <w:rsid w:val="00FA28FF"/>
    <w:rsid w:val="00FA6C50"/>
    <w:rsid w:val="00FA7F08"/>
    <w:rsid w:val="00FB13A2"/>
    <w:rsid w:val="00FB4F4A"/>
    <w:rsid w:val="00FC0E5F"/>
    <w:rsid w:val="00FC2CEC"/>
    <w:rsid w:val="00FC43C0"/>
    <w:rsid w:val="00FC446B"/>
    <w:rsid w:val="00FD36B9"/>
    <w:rsid w:val="00FD6831"/>
    <w:rsid w:val="00FD7328"/>
    <w:rsid w:val="00FE0E9E"/>
    <w:rsid w:val="00FE177D"/>
    <w:rsid w:val="00FE75C9"/>
    <w:rsid w:val="00FF08DE"/>
    <w:rsid w:val="00FF266A"/>
    <w:rsid w:val="26D91FA2"/>
    <w:rsid w:val="2BA83AA7"/>
    <w:rsid w:val="314ED4A7"/>
    <w:rsid w:val="38F9DE13"/>
    <w:rsid w:val="5E365F4C"/>
    <w:rsid w:val="5E88182F"/>
    <w:rsid w:val="5F7E7DED"/>
    <w:rsid w:val="7B7FF74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AD1F8"/>
  <w15:docId w15:val="{BD30ABFF-F5F7-4292-98F9-0A1C6CD2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4BF"/>
    <w:pPr>
      <w:spacing w:after="200" w:line="276" w:lineRule="auto"/>
    </w:pPr>
    <w:rPr>
      <w:sz w:val="22"/>
      <w:szCs w:val="22"/>
    </w:rPr>
  </w:style>
  <w:style w:type="paragraph" w:styleId="Heading1">
    <w:name w:val="heading 1"/>
    <w:basedOn w:val="Normal"/>
    <w:link w:val="Heading1Char"/>
    <w:uiPriority w:val="99"/>
    <w:qFormat/>
    <w:rsid w:val="00EC6F0E"/>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3">
    <w:name w:val="heading 3"/>
    <w:basedOn w:val="Normal"/>
    <w:next w:val="Normal"/>
    <w:link w:val="Heading3Char"/>
    <w:uiPriority w:val="9"/>
    <w:semiHidden/>
    <w:unhideWhenUsed/>
    <w:qFormat/>
    <w:rsid w:val="006D24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6F0E"/>
    <w:rPr>
      <w:rFonts w:ascii="Times New Roman" w:hAnsi="Times New Roman" w:cs="Times New Roman"/>
      <w:b/>
      <w:bCs/>
      <w:kern w:val="36"/>
      <w:sz w:val="48"/>
      <w:lang w:eastAsia="en-GB"/>
    </w:rPr>
  </w:style>
  <w:style w:type="paragraph" w:styleId="ListParagraph">
    <w:name w:val="List Paragraph"/>
    <w:basedOn w:val="Normal"/>
    <w:uiPriority w:val="99"/>
    <w:qFormat/>
    <w:rsid w:val="00D42D95"/>
    <w:pPr>
      <w:ind w:left="720"/>
      <w:contextualSpacing/>
    </w:pPr>
  </w:style>
  <w:style w:type="paragraph" w:styleId="BalloonText">
    <w:name w:val="Balloon Text"/>
    <w:basedOn w:val="Normal"/>
    <w:link w:val="BalloonTextChar"/>
    <w:uiPriority w:val="99"/>
    <w:semiHidden/>
    <w:rsid w:val="00590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C60"/>
    <w:rPr>
      <w:rFonts w:ascii="Tahoma" w:hAnsi="Tahoma" w:cs="Tahoma"/>
      <w:sz w:val="16"/>
    </w:rPr>
  </w:style>
  <w:style w:type="paragraph" w:styleId="NormalWeb">
    <w:name w:val="Normal (Web)"/>
    <w:basedOn w:val="Normal"/>
    <w:uiPriority w:val="99"/>
    <w:rsid w:val="00AA40CF"/>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rsid w:val="006B4CB3"/>
    <w:rPr>
      <w:rFonts w:cs="Times New Roman"/>
      <w:sz w:val="16"/>
    </w:rPr>
  </w:style>
  <w:style w:type="paragraph" w:styleId="CommentText">
    <w:name w:val="annotation text"/>
    <w:basedOn w:val="Normal"/>
    <w:link w:val="CommentTextChar"/>
    <w:uiPriority w:val="99"/>
    <w:semiHidden/>
    <w:rsid w:val="006B4CB3"/>
    <w:pPr>
      <w:spacing w:line="240" w:lineRule="auto"/>
    </w:pPr>
    <w:rPr>
      <w:sz w:val="20"/>
      <w:szCs w:val="20"/>
    </w:rPr>
  </w:style>
  <w:style w:type="character" w:customStyle="1" w:styleId="CommentTextChar">
    <w:name w:val="Comment Text Char"/>
    <w:basedOn w:val="DefaultParagraphFont"/>
    <w:link w:val="CommentText"/>
    <w:uiPriority w:val="99"/>
    <w:semiHidden/>
    <w:rsid w:val="006B4CB3"/>
    <w:rPr>
      <w:rFonts w:cs="Times New Roman"/>
      <w:sz w:val="20"/>
    </w:rPr>
  </w:style>
  <w:style w:type="paragraph" w:styleId="CommentSubject">
    <w:name w:val="annotation subject"/>
    <w:basedOn w:val="CommentText"/>
    <w:next w:val="CommentText"/>
    <w:link w:val="CommentSubjectChar"/>
    <w:uiPriority w:val="99"/>
    <w:semiHidden/>
    <w:rsid w:val="006B4CB3"/>
    <w:rPr>
      <w:b/>
      <w:bCs/>
    </w:rPr>
  </w:style>
  <w:style w:type="character" w:customStyle="1" w:styleId="CommentSubjectChar">
    <w:name w:val="Comment Subject Char"/>
    <w:basedOn w:val="CommentTextChar"/>
    <w:link w:val="CommentSubject"/>
    <w:uiPriority w:val="99"/>
    <w:semiHidden/>
    <w:rsid w:val="006B4CB3"/>
    <w:rPr>
      <w:rFonts w:cs="Times New Roman"/>
      <w:b/>
      <w:bCs/>
      <w:sz w:val="20"/>
    </w:rPr>
  </w:style>
  <w:style w:type="character" w:styleId="Hyperlink">
    <w:name w:val="Hyperlink"/>
    <w:basedOn w:val="DefaultParagraphFont"/>
    <w:uiPriority w:val="99"/>
    <w:rsid w:val="006B4CB3"/>
    <w:rPr>
      <w:rFonts w:cs="Times New Roman"/>
      <w:color w:val="005A84"/>
      <w:u w:val="none"/>
      <w:effect w:val="none"/>
    </w:rPr>
  </w:style>
  <w:style w:type="character" w:customStyle="1" w:styleId="label2">
    <w:name w:val="label2"/>
    <w:basedOn w:val="DefaultParagraphFont"/>
    <w:uiPriority w:val="99"/>
    <w:rsid w:val="006B4CB3"/>
    <w:rPr>
      <w:rFonts w:cs="Times New Roman"/>
    </w:rPr>
  </w:style>
  <w:style w:type="character" w:customStyle="1" w:styleId="databold">
    <w:name w:val="data_bold"/>
    <w:basedOn w:val="DefaultParagraphFont"/>
    <w:uiPriority w:val="99"/>
    <w:rsid w:val="006B4CB3"/>
    <w:rPr>
      <w:rFonts w:cs="Times New Roman"/>
    </w:rPr>
  </w:style>
  <w:style w:type="paragraph" w:customStyle="1" w:styleId="sourcetitle">
    <w:name w:val="sourcetitle"/>
    <w:basedOn w:val="Normal"/>
    <w:uiPriority w:val="99"/>
    <w:rsid w:val="008C054C"/>
    <w:pPr>
      <w:spacing w:after="0" w:line="240" w:lineRule="auto"/>
    </w:pPr>
    <w:rPr>
      <w:rFonts w:ascii="Times New Roman" w:eastAsia="Times New Roman" w:hAnsi="Times New Roman"/>
      <w:b/>
      <w:bCs/>
      <w:sz w:val="24"/>
      <w:szCs w:val="24"/>
      <w:lang w:eastAsia="en-GB"/>
    </w:rPr>
  </w:style>
  <w:style w:type="paragraph" w:customStyle="1" w:styleId="frfield">
    <w:name w:val="fr_field"/>
    <w:basedOn w:val="Normal"/>
    <w:uiPriority w:val="99"/>
    <w:rsid w:val="008C054C"/>
    <w:pPr>
      <w:spacing w:after="30" w:line="330" w:lineRule="atLeast"/>
    </w:pPr>
    <w:rPr>
      <w:rFonts w:ascii="Times New Roman" w:eastAsia="Times New Roman" w:hAnsi="Times New Roman"/>
      <w:sz w:val="24"/>
      <w:szCs w:val="24"/>
      <w:lang w:eastAsia="en-GB"/>
    </w:rPr>
  </w:style>
  <w:style w:type="character" w:customStyle="1" w:styleId="frlabel1">
    <w:name w:val="fr_label1"/>
    <w:basedOn w:val="DefaultParagraphFont"/>
    <w:uiPriority w:val="99"/>
    <w:rsid w:val="008C054C"/>
    <w:rPr>
      <w:rFonts w:cs="Times New Roman"/>
      <w:b/>
      <w:bCs/>
    </w:rPr>
  </w:style>
  <w:style w:type="paragraph" w:customStyle="1" w:styleId="EndNoteBibliographyTitle">
    <w:name w:val="EndNote Bibliography Title"/>
    <w:basedOn w:val="Normal"/>
    <w:uiPriority w:val="99"/>
    <w:rsid w:val="00D20AA0"/>
    <w:pPr>
      <w:spacing w:after="0"/>
      <w:jc w:val="center"/>
    </w:pPr>
    <w:rPr>
      <w:noProof/>
      <w:lang w:val="en-US"/>
    </w:rPr>
  </w:style>
  <w:style w:type="character" w:customStyle="1" w:styleId="ListParagraphChar">
    <w:name w:val="List Paragraph Char"/>
    <w:basedOn w:val="DefaultParagraphFont"/>
    <w:uiPriority w:val="99"/>
    <w:rsid w:val="00D20AA0"/>
    <w:rPr>
      <w:rFonts w:cs="Times New Roman"/>
    </w:rPr>
  </w:style>
  <w:style w:type="character" w:customStyle="1" w:styleId="EndNoteBibliographyTitleChar">
    <w:name w:val="EndNote Bibliography Title Char"/>
    <w:basedOn w:val="ListParagraphChar"/>
    <w:uiPriority w:val="99"/>
    <w:rsid w:val="00D20AA0"/>
    <w:rPr>
      <w:rFonts w:ascii="Calibri" w:hAnsi="Calibri" w:cs="Times New Roman"/>
      <w:noProof/>
      <w:lang w:val="en-US"/>
    </w:rPr>
  </w:style>
  <w:style w:type="paragraph" w:customStyle="1" w:styleId="EndNoteBibliography">
    <w:name w:val="EndNote Bibliography"/>
    <w:basedOn w:val="Normal"/>
    <w:uiPriority w:val="99"/>
    <w:rsid w:val="00D20AA0"/>
    <w:pPr>
      <w:spacing w:line="240" w:lineRule="auto"/>
      <w:jc w:val="both"/>
    </w:pPr>
    <w:rPr>
      <w:noProof/>
      <w:lang w:val="en-US"/>
    </w:rPr>
  </w:style>
  <w:style w:type="character" w:customStyle="1" w:styleId="EndNoteBibliographyChar">
    <w:name w:val="EndNote Bibliography Char"/>
    <w:basedOn w:val="ListParagraphChar"/>
    <w:uiPriority w:val="99"/>
    <w:rsid w:val="00D20AA0"/>
    <w:rPr>
      <w:rFonts w:ascii="Calibri" w:hAnsi="Calibri" w:cs="Times New Roman"/>
      <w:noProof/>
      <w:lang w:val="en-US"/>
    </w:rPr>
  </w:style>
  <w:style w:type="table" w:styleId="TableGrid">
    <w:name w:val="Table Grid"/>
    <w:basedOn w:val="TableNormal"/>
    <w:uiPriority w:val="99"/>
    <w:rsid w:val="00B6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lite3">
    <w:name w:val="hithilite3"/>
    <w:basedOn w:val="DefaultParagraphFont"/>
    <w:uiPriority w:val="99"/>
    <w:rsid w:val="002A0FF7"/>
    <w:rPr>
      <w:rFonts w:cs="Times New Roman"/>
      <w:shd w:val="clear" w:color="auto" w:fill="FFFF00"/>
    </w:rPr>
  </w:style>
  <w:style w:type="character" w:customStyle="1" w:styleId="nowrap">
    <w:name w:val="nowrap"/>
    <w:basedOn w:val="DefaultParagraphFont"/>
    <w:uiPriority w:val="99"/>
    <w:rsid w:val="00853CD8"/>
    <w:rPr>
      <w:rFonts w:cs="Times New Roman"/>
    </w:rPr>
  </w:style>
  <w:style w:type="paragraph" w:styleId="Revision">
    <w:name w:val="Revision"/>
    <w:hidden/>
    <w:uiPriority w:val="99"/>
    <w:semiHidden/>
    <w:rsid w:val="00332E35"/>
    <w:rPr>
      <w:sz w:val="22"/>
      <w:szCs w:val="22"/>
    </w:rPr>
  </w:style>
  <w:style w:type="character" w:customStyle="1" w:styleId="freeaccess">
    <w:name w:val="freeaccess"/>
    <w:basedOn w:val="DefaultParagraphFont"/>
    <w:uiPriority w:val="99"/>
    <w:rsid w:val="00205F34"/>
    <w:rPr>
      <w:rFonts w:cs="Times New Roman"/>
    </w:rPr>
  </w:style>
  <w:style w:type="paragraph" w:customStyle="1" w:styleId="mb-0">
    <w:name w:val="mb-0"/>
    <w:basedOn w:val="Normal"/>
    <w:uiPriority w:val="99"/>
    <w:rsid w:val="00EC6F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EC6F0E"/>
    <w:rPr>
      <w:rFonts w:cs="Times New Roman"/>
    </w:rPr>
  </w:style>
  <w:style w:type="paragraph" w:customStyle="1" w:styleId="small">
    <w:name w:val="small"/>
    <w:basedOn w:val="Normal"/>
    <w:uiPriority w:val="99"/>
    <w:rsid w:val="00EC6F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wd-jnl-art-pub-date">
    <w:name w:val="wd-jnl-art-pub-date"/>
    <w:basedOn w:val="DefaultParagraphFont"/>
    <w:uiPriority w:val="99"/>
    <w:rsid w:val="00EC6F0E"/>
    <w:rPr>
      <w:rFonts w:cs="Times New Roman"/>
    </w:rPr>
  </w:style>
  <w:style w:type="character" w:customStyle="1" w:styleId="wd-jnl-art-copyright">
    <w:name w:val="wd-jnl-art-copyright"/>
    <w:basedOn w:val="DefaultParagraphFont"/>
    <w:uiPriority w:val="99"/>
    <w:rsid w:val="00EC6F0E"/>
    <w:rPr>
      <w:rFonts w:cs="Times New Roman"/>
    </w:rPr>
  </w:style>
  <w:style w:type="character" w:customStyle="1" w:styleId="wd-jnl-art-breadcrumb-title">
    <w:name w:val="wd-jnl-art-breadcrumb-title"/>
    <w:basedOn w:val="DefaultParagraphFont"/>
    <w:uiPriority w:val="99"/>
    <w:rsid w:val="00EC6F0E"/>
    <w:rPr>
      <w:rFonts w:cs="Times New Roman"/>
    </w:rPr>
  </w:style>
  <w:style w:type="character" w:customStyle="1" w:styleId="wd-jnl-art-breadcrumb-vol">
    <w:name w:val="wd-jnl-art-breadcrumb-vol"/>
    <w:basedOn w:val="DefaultParagraphFont"/>
    <w:uiPriority w:val="99"/>
    <w:rsid w:val="00EC6F0E"/>
    <w:rPr>
      <w:rFonts w:cs="Times New Roman"/>
    </w:rPr>
  </w:style>
  <w:style w:type="character" w:customStyle="1" w:styleId="wd-jnl-art-breadcrumb-issue">
    <w:name w:val="wd-jnl-art-breadcrumb-issue"/>
    <w:basedOn w:val="DefaultParagraphFont"/>
    <w:uiPriority w:val="99"/>
    <w:rsid w:val="00EC6F0E"/>
    <w:rPr>
      <w:rFonts w:cs="Times New Roman"/>
    </w:rPr>
  </w:style>
  <w:style w:type="character" w:styleId="FollowedHyperlink">
    <w:name w:val="FollowedHyperlink"/>
    <w:basedOn w:val="DefaultParagraphFont"/>
    <w:uiPriority w:val="99"/>
    <w:semiHidden/>
    <w:unhideWhenUsed/>
    <w:rsid w:val="003B2946"/>
    <w:rPr>
      <w:color w:val="800080" w:themeColor="followedHyperlink"/>
      <w:u w:val="single"/>
    </w:rPr>
  </w:style>
  <w:style w:type="paragraph" w:styleId="Header">
    <w:name w:val="header"/>
    <w:basedOn w:val="Normal"/>
    <w:link w:val="HeaderChar"/>
    <w:uiPriority w:val="99"/>
    <w:unhideWhenUsed/>
    <w:rsid w:val="007C2C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C2C56"/>
    <w:rPr>
      <w:sz w:val="22"/>
      <w:szCs w:val="22"/>
    </w:rPr>
  </w:style>
  <w:style w:type="character" w:styleId="PageNumber">
    <w:name w:val="page number"/>
    <w:basedOn w:val="DefaultParagraphFont"/>
    <w:uiPriority w:val="99"/>
    <w:semiHidden/>
    <w:unhideWhenUsed/>
    <w:rsid w:val="007C2C56"/>
  </w:style>
  <w:style w:type="character" w:styleId="LineNumber">
    <w:name w:val="line number"/>
    <w:basedOn w:val="DefaultParagraphFont"/>
    <w:uiPriority w:val="99"/>
    <w:semiHidden/>
    <w:unhideWhenUsed/>
    <w:rsid w:val="002F030A"/>
  </w:style>
  <w:style w:type="paragraph" w:styleId="Footer">
    <w:name w:val="footer"/>
    <w:basedOn w:val="Normal"/>
    <w:link w:val="FooterChar"/>
    <w:uiPriority w:val="99"/>
    <w:unhideWhenUsed/>
    <w:rsid w:val="00ED275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2751"/>
    <w:rPr>
      <w:sz w:val="22"/>
      <w:szCs w:val="22"/>
    </w:rPr>
  </w:style>
  <w:style w:type="table" w:customStyle="1" w:styleId="Grilledutableau1">
    <w:name w:val="Grille du tableau1"/>
    <w:basedOn w:val="TableNormal"/>
    <w:next w:val="TableGrid"/>
    <w:uiPriority w:val="59"/>
    <w:rsid w:val="00194ED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D2496"/>
    <w:rPr>
      <w:rFonts w:asciiTheme="majorHAnsi" w:eastAsiaTheme="majorEastAsia" w:hAnsiTheme="majorHAnsi" w:cstheme="majorBidi"/>
      <w:b/>
      <w:bCs/>
      <w:color w:val="4F81BD" w:themeColor="accent1"/>
      <w:sz w:val="22"/>
      <w:szCs w:val="22"/>
    </w:rPr>
  </w:style>
  <w:style w:type="character" w:customStyle="1" w:styleId="slug-vol">
    <w:name w:val="slug-vol"/>
    <w:basedOn w:val="DefaultParagraphFont"/>
    <w:rsid w:val="00A45480"/>
    <w:rPr>
      <w:b/>
      <w:bCs/>
    </w:rPr>
  </w:style>
  <w:style w:type="character" w:customStyle="1" w:styleId="cit-sep1">
    <w:name w:val="cit-sep1"/>
    <w:basedOn w:val="DefaultParagraphFont"/>
    <w:rsid w:val="00A45480"/>
    <w:rPr>
      <w:b w:val="0"/>
      <w:bCs w:val="0"/>
    </w:rPr>
  </w:style>
  <w:style w:type="character" w:customStyle="1" w:styleId="slug-pub-date3">
    <w:name w:val="slug-pub-date3"/>
    <w:basedOn w:val="DefaultParagraphFont"/>
    <w:rsid w:val="00A45480"/>
    <w:rPr>
      <w:b w:val="0"/>
      <w:bCs w:val="0"/>
    </w:rPr>
  </w:style>
  <w:style w:type="character" w:customStyle="1" w:styleId="slug-pages3">
    <w:name w:val="slug-pages3"/>
    <w:basedOn w:val="DefaultParagraphFont"/>
    <w:rsid w:val="00A45480"/>
    <w:rPr>
      <w:b w:val="0"/>
      <w:bCs w:val="0"/>
    </w:rPr>
  </w:style>
  <w:style w:type="character" w:customStyle="1" w:styleId="slug-doi2">
    <w:name w:val="slug-doi2"/>
    <w:basedOn w:val="DefaultParagraphFont"/>
    <w:rsid w:val="00A45480"/>
  </w:style>
  <w:style w:type="character" w:customStyle="1" w:styleId="name">
    <w:name w:val="name"/>
    <w:basedOn w:val="DefaultParagraphFont"/>
    <w:rsid w:val="00A45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91485">
      <w:bodyDiv w:val="1"/>
      <w:marLeft w:val="0"/>
      <w:marRight w:val="0"/>
      <w:marTop w:val="0"/>
      <w:marBottom w:val="0"/>
      <w:divBdr>
        <w:top w:val="none" w:sz="0" w:space="0" w:color="auto"/>
        <w:left w:val="none" w:sz="0" w:space="0" w:color="auto"/>
        <w:bottom w:val="none" w:sz="0" w:space="0" w:color="auto"/>
        <w:right w:val="none" w:sz="0" w:space="0" w:color="auto"/>
      </w:divBdr>
    </w:div>
    <w:div w:id="369458672">
      <w:bodyDiv w:val="1"/>
      <w:marLeft w:val="0"/>
      <w:marRight w:val="0"/>
      <w:marTop w:val="0"/>
      <w:marBottom w:val="0"/>
      <w:divBdr>
        <w:top w:val="none" w:sz="0" w:space="0" w:color="auto"/>
        <w:left w:val="none" w:sz="0" w:space="0" w:color="auto"/>
        <w:bottom w:val="none" w:sz="0" w:space="0" w:color="auto"/>
        <w:right w:val="none" w:sz="0" w:space="0" w:color="auto"/>
      </w:divBdr>
      <w:divsChild>
        <w:div w:id="1084181076">
          <w:marLeft w:val="0"/>
          <w:marRight w:val="0"/>
          <w:marTop w:val="0"/>
          <w:marBottom w:val="0"/>
          <w:divBdr>
            <w:top w:val="none" w:sz="0" w:space="0" w:color="auto"/>
            <w:left w:val="none" w:sz="0" w:space="0" w:color="auto"/>
            <w:bottom w:val="none" w:sz="0" w:space="0" w:color="auto"/>
            <w:right w:val="none" w:sz="0" w:space="0" w:color="auto"/>
          </w:divBdr>
          <w:divsChild>
            <w:div w:id="1901403837">
              <w:marLeft w:val="0"/>
              <w:marRight w:val="0"/>
              <w:marTop w:val="0"/>
              <w:marBottom w:val="0"/>
              <w:divBdr>
                <w:top w:val="none" w:sz="0" w:space="0" w:color="auto"/>
                <w:left w:val="none" w:sz="0" w:space="0" w:color="auto"/>
                <w:bottom w:val="none" w:sz="0" w:space="0" w:color="auto"/>
                <w:right w:val="none" w:sz="0" w:space="0" w:color="auto"/>
              </w:divBdr>
              <w:divsChild>
                <w:div w:id="909192431">
                  <w:marLeft w:val="0"/>
                  <w:marRight w:val="0"/>
                  <w:marTop w:val="0"/>
                  <w:marBottom w:val="0"/>
                  <w:divBdr>
                    <w:top w:val="none" w:sz="0" w:space="0" w:color="auto"/>
                    <w:left w:val="none" w:sz="0" w:space="0" w:color="auto"/>
                    <w:bottom w:val="none" w:sz="0" w:space="0" w:color="auto"/>
                    <w:right w:val="none" w:sz="0" w:space="0" w:color="auto"/>
                  </w:divBdr>
                  <w:divsChild>
                    <w:div w:id="632446083">
                      <w:marLeft w:val="0"/>
                      <w:marRight w:val="0"/>
                      <w:marTop w:val="0"/>
                      <w:marBottom w:val="0"/>
                      <w:divBdr>
                        <w:top w:val="none" w:sz="0" w:space="0" w:color="auto"/>
                        <w:left w:val="none" w:sz="0" w:space="0" w:color="auto"/>
                        <w:bottom w:val="none" w:sz="0" w:space="0" w:color="auto"/>
                        <w:right w:val="none" w:sz="0" w:space="0" w:color="auto"/>
                      </w:divBdr>
                      <w:divsChild>
                        <w:div w:id="535703796">
                          <w:marLeft w:val="150"/>
                          <w:marRight w:val="0"/>
                          <w:marTop w:val="150"/>
                          <w:marBottom w:val="150"/>
                          <w:divBdr>
                            <w:top w:val="none" w:sz="0" w:space="0" w:color="auto"/>
                            <w:left w:val="none" w:sz="0" w:space="0" w:color="auto"/>
                            <w:bottom w:val="none" w:sz="0" w:space="0" w:color="auto"/>
                            <w:right w:val="none" w:sz="0" w:space="0" w:color="auto"/>
                          </w:divBdr>
                          <w:divsChild>
                            <w:div w:id="6622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1155">
      <w:bodyDiv w:val="1"/>
      <w:marLeft w:val="0"/>
      <w:marRight w:val="0"/>
      <w:marTop w:val="0"/>
      <w:marBottom w:val="0"/>
      <w:divBdr>
        <w:top w:val="none" w:sz="0" w:space="0" w:color="auto"/>
        <w:left w:val="none" w:sz="0" w:space="0" w:color="auto"/>
        <w:bottom w:val="none" w:sz="0" w:space="0" w:color="auto"/>
        <w:right w:val="none" w:sz="0" w:space="0" w:color="auto"/>
      </w:divBdr>
    </w:div>
    <w:div w:id="680010174">
      <w:bodyDiv w:val="1"/>
      <w:marLeft w:val="0"/>
      <w:marRight w:val="0"/>
      <w:marTop w:val="0"/>
      <w:marBottom w:val="0"/>
      <w:divBdr>
        <w:top w:val="none" w:sz="0" w:space="0" w:color="auto"/>
        <w:left w:val="none" w:sz="0" w:space="0" w:color="auto"/>
        <w:bottom w:val="none" w:sz="0" w:space="0" w:color="auto"/>
        <w:right w:val="none" w:sz="0" w:space="0" w:color="auto"/>
      </w:divBdr>
      <w:divsChild>
        <w:div w:id="856114932">
          <w:marLeft w:val="0"/>
          <w:marRight w:val="0"/>
          <w:marTop w:val="0"/>
          <w:marBottom w:val="0"/>
          <w:divBdr>
            <w:top w:val="none" w:sz="0" w:space="0" w:color="auto"/>
            <w:left w:val="none" w:sz="0" w:space="0" w:color="auto"/>
            <w:bottom w:val="none" w:sz="0" w:space="0" w:color="auto"/>
            <w:right w:val="none" w:sz="0" w:space="0" w:color="auto"/>
          </w:divBdr>
          <w:divsChild>
            <w:div w:id="2109350032">
              <w:marLeft w:val="0"/>
              <w:marRight w:val="0"/>
              <w:marTop w:val="0"/>
              <w:marBottom w:val="0"/>
              <w:divBdr>
                <w:top w:val="none" w:sz="0" w:space="0" w:color="auto"/>
                <w:left w:val="none" w:sz="0" w:space="0" w:color="auto"/>
                <w:bottom w:val="none" w:sz="0" w:space="0" w:color="auto"/>
                <w:right w:val="none" w:sz="0" w:space="0" w:color="auto"/>
              </w:divBdr>
              <w:divsChild>
                <w:div w:id="1033312668">
                  <w:marLeft w:val="0"/>
                  <w:marRight w:val="0"/>
                  <w:marTop w:val="0"/>
                  <w:marBottom w:val="0"/>
                  <w:divBdr>
                    <w:top w:val="none" w:sz="0" w:space="0" w:color="auto"/>
                    <w:left w:val="none" w:sz="0" w:space="0" w:color="auto"/>
                    <w:bottom w:val="none" w:sz="0" w:space="0" w:color="auto"/>
                    <w:right w:val="none" w:sz="0" w:space="0" w:color="auto"/>
                  </w:divBdr>
                  <w:divsChild>
                    <w:div w:id="1250388370">
                      <w:marLeft w:val="0"/>
                      <w:marRight w:val="0"/>
                      <w:marTop w:val="0"/>
                      <w:marBottom w:val="0"/>
                      <w:divBdr>
                        <w:top w:val="none" w:sz="0" w:space="0" w:color="auto"/>
                        <w:left w:val="none" w:sz="0" w:space="0" w:color="auto"/>
                        <w:bottom w:val="none" w:sz="0" w:space="0" w:color="auto"/>
                        <w:right w:val="none" w:sz="0" w:space="0" w:color="auto"/>
                      </w:divBdr>
                      <w:divsChild>
                        <w:div w:id="900288593">
                          <w:marLeft w:val="150"/>
                          <w:marRight w:val="0"/>
                          <w:marTop w:val="150"/>
                          <w:marBottom w:val="150"/>
                          <w:divBdr>
                            <w:top w:val="none" w:sz="0" w:space="0" w:color="auto"/>
                            <w:left w:val="none" w:sz="0" w:space="0" w:color="auto"/>
                            <w:bottom w:val="none" w:sz="0" w:space="0" w:color="auto"/>
                            <w:right w:val="none" w:sz="0" w:space="0" w:color="auto"/>
                          </w:divBdr>
                          <w:divsChild>
                            <w:div w:id="11816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309260">
      <w:bodyDiv w:val="1"/>
      <w:marLeft w:val="0"/>
      <w:marRight w:val="0"/>
      <w:marTop w:val="0"/>
      <w:marBottom w:val="0"/>
      <w:divBdr>
        <w:top w:val="none" w:sz="0" w:space="0" w:color="auto"/>
        <w:left w:val="none" w:sz="0" w:space="0" w:color="auto"/>
        <w:bottom w:val="none" w:sz="0" w:space="0" w:color="auto"/>
        <w:right w:val="none" w:sz="0" w:space="0" w:color="auto"/>
      </w:divBdr>
      <w:divsChild>
        <w:div w:id="1142885011">
          <w:marLeft w:val="0"/>
          <w:marRight w:val="0"/>
          <w:marTop w:val="0"/>
          <w:marBottom w:val="0"/>
          <w:divBdr>
            <w:top w:val="none" w:sz="0" w:space="0" w:color="auto"/>
            <w:left w:val="none" w:sz="0" w:space="0" w:color="auto"/>
            <w:bottom w:val="none" w:sz="0" w:space="0" w:color="auto"/>
            <w:right w:val="none" w:sz="0" w:space="0" w:color="auto"/>
          </w:divBdr>
          <w:divsChild>
            <w:div w:id="1937008866">
              <w:marLeft w:val="0"/>
              <w:marRight w:val="0"/>
              <w:marTop w:val="0"/>
              <w:marBottom w:val="0"/>
              <w:divBdr>
                <w:top w:val="none" w:sz="0" w:space="0" w:color="auto"/>
                <w:left w:val="none" w:sz="0" w:space="0" w:color="auto"/>
                <w:bottom w:val="none" w:sz="0" w:space="0" w:color="auto"/>
                <w:right w:val="none" w:sz="0" w:space="0" w:color="auto"/>
              </w:divBdr>
              <w:divsChild>
                <w:div w:id="1897810709">
                  <w:marLeft w:val="0"/>
                  <w:marRight w:val="0"/>
                  <w:marTop w:val="0"/>
                  <w:marBottom w:val="0"/>
                  <w:divBdr>
                    <w:top w:val="none" w:sz="0" w:space="0" w:color="auto"/>
                    <w:left w:val="none" w:sz="0" w:space="0" w:color="auto"/>
                    <w:bottom w:val="none" w:sz="0" w:space="0" w:color="auto"/>
                    <w:right w:val="none" w:sz="0" w:space="0" w:color="auto"/>
                  </w:divBdr>
                  <w:divsChild>
                    <w:div w:id="935554712">
                      <w:marLeft w:val="0"/>
                      <w:marRight w:val="0"/>
                      <w:marTop w:val="0"/>
                      <w:marBottom w:val="0"/>
                      <w:divBdr>
                        <w:top w:val="none" w:sz="0" w:space="0" w:color="auto"/>
                        <w:left w:val="none" w:sz="0" w:space="0" w:color="auto"/>
                        <w:bottom w:val="none" w:sz="0" w:space="0" w:color="auto"/>
                        <w:right w:val="none" w:sz="0" w:space="0" w:color="auto"/>
                      </w:divBdr>
                      <w:divsChild>
                        <w:div w:id="1965694339">
                          <w:marLeft w:val="150"/>
                          <w:marRight w:val="0"/>
                          <w:marTop w:val="150"/>
                          <w:marBottom w:val="150"/>
                          <w:divBdr>
                            <w:top w:val="none" w:sz="0" w:space="0" w:color="auto"/>
                            <w:left w:val="none" w:sz="0" w:space="0" w:color="auto"/>
                            <w:bottom w:val="none" w:sz="0" w:space="0" w:color="auto"/>
                            <w:right w:val="none" w:sz="0" w:space="0" w:color="auto"/>
                          </w:divBdr>
                          <w:divsChild>
                            <w:div w:id="3014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297029">
      <w:bodyDiv w:val="1"/>
      <w:marLeft w:val="0"/>
      <w:marRight w:val="0"/>
      <w:marTop w:val="0"/>
      <w:marBottom w:val="0"/>
      <w:divBdr>
        <w:top w:val="none" w:sz="0" w:space="0" w:color="auto"/>
        <w:left w:val="none" w:sz="0" w:space="0" w:color="auto"/>
        <w:bottom w:val="none" w:sz="0" w:space="0" w:color="auto"/>
        <w:right w:val="none" w:sz="0" w:space="0" w:color="auto"/>
      </w:divBdr>
      <w:divsChild>
        <w:div w:id="2078816452">
          <w:marLeft w:val="0"/>
          <w:marRight w:val="0"/>
          <w:marTop w:val="0"/>
          <w:marBottom w:val="0"/>
          <w:divBdr>
            <w:top w:val="none" w:sz="0" w:space="0" w:color="auto"/>
            <w:left w:val="none" w:sz="0" w:space="0" w:color="auto"/>
            <w:bottom w:val="none" w:sz="0" w:space="0" w:color="auto"/>
            <w:right w:val="none" w:sz="0" w:space="0" w:color="auto"/>
          </w:divBdr>
          <w:divsChild>
            <w:div w:id="229463406">
              <w:marLeft w:val="0"/>
              <w:marRight w:val="0"/>
              <w:marTop w:val="0"/>
              <w:marBottom w:val="0"/>
              <w:divBdr>
                <w:top w:val="none" w:sz="0" w:space="0" w:color="auto"/>
                <w:left w:val="none" w:sz="0" w:space="0" w:color="auto"/>
                <w:bottom w:val="none" w:sz="0" w:space="0" w:color="auto"/>
                <w:right w:val="none" w:sz="0" w:space="0" w:color="auto"/>
              </w:divBdr>
              <w:divsChild>
                <w:div w:id="1288926009">
                  <w:marLeft w:val="0"/>
                  <w:marRight w:val="0"/>
                  <w:marTop w:val="0"/>
                  <w:marBottom w:val="0"/>
                  <w:divBdr>
                    <w:top w:val="none" w:sz="0" w:space="0" w:color="auto"/>
                    <w:left w:val="none" w:sz="0" w:space="0" w:color="auto"/>
                    <w:bottom w:val="none" w:sz="0" w:space="0" w:color="auto"/>
                    <w:right w:val="none" w:sz="0" w:space="0" w:color="auto"/>
                  </w:divBdr>
                  <w:divsChild>
                    <w:div w:id="1468738562">
                      <w:marLeft w:val="0"/>
                      <w:marRight w:val="0"/>
                      <w:marTop w:val="0"/>
                      <w:marBottom w:val="0"/>
                      <w:divBdr>
                        <w:top w:val="none" w:sz="0" w:space="0" w:color="auto"/>
                        <w:left w:val="none" w:sz="0" w:space="0" w:color="auto"/>
                        <w:bottom w:val="none" w:sz="0" w:space="0" w:color="auto"/>
                        <w:right w:val="none" w:sz="0" w:space="0" w:color="auto"/>
                      </w:divBdr>
                      <w:divsChild>
                        <w:div w:id="1033002289">
                          <w:marLeft w:val="150"/>
                          <w:marRight w:val="0"/>
                          <w:marTop w:val="150"/>
                          <w:marBottom w:val="150"/>
                          <w:divBdr>
                            <w:top w:val="none" w:sz="0" w:space="0" w:color="auto"/>
                            <w:left w:val="none" w:sz="0" w:space="0" w:color="auto"/>
                            <w:bottom w:val="none" w:sz="0" w:space="0" w:color="auto"/>
                            <w:right w:val="none" w:sz="0" w:space="0" w:color="auto"/>
                          </w:divBdr>
                          <w:divsChild>
                            <w:div w:id="12650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034334">
      <w:bodyDiv w:val="1"/>
      <w:marLeft w:val="0"/>
      <w:marRight w:val="0"/>
      <w:marTop w:val="0"/>
      <w:marBottom w:val="0"/>
      <w:divBdr>
        <w:top w:val="none" w:sz="0" w:space="0" w:color="auto"/>
        <w:left w:val="none" w:sz="0" w:space="0" w:color="auto"/>
        <w:bottom w:val="none" w:sz="0" w:space="0" w:color="auto"/>
        <w:right w:val="none" w:sz="0" w:space="0" w:color="auto"/>
      </w:divBdr>
    </w:div>
    <w:div w:id="1478689297">
      <w:bodyDiv w:val="1"/>
      <w:marLeft w:val="0"/>
      <w:marRight w:val="0"/>
      <w:marTop w:val="0"/>
      <w:marBottom w:val="0"/>
      <w:divBdr>
        <w:top w:val="none" w:sz="0" w:space="0" w:color="auto"/>
        <w:left w:val="none" w:sz="0" w:space="0" w:color="auto"/>
        <w:bottom w:val="none" w:sz="0" w:space="0" w:color="auto"/>
        <w:right w:val="none" w:sz="0" w:space="0" w:color="auto"/>
      </w:divBdr>
    </w:div>
    <w:div w:id="1798449630">
      <w:bodyDiv w:val="1"/>
      <w:marLeft w:val="0"/>
      <w:marRight w:val="0"/>
      <w:marTop w:val="0"/>
      <w:marBottom w:val="0"/>
      <w:divBdr>
        <w:top w:val="none" w:sz="0" w:space="0" w:color="auto"/>
        <w:left w:val="none" w:sz="0" w:space="0" w:color="auto"/>
        <w:bottom w:val="none" w:sz="0" w:space="0" w:color="auto"/>
        <w:right w:val="none" w:sz="0" w:space="0" w:color="auto"/>
      </w:divBdr>
    </w:div>
    <w:div w:id="203627289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ceiver_operating_characterist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45F7D-CF5E-4AB2-A952-A96F1EB9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5684</Words>
  <Characters>32404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Irritable bowel syndrome and active inflammatory bowel disease diagnosed by the analysis of faecal samples through a gas chroma</vt:lpstr>
    </vt:vector>
  </TitlesOfParts>
  <Company>The University of Liverpool</Company>
  <LinksUpToDate>false</LinksUpToDate>
  <CharactersWithSpaces>38012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Irritable bowel syndrome and active inflammatory bowel disease diagnosed by the analysis of faecal samples through a gas chroma</dc:title>
  <dc:creator>Probert, Chris</dc:creator>
  <cp:lastModifiedBy>samsung</cp:lastModifiedBy>
  <cp:revision>3</cp:revision>
  <cp:lastPrinted>2016-08-17T16:42:00Z</cp:lastPrinted>
  <dcterms:created xsi:type="dcterms:W3CDTF">2016-12-09T09:31:00Z</dcterms:created>
  <dcterms:modified xsi:type="dcterms:W3CDTF">2016-12-09T09:31:00Z</dcterms:modified>
</cp:coreProperties>
</file>