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D1F8" w14:textId="2F9D36F6" w:rsidR="004B6772" w:rsidRPr="004B6772" w:rsidRDefault="004B6772" w:rsidP="004B6772">
      <w:pPr>
        <w:rPr>
          <w:rFonts w:ascii="Times New Roman" w:eastAsia="Times New Roman" w:hAnsi="Times New Roman" w:cs="Times New Roman"/>
        </w:rPr>
      </w:pPr>
      <w:r w:rsidRPr="004B6772">
        <w:rPr>
          <w:rFonts w:ascii="Times New Roman" w:eastAsia="Times New Roman" w:hAnsi="Times New Roman" w:cs="Times New Roman"/>
        </w:rPr>
        <w:fldChar w:fldCharType="begin"/>
      </w:r>
      <w:r w:rsidRPr="004B6772">
        <w:rPr>
          <w:rFonts w:ascii="Times New Roman" w:eastAsia="Times New Roman" w:hAnsi="Times New Roman" w:cs="Times New Roman"/>
        </w:rPr>
        <w:instrText xml:space="preserve"> INCLUDEPICTURE "/var/folders/cs/gmnd2_yx6gz00q9q535jb9hr03xfm1/T/com.microsoft.Word/WebArchiveCopyPasteTempFiles/9781138786950.jpg" \* MERGEFORMATINET </w:instrText>
      </w:r>
      <w:r w:rsidRPr="004B6772">
        <w:rPr>
          <w:rFonts w:ascii="Times New Roman" w:eastAsia="Times New Roman" w:hAnsi="Times New Roman" w:cs="Times New Roman"/>
        </w:rPr>
        <w:fldChar w:fldCharType="separate"/>
      </w:r>
      <w:r w:rsidRPr="004B6772">
        <w:rPr>
          <w:rFonts w:ascii="Times New Roman" w:eastAsia="Times New Roman" w:hAnsi="Times New Roman" w:cs="Times New Roman"/>
          <w:noProof/>
        </w:rPr>
        <w:drawing>
          <wp:inline distT="0" distB="0" distL="0" distR="0" wp14:anchorId="11D03D0D" wp14:editId="276F238B">
            <wp:extent cx="1715916" cy="2576146"/>
            <wp:effectExtent l="0" t="0" r="0" b="2540"/>
            <wp:docPr id="1" name="Picture 1" descr="Integrating Critical and Contextual Studies in Art and Design: Possibilities for post-compulsory education, 1st Edition (Paperback)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ating Critical and Contextual Studies in Art and Design: Possibilities for post-compulsory education, 1st Edition (Paperback) book 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09" cy="2588296"/>
                    </a:xfrm>
                    <a:prstGeom prst="rect">
                      <a:avLst/>
                    </a:prstGeom>
                    <a:noFill/>
                    <a:ln>
                      <a:noFill/>
                    </a:ln>
                  </pic:spPr>
                </pic:pic>
              </a:graphicData>
            </a:graphic>
          </wp:inline>
        </w:drawing>
      </w:r>
      <w:r w:rsidRPr="004B6772">
        <w:rPr>
          <w:rFonts w:ascii="Times New Roman" w:eastAsia="Times New Roman" w:hAnsi="Times New Roman" w:cs="Times New Roman"/>
        </w:rPr>
        <w:fldChar w:fldCharType="end"/>
      </w:r>
    </w:p>
    <w:p w14:paraId="6D4AF3C6" w14:textId="77777777" w:rsidR="004B6772" w:rsidRDefault="004B6772" w:rsidP="004B6772">
      <w:pPr>
        <w:spacing w:after="240"/>
        <w:rPr>
          <w:rFonts w:ascii="Helvetica Neue" w:eastAsia="Times New Roman" w:hAnsi="Helvetica Neue" w:cs="Times New Roman"/>
          <w:i/>
          <w:iCs/>
          <w:color w:val="333333"/>
          <w:sz w:val="23"/>
          <w:szCs w:val="23"/>
        </w:rPr>
      </w:pPr>
    </w:p>
    <w:p w14:paraId="36F6FE70" w14:textId="77777777" w:rsidR="000F37BF" w:rsidRDefault="000F37BF" w:rsidP="004B6772">
      <w:pPr>
        <w:spacing w:after="240"/>
        <w:rPr>
          <w:rFonts w:ascii="Helvetica Neue" w:eastAsia="Times New Roman" w:hAnsi="Helvetica Neue" w:cs="Times New Roman"/>
          <w:i/>
          <w:iCs/>
          <w:color w:val="333333"/>
          <w:sz w:val="23"/>
          <w:szCs w:val="23"/>
        </w:rPr>
      </w:pPr>
    </w:p>
    <w:p w14:paraId="5D789F51" w14:textId="30132CC3" w:rsidR="000F37BF" w:rsidRPr="000F37BF" w:rsidRDefault="000F37BF" w:rsidP="000F37BF">
      <w:pPr>
        <w:pBdr>
          <w:top w:val="single" w:sz="36" w:space="8" w:color="0955A8"/>
        </w:pBdr>
        <w:spacing w:after="300"/>
        <w:outlineLvl w:val="2"/>
        <w:rPr>
          <w:rFonts w:ascii="Open Sans" w:eastAsia="Times New Roman" w:hAnsi="Open Sans" w:cs="Open Sans"/>
          <w:color w:val="0955A8"/>
          <w:sz w:val="35"/>
          <w:szCs w:val="35"/>
        </w:rPr>
      </w:pPr>
      <w:r w:rsidRPr="000F37BF">
        <w:rPr>
          <w:rFonts w:ascii="Open Sans" w:eastAsia="Times New Roman" w:hAnsi="Open Sans" w:cs="Open Sans"/>
          <w:color w:val="0955A8"/>
          <w:sz w:val="35"/>
          <w:szCs w:val="35"/>
        </w:rPr>
        <w:t>Description</w:t>
      </w:r>
    </w:p>
    <w:p w14:paraId="5F9081B7" w14:textId="3C8BE262" w:rsidR="004B6772" w:rsidRPr="004B6772" w:rsidRDefault="004B6772" w:rsidP="004B6772">
      <w:pPr>
        <w:spacing w:after="240"/>
        <w:rPr>
          <w:rFonts w:ascii="Helvetica Neue" w:eastAsia="Times New Roman" w:hAnsi="Helvetica Neue" w:cs="Times New Roman"/>
          <w:color w:val="333333"/>
          <w:sz w:val="23"/>
          <w:szCs w:val="23"/>
        </w:rPr>
      </w:pPr>
      <w:r w:rsidRPr="004B6772">
        <w:rPr>
          <w:rFonts w:ascii="Helvetica Neue" w:eastAsia="Times New Roman" w:hAnsi="Helvetica Neue" w:cs="Times New Roman"/>
          <w:i/>
          <w:iCs/>
          <w:color w:val="333333"/>
          <w:sz w:val="23"/>
          <w:szCs w:val="23"/>
        </w:rPr>
        <w:t>Integrating Critical and Contextual Studies in Art and Design</w:t>
      </w:r>
      <w:r w:rsidRPr="004B6772">
        <w:rPr>
          <w:rFonts w:ascii="Helvetica Neue" w:eastAsia="Times New Roman" w:hAnsi="Helvetica Neue" w:cs="Times New Roman"/>
          <w:color w:val="333333"/>
          <w:sz w:val="23"/>
          <w:szCs w:val="23"/>
        </w:rPr>
        <w:t xml:space="preserve"> examines the relationship between two aspects of art education that appear at times inseparable or even indistinguishable, and at others isolated and in conflict: Critical and Contextual Studies (CCS) and studio practice. Underpinned by international contexts, this book is rooted in British art and design education and draws upon contemporary case studies of teaching and learning in post-compulsory settings in order to </w:t>
      </w:r>
      <w:proofErr w:type="spellStart"/>
      <w:r w:rsidRPr="004B6772">
        <w:rPr>
          <w:rFonts w:ascii="Helvetica Neue" w:eastAsia="Times New Roman" w:hAnsi="Helvetica Neue" w:cs="Times New Roman"/>
          <w:color w:val="333333"/>
          <w:sz w:val="23"/>
          <w:szCs w:val="23"/>
        </w:rPr>
        <w:t>analyse</w:t>
      </w:r>
      <w:proofErr w:type="spellEnd"/>
      <w:r w:rsidRPr="004B6772">
        <w:rPr>
          <w:rFonts w:ascii="Helvetica Neue" w:eastAsia="Times New Roman" w:hAnsi="Helvetica Neue" w:cs="Times New Roman"/>
          <w:color w:val="333333"/>
          <w:sz w:val="23"/>
          <w:szCs w:val="23"/>
        </w:rPr>
        <w:t xml:space="preserve"> and illustrate identities and practices of CCS and its integration.</w:t>
      </w:r>
    </w:p>
    <w:p w14:paraId="45CD3E72" w14:textId="77777777" w:rsidR="004B6772" w:rsidRPr="004B6772" w:rsidRDefault="004B6772" w:rsidP="004B6772">
      <w:pPr>
        <w:spacing w:after="240"/>
        <w:rPr>
          <w:rFonts w:ascii="Helvetica Neue" w:eastAsia="Times New Roman" w:hAnsi="Helvetica Neue" w:cs="Times New Roman"/>
          <w:color w:val="333333"/>
          <w:sz w:val="23"/>
          <w:szCs w:val="23"/>
        </w:rPr>
      </w:pPr>
      <w:r w:rsidRPr="004B6772">
        <w:rPr>
          <w:rFonts w:ascii="Helvetica Neue" w:eastAsia="Times New Roman" w:hAnsi="Helvetica Neue" w:cs="Times New Roman"/>
          <w:color w:val="333333"/>
          <w:sz w:val="23"/>
          <w:szCs w:val="23"/>
        </w:rPr>
        <w:t xml:space="preserve">The chapters in this book are divided into three sections that build on one another: ‘Discourse and debate’; ‘Models, types and tensions’; and ‘Proposals and </w:t>
      </w:r>
      <w:proofErr w:type="gramStart"/>
      <w:r w:rsidRPr="004B6772">
        <w:rPr>
          <w:rFonts w:ascii="Helvetica Neue" w:eastAsia="Times New Roman" w:hAnsi="Helvetica Neue" w:cs="Times New Roman"/>
          <w:color w:val="333333"/>
          <w:sz w:val="23"/>
          <w:szCs w:val="23"/>
        </w:rPr>
        <w:t>recommendations’</w:t>
      </w:r>
      <w:proofErr w:type="gramEnd"/>
      <w:r w:rsidRPr="004B6772">
        <w:rPr>
          <w:rFonts w:ascii="Helvetica Neue" w:eastAsia="Times New Roman" w:hAnsi="Helvetica Neue" w:cs="Times New Roman"/>
          <w:color w:val="333333"/>
          <w:sz w:val="23"/>
          <w:szCs w:val="23"/>
        </w:rPr>
        <w:t>. Key issues include:</w:t>
      </w:r>
    </w:p>
    <w:p w14:paraId="6DE163A4" w14:textId="77777777" w:rsidR="004B6772" w:rsidRPr="004B6772" w:rsidRDefault="004B6772" w:rsidP="004B6772">
      <w:pPr>
        <w:numPr>
          <w:ilvl w:val="0"/>
          <w:numId w:val="1"/>
        </w:numPr>
        <w:spacing w:before="100" w:beforeAutospacing="1" w:after="100" w:afterAutospacing="1"/>
        <w:rPr>
          <w:rFonts w:ascii="Helvetica Neue" w:eastAsia="Times New Roman" w:hAnsi="Helvetica Neue" w:cs="Times New Roman"/>
          <w:color w:val="333333"/>
          <w:sz w:val="23"/>
          <w:szCs w:val="23"/>
        </w:rPr>
      </w:pPr>
      <w:r w:rsidRPr="004B6772">
        <w:rPr>
          <w:rFonts w:ascii="Helvetica Neue" w:eastAsia="Times New Roman" w:hAnsi="Helvetica Neue" w:cs="Times New Roman"/>
          <w:color w:val="333333"/>
          <w:sz w:val="23"/>
          <w:szCs w:val="23"/>
        </w:rPr>
        <w:t>knowledge hierarchies and subject histories and identities; </w:t>
      </w:r>
    </w:p>
    <w:p w14:paraId="7AB88EAC" w14:textId="77777777" w:rsidR="004B6772" w:rsidRPr="004B6772" w:rsidRDefault="004B6772" w:rsidP="004B6772">
      <w:pPr>
        <w:numPr>
          <w:ilvl w:val="0"/>
          <w:numId w:val="1"/>
        </w:numPr>
        <w:spacing w:before="100" w:beforeAutospacing="1" w:after="100" w:afterAutospacing="1"/>
        <w:rPr>
          <w:rFonts w:ascii="Helvetica Neue" w:eastAsia="Times New Roman" w:hAnsi="Helvetica Neue" w:cs="Times New Roman"/>
          <w:color w:val="333333"/>
          <w:sz w:val="23"/>
          <w:szCs w:val="23"/>
        </w:rPr>
      </w:pPr>
      <w:r w:rsidRPr="004B6772">
        <w:rPr>
          <w:rFonts w:ascii="Helvetica Neue" w:eastAsia="Times New Roman" w:hAnsi="Helvetica Neue" w:cs="Times New Roman"/>
          <w:color w:val="333333"/>
          <w:sz w:val="23"/>
          <w:szCs w:val="23"/>
        </w:rPr>
        <w:t>constructions of ‘theory’ and the symbiotic relationship between theory and practice;</w:t>
      </w:r>
    </w:p>
    <w:p w14:paraId="154665AE" w14:textId="77777777" w:rsidR="004B6772" w:rsidRPr="004B6772" w:rsidRDefault="004B6772" w:rsidP="004B6772">
      <w:pPr>
        <w:numPr>
          <w:ilvl w:val="0"/>
          <w:numId w:val="1"/>
        </w:numPr>
        <w:spacing w:before="100" w:beforeAutospacing="1" w:after="100" w:afterAutospacing="1"/>
        <w:rPr>
          <w:rFonts w:ascii="Helvetica Neue" w:eastAsia="Times New Roman" w:hAnsi="Helvetica Neue" w:cs="Times New Roman"/>
          <w:color w:val="333333"/>
          <w:sz w:val="23"/>
          <w:szCs w:val="23"/>
        </w:rPr>
      </w:pPr>
      <w:r w:rsidRPr="004B6772">
        <w:rPr>
          <w:rFonts w:ascii="Helvetica Neue" w:eastAsia="Times New Roman" w:hAnsi="Helvetica Neue" w:cs="Times New Roman"/>
          <w:color w:val="333333"/>
          <w:sz w:val="23"/>
          <w:szCs w:val="23"/>
        </w:rPr>
        <w:t>models and practices of CCS within current post-compulsory British art and design education;</w:t>
      </w:r>
    </w:p>
    <w:p w14:paraId="48B78E2A" w14:textId="77777777" w:rsidR="004B6772" w:rsidRPr="004B6772" w:rsidRDefault="004B6772" w:rsidP="004B6772">
      <w:pPr>
        <w:numPr>
          <w:ilvl w:val="0"/>
          <w:numId w:val="1"/>
        </w:numPr>
        <w:spacing w:before="100" w:beforeAutospacing="1" w:after="100" w:afterAutospacing="1"/>
        <w:rPr>
          <w:rFonts w:ascii="Helvetica Neue" w:eastAsia="Times New Roman" w:hAnsi="Helvetica Neue" w:cs="Times New Roman"/>
          <w:color w:val="333333"/>
          <w:sz w:val="23"/>
          <w:szCs w:val="23"/>
        </w:rPr>
      </w:pPr>
      <w:r w:rsidRPr="004B6772">
        <w:rPr>
          <w:rFonts w:ascii="Helvetica Neue" w:eastAsia="Times New Roman" w:hAnsi="Helvetica Neue" w:cs="Times New Roman"/>
          <w:color w:val="333333"/>
          <w:sz w:val="23"/>
          <w:szCs w:val="23"/>
        </w:rPr>
        <w:t>the reification of ubiquitous terms in the fields of art and design and of education: </w:t>
      </w:r>
      <w:r w:rsidRPr="004B6772">
        <w:rPr>
          <w:rFonts w:ascii="Helvetica Neue" w:eastAsia="Times New Roman" w:hAnsi="Helvetica Neue" w:cs="Times New Roman"/>
          <w:i/>
          <w:iCs/>
          <w:color w:val="333333"/>
          <w:sz w:val="23"/>
          <w:szCs w:val="23"/>
        </w:rPr>
        <w:t>intuition </w:t>
      </w:r>
      <w:r w:rsidRPr="004B6772">
        <w:rPr>
          <w:rFonts w:ascii="Helvetica Neue" w:eastAsia="Times New Roman" w:hAnsi="Helvetica Neue" w:cs="Times New Roman"/>
          <w:color w:val="333333"/>
          <w:sz w:val="23"/>
          <w:szCs w:val="23"/>
        </w:rPr>
        <w:t>and </w:t>
      </w:r>
      <w:r w:rsidRPr="004B6772">
        <w:rPr>
          <w:rFonts w:ascii="Helvetica Neue" w:eastAsia="Times New Roman" w:hAnsi="Helvetica Neue" w:cs="Times New Roman"/>
          <w:i/>
          <w:iCs/>
          <w:color w:val="333333"/>
          <w:sz w:val="23"/>
          <w:szCs w:val="23"/>
        </w:rPr>
        <w:t>integration</w:t>
      </w:r>
      <w:r w:rsidRPr="004B6772">
        <w:rPr>
          <w:rFonts w:ascii="Helvetica Neue" w:eastAsia="Times New Roman" w:hAnsi="Helvetica Neue" w:cs="Times New Roman"/>
          <w:color w:val="333333"/>
          <w:sz w:val="23"/>
          <w:szCs w:val="23"/>
        </w:rPr>
        <w:t>; </w:t>
      </w:r>
    </w:p>
    <w:p w14:paraId="44D5C5D0" w14:textId="77777777" w:rsidR="004B6772" w:rsidRPr="004B6772" w:rsidRDefault="004B6772" w:rsidP="004B6772">
      <w:pPr>
        <w:numPr>
          <w:ilvl w:val="0"/>
          <w:numId w:val="1"/>
        </w:numPr>
        <w:spacing w:before="100" w:beforeAutospacing="1" w:after="100" w:afterAutospacing="1"/>
        <w:rPr>
          <w:rFonts w:ascii="Helvetica Neue" w:eastAsia="Times New Roman" w:hAnsi="Helvetica Neue" w:cs="Times New Roman"/>
          <w:color w:val="333333"/>
          <w:sz w:val="23"/>
          <w:szCs w:val="23"/>
        </w:rPr>
      </w:pPr>
      <w:r w:rsidRPr="004B6772">
        <w:rPr>
          <w:rFonts w:ascii="Helvetica Neue" w:eastAsia="Times New Roman" w:hAnsi="Helvetica Neue" w:cs="Times New Roman"/>
          <w:color w:val="333333"/>
          <w:sz w:val="23"/>
          <w:szCs w:val="23"/>
        </w:rPr>
        <w:t>approaches to curriculum integration, including design and management; and</w:t>
      </w:r>
    </w:p>
    <w:p w14:paraId="58128D42" w14:textId="77777777" w:rsidR="004B6772" w:rsidRPr="004B6772" w:rsidRDefault="004B6772" w:rsidP="004B6772">
      <w:pPr>
        <w:numPr>
          <w:ilvl w:val="0"/>
          <w:numId w:val="1"/>
        </w:numPr>
        <w:spacing w:before="100" w:beforeAutospacing="1" w:after="100" w:afterAutospacing="1"/>
        <w:rPr>
          <w:rFonts w:ascii="Helvetica Neue" w:eastAsia="Times New Roman" w:hAnsi="Helvetica Neue" w:cs="Times New Roman"/>
          <w:color w:val="333333"/>
          <w:sz w:val="23"/>
          <w:szCs w:val="23"/>
        </w:rPr>
      </w:pPr>
      <w:r w:rsidRPr="004B6772">
        <w:rPr>
          <w:rFonts w:ascii="Helvetica Neue" w:eastAsia="Times New Roman" w:hAnsi="Helvetica Neue" w:cs="Times New Roman"/>
          <w:color w:val="333333"/>
          <w:sz w:val="23"/>
          <w:szCs w:val="23"/>
        </w:rPr>
        <w:t>suggestions for integrating CCS in art and design courses, including implications for pedagogy and assessment. </w:t>
      </w:r>
    </w:p>
    <w:p w14:paraId="5AC20EDE" w14:textId="77777777" w:rsidR="004B6772" w:rsidRPr="004B6772" w:rsidRDefault="004B6772" w:rsidP="004B6772">
      <w:pPr>
        <w:spacing w:after="240"/>
        <w:rPr>
          <w:rFonts w:ascii="Helvetica Neue" w:eastAsia="Times New Roman" w:hAnsi="Helvetica Neue" w:cs="Times New Roman"/>
          <w:color w:val="333333"/>
          <w:sz w:val="23"/>
          <w:szCs w:val="23"/>
        </w:rPr>
      </w:pPr>
      <w:r w:rsidRPr="004B6772">
        <w:rPr>
          <w:rFonts w:ascii="Helvetica Neue" w:eastAsia="Times New Roman" w:hAnsi="Helvetica Neue" w:cs="Times New Roman"/>
          <w:i/>
          <w:iCs/>
          <w:color w:val="333333"/>
          <w:sz w:val="23"/>
          <w:szCs w:val="23"/>
        </w:rPr>
        <w:t>Integrating Critical and Contextual Studies in Art and Design</w:t>
      </w:r>
      <w:r w:rsidRPr="004B6772">
        <w:rPr>
          <w:rFonts w:ascii="Helvetica Neue" w:eastAsia="Times New Roman" w:hAnsi="Helvetica Neue" w:cs="Times New Roman"/>
          <w:color w:val="333333"/>
          <w:sz w:val="23"/>
          <w:szCs w:val="23"/>
        </w:rPr>
        <w:t xml:space="preserve"> offers a comprehensive analysis of the current drive towards integration within art education, and elucidates what we understand by the theory and practice of integration. It explores the history, theory, teaching and student experience of CCS, and will be of interest to lecturers, </w:t>
      </w:r>
      <w:r w:rsidRPr="004B6772">
        <w:rPr>
          <w:rFonts w:ascii="Helvetica Neue" w:eastAsia="Times New Roman" w:hAnsi="Helvetica Neue" w:cs="Times New Roman"/>
          <w:color w:val="333333"/>
          <w:sz w:val="23"/>
          <w:szCs w:val="23"/>
        </w:rPr>
        <w:lastRenderedPageBreak/>
        <w:t>teachers and pedagogues involved in art and design as well as researchers and students of art education.</w:t>
      </w:r>
    </w:p>
    <w:p w14:paraId="3EC72C1A" w14:textId="7FAC7B1B" w:rsidR="00A2513C" w:rsidRDefault="00A2513C"/>
    <w:p w14:paraId="16FBC3C8" w14:textId="6AA8FBB8" w:rsidR="000F37BF" w:rsidRDefault="000F37BF"/>
    <w:p w14:paraId="6FCDBB9A" w14:textId="77777777" w:rsidR="000F37BF" w:rsidRDefault="000F37BF"/>
    <w:p w14:paraId="168D37FD" w14:textId="77777777" w:rsidR="000F37BF" w:rsidRPr="000F37BF" w:rsidRDefault="000F37BF" w:rsidP="000F37BF">
      <w:pPr>
        <w:pBdr>
          <w:top w:val="single" w:sz="36" w:space="8" w:color="0955A8"/>
        </w:pBdr>
        <w:spacing w:after="300"/>
        <w:outlineLvl w:val="2"/>
        <w:rPr>
          <w:rFonts w:ascii="Open Sans" w:eastAsia="Times New Roman" w:hAnsi="Open Sans" w:cs="Open Sans"/>
          <w:color w:val="0955A8"/>
          <w:sz w:val="35"/>
          <w:szCs w:val="35"/>
        </w:rPr>
      </w:pPr>
      <w:r w:rsidRPr="000F37BF">
        <w:rPr>
          <w:rFonts w:ascii="Open Sans" w:eastAsia="Times New Roman" w:hAnsi="Open Sans" w:cs="Open Sans"/>
          <w:color w:val="0955A8"/>
          <w:sz w:val="35"/>
          <w:szCs w:val="35"/>
        </w:rPr>
        <w:t>Table of Contents</w:t>
      </w:r>
    </w:p>
    <w:p w14:paraId="42A99B02" w14:textId="77777777" w:rsidR="000F37BF" w:rsidRPr="000F37BF" w:rsidRDefault="000F37BF" w:rsidP="000F37BF">
      <w:pPr>
        <w:spacing w:after="240"/>
        <w:rPr>
          <w:rFonts w:ascii="Helvetica Neue" w:eastAsia="Times New Roman" w:hAnsi="Helvetica Neue" w:cs="Times New Roman"/>
          <w:color w:val="333333"/>
          <w:sz w:val="23"/>
          <w:szCs w:val="23"/>
        </w:rPr>
      </w:pPr>
      <w:r w:rsidRPr="000F37BF">
        <w:rPr>
          <w:rFonts w:ascii="Helvetica Neue" w:eastAsia="Times New Roman" w:hAnsi="Helvetica Neue" w:cs="Times New Roman"/>
          <w:b/>
          <w:bCs/>
          <w:color w:val="333333"/>
          <w:sz w:val="23"/>
          <w:szCs w:val="23"/>
        </w:rPr>
        <w:t>1.</w:t>
      </w:r>
      <w:r w:rsidRPr="000F37BF">
        <w:rPr>
          <w:rFonts w:ascii="Helvetica Neue" w:eastAsia="Times New Roman" w:hAnsi="Helvetica Neue" w:cs="Times New Roman"/>
          <w:color w:val="333333"/>
          <w:sz w:val="23"/>
          <w:szCs w:val="23"/>
        </w:rPr>
        <w:t xml:space="preserve"> CCS in a changing landscape: What </w:t>
      </w:r>
      <w:proofErr w:type="gramStart"/>
      <w:r w:rsidRPr="000F37BF">
        <w:rPr>
          <w:rFonts w:ascii="Helvetica Neue" w:eastAsia="Times New Roman" w:hAnsi="Helvetica Neue" w:cs="Times New Roman"/>
          <w:color w:val="333333"/>
          <w:sz w:val="23"/>
          <w:szCs w:val="23"/>
        </w:rPr>
        <w:t>is</w:t>
      </w:r>
      <w:proofErr w:type="gramEnd"/>
      <w:r w:rsidRPr="000F37BF">
        <w:rPr>
          <w:rFonts w:ascii="Helvetica Neue" w:eastAsia="Times New Roman" w:hAnsi="Helvetica Neue" w:cs="Times New Roman"/>
          <w:color w:val="333333"/>
          <w:sz w:val="23"/>
          <w:szCs w:val="23"/>
        </w:rPr>
        <w:t xml:space="preserve"> CCS, where has it come from and why be concerned about it in an art and design curriculum? </w:t>
      </w:r>
      <w:r w:rsidRPr="000F37BF">
        <w:rPr>
          <w:rFonts w:ascii="Helvetica Neue" w:eastAsia="Times New Roman" w:hAnsi="Helvetica Neue" w:cs="Times New Roman"/>
          <w:b/>
          <w:bCs/>
          <w:color w:val="333333"/>
          <w:sz w:val="23"/>
          <w:szCs w:val="23"/>
        </w:rPr>
        <w:t>2.</w:t>
      </w:r>
      <w:r w:rsidRPr="000F37BF">
        <w:rPr>
          <w:rFonts w:ascii="Helvetica Neue" w:eastAsia="Times New Roman" w:hAnsi="Helvetica Neue" w:cs="Times New Roman"/>
          <w:color w:val="333333"/>
          <w:sz w:val="23"/>
          <w:szCs w:val="23"/>
        </w:rPr>
        <w:t> Theory/Practice: tales of turbulence </w:t>
      </w:r>
      <w:r w:rsidRPr="000F37BF">
        <w:rPr>
          <w:rFonts w:ascii="Helvetica Neue" w:eastAsia="Times New Roman" w:hAnsi="Helvetica Neue" w:cs="Times New Roman"/>
          <w:b/>
          <w:bCs/>
          <w:color w:val="333333"/>
          <w:sz w:val="23"/>
          <w:szCs w:val="23"/>
        </w:rPr>
        <w:t>3.</w:t>
      </w:r>
      <w:r w:rsidRPr="000F37BF">
        <w:rPr>
          <w:rFonts w:ascii="Helvetica Neue" w:eastAsia="Times New Roman" w:hAnsi="Helvetica Neue" w:cs="Times New Roman"/>
          <w:color w:val="333333"/>
          <w:sz w:val="23"/>
          <w:szCs w:val="23"/>
        </w:rPr>
        <w:t> The meaning of, and possibilities for, integration </w:t>
      </w:r>
      <w:r w:rsidRPr="000F37BF">
        <w:rPr>
          <w:rFonts w:ascii="Helvetica Neue" w:eastAsia="Times New Roman" w:hAnsi="Helvetica Neue" w:cs="Times New Roman"/>
          <w:b/>
          <w:bCs/>
          <w:color w:val="333333"/>
          <w:sz w:val="23"/>
          <w:szCs w:val="23"/>
        </w:rPr>
        <w:t>4.</w:t>
      </w:r>
      <w:r w:rsidRPr="000F37BF">
        <w:rPr>
          <w:rFonts w:ascii="Helvetica Neue" w:eastAsia="Times New Roman" w:hAnsi="Helvetica Neue" w:cs="Times New Roman"/>
          <w:color w:val="333333"/>
          <w:sz w:val="23"/>
          <w:szCs w:val="23"/>
        </w:rPr>
        <w:t> Case study examples: Introducing elements of the research process </w:t>
      </w:r>
      <w:proofErr w:type="gramStart"/>
      <w:r w:rsidRPr="000F37BF">
        <w:rPr>
          <w:rFonts w:ascii="Helvetica Neue" w:eastAsia="Times New Roman" w:hAnsi="Helvetica Neue" w:cs="Times New Roman"/>
          <w:b/>
          <w:bCs/>
          <w:color w:val="333333"/>
          <w:sz w:val="23"/>
          <w:szCs w:val="23"/>
        </w:rPr>
        <w:t>5.</w:t>
      </w:r>
      <w:r w:rsidRPr="000F37BF">
        <w:rPr>
          <w:rFonts w:ascii="Helvetica Neue" w:eastAsia="Times New Roman" w:hAnsi="Helvetica Neue" w:cs="Times New Roman"/>
          <w:color w:val="333333"/>
          <w:sz w:val="23"/>
          <w:szCs w:val="23"/>
        </w:rPr>
        <w:t>Locating</w:t>
      </w:r>
      <w:proofErr w:type="gramEnd"/>
      <w:r w:rsidRPr="000F37BF">
        <w:rPr>
          <w:rFonts w:ascii="Helvetica Neue" w:eastAsia="Times New Roman" w:hAnsi="Helvetica Neue" w:cs="Times New Roman"/>
          <w:color w:val="333333"/>
          <w:sz w:val="23"/>
          <w:szCs w:val="23"/>
        </w:rPr>
        <w:t xml:space="preserve"> theory: the lecture theatre and the studio </w:t>
      </w:r>
      <w:r w:rsidRPr="000F37BF">
        <w:rPr>
          <w:rFonts w:ascii="Helvetica Neue" w:eastAsia="Times New Roman" w:hAnsi="Helvetica Neue" w:cs="Times New Roman"/>
          <w:b/>
          <w:bCs/>
          <w:color w:val="333333"/>
          <w:sz w:val="23"/>
          <w:szCs w:val="23"/>
        </w:rPr>
        <w:t>6. </w:t>
      </w:r>
      <w:r w:rsidRPr="000F37BF">
        <w:rPr>
          <w:rFonts w:ascii="Helvetica Neue" w:eastAsia="Times New Roman" w:hAnsi="Helvetica Neue" w:cs="Times New Roman"/>
          <w:color w:val="333333"/>
          <w:sz w:val="23"/>
          <w:szCs w:val="23"/>
        </w:rPr>
        <w:t>Types of ‘Theory’ and Points of Tension: issues of form and content </w:t>
      </w:r>
      <w:r w:rsidRPr="000F37BF">
        <w:rPr>
          <w:rFonts w:ascii="Helvetica Neue" w:eastAsia="Times New Roman" w:hAnsi="Helvetica Neue" w:cs="Times New Roman"/>
          <w:b/>
          <w:bCs/>
          <w:color w:val="333333"/>
          <w:sz w:val="23"/>
          <w:szCs w:val="23"/>
        </w:rPr>
        <w:t>7. </w:t>
      </w:r>
      <w:r w:rsidRPr="000F37BF">
        <w:rPr>
          <w:rFonts w:ascii="Helvetica Neue" w:eastAsia="Times New Roman" w:hAnsi="Helvetica Neue" w:cs="Times New Roman"/>
          <w:color w:val="333333"/>
          <w:sz w:val="23"/>
          <w:szCs w:val="23"/>
        </w:rPr>
        <w:t>Subject and staff identities and cultures </w:t>
      </w:r>
      <w:r w:rsidRPr="000F37BF">
        <w:rPr>
          <w:rFonts w:ascii="Helvetica Neue" w:eastAsia="Times New Roman" w:hAnsi="Helvetica Neue" w:cs="Times New Roman"/>
          <w:b/>
          <w:bCs/>
          <w:color w:val="333333"/>
          <w:sz w:val="23"/>
          <w:szCs w:val="23"/>
        </w:rPr>
        <w:t>8. </w:t>
      </w:r>
      <w:r w:rsidRPr="000F37BF">
        <w:rPr>
          <w:rFonts w:ascii="Helvetica Neue" w:eastAsia="Times New Roman" w:hAnsi="Helvetica Neue" w:cs="Times New Roman"/>
          <w:color w:val="333333"/>
          <w:sz w:val="23"/>
          <w:szCs w:val="23"/>
        </w:rPr>
        <w:t>Approaches to integrating CCS: Where does integration reside? </w:t>
      </w:r>
      <w:r w:rsidRPr="000F37BF">
        <w:rPr>
          <w:rFonts w:ascii="Helvetica Neue" w:eastAsia="Times New Roman" w:hAnsi="Helvetica Neue" w:cs="Times New Roman"/>
          <w:b/>
          <w:bCs/>
          <w:color w:val="333333"/>
          <w:sz w:val="23"/>
          <w:szCs w:val="23"/>
        </w:rPr>
        <w:t>9.</w:t>
      </w:r>
      <w:r w:rsidRPr="000F37BF">
        <w:rPr>
          <w:rFonts w:ascii="Helvetica Neue" w:eastAsia="Times New Roman" w:hAnsi="Helvetica Neue" w:cs="Times New Roman"/>
          <w:color w:val="333333"/>
          <w:sz w:val="23"/>
          <w:szCs w:val="23"/>
        </w:rPr>
        <w:t> Concluding considerations and recommendations</w:t>
      </w:r>
    </w:p>
    <w:p w14:paraId="041E787C" w14:textId="42A2E327" w:rsidR="000F37BF" w:rsidRDefault="000F37BF"/>
    <w:p w14:paraId="01470978" w14:textId="77777777" w:rsidR="000F37BF" w:rsidRPr="000F37BF" w:rsidRDefault="000F37BF" w:rsidP="000F37BF">
      <w:pPr>
        <w:pBdr>
          <w:top w:val="single" w:sz="36" w:space="8" w:color="0955A8"/>
        </w:pBdr>
        <w:spacing w:after="300"/>
        <w:outlineLvl w:val="2"/>
        <w:rPr>
          <w:rFonts w:ascii="Open Sans" w:eastAsia="Times New Roman" w:hAnsi="Open Sans" w:cs="Open Sans"/>
          <w:color w:val="0955A8"/>
          <w:sz w:val="35"/>
          <w:szCs w:val="35"/>
        </w:rPr>
      </w:pPr>
      <w:r w:rsidRPr="000F37BF">
        <w:rPr>
          <w:rFonts w:ascii="Open Sans" w:eastAsia="Times New Roman" w:hAnsi="Open Sans" w:cs="Open Sans"/>
          <w:color w:val="0955A8"/>
          <w:sz w:val="35"/>
          <w:szCs w:val="35"/>
        </w:rPr>
        <w:t>About the Author</w:t>
      </w:r>
    </w:p>
    <w:p w14:paraId="1D42DF8B" w14:textId="77777777" w:rsidR="000F37BF" w:rsidRPr="000F37BF" w:rsidRDefault="000F37BF" w:rsidP="000F37BF">
      <w:pPr>
        <w:spacing w:after="240"/>
        <w:rPr>
          <w:rFonts w:ascii="Helvetica Neue" w:eastAsia="Times New Roman" w:hAnsi="Helvetica Neue" w:cs="Times New Roman"/>
          <w:color w:val="333333"/>
          <w:sz w:val="23"/>
          <w:szCs w:val="23"/>
        </w:rPr>
      </w:pPr>
      <w:r w:rsidRPr="000F37BF">
        <w:rPr>
          <w:rFonts w:ascii="Helvetica Neue" w:eastAsia="Times New Roman" w:hAnsi="Helvetica Neue" w:cs="Times New Roman"/>
          <w:b/>
          <w:bCs/>
          <w:color w:val="333333"/>
          <w:sz w:val="23"/>
          <w:szCs w:val="23"/>
        </w:rPr>
        <w:t>Jenny Rintoul</w:t>
      </w:r>
      <w:r w:rsidRPr="000F37BF">
        <w:rPr>
          <w:rFonts w:ascii="Helvetica Neue" w:eastAsia="Times New Roman" w:hAnsi="Helvetica Neue" w:cs="Times New Roman"/>
          <w:color w:val="333333"/>
          <w:sz w:val="23"/>
          <w:szCs w:val="23"/>
        </w:rPr>
        <w:t xml:space="preserve"> is a senior lecturer in Visual Culture at the Faculty of Arts, Creative Industries and Education, University of the West of England, UK. She has previously worked as a dancer, a gallery educator and a Further Education (FE) teacher of Art and Design and History of Art. She has taught Critical and Contextual Studies across a range of FE and Higher Education (HE) </w:t>
      </w:r>
      <w:proofErr w:type="spellStart"/>
      <w:r w:rsidRPr="000F37BF">
        <w:rPr>
          <w:rFonts w:ascii="Helvetica Neue" w:eastAsia="Times New Roman" w:hAnsi="Helvetica Neue" w:cs="Times New Roman"/>
          <w:color w:val="333333"/>
          <w:sz w:val="23"/>
          <w:szCs w:val="23"/>
        </w:rPr>
        <w:t>programmes</w:t>
      </w:r>
      <w:proofErr w:type="spellEnd"/>
      <w:r w:rsidRPr="000F37BF">
        <w:rPr>
          <w:rFonts w:ascii="Helvetica Neue" w:eastAsia="Times New Roman" w:hAnsi="Helvetica Neue" w:cs="Times New Roman"/>
          <w:color w:val="333333"/>
          <w:sz w:val="23"/>
          <w:szCs w:val="23"/>
        </w:rPr>
        <w:t xml:space="preserve"> within Performing Arts, Musical Theatre and Art and Design.</w:t>
      </w:r>
    </w:p>
    <w:p w14:paraId="7DF131B2" w14:textId="77777777" w:rsidR="000F37BF" w:rsidRDefault="000F37BF">
      <w:bookmarkStart w:id="0" w:name="_GoBack"/>
      <w:bookmarkEnd w:id="0"/>
    </w:p>
    <w:sectPr w:rsidR="000F37BF" w:rsidSect="00CB0BC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4805"/>
    <w:multiLevelType w:val="multilevel"/>
    <w:tmpl w:val="588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72"/>
    <w:rsid w:val="000F37BF"/>
    <w:rsid w:val="004B6772"/>
    <w:rsid w:val="00A2513C"/>
    <w:rsid w:val="00CB0BCF"/>
    <w:rsid w:val="00E7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94244"/>
  <w15:chartTrackingRefBased/>
  <w15:docId w15:val="{5D73EF20-CFDD-F740-9634-A4DE9F47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F37B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77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B6772"/>
    <w:rPr>
      <w:i/>
      <w:iCs/>
    </w:rPr>
  </w:style>
  <w:style w:type="character" w:customStyle="1" w:styleId="apple-converted-space">
    <w:name w:val="apple-converted-space"/>
    <w:basedOn w:val="DefaultParagraphFont"/>
    <w:rsid w:val="004B6772"/>
  </w:style>
  <w:style w:type="character" w:customStyle="1" w:styleId="Heading3Char">
    <w:name w:val="Heading 3 Char"/>
    <w:basedOn w:val="DefaultParagraphFont"/>
    <w:link w:val="Heading3"/>
    <w:uiPriority w:val="9"/>
    <w:rsid w:val="000F37BF"/>
    <w:rPr>
      <w:rFonts w:ascii="Times New Roman" w:eastAsia="Times New Roman" w:hAnsi="Times New Roman" w:cs="Times New Roman"/>
      <w:b/>
      <w:bCs/>
      <w:sz w:val="27"/>
      <w:szCs w:val="27"/>
    </w:rPr>
  </w:style>
  <w:style w:type="character" w:styleId="Strong">
    <w:name w:val="Strong"/>
    <w:basedOn w:val="DefaultParagraphFont"/>
    <w:uiPriority w:val="22"/>
    <w:qFormat/>
    <w:rsid w:val="000F3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170111">
      <w:bodyDiv w:val="1"/>
      <w:marLeft w:val="0"/>
      <w:marRight w:val="0"/>
      <w:marTop w:val="0"/>
      <w:marBottom w:val="0"/>
      <w:divBdr>
        <w:top w:val="none" w:sz="0" w:space="0" w:color="auto"/>
        <w:left w:val="none" w:sz="0" w:space="0" w:color="auto"/>
        <w:bottom w:val="none" w:sz="0" w:space="0" w:color="auto"/>
        <w:right w:val="none" w:sz="0" w:space="0" w:color="auto"/>
      </w:divBdr>
      <w:divsChild>
        <w:div w:id="905333676">
          <w:marLeft w:val="0"/>
          <w:marRight w:val="0"/>
          <w:marTop w:val="0"/>
          <w:marBottom w:val="0"/>
          <w:divBdr>
            <w:top w:val="none" w:sz="0" w:space="0" w:color="auto"/>
            <w:left w:val="none" w:sz="0" w:space="0" w:color="auto"/>
            <w:bottom w:val="none" w:sz="0" w:space="0" w:color="auto"/>
            <w:right w:val="none" w:sz="0" w:space="0" w:color="auto"/>
          </w:divBdr>
        </w:div>
      </w:divsChild>
    </w:div>
    <w:div w:id="388769893">
      <w:bodyDiv w:val="1"/>
      <w:marLeft w:val="0"/>
      <w:marRight w:val="0"/>
      <w:marTop w:val="0"/>
      <w:marBottom w:val="0"/>
      <w:divBdr>
        <w:top w:val="none" w:sz="0" w:space="0" w:color="auto"/>
        <w:left w:val="none" w:sz="0" w:space="0" w:color="auto"/>
        <w:bottom w:val="none" w:sz="0" w:space="0" w:color="auto"/>
        <w:right w:val="none" w:sz="0" w:space="0" w:color="auto"/>
      </w:divBdr>
    </w:div>
    <w:div w:id="536628737">
      <w:bodyDiv w:val="1"/>
      <w:marLeft w:val="0"/>
      <w:marRight w:val="0"/>
      <w:marTop w:val="0"/>
      <w:marBottom w:val="0"/>
      <w:divBdr>
        <w:top w:val="none" w:sz="0" w:space="0" w:color="auto"/>
        <w:left w:val="none" w:sz="0" w:space="0" w:color="auto"/>
        <w:bottom w:val="none" w:sz="0" w:space="0" w:color="auto"/>
        <w:right w:val="none" w:sz="0" w:space="0" w:color="auto"/>
      </w:divBdr>
    </w:div>
    <w:div w:id="714937057">
      <w:bodyDiv w:val="1"/>
      <w:marLeft w:val="0"/>
      <w:marRight w:val="0"/>
      <w:marTop w:val="0"/>
      <w:marBottom w:val="0"/>
      <w:divBdr>
        <w:top w:val="none" w:sz="0" w:space="0" w:color="auto"/>
        <w:left w:val="none" w:sz="0" w:space="0" w:color="auto"/>
        <w:bottom w:val="none" w:sz="0" w:space="0" w:color="auto"/>
        <w:right w:val="none" w:sz="0" w:space="0" w:color="auto"/>
      </w:divBdr>
    </w:div>
    <w:div w:id="17111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Rintoul</dc:creator>
  <cp:keywords/>
  <dc:description/>
  <cp:lastModifiedBy>Jenny Rintoul</cp:lastModifiedBy>
  <cp:revision>2</cp:revision>
  <dcterms:created xsi:type="dcterms:W3CDTF">2019-05-10T14:51:00Z</dcterms:created>
  <dcterms:modified xsi:type="dcterms:W3CDTF">2019-05-10T14:53:00Z</dcterms:modified>
</cp:coreProperties>
</file>