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C6F47" w14:textId="418BC781" w:rsidR="008E1699" w:rsidRPr="004E0468" w:rsidRDefault="008E1699" w:rsidP="008E1699">
      <w:pPr>
        <w:pStyle w:val="Articletitle"/>
        <w:jc w:val="center"/>
      </w:pPr>
      <w:r w:rsidRPr="004E0468">
        <w:t xml:space="preserve">Towards a more circular economy: Exploring the awareness, practices, and barriers from a </w:t>
      </w:r>
      <w:r w:rsidR="00F5578F" w:rsidRPr="004E0468">
        <w:t>focal firm</w:t>
      </w:r>
      <w:r w:rsidRPr="004E0468">
        <w:t xml:space="preserve"> perspective</w:t>
      </w:r>
    </w:p>
    <w:p w14:paraId="6359C764" w14:textId="6C5D9A0A" w:rsidR="008E1699" w:rsidRPr="004E0468" w:rsidRDefault="001F3A27" w:rsidP="0008403C">
      <w:pPr>
        <w:pStyle w:val="Abstract"/>
        <w:jc w:val="both"/>
        <w:rPr>
          <w:sz w:val="23"/>
          <w:szCs w:val="23"/>
        </w:rPr>
      </w:pPr>
      <w:r w:rsidRPr="004E0468">
        <w:rPr>
          <w:sz w:val="23"/>
          <w:szCs w:val="23"/>
        </w:rPr>
        <w:t xml:space="preserve">The </w:t>
      </w:r>
      <w:r w:rsidR="00560A41" w:rsidRPr="004E0468">
        <w:rPr>
          <w:sz w:val="23"/>
          <w:szCs w:val="23"/>
        </w:rPr>
        <w:t>c</w:t>
      </w:r>
      <w:r w:rsidRPr="004E0468">
        <w:rPr>
          <w:sz w:val="23"/>
          <w:szCs w:val="23"/>
        </w:rPr>
        <w:t xml:space="preserve">ircular </w:t>
      </w:r>
      <w:r w:rsidR="00560A41" w:rsidRPr="004E0468">
        <w:rPr>
          <w:sz w:val="23"/>
          <w:szCs w:val="23"/>
        </w:rPr>
        <w:t>e</w:t>
      </w:r>
      <w:r w:rsidRPr="004E0468">
        <w:rPr>
          <w:sz w:val="23"/>
          <w:szCs w:val="23"/>
        </w:rPr>
        <w:t>conomy</w:t>
      </w:r>
      <w:r w:rsidR="00560A41" w:rsidRPr="004E0468">
        <w:rPr>
          <w:sz w:val="23"/>
          <w:szCs w:val="23"/>
        </w:rPr>
        <w:t xml:space="preserve"> (CE)</w:t>
      </w:r>
      <w:r w:rsidRPr="004E0468">
        <w:rPr>
          <w:sz w:val="23"/>
          <w:szCs w:val="23"/>
        </w:rPr>
        <w:t xml:space="preserve"> proposes an economic framework</w:t>
      </w:r>
      <w:r w:rsidR="00F85EB3" w:rsidRPr="004E0468">
        <w:rPr>
          <w:sz w:val="23"/>
          <w:szCs w:val="23"/>
        </w:rPr>
        <w:t>,</w:t>
      </w:r>
      <w:r w:rsidRPr="004E0468">
        <w:rPr>
          <w:sz w:val="23"/>
          <w:szCs w:val="23"/>
        </w:rPr>
        <w:t xml:space="preserve"> restorative and regenerative by intention and design, based on circular flows of products and materials. </w:t>
      </w:r>
      <w:r w:rsidR="007B0865" w:rsidRPr="004E0468">
        <w:rPr>
          <w:sz w:val="23"/>
          <w:szCs w:val="23"/>
        </w:rPr>
        <w:t>A</w:t>
      </w:r>
      <w:r w:rsidR="00BF6BA9" w:rsidRPr="004E0468">
        <w:rPr>
          <w:sz w:val="23"/>
          <w:szCs w:val="23"/>
        </w:rPr>
        <w:t xml:space="preserve"> transition towards a </w:t>
      </w:r>
      <w:r w:rsidR="00560A41" w:rsidRPr="004E0468">
        <w:rPr>
          <w:sz w:val="23"/>
          <w:szCs w:val="23"/>
        </w:rPr>
        <w:t>CE</w:t>
      </w:r>
      <w:r w:rsidR="00BF6BA9" w:rsidRPr="004E0468">
        <w:rPr>
          <w:sz w:val="23"/>
          <w:szCs w:val="23"/>
        </w:rPr>
        <w:t xml:space="preserve"> is already </w:t>
      </w:r>
      <w:r w:rsidR="00150C00" w:rsidRPr="004E0468">
        <w:rPr>
          <w:sz w:val="23"/>
          <w:szCs w:val="23"/>
        </w:rPr>
        <w:t>underway</w:t>
      </w:r>
      <w:r w:rsidR="007B0865" w:rsidRPr="004E0468">
        <w:rPr>
          <w:sz w:val="23"/>
          <w:szCs w:val="23"/>
        </w:rPr>
        <w:t>, and an u</w:t>
      </w:r>
      <w:r w:rsidRPr="004E0468">
        <w:rPr>
          <w:sz w:val="23"/>
          <w:szCs w:val="23"/>
        </w:rPr>
        <w:t xml:space="preserve">nderstanding </w:t>
      </w:r>
      <w:r w:rsidR="007B0865" w:rsidRPr="004E0468">
        <w:rPr>
          <w:sz w:val="23"/>
          <w:szCs w:val="23"/>
        </w:rPr>
        <w:t xml:space="preserve">of </w:t>
      </w:r>
      <w:r w:rsidRPr="004E0468">
        <w:rPr>
          <w:sz w:val="23"/>
          <w:szCs w:val="23"/>
        </w:rPr>
        <w:t xml:space="preserve">the nature and the state of this transition is </w:t>
      </w:r>
      <w:r w:rsidR="00463342" w:rsidRPr="004E0468">
        <w:rPr>
          <w:sz w:val="23"/>
          <w:szCs w:val="23"/>
        </w:rPr>
        <w:t>important</w:t>
      </w:r>
      <w:r w:rsidRPr="004E0468">
        <w:rPr>
          <w:sz w:val="23"/>
          <w:szCs w:val="23"/>
        </w:rPr>
        <w:t xml:space="preserve"> for the creation of effective policies and business strategies. </w:t>
      </w:r>
      <w:r w:rsidR="00463342" w:rsidRPr="004E0468">
        <w:rPr>
          <w:sz w:val="23"/>
          <w:szCs w:val="23"/>
        </w:rPr>
        <w:t xml:space="preserve">Some </w:t>
      </w:r>
      <w:r w:rsidR="00A00B81" w:rsidRPr="004E0468">
        <w:rPr>
          <w:sz w:val="23"/>
          <w:szCs w:val="23"/>
        </w:rPr>
        <w:t>studies have attempted</w:t>
      </w:r>
      <w:r w:rsidR="00BF6BA9" w:rsidRPr="004E0468">
        <w:rPr>
          <w:sz w:val="23"/>
          <w:szCs w:val="23"/>
        </w:rPr>
        <w:t xml:space="preserve"> to measure the implementation of the </w:t>
      </w:r>
      <w:r w:rsidR="00560A41" w:rsidRPr="004E0468">
        <w:rPr>
          <w:sz w:val="23"/>
          <w:szCs w:val="23"/>
        </w:rPr>
        <w:t>CE</w:t>
      </w:r>
      <w:r w:rsidR="00150C00" w:rsidRPr="004E0468">
        <w:rPr>
          <w:sz w:val="23"/>
          <w:szCs w:val="23"/>
        </w:rPr>
        <w:t xml:space="preserve">, </w:t>
      </w:r>
      <w:r w:rsidR="00F559E8" w:rsidRPr="004E0468">
        <w:rPr>
          <w:sz w:val="23"/>
          <w:szCs w:val="23"/>
        </w:rPr>
        <w:t>but they</w:t>
      </w:r>
      <w:r w:rsidR="00BF6BA9" w:rsidRPr="004E0468">
        <w:rPr>
          <w:sz w:val="23"/>
          <w:szCs w:val="23"/>
        </w:rPr>
        <w:t xml:space="preserve"> </w:t>
      </w:r>
      <w:r w:rsidR="00C3407E" w:rsidRPr="004E0468">
        <w:rPr>
          <w:sz w:val="23"/>
          <w:szCs w:val="23"/>
        </w:rPr>
        <w:t xml:space="preserve">have tended to </w:t>
      </w:r>
      <w:r w:rsidR="00BF6BA9" w:rsidRPr="004E0468">
        <w:rPr>
          <w:sz w:val="23"/>
          <w:szCs w:val="23"/>
        </w:rPr>
        <w:t>focus on specific contexts</w:t>
      </w:r>
      <w:r w:rsidRPr="004E0468">
        <w:rPr>
          <w:sz w:val="23"/>
          <w:szCs w:val="23"/>
        </w:rPr>
        <w:t xml:space="preserve"> and pockets of good practice</w:t>
      </w:r>
      <w:r w:rsidR="00BF6BA9" w:rsidRPr="004E0468">
        <w:rPr>
          <w:sz w:val="23"/>
          <w:szCs w:val="23"/>
        </w:rPr>
        <w:t xml:space="preserve">. </w:t>
      </w:r>
      <w:r w:rsidR="004E5937" w:rsidRPr="004E0468">
        <w:rPr>
          <w:sz w:val="23"/>
          <w:szCs w:val="23"/>
        </w:rPr>
        <w:t>This</w:t>
      </w:r>
      <w:r w:rsidR="00BF6BA9" w:rsidRPr="004E0468">
        <w:rPr>
          <w:sz w:val="23"/>
          <w:szCs w:val="23"/>
        </w:rPr>
        <w:t xml:space="preserve"> exploratory </w:t>
      </w:r>
      <w:r w:rsidR="00463342" w:rsidRPr="004E0468">
        <w:rPr>
          <w:sz w:val="23"/>
          <w:szCs w:val="23"/>
        </w:rPr>
        <w:t xml:space="preserve">survey based </w:t>
      </w:r>
      <w:r w:rsidR="00BF6BA9" w:rsidRPr="004E0468">
        <w:rPr>
          <w:sz w:val="23"/>
          <w:szCs w:val="23"/>
        </w:rPr>
        <w:t>s</w:t>
      </w:r>
      <w:r w:rsidR="005E037D" w:rsidRPr="004E0468">
        <w:rPr>
          <w:sz w:val="23"/>
          <w:szCs w:val="23"/>
        </w:rPr>
        <w:t>tudy</w:t>
      </w:r>
      <w:r w:rsidR="00463342" w:rsidRPr="004E0468">
        <w:rPr>
          <w:sz w:val="23"/>
          <w:szCs w:val="23"/>
        </w:rPr>
        <w:t xml:space="preserve"> of 77 </w:t>
      </w:r>
      <w:r w:rsidR="00560A41" w:rsidRPr="004E0468">
        <w:rPr>
          <w:sz w:val="23"/>
          <w:szCs w:val="23"/>
        </w:rPr>
        <w:t>companies</w:t>
      </w:r>
      <w:r w:rsidR="00BF6BA9" w:rsidRPr="004E0468">
        <w:rPr>
          <w:sz w:val="23"/>
          <w:szCs w:val="23"/>
        </w:rPr>
        <w:t xml:space="preserve"> investigates the </w:t>
      </w:r>
      <w:r w:rsidR="00463342" w:rsidRPr="004E0468">
        <w:rPr>
          <w:sz w:val="23"/>
          <w:szCs w:val="23"/>
        </w:rPr>
        <w:t>shift towards</w:t>
      </w:r>
      <w:r w:rsidR="00BF6BA9" w:rsidRPr="004E0468">
        <w:rPr>
          <w:sz w:val="23"/>
          <w:szCs w:val="23"/>
        </w:rPr>
        <w:t xml:space="preserve"> </w:t>
      </w:r>
      <w:r w:rsidR="00150C00" w:rsidRPr="004E0468">
        <w:rPr>
          <w:sz w:val="23"/>
          <w:szCs w:val="23"/>
        </w:rPr>
        <w:t xml:space="preserve">the </w:t>
      </w:r>
      <w:r w:rsidR="00560A41" w:rsidRPr="004E0468">
        <w:rPr>
          <w:sz w:val="23"/>
          <w:szCs w:val="23"/>
        </w:rPr>
        <w:t>CE</w:t>
      </w:r>
      <w:r w:rsidR="00BF6BA9" w:rsidRPr="004E0468">
        <w:rPr>
          <w:sz w:val="23"/>
          <w:szCs w:val="23"/>
        </w:rPr>
        <w:t xml:space="preserve"> using </w:t>
      </w:r>
      <w:r w:rsidR="004E5937" w:rsidRPr="004E0468">
        <w:rPr>
          <w:sz w:val="23"/>
          <w:szCs w:val="23"/>
        </w:rPr>
        <w:t xml:space="preserve">a comprehensive taxonomy of practices and barriers. </w:t>
      </w:r>
      <w:r w:rsidR="009D0F43" w:rsidRPr="004E0468">
        <w:rPr>
          <w:sz w:val="23"/>
          <w:szCs w:val="23"/>
        </w:rPr>
        <w:t>The results show that f</w:t>
      </w:r>
      <w:r w:rsidR="00237D8E" w:rsidRPr="004E0468">
        <w:rPr>
          <w:sz w:val="23"/>
          <w:szCs w:val="23"/>
        </w:rPr>
        <w:t xml:space="preserve">irms </w:t>
      </w:r>
      <w:r w:rsidR="00C3407E" w:rsidRPr="004E0468">
        <w:rPr>
          <w:sz w:val="23"/>
          <w:szCs w:val="23"/>
        </w:rPr>
        <w:t xml:space="preserve">favour </w:t>
      </w:r>
      <w:r w:rsidR="00237D8E" w:rsidRPr="004E0468">
        <w:rPr>
          <w:sz w:val="23"/>
          <w:szCs w:val="23"/>
        </w:rPr>
        <w:t>practices related to resource and energy utilisation efficiency</w:t>
      </w:r>
      <w:r w:rsidR="00355D0B" w:rsidRPr="004E0468">
        <w:rPr>
          <w:sz w:val="23"/>
          <w:szCs w:val="23"/>
        </w:rPr>
        <w:t>, while</w:t>
      </w:r>
      <w:r w:rsidR="00237D8E" w:rsidRPr="004E0468">
        <w:rPr>
          <w:sz w:val="23"/>
          <w:szCs w:val="23"/>
        </w:rPr>
        <w:t xml:space="preserve"> practices related to investment recovery, green purchasing and customer cooperation</w:t>
      </w:r>
      <w:r w:rsidR="00C3407E" w:rsidRPr="004E0468">
        <w:rPr>
          <w:sz w:val="23"/>
          <w:szCs w:val="23"/>
        </w:rPr>
        <w:t xml:space="preserve"> are less prevalent</w:t>
      </w:r>
      <w:r w:rsidR="00237D8E" w:rsidRPr="004E0468">
        <w:rPr>
          <w:sz w:val="23"/>
          <w:szCs w:val="23"/>
        </w:rPr>
        <w:t xml:space="preserve">. Eco-design practices and internal environmental management practices have a medium level of implementation. </w:t>
      </w:r>
      <w:r w:rsidR="00C3407E" w:rsidRPr="004E0468">
        <w:rPr>
          <w:sz w:val="23"/>
          <w:szCs w:val="23"/>
        </w:rPr>
        <w:t>The significant</w:t>
      </w:r>
      <w:r w:rsidR="00237D8E" w:rsidRPr="004E0468">
        <w:rPr>
          <w:sz w:val="23"/>
          <w:szCs w:val="23"/>
        </w:rPr>
        <w:t xml:space="preserve"> up-front investment cost and lack of awareness and sense of urgency</w:t>
      </w:r>
      <w:r w:rsidR="00C3407E" w:rsidRPr="004E0468">
        <w:rPr>
          <w:sz w:val="23"/>
          <w:szCs w:val="23"/>
        </w:rPr>
        <w:t xml:space="preserve"> were identified as barriers to implementation</w:t>
      </w:r>
      <w:r w:rsidR="00237D8E" w:rsidRPr="004E0468">
        <w:rPr>
          <w:sz w:val="23"/>
          <w:szCs w:val="23"/>
        </w:rPr>
        <w:t xml:space="preserve">. </w:t>
      </w:r>
      <w:r w:rsidR="00413773" w:rsidRPr="004E0468">
        <w:rPr>
          <w:sz w:val="23"/>
          <w:szCs w:val="23"/>
        </w:rPr>
        <w:t>The results suggest</w:t>
      </w:r>
      <w:r w:rsidR="00C3407E" w:rsidRPr="004E0468">
        <w:rPr>
          <w:sz w:val="23"/>
          <w:szCs w:val="23"/>
        </w:rPr>
        <w:t xml:space="preserve"> that the </w:t>
      </w:r>
      <w:r w:rsidR="00560A41" w:rsidRPr="004E0468">
        <w:rPr>
          <w:sz w:val="23"/>
          <w:szCs w:val="23"/>
        </w:rPr>
        <w:t>CE</w:t>
      </w:r>
      <w:r w:rsidR="004E5937" w:rsidRPr="004E0468">
        <w:rPr>
          <w:sz w:val="23"/>
          <w:szCs w:val="23"/>
        </w:rPr>
        <w:t xml:space="preserve"> </w:t>
      </w:r>
      <w:r w:rsidRPr="004E0468">
        <w:rPr>
          <w:sz w:val="23"/>
          <w:szCs w:val="23"/>
        </w:rPr>
        <w:t>is</w:t>
      </w:r>
      <w:r w:rsidR="00150C00" w:rsidRPr="004E0468">
        <w:rPr>
          <w:sz w:val="23"/>
          <w:szCs w:val="23"/>
        </w:rPr>
        <w:t xml:space="preserve"> </w:t>
      </w:r>
      <w:r w:rsidR="004E5937" w:rsidRPr="004E0468">
        <w:rPr>
          <w:sz w:val="23"/>
          <w:szCs w:val="23"/>
        </w:rPr>
        <w:t>still</w:t>
      </w:r>
      <w:r w:rsidR="00150C00" w:rsidRPr="004E0468">
        <w:rPr>
          <w:sz w:val="23"/>
          <w:szCs w:val="23"/>
        </w:rPr>
        <w:t xml:space="preserve"> </w:t>
      </w:r>
      <w:r w:rsidR="004E5937" w:rsidRPr="004E0468">
        <w:rPr>
          <w:sz w:val="23"/>
          <w:szCs w:val="23"/>
        </w:rPr>
        <w:t>driven by economi</w:t>
      </w:r>
      <w:r w:rsidR="00463342" w:rsidRPr="004E0468">
        <w:rPr>
          <w:sz w:val="23"/>
          <w:szCs w:val="23"/>
        </w:rPr>
        <w:t>c</w:t>
      </w:r>
      <w:r w:rsidR="004E5937" w:rsidRPr="004E0468">
        <w:rPr>
          <w:sz w:val="23"/>
          <w:szCs w:val="23"/>
        </w:rPr>
        <w:t xml:space="preserve"> rather than environmental </w:t>
      </w:r>
      <w:r w:rsidR="00560A41" w:rsidRPr="004E0468">
        <w:rPr>
          <w:sz w:val="23"/>
          <w:szCs w:val="23"/>
        </w:rPr>
        <w:t>considerations</w:t>
      </w:r>
      <w:r w:rsidR="00355D0B" w:rsidRPr="004E0468">
        <w:rPr>
          <w:sz w:val="23"/>
          <w:szCs w:val="23"/>
        </w:rPr>
        <w:t>, and that th</w:t>
      </w:r>
      <w:r w:rsidR="00C3407E" w:rsidRPr="004E0468">
        <w:rPr>
          <w:sz w:val="23"/>
          <w:szCs w:val="23"/>
        </w:rPr>
        <w:t>e</w:t>
      </w:r>
      <w:r w:rsidR="00237D8E" w:rsidRPr="004E0468">
        <w:rPr>
          <w:sz w:val="23"/>
          <w:szCs w:val="23"/>
        </w:rPr>
        <w:t xml:space="preserve"> </w:t>
      </w:r>
      <w:r w:rsidR="00C3407E" w:rsidRPr="004E0468">
        <w:rPr>
          <w:sz w:val="23"/>
          <w:szCs w:val="23"/>
        </w:rPr>
        <w:t>deployment of pra</w:t>
      </w:r>
      <w:r w:rsidR="00355D0B" w:rsidRPr="004E0468">
        <w:rPr>
          <w:sz w:val="23"/>
          <w:szCs w:val="23"/>
        </w:rPr>
        <w:t>c</w:t>
      </w:r>
      <w:r w:rsidR="00C3407E" w:rsidRPr="004E0468">
        <w:rPr>
          <w:sz w:val="23"/>
          <w:szCs w:val="23"/>
        </w:rPr>
        <w:t xml:space="preserve">tices remains within a firm rather than across the supply chain. </w:t>
      </w:r>
    </w:p>
    <w:p w14:paraId="14EE7C85" w14:textId="5F73EF19" w:rsidR="0020415E" w:rsidRPr="004E0468" w:rsidRDefault="00997B0F" w:rsidP="0058102A">
      <w:pPr>
        <w:pStyle w:val="Keywords"/>
        <w:jc w:val="both"/>
      </w:pPr>
      <w:r w:rsidRPr="004E0468">
        <w:t xml:space="preserve">Keywords: </w:t>
      </w:r>
      <w:r w:rsidR="004E5937" w:rsidRPr="004E0468">
        <w:t xml:space="preserve">Circular Economy, </w:t>
      </w:r>
      <w:r w:rsidR="00A00B81" w:rsidRPr="004E0468">
        <w:t>Exploratory</w:t>
      </w:r>
      <w:r w:rsidR="00985FF0" w:rsidRPr="004E0468">
        <w:t xml:space="preserve">, </w:t>
      </w:r>
      <w:r w:rsidR="008E1699" w:rsidRPr="004E0468">
        <w:t>Practices, Barriers, Awareness</w:t>
      </w:r>
    </w:p>
    <w:p w14:paraId="2A08775D" w14:textId="66E3351D" w:rsidR="006312E0" w:rsidRPr="004E0468" w:rsidRDefault="005B3FBA" w:rsidP="00912154">
      <w:pPr>
        <w:pStyle w:val="Tabletitle"/>
      </w:pPr>
      <w:r w:rsidRPr="004E0468">
        <w:br w:type="page"/>
      </w:r>
    </w:p>
    <w:p w14:paraId="21D7E887" w14:textId="753CFA82" w:rsidR="006312E0" w:rsidRPr="004E0468" w:rsidRDefault="00780BD9" w:rsidP="00CE0233">
      <w:pPr>
        <w:pStyle w:val="Heading1"/>
        <w:numPr>
          <w:ilvl w:val="0"/>
          <w:numId w:val="5"/>
        </w:numPr>
        <w:ind w:left="426" w:hanging="426"/>
      </w:pPr>
      <w:r w:rsidRPr="004E0468">
        <w:lastRenderedPageBreak/>
        <w:t>Introduction</w:t>
      </w:r>
    </w:p>
    <w:p w14:paraId="1BF61878" w14:textId="75D060BE" w:rsidR="003B7FA4" w:rsidRPr="004E0468" w:rsidRDefault="00560A41" w:rsidP="00FF530C">
      <w:pPr>
        <w:jc w:val="both"/>
      </w:pPr>
      <w:r w:rsidRPr="004E0468">
        <w:t>The last 20 years have seen a rapid increase in awareness of the environmental impact of industrialisation.</w:t>
      </w:r>
      <w:r w:rsidR="003B7FA4" w:rsidRPr="004E0468">
        <w:t xml:space="preserve"> The first “green” </w:t>
      </w:r>
      <w:r w:rsidR="00EC1F01" w:rsidRPr="004E0468">
        <w:t>solutions reshaped specific components of the broader economic framework</w:t>
      </w:r>
      <w:r w:rsidR="002E085C" w:rsidRPr="004E0468">
        <w:t xml:space="preserve">, creating </w:t>
      </w:r>
      <w:r w:rsidR="008F7A9F" w:rsidRPr="004E0468">
        <w:t>a trade-off between economic and environmental objectives</w:t>
      </w:r>
      <w:r w:rsidR="00D867CD" w:rsidRPr="004E0468">
        <w:t xml:space="preserve"> (</w:t>
      </w:r>
      <w:proofErr w:type="spellStart"/>
      <w:r w:rsidR="003F716C" w:rsidRPr="004E0468">
        <w:t>Chien</w:t>
      </w:r>
      <w:proofErr w:type="spellEnd"/>
      <w:r w:rsidR="003F716C" w:rsidRPr="004E0468">
        <w:t xml:space="preserve"> and Shih 2007; </w:t>
      </w:r>
      <w:proofErr w:type="spellStart"/>
      <w:r w:rsidR="008859A9" w:rsidRPr="004E0468">
        <w:t>Pagell</w:t>
      </w:r>
      <w:proofErr w:type="spellEnd"/>
      <w:r w:rsidR="008859A9" w:rsidRPr="004E0468">
        <w:t xml:space="preserve"> and</w:t>
      </w:r>
      <w:r w:rsidR="00FB1C40" w:rsidRPr="004E0468">
        <w:t xml:space="preserve"> Shevchenko</w:t>
      </w:r>
      <w:r w:rsidR="008859A9" w:rsidRPr="004E0468">
        <w:t xml:space="preserve"> 2014)</w:t>
      </w:r>
      <w:r w:rsidR="008F7A9F" w:rsidRPr="004E0468">
        <w:t xml:space="preserve">. </w:t>
      </w:r>
      <w:r w:rsidR="00EC1F01" w:rsidRPr="004E0468">
        <w:t xml:space="preserve">Examples of these solutions are cleaner production technologies </w:t>
      </w:r>
      <w:r w:rsidR="00551C14" w:rsidRPr="004E0468">
        <w:t xml:space="preserve">(Vieira and </w:t>
      </w:r>
      <w:proofErr w:type="spellStart"/>
      <w:r w:rsidR="00551C14" w:rsidRPr="004E0468">
        <w:t>Amaral</w:t>
      </w:r>
      <w:proofErr w:type="spellEnd"/>
      <w:r w:rsidR="00551C14" w:rsidRPr="004E0468">
        <w:t xml:space="preserve"> 2016) </w:t>
      </w:r>
      <w:r w:rsidR="00EC1F01" w:rsidRPr="004E0468">
        <w:t>or industrial eco-parks</w:t>
      </w:r>
      <w:r w:rsidR="00551C14" w:rsidRPr="004E0468">
        <w:t xml:space="preserve"> (Gibbs and</w:t>
      </w:r>
      <w:r w:rsidR="00FB1C40" w:rsidRPr="004E0468">
        <w:t xml:space="preserve"> </w:t>
      </w:r>
      <w:proofErr w:type="spellStart"/>
      <w:r w:rsidR="00FB1C40" w:rsidRPr="004E0468">
        <w:t>Deutz</w:t>
      </w:r>
      <w:proofErr w:type="spellEnd"/>
      <w:r w:rsidR="00551C14" w:rsidRPr="004E0468">
        <w:t xml:space="preserve"> 2007)</w:t>
      </w:r>
      <w:r w:rsidR="008F7A9F" w:rsidRPr="004E0468">
        <w:t>, focused on the technology level and the industrial network level of the broader economic framework</w:t>
      </w:r>
      <w:r w:rsidR="0023153A" w:rsidRPr="004E0468">
        <w:t>.</w:t>
      </w:r>
    </w:p>
    <w:p w14:paraId="4380840A" w14:textId="3BE56638" w:rsidR="004E08B9" w:rsidRPr="004E0468" w:rsidRDefault="0077596D" w:rsidP="008D0049">
      <w:pPr>
        <w:jc w:val="both"/>
      </w:pPr>
      <w:r w:rsidRPr="004E0468">
        <w:t xml:space="preserve">     </w:t>
      </w:r>
      <w:r w:rsidR="00560A41" w:rsidRPr="004E0468">
        <w:t xml:space="preserve">Over </w:t>
      </w:r>
      <w:r w:rsidR="008F7A9F" w:rsidRPr="004E0468">
        <w:t>the last decade</w:t>
      </w:r>
      <w:r w:rsidR="0023153A" w:rsidRPr="004E0468">
        <w:t>, macro-economic changes</w:t>
      </w:r>
      <w:r w:rsidR="008F7A9F" w:rsidRPr="004E0468">
        <w:t xml:space="preserve"> and </w:t>
      </w:r>
      <w:r w:rsidR="0023153A" w:rsidRPr="004E0468">
        <w:t>customers’</w:t>
      </w:r>
      <w:r w:rsidR="008F7A9F" w:rsidRPr="004E0468">
        <w:t xml:space="preserve"> </w:t>
      </w:r>
      <w:r w:rsidR="0023153A" w:rsidRPr="004E0468">
        <w:t xml:space="preserve">new behaviours </w:t>
      </w:r>
      <w:r w:rsidR="008F7A9F" w:rsidRPr="004E0468">
        <w:t xml:space="preserve">are </w:t>
      </w:r>
      <w:r w:rsidR="0023153A" w:rsidRPr="004E0468">
        <w:t xml:space="preserve">increasingly </w:t>
      </w:r>
      <w:r w:rsidR="008F7A9F" w:rsidRPr="004E0468">
        <w:t xml:space="preserve">challenging the effectiveness of </w:t>
      </w:r>
      <w:r w:rsidR="0023153A" w:rsidRPr="004E0468">
        <w:t xml:space="preserve">traditional </w:t>
      </w:r>
      <w:r w:rsidR="008F7A9F" w:rsidRPr="004E0468">
        <w:t>“green” solution</w:t>
      </w:r>
      <w:r w:rsidR="0023153A" w:rsidRPr="004E0468">
        <w:t>s</w:t>
      </w:r>
      <w:r w:rsidR="008F7A9F" w:rsidRPr="004E0468">
        <w:t xml:space="preserve">. </w:t>
      </w:r>
      <w:r w:rsidR="00551C14" w:rsidRPr="004E0468">
        <w:t>Newly developing economies h</w:t>
      </w:r>
      <w:r w:rsidR="00124706" w:rsidRPr="004E0468">
        <w:t>ave</w:t>
      </w:r>
      <w:r w:rsidR="008F7A9F" w:rsidRPr="004E0468">
        <w:t xml:space="preserve"> </w:t>
      </w:r>
      <w:r w:rsidR="00124706" w:rsidRPr="004E0468">
        <w:t xml:space="preserve">significantly </w:t>
      </w:r>
      <w:r w:rsidR="008F7A9F" w:rsidRPr="004E0468">
        <w:t>increased the consumption of natural resources and the production of waste</w:t>
      </w:r>
      <w:r w:rsidR="00D867CD" w:rsidRPr="004E0468">
        <w:t xml:space="preserve"> </w:t>
      </w:r>
      <w:r w:rsidR="009A6134" w:rsidRPr="004E0468">
        <w:t>(Ellen MacArthur Foundation</w:t>
      </w:r>
      <w:r w:rsidR="008859A9" w:rsidRPr="004E0468">
        <w:t xml:space="preserve"> </w:t>
      </w:r>
      <w:r w:rsidR="004E4E0D" w:rsidRPr="004E0468">
        <w:t>2013</w:t>
      </w:r>
      <w:r w:rsidR="009A6134" w:rsidRPr="004E0468">
        <w:t>; Ellen MacArthur Foundation</w:t>
      </w:r>
      <w:r w:rsidR="008859A9" w:rsidRPr="004E0468">
        <w:t xml:space="preserve"> 2014)</w:t>
      </w:r>
      <w:r w:rsidR="008F7A9F" w:rsidRPr="004E0468">
        <w:t xml:space="preserve">. </w:t>
      </w:r>
      <w:r w:rsidR="008D0049" w:rsidRPr="004E0468">
        <w:t>Consumers are increasingly concerned about the environment</w:t>
      </w:r>
      <w:r w:rsidR="004E08B9" w:rsidRPr="004E0468">
        <w:t>,</w:t>
      </w:r>
      <w:r w:rsidR="008D0049" w:rsidRPr="004E0468">
        <w:t xml:space="preserve"> although they are not </w:t>
      </w:r>
      <w:r w:rsidR="004E08B9" w:rsidRPr="004E0468">
        <w:t xml:space="preserve">consistently </w:t>
      </w:r>
      <w:r w:rsidR="008D0049" w:rsidRPr="004E0468">
        <w:t>displaying such concerns in their purchasing patterns</w:t>
      </w:r>
      <w:r w:rsidR="004E08B9" w:rsidRPr="004E0468">
        <w:t xml:space="preserve"> </w:t>
      </w:r>
      <w:r w:rsidR="009A6134" w:rsidRPr="004E0468">
        <w:t>(</w:t>
      </w:r>
      <w:proofErr w:type="spellStart"/>
      <w:r w:rsidR="009A6134" w:rsidRPr="004E0468">
        <w:t>Gleim</w:t>
      </w:r>
      <w:proofErr w:type="spellEnd"/>
      <w:r w:rsidR="009A6134" w:rsidRPr="004E0468">
        <w:t xml:space="preserve"> et al.</w:t>
      </w:r>
      <w:r w:rsidR="00E67C70" w:rsidRPr="004E0468">
        <w:t xml:space="preserve"> 2013). </w:t>
      </w:r>
      <w:r w:rsidR="00D42D83" w:rsidRPr="004E0468">
        <w:t xml:space="preserve">There is evidence for the shift from </w:t>
      </w:r>
      <w:r w:rsidR="002E085C" w:rsidRPr="004E0468">
        <w:t xml:space="preserve">a </w:t>
      </w:r>
      <w:r w:rsidR="00D42D83" w:rsidRPr="004E0468">
        <w:t xml:space="preserve">goods dominant logic to </w:t>
      </w:r>
      <w:r w:rsidR="002E085C" w:rsidRPr="004E0468">
        <w:t xml:space="preserve">a </w:t>
      </w:r>
      <w:r w:rsidR="00D42D83" w:rsidRPr="004E0468">
        <w:t>servi</w:t>
      </w:r>
      <w:r w:rsidR="009A6134" w:rsidRPr="004E0468">
        <w:t>ce dominant logic (Neely et al.</w:t>
      </w:r>
      <w:r w:rsidR="00D42D83" w:rsidRPr="004E0468">
        <w:t xml:space="preserve"> 2011)</w:t>
      </w:r>
      <w:r w:rsidR="00967783" w:rsidRPr="004E0468">
        <w:t xml:space="preserve">. </w:t>
      </w:r>
      <w:r w:rsidR="00D42D83" w:rsidRPr="004E0468">
        <w:t xml:space="preserve"> </w:t>
      </w:r>
      <w:r w:rsidR="003F716C" w:rsidRPr="004E0468">
        <w:t>This is driven by</w:t>
      </w:r>
      <w:r w:rsidR="00D42D83" w:rsidRPr="004E0468">
        <w:t xml:space="preserve"> changes in p</w:t>
      </w:r>
      <w:r w:rsidR="003F716C" w:rsidRPr="004E0468">
        <w:t>roduction</w:t>
      </w:r>
      <w:r w:rsidR="00D42D83" w:rsidRPr="004E0468">
        <w:t xml:space="preserve"> systems</w:t>
      </w:r>
      <w:r w:rsidR="00E67C70" w:rsidRPr="004E0468">
        <w:t>, regulation</w:t>
      </w:r>
      <w:r w:rsidR="00D42D83" w:rsidRPr="004E0468">
        <w:t>, and the pressure</w:t>
      </w:r>
      <w:r w:rsidR="00967783" w:rsidRPr="004E0468">
        <w:t>s</w:t>
      </w:r>
      <w:r w:rsidR="00D42D83" w:rsidRPr="004E0468">
        <w:t xml:space="preserve"> </w:t>
      </w:r>
      <w:r w:rsidR="00967783" w:rsidRPr="004E0468">
        <w:t>of</w:t>
      </w:r>
      <w:r w:rsidR="00D42D83" w:rsidRPr="004E0468">
        <w:t xml:space="preserve"> societal and environmental challenges </w:t>
      </w:r>
      <w:r w:rsidR="00E67C70" w:rsidRPr="004E0468">
        <w:t>(</w:t>
      </w:r>
      <w:proofErr w:type="spellStart"/>
      <w:r w:rsidR="009A6134" w:rsidRPr="004E0468">
        <w:t>Gallouj</w:t>
      </w:r>
      <w:proofErr w:type="spellEnd"/>
      <w:r w:rsidR="009A6134" w:rsidRPr="004E0468">
        <w:t xml:space="preserve"> et al.</w:t>
      </w:r>
      <w:r w:rsidR="00D42D83" w:rsidRPr="004E0468">
        <w:t xml:space="preserve"> 2015</w:t>
      </w:r>
      <w:r w:rsidR="00E67C70" w:rsidRPr="004E0468">
        <w:t>).</w:t>
      </w:r>
    </w:p>
    <w:p w14:paraId="55E63EB5" w14:textId="48F276EC" w:rsidR="003B7FA4" w:rsidRPr="004E0468" w:rsidRDefault="0077596D" w:rsidP="003B7FA4">
      <w:pPr>
        <w:jc w:val="both"/>
      </w:pPr>
      <w:r w:rsidRPr="004E0468">
        <w:t xml:space="preserve">     </w:t>
      </w:r>
      <w:r w:rsidR="003B7FA4" w:rsidRPr="004E0468">
        <w:t xml:space="preserve">The </w:t>
      </w:r>
      <w:r w:rsidR="005A0712" w:rsidRPr="004E0468">
        <w:t>CE</w:t>
      </w:r>
      <w:r w:rsidR="003B7FA4" w:rsidRPr="004E0468">
        <w:t xml:space="preserve"> </w:t>
      </w:r>
      <w:r w:rsidR="00572426" w:rsidRPr="004E0468">
        <w:t xml:space="preserve">concept </w:t>
      </w:r>
      <w:r w:rsidR="003B7FA4" w:rsidRPr="004E0468">
        <w:t xml:space="preserve">is gaining increasing attention as </w:t>
      </w:r>
      <w:r w:rsidR="00124706" w:rsidRPr="004E0468">
        <w:t xml:space="preserve">a </w:t>
      </w:r>
      <w:r w:rsidR="003B7FA4" w:rsidRPr="004E0468">
        <w:t xml:space="preserve">solution </w:t>
      </w:r>
      <w:r w:rsidR="00967783" w:rsidRPr="004E0468">
        <w:t>to these challenges</w:t>
      </w:r>
      <w:r w:rsidR="00D867CD" w:rsidRPr="004E0468">
        <w:t xml:space="preserve"> (</w:t>
      </w:r>
      <w:r w:rsidR="00496F10" w:rsidRPr="004E0468">
        <w:t>Ellen MacArthur Foundation</w:t>
      </w:r>
      <w:r w:rsidR="008859A9" w:rsidRPr="004E0468">
        <w:t xml:space="preserve"> </w:t>
      </w:r>
      <w:r w:rsidR="004E4E0D" w:rsidRPr="004E0468">
        <w:t>2013</w:t>
      </w:r>
      <w:r w:rsidR="00496F10" w:rsidRPr="004E0468">
        <w:t>; Ellen MacArthur Foundation</w:t>
      </w:r>
      <w:r w:rsidR="008859A9" w:rsidRPr="004E0468">
        <w:t xml:space="preserve"> 2014</w:t>
      </w:r>
      <w:r w:rsidR="00D867CD" w:rsidRPr="004E0468">
        <w:t>)</w:t>
      </w:r>
      <w:r w:rsidR="00A45FCC" w:rsidRPr="004E0468">
        <w:t xml:space="preserve">. </w:t>
      </w:r>
      <w:r w:rsidR="003B7FA4" w:rsidRPr="004E0468">
        <w:t>The CE proposes the creation of an entire economic framework restorative and regenerative by intention and design</w:t>
      </w:r>
      <w:r w:rsidR="00A97683" w:rsidRPr="004E0468">
        <w:t xml:space="preserve"> (Ellen MacArthur Foundation 2013)</w:t>
      </w:r>
      <w:r w:rsidR="00A45FCC" w:rsidRPr="004E0468">
        <w:t xml:space="preserve">. </w:t>
      </w:r>
    </w:p>
    <w:p w14:paraId="160968F5" w14:textId="37155C40" w:rsidR="003B7FA4" w:rsidRPr="004E0468" w:rsidRDefault="0077596D" w:rsidP="00A45FCC">
      <w:pPr>
        <w:jc w:val="both"/>
      </w:pPr>
      <w:r w:rsidRPr="004E0468">
        <w:t xml:space="preserve">     </w:t>
      </w:r>
      <w:r w:rsidR="001B3160" w:rsidRPr="004E0468">
        <w:t xml:space="preserve">From the perspective of a focal firm, </w:t>
      </w:r>
      <w:r w:rsidR="00946305" w:rsidRPr="004E0468">
        <w:t xml:space="preserve">the transition to a </w:t>
      </w:r>
      <w:r w:rsidR="00967783" w:rsidRPr="004E0468">
        <w:t>CE</w:t>
      </w:r>
      <w:r w:rsidR="00946305" w:rsidRPr="004E0468">
        <w:t xml:space="preserve"> implies a change at the strategic level of business model innovation, with modifications in terms of product design, supply chain design and commercial strategy (</w:t>
      </w:r>
      <w:proofErr w:type="spellStart"/>
      <w:r w:rsidR="00946305" w:rsidRPr="004E0468">
        <w:t>Bocken</w:t>
      </w:r>
      <w:proofErr w:type="spellEnd"/>
      <w:r w:rsidR="00946305" w:rsidRPr="004E0468">
        <w:t xml:space="preserve"> et al. 2016). A focal firm is defined as </w:t>
      </w:r>
      <w:r w:rsidR="00BB59E7" w:rsidRPr="004E0468">
        <w:t xml:space="preserve">a firm that rules or governs the supply chain, provides the direct contact to </w:t>
      </w:r>
      <w:r w:rsidR="00BB59E7" w:rsidRPr="004E0468">
        <w:lastRenderedPageBreak/>
        <w:t xml:space="preserve">the customer, and designs the product or service offered (see Handfield and Nichols [1999] and </w:t>
      </w:r>
      <w:proofErr w:type="spellStart"/>
      <w:r w:rsidR="00BB59E7" w:rsidRPr="004E0468">
        <w:t>Schary</w:t>
      </w:r>
      <w:proofErr w:type="spellEnd"/>
      <w:r w:rsidR="00BB59E7" w:rsidRPr="004E0468">
        <w:t xml:space="preserve"> and </w:t>
      </w:r>
      <w:proofErr w:type="spellStart"/>
      <w:r w:rsidR="00BB59E7" w:rsidRPr="004E0468">
        <w:t>Skjøtt</w:t>
      </w:r>
      <w:proofErr w:type="spellEnd"/>
      <w:r w:rsidR="00BB59E7" w:rsidRPr="004E0468">
        <w:t xml:space="preserve">-Larsen [2001] cited in </w:t>
      </w:r>
      <w:proofErr w:type="spellStart"/>
      <w:r w:rsidR="00BB59E7" w:rsidRPr="004E0468">
        <w:t>Seuring</w:t>
      </w:r>
      <w:proofErr w:type="spellEnd"/>
      <w:r w:rsidR="00BB59E7" w:rsidRPr="004E0468">
        <w:t xml:space="preserve"> and Müller</w:t>
      </w:r>
      <w:r w:rsidR="00946305" w:rsidRPr="004E0468">
        <w:t xml:space="preserve"> [2008])</w:t>
      </w:r>
      <w:r w:rsidR="00053F59" w:rsidRPr="004E0468">
        <w:t>.</w:t>
      </w:r>
      <w:r w:rsidR="000E2E8B" w:rsidRPr="004E0468">
        <w:t xml:space="preserve"> R</w:t>
      </w:r>
      <w:r w:rsidR="00F5578F" w:rsidRPr="004E0468">
        <w:t>elevant</w:t>
      </w:r>
      <w:r w:rsidR="00053F59" w:rsidRPr="004E0468">
        <w:t xml:space="preserve"> practices</w:t>
      </w:r>
      <w:r w:rsidR="003B7FA4" w:rsidRPr="004E0468">
        <w:t xml:space="preserve"> </w:t>
      </w:r>
      <w:r w:rsidR="00F5578F" w:rsidRPr="004E0468">
        <w:t xml:space="preserve">from the perspective of a focal firm </w:t>
      </w:r>
      <w:r w:rsidR="003B7FA4" w:rsidRPr="004E0468">
        <w:t>are recycling</w:t>
      </w:r>
      <w:r w:rsidR="00BC2621" w:rsidRPr="004E0468">
        <w:t>,</w:t>
      </w:r>
      <w:r w:rsidR="003B7FA4" w:rsidRPr="004E0468">
        <w:t xml:space="preserve"> refurbishing</w:t>
      </w:r>
      <w:r w:rsidR="00BC2621" w:rsidRPr="004E0468">
        <w:t>,</w:t>
      </w:r>
      <w:r w:rsidR="003B7FA4" w:rsidRPr="004E0468">
        <w:t xml:space="preserve"> remanufacturing or selling to secondary markets</w:t>
      </w:r>
      <w:r w:rsidR="00F5578F" w:rsidRPr="004E0468">
        <w:t>.</w:t>
      </w:r>
    </w:p>
    <w:p w14:paraId="2D667E28" w14:textId="709A426C" w:rsidR="003B7FA4" w:rsidRPr="004E0468" w:rsidRDefault="0077596D" w:rsidP="004858AF">
      <w:pPr>
        <w:jc w:val="both"/>
      </w:pPr>
      <w:r w:rsidRPr="004E0468">
        <w:t xml:space="preserve">     </w:t>
      </w:r>
      <w:r w:rsidR="004858AF" w:rsidRPr="004E0468">
        <w:t>The CE</w:t>
      </w:r>
      <w:r w:rsidR="003B7FA4" w:rsidRPr="004E0468">
        <w:t xml:space="preserve"> is a </w:t>
      </w:r>
      <w:r w:rsidR="004858AF" w:rsidRPr="004E0468">
        <w:t xml:space="preserve">promising </w:t>
      </w:r>
      <w:r w:rsidR="003B7FA4" w:rsidRPr="004E0468">
        <w:t xml:space="preserve">solution </w:t>
      </w:r>
      <w:r w:rsidR="004858AF" w:rsidRPr="004E0468">
        <w:t xml:space="preserve">for </w:t>
      </w:r>
      <w:r w:rsidR="00BC2621" w:rsidRPr="004E0468">
        <w:t xml:space="preserve">a variety of </w:t>
      </w:r>
      <w:r w:rsidR="004858AF" w:rsidRPr="004E0468">
        <w:t xml:space="preserve">reasons. </w:t>
      </w:r>
      <w:r w:rsidR="003B7FA4" w:rsidRPr="004E0468">
        <w:t xml:space="preserve">First, </w:t>
      </w:r>
      <w:r w:rsidR="004858AF" w:rsidRPr="004E0468">
        <w:t xml:space="preserve">the adoption of </w:t>
      </w:r>
      <w:r w:rsidR="003B7FA4" w:rsidRPr="004E0468">
        <w:t xml:space="preserve">circular flows of products and materials </w:t>
      </w:r>
      <w:r w:rsidR="004858AF" w:rsidRPr="004E0468">
        <w:t>stops</w:t>
      </w:r>
      <w:r w:rsidR="003B7FA4" w:rsidRPr="004E0468">
        <w:t xml:space="preserve"> the depletion of </w:t>
      </w:r>
      <w:r w:rsidR="004858AF" w:rsidRPr="004E0468">
        <w:t xml:space="preserve">natural </w:t>
      </w:r>
      <w:r w:rsidR="003B7FA4" w:rsidRPr="004E0468">
        <w:t>resources and the creation of waste</w:t>
      </w:r>
      <w:r w:rsidR="004858AF" w:rsidRPr="004E0468">
        <w:t xml:space="preserve">. </w:t>
      </w:r>
      <w:r w:rsidR="00266547" w:rsidRPr="004E0468">
        <w:t xml:space="preserve">Second, circular supply chains can allow focal firms to keep control of their products and materials over an entire lifecycle. Therefore, focal firms involved in a circular supply chain can solve their issues of raw material availability and can potentially keep the ownership of the physical product while offering it as a service to the final customer </w:t>
      </w:r>
      <w:r w:rsidR="00D867CD" w:rsidRPr="004E0468">
        <w:t>(</w:t>
      </w:r>
      <w:proofErr w:type="spellStart"/>
      <w:r w:rsidR="00AE4393" w:rsidRPr="004E0468">
        <w:t>Bocken</w:t>
      </w:r>
      <w:proofErr w:type="spellEnd"/>
      <w:r w:rsidR="00AE4393" w:rsidRPr="004E0468">
        <w:t xml:space="preserve"> et al.</w:t>
      </w:r>
      <w:r w:rsidR="00B710A0" w:rsidRPr="004E0468">
        <w:t xml:space="preserve"> 2016</w:t>
      </w:r>
      <w:r w:rsidR="00D867CD" w:rsidRPr="004E0468">
        <w:t>)</w:t>
      </w:r>
      <w:r w:rsidR="00BC2621" w:rsidRPr="004E0468">
        <w:t>.</w:t>
      </w:r>
    </w:p>
    <w:p w14:paraId="49B76599" w14:textId="34A21405" w:rsidR="00553DE8" w:rsidRPr="004E0468" w:rsidRDefault="0077596D" w:rsidP="0099392C">
      <w:pPr>
        <w:jc w:val="both"/>
      </w:pPr>
      <w:r w:rsidRPr="004E0468">
        <w:t xml:space="preserve">     </w:t>
      </w:r>
      <w:r w:rsidR="003B7FA4" w:rsidRPr="004E0468">
        <w:t>Prelimina</w:t>
      </w:r>
      <w:r w:rsidR="00053F59" w:rsidRPr="004E0468">
        <w:t>ry research</w:t>
      </w:r>
      <w:r w:rsidR="003B7FA4" w:rsidRPr="004E0468">
        <w:t xml:space="preserve"> </w:t>
      </w:r>
      <w:r w:rsidR="00BC2621" w:rsidRPr="004E0468">
        <w:t xml:space="preserve">suggests </w:t>
      </w:r>
      <w:r w:rsidR="003B7FA4" w:rsidRPr="004E0468">
        <w:t xml:space="preserve">that a transition towards a </w:t>
      </w:r>
      <w:r w:rsidR="00967783" w:rsidRPr="004E0468">
        <w:t>more CE</w:t>
      </w:r>
      <w:r w:rsidR="00053F59" w:rsidRPr="004E0468">
        <w:t xml:space="preserve"> is already </w:t>
      </w:r>
      <w:r w:rsidR="00BC2621" w:rsidRPr="004E0468">
        <w:t>in motion</w:t>
      </w:r>
      <w:r w:rsidR="00D867CD" w:rsidRPr="004E0468">
        <w:t xml:space="preserve"> </w:t>
      </w:r>
      <w:r w:rsidR="00FF530C" w:rsidRPr="004E0468">
        <w:t>(</w:t>
      </w:r>
      <w:r w:rsidR="00B73AC7" w:rsidRPr="004E0468">
        <w:t>Ellen MacArthur Foundation</w:t>
      </w:r>
      <w:r w:rsidR="00FF530C" w:rsidRPr="004E0468">
        <w:t xml:space="preserve"> 2014)</w:t>
      </w:r>
      <w:r w:rsidR="00053F59" w:rsidRPr="004E0468">
        <w:t xml:space="preserve">. </w:t>
      </w:r>
      <w:r w:rsidR="003B7FA4" w:rsidRPr="004E0468">
        <w:t xml:space="preserve">Understanding the nature and the state of this transition is </w:t>
      </w:r>
      <w:r w:rsidR="005A0712" w:rsidRPr="004E0468">
        <w:t xml:space="preserve">important </w:t>
      </w:r>
      <w:r w:rsidR="003B7FA4" w:rsidRPr="004E0468">
        <w:t>for the creation of effecti</w:t>
      </w:r>
      <w:r w:rsidR="00053F59" w:rsidRPr="004E0468">
        <w:t xml:space="preserve">ve policies and </w:t>
      </w:r>
      <w:r w:rsidR="00171D80" w:rsidRPr="004E0468">
        <w:t xml:space="preserve">organisational </w:t>
      </w:r>
      <w:r w:rsidR="00053F59" w:rsidRPr="004E0468">
        <w:t xml:space="preserve">strategies. </w:t>
      </w:r>
      <w:r w:rsidR="00171D80" w:rsidRPr="004E0468">
        <w:t>As a result</w:t>
      </w:r>
      <w:r w:rsidR="003B7FA4" w:rsidRPr="004E0468">
        <w:t xml:space="preserve">, several surveys </w:t>
      </w:r>
      <w:r w:rsidR="00171D80" w:rsidRPr="004E0468">
        <w:t xml:space="preserve">have attempted </w:t>
      </w:r>
      <w:r w:rsidR="003B7FA4" w:rsidRPr="004E0468">
        <w:t xml:space="preserve">to analyse the </w:t>
      </w:r>
      <w:r w:rsidR="00171D80" w:rsidRPr="004E0468">
        <w:t xml:space="preserve">current </w:t>
      </w:r>
      <w:r w:rsidR="003B7FA4" w:rsidRPr="004E0468">
        <w:t>state of transition towards a CE, taking into ac</w:t>
      </w:r>
      <w:r w:rsidR="00053F59" w:rsidRPr="004E0468">
        <w:t xml:space="preserve">count </w:t>
      </w:r>
      <w:r w:rsidR="0044796F" w:rsidRPr="004E0468">
        <w:t xml:space="preserve">Government </w:t>
      </w:r>
      <w:r w:rsidR="00053F59" w:rsidRPr="004E0468">
        <w:t xml:space="preserve">official’s awareness and firms’ behaviours. </w:t>
      </w:r>
      <w:r w:rsidR="003B7FA4" w:rsidRPr="004E0468">
        <w:t>These survey</w:t>
      </w:r>
      <w:r w:rsidR="00053F59" w:rsidRPr="004E0468">
        <w:t>s</w:t>
      </w:r>
      <w:r w:rsidR="003B7FA4" w:rsidRPr="004E0468">
        <w:t xml:space="preserve"> represent a</w:t>
      </w:r>
      <w:r w:rsidR="00171D80" w:rsidRPr="004E0468">
        <w:t>n important</w:t>
      </w:r>
      <w:r w:rsidR="003B7FA4" w:rsidRPr="004E0468">
        <w:t xml:space="preserve"> first step </w:t>
      </w:r>
      <w:r w:rsidR="00171D80" w:rsidRPr="004E0468">
        <w:t xml:space="preserve">in developing </w:t>
      </w:r>
      <w:r w:rsidR="003B7FA4" w:rsidRPr="004E0468">
        <w:t>an understanding of th</w:t>
      </w:r>
      <w:r w:rsidR="00171D80" w:rsidRPr="004E0468">
        <w:t xml:space="preserve">is </w:t>
      </w:r>
      <w:r w:rsidR="003B7FA4" w:rsidRPr="004E0468">
        <w:t>transition</w:t>
      </w:r>
      <w:r w:rsidR="000D6B0B" w:rsidRPr="004E0468">
        <w:t xml:space="preserve">. </w:t>
      </w:r>
      <w:r w:rsidR="0099392C" w:rsidRPr="004E0468">
        <w:t>T</w:t>
      </w:r>
      <w:r w:rsidR="003B7FA4" w:rsidRPr="004E0468">
        <w:t xml:space="preserve">hey </w:t>
      </w:r>
      <w:r w:rsidR="008A443E" w:rsidRPr="004E0468">
        <w:t>focus</w:t>
      </w:r>
      <w:r w:rsidR="003B7FA4" w:rsidRPr="004E0468">
        <w:t xml:space="preserve"> either on a specific context or on a specific set </w:t>
      </w:r>
      <w:r w:rsidR="008A443E" w:rsidRPr="004E0468">
        <w:t>of practices, thus</w:t>
      </w:r>
      <w:r w:rsidR="000D6B0B" w:rsidRPr="004E0468">
        <w:t xml:space="preserve"> </w:t>
      </w:r>
      <w:r w:rsidR="003B7FA4" w:rsidRPr="004E0468">
        <w:t>neglect</w:t>
      </w:r>
      <w:r w:rsidR="008A443E" w:rsidRPr="004E0468">
        <w:t>ing</w:t>
      </w:r>
      <w:r w:rsidR="003B7FA4" w:rsidRPr="004E0468">
        <w:t xml:space="preserve"> the </w:t>
      </w:r>
      <w:r w:rsidR="00E4798A" w:rsidRPr="004E0468">
        <w:t>fact that a transition towards a more CE can imply modifications at the strategic level of business model innovation, with changes in terms of value proposition, value creation and delivery, and value capture (</w:t>
      </w:r>
      <w:proofErr w:type="spellStart"/>
      <w:r w:rsidR="00E4798A" w:rsidRPr="004E0468">
        <w:t>Bocken</w:t>
      </w:r>
      <w:proofErr w:type="spellEnd"/>
      <w:r w:rsidR="00E4798A" w:rsidRPr="004E0468">
        <w:t xml:space="preserve"> et al. 2016). </w:t>
      </w:r>
      <w:r w:rsidR="00DB3A40" w:rsidRPr="004E0468">
        <w:t>The aim of this study is to</w:t>
      </w:r>
      <w:r w:rsidR="0099392C" w:rsidRPr="004E0468">
        <w:t xml:space="preserve"> address this gap</w:t>
      </w:r>
      <w:r w:rsidR="00303B84" w:rsidRPr="004E0468">
        <w:t xml:space="preserve"> by conducting an empirical</w:t>
      </w:r>
      <w:r w:rsidR="001A6750" w:rsidRPr="004E0468">
        <w:t xml:space="preserve"> study </w:t>
      </w:r>
      <w:r w:rsidR="00DB3A40" w:rsidRPr="004E0468">
        <w:t>that</w:t>
      </w:r>
      <w:r w:rsidR="00303B84" w:rsidRPr="004E0468">
        <w:t xml:space="preserve"> investigate</w:t>
      </w:r>
      <w:r w:rsidR="001A6750" w:rsidRPr="004E0468">
        <w:t>s</w:t>
      </w:r>
      <w:r w:rsidR="00303B84" w:rsidRPr="004E0468">
        <w:t xml:space="preserve"> </w:t>
      </w:r>
      <w:r w:rsidR="003B7FA4" w:rsidRPr="004E0468">
        <w:t xml:space="preserve">the implementation of practices aligned with CE principles at a </w:t>
      </w:r>
      <w:r w:rsidR="007F304B" w:rsidRPr="004E0468">
        <w:t xml:space="preserve">focal </w:t>
      </w:r>
      <w:r w:rsidR="003B7FA4" w:rsidRPr="004E0468">
        <w:t>firm level.</w:t>
      </w:r>
      <w:r w:rsidR="007F304B" w:rsidRPr="004E0468">
        <w:t xml:space="preserve"> </w:t>
      </w:r>
      <w:r w:rsidR="0099392C" w:rsidRPr="004E0468">
        <w:t>It</w:t>
      </w:r>
      <w:r w:rsidR="007F304B" w:rsidRPr="004E0468">
        <w:t xml:space="preserve"> </w:t>
      </w:r>
      <w:r w:rsidR="0099392C" w:rsidRPr="004E0468">
        <w:t>studies t</w:t>
      </w:r>
      <w:r w:rsidR="007F304B" w:rsidRPr="004E0468">
        <w:t>he practices</w:t>
      </w:r>
      <w:r w:rsidR="0099392C" w:rsidRPr="004E0468">
        <w:t xml:space="preserve"> both within the focal firm and across the broader supply </w:t>
      </w:r>
      <w:r w:rsidR="0099392C" w:rsidRPr="004E0468">
        <w:lastRenderedPageBreak/>
        <w:t>chain (</w:t>
      </w:r>
      <w:r w:rsidR="007F304B" w:rsidRPr="004E0468">
        <w:t>upstream and downstream</w:t>
      </w:r>
      <w:r w:rsidR="0099392C" w:rsidRPr="004E0468">
        <w:t>)</w:t>
      </w:r>
      <w:r w:rsidR="00DB3A40" w:rsidRPr="004E0468">
        <w:t>, together with t</w:t>
      </w:r>
      <w:r w:rsidR="00553DE8" w:rsidRPr="004E0468">
        <w:t xml:space="preserve">he </w:t>
      </w:r>
      <w:r w:rsidR="00DB3A40" w:rsidRPr="004E0468">
        <w:t>barriers</w:t>
      </w:r>
      <w:r w:rsidR="00553DE8" w:rsidRPr="004E0468">
        <w:t xml:space="preserve"> </w:t>
      </w:r>
      <w:r w:rsidR="00DB3A40" w:rsidRPr="004E0468">
        <w:t>hindering the implementation of these practices</w:t>
      </w:r>
      <w:r w:rsidR="00553DE8" w:rsidRPr="004E0468">
        <w:t xml:space="preserve">. </w:t>
      </w:r>
    </w:p>
    <w:p w14:paraId="01FDEA7B" w14:textId="064CA4DB" w:rsidR="00395689" w:rsidRPr="004E0468" w:rsidRDefault="0077596D" w:rsidP="00355D0B">
      <w:pPr>
        <w:jc w:val="both"/>
      </w:pPr>
      <w:r w:rsidRPr="004E0468">
        <w:t xml:space="preserve">     </w:t>
      </w:r>
      <w:r w:rsidR="008859A9" w:rsidRPr="004E0468">
        <w:t xml:space="preserve">The paper is structured as follows. </w:t>
      </w:r>
      <w:r w:rsidR="001A006F" w:rsidRPr="004E0468">
        <w:t xml:space="preserve">Section two presents an overview of current literature on Circular Economy; </w:t>
      </w:r>
      <w:r w:rsidR="00C27A9B" w:rsidRPr="004E0468">
        <w:t xml:space="preserve">Section </w:t>
      </w:r>
      <w:r w:rsidR="001A006F" w:rsidRPr="004E0468">
        <w:t>three</w:t>
      </w:r>
      <w:r w:rsidR="00ED45B1" w:rsidRPr="004E0468">
        <w:t xml:space="preserve"> </w:t>
      </w:r>
      <w:r w:rsidR="00CC4C1E" w:rsidRPr="004E0468">
        <w:t>ou</w:t>
      </w:r>
      <w:r w:rsidR="001A006F" w:rsidRPr="004E0468">
        <w:t>tlines the research methodology</w:t>
      </w:r>
      <w:r w:rsidR="00C27A9B" w:rsidRPr="004E0468">
        <w:t xml:space="preserve">. Section </w:t>
      </w:r>
      <w:r w:rsidR="00ED45B1" w:rsidRPr="004E0468">
        <w:t xml:space="preserve">four </w:t>
      </w:r>
      <w:r w:rsidR="00C27A9B" w:rsidRPr="004E0468">
        <w:t>presents and discusses the results</w:t>
      </w:r>
      <w:r w:rsidR="004C0C08" w:rsidRPr="004E0468">
        <w:t xml:space="preserve"> of the empirical work</w:t>
      </w:r>
      <w:r w:rsidR="00C27A9B" w:rsidRPr="004E0468">
        <w:t xml:space="preserve">. Finally, Section </w:t>
      </w:r>
      <w:r w:rsidR="000C74AB" w:rsidRPr="004E0468">
        <w:t xml:space="preserve">five </w:t>
      </w:r>
      <w:r w:rsidR="00C27A9B" w:rsidRPr="004E0468">
        <w:t>concludes the study and suggests some future research directions.</w:t>
      </w:r>
      <w:r w:rsidR="00395689" w:rsidRPr="004E0468">
        <w:t xml:space="preserve"> </w:t>
      </w:r>
    </w:p>
    <w:p w14:paraId="7A3C94BE" w14:textId="7D64590F" w:rsidR="006312E0" w:rsidRPr="004E0468" w:rsidRDefault="00E60C7F" w:rsidP="00746952">
      <w:pPr>
        <w:pStyle w:val="Heading1"/>
        <w:numPr>
          <w:ilvl w:val="0"/>
          <w:numId w:val="5"/>
        </w:numPr>
        <w:ind w:left="426" w:hanging="426"/>
      </w:pPr>
      <w:r w:rsidRPr="004E0468">
        <w:t xml:space="preserve"> </w:t>
      </w:r>
      <w:r w:rsidR="00780BD9" w:rsidRPr="004E0468">
        <w:t>Literature review</w:t>
      </w:r>
    </w:p>
    <w:p w14:paraId="0123465F" w14:textId="5309A985" w:rsidR="006312E0" w:rsidRPr="004E0468" w:rsidRDefault="00746952" w:rsidP="00746952">
      <w:pPr>
        <w:pStyle w:val="Heading2"/>
      </w:pPr>
      <w:r w:rsidRPr="004E0468">
        <w:t>2</w:t>
      </w:r>
      <w:r w:rsidR="006312E0" w:rsidRPr="004E0468">
        <w:t xml:space="preserve">.1. </w:t>
      </w:r>
      <w:r w:rsidR="00490217" w:rsidRPr="004E0468">
        <w:t>What is</w:t>
      </w:r>
      <w:r w:rsidR="000A1D70" w:rsidRPr="004E0468">
        <w:t xml:space="preserve"> </w:t>
      </w:r>
      <w:r w:rsidR="006312E0" w:rsidRPr="004E0468">
        <w:t>Circular Economy?</w:t>
      </w:r>
    </w:p>
    <w:p w14:paraId="78CB14B1" w14:textId="00C6E958" w:rsidR="00A32003" w:rsidRPr="004E0468" w:rsidRDefault="00A32003" w:rsidP="00F40F6E">
      <w:pPr>
        <w:jc w:val="both"/>
      </w:pPr>
      <w:r w:rsidRPr="004E0468">
        <w:t xml:space="preserve">The concept of CE, originally introduced by </w:t>
      </w:r>
      <w:proofErr w:type="spellStart"/>
      <w:r w:rsidRPr="004E0468">
        <w:t>Boulding</w:t>
      </w:r>
      <w:proofErr w:type="spellEnd"/>
      <w:r w:rsidRPr="004E0468">
        <w:t xml:space="preserve"> (1966) and Pearce and Turner (1990), is rooted in diverse theoretical backgrounds such as environmental economics, industrial ecology, ecological economics (</w:t>
      </w:r>
      <w:proofErr w:type="spellStart"/>
      <w:r w:rsidRPr="004E0468">
        <w:t>Ghisellini</w:t>
      </w:r>
      <w:proofErr w:type="spellEnd"/>
      <w:r w:rsidR="00B73AC7" w:rsidRPr="004E0468">
        <w:t xml:space="preserve"> </w:t>
      </w:r>
      <w:r w:rsidR="00081F72" w:rsidRPr="004E0468">
        <w:t>et al</w:t>
      </w:r>
      <w:r w:rsidRPr="004E0468">
        <w:t xml:space="preserve"> 2014), and ‘cradle-to-cradle’ (</w:t>
      </w:r>
      <w:proofErr w:type="spellStart"/>
      <w:r w:rsidRPr="004E0468">
        <w:t>Braungart</w:t>
      </w:r>
      <w:proofErr w:type="spellEnd"/>
      <w:r w:rsidR="00081F72" w:rsidRPr="004E0468">
        <w:t xml:space="preserve"> et al</w:t>
      </w:r>
      <w:r w:rsidRPr="004E0468">
        <w:t xml:space="preserve"> 2007). The key principle of the CE is the creation of circular loops of materials, energy, and waste flows; this key principle is combined with others such as the minimisation of energy and raw material inputs into production systems and the mimesis of natural systems. All these principles are the core of different conceptual antecedents of the CE, and a first original feature of the CE is the way in which it combines principles from different conceptual antecedents. Table 1 summarises the key principles of the CE and the corresponding conceptual antecedents.</w:t>
      </w:r>
    </w:p>
    <w:p w14:paraId="3500FACC" w14:textId="373AD7FE" w:rsidR="0022507E" w:rsidRPr="004E0468" w:rsidRDefault="0022507E" w:rsidP="00F40F6E">
      <w:pPr>
        <w:jc w:val="both"/>
      </w:pPr>
      <w:r w:rsidRPr="004E0468">
        <w:t>Table 1. Principles of Circular Economy and related antecedents</w:t>
      </w:r>
    </w:p>
    <w:tbl>
      <w:tblPr>
        <w:tblStyle w:val="TableGrid"/>
        <w:tblW w:w="5000" w:type="pct"/>
        <w:tblLook w:val="04A0" w:firstRow="1" w:lastRow="0" w:firstColumn="1" w:lastColumn="0" w:noHBand="0" w:noVBand="1"/>
      </w:tblPr>
      <w:tblGrid>
        <w:gridCol w:w="1800"/>
        <w:gridCol w:w="1678"/>
        <w:gridCol w:w="1168"/>
        <w:gridCol w:w="1224"/>
        <w:gridCol w:w="938"/>
        <w:gridCol w:w="1907"/>
      </w:tblGrid>
      <w:tr w:rsidR="005A5838" w:rsidRPr="004E0468" w14:paraId="34CE54B4" w14:textId="77777777" w:rsidTr="0022507E">
        <w:trPr>
          <w:trHeight w:val="945"/>
        </w:trPr>
        <w:tc>
          <w:tcPr>
            <w:tcW w:w="1033" w:type="pct"/>
            <w:shd w:val="clear" w:color="auto" w:fill="auto"/>
            <w:vAlign w:val="center"/>
          </w:tcPr>
          <w:p w14:paraId="1C2A3DB2" w14:textId="77777777" w:rsidR="005A5838" w:rsidRPr="004E0468" w:rsidRDefault="005A5838" w:rsidP="005A5838">
            <w:pPr>
              <w:spacing w:line="276" w:lineRule="auto"/>
              <w:jc w:val="center"/>
              <w:rPr>
                <w:rFonts w:ascii="Times New Roman" w:hAnsi="Times New Roman" w:cs="Times New Roman"/>
                <w:b/>
                <w:sz w:val="16"/>
                <w:szCs w:val="16"/>
              </w:rPr>
            </w:pPr>
            <w:r w:rsidRPr="004E0468">
              <w:rPr>
                <w:rFonts w:ascii="Times New Roman" w:hAnsi="Times New Roman" w:cs="Times New Roman"/>
                <w:b/>
                <w:sz w:val="16"/>
                <w:szCs w:val="16"/>
              </w:rPr>
              <w:t>Characteristics of the Circular Economy</w:t>
            </w:r>
          </w:p>
        </w:tc>
        <w:tc>
          <w:tcPr>
            <w:tcW w:w="963" w:type="pct"/>
            <w:shd w:val="clear" w:color="auto" w:fill="auto"/>
            <w:vAlign w:val="center"/>
          </w:tcPr>
          <w:p w14:paraId="1B8DA012" w14:textId="77777777" w:rsidR="005A5838" w:rsidRPr="004E0468" w:rsidRDefault="005A5838" w:rsidP="005A5838">
            <w:pPr>
              <w:spacing w:line="276" w:lineRule="auto"/>
              <w:jc w:val="center"/>
              <w:rPr>
                <w:rFonts w:ascii="Times New Roman" w:hAnsi="Times New Roman" w:cs="Times New Roman"/>
                <w:i/>
                <w:sz w:val="16"/>
                <w:szCs w:val="16"/>
              </w:rPr>
            </w:pPr>
            <w:r w:rsidRPr="004E0468">
              <w:rPr>
                <w:rFonts w:ascii="Times New Roman" w:hAnsi="Times New Roman" w:cs="Times New Roman"/>
                <w:i/>
                <w:sz w:val="16"/>
                <w:szCs w:val="16"/>
              </w:rPr>
              <w:t>Environmental Economics</w:t>
            </w:r>
          </w:p>
        </w:tc>
        <w:tc>
          <w:tcPr>
            <w:tcW w:w="670" w:type="pct"/>
            <w:shd w:val="clear" w:color="auto" w:fill="auto"/>
            <w:vAlign w:val="center"/>
          </w:tcPr>
          <w:p w14:paraId="2342942E" w14:textId="77777777" w:rsidR="005A5838" w:rsidRPr="004E0468" w:rsidRDefault="005A5838" w:rsidP="005A5838">
            <w:pPr>
              <w:spacing w:line="276" w:lineRule="auto"/>
              <w:jc w:val="center"/>
              <w:rPr>
                <w:rFonts w:ascii="Times New Roman" w:hAnsi="Times New Roman" w:cs="Times New Roman"/>
                <w:i/>
                <w:sz w:val="16"/>
                <w:szCs w:val="16"/>
              </w:rPr>
            </w:pPr>
            <w:r w:rsidRPr="004E0468">
              <w:rPr>
                <w:rFonts w:ascii="Times New Roman" w:hAnsi="Times New Roman" w:cs="Times New Roman"/>
                <w:i/>
                <w:sz w:val="16"/>
                <w:szCs w:val="16"/>
              </w:rPr>
              <w:t>Industrial Ecology</w:t>
            </w:r>
          </w:p>
        </w:tc>
        <w:tc>
          <w:tcPr>
            <w:tcW w:w="702" w:type="pct"/>
            <w:shd w:val="clear" w:color="auto" w:fill="auto"/>
            <w:vAlign w:val="center"/>
          </w:tcPr>
          <w:p w14:paraId="4C3B60AF" w14:textId="77777777" w:rsidR="005A5838" w:rsidRPr="004E0468" w:rsidRDefault="005A5838" w:rsidP="005A5838">
            <w:pPr>
              <w:spacing w:line="276" w:lineRule="auto"/>
              <w:jc w:val="center"/>
              <w:rPr>
                <w:rFonts w:ascii="Times New Roman" w:hAnsi="Times New Roman" w:cs="Times New Roman"/>
                <w:i/>
                <w:sz w:val="16"/>
                <w:szCs w:val="16"/>
              </w:rPr>
            </w:pPr>
            <w:r w:rsidRPr="004E0468">
              <w:rPr>
                <w:rFonts w:ascii="Times New Roman" w:hAnsi="Times New Roman" w:cs="Times New Roman"/>
                <w:i/>
                <w:sz w:val="16"/>
                <w:szCs w:val="16"/>
              </w:rPr>
              <w:t>Ecological economy</w:t>
            </w:r>
          </w:p>
        </w:tc>
        <w:tc>
          <w:tcPr>
            <w:tcW w:w="538" w:type="pct"/>
            <w:shd w:val="clear" w:color="auto" w:fill="auto"/>
            <w:vAlign w:val="center"/>
          </w:tcPr>
          <w:p w14:paraId="1CF8E75A" w14:textId="77777777" w:rsidR="005A5838" w:rsidRPr="004E0468" w:rsidRDefault="005A5838" w:rsidP="005A5838">
            <w:pPr>
              <w:spacing w:line="276" w:lineRule="auto"/>
              <w:jc w:val="center"/>
              <w:rPr>
                <w:rFonts w:ascii="Times New Roman" w:hAnsi="Times New Roman" w:cs="Times New Roman"/>
                <w:i/>
                <w:sz w:val="16"/>
                <w:szCs w:val="16"/>
              </w:rPr>
            </w:pPr>
            <w:r w:rsidRPr="004E0468">
              <w:rPr>
                <w:rFonts w:ascii="Times New Roman" w:hAnsi="Times New Roman" w:cs="Times New Roman"/>
                <w:i/>
                <w:sz w:val="16"/>
                <w:szCs w:val="16"/>
              </w:rPr>
              <w:t>Cradle-to-Cradle</w:t>
            </w:r>
          </w:p>
        </w:tc>
        <w:tc>
          <w:tcPr>
            <w:tcW w:w="1094" w:type="pct"/>
            <w:shd w:val="clear" w:color="auto" w:fill="auto"/>
            <w:vAlign w:val="center"/>
          </w:tcPr>
          <w:p w14:paraId="13D03001" w14:textId="77777777" w:rsidR="005A5838" w:rsidRPr="004E0468" w:rsidRDefault="005A5838" w:rsidP="005A5838">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References</w:t>
            </w:r>
          </w:p>
        </w:tc>
      </w:tr>
      <w:tr w:rsidR="00A32003" w:rsidRPr="004E0468" w14:paraId="360686E5" w14:textId="77777777" w:rsidTr="0022507E">
        <w:tc>
          <w:tcPr>
            <w:tcW w:w="1033" w:type="pct"/>
            <w:vAlign w:val="center"/>
          </w:tcPr>
          <w:p w14:paraId="6A945C06"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Circularity necessary for sustaining human activities</w:t>
            </w:r>
          </w:p>
        </w:tc>
        <w:tc>
          <w:tcPr>
            <w:tcW w:w="963" w:type="pct"/>
            <w:vAlign w:val="center"/>
          </w:tcPr>
          <w:p w14:paraId="589B3BD4"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670" w:type="pct"/>
            <w:vAlign w:val="center"/>
          </w:tcPr>
          <w:p w14:paraId="56531233" w14:textId="77777777" w:rsidR="00A32003" w:rsidRPr="004E0468" w:rsidRDefault="00A32003" w:rsidP="00A32003">
            <w:pPr>
              <w:spacing w:line="276" w:lineRule="auto"/>
              <w:jc w:val="center"/>
              <w:rPr>
                <w:rFonts w:ascii="Times New Roman" w:hAnsi="Times New Roman" w:cs="Times New Roman"/>
                <w:sz w:val="16"/>
                <w:szCs w:val="16"/>
              </w:rPr>
            </w:pPr>
          </w:p>
        </w:tc>
        <w:tc>
          <w:tcPr>
            <w:tcW w:w="702" w:type="pct"/>
            <w:vAlign w:val="center"/>
          </w:tcPr>
          <w:p w14:paraId="4BEE14BB" w14:textId="77777777" w:rsidR="00A32003" w:rsidRPr="004E0468" w:rsidRDefault="00A32003" w:rsidP="00A32003">
            <w:pPr>
              <w:spacing w:line="276" w:lineRule="auto"/>
              <w:jc w:val="center"/>
              <w:rPr>
                <w:rFonts w:ascii="Times New Roman" w:hAnsi="Times New Roman" w:cs="Times New Roman"/>
                <w:sz w:val="16"/>
                <w:szCs w:val="16"/>
              </w:rPr>
            </w:pPr>
          </w:p>
        </w:tc>
        <w:tc>
          <w:tcPr>
            <w:tcW w:w="538" w:type="pct"/>
            <w:vAlign w:val="center"/>
          </w:tcPr>
          <w:p w14:paraId="079E1A7C" w14:textId="77777777" w:rsidR="00A32003" w:rsidRPr="004E0468" w:rsidRDefault="00A32003" w:rsidP="00A32003">
            <w:pPr>
              <w:spacing w:line="276" w:lineRule="auto"/>
              <w:jc w:val="center"/>
              <w:rPr>
                <w:rFonts w:ascii="Times New Roman" w:hAnsi="Times New Roman" w:cs="Times New Roman"/>
                <w:sz w:val="16"/>
                <w:szCs w:val="16"/>
              </w:rPr>
            </w:pPr>
          </w:p>
        </w:tc>
        <w:tc>
          <w:tcPr>
            <w:tcW w:w="1094" w:type="pct"/>
            <w:vAlign w:val="center"/>
          </w:tcPr>
          <w:p w14:paraId="576AC4A3" w14:textId="552E592E" w:rsidR="00A32003" w:rsidRPr="004E0468" w:rsidRDefault="00A32003" w:rsidP="00421A1F">
            <w:pPr>
              <w:spacing w:line="276" w:lineRule="auto"/>
              <w:jc w:val="center"/>
              <w:rPr>
                <w:rFonts w:ascii="Times New Roman" w:hAnsi="Times New Roman" w:cs="Times New Roman"/>
                <w:sz w:val="16"/>
                <w:szCs w:val="16"/>
              </w:rPr>
            </w:pPr>
            <w:proofErr w:type="spellStart"/>
            <w:r w:rsidRPr="004E0468">
              <w:rPr>
                <w:rFonts w:ascii="Times New Roman" w:hAnsi="Times New Roman" w:cs="Times New Roman"/>
                <w:sz w:val="16"/>
                <w:szCs w:val="16"/>
              </w:rPr>
              <w:t>Ghisellini</w:t>
            </w:r>
            <w:proofErr w:type="spellEnd"/>
            <w:r w:rsidR="00421A1F" w:rsidRPr="004E0468">
              <w:rPr>
                <w:rFonts w:ascii="Times New Roman" w:hAnsi="Times New Roman" w:cs="Times New Roman"/>
                <w:sz w:val="16"/>
                <w:szCs w:val="16"/>
              </w:rPr>
              <w:t xml:space="preserve"> et al</w:t>
            </w:r>
            <w:r w:rsidR="0062135A" w:rsidRPr="004E0468">
              <w:rPr>
                <w:rFonts w:ascii="Times New Roman" w:hAnsi="Times New Roman" w:cs="Times New Roman"/>
                <w:sz w:val="16"/>
                <w:szCs w:val="16"/>
              </w:rPr>
              <w:t xml:space="preserve"> 2014</w:t>
            </w:r>
          </w:p>
        </w:tc>
      </w:tr>
      <w:tr w:rsidR="00A32003" w:rsidRPr="004E0468" w14:paraId="611E5167" w14:textId="77777777" w:rsidTr="0022507E">
        <w:tc>
          <w:tcPr>
            <w:tcW w:w="1033" w:type="pct"/>
            <w:vAlign w:val="center"/>
          </w:tcPr>
          <w:p w14:paraId="3371C553"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Four economic functions of the environment</w:t>
            </w:r>
          </w:p>
        </w:tc>
        <w:tc>
          <w:tcPr>
            <w:tcW w:w="963" w:type="pct"/>
            <w:vAlign w:val="center"/>
          </w:tcPr>
          <w:p w14:paraId="2EABDB98"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670" w:type="pct"/>
            <w:vAlign w:val="center"/>
          </w:tcPr>
          <w:p w14:paraId="121412EA" w14:textId="77777777" w:rsidR="00A32003" w:rsidRPr="004E0468" w:rsidRDefault="00A32003" w:rsidP="00A32003">
            <w:pPr>
              <w:spacing w:line="276" w:lineRule="auto"/>
              <w:jc w:val="center"/>
              <w:rPr>
                <w:rFonts w:ascii="Times New Roman" w:hAnsi="Times New Roman" w:cs="Times New Roman"/>
                <w:sz w:val="16"/>
                <w:szCs w:val="16"/>
              </w:rPr>
            </w:pPr>
          </w:p>
        </w:tc>
        <w:tc>
          <w:tcPr>
            <w:tcW w:w="702" w:type="pct"/>
            <w:vAlign w:val="center"/>
          </w:tcPr>
          <w:p w14:paraId="2726536E" w14:textId="77777777" w:rsidR="00A32003" w:rsidRPr="004E0468" w:rsidRDefault="00A32003" w:rsidP="00A32003">
            <w:pPr>
              <w:spacing w:line="276" w:lineRule="auto"/>
              <w:jc w:val="center"/>
              <w:rPr>
                <w:rFonts w:ascii="Times New Roman" w:hAnsi="Times New Roman" w:cs="Times New Roman"/>
                <w:sz w:val="16"/>
                <w:szCs w:val="16"/>
              </w:rPr>
            </w:pPr>
          </w:p>
        </w:tc>
        <w:tc>
          <w:tcPr>
            <w:tcW w:w="538" w:type="pct"/>
            <w:vAlign w:val="center"/>
          </w:tcPr>
          <w:p w14:paraId="045B7430" w14:textId="77777777" w:rsidR="00A32003" w:rsidRPr="004E0468" w:rsidRDefault="00A32003" w:rsidP="00A32003">
            <w:pPr>
              <w:spacing w:line="276" w:lineRule="auto"/>
              <w:jc w:val="center"/>
              <w:rPr>
                <w:rFonts w:ascii="Times New Roman" w:hAnsi="Times New Roman" w:cs="Times New Roman"/>
                <w:sz w:val="16"/>
                <w:szCs w:val="16"/>
              </w:rPr>
            </w:pPr>
          </w:p>
        </w:tc>
        <w:tc>
          <w:tcPr>
            <w:tcW w:w="1094" w:type="pct"/>
            <w:vAlign w:val="center"/>
          </w:tcPr>
          <w:p w14:paraId="43850504" w14:textId="56167076" w:rsidR="00A32003" w:rsidRPr="004E0468" w:rsidRDefault="0062135A"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Andersen 2007</w:t>
            </w:r>
          </w:p>
        </w:tc>
      </w:tr>
      <w:tr w:rsidR="00A32003" w:rsidRPr="004E0468" w14:paraId="7D42F607" w14:textId="77777777" w:rsidTr="0022507E">
        <w:tc>
          <w:tcPr>
            <w:tcW w:w="1033" w:type="pct"/>
            <w:vAlign w:val="center"/>
          </w:tcPr>
          <w:p w14:paraId="6325CC49"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Closed loops of materials, energy, and waste flows</w:t>
            </w:r>
          </w:p>
        </w:tc>
        <w:tc>
          <w:tcPr>
            <w:tcW w:w="963" w:type="pct"/>
            <w:vAlign w:val="center"/>
          </w:tcPr>
          <w:p w14:paraId="3C1AEDA1"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670" w:type="pct"/>
            <w:vAlign w:val="center"/>
          </w:tcPr>
          <w:p w14:paraId="701AFC8C"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702" w:type="pct"/>
            <w:vAlign w:val="center"/>
          </w:tcPr>
          <w:p w14:paraId="56577680" w14:textId="77777777" w:rsidR="00A32003" w:rsidRPr="004E0468" w:rsidRDefault="00A32003" w:rsidP="00A32003">
            <w:pPr>
              <w:spacing w:line="276" w:lineRule="auto"/>
              <w:jc w:val="center"/>
              <w:rPr>
                <w:rFonts w:ascii="Times New Roman" w:hAnsi="Times New Roman" w:cs="Times New Roman"/>
                <w:sz w:val="16"/>
                <w:szCs w:val="16"/>
              </w:rPr>
            </w:pPr>
          </w:p>
        </w:tc>
        <w:tc>
          <w:tcPr>
            <w:tcW w:w="538" w:type="pct"/>
            <w:vAlign w:val="center"/>
          </w:tcPr>
          <w:p w14:paraId="7469FF36"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1094" w:type="pct"/>
            <w:vAlign w:val="center"/>
          </w:tcPr>
          <w:p w14:paraId="0E185FDD" w14:textId="35E54B5D" w:rsidR="00421A1F" w:rsidRPr="004E0468" w:rsidRDefault="00A32003" w:rsidP="00421A1F">
            <w:pPr>
              <w:spacing w:line="276" w:lineRule="auto"/>
              <w:jc w:val="center"/>
              <w:rPr>
                <w:rFonts w:ascii="Times New Roman" w:hAnsi="Times New Roman" w:cs="Times New Roman"/>
                <w:sz w:val="16"/>
                <w:szCs w:val="16"/>
              </w:rPr>
            </w:pPr>
            <w:proofErr w:type="spellStart"/>
            <w:r w:rsidRPr="004E0468">
              <w:rPr>
                <w:rFonts w:ascii="Times New Roman" w:hAnsi="Times New Roman" w:cs="Times New Roman"/>
                <w:sz w:val="16"/>
                <w:szCs w:val="16"/>
              </w:rPr>
              <w:t>Geng</w:t>
            </w:r>
            <w:proofErr w:type="spellEnd"/>
            <w:r w:rsidRPr="004E0468">
              <w:rPr>
                <w:rFonts w:ascii="Times New Roman" w:hAnsi="Times New Roman" w:cs="Times New Roman"/>
                <w:sz w:val="16"/>
                <w:szCs w:val="16"/>
              </w:rPr>
              <w:t xml:space="preserve"> and </w:t>
            </w:r>
            <w:proofErr w:type="spellStart"/>
            <w:r w:rsidRPr="004E0468">
              <w:rPr>
                <w:rFonts w:ascii="Times New Roman" w:hAnsi="Times New Roman" w:cs="Times New Roman"/>
                <w:sz w:val="16"/>
                <w:szCs w:val="16"/>
              </w:rPr>
              <w:t>Doberstein</w:t>
            </w:r>
            <w:proofErr w:type="spellEnd"/>
            <w:r w:rsidRPr="004E0468">
              <w:rPr>
                <w:rFonts w:ascii="Times New Roman" w:hAnsi="Times New Roman" w:cs="Times New Roman"/>
                <w:sz w:val="16"/>
                <w:szCs w:val="16"/>
              </w:rPr>
              <w:t xml:space="preserve"> 2008; </w:t>
            </w:r>
          </w:p>
          <w:p w14:paraId="2170BE58" w14:textId="07A683EA" w:rsidR="00A32003" w:rsidRPr="004E0468" w:rsidRDefault="00A32003" w:rsidP="00421A1F">
            <w:pPr>
              <w:spacing w:line="276" w:lineRule="auto"/>
              <w:jc w:val="center"/>
              <w:rPr>
                <w:rFonts w:ascii="Times New Roman" w:hAnsi="Times New Roman" w:cs="Times New Roman"/>
                <w:sz w:val="16"/>
                <w:szCs w:val="16"/>
              </w:rPr>
            </w:pPr>
            <w:proofErr w:type="spellStart"/>
            <w:r w:rsidRPr="004E0468">
              <w:rPr>
                <w:rFonts w:ascii="Times New Roman" w:hAnsi="Times New Roman" w:cs="Times New Roman"/>
                <w:sz w:val="16"/>
                <w:szCs w:val="16"/>
              </w:rPr>
              <w:t>Geng</w:t>
            </w:r>
            <w:proofErr w:type="spellEnd"/>
            <w:r w:rsidRPr="004E0468">
              <w:rPr>
                <w:rFonts w:ascii="Times New Roman" w:hAnsi="Times New Roman" w:cs="Times New Roman"/>
                <w:sz w:val="16"/>
                <w:szCs w:val="16"/>
              </w:rPr>
              <w:t xml:space="preserve"> et al. 2009; Ellen </w:t>
            </w:r>
            <w:r w:rsidRPr="004E0468">
              <w:rPr>
                <w:rFonts w:ascii="Times New Roman" w:hAnsi="Times New Roman" w:cs="Times New Roman"/>
                <w:sz w:val="16"/>
                <w:szCs w:val="16"/>
              </w:rPr>
              <w:lastRenderedPageBreak/>
              <w:t xml:space="preserve">MacArthur Foundation </w:t>
            </w:r>
            <w:r w:rsidR="004E4E0D" w:rsidRPr="004E0468">
              <w:rPr>
                <w:rFonts w:ascii="Times New Roman" w:hAnsi="Times New Roman" w:cs="Times New Roman"/>
                <w:sz w:val="16"/>
                <w:szCs w:val="16"/>
              </w:rPr>
              <w:t>2013</w:t>
            </w:r>
            <w:r w:rsidRPr="004E0468">
              <w:rPr>
                <w:rFonts w:ascii="Times New Roman" w:hAnsi="Times New Roman" w:cs="Times New Roman"/>
                <w:sz w:val="16"/>
                <w:szCs w:val="16"/>
              </w:rPr>
              <w:t xml:space="preserve">; </w:t>
            </w:r>
            <w:proofErr w:type="spellStart"/>
            <w:r w:rsidRPr="004E0468">
              <w:rPr>
                <w:rFonts w:ascii="Times New Roman" w:hAnsi="Times New Roman" w:cs="Times New Roman"/>
                <w:sz w:val="16"/>
                <w:szCs w:val="16"/>
              </w:rPr>
              <w:t>Ghisellini</w:t>
            </w:r>
            <w:proofErr w:type="spellEnd"/>
            <w:r w:rsidR="00421A1F" w:rsidRPr="004E0468">
              <w:rPr>
                <w:rFonts w:ascii="Times New Roman" w:hAnsi="Times New Roman" w:cs="Times New Roman"/>
                <w:sz w:val="16"/>
                <w:szCs w:val="16"/>
              </w:rPr>
              <w:t xml:space="preserve"> et al</w:t>
            </w:r>
            <w:r w:rsidRPr="004E0468">
              <w:rPr>
                <w:rFonts w:ascii="Times New Roman" w:hAnsi="Times New Roman" w:cs="Times New Roman"/>
                <w:sz w:val="16"/>
                <w:szCs w:val="16"/>
              </w:rPr>
              <w:t xml:space="preserve"> 2014; Genovese et al. 2015; </w:t>
            </w:r>
            <w:proofErr w:type="spellStart"/>
            <w:r w:rsidRPr="004E0468">
              <w:rPr>
                <w:rFonts w:ascii="Times New Roman" w:hAnsi="Times New Roman" w:cs="Times New Roman"/>
                <w:sz w:val="16"/>
                <w:szCs w:val="16"/>
              </w:rPr>
              <w:t>Bocken</w:t>
            </w:r>
            <w:proofErr w:type="spellEnd"/>
            <w:r w:rsidR="00421A1F" w:rsidRPr="004E0468">
              <w:rPr>
                <w:rFonts w:ascii="Times New Roman" w:hAnsi="Times New Roman" w:cs="Times New Roman"/>
                <w:sz w:val="16"/>
                <w:szCs w:val="16"/>
              </w:rPr>
              <w:t xml:space="preserve"> et al 2016</w:t>
            </w:r>
          </w:p>
        </w:tc>
      </w:tr>
      <w:tr w:rsidR="00A32003" w:rsidRPr="004E0468" w14:paraId="02D3EC8C" w14:textId="77777777" w:rsidTr="0022507E">
        <w:tc>
          <w:tcPr>
            <w:tcW w:w="1033" w:type="pct"/>
            <w:vAlign w:val="center"/>
          </w:tcPr>
          <w:p w14:paraId="0CE5765D"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lastRenderedPageBreak/>
              <w:t>Concern of minimising energy and raw material inputs into production systems</w:t>
            </w:r>
          </w:p>
        </w:tc>
        <w:tc>
          <w:tcPr>
            <w:tcW w:w="963" w:type="pct"/>
            <w:vAlign w:val="center"/>
          </w:tcPr>
          <w:p w14:paraId="59FA7F29"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670" w:type="pct"/>
            <w:vAlign w:val="center"/>
          </w:tcPr>
          <w:p w14:paraId="79ED3CA1"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702" w:type="pct"/>
            <w:vAlign w:val="center"/>
          </w:tcPr>
          <w:p w14:paraId="1D3BEC8B" w14:textId="77777777" w:rsidR="00A32003" w:rsidRPr="004E0468" w:rsidRDefault="00A32003" w:rsidP="00A32003">
            <w:pPr>
              <w:spacing w:line="276" w:lineRule="auto"/>
              <w:jc w:val="center"/>
              <w:rPr>
                <w:rFonts w:ascii="Times New Roman" w:hAnsi="Times New Roman" w:cs="Times New Roman"/>
                <w:sz w:val="16"/>
                <w:szCs w:val="16"/>
              </w:rPr>
            </w:pPr>
          </w:p>
        </w:tc>
        <w:tc>
          <w:tcPr>
            <w:tcW w:w="538" w:type="pct"/>
            <w:vAlign w:val="center"/>
          </w:tcPr>
          <w:p w14:paraId="1EEE544F" w14:textId="77777777" w:rsidR="00A32003" w:rsidRPr="004E0468" w:rsidRDefault="00A32003" w:rsidP="00A32003">
            <w:pPr>
              <w:spacing w:line="276" w:lineRule="auto"/>
              <w:jc w:val="center"/>
              <w:rPr>
                <w:rFonts w:ascii="Times New Roman" w:hAnsi="Times New Roman" w:cs="Times New Roman"/>
                <w:sz w:val="16"/>
                <w:szCs w:val="16"/>
              </w:rPr>
            </w:pPr>
          </w:p>
        </w:tc>
        <w:tc>
          <w:tcPr>
            <w:tcW w:w="1094" w:type="pct"/>
            <w:vAlign w:val="center"/>
          </w:tcPr>
          <w:p w14:paraId="38251CF0" w14:textId="35D9E86C" w:rsidR="00A32003" w:rsidRPr="004E0468" w:rsidRDefault="00A32003" w:rsidP="00A32003">
            <w:pPr>
              <w:spacing w:line="276" w:lineRule="auto"/>
              <w:jc w:val="center"/>
              <w:rPr>
                <w:rFonts w:ascii="Times New Roman" w:hAnsi="Times New Roman" w:cs="Times New Roman"/>
                <w:sz w:val="16"/>
                <w:szCs w:val="16"/>
                <w:lang w:val="it-IT"/>
              </w:rPr>
            </w:pPr>
            <w:r w:rsidRPr="004E0468">
              <w:rPr>
                <w:rFonts w:ascii="Times New Roman" w:hAnsi="Times New Roman" w:cs="Times New Roman"/>
                <w:sz w:val="16"/>
                <w:szCs w:val="16"/>
                <w:lang w:val="it-IT"/>
              </w:rPr>
              <w:t>Geng et</w:t>
            </w:r>
            <w:r w:rsidR="0062135A" w:rsidRPr="004E0468">
              <w:rPr>
                <w:rFonts w:ascii="Times New Roman" w:hAnsi="Times New Roman" w:cs="Times New Roman"/>
                <w:sz w:val="16"/>
                <w:szCs w:val="16"/>
                <w:lang w:val="it-IT"/>
              </w:rPr>
              <w:t xml:space="preserve"> al. 2009; Genovese et al. 2015</w:t>
            </w:r>
          </w:p>
        </w:tc>
      </w:tr>
      <w:tr w:rsidR="00A32003" w:rsidRPr="004E0468" w14:paraId="1452C32F" w14:textId="77777777" w:rsidTr="0022507E">
        <w:tc>
          <w:tcPr>
            <w:tcW w:w="1033" w:type="pct"/>
            <w:vAlign w:val="center"/>
          </w:tcPr>
          <w:p w14:paraId="172663AB"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Mimicking natural systems</w:t>
            </w:r>
          </w:p>
        </w:tc>
        <w:tc>
          <w:tcPr>
            <w:tcW w:w="963" w:type="pct"/>
            <w:vAlign w:val="center"/>
          </w:tcPr>
          <w:p w14:paraId="36CA626D" w14:textId="77777777" w:rsidR="00A32003" w:rsidRPr="004E0468" w:rsidRDefault="00A32003" w:rsidP="00A32003">
            <w:pPr>
              <w:spacing w:line="276" w:lineRule="auto"/>
              <w:jc w:val="center"/>
              <w:rPr>
                <w:rFonts w:ascii="Times New Roman" w:hAnsi="Times New Roman" w:cs="Times New Roman"/>
                <w:sz w:val="16"/>
                <w:szCs w:val="16"/>
              </w:rPr>
            </w:pPr>
          </w:p>
        </w:tc>
        <w:tc>
          <w:tcPr>
            <w:tcW w:w="670" w:type="pct"/>
            <w:vAlign w:val="center"/>
          </w:tcPr>
          <w:p w14:paraId="0D2ECF22"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702" w:type="pct"/>
            <w:vAlign w:val="center"/>
          </w:tcPr>
          <w:p w14:paraId="57CD1588" w14:textId="77777777" w:rsidR="00A32003" w:rsidRPr="004E0468" w:rsidRDefault="00A32003" w:rsidP="00A32003">
            <w:pPr>
              <w:spacing w:line="276" w:lineRule="auto"/>
              <w:jc w:val="center"/>
              <w:rPr>
                <w:rFonts w:ascii="Times New Roman" w:hAnsi="Times New Roman" w:cs="Times New Roman"/>
                <w:sz w:val="16"/>
                <w:szCs w:val="16"/>
              </w:rPr>
            </w:pPr>
          </w:p>
        </w:tc>
        <w:tc>
          <w:tcPr>
            <w:tcW w:w="538" w:type="pct"/>
            <w:vAlign w:val="center"/>
          </w:tcPr>
          <w:p w14:paraId="71BFD580" w14:textId="77777777" w:rsidR="00A32003" w:rsidRPr="004E0468" w:rsidRDefault="00A32003" w:rsidP="00A32003">
            <w:pPr>
              <w:spacing w:line="276" w:lineRule="auto"/>
              <w:jc w:val="center"/>
              <w:rPr>
                <w:rFonts w:ascii="Times New Roman" w:hAnsi="Times New Roman" w:cs="Times New Roman"/>
                <w:sz w:val="16"/>
                <w:szCs w:val="16"/>
              </w:rPr>
            </w:pPr>
          </w:p>
        </w:tc>
        <w:tc>
          <w:tcPr>
            <w:tcW w:w="1094" w:type="pct"/>
            <w:vAlign w:val="center"/>
          </w:tcPr>
          <w:p w14:paraId="676E7A32" w14:textId="3F08811A"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Ellen</w:t>
            </w:r>
            <w:r w:rsidR="0062135A" w:rsidRPr="004E0468">
              <w:rPr>
                <w:rFonts w:ascii="Times New Roman" w:hAnsi="Times New Roman" w:cs="Times New Roman"/>
                <w:sz w:val="16"/>
                <w:szCs w:val="16"/>
              </w:rPr>
              <w:t xml:space="preserve"> MacArthur Foundation </w:t>
            </w:r>
            <w:r w:rsidR="004E4E0D" w:rsidRPr="004E0468">
              <w:rPr>
                <w:rFonts w:ascii="Times New Roman" w:hAnsi="Times New Roman" w:cs="Times New Roman"/>
                <w:sz w:val="16"/>
                <w:szCs w:val="16"/>
              </w:rPr>
              <w:t>2013</w:t>
            </w:r>
          </w:p>
        </w:tc>
      </w:tr>
      <w:tr w:rsidR="00A32003" w:rsidRPr="004E0468" w14:paraId="354164A7" w14:textId="77777777" w:rsidTr="0022507E">
        <w:tc>
          <w:tcPr>
            <w:tcW w:w="1033" w:type="pct"/>
            <w:vAlign w:val="center"/>
          </w:tcPr>
          <w:p w14:paraId="46168E95"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Interdependence between economic and environmental systems</w:t>
            </w:r>
          </w:p>
        </w:tc>
        <w:tc>
          <w:tcPr>
            <w:tcW w:w="963" w:type="pct"/>
            <w:vAlign w:val="center"/>
          </w:tcPr>
          <w:p w14:paraId="6A68BFEB" w14:textId="77777777" w:rsidR="00A32003" w:rsidRPr="004E0468" w:rsidRDefault="00A32003" w:rsidP="00A32003">
            <w:pPr>
              <w:spacing w:line="276" w:lineRule="auto"/>
              <w:jc w:val="center"/>
              <w:rPr>
                <w:rFonts w:ascii="Times New Roman" w:hAnsi="Times New Roman" w:cs="Times New Roman"/>
                <w:sz w:val="16"/>
                <w:szCs w:val="16"/>
              </w:rPr>
            </w:pPr>
          </w:p>
        </w:tc>
        <w:tc>
          <w:tcPr>
            <w:tcW w:w="670" w:type="pct"/>
            <w:vAlign w:val="center"/>
          </w:tcPr>
          <w:p w14:paraId="4F9799C0"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702" w:type="pct"/>
            <w:vAlign w:val="center"/>
          </w:tcPr>
          <w:p w14:paraId="05F22C80"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538" w:type="pct"/>
            <w:vAlign w:val="center"/>
          </w:tcPr>
          <w:p w14:paraId="36A1E47F" w14:textId="77777777" w:rsidR="00A32003" w:rsidRPr="004E0468" w:rsidRDefault="00A32003" w:rsidP="00A32003">
            <w:pPr>
              <w:spacing w:line="276" w:lineRule="auto"/>
              <w:jc w:val="center"/>
              <w:rPr>
                <w:rFonts w:ascii="Times New Roman" w:hAnsi="Times New Roman" w:cs="Times New Roman"/>
                <w:sz w:val="16"/>
                <w:szCs w:val="16"/>
              </w:rPr>
            </w:pPr>
          </w:p>
        </w:tc>
        <w:tc>
          <w:tcPr>
            <w:tcW w:w="1094" w:type="pct"/>
            <w:vAlign w:val="center"/>
          </w:tcPr>
          <w:p w14:paraId="7BC7A63D" w14:textId="36F9AEC2" w:rsidR="00A32003" w:rsidRPr="004E0468" w:rsidRDefault="00A32003" w:rsidP="00421A1F">
            <w:pPr>
              <w:spacing w:line="276" w:lineRule="auto"/>
              <w:jc w:val="center"/>
              <w:rPr>
                <w:rFonts w:ascii="Times New Roman" w:hAnsi="Times New Roman" w:cs="Times New Roman"/>
                <w:sz w:val="16"/>
                <w:szCs w:val="16"/>
                <w:lang w:val="it-IT"/>
              </w:rPr>
            </w:pPr>
            <w:r w:rsidRPr="004E0468">
              <w:rPr>
                <w:rFonts w:ascii="Times New Roman" w:hAnsi="Times New Roman" w:cs="Times New Roman"/>
                <w:sz w:val="16"/>
                <w:szCs w:val="16"/>
                <w:lang w:val="it-IT"/>
              </w:rPr>
              <w:t>Heshmati 2015; Naustdalslid 2014; Ghisellini</w:t>
            </w:r>
            <w:r w:rsidR="00421A1F" w:rsidRPr="004E0468">
              <w:rPr>
                <w:rFonts w:ascii="Times New Roman" w:hAnsi="Times New Roman" w:cs="Times New Roman"/>
                <w:sz w:val="16"/>
                <w:szCs w:val="16"/>
                <w:lang w:val="it-IT"/>
              </w:rPr>
              <w:t xml:space="preserve"> et al</w:t>
            </w:r>
            <w:r w:rsidR="0062135A" w:rsidRPr="004E0468">
              <w:rPr>
                <w:rFonts w:ascii="Times New Roman" w:hAnsi="Times New Roman" w:cs="Times New Roman"/>
                <w:sz w:val="16"/>
                <w:szCs w:val="16"/>
                <w:lang w:val="it-IT"/>
              </w:rPr>
              <w:t xml:space="preserve"> 2014</w:t>
            </w:r>
          </w:p>
        </w:tc>
      </w:tr>
      <w:tr w:rsidR="00A32003" w:rsidRPr="004E0468" w14:paraId="55E4A51B" w14:textId="77777777" w:rsidTr="0022507E">
        <w:tc>
          <w:tcPr>
            <w:tcW w:w="1033" w:type="pct"/>
            <w:vAlign w:val="center"/>
          </w:tcPr>
          <w:p w14:paraId="28BF2320"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Waste as an input</w:t>
            </w:r>
          </w:p>
        </w:tc>
        <w:tc>
          <w:tcPr>
            <w:tcW w:w="963" w:type="pct"/>
            <w:vAlign w:val="center"/>
          </w:tcPr>
          <w:p w14:paraId="47B34EE7" w14:textId="77777777" w:rsidR="00A32003" w:rsidRPr="004E0468" w:rsidRDefault="00A32003" w:rsidP="00A32003">
            <w:pPr>
              <w:spacing w:line="276" w:lineRule="auto"/>
              <w:jc w:val="center"/>
              <w:rPr>
                <w:rFonts w:ascii="Times New Roman" w:hAnsi="Times New Roman" w:cs="Times New Roman"/>
                <w:sz w:val="16"/>
                <w:szCs w:val="16"/>
              </w:rPr>
            </w:pPr>
          </w:p>
        </w:tc>
        <w:tc>
          <w:tcPr>
            <w:tcW w:w="670" w:type="pct"/>
            <w:vAlign w:val="center"/>
          </w:tcPr>
          <w:p w14:paraId="44E6CA4F"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702" w:type="pct"/>
            <w:vAlign w:val="center"/>
          </w:tcPr>
          <w:p w14:paraId="64EC2318"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538" w:type="pct"/>
            <w:vAlign w:val="center"/>
          </w:tcPr>
          <w:p w14:paraId="520B4D39" w14:textId="77777777" w:rsidR="00A32003" w:rsidRPr="004E0468" w:rsidRDefault="00A32003" w:rsidP="00A32003">
            <w:pPr>
              <w:spacing w:line="276" w:lineRule="auto"/>
              <w:jc w:val="center"/>
              <w:rPr>
                <w:rFonts w:ascii="Times New Roman" w:hAnsi="Times New Roman" w:cs="Times New Roman"/>
                <w:sz w:val="16"/>
                <w:szCs w:val="16"/>
              </w:rPr>
            </w:pPr>
          </w:p>
        </w:tc>
        <w:tc>
          <w:tcPr>
            <w:tcW w:w="1094" w:type="pct"/>
            <w:vAlign w:val="center"/>
          </w:tcPr>
          <w:p w14:paraId="169E6711" w14:textId="6D3B532D" w:rsidR="00A32003" w:rsidRPr="004E0468" w:rsidRDefault="00A32003" w:rsidP="00421A1F">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 xml:space="preserve">Ellen MacArthur Foundation </w:t>
            </w:r>
            <w:r w:rsidR="004E4E0D" w:rsidRPr="004E0468">
              <w:rPr>
                <w:rFonts w:ascii="Times New Roman" w:hAnsi="Times New Roman" w:cs="Times New Roman"/>
                <w:sz w:val="16"/>
                <w:szCs w:val="16"/>
              </w:rPr>
              <w:t>2013</w:t>
            </w:r>
            <w:r w:rsidRPr="004E0468">
              <w:rPr>
                <w:rFonts w:ascii="Times New Roman" w:hAnsi="Times New Roman" w:cs="Times New Roman"/>
                <w:sz w:val="16"/>
                <w:szCs w:val="16"/>
              </w:rPr>
              <w:t xml:space="preserve">; </w:t>
            </w:r>
            <w:proofErr w:type="spellStart"/>
            <w:r w:rsidRPr="004E0468">
              <w:rPr>
                <w:rFonts w:ascii="Times New Roman" w:hAnsi="Times New Roman" w:cs="Times New Roman"/>
                <w:sz w:val="16"/>
                <w:szCs w:val="16"/>
              </w:rPr>
              <w:t>Ghisellini</w:t>
            </w:r>
            <w:proofErr w:type="spellEnd"/>
            <w:r w:rsidR="00421A1F" w:rsidRPr="004E0468">
              <w:rPr>
                <w:rFonts w:ascii="Times New Roman" w:hAnsi="Times New Roman" w:cs="Times New Roman"/>
                <w:sz w:val="16"/>
                <w:szCs w:val="16"/>
              </w:rPr>
              <w:t xml:space="preserve"> et al</w:t>
            </w:r>
            <w:r w:rsidR="0062135A" w:rsidRPr="004E0468">
              <w:rPr>
                <w:rFonts w:ascii="Times New Roman" w:hAnsi="Times New Roman" w:cs="Times New Roman"/>
                <w:sz w:val="16"/>
                <w:szCs w:val="16"/>
              </w:rPr>
              <w:t xml:space="preserve"> 2014</w:t>
            </w:r>
          </w:p>
        </w:tc>
      </w:tr>
      <w:tr w:rsidR="00A32003" w:rsidRPr="004E0468" w14:paraId="5653B9CB" w14:textId="77777777" w:rsidTr="0022507E">
        <w:tc>
          <w:tcPr>
            <w:tcW w:w="1033" w:type="pct"/>
            <w:vAlign w:val="center"/>
          </w:tcPr>
          <w:p w14:paraId="3F9EE3E9"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Reusing and recycling residual waste materials</w:t>
            </w:r>
          </w:p>
        </w:tc>
        <w:tc>
          <w:tcPr>
            <w:tcW w:w="963" w:type="pct"/>
            <w:vAlign w:val="center"/>
          </w:tcPr>
          <w:p w14:paraId="4D9A3916" w14:textId="77777777" w:rsidR="00A32003" w:rsidRPr="004E0468" w:rsidRDefault="00A32003" w:rsidP="00A32003">
            <w:pPr>
              <w:spacing w:line="276" w:lineRule="auto"/>
              <w:jc w:val="center"/>
              <w:rPr>
                <w:rFonts w:ascii="Times New Roman" w:hAnsi="Times New Roman" w:cs="Times New Roman"/>
                <w:sz w:val="16"/>
                <w:szCs w:val="16"/>
              </w:rPr>
            </w:pPr>
          </w:p>
        </w:tc>
        <w:tc>
          <w:tcPr>
            <w:tcW w:w="670" w:type="pct"/>
            <w:vAlign w:val="center"/>
          </w:tcPr>
          <w:p w14:paraId="308CD9DC"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702" w:type="pct"/>
            <w:vAlign w:val="center"/>
          </w:tcPr>
          <w:p w14:paraId="268E90BC"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538" w:type="pct"/>
            <w:vAlign w:val="center"/>
          </w:tcPr>
          <w:p w14:paraId="46533E89" w14:textId="77777777" w:rsidR="00A32003" w:rsidRPr="004E0468" w:rsidRDefault="00A32003" w:rsidP="00A32003">
            <w:pPr>
              <w:spacing w:line="276" w:lineRule="auto"/>
              <w:jc w:val="center"/>
              <w:rPr>
                <w:rFonts w:ascii="Times New Roman" w:hAnsi="Times New Roman" w:cs="Times New Roman"/>
                <w:sz w:val="16"/>
                <w:szCs w:val="16"/>
              </w:rPr>
            </w:pPr>
          </w:p>
        </w:tc>
        <w:tc>
          <w:tcPr>
            <w:tcW w:w="1094" w:type="pct"/>
            <w:vAlign w:val="center"/>
          </w:tcPr>
          <w:p w14:paraId="0292D721" w14:textId="7C7CE9F9" w:rsidR="00A32003" w:rsidRPr="004E0468" w:rsidRDefault="00A32003" w:rsidP="00A32003">
            <w:pPr>
              <w:spacing w:line="276" w:lineRule="auto"/>
              <w:jc w:val="center"/>
              <w:rPr>
                <w:rFonts w:ascii="Times New Roman" w:hAnsi="Times New Roman" w:cs="Times New Roman"/>
                <w:sz w:val="16"/>
                <w:szCs w:val="16"/>
              </w:rPr>
            </w:pPr>
            <w:proofErr w:type="spellStart"/>
            <w:r w:rsidRPr="004E0468">
              <w:rPr>
                <w:rFonts w:ascii="Times New Roman" w:hAnsi="Times New Roman" w:cs="Times New Roman"/>
                <w:sz w:val="16"/>
                <w:szCs w:val="16"/>
              </w:rPr>
              <w:t>Heshmati</w:t>
            </w:r>
            <w:proofErr w:type="spellEnd"/>
            <w:r w:rsidRPr="004E0468">
              <w:rPr>
                <w:rFonts w:ascii="Times New Roman" w:hAnsi="Times New Roman" w:cs="Times New Roman"/>
                <w:sz w:val="16"/>
                <w:szCs w:val="16"/>
              </w:rPr>
              <w:t xml:space="preserve"> 2015; And</w:t>
            </w:r>
            <w:r w:rsidR="0062135A" w:rsidRPr="004E0468">
              <w:rPr>
                <w:rFonts w:ascii="Times New Roman" w:hAnsi="Times New Roman" w:cs="Times New Roman"/>
                <w:sz w:val="16"/>
                <w:szCs w:val="16"/>
              </w:rPr>
              <w:t>ersen 2007; Gregson et al. 2015</w:t>
            </w:r>
          </w:p>
        </w:tc>
      </w:tr>
      <w:tr w:rsidR="00A32003" w:rsidRPr="004E0468" w14:paraId="4BE2CE4A" w14:textId="77777777" w:rsidTr="0022507E">
        <w:tc>
          <w:tcPr>
            <w:tcW w:w="1033" w:type="pct"/>
            <w:vAlign w:val="center"/>
          </w:tcPr>
          <w:p w14:paraId="650B926A"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 xml:space="preserve">Recognising the limits to planetary energy, materials and resources </w:t>
            </w:r>
          </w:p>
        </w:tc>
        <w:tc>
          <w:tcPr>
            <w:tcW w:w="963" w:type="pct"/>
            <w:vAlign w:val="center"/>
          </w:tcPr>
          <w:p w14:paraId="07FCCC0C" w14:textId="77777777" w:rsidR="00A32003" w:rsidRPr="004E0468" w:rsidRDefault="00A32003" w:rsidP="00A32003">
            <w:pPr>
              <w:spacing w:line="276" w:lineRule="auto"/>
              <w:jc w:val="center"/>
              <w:rPr>
                <w:rFonts w:ascii="Times New Roman" w:hAnsi="Times New Roman" w:cs="Times New Roman"/>
                <w:sz w:val="16"/>
                <w:szCs w:val="16"/>
              </w:rPr>
            </w:pPr>
          </w:p>
        </w:tc>
        <w:tc>
          <w:tcPr>
            <w:tcW w:w="670" w:type="pct"/>
            <w:vAlign w:val="center"/>
          </w:tcPr>
          <w:p w14:paraId="082C8C2E" w14:textId="77777777" w:rsidR="00A32003" w:rsidRPr="004E0468" w:rsidRDefault="00A32003" w:rsidP="00A32003">
            <w:pPr>
              <w:spacing w:line="276" w:lineRule="auto"/>
              <w:jc w:val="center"/>
              <w:rPr>
                <w:rFonts w:ascii="Times New Roman" w:hAnsi="Times New Roman" w:cs="Times New Roman"/>
                <w:sz w:val="16"/>
                <w:szCs w:val="16"/>
              </w:rPr>
            </w:pPr>
          </w:p>
        </w:tc>
        <w:tc>
          <w:tcPr>
            <w:tcW w:w="702" w:type="pct"/>
            <w:vAlign w:val="center"/>
          </w:tcPr>
          <w:p w14:paraId="300A6D72"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538" w:type="pct"/>
            <w:vAlign w:val="center"/>
          </w:tcPr>
          <w:p w14:paraId="1B1572C0" w14:textId="77777777" w:rsidR="00A32003" w:rsidRPr="004E0468" w:rsidRDefault="00A32003" w:rsidP="00A32003">
            <w:pPr>
              <w:spacing w:line="276" w:lineRule="auto"/>
              <w:jc w:val="center"/>
              <w:rPr>
                <w:rFonts w:ascii="Times New Roman" w:hAnsi="Times New Roman" w:cs="Times New Roman"/>
                <w:sz w:val="16"/>
                <w:szCs w:val="16"/>
              </w:rPr>
            </w:pPr>
          </w:p>
        </w:tc>
        <w:tc>
          <w:tcPr>
            <w:tcW w:w="1094" w:type="pct"/>
            <w:vAlign w:val="center"/>
          </w:tcPr>
          <w:p w14:paraId="20DFFC67" w14:textId="52A8628F" w:rsidR="00A32003" w:rsidRPr="004E0468" w:rsidRDefault="00A32003" w:rsidP="00421A1F">
            <w:pPr>
              <w:spacing w:line="276" w:lineRule="auto"/>
              <w:jc w:val="center"/>
              <w:rPr>
                <w:rFonts w:ascii="Times New Roman" w:hAnsi="Times New Roman" w:cs="Times New Roman"/>
                <w:sz w:val="16"/>
                <w:szCs w:val="16"/>
              </w:rPr>
            </w:pPr>
            <w:proofErr w:type="spellStart"/>
            <w:r w:rsidRPr="004E0468">
              <w:rPr>
                <w:rFonts w:ascii="Times New Roman" w:hAnsi="Times New Roman" w:cs="Times New Roman"/>
                <w:sz w:val="16"/>
                <w:szCs w:val="16"/>
              </w:rPr>
              <w:t>Bocken</w:t>
            </w:r>
            <w:proofErr w:type="spellEnd"/>
            <w:r w:rsidR="00421A1F" w:rsidRPr="004E0468">
              <w:rPr>
                <w:rFonts w:ascii="Times New Roman" w:hAnsi="Times New Roman" w:cs="Times New Roman"/>
                <w:sz w:val="16"/>
                <w:szCs w:val="16"/>
              </w:rPr>
              <w:t xml:space="preserve"> et al 2016</w:t>
            </w:r>
            <w:r w:rsidRPr="004E0468">
              <w:rPr>
                <w:rFonts w:ascii="Times New Roman" w:hAnsi="Times New Roman" w:cs="Times New Roman"/>
                <w:sz w:val="16"/>
                <w:szCs w:val="16"/>
              </w:rPr>
              <w:t>; Liu e</w:t>
            </w:r>
            <w:r w:rsidR="0062135A" w:rsidRPr="004E0468">
              <w:rPr>
                <w:rFonts w:ascii="Times New Roman" w:hAnsi="Times New Roman" w:cs="Times New Roman"/>
                <w:sz w:val="16"/>
                <w:szCs w:val="16"/>
              </w:rPr>
              <w:t>t al. 2009; Gregson et al. 2015</w:t>
            </w:r>
          </w:p>
        </w:tc>
      </w:tr>
      <w:tr w:rsidR="00A32003" w:rsidRPr="004E0468" w14:paraId="01A937FA" w14:textId="77777777" w:rsidTr="0022507E">
        <w:tc>
          <w:tcPr>
            <w:tcW w:w="1033" w:type="pct"/>
            <w:vAlign w:val="center"/>
          </w:tcPr>
          <w:p w14:paraId="5710C2AD"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Integrating circularity concerns into the early stages of the production process (eco-design)</w:t>
            </w:r>
          </w:p>
        </w:tc>
        <w:tc>
          <w:tcPr>
            <w:tcW w:w="963" w:type="pct"/>
            <w:vAlign w:val="center"/>
          </w:tcPr>
          <w:p w14:paraId="39093FDD" w14:textId="77777777" w:rsidR="00A32003" w:rsidRPr="004E0468" w:rsidRDefault="00A32003" w:rsidP="00A32003">
            <w:pPr>
              <w:spacing w:line="276" w:lineRule="auto"/>
              <w:jc w:val="center"/>
              <w:rPr>
                <w:rFonts w:ascii="Times New Roman" w:hAnsi="Times New Roman" w:cs="Times New Roman"/>
                <w:sz w:val="16"/>
                <w:szCs w:val="16"/>
              </w:rPr>
            </w:pPr>
          </w:p>
        </w:tc>
        <w:tc>
          <w:tcPr>
            <w:tcW w:w="670" w:type="pct"/>
            <w:vAlign w:val="center"/>
          </w:tcPr>
          <w:p w14:paraId="32E3D308" w14:textId="77777777" w:rsidR="00A32003" w:rsidRPr="004E0468" w:rsidRDefault="00A32003" w:rsidP="00A32003">
            <w:pPr>
              <w:spacing w:line="276" w:lineRule="auto"/>
              <w:jc w:val="center"/>
              <w:rPr>
                <w:rFonts w:ascii="Times New Roman" w:hAnsi="Times New Roman" w:cs="Times New Roman"/>
                <w:sz w:val="16"/>
                <w:szCs w:val="16"/>
              </w:rPr>
            </w:pPr>
          </w:p>
        </w:tc>
        <w:tc>
          <w:tcPr>
            <w:tcW w:w="702" w:type="pct"/>
            <w:vAlign w:val="center"/>
          </w:tcPr>
          <w:p w14:paraId="6923BA43" w14:textId="77777777" w:rsidR="00A32003" w:rsidRPr="004E0468" w:rsidRDefault="00A32003" w:rsidP="00A32003">
            <w:pPr>
              <w:spacing w:line="276" w:lineRule="auto"/>
              <w:jc w:val="center"/>
              <w:rPr>
                <w:rFonts w:ascii="Times New Roman" w:hAnsi="Times New Roman" w:cs="Times New Roman"/>
                <w:sz w:val="16"/>
                <w:szCs w:val="16"/>
              </w:rPr>
            </w:pPr>
          </w:p>
        </w:tc>
        <w:tc>
          <w:tcPr>
            <w:tcW w:w="538" w:type="pct"/>
            <w:vAlign w:val="center"/>
          </w:tcPr>
          <w:p w14:paraId="1AAD8CCF"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1094" w:type="pct"/>
            <w:vAlign w:val="center"/>
          </w:tcPr>
          <w:p w14:paraId="0EFFAD54" w14:textId="5AB3B71C"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Gregson et al. 2015; E</w:t>
            </w:r>
            <w:r w:rsidR="0062135A" w:rsidRPr="004E0468">
              <w:rPr>
                <w:rFonts w:ascii="Times New Roman" w:hAnsi="Times New Roman" w:cs="Times New Roman"/>
                <w:sz w:val="16"/>
                <w:szCs w:val="16"/>
              </w:rPr>
              <w:t xml:space="preserve">llen MacArthur Foundation </w:t>
            </w:r>
            <w:r w:rsidR="004E4E0D" w:rsidRPr="004E0468">
              <w:rPr>
                <w:rFonts w:ascii="Times New Roman" w:hAnsi="Times New Roman" w:cs="Times New Roman"/>
                <w:sz w:val="16"/>
                <w:szCs w:val="16"/>
              </w:rPr>
              <w:t>2013</w:t>
            </w:r>
          </w:p>
        </w:tc>
      </w:tr>
      <w:tr w:rsidR="00A32003" w:rsidRPr="004E0468" w14:paraId="6AE5281C" w14:textId="77777777" w:rsidTr="0022507E">
        <w:tc>
          <w:tcPr>
            <w:tcW w:w="1033" w:type="pct"/>
            <w:vAlign w:val="center"/>
          </w:tcPr>
          <w:p w14:paraId="53D517BC"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Distinguishing between biological and technical nutrients</w:t>
            </w:r>
          </w:p>
        </w:tc>
        <w:tc>
          <w:tcPr>
            <w:tcW w:w="963" w:type="pct"/>
            <w:vAlign w:val="center"/>
          </w:tcPr>
          <w:p w14:paraId="30FC5DB1" w14:textId="77777777" w:rsidR="00A32003" w:rsidRPr="004E0468" w:rsidRDefault="00A32003" w:rsidP="00A32003">
            <w:pPr>
              <w:spacing w:line="276" w:lineRule="auto"/>
              <w:jc w:val="center"/>
              <w:rPr>
                <w:rFonts w:ascii="Times New Roman" w:hAnsi="Times New Roman" w:cs="Times New Roman"/>
                <w:sz w:val="16"/>
                <w:szCs w:val="16"/>
              </w:rPr>
            </w:pPr>
          </w:p>
        </w:tc>
        <w:tc>
          <w:tcPr>
            <w:tcW w:w="670" w:type="pct"/>
            <w:vAlign w:val="center"/>
          </w:tcPr>
          <w:p w14:paraId="5CA31ECC" w14:textId="77777777" w:rsidR="00A32003" w:rsidRPr="004E0468" w:rsidRDefault="00A32003" w:rsidP="00A32003">
            <w:pPr>
              <w:spacing w:line="276" w:lineRule="auto"/>
              <w:jc w:val="center"/>
              <w:rPr>
                <w:rFonts w:ascii="Times New Roman" w:hAnsi="Times New Roman" w:cs="Times New Roman"/>
                <w:sz w:val="16"/>
                <w:szCs w:val="16"/>
              </w:rPr>
            </w:pPr>
          </w:p>
        </w:tc>
        <w:tc>
          <w:tcPr>
            <w:tcW w:w="702" w:type="pct"/>
            <w:vAlign w:val="center"/>
          </w:tcPr>
          <w:p w14:paraId="78E16D98" w14:textId="77777777" w:rsidR="00A32003" w:rsidRPr="004E0468" w:rsidRDefault="00A32003" w:rsidP="00A32003">
            <w:pPr>
              <w:spacing w:line="276" w:lineRule="auto"/>
              <w:jc w:val="center"/>
              <w:rPr>
                <w:rFonts w:ascii="Times New Roman" w:hAnsi="Times New Roman" w:cs="Times New Roman"/>
                <w:sz w:val="16"/>
                <w:szCs w:val="16"/>
              </w:rPr>
            </w:pPr>
          </w:p>
        </w:tc>
        <w:tc>
          <w:tcPr>
            <w:tcW w:w="538" w:type="pct"/>
            <w:vAlign w:val="center"/>
          </w:tcPr>
          <w:p w14:paraId="7B36593A" w14:textId="77777777" w:rsidR="00A32003" w:rsidRPr="004E0468" w:rsidRDefault="00A32003" w:rsidP="00A32003">
            <w:pPr>
              <w:spacing w:line="276" w:lineRule="auto"/>
              <w:jc w:val="center"/>
              <w:rPr>
                <w:rFonts w:ascii="Times New Roman" w:hAnsi="Times New Roman" w:cs="Times New Roman"/>
                <w:sz w:val="16"/>
                <w:szCs w:val="16"/>
              </w:rPr>
            </w:pPr>
            <w:r w:rsidRPr="004E0468">
              <w:rPr>
                <w:rFonts w:ascii="Times New Roman" w:hAnsi="Times New Roman" w:cs="Times New Roman"/>
                <w:b/>
                <w:sz w:val="16"/>
                <w:szCs w:val="16"/>
              </w:rPr>
              <w:t>X</w:t>
            </w:r>
          </w:p>
        </w:tc>
        <w:tc>
          <w:tcPr>
            <w:tcW w:w="1094" w:type="pct"/>
            <w:vAlign w:val="center"/>
          </w:tcPr>
          <w:p w14:paraId="6F09ED65" w14:textId="66A0EB3C" w:rsidR="00A32003" w:rsidRPr="004E0468" w:rsidRDefault="00A32003" w:rsidP="00421A1F">
            <w:pPr>
              <w:spacing w:line="276" w:lineRule="auto"/>
              <w:jc w:val="center"/>
              <w:rPr>
                <w:rFonts w:ascii="Times New Roman" w:hAnsi="Times New Roman" w:cs="Times New Roman"/>
                <w:sz w:val="16"/>
                <w:szCs w:val="16"/>
              </w:rPr>
            </w:pPr>
            <w:r w:rsidRPr="004E0468">
              <w:rPr>
                <w:rFonts w:ascii="Times New Roman" w:hAnsi="Times New Roman" w:cs="Times New Roman"/>
                <w:sz w:val="16"/>
                <w:szCs w:val="16"/>
              </w:rPr>
              <w:t>Kok</w:t>
            </w:r>
            <w:r w:rsidR="00421A1F" w:rsidRPr="004E0468">
              <w:rPr>
                <w:rFonts w:ascii="Times New Roman" w:hAnsi="Times New Roman" w:cs="Times New Roman"/>
                <w:sz w:val="16"/>
                <w:szCs w:val="16"/>
              </w:rPr>
              <w:t xml:space="preserve"> et al</w:t>
            </w:r>
            <w:r w:rsidRPr="004E0468">
              <w:rPr>
                <w:rFonts w:ascii="Times New Roman" w:hAnsi="Times New Roman" w:cs="Times New Roman"/>
                <w:sz w:val="16"/>
                <w:szCs w:val="16"/>
              </w:rPr>
              <w:t xml:space="preserve"> 2013; E</w:t>
            </w:r>
            <w:r w:rsidR="0062135A" w:rsidRPr="004E0468">
              <w:rPr>
                <w:rFonts w:ascii="Times New Roman" w:hAnsi="Times New Roman" w:cs="Times New Roman"/>
                <w:sz w:val="16"/>
                <w:szCs w:val="16"/>
              </w:rPr>
              <w:t xml:space="preserve">llen MacArthur Foundation </w:t>
            </w:r>
            <w:r w:rsidR="004E4E0D" w:rsidRPr="004E0468">
              <w:rPr>
                <w:rFonts w:ascii="Times New Roman" w:hAnsi="Times New Roman" w:cs="Times New Roman"/>
                <w:sz w:val="16"/>
                <w:szCs w:val="16"/>
              </w:rPr>
              <w:t>2013</w:t>
            </w:r>
          </w:p>
        </w:tc>
      </w:tr>
    </w:tbl>
    <w:p w14:paraId="6B96E220" w14:textId="77777777" w:rsidR="005A5838" w:rsidRPr="004E0468" w:rsidRDefault="005A5838" w:rsidP="00F40F6E">
      <w:pPr>
        <w:jc w:val="both"/>
      </w:pPr>
    </w:p>
    <w:p w14:paraId="3BB4F723" w14:textId="507D56FD" w:rsidR="00086AB7" w:rsidRPr="004E0468" w:rsidRDefault="0077596D" w:rsidP="00F40F6E">
      <w:pPr>
        <w:jc w:val="both"/>
      </w:pPr>
      <w:r w:rsidRPr="004E0468">
        <w:t xml:space="preserve">     </w:t>
      </w:r>
      <w:r w:rsidR="000D6B0B" w:rsidRPr="004E0468">
        <w:t>CE</w:t>
      </w:r>
      <w:r w:rsidR="00193C50" w:rsidRPr="004E0468">
        <w:t xml:space="preserve"> goes beyond </w:t>
      </w:r>
      <w:r w:rsidR="0047435A" w:rsidRPr="004E0468">
        <w:t xml:space="preserve">its conceptual antecedents </w:t>
      </w:r>
      <w:r w:rsidR="00490217" w:rsidRPr="004E0468">
        <w:t xml:space="preserve">by proposing </w:t>
      </w:r>
      <w:r w:rsidR="00193C50" w:rsidRPr="004E0468">
        <w:t>a radical change in all aspects of economic and social activities</w:t>
      </w:r>
      <w:r w:rsidR="00421A1F" w:rsidRPr="004E0468">
        <w:t xml:space="preserve"> (</w:t>
      </w:r>
      <w:proofErr w:type="spellStart"/>
      <w:r w:rsidR="00A04806" w:rsidRPr="004E0468">
        <w:t>Bonc</w:t>
      </w:r>
      <w:r w:rsidR="00421A1F" w:rsidRPr="004E0468">
        <w:t>iu</w:t>
      </w:r>
      <w:proofErr w:type="spellEnd"/>
      <w:r w:rsidR="00421A1F" w:rsidRPr="004E0468">
        <w:t xml:space="preserve"> 2014)</w:t>
      </w:r>
      <w:r w:rsidR="00193C50" w:rsidRPr="004E0468">
        <w:t>.</w:t>
      </w:r>
      <w:r w:rsidR="00235D96" w:rsidRPr="004E0468">
        <w:t xml:space="preserve"> </w:t>
      </w:r>
      <w:r w:rsidR="006312E0" w:rsidRPr="004E0468">
        <w:t xml:space="preserve">Scholars have </w:t>
      </w:r>
      <w:r w:rsidR="00086AB7" w:rsidRPr="004E0468">
        <w:t>diverging</w:t>
      </w:r>
      <w:r w:rsidR="006312E0" w:rsidRPr="004E0468">
        <w:t xml:space="preserve"> </w:t>
      </w:r>
      <w:r w:rsidR="00086AB7" w:rsidRPr="004E0468">
        <w:t>ideas regard</w:t>
      </w:r>
      <w:r w:rsidR="006312E0" w:rsidRPr="004E0468">
        <w:t>ing the nature and scope of the Circular Economy</w:t>
      </w:r>
      <w:r w:rsidR="00421A1F" w:rsidRPr="004E0468">
        <w:t xml:space="preserve"> (</w:t>
      </w:r>
      <w:proofErr w:type="spellStart"/>
      <w:r w:rsidR="00421A1F" w:rsidRPr="004E0468">
        <w:t>Bocken</w:t>
      </w:r>
      <w:proofErr w:type="spellEnd"/>
      <w:r w:rsidR="00421A1F" w:rsidRPr="004E0468">
        <w:t xml:space="preserve"> et al. 2016)</w:t>
      </w:r>
      <w:r w:rsidR="00086AB7" w:rsidRPr="004E0468">
        <w:t xml:space="preserve">. Table </w:t>
      </w:r>
      <w:r w:rsidR="008F623B" w:rsidRPr="004E0468">
        <w:t>2</w:t>
      </w:r>
      <w:r w:rsidR="009363FC" w:rsidRPr="004E0468">
        <w:t xml:space="preserve"> </w:t>
      </w:r>
      <w:r w:rsidR="00490217" w:rsidRPr="004E0468">
        <w:t>lists</w:t>
      </w:r>
      <w:r w:rsidR="00086AB7" w:rsidRPr="004E0468">
        <w:t xml:space="preserve"> </w:t>
      </w:r>
      <w:r w:rsidR="00490217" w:rsidRPr="004E0468">
        <w:t>the</w:t>
      </w:r>
      <w:r w:rsidR="00086AB7" w:rsidRPr="004E0468">
        <w:t xml:space="preserve"> existing definitions </w:t>
      </w:r>
      <w:r w:rsidR="00490217" w:rsidRPr="004E0468">
        <w:t>of</w:t>
      </w:r>
      <w:r w:rsidR="00E60C7F" w:rsidRPr="004E0468">
        <w:t xml:space="preserve"> </w:t>
      </w:r>
      <w:r w:rsidR="00490217" w:rsidRPr="004E0468">
        <w:t xml:space="preserve">CE </w:t>
      </w:r>
      <w:r w:rsidR="00086AB7" w:rsidRPr="004E0468">
        <w:t>and shows how scholars</w:t>
      </w:r>
      <w:r w:rsidR="00E60C7F" w:rsidRPr="004E0468">
        <w:t xml:space="preserve"> </w:t>
      </w:r>
      <w:r w:rsidR="001C7A02" w:rsidRPr="004E0468">
        <w:t>perceive</w:t>
      </w:r>
      <w:r w:rsidR="00086AB7" w:rsidRPr="004E0468">
        <w:t xml:space="preserve"> </w:t>
      </w:r>
      <w:r w:rsidR="001C7A02" w:rsidRPr="004E0468">
        <w:t>Circular Economy as</w:t>
      </w:r>
      <w:r w:rsidR="00086AB7" w:rsidRPr="004E0468">
        <w:t xml:space="preserve"> a new label for old concepts (see e.g. </w:t>
      </w:r>
      <w:proofErr w:type="spellStart"/>
      <w:r w:rsidR="0062135A" w:rsidRPr="004E0468">
        <w:t>Geng</w:t>
      </w:r>
      <w:proofErr w:type="spellEnd"/>
      <w:r w:rsidR="0062135A" w:rsidRPr="004E0468">
        <w:t xml:space="preserve"> and </w:t>
      </w:r>
      <w:proofErr w:type="spellStart"/>
      <w:r w:rsidR="0062135A" w:rsidRPr="004E0468">
        <w:t>Doberstein</w:t>
      </w:r>
      <w:proofErr w:type="spellEnd"/>
      <w:r w:rsidR="0062135A" w:rsidRPr="004E0468">
        <w:t xml:space="preserve"> [2008] or </w:t>
      </w:r>
      <w:r w:rsidR="00086AB7" w:rsidRPr="004E0468">
        <w:t>Ying and Li-</w:t>
      </w:r>
      <w:proofErr w:type="spellStart"/>
      <w:r w:rsidR="00086AB7" w:rsidRPr="004E0468">
        <w:t>jun</w:t>
      </w:r>
      <w:proofErr w:type="spellEnd"/>
      <w:r w:rsidR="00086AB7" w:rsidRPr="004E0468">
        <w:t xml:space="preserve"> </w:t>
      </w:r>
      <w:r w:rsidR="00376C2B" w:rsidRPr="004E0468">
        <w:t>[2012]</w:t>
      </w:r>
      <w:r w:rsidR="001C7A02" w:rsidRPr="004E0468">
        <w:t>), a combination of established concepts (Gregson et al.</w:t>
      </w:r>
      <w:r w:rsidR="000F49F4" w:rsidRPr="004E0468">
        <w:t xml:space="preserve"> 2015</w:t>
      </w:r>
      <w:r w:rsidR="001C7A02" w:rsidRPr="004E0468">
        <w:t>), or a new set of guiding principles for economic activity</w:t>
      </w:r>
      <w:r w:rsidR="0027271C" w:rsidRPr="004E0468">
        <w:t>.</w:t>
      </w:r>
      <w:r w:rsidR="004373D4" w:rsidRPr="004E0468">
        <w:t xml:space="preserve"> </w:t>
      </w:r>
    </w:p>
    <w:p w14:paraId="555B969E" w14:textId="2C58775F" w:rsidR="004373D4" w:rsidRPr="004E0468" w:rsidRDefault="004373D4" w:rsidP="00F40F6E">
      <w:pPr>
        <w:jc w:val="both"/>
      </w:pPr>
      <w:r w:rsidRPr="004E0468">
        <w:t>Table 2. An overview of existing definitions</w:t>
      </w:r>
    </w:p>
    <w:tbl>
      <w:tblPr>
        <w:tblStyle w:val="TableGrid"/>
        <w:tblW w:w="0" w:type="auto"/>
        <w:tblLook w:val="04A0" w:firstRow="1" w:lastRow="0" w:firstColumn="1" w:lastColumn="0" w:noHBand="0" w:noVBand="1"/>
      </w:tblPr>
      <w:tblGrid>
        <w:gridCol w:w="1980"/>
        <w:gridCol w:w="6509"/>
      </w:tblGrid>
      <w:tr w:rsidR="005A5838" w:rsidRPr="004E0468" w14:paraId="67D7DDD8" w14:textId="77777777" w:rsidTr="004373D4">
        <w:trPr>
          <w:trHeight w:val="514"/>
        </w:trPr>
        <w:tc>
          <w:tcPr>
            <w:tcW w:w="1980" w:type="dxa"/>
            <w:shd w:val="clear" w:color="auto" w:fill="auto"/>
            <w:vAlign w:val="center"/>
          </w:tcPr>
          <w:p w14:paraId="08C8DC22" w14:textId="77777777" w:rsidR="005A5838" w:rsidRPr="004E0468" w:rsidRDefault="005A5838" w:rsidP="005A5838">
            <w:pPr>
              <w:spacing w:line="240" w:lineRule="auto"/>
              <w:jc w:val="center"/>
              <w:rPr>
                <w:rFonts w:ascii="Times New Roman" w:hAnsi="Times New Roman" w:cs="Times New Roman"/>
                <w:b/>
                <w:sz w:val="16"/>
                <w:szCs w:val="16"/>
              </w:rPr>
            </w:pPr>
            <w:r w:rsidRPr="004E0468">
              <w:rPr>
                <w:rFonts w:ascii="Times New Roman" w:hAnsi="Times New Roman" w:cs="Times New Roman"/>
                <w:b/>
                <w:sz w:val="16"/>
                <w:szCs w:val="16"/>
              </w:rPr>
              <w:t>Reference</w:t>
            </w:r>
          </w:p>
        </w:tc>
        <w:tc>
          <w:tcPr>
            <w:tcW w:w="6509" w:type="dxa"/>
            <w:shd w:val="clear" w:color="auto" w:fill="auto"/>
            <w:vAlign w:val="center"/>
          </w:tcPr>
          <w:p w14:paraId="1CB1B0C9" w14:textId="77777777" w:rsidR="005A5838" w:rsidRPr="004E0468" w:rsidRDefault="005A5838" w:rsidP="005A5838">
            <w:pPr>
              <w:spacing w:line="240" w:lineRule="auto"/>
              <w:jc w:val="center"/>
              <w:rPr>
                <w:rFonts w:ascii="Times New Roman" w:hAnsi="Times New Roman" w:cs="Times New Roman"/>
                <w:b/>
                <w:sz w:val="16"/>
                <w:szCs w:val="16"/>
              </w:rPr>
            </w:pPr>
            <w:r w:rsidRPr="004E0468">
              <w:rPr>
                <w:rFonts w:ascii="Times New Roman" w:hAnsi="Times New Roman" w:cs="Times New Roman"/>
                <w:b/>
                <w:sz w:val="16"/>
                <w:szCs w:val="16"/>
              </w:rPr>
              <w:t>Definition</w:t>
            </w:r>
          </w:p>
        </w:tc>
      </w:tr>
      <w:tr w:rsidR="005A5838" w:rsidRPr="004E0468" w14:paraId="63D29A17" w14:textId="77777777" w:rsidTr="004373D4">
        <w:tc>
          <w:tcPr>
            <w:tcW w:w="1980" w:type="dxa"/>
            <w:vAlign w:val="center"/>
          </w:tcPr>
          <w:p w14:paraId="5F66849A" w14:textId="66C55FFE" w:rsidR="005A5838" w:rsidRPr="004E0468" w:rsidRDefault="004C0C08" w:rsidP="00A32003">
            <w:pPr>
              <w:spacing w:line="240" w:lineRule="auto"/>
              <w:rPr>
                <w:rFonts w:ascii="Times New Roman" w:hAnsi="Times New Roman" w:cs="Times New Roman"/>
                <w:sz w:val="16"/>
                <w:szCs w:val="16"/>
              </w:rPr>
            </w:pPr>
            <w:r w:rsidRPr="004E0468">
              <w:rPr>
                <w:rFonts w:ascii="Times New Roman" w:hAnsi="Times New Roman" w:cs="Times New Roman"/>
                <w:sz w:val="16"/>
                <w:szCs w:val="16"/>
              </w:rPr>
              <w:t>Ying and Li-</w:t>
            </w:r>
            <w:proofErr w:type="spellStart"/>
            <w:r w:rsidRPr="004E0468">
              <w:rPr>
                <w:rFonts w:ascii="Times New Roman" w:hAnsi="Times New Roman" w:cs="Times New Roman"/>
                <w:sz w:val="16"/>
                <w:szCs w:val="16"/>
              </w:rPr>
              <w:t>jun</w:t>
            </w:r>
            <w:proofErr w:type="spellEnd"/>
            <w:r w:rsidRPr="004E0468">
              <w:rPr>
                <w:rFonts w:ascii="Times New Roman" w:hAnsi="Times New Roman" w:cs="Times New Roman"/>
                <w:sz w:val="16"/>
                <w:szCs w:val="16"/>
              </w:rPr>
              <w:t xml:space="preserve"> 2012, 1683</w:t>
            </w:r>
          </w:p>
        </w:tc>
        <w:tc>
          <w:tcPr>
            <w:tcW w:w="6509" w:type="dxa"/>
            <w:vAlign w:val="center"/>
          </w:tcPr>
          <w:p w14:paraId="7AF9FFAD" w14:textId="77777777" w:rsidR="005A5838" w:rsidRPr="004E0468" w:rsidRDefault="005A5838" w:rsidP="005A5838">
            <w:pPr>
              <w:spacing w:line="240" w:lineRule="auto"/>
              <w:rPr>
                <w:rFonts w:ascii="Times New Roman" w:hAnsi="Times New Roman" w:cs="Times New Roman"/>
                <w:sz w:val="16"/>
                <w:szCs w:val="16"/>
              </w:rPr>
            </w:pPr>
            <w:r w:rsidRPr="004E0468">
              <w:rPr>
                <w:rFonts w:ascii="Times New Roman" w:hAnsi="Times New Roman" w:cs="Times New Roman"/>
                <w:sz w:val="16"/>
                <w:szCs w:val="16"/>
              </w:rPr>
              <w:t>‘Circular economy is essentially an ecological economy, which requires human economic activities in line with 3R principle, namely Reduce, Reuse and Recycle.’</w:t>
            </w:r>
          </w:p>
        </w:tc>
      </w:tr>
      <w:tr w:rsidR="005A5838" w:rsidRPr="004E0468" w14:paraId="48C398EA" w14:textId="77777777" w:rsidTr="004373D4">
        <w:tc>
          <w:tcPr>
            <w:tcW w:w="1980" w:type="dxa"/>
            <w:vAlign w:val="center"/>
          </w:tcPr>
          <w:p w14:paraId="216E4324" w14:textId="496C5AC4" w:rsidR="005A5838" w:rsidRPr="004E0468" w:rsidRDefault="004C0C08" w:rsidP="00A32003">
            <w:pPr>
              <w:spacing w:line="240" w:lineRule="auto"/>
              <w:rPr>
                <w:rFonts w:ascii="Times New Roman" w:hAnsi="Times New Roman" w:cs="Times New Roman"/>
                <w:sz w:val="16"/>
                <w:szCs w:val="16"/>
              </w:rPr>
            </w:pPr>
            <w:proofErr w:type="spellStart"/>
            <w:r w:rsidRPr="004E0468">
              <w:rPr>
                <w:rFonts w:ascii="Times New Roman" w:hAnsi="Times New Roman" w:cs="Times New Roman"/>
                <w:sz w:val="16"/>
                <w:szCs w:val="16"/>
              </w:rPr>
              <w:t>Geng</w:t>
            </w:r>
            <w:proofErr w:type="spellEnd"/>
            <w:r w:rsidRPr="004E0468">
              <w:rPr>
                <w:rFonts w:ascii="Times New Roman" w:hAnsi="Times New Roman" w:cs="Times New Roman"/>
                <w:sz w:val="16"/>
                <w:szCs w:val="16"/>
              </w:rPr>
              <w:t xml:space="preserve"> and </w:t>
            </w:r>
            <w:proofErr w:type="spellStart"/>
            <w:r w:rsidRPr="004E0468">
              <w:rPr>
                <w:rFonts w:ascii="Times New Roman" w:hAnsi="Times New Roman" w:cs="Times New Roman"/>
                <w:sz w:val="16"/>
                <w:szCs w:val="16"/>
              </w:rPr>
              <w:t>Doberstein</w:t>
            </w:r>
            <w:proofErr w:type="spellEnd"/>
            <w:r w:rsidRPr="004E0468">
              <w:rPr>
                <w:rFonts w:ascii="Times New Roman" w:hAnsi="Times New Roman" w:cs="Times New Roman"/>
                <w:sz w:val="16"/>
                <w:szCs w:val="16"/>
              </w:rPr>
              <w:t xml:space="preserve"> 2008, 232</w:t>
            </w:r>
          </w:p>
        </w:tc>
        <w:tc>
          <w:tcPr>
            <w:tcW w:w="6509" w:type="dxa"/>
            <w:vAlign w:val="center"/>
          </w:tcPr>
          <w:p w14:paraId="1E128D4E" w14:textId="77777777" w:rsidR="005A5838" w:rsidRPr="004E0468" w:rsidRDefault="005A5838" w:rsidP="005A5838">
            <w:pPr>
              <w:spacing w:line="240" w:lineRule="auto"/>
              <w:rPr>
                <w:rFonts w:ascii="Times New Roman" w:hAnsi="Times New Roman" w:cs="Times New Roman"/>
                <w:sz w:val="16"/>
                <w:szCs w:val="16"/>
              </w:rPr>
            </w:pPr>
            <w:r w:rsidRPr="004E0468">
              <w:rPr>
                <w:rFonts w:ascii="Times New Roman" w:hAnsi="Times New Roman" w:cs="Times New Roman"/>
                <w:sz w:val="16"/>
                <w:szCs w:val="16"/>
              </w:rPr>
              <w:t>‘</w:t>
            </w:r>
            <w:proofErr w:type="gramStart"/>
            <w:r w:rsidRPr="004E0468">
              <w:rPr>
                <w:rFonts w:ascii="Times New Roman" w:hAnsi="Times New Roman" w:cs="Times New Roman"/>
                <w:sz w:val="16"/>
                <w:szCs w:val="16"/>
              </w:rPr>
              <w:t>a</w:t>
            </w:r>
            <w:proofErr w:type="gramEnd"/>
            <w:r w:rsidRPr="004E0468">
              <w:rPr>
                <w:rFonts w:ascii="Times New Roman" w:hAnsi="Times New Roman" w:cs="Times New Roman"/>
                <w:sz w:val="16"/>
                <w:szCs w:val="16"/>
              </w:rPr>
              <w:t xml:space="preserve"> circular economy approach encourages the organisation of economic activities with feedback processes which mimic natural ecosystems through a process of “natural resources → transformation into manufactures products → by-products of manufacturing used as resources for other industries”. (…) In essence, the circular economy approach is the same as the more familiar terms EID and “industrial ecology” ’ </w:t>
            </w:r>
          </w:p>
        </w:tc>
      </w:tr>
      <w:tr w:rsidR="005A5838" w:rsidRPr="004E0468" w14:paraId="6871811E" w14:textId="77777777" w:rsidTr="004373D4">
        <w:tc>
          <w:tcPr>
            <w:tcW w:w="1980" w:type="dxa"/>
            <w:vAlign w:val="center"/>
          </w:tcPr>
          <w:p w14:paraId="12CE2FF6" w14:textId="0A6DDF01" w:rsidR="005A5838" w:rsidRPr="004E0468" w:rsidRDefault="00A32003" w:rsidP="00A32003">
            <w:pPr>
              <w:spacing w:line="240" w:lineRule="auto"/>
              <w:rPr>
                <w:rFonts w:ascii="Times New Roman" w:hAnsi="Times New Roman" w:cs="Times New Roman"/>
                <w:sz w:val="16"/>
                <w:szCs w:val="16"/>
              </w:rPr>
            </w:pPr>
            <w:r w:rsidRPr="004E0468">
              <w:rPr>
                <w:rFonts w:ascii="Times New Roman" w:hAnsi="Times New Roman" w:cs="Times New Roman"/>
                <w:sz w:val="16"/>
                <w:szCs w:val="16"/>
              </w:rPr>
              <w:t>Gregson et</w:t>
            </w:r>
            <w:r w:rsidR="004C0C08" w:rsidRPr="004E0468">
              <w:rPr>
                <w:rFonts w:ascii="Times New Roman" w:hAnsi="Times New Roman" w:cs="Times New Roman"/>
                <w:sz w:val="16"/>
                <w:szCs w:val="16"/>
              </w:rPr>
              <w:t xml:space="preserve"> al. 2015, 3–5</w:t>
            </w:r>
          </w:p>
        </w:tc>
        <w:tc>
          <w:tcPr>
            <w:tcW w:w="6509" w:type="dxa"/>
            <w:vAlign w:val="center"/>
          </w:tcPr>
          <w:p w14:paraId="0B12B9E0" w14:textId="77777777" w:rsidR="005A5838" w:rsidRPr="004E0468" w:rsidRDefault="005A5838" w:rsidP="005A5838">
            <w:pPr>
              <w:spacing w:line="240" w:lineRule="auto"/>
              <w:rPr>
                <w:rFonts w:ascii="Times New Roman" w:hAnsi="Times New Roman" w:cs="Times New Roman"/>
                <w:sz w:val="16"/>
                <w:szCs w:val="16"/>
              </w:rPr>
            </w:pPr>
            <w:r w:rsidRPr="004E0468">
              <w:rPr>
                <w:rFonts w:ascii="Times New Roman" w:hAnsi="Times New Roman" w:cs="Times New Roman"/>
                <w:sz w:val="16"/>
                <w:szCs w:val="16"/>
              </w:rPr>
              <w:t xml:space="preserve"> ‘The circular economy (…) is a diverse bundle of ideas which have collectively taken hold.’ ‘</w:t>
            </w:r>
            <w:proofErr w:type="gramStart"/>
            <w:r w:rsidRPr="004E0468">
              <w:rPr>
                <w:rFonts w:ascii="Times New Roman" w:hAnsi="Times New Roman" w:cs="Times New Roman"/>
                <w:sz w:val="16"/>
                <w:szCs w:val="16"/>
              </w:rPr>
              <w:t>is</w:t>
            </w:r>
            <w:proofErr w:type="gramEnd"/>
            <w:r w:rsidRPr="004E0468">
              <w:rPr>
                <w:rFonts w:ascii="Times New Roman" w:hAnsi="Times New Roman" w:cs="Times New Roman"/>
                <w:sz w:val="16"/>
                <w:szCs w:val="16"/>
              </w:rPr>
              <w:t xml:space="preserve"> located in the allied but distinctive fields of ecological and environmental economics.’</w:t>
            </w:r>
          </w:p>
        </w:tc>
      </w:tr>
      <w:tr w:rsidR="005A5838" w:rsidRPr="004E0468" w14:paraId="6E2F5086" w14:textId="77777777" w:rsidTr="004373D4">
        <w:tc>
          <w:tcPr>
            <w:tcW w:w="1980" w:type="dxa"/>
            <w:vAlign w:val="center"/>
          </w:tcPr>
          <w:p w14:paraId="65734552" w14:textId="6E019434" w:rsidR="005A5838" w:rsidRPr="004E0468" w:rsidRDefault="004C0C08" w:rsidP="00A32003">
            <w:pPr>
              <w:spacing w:line="240" w:lineRule="auto"/>
              <w:rPr>
                <w:rFonts w:ascii="Times New Roman" w:hAnsi="Times New Roman" w:cs="Times New Roman"/>
                <w:sz w:val="16"/>
                <w:szCs w:val="16"/>
              </w:rPr>
            </w:pPr>
            <w:proofErr w:type="spellStart"/>
            <w:r w:rsidRPr="004E0468">
              <w:rPr>
                <w:rFonts w:ascii="Times New Roman" w:hAnsi="Times New Roman" w:cs="Times New Roman"/>
                <w:sz w:val="16"/>
                <w:szCs w:val="16"/>
              </w:rPr>
              <w:t>Sarkis</w:t>
            </w:r>
            <w:proofErr w:type="spellEnd"/>
            <w:r w:rsidRPr="004E0468">
              <w:rPr>
                <w:rFonts w:ascii="Times New Roman" w:hAnsi="Times New Roman" w:cs="Times New Roman"/>
                <w:sz w:val="16"/>
                <w:szCs w:val="16"/>
              </w:rPr>
              <w:t xml:space="preserve"> and Zhu 2008, 5</w:t>
            </w:r>
          </w:p>
        </w:tc>
        <w:tc>
          <w:tcPr>
            <w:tcW w:w="6509" w:type="dxa"/>
            <w:vAlign w:val="center"/>
          </w:tcPr>
          <w:p w14:paraId="12374A6F" w14:textId="77777777" w:rsidR="005A5838" w:rsidRPr="004E0468" w:rsidRDefault="005A5838" w:rsidP="005A5838">
            <w:pPr>
              <w:spacing w:line="240" w:lineRule="auto"/>
              <w:rPr>
                <w:rFonts w:ascii="Times New Roman" w:hAnsi="Times New Roman" w:cs="Times New Roman"/>
                <w:sz w:val="16"/>
                <w:szCs w:val="16"/>
              </w:rPr>
            </w:pPr>
            <w:r w:rsidRPr="004E0468">
              <w:rPr>
                <w:rFonts w:ascii="Times New Roman" w:hAnsi="Times New Roman" w:cs="Times New Roman"/>
                <w:sz w:val="16"/>
                <w:szCs w:val="16"/>
              </w:rPr>
              <w:t>‘CE was developed in China as a strategy for reducing its economy’s demand for natural resources as well as ecological damage’</w:t>
            </w:r>
          </w:p>
        </w:tc>
      </w:tr>
      <w:tr w:rsidR="005A5838" w:rsidRPr="004E0468" w14:paraId="3B07DD85" w14:textId="77777777" w:rsidTr="004373D4">
        <w:tc>
          <w:tcPr>
            <w:tcW w:w="1980" w:type="dxa"/>
            <w:vAlign w:val="center"/>
          </w:tcPr>
          <w:p w14:paraId="28311A78" w14:textId="6FCD571B" w:rsidR="005A5838" w:rsidRPr="004E0468" w:rsidRDefault="004C0C08" w:rsidP="00A32003">
            <w:pPr>
              <w:spacing w:line="240" w:lineRule="auto"/>
              <w:rPr>
                <w:rFonts w:ascii="Times New Roman" w:hAnsi="Times New Roman" w:cs="Times New Roman"/>
                <w:sz w:val="16"/>
                <w:szCs w:val="16"/>
              </w:rPr>
            </w:pPr>
            <w:proofErr w:type="spellStart"/>
            <w:r w:rsidRPr="004E0468">
              <w:rPr>
                <w:rFonts w:ascii="Times New Roman" w:hAnsi="Times New Roman" w:cs="Times New Roman"/>
                <w:sz w:val="16"/>
                <w:szCs w:val="16"/>
              </w:rPr>
              <w:t>Zhijun</w:t>
            </w:r>
            <w:proofErr w:type="spellEnd"/>
            <w:r w:rsidRPr="004E0468">
              <w:rPr>
                <w:rFonts w:ascii="Times New Roman" w:hAnsi="Times New Roman" w:cs="Times New Roman"/>
                <w:sz w:val="16"/>
                <w:szCs w:val="16"/>
              </w:rPr>
              <w:t xml:space="preserve"> and Nailing 2007, 95</w:t>
            </w:r>
          </w:p>
        </w:tc>
        <w:tc>
          <w:tcPr>
            <w:tcW w:w="6509" w:type="dxa"/>
            <w:vAlign w:val="center"/>
          </w:tcPr>
          <w:p w14:paraId="7ED135BF" w14:textId="77777777" w:rsidR="005A5838" w:rsidRPr="004E0468" w:rsidRDefault="005A5838" w:rsidP="005A5838">
            <w:pPr>
              <w:spacing w:line="240" w:lineRule="auto"/>
              <w:rPr>
                <w:rFonts w:ascii="Times New Roman" w:hAnsi="Times New Roman" w:cs="Times New Roman"/>
                <w:sz w:val="16"/>
                <w:szCs w:val="16"/>
              </w:rPr>
            </w:pPr>
            <w:r w:rsidRPr="004E0468">
              <w:rPr>
                <w:rFonts w:ascii="Times New Roman" w:hAnsi="Times New Roman" w:cs="Times New Roman"/>
                <w:sz w:val="16"/>
                <w:szCs w:val="16"/>
              </w:rPr>
              <w:t>‘a mode of economic development based on ecological circulation of natural materials’</w:t>
            </w:r>
          </w:p>
        </w:tc>
      </w:tr>
      <w:tr w:rsidR="005A5838" w:rsidRPr="004E0468" w14:paraId="2A939205" w14:textId="77777777" w:rsidTr="004373D4">
        <w:tc>
          <w:tcPr>
            <w:tcW w:w="1980" w:type="dxa"/>
            <w:vAlign w:val="center"/>
          </w:tcPr>
          <w:p w14:paraId="37C9F7FB" w14:textId="52B17AB6" w:rsidR="005A5838" w:rsidRPr="004E0468" w:rsidRDefault="00A32003" w:rsidP="00A32003">
            <w:pPr>
              <w:spacing w:line="240" w:lineRule="auto"/>
              <w:rPr>
                <w:rFonts w:ascii="Times New Roman" w:hAnsi="Times New Roman" w:cs="Times New Roman"/>
                <w:sz w:val="16"/>
                <w:szCs w:val="16"/>
              </w:rPr>
            </w:pPr>
            <w:r w:rsidRPr="004E0468">
              <w:rPr>
                <w:rFonts w:ascii="Times New Roman" w:hAnsi="Times New Roman" w:cs="Times New Roman"/>
                <w:sz w:val="16"/>
                <w:szCs w:val="16"/>
              </w:rPr>
              <w:lastRenderedPageBreak/>
              <w:t>Mur</w:t>
            </w:r>
            <w:r w:rsidR="004C0C08" w:rsidRPr="004E0468">
              <w:rPr>
                <w:rFonts w:ascii="Times New Roman" w:hAnsi="Times New Roman" w:cs="Times New Roman"/>
                <w:sz w:val="16"/>
                <w:szCs w:val="16"/>
              </w:rPr>
              <w:t>ray, Skene, and Haynes 2015, 15</w:t>
            </w:r>
          </w:p>
        </w:tc>
        <w:tc>
          <w:tcPr>
            <w:tcW w:w="6509" w:type="dxa"/>
            <w:vAlign w:val="center"/>
          </w:tcPr>
          <w:p w14:paraId="5A3B28A8" w14:textId="77777777" w:rsidR="005A5838" w:rsidRPr="004E0468" w:rsidRDefault="005A5838" w:rsidP="005A5838">
            <w:pPr>
              <w:spacing w:line="240" w:lineRule="auto"/>
              <w:rPr>
                <w:rFonts w:ascii="Times New Roman" w:hAnsi="Times New Roman" w:cs="Times New Roman"/>
                <w:sz w:val="16"/>
                <w:szCs w:val="16"/>
              </w:rPr>
            </w:pPr>
            <w:r w:rsidRPr="004E0468">
              <w:rPr>
                <w:rFonts w:ascii="Times New Roman" w:hAnsi="Times New Roman" w:cs="Times New Roman"/>
                <w:sz w:val="16"/>
                <w:szCs w:val="16"/>
              </w:rPr>
              <w:t>‘A true circular economy would demonstrate new concepts of system, economy, value, production and consumption, leading to sustainable development of the economy, environment and society’</w:t>
            </w:r>
          </w:p>
        </w:tc>
      </w:tr>
      <w:tr w:rsidR="005A5838" w:rsidRPr="004E0468" w14:paraId="32FF668C" w14:textId="77777777" w:rsidTr="004373D4">
        <w:tc>
          <w:tcPr>
            <w:tcW w:w="1980" w:type="dxa"/>
            <w:vAlign w:val="center"/>
          </w:tcPr>
          <w:p w14:paraId="7A558D40" w14:textId="0FF4B657" w:rsidR="005A5838" w:rsidRPr="004E0468" w:rsidRDefault="004C0C08" w:rsidP="00A32003">
            <w:pPr>
              <w:spacing w:line="240" w:lineRule="auto"/>
              <w:rPr>
                <w:rFonts w:ascii="Times New Roman" w:hAnsi="Times New Roman" w:cs="Times New Roman"/>
                <w:sz w:val="16"/>
                <w:szCs w:val="16"/>
              </w:rPr>
            </w:pPr>
            <w:proofErr w:type="spellStart"/>
            <w:r w:rsidRPr="004E0468">
              <w:rPr>
                <w:rFonts w:ascii="Times New Roman" w:hAnsi="Times New Roman" w:cs="Times New Roman"/>
                <w:sz w:val="16"/>
                <w:szCs w:val="16"/>
              </w:rPr>
              <w:t>Giurco</w:t>
            </w:r>
            <w:proofErr w:type="spellEnd"/>
            <w:r w:rsidRPr="004E0468">
              <w:rPr>
                <w:rFonts w:ascii="Times New Roman" w:hAnsi="Times New Roman" w:cs="Times New Roman"/>
                <w:sz w:val="16"/>
                <w:szCs w:val="16"/>
              </w:rPr>
              <w:t xml:space="preserve"> et al. 2014, 432</w:t>
            </w:r>
          </w:p>
        </w:tc>
        <w:tc>
          <w:tcPr>
            <w:tcW w:w="6509" w:type="dxa"/>
            <w:vAlign w:val="center"/>
          </w:tcPr>
          <w:p w14:paraId="3F18BC5F" w14:textId="77777777" w:rsidR="005A5838" w:rsidRPr="004E0468" w:rsidRDefault="005A5838" w:rsidP="005A5838">
            <w:pPr>
              <w:spacing w:line="240" w:lineRule="auto"/>
              <w:rPr>
                <w:rFonts w:ascii="Times New Roman" w:hAnsi="Times New Roman" w:cs="Times New Roman"/>
                <w:sz w:val="16"/>
                <w:szCs w:val="16"/>
              </w:rPr>
            </w:pPr>
            <w:r w:rsidRPr="004E0468">
              <w:rPr>
                <w:rFonts w:ascii="Times New Roman" w:hAnsi="Times New Roman" w:cs="Times New Roman"/>
                <w:sz w:val="16"/>
                <w:szCs w:val="16"/>
              </w:rPr>
              <w:t>‘The concept of the circular economy proposes new patterns of production, consumption and use, based on circular flows of resources.’</w:t>
            </w:r>
          </w:p>
        </w:tc>
      </w:tr>
      <w:tr w:rsidR="005A5838" w:rsidRPr="004E0468" w14:paraId="5AE002B6" w14:textId="77777777" w:rsidTr="004373D4">
        <w:tc>
          <w:tcPr>
            <w:tcW w:w="1980" w:type="dxa"/>
            <w:vAlign w:val="center"/>
          </w:tcPr>
          <w:p w14:paraId="0B0DE121" w14:textId="6E1737C7" w:rsidR="005A5838" w:rsidRPr="004E0468" w:rsidRDefault="00A32003" w:rsidP="00A32003">
            <w:pPr>
              <w:spacing w:line="240" w:lineRule="auto"/>
              <w:rPr>
                <w:rFonts w:ascii="Times New Roman" w:hAnsi="Times New Roman" w:cs="Times New Roman"/>
                <w:sz w:val="16"/>
                <w:szCs w:val="16"/>
              </w:rPr>
            </w:pPr>
            <w:r w:rsidRPr="004E0468">
              <w:rPr>
                <w:rFonts w:ascii="Times New Roman" w:hAnsi="Times New Roman" w:cs="Times New Roman"/>
                <w:sz w:val="16"/>
                <w:szCs w:val="16"/>
              </w:rPr>
              <w:t>Elle</w:t>
            </w:r>
            <w:r w:rsidR="004C0C08" w:rsidRPr="004E0468">
              <w:rPr>
                <w:rFonts w:ascii="Times New Roman" w:hAnsi="Times New Roman" w:cs="Times New Roman"/>
                <w:sz w:val="16"/>
                <w:szCs w:val="16"/>
              </w:rPr>
              <w:t>n MacArthur Foundation 2013a, 7</w:t>
            </w:r>
          </w:p>
        </w:tc>
        <w:tc>
          <w:tcPr>
            <w:tcW w:w="6509" w:type="dxa"/>
            <w:vAlign w:val="center"/>
          </w:tcPr>
          <w:p w14:paraId="2E82616B" w14:textId="77777777" w:rsidR="005A5838" w:rsidRPr="004E0468" w:rsidRDefault="005A5838" w:rsidP="005A5838">
            <w:pPr>
              <w:spacing w:line="240" w:lineRule="auto"/>
              <w:rPr>
                <w:rFonts w:ascii="Times New Roman" w:hAnsi="Times New Roman" w:cs="Times New Roman"/>
                <w:sz w:val="16"/>
                <w:szCs w:val="16"/>
              </w:rPr>
            </w:pPr>
            <w:r w:rsidRPr="004E0468">
              <w:rPr>
                <w:rFonts w:ascii="Times New Roman" w:hAnsi="Times New Roman" w:cs="Times New Roman"/>
                <w:sz w:val="16"/>
                <w:szCs w:val="16"/>
              </w:rPr>
              <w:t>‘an industrial system (…) restorative by intention and design’ that ‘relies on renewable energy’ and ‘eliminates the use of toxic chemicals’ aiming for ‘the elimination of waste through the superior design of materials, products, systems, and (…) business models’</w:t>
            </w:r>
          </w:p>
        </w:tc>
      </w:tr>
    </w:tbl>
    <w:p w14:paraId="47C65F04" w14:textId="77777777" w:rsidR="00C87712" w:rsidRPr="004E0468" w:rsidRDefault="0077596D" w:rsidP="00F40F6E">
      <w:pPr>
        <w:jc w:val="both"/>
      </w:pPr>
      <w:r w:rsidRPr="004E0468">
        <w:t xml:space="preserve">    </w:t>
      </w:r>
    </w:p>
    <w:p w14:paraId="09621658" w14:textId="2037FF96" w:rsidR="00602062" w:rsidRPr="004E0468" w:rsidRDefault="0077596D" w:rsidP="00F40F6E">
      <w:pPr>
        <w:jc w:val="both"/>
      </w:pPr>
      <w:r w:rsidRPr="004E0468">
        <w:t xml:space="preserve"> </w:t>
      </w:r>
      <w:r w:rsidR="00AA5A70" w:rsidRPr="004E0468">
        <w:t xml:space="preserve">When analysing the practical implementation of the principles of </w:t>
      </w:r>
      <w:r w:rsidR="00E60C7F" w:rsidRPr="004E0468">
        <w:t>CE</w:t>
      </w:r>
      <w:r w:rsidR="001C2396" w:rsidRPr="004E0468">
        <w:t xml:space="preserve">, </w:t>
      </w:r>
      <w:r w:rsidR="00AA5A70" w:rsidRPr="004E0468">
        <w:t xml:space="preserve">researchers generally identify </w:t>
      </w:r>
      <w:r w:rsidR="001C2396" w:rsidRPr="004E0468">
        <w:t xml:space="preserve">three levels of initiatives </w:t>
      </w:r>
      <w:r w:rsidR="00AA5A70" w:rsidRPr="004E0468">
        <w:t>(see e.g.</w:t>
      </w:r>
      <w:r w:rsidR="00873355" w:rsidRPr="004E0468">
        <w:t xml:space="preserve"> Yuan</w:t>
      </w:r>
      <w:r w:rsidR="000F49F4" w:rsidRPr="004E0468">
        <w:t xml:space="preserve"> et al</w:t>
      </w:r>
      <w:r w:rsidR="00873355" w:rsidRPr="004E0468">
        <w:t xml:space="preserve"> </w:t>
      </w:r>
      <w:r w:rsidR="003C09FC" w:rsidRPr="004E0468">
        <w:t>[</w:t>
      </w:r>
      <w:r w:rsidR="00873355" w:rsidRPr="004E0468">
        <w:t>2006</w:t>
      </w:r>
      <w:r w:rsidR="003C09FC" w:rsidRPr="004E0468">
        <w:t>]</w:t>
      </w:r>
      <w:r w:rsidR="00873355" w:rsidRPr="004E0468">
        <w:t>)</w:t>
      </w:r>
      <w:r w:rsidR="00AA5A70" w:rsidRPr="004E0468">
        <w:t xml:space="preserve">: the micro level of firms, the </w:t>
      </w:r>
      <w:proofErr w:type="spellStart"/>
      <w:r w:rsidR="00AA5A70" w:rsidRPr="004E0468">
        <w:t>meso</w:t>
      </w:r>
      <w:proofErr w:type="spellEnd"/>
      <w:r w:rsidR="00AA5A70" w:rsidRPr="004E0468">
        <w:t>-level of networks and the macro level</w:t>
      </w:r>
      <w:r w:rsidR="00A24F74" w:rsidRPr="004E0468">
        <w:t xml:space="preserve"> of policy and regulations</w:t>
      </w:r>
      <w:r w:rsidR="00AA5A70" w:rsidRPr="004E0468">
        <w:t>.</w:t>
      </w:r>
      <w:r w:rsidR="00602062" w:rsidRPr="004E0468">
        <w:t xml:space="preserve"> </w:t>
      </w:r>
    </w:p>
    <w:p w14:paraId="252E2DDA" w14:textId="6AA5D838" w:rsidR="00955F7D" w:rsidRPr="004E0468" w:rsidRDefault="0077596D" w:rsidP="00F40F6E">
      <w:pPr>
        <w:jc w:val="both"/>
      </w:pPr>
      <w:r w:rsidRPr="004E0468">
        <w:t xml:space="preserve">     </w:t>
      </w:r>
      <w:r w:rsidR="001C2396" w:rsidRPr="004E0468">
        <w:t xml:space="preserve">The micro-level relates to firm-specific initiatives </w:t>
      </w:r>
      <w:r w:rsidR="00561BFD" w:rsidRPr="004E0468">
        <w:t>(</w:t>
      </w:r>
      <w:proofErr w:type="spellStart"/>
      <w:r w:rsidR="00561BFD" w:rsidRPr="004E0468">
        <w:t>Geng</w:t>
      </w:r>
      <w:proofErr w:type="spellEnd"/>
      <w:r w:rsidR="00561BFD" w:rsidRPr="004E0468">
        <w:t xml:space="preserve"> and </w:t>
      </w:r>
      <w:proofErr w:type="spellStart"/>
      <w:r w:rsidR="00561BFD" w:rsidRPr="004E0468">
        <w:t>Doberstein</w:t>
      </w:r>
      <w:proofErr w:type="spellEnd"/>
      <w:r w:rsidR="00CD4D1D" w:rsidRPr="004E0468">
        <w:t>,</w:t>
      </w:r>
      <w:r w:rsidR="00561BFD" w:rsidRPr="004E0468">
        <w:t xml:space="preserve"> 2008)</w:t>
      </w:r>
      <w:r w:rsidR="001C2396" w:rsidRPr="004E0468">
        <w:t xml:space="preserve"> </w:t>
      </w:r>
      <w:r w:rsidR="000862A0" w:rsidRPr="004E0468">
        <w:t>that can be classified based on</w:t>
      </w:r>
      <w:r w:rsidR="001C2396" w:rsidRPr="004E0468">
        <w:t xml:space="preserve"> the 3R principles – reduce, reuse, recycle </w:t>
      </w:r>
      <w:r w:rsidR="001C2396" w:rsidRPr="004E0468">
        <w:fldChar w:fldCharType="begin" w:fldLock="1"/>
      </w:r>
      <w:r w:rsidR="00B710A0" w:rsidRPr="004E0468">
        <w:instrText>ADDIN CSL_CITATION { "citationItems" : [ { "id" : "ITEM-1", "itemData" : { "DOI" : "10.1016/j.phpro.2012.03.295", "ISBN" : "1875-3892", "ISSN" : "18753892", "abstract" : "The article starts with circular economy and the connotation of green supply chain, then analyzes the difference between green supply chain and traditional supply chain and elaborates the content of green supply chain management. On that basis, the approach to implement green supply chain management in china shall be put forward.", "author" : [ { "dropping-particle" : "", "family" : "Ying", "given" : "Jiang", "non-dropping-particle" : "", "parse-names" : false, "suffix" : "" }, { "dropping-particle" : "", "family" : "Li-jun", "given" : "Zhou", "non-dropping-particle" : "", "parse-names" : false, "suffix" : "" } ], "container-title" : "Physics Procedia", "id" : "ITEM-1", "issued" : { "date-parts" : [ [ "2012" ] ] }, "note" : "Difference between SCM and GSCM", "page" : "1682-1688", "publisher" : "Elsevier Srl", "title" : "Study on Green Supply Chain Management Based on Circular Economy", "type" : "article-journal", "volume" : "25" }, "uris" : [ "http://www.mendeley.com/documents/?uuid=467b4235-1159-41be-b1c2-636164e3f0c2" ] } ], "mendeley" : { "formattedCitation" : "(Ying and Li-jun 2012)", "manualFormatting" : "(Ying and Li-jun, 2012)", "plainTextFormattedCitation" : "(Ying and Li-jun 2012)", "previouslyFormattedCitation" : "(Ying and Li-jun 2012)" }, "properties" : { "noteIndex" : 0 }, "schema" : "https://github.com/citation-style-language/schema/raw/master/csl-citation.json" }</w:instrText>
      </w:r>
      <w:r w:rsidR="001C2396" w:rsidRPr="004E0468">
        <w:fldChar w:fldCharType="separate"/>
      </w:r>
      <w:r w:rsidR="001C2396" w:rsidRPr="004E0468">
        <w:rPr>
          <w:noProof/>
        </w:rPr>
        <w:t>(Ying and Li-jun</w:t>
      </w:r>
      <w:r w:rsidR="009363FC" w:rsidRPr="004E0468">
        <w:rPr>
          <w:noProof/>
        </w:rPr>
        <w:t>,</w:t>
      </w:r>
      <w:r w:rsidR="001C2396" w:rsidRPr="004E0468">
        <w:rPr>
          <w:noProof/>
        </w:rPr>
        <w:t xml:space="preserve"> 2012)</w:t>
      </w:r>
      <w:r w:rsidR="001C2396" w:rsidRPr="004E0468">
        <w:fldChar w:fldCharType="end"/>
      </w:r>
      <w:r w:rsidR="001C2396" w:rsidRPr="004E0468">
        <w:t xml:space="preserve">. </w:t>
      </w:r>
      <w:r w:rsidR="00AA5A70" w:rsidRPr="004E0468">
        <w:t>Examples of these initiatives include improvements in energy and material</w:t>
      </w:r>
      <w:r w:rsidR="00D749C3" w:rsidRPr="004E0468">
        <w:t xml:space="preserve"> efficiency</w:t>
      </w:r>
      <w:r w:rsidR="00561BFD" w:rsidRPr="004E0468">
        <w:t xml:space="preserve"> (Cagno et al</w:t>
      </w:r>
      <w:r w:rsidR="00CD4D1D" w:rsidRPr="004E0468">
        <w:t>.,</w:t>
      </w:r>
      <w:r w:rsidR="00561BFD" w:rsidRPr="004E0468">
        <w:t xml:space="preserve"> 2013)</w:t>
      </w:r>
      <w:r w:rsidR="00851AA5" w:rsidRPr="004E0468">
        <w:t xml:space="preserve"> and</w:t>
      </w:r>
      <w:r w:rsidR="00AA5A70" w:rsidRPr="004E0468">
        <w:t xml:space="preserve"> </w:t>
      </w:r>
      <w:r w:rsidR="00D749C3" w:rsidRPr="004E0468">
        <w:t xml:space="preserve">recycling </w:t>
      </w:r>
      <w:r w:rsidR="006F6527" w:rsidRPr="004E0468">
        <w:t>(Zhu et al</w:t>
      </w:r>
      <w:r w:rsidR="00CD4D1D" w:rsidRPr="004E0468">
        <w:t>.,</w:t>
      </w:r>
      <w:r w:rsidR="006F6527" w:rsidRPr="004E0468">
        <w:t xml:space="preserve"> 2010)</w:t>
      </w:r>
      <w:r w:rsidR="00CD4D1D" w:rsidRPr="004E0468">
        <w:t>.</w:t>
      </w:r>
      <w:r w:rsidR="0062135A" w:rsidRPr="004E0468">
        <w:t xml:space="preserve"> </w:t>
      </w:r>
    </w:p>
    <w:p w14:paraId="6CD24879" w14:textId="5E1633AB" w:rsidR="004B7F02" w:rsidRPr="004E0468" w:rsidRDefault="0077596D" w:rsidP="004B7F02">
      <w:pPr>
        <w:jc w:val="both"/>
      </w:pPr>
      <w:r w:rsidRPr="004E0468">
        <w:t xml:space="preserve">     </w:t>
      </w:r>
      <w:r w:rsidR="002834B7" w:rsidRPr="004E0468">
        <w:t>Th</w:t>
      </w:r>
      <w:r w:rsidR="00F90AF7" w:rsidRPr="004E0468">
        <w:t xml:space="preserve">e </w:t>
      </w:r>
      <w:proofErr w:type="spellStart"/>
      <w:r w:rsidR="00F90AF7" w:rsidRPr="004E0468">
        <w:t>meso</w:t>
      </w:r>
      <w:proofErr w:type="spellEnd"/>
      <w:r w:rsidR="00F90AF7" w:rsidRPr="004E0468">
        <w:t xml:space="preserve">-level, i.e. the inter-firm level, </w:t>
      </w:r>
      <w:r w:rsidR="00BB5C85" w:rsidRPr="004E0468">
        <w:t>includes the creation of</w:t>
      </w:r>
      <w:r w:rsidR="00F90AF7" w:rsidRPr="004E0468">
        <w:t xml:space="preserve"> eco-industrial parks and networks</w:t>
      </w:r>
      <w:r w:rsidR="00BB5C85" w:rsidRPr="004E0468">
        <w:t xml:space="preserve"> (</w:t>
      </w:r>
      <w:proofErr w:type="spellStart"/>
      <w:r w:rsidR="00BB5C85" w:rsidRPr="004E0468">
        <w:t>Geng</w:t>
      </w:r>
      <w:proofErr w:type="spellEnd"/>
      <w:r w:rsidR="00BB5C85" w:rsidRPr="004E0468">
        <w:t xml:space="preserve"> and </w:t>
      </w:r>
      <w:proofErr w:type="spellStart"/>
      <w:r w:rsidR="00BB5C85" w:rsidRPr="004E0468">
        <w:t>Doberstein</w:t>
      </w:r>
      <w:proofErr w:type="spellEnd"/>
      <w:r w:rsidR="00BB5C85" w:rsidRPr="004E0468">
        <w:t xml:space="preserve"> 2008), </w:t>
      </w:r>
      <w:r w:rsidR="002834B7" w:rsidRPr="004E0468">
        <w:t>cross-chain and cross sector collaboration</w:t>
      </w:r>
      <w:r w:rsidR="00BB5C85" w:rsidRPr="004E0468">
        <w:t>s</w:t>
      </w:r>
      <w:r w:rsidR="002834B7" w:rsidRPr="004E0468">
        <w:t xml:space="preserve"> (Ellen MacArthur Foundation 2013a)</w:t>
      </w:r>
      <w:r w:rsidR="00E75312" w:rsidRPr="004E0468">
        <w:t xml:space="preserve"> to use resources more efficiently</w:t>
      </w:r>
      <w:r w:rsidR="006F6527" w:rsidRPr="004E0468">
        <w:t xml:space="preserve"> (</w:t>
      </w:r>
      <w:proofErr w:type="spellStart"/>
      <w:r w:rsidR="006F6527" w:rsidRPr="004E0468">
        <w:t>Naustdalslid</w:t>
      </w:r>
      <w:proofErr w:type="spellEnd"/>
      <w:r w:rsidR="006F6527" w:rsidRPr="004E0468">
        <w:t xml:space="preserve"> 2014)</w:t>
      </w:r>
      <w:r w:rsidR="00E75312" w:rsidRPr="004E0468">
        <w:t>.</w:t>
      </w:r>
      <w:r w:rsidR="000249FF" w:rsidRPr="004E0468">
        <w:t xml:space="preserve"> </w:t>
      </w:r>
      <w:r w:rsidR="004B7F02" w:rsidRPr="004E0468">
        <w:t xml:space="preserve">Appendix A provides a taxonomy of CE practices at micro and </w:t>
      </w:r>
      <w:proofErr w:type="spellStart"/>
      <w:r w:rsidR="004B7F02" w:rsidRPr="004E0468">
        <w:t>meso</w:t>
      </w:r>
      <w:proofErr w:type="spellEnd"/>
      <w:r w:rsidR="004B7F02" w:rsidRPr="004E0468">
        <w:t xml:space="preserve"> levels, that are the ones relevant from a focal firm perspective and therefore the ones investigated in this study.</w:t>
      </w:r>
    </w:p>
    <w:p w14:paraId="674912FE" w14:textId="15DAD51F" w:rsidR="006312E0" w:rsidRPr="004E0468" w:rsidRDefault="0077596D" w:rsidP="00F40F6E">
      <w:pPr>
        <w:jc w:val="both"/>
      </w:pPr>
      <w:r w:rsidRPr="004E0468">
        <w:t xml:space="preserve">     </w:t>
      </w:r>
      <w:r w:rsidR="00BB5C85" w:rsidRPr="004E0468">
        <w:t>Finally,</w:t>
      </w:r>
      <w:r w:rsidR="00E60C7F" w:rsidRPr="004E0468">
        <w:t xml:space="preserve"> </w:t>
      </w:r>
      <w:r w:rsidR="002834B7" w:rsidRPr="004E0468">
        <w:t xml:space="preserve">macro-level </w:t>
      </w:r>
      <w:r w:rsidR="00BB5C85" w:rsidRPr="004E0468">
        <w:t xml:space="preserve">initiatives are the ones </w:t>
      </w:r>
      <w:r w:rsidR="007221A3" w:rsidRPr="004E0468">
        <w:t xml:space="preserve">that are </w:t>
      </w:r>
      <w:r w:rsidR="00BB5C85" w:rsidRPr="004E0468">
        <w:t>undertaken by governments and policy makers. Indeed, c</w:t>
      </w:r>
      <w:r w:rsidR="006312E0" w:rsidRPr="004E0468">
        <w:t xml:space="preserve">ountries are becoming increasingly aware of the need to adopt a new industrial system </w:t>
      </w:r>
      <w:r w:rsidR="00BB5C85" w:rsidRPr="004E0468">
        <w:t>based on</w:t>
      </w:r>
      <w:r w:rsidR="00E60C7F" w:rsidRPr="004E0468">
        <w:t xml:space="preserve"> </w:t>
      </w:r>
      <w:r w:rsidR="00BB5C85" w:rsidRPr="004E0468">
        <w:t>CE principles</w:t>
      </w:r>
      <w:r w:rsidR="00A04806" w:rsidRPr="004E0468">
        <w:t xml:space="preserve"> (</w:t>
      </w:r>
      <w:proofErr w:type="spellStart"/>
      <w:r w:rsidR="00A04806" w:rsidRPr="004E0468">
        <w:t>Bonc</w:t>
      </w:r>
      <w:r w:rsidR="006F6527" w:rsidRPr="004E0468">
        <w:t>iu</w:t>
      </w:r>
      <w:proofErr w:type="spellEnd"/>
      <w:r w:rsidR="006F6527" w:rsidRPr="004E0468">
        <w:t xml:space="preserve"> 2014)</w:t>
      </w:r>
      <w:r w:rsidR="006312E0" w:rsidRPr="004E0468">
        <w:t xml:space="preserve">. </w:t>
      </w:r>
      <w:r w:rsidR="00BB5C85" w:rsidRPr="004E0468">
        <w:t xml:space="preserve">For instance, </w:t>
      </w:r>
      <w:r w:rsidR="000D6B0B" w:rsidRPr="004E0468">
        <w:t xml:space="preserve">in 1996 </w:t>
      </w:r>
      <w:r w:rsidR="006312E0" w:rsidRPr="004E0468">
        <w:t xml:space="preserve">Germany </w:t>
      </w:r>
      <w:r w:rsidR="00BB5C85" w:rsidRPr="004E0468">
        <w:t>enacted</w:t>
      </w:r>
      <w:r w:rsidR="006312E0" w:rsidRPr="004E0468">
        <w:t xml:space="preserve"> a law that provides a framework for encouraging closed cycle waste management</w:t>
      </w:r>
      <w:r w:rsidR="006F6527" w:rsidRPr="004E0468">
        <w:t xml:space="preserve"> (Guide et al.</w:t>
      </w:r>
      <w:r w:rsidR="00CD4D1D" w:rsidRPr="004E0468">
        <w:t>,</w:t>
      </w:r>
      <w:r w:rsidR="006F6527" w:rsidRPr="004E0468">
        <w:t xml:space="preserve"> 2000)</w:t>
      </w:r>
      <w:r w:rsidR="006312E0" w:rsidRPr="004E0468">
        <w:t xml:space="preserve">. </w:t>
      </w:r>
      <w:r w:rsidR="000D6B0B" w:rsidRPr="004E0468">
        <w:t>In 2002</w:t>
      </w:r>
      <w:r w:rsidR="006312E0" w:rsidRPr="004E0468">
        <w:t>, Japan moved towards a circular industrial system through quantitative targets for recycling</w:t>
      </w:r>
      <w:r w:rsidR="006F6527" w:rsidRPr="004E0468">
        <w:t xml:space="preserve"> (Morioka et al.</w:t>
      </w:r>
      <w:r w:rsidR="00CD4D1D" w:rsidRPr="004E0468">
        <w:t>,</w:t>
      </w:r>
      <w:r w:rsidR="006F6527" w:rsidRPr="004E0468">
        <w:t xml:space="preserve"> 2005)</w:t>
      </w:r>
      <w:r w:rsidR="006312E0" w:rsidRPr="004E0468">
        <w:t xml:space="preserve">. </w:t>
      </w:r>
      <w:r w:rsidR="00195057" w:rsidRPr="004E0468">
        <w:t>The European Commission committed</w:t>
      </w:r>
      <w:r w:rsidR="006312E0" w:rsidRPr="004E0468">
        <w:t xml:space="preserve"> to a more circular industrial model by developing an action plan for the transition to a resource efficient Europe. Since 2008,</w:t>
      </w:r>
      <w:r w:rsidR="00E60C7F" w:rsidRPr="004E0468">
        <w:t xml:space="preserve"> </w:t>
      </w:r>
      <w:r w:rsidR="006312E0" w:rsidRPr="004E0468">
        <w:t xml:space="preserve">the Chinese central government </w:t>
      </w:r>
      <w:r w:rsidR="006F6527" w:rsidRPr="004E0468">
        <w:t xml:space="preserve">adopted CE </w:t>
      </w:r>
      <w:r w:rsidR="006312E0" w:rsidRPr="004E0468">
        <w:t>as a national regulatory policy priority</w:t>
      </w:r>
      <w:r w:rsidR="006F6527" w:rsidRPr="004E0468">
        <w:t xml:space="preserve"> (</w:t>
      </w:r>
      <w:proofErr w:type="spellStart"/>
      <w:r w:rsidR="006F6527" w:rsidRPr="004E0468">
        <w:t>Geng</w:t>
      </w:r>
      <w:proofErr w:type="spellEnd"/>
      <w:r w:rsidR="006F6527" w:rsidRPr="004E0468">
        <w:t xml:space="preserve"> et al.</w:t>
      </w:r>
      <w:r w:rsidR="00CD4D1D" w:rsidRPr="004E0468">
        <w:t>,</w:t>
      </w:r>
      <w:r w:rsidR="006F6527" w:rsidRPr="004E0468">
        <w:t xml:space="preserve"> 2012)</w:t>
      </w:r>
      <w:r w:rsidR="006312E0" w:rsidRPr="004E0468">
        <w:t>.</w:t>
      </w:r>
    </w:p>
    <w:p w14:paraId="5330D6F1" w14:textId="585E5F14" w:rsidR="00B50410" w:rsidRPr="004E0468" w:rsidRDefault="00B50410" w:rsidP="004B7F02">
      <w:pPr>
        <w:ind w:firstLine="720"/>
        <w:jc w:val="both"/>
      </w:pPr>
      <w:r w:rsidRPr="004E0468">
        <w:lastRenderedPageBreak/>
        <w:t>The three levels are related and inter-dependent</w:t>
      </w:r>
      <w:r w:rsidR="00872BE6" w:rsidRPr="004E0468">
        <w:t>:</w:t>
      </w:r>
      <w:r w:rsidRPr="004E0468">
        <w:t xml:space="preserve"> </w:t>
      </w:r>
      <w:r w:rsidR="00872BE6" w:rsidRPr="004E0468">
        <w:t>f</w:t>
      </w:r>
      <w:r w:rsidRPr="004E0468">
        <w:t xml:space="preserve">or instance, macro level initiatives can result in disturbances at the micro-level and reduced levels of environmental performance (see e.g. </w:t>
      </w:r>
      <w:r w:rsidR="00E2471A" w:rsidRPr="004E0468">
        <w:t xml:space="preserve">White et al., </w:t>
      </w:r>
      <w:r w:rsidRPr="004E0468">
        <w:t>[2015]).</w:t>
      </w:r>
      <w:r w:rsidR="001A291B" w:rsidRPr="004E0468">
        <w:t xml:space="preserve"> However, this study aims at analysis the implementation of the practices and not their </w:t>
      </w:r>
      <w:proofErr w:type="gramStart"/>
      <w:r w:rsidR="001A291B" w:rsidRPr="004E0468">
        <w:t>performance,</w:t>
      </w:r>
      <w:proofErr w:type="gramEnd"/>
      <w:r w:rsidR="001A291B" w:rsidRPr="004E0468">
        <w:t xml:space="preserve"> therefore the analysis will neglect the interactions between the three levels.</w:t>
      </w:r>
      <w:r w:rsidR="004B7F02" w:rsidRPr="004E0468">
        <w:t xml:space="preserve"> </w:t>
      </w:r>
    </w:p>
    <w:p w14:paraId="31E131EF" w14:textId="308A6833" w:rsidR="004B7F02" w:rsidRPr="004E0468" w:rsidRDefault="0077596D" w:rsidP="00DB3A40">
      <w:pPr>
        <w:jc w:val="both"/>
        <w:rPr>
          <w:noProof/>
        </w:rPr>
      </w:pPr>
      <w:r w:rsidRPr="004E0468">
        <w:t xml:space="preserve">     </w:t>
      </w:r>
      <w:r w:rsidR="003E0FE7" w:rsidRPr="004E0468">
        <w:t>Contextual factors play a key role in the transition to a CE. Several r</w:t>
      </w:r>
      <w:r w:rsidR="006F6527" w:rsidRPr="004E0468">
        <w:t xml:space="preserve">esearchers (see e.g. </w:t>
      </w:r>
      <w:proofErr w:type="spellStart"/>
      <w:r w:rsidR="006F6527" w:rsidRPr="004E0468">
        <w:t>Xue</w:t>
      </w:r>
      <w:proofErr w:type="spellEnd"/>
      <w:r w:rsidR="006F6527" w:rsidRPr="004E0468">
        <w:t xml:space="preserve"> et al. [</w:t>
      </w:r>
      <w:r w:rsidR="003E0FE7" w:rsidRPr="004E0468">
        <w:t>2010</w:t>
      </w:r>
      <w:r w:rsidR="006F6527" w:rsidRPr="004E0468">
        <w:t>]</w:t>
      </w:r>
      <w:r w:rsidR="003E0FE7" w:rsidRPr="004E0468">
        <w:t xml:space="preserve">) highlighted how a complex set </w:t>
      </w:r>
      <w:r w:rsidR="00E60C7F" w:rsidRPr="004E0468">
        <w:t xml:space="preserve">of </w:t>
      </w:r>
      <w:r w:rsidR="003E0FE7" w:rsidRPr="004E0468">
        <w:t xml:space="preserve">financial, institutional, infrastructural, societal, and technological factors can hinder or foster the transition to a CE. </w:t>
      </w:r>
      <w:r w:rsidR="001A291B" w:rsidRPr="004E0468">
        <w:rPr>
          <w:noProof/>
        </w:rPr>
        <w:t xml:space="preserve">These obstacles are essentially overlapping with the ones detected for resource and energy efficiency (Chai and Yeo 2012) or for the implementation of socially sustainable practices (Masi and Cagno 2015). Similarly to the studies on practices, </w:t>
      </w:r>
      <w:r w:rsidR="00851AA5" w:rsidRPr="004E0468">
        <w:rPr>
          <w:noProof/>
        </w:rPr>
        <w:t>many</w:t>
      </w:r>
      <w:r w:rsidR="001A291B" w:rsidRPr="004E0468">
        <w:rPr>
          <w:noProof/>
        </w:rPr>
        <w:t xml:space="preserve"> studies on barriers to the CE tend t</w:t>
      </w:r>
      <w:r w:rsidR="002F5CF4" w:rsidRPr="004E0468">
        <w:rPr>
          <w:noProof/>
        </w:rPr>
        <w:t>o f</w:t>
      </w:r>
      <w:r w:rsidR="00851AA5" w:rsidRPr="004E0468">
        <w:rPr>
          <w:noProof/>
        </w:rPr>
        <w:t>ocus on specific factors (Geng et al., 2012). The</w:t>
      </w:r>
      <w:r w:rsidR="009D48A7" w:rsidRPr="004E0468">
        <w:rPr>
          <w:noProof/>
        </w:rPr>
        <w:t xml:space="preserve"> </w:t>
      </w:r>
      <w:r w:rsidR="00851AA5" w:rsidRPr="004E0468">
        <w:rPr>
          <w:noProof/>
        </w:rPr>
        <w:t>p</w:t>
      </w:r>
      <w:r w:rsidR="002F5CF4" w:rsidRPr="004E0468">
        <w:rPr>
          <w:noProof/>
        </w:rPr>
        <w:t xml:space="preserve">resent </w:t>
      </w:r>
      <w:r w:rsidR="001A291B" w:rsidRPr="004E0468">
        <w:rPr>
          <w:noProof/>
        </w:rPr>
        <w:t>stu</w:t>
      </w:r>
      <w:r w:rsidR="00851AA5" w:rsidRPr="004E0468">
        <w:rPr>
          <w:noProof/>
        </w:rPr>
        <w:t>d</w:t>
      </w:r>
      <w:r w:rsidR="001A291B" w:rsidRPr="004E0468">
        <w:rPr>
          <w:noProof/>
        </w:rPr>
        <w:t>y</w:t>
      </w:r>
      <w:r w:rsidR="00851AA5" w:rsidRPr="004E0468">
        <w:rPr>
          <w:noProof/>
        </w:rPr>
        <w:t xml:space="preserve">, aiming at a comprehensive </w:t>
      </w:r>
      <w:r w:rsidR="009D48A7" w:rsidRPr="004E0468">
        <w:rPr>
          <w:noProof/>
        </w:rPr>
        <w:t>analysis</w:t>
      </w:r>
      <w:r w:rsidR="00851AA5" w:rsidRPr="004E0468">
        <w:rPr>
          <w:noProof/>
        </w:rPr>
        <w:t xml:space="preserve"> of the barriers to the implementations</w:t>
      </w:r>
      <w:r w:rsidR="001A291B" w:rsidRPr="004E0468">
        <w:rPr>
          <w:noProof/>
        </w:rPr>
        <w:t xml:space="preserve"> </w:t>
      </w:r>
      <w:r w:rsidR="00851AA5" w:rsidRPr="004E0468">
        <w:rPr>
          <w:noProof/>
        </w:rPr>
        <w:t xml:space="preserve">of the CE, </w:t>
      </w:r>
      <w:r w:rsidR="002F5CF4" w:rsidRPr="004E0468">
        <w:rPr>
          <w:noProof/>
        </w:rPr>
        <w:t>adopted</w:t>
      </w:r>
      <w:r w:rsidR="001A291B" w:rsidRPr="004E0468">
        <w:rPr>
          <w:noProof/>
        </w:rPr>
        <w:t xml:space="preserve"> the taxonomy proposed by </w:t>
      </w:r>
      <w:r w:rsidR="003E0FE7" w:rsidRPr="004E0468">
        <w:rPr>
          <w:noProof/>
        </w:rPr>
        <w:t>Kok et al. (2013)</w:t>
      </w:r>
      <w:r w:rsidR="001A291B" w:rsidRPr="004E0468">
        <w:rPr>
          <w:noProof/>
        </w:rPr>
        <w:t>. This taxonomy is shown in Table</w:t>
      </w:r>
      <w:r w:rsidR="001A006F" w:rsidRPr="004E0468">
        <w:rPr>
          <w:noProof/>
        </w:rPr>
        <w:t xml:space="preserve"> 3</w:t>
      </w:r>
      <w:r w:rsidR="009D48A7" w:rsidRPr="004E0468">
        <w:rPr>
          <w:noProof/>
        </w:rPr>
        <w:t xml:space="preserve"> and covers all the key aspects relevant for the implementation of the CE from a focal firm perpective</w:t>
      </w:r>
      <w:r w:rsidR="003D63C6" w:rsidRPr="004E0468">
        <w:rPr>
          <w:noProof/>
        </w:rPr>
        <w:t>.</w:t>
      </w:r>
    </w:p>
    <w:p w14:paraId="34796359" w14:textId="6AB90592" w:rsidR="009F6496" w:rsidRPr="004E0468" w:rsidRDefault="00AA404A" w:rsidP="00DB3A40">
      <w:pPr>
        <w:jc w:val="both"/>
      </w:pPr>
      <w:r w:rsidRPr="004E0468">
        <w:t>T</w:t>
      </w:r>
      <w:r w:rsidR="001A006F" w:rsidRPr="004E0468">
        <w:t>able 3</w:t>
      </w:r>
      <w:r w:rsidRPr="004E0468">
        <w:t>. Barriers to a CE transition (adapted from the taxonomy of Kok et al.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7118"/>
      </w:tblGrid>
      <w:tr w:rsidR="004B7F02" w:rsidRPr="004E0468" w14:paraId="35876541" w14:textId="77777777" w:rsidTr="004373D4">
        <w:trPr>
          <w:cantSplit/>
          <w:trHeight w:val="20"/>
        </w:trPr>
        <w:tc>
          <w:tcPr>
            <w:tcW w:w="916" w:type="pct"/>
            <w:vMerge w:val="restart"/>
            <w:shd w:val="clear" w:color="000000" w:fill="FFFFFF"/>
            <w:hideMark/>
          </w:tcPr>
          <w:p w14:paraId="5DE9B7CA" w14:textId="77777777" w:rsidR="004B7F02" w:rsidRPr="004E0468" w:rsidRDefault="004B7F02" w:rsidP="004B7F02">
            <w:pPr>
              <w:spacing w:line="240" w:lineRule="auto"/>
              <w:rPr>
                <w:sz w:val="22"/>
                <w:szCs w:val="22"/>
              </w:rPr>
            </w:pPr>
            <w:r w:rsidRPr="004E0468">
              <w:rPr>
                <w:sz w:val="22"/>
                <w:szCs w:val="22"/>
              </w:rPr>
              <w:t>Financial</w:t>
            </w:r>
          </w:p>
        </w:tc>
        <w:tc>
          <w:tcPr>
            <w:tcW w:w="4084" w:type="pct"/>
            <w:shd w:val="clear" w:color="000000" w:fill="FFFFFF"/>
            <w:noWrap/>
            <w:hideMark/>
          </w:tcPr>
          <w:p w14:paraId="6A3CB20C" w14:textId="77777777" w:rsidR="004B7F02" w:rsidRPr="004E0468" w:rsidRDefault="004B7F02" w:rsidP="004B7F02">
            <w:pPr>
              <w:spacing w:line="240" w:lineRule="auto"/>
              <w:rPr>
                <w:sz w:val="22"/>
                <w:szCs w:val="22"/>
              </w:rPr>
            </w:pPr>
            <w:r w:rsidRPr="004E0468">
              <w:rPr>
                <w:sz w:val="22"/>
                <w:szCs w:val="22"/>
              </w:rPr>
              <w:t>Major up-front investment cost</w:t>
            </w:r>
          </w:p>
        </w:tc>
      </w:tr>
      <w:tr w:rsidR="004B7F02" w:rsidRPr="004E0468" w14:paraId="3546AD93" w14:textId="77777777" w:rsidTr="004373D4">
        <w:trPr>
          <w:cantSplit/>
          <w:trHeight w:val="20"/>
        </w:trPr>
        <w:tc>
          <w:tcPr>
            <w:tcW w:w="916" w:type="pct"/>
            <w:vMerge/>
            <w:shd w:val="clear" w:color="000000" w:fill="FFFFFF"/>
            <w:hideMark/>
          </w:tcPr>
          <w:p w14:paraId="264441DC" w14:textId="77777777" w:rsidR="004B7F02" w:rsidRPr="004E0468" w:rsidRDefault="004B7F02" w:rsidP="004B7F02">
            <w:pPr>
              <w:spacing w:line="240" w:lineRule="auto"/>
              <w:rPr>
                <w:sz w:val="22"/>
                <w:szCs w:val="22"/>
              </w:rPr>
            </w:pPr>
          </w:p>
        </w:tc>
        <w:tc>
          <w:tcPr>
            <w:tcW w:w="4084" w:type="pct"/>
            <w:shd w:val="clear" w:color="000000" w:fill="FFFFFF"/>
            <w:noWrap/>
            <w:hideMark/>
          </w:tcPr>
          <w:p w14:paraId="239F6732" w14:textId="77777777" w:rsidR="004B7F02" w:rsidRPr="004E0468" w:rsidRDefault="004B7F02" w:rsidP="004B7F02">
            <w:pPr>
              <w:spacing w:line="240" w:lineRule="auto"/>
              <w:rPr>
                <w:sz w:val="22"/>
                <w:szCs w:val="22"/>
              </w:rPr>
            </w:pPr>
            <w:r w:rsidRPr="004E0468">
              <w:rPr>
                <w:sz w:val="22"/>
                <w:szCs w:val="22"/>
              </w:rPr>
              <w:t xml:space="preserve">Environmental costs (externalities) are not taken into account   </w:t>
            </w:r>
          </w:p>
        </w:tc>
      </w:tr>
      <w:tr w:rsidR="004B7F02" w:rsidRPr="004E0468" w14:paraId="3F7938B4" w14:textId="77777777" w:rsidTr="004373D4">
        <w:trPr>
          <w:cantSplit/>
          <w:trHeight w:val="20"/>
        </w:trPr>
        <w:tc>
          <w:tcPr>
            <w:tcW w:w="916" w:type="pct"/>
            <w:vMerge/>
            <w:shd w:val="clear" w:color="000000" w:fill="FFFFFF"/>
            <w:hideMark/>
          </w:tcPr>
          <w:p w14:paraId="737DB405" w14:textId="77777777" w:rsidR="004B7F02" w:rsidRPr="004E0468" w:rsidRDefault="004B7F02" w:rsidP="004B7F02">
            <w:pPr>
              <w:spacing w:line="240" w:lineRule="auto"/>
              <w:rPr>
                <w:sz w:val="22"/>
                <w:szCs w:val="22"/>
              </w:rPr>
            </w:pPr>
          </w:p>
        </w:tc>
        <w:tc>
          <w:tcPr>
            <w:tcW w:w="4084" w:type="pct"/>
            <w:shd w:val="clear" w:color="000000" w:fill="FFFFFF"/>
            <w:noWrap/>
            <w:hideMark/>
          </w:tcPr>
          <w:p w14:paraId="387018EE" w14:textId="77777777" w:rsidR="004B7F02" w:rsidRPr="004E0468" w:rsidRDefault="004B7F02" w:rsidP="004B7F02">
            <w:pPr>
              <w:spacing w:line="240" w:lineRule="auto"/>
              <w:rPr>
                <w:sz w:val="22"/>
                <w:szCs w:val="22"/>
              </w:rPr>
            </w:pPr>
            <w:r w:rsidRPr="004E0468">
              <w:rPr>
                <w:sz w:val="22"/>
                <w:szCs w:val="22"/>
              </w:rPr>
              <w:t>Shareholders with short-term agenda dominate corporate governance</w:t>
            </w:r>
          </w:p>
        </w:tc>
      </w:tr>
      <w:tr w:rsidR="004B7F02" w:rsidRPr="004E0468" w14:paraId="7BCF875E" w14:textId="77777777" w:rsidTr="004373D4">
        <w:trPr>
          <w:cantSplit/>
          <w:trHeight w:val="20"/>
        </w:trPr>
        <w:tc>
          <w:tcPr>
            <w:tcW w:w="916" w:type="pct"/>
            <w:vMerge/>
            <w:shd w:val="clear" w:color="000000" w:fill="FFFFFF"/>
            <w:hideMark/>
          </w:tcPr>
          <w:p w14:paraId="28812DDB" w14:textId="77777777" w:rsidR="004B7F02" w:rsidRPr="004E0468" w:rsidRDefault="004B7F02" w:rsidP="004B7F02">
            <w:pPr>
              <w:spacing w:line="240" w:lineRule="auto"/>
              <w:rPr>
                <w:sz w:val="22"/>
                <w:szCs w:val="22"/>
              </w:rPr>
            </w:pPr>
          </w:p>
        </w:tc>
        <w:tc>
          <w:tcPr>
            <w:tcW w:w="4084" w:type="pct"/>
            <w:shd w:val="clear" w:color="000000" w:fill="FFFFFF"/>
            <w:noWrap/>
            <w:hideMark/>
          </w:tcPr>
          <w:p w14:paraId="7EC8E393" w14:textId="77777777" w:rsidR="004B7F02" w:rsidRPr="004E0468" w:rsidRDefault="004B7F02" w:rsidP="004B7F02">
            <w:pPr>
              <w:spacing w:line="240" w:lineRule="auto"/>
              <w:rPr>
                <w:sz w:val="22"/>
                <w:szCs w:val="22"/>
              </w:rPr>
            </w:pPr>
            <w:r w:rsidRPr="004E0468">
              <w:rPr>
                <w:sz w:val="22"/>
                <w:szCs w:val="22"/>
              </w:rPr>
              <w:t>Recycled materials are often still more expensive than virgin raw materials</w:t>
            </w:r>
          </w:p>
        </w:tc>
      </w:tr>
      <w:tr w:rsidR="004B7F02" w:rsidRPr="004E0468" w14:paraId="7BC85438" w14:textId="77777777" w:rsidTr="004373D4">
        <w:trPr>
          <w:cantSplit/>
          <w:trHeight w:val="20"/>
        </w:trPr>
        <w:tc>
          <w:tcPr>
            <w:tcW w:w="916" w:type="pct"/>
            <w:vMerge/>
            <w:shd w:val="clear" w:color="000000" w:fill="FFFFFF"/>
            <w:hideMark/>
          </w:tcPr>
          <w:p w14:paraId="638922D9" w14:textId="77777777" w:rsidR="004B7F02" w:rsidRPr="004E0468" w:rsidRDefault="004B7F02" w:rsidP="004B7F02">
            <w:pPr>
              <w:spacing w:line="240" w:lineRule="auto"/>
              <w:rPr>
                <w:sz w:val="22"/>
                <w:szCs w:val="22"/>
              </w:rPr>
            </w:pPr>
          </w:p>
        </w:tc>
        <w:tc>
          <w:tcPr>
            <w:tcW w:w="4084" w:type="pct"/>
            <w:shd w:val="clear" w:color="000000" w:fill="FFFFFF"/>
            <w:noWrap/>
            <w:hideMark/>
          </w:tcPr>
          <w:p w14:paraId="1F0AC8DC" w14:textId="77777777" w:rsidR="004B7F02" w:rsidRPr="004E0468" w:rsidRDefault="004B7F02" w:rsidP="004B7F02">
            <w:pPr>
              <w:spacing w:line="240" w:lineRule="auto"/>
              <w:rPr>
                <w:sz w:val="22"/>
                <w:szCs w:val="22"/>
              </w:rPr>
            </w:pPr>
            <w:r w:rsidRPr="004E0468">
              <w:rPr>
                <w:sz w:val="22"/>
                <w:szCs w:val="22"/>
              </w:rPr>
              <w:t>Higher costs for management and planning</w:t>
            </w:r>
          </w:p>
        </w:tc>
      </w:tr>
      <w:tr w:rsidR="004B7F02" w:rsidRPr="004E0468" w14:paraId="6B9ADEB1" w14:textId="77777777" w:rsidTr="004373D4">
        <w:trPr>
          <w:cantSplit/>
          <w:trHeight w:val="20"/>
        </w:trPr>
        <w:tc>
          <w:tcPr>
            <w:tcW w:w="916" w:type="pct"/>
            <w:vMerge w:val="restart"/>
            <w:shd w:val="clear" w:color="000000" w:fill="FFFFFF"/>
            <w:hideMark/>
          </w:tcPr>
          <w:p w14:paraId="4F53E04E" w14:textId="77777777" w:rsidR="004B7F02" w:rsidRPr="004E0468" w:rsidRDefault="004B7F02" w:rsidP="004B7F02">
            <w:pPr>
              <w:spacing w:line="240" w:lineRule="auto"/>
              <w:rPr>
                <w:sz w:val="22"/>
                <w:szCs w:val="22"/>
              </w:rPr>
            </w:pPr>
            <w:r w:rsidRPr="004E0468">
              <w:rPr>
                <w:sz w:val="22"/>
                <w:szCs w:val="22"/>
              </w:rPr>
              <w:t>Institutional</w:t>
            </w:r>
          </w:p>
        </w:tc>
        <w:tc>
          <w:tcPr>
            <w:tcW w:w="4084" w:type="pct"/>
            <w:shd w:val="clear" w:color="000000" w:fill="FFFFFF"/>
            <w:noWrap/>
            <w:hideMark/>
          </w:tcPr>
          <w:p w14:paraId="5FD0E2D5" w14:textId="77777777" w:rsidR="004B7F02" w:rsidRPr="004E0468" w:rsidRDefault="004B7F02" w:rsidP="004B7F02">
            <w:pPr>
              <w:spacing w:line="240" w:lineRule="auto"/>
              <w:rPr>
                <w:sz w:val="22"/>
                <w:szCs w:val="22"/>
              </w:rPr>
            </w:pPr>
            <w:r w:rsidRPr="004E0468">
              <w:rPr>
                <w:sz w:val="22"/>
                <w:szCs w:val="22"/>
              </w:rPr>
              <w:t xml:space="preserve">Uneven playing field created by current institutions    </w:t>
            </w:r>
          </w:p>
        </w:tc>
      </w:tr>
      <w:tr w:rsidR="004B7F02" w:rsidRPr="004E0468" w14:paraId="72AC0624" w14:textId="77777777" w:rsidTr="004373D4">
        <w:trPr>
          <w:cantSplit/>
          <w:trHeight w:val="20"/>
        </w:trPr>
        <w:tc>
          <w:tcPr>
            <w:tcW w:w="916" w:type="pct"/>
            <w:vMerge/>
            <w:shd w:val="clear" w:color="000000" w:fill="FFFFFF"/>
            <w:hideMark/>
          </w:tcPr>
          <w:p w14:paraId="2F5E19EC" w14:textId="77777777" w:rsidR="004B7F02" w:rsidRPr="004E0468" w:rsidRDefault="004B7F02" w:rsidP="004B7F02">
            <w:pPr>
              <w:spacing w:line="240" w:lineRule="auto"/>
              <w:rPr>
                <w:sz w:val="22"/>
                <w:szCs w:val="22"/>
              </w:rPr>
            </w:pPr>
          </w:p>
        </w:tc>
        <w:tc>
          <w:tcPr>
            <w:tcW w:w="4084" w:type="pct"/>
            <w:shd w:val="clear" w:color="000000" w:fill="FFFFFF"/>
            <w:noWrap/>
            <w:hideMark/>
          </w:tcPr>
          <w:p w14:paraId="481542AF" w14:textId="77777777" w:rsidR="004B7F02" w:rsidRPr="004E0468" w:rsidRDefault="004B7F02" w:rsidP="004B7F02">
            <w:pPr>
              <w:spacing w:line="240" w:lineRule="auto"/>
              <w:rPr>
                <w:sz w:val="22"/>
                <w:szCs w:val="22"/>
              </w:rPr>
            </w:pPr>
            <w:r w:rsidRPr="004E0468">
              <w:rPr>
                <w:sz w:val="22"/>
                <w:szCs w:val="22"/>
              </w:rPr>
              <w:t xml:space="preserve">Financial governmental incentives support the linear economy </w:t>
            </w:r>
          </w:p>
        </w:tc>
      </w:tr>
      <w:tr w:rsidR="004B7F02" w:rsidRPr="004E0468" w14:paraId="447ACADF" w14:textId="77777777" w:rsidTr="004373D4">
        <w:trPr>
          <w:cantSplit/>
          <w:trHeight w:val="20"/>
        </w:trPr>
        <w:tc>
          <w:tcPr>
            <w:tcW w:w="916" w:type="pct"/>
            <w:vMerge/>
            <w:shd w:val="clear" w:color="000000" w:fill="FFFFFF"/>
            <w:hideMark/>
          </w:tcPr>
          <w:p w14:paraId="4C7499B9" w14:textId="77777777" w:rsidR="004B7F02" w:rsidRPr="004E0468" w:rsidRDefault="004B7F02" w:rsidP="004B7F02">
            <w:pPr>
              <w:spacing w:line="240" w:lineRule="auto"/>
              <w:rPr>
                <w:sz w:val="22"/>
                <w:szCs w:val="22"/>
              </w:rPr>
            </w:pPr>
          </w:p>
        </w:tc>
        <w:tc>
          <w:tcPr>
            <w:tcW w:w="4084" w:type="pct"/>
            <w:shd w:val="clear" w:color="000000" w:fill="FFFFFF"/>
            <w:noWrap/>
            <w:hideMark/>
          </w:tcPr>
          <w:p w14:paraId="303A37C8" w14:textId="77777777" w:rsidR="004B7F02" w:rsidRPr="004E0468" w:rsidRDefault="004B7F02" w:rsidP="004B7F02">
            <w:pPr>
              <w:spacing w:line="240" w:lineRule="auto"/>
              <w:rPr>
                <w:sz w:val="22"/>
                <w:szCs w:val="22"/>
              </w:rPr>
            </w:pPr>
            <w:r w:rsidRPr="004E0468">
              <w:rPr>
                <w:sz w:val="22"/>
                <w:szCs w:val="22"/>
              </w:rPr>
              <w:t xml:space="preserve">Circularity is not effectively integrated in innovation policies </w:t>
            </w:r>
          </w:p>
        </w:tc>
      </w:tr>
      <w:tr w:rsidR="004B7F02" w:rsidRPr="004E0468" w14:paraId="7D5C7FFB" w14:textId="77777777" w:rsidTr="004373D4">
        <w:trPr>
          <w:cantSplit/>
          <w:trHeight w:val="20"/>
        </w:trPr>
        <w:tc>
          <w:tcPr>
            <w:tcW w:w="916" w:type="pct"/>
            <w:vMerge/>
            <w:shd w:val="clear" w:color="000000" w:fill="FFFFFF"/>
            <w:hideMark/>
          </w:tcPr>
          <w:p w14:paraId="35C5B756" w14:textId="77777777" w:rsidR="004B7F02" w:rsidRPr="004E0468" w:rsidRDefault="004B7F02" w:rsidP="004B7F02">
            <w:pPr>
              <w:spacing w:line="240" w:lineRule="auto"/>
              <w:rPr>
                <w:sz w:val="22"/>
                <w:szCs w:val="22"/>
              </w:rPr>
            </w:pPr>
          </w:p>
        </w:tc>
        <w:tc>
          <w:tcPr>
            <w:tcW w:w="4084" w:type="pct"/>
            <w:shd w:val="clear" w:color="000000" w:fill="FFFFFF"/>
            <w:noWrap/>
            <w:hideMark/>
          </w:tcPr>
          <w:p w14:paraId="7D172E69" w14:textId="77777777" w:rsidR="004B7F02" w:rsidRPr="004E0468" w:rsidRDefault="004B7F02" w:rsidP="004B7F02">
            <w:pPr>
              <w:spacing w:line="240" w:lineRule="auto"/>
              <w:rPr>
                <w:sz w:val="22"/>
                <w:szCs w:val="22"/>
              </w:rPr>
            </w:pPr>
            <w:r w:rsidRPr="004E0468">
              <w:rPr>
                <w:sz w:val="22"/>
                <w:szCs w:val="22"/>
              </w:rPr>
              <w:t>Competition legislation inhibits collaboration between companies</w:t>
            </w:r>
          </w:p>
        </w:tc>
      </w:tr>
      <w:tr w:rsidR="004B7F02" w:rsidRPr="004E0468" w14:paraId="34364E01" w14:textId="77777777" w:rsidTr="004373D4">
        <w:trPr>
          <w:cantSplit/>
          <w:trHeight w:val="20"/>
        </w:trPr>
        <w:tc>
          <w:tcPr>
            <w:tcW w:w="916" w:type="pct"/>
            <w:vMerge/>
            <w:shd w:val="clear" w:color="000000" w:fill="FFFFFF"/>
            <w:hideMark/>
          </w:tcPr>
          <w:p w14:paraId="60A6BA8A" w14:textId="77777777" w:rsidR="004B7F02" w:rsidRPr="004E0468" w:rsidRDefault="004B7F02" w:rsidP="004B7F02">
            <w:pPr>
              <w:spacing w:line="240" w:lineRule="auto"/>
              <w:rPr>
                <w:sz w:val="22"/>
                <w:szCs w:val="22"/>
              </w:rPr>
            </w:pPr>
          </w:p>
        </w:tc>
        <w:tc>
          <w:tcPr>
            <w:tcW w:w="4084" w:type="pct"/>
            <w:shd w:val="clear" w:color="000000" w:fill="FFFFFF"/>
            <w:noWrap/>
            <w:hideMark/>
          </w:tcPr>
          <w:p w14:paraId="774F31CC" w14:textId="77777777" w:rsidR="004B7F02" w:rsidRPr="004E0468" w:rsidRDefault="004B7F02" w:rsidP="004B7F02">
            <w:pPr>
              <w:spacing w:line="240" w:lineRule="auto"/>
              <w:rPr>
                <w:sz w:val="22"/>
                <w:szCs w:val="22"/>
              </w:rPr>
            </w:pPr>
            <w:r w:rsidRPr="004E0468">
              <w:rPr>
                <w:sz w:val="22"/>
                <w:szCs w:val="22"/>
              </w:rPr>
              <w:t>Recycling policies are ineffective to obtain high quality recycling</w:t>
            </w:r>
          </w:p>
        </w:tc>
      </w:tr>
      <w:tr w:rsidR="004B7F02" w:rsidRPr="004E0468" w14:paraId="2AC73953" w14:textId="77777777" w:rsidTr="004373D4">
        <w:trPr>
          <w:cantSplit/>
          <w:trHeight w:val="20"/>
        </w:trPr>
        <w:tc>
          <w:tcPr>
            <w:tcW w:w="916" w:type="pct"/>
            <w:vMerge/>
            <w:shd w:val="clear" w:color="000000" w:fill="FFFFFF"/>
            <w:hideMark/>
          </w:tcPr>
          <w:p w14:paraId="225B4F9C" w14:textId="77777777" w:rsidR="004B7F02" w:rsidRPr="004E0468" w:rsidRDefault="004B7F02" w:rsidP="004B7F02">
            <w:pPr>
              <w:spacing w:line="240" w:lineRule="auto"/>
              <w:rPr>
                <w:sz w:val="22"/>
                <w:szCs w:val="22"/>
              </w:rPr>
            </w:pPr>
          </w:p>
        </w:tc>
        <w:tc>
          <w:tcPr>
            <w:tcW w:w="4084" w:type="pct"/>
            <w:shd w:val="clear" w:color="000000" w:fill="FFFFFF"/>
            <w:noWrap/>
            <w:hideMark/>
          </w:tcPr>
          <w:p w14:paraId="2409E5F2" w14:textId="77777777" w:rsidR="004B7F02" w:rsidRPr="004E0468" w:rsidRDefault="004B7F02" w:rsidP="004B7F02">
            <w:pPr>
              <w:spacing w:line="240" w:lineRule="auto"/>
              <w:rPr>
                <w:sz w:val="22"/>
                <w:szCs w:val="22"/>
              </w:rPr>
            </w:pPr>
            <w:r w:rsidRPr="004E0468">
              <w:rPr>
                <w:sz w:val="22"/>
                <w:szCs w:val="22"/>
              </w:rPr>
              <w:t>Governance issues concerning responsibilities, liabilities and ownership</w:t>
            </w:r>
          </w:p>
        </w:tc>
      </w:tr>
      <w:tr w:rsidR="004B7F02" w:rsidRPr="004E0468" w14:paraId="2769F361" w14:textId="77777777" w:rsidTr="004373D4">
        <w:trPr>
          <w:cantSplit/>
          <w:trHeight w:val="20"/>
        </w:trPr>
        <w:tc>
          <w:tcPr>
            <w:tcW w:w="916" w:type="pct"/>
            <w:vMerge w:val="restart"/>
            <w:shd w:val="clear" w:color="000000" w:fill="FFFFFF"/>
            <w:hideMark/>
          </w:tcPr>
          <w:p w14:paraId="37EEF8C6" w14:textId="77777777" w:rsidR="004B7F02" w:rsidRPr="004E0468" w:rsidRDefault="004B7F02" w:rsidP="004B7F02">
            <w:pPr>
              <w:spacing w:line="240" w:lineRule="auto"/>
              <w:rPr>
                <w:sz w:val="22"/>
                <w:szCs w:val="22"/>
              </w:rPr>
            </w:pPr>
            <w:r w:rsidRPr="004E0468">
              <w:rPr>
                <w:sz w:val="22"/>
                <w:szCs w:val="22"/>
              </w:rPr>
              <w:t>Infrastructural</w:t>
            </w:r>
          </w:p>
        </w:tc>
        <w:tc>
          <w:tcPr>
            <w:tcW w:w="4084" w:type="pct"/>
            <w:shd w:val="clear" w:color="000000" w:fill="FFFFFF"/>
            <w:noWrap/>
            <w:hideMark/>
          </w:tcPr>
          <w:p w14:paraId="65CA92AD" w14:textId="77777777" w:rsidR="004B7F02" w:rsidRPr="004E0468" w:rsidRDefault="004B7F02" w:rsidP="004B7F02">
            <w:pPr>
              <w:spacing w:line="240" w:lineRule="auto"/>
              <w:rPr>
                <w:sz w:val="22"/>
                <w:szCs w:val="22"/>
              </w:rPr>
            </w:pPr>
            <w:r w:rsidRPr="004E0468">
              <w:rPr>
                <w:sz w:val="22"/>
                <w:szCs w:val="22"/>
              </w:rPr>
              <w:t>Limited application of new sustainable business models</w:t>
            </w:r>
          </w:p>
        </w:tc>
      </w:tr>
      <w:tr w:rsidR="004B7F02" w:rsidRPr="004E0468" w14:paraId="7E5CDCEA" w14:textId="77777777" w:rsidTr="004373D4">
        <w:trPr>
          <w:cantSplit/>
          <w:trHeight w:val="20"/>
        </w:trPr>
        <w:tc>
          <w:tcPr>
            <w:tcW w:w="916" w:type="pct"/>
            <w:vMerge/>
            <w:shd w:val="clear" w:color="000000" w:fill="FFFFFF"/>
            <w:hideMark/>
          </w:tcPr>
          <w:p w14:paraId="26AAA5BC" w14:textId="77777777" w:rsidR="004B7F02" w:rsidRPr="004E0468" w:rsidRDefault="004B7F02" w:rsidP="004B7F02">
            <w:pPr>
              <w:spacing w:line="240" w:lineRule="auto"/>
              <w:rPr>
                <w:sz w:val="22"/>
                <w:szCs w:val="22"/>
              </w:rPr>
            </w:pPr>
          </w:p>
        </w:tc>
        <w:tc>
          <w:tcPr>
            <w:tcW w:w="4084" w:type="pct"/>
            <w:shd w:val="clear" w:color="000000" w:fill="FFFFFF"/>
            <w:noWrap/>
            <w:hideMark/>
          </w:tcPr>
          <w:p w14:paraId="7BA4DA6F" w14:textId="77777777" w:rsidR="004B7F02" w:rsidRPr="004E0468" w:rsidRDefault="004B7F02" w:rsidP="004B7F02">
            <w:pPr>
              <w:spacing w:line="240" w:lineRule="auto"/>
              <w:rPr>
                <w:sz w:val="22"/>
                <w:szCs w:val="22"/>
              </w:rPr>
            </w:pPr>
            <w:r w:rsidRPr="004E0468">
              <w:rPr>
                <w:sz w:val="22"/>
                <w:szCs w:val="22"/>
              </w:rPr>
              <w:t xml:space="preserve"> Lack of an information exchange system between different stakeholders</w:t>
            </w:r>
          </w:p>
        </w:tc>
      </w:tr>
      <w:tr w:rsidR="004B7F02" w:rsidRPr="004E0468" w14:paraId="32F83AB6" w14:textId="77777777" w:rsidTr="004373D4">
        <w:trPr>
          <w:cantSplit/>
          <w:trHeight w:val="20"/>
        </w:trPr>
        <w:tc>
          <w:tcPr>
            <w:tcW w:w="916" w:type="pct"/>
            <w:vMerge/>
            <w:shd w:val="clear" w:color="000000" w:fill="FFFFFF"/>
            <w:hideMark/>
          </w:tcPr>
          <w:p w14:paraId="4B94024E" w14:textId="77777777" w:rsidR="004B7F02" w:rsidRPr="004E0468" w:rsidRDefault="004B7F02" w:rsidP="004B7F02">
            <w:pPr>
              <w:spacing w:line="240" w:lineRule="auto"/>
              <w:rPr>
                <w:sz w:val="22"/>
                <w:szCs w:val="22"/>
              </w:rPr>
            </w:pPr>
          </w:p>
        </w:tc>
        <w:tc>
          <w:tcPr>
            <w:tcW w:w="4084" w:type="pct"/>
            <w:shd w:val="clear" w:color="000000" w:fill="FFFFFF"/>
            <w:noWrap/>
            <w:hideMark/>
          </w:tcPr>
          <w:p w14:paraId="08294993" w14:textId="77777777" w:rsidR="004B7F02" w:rsidRPr="004E0468" w:rsidRDefault="004B7F02" w:rsidP="004B7F02">
            <w:pPr>
              <w:spacing w:line="240" w:lineRule="auto"/>
              <w:rPr>
                <w:sz w:val="22"/>
                <w:szCs w:val="22"/>
              </w:rPr>
            </w:pPr>
            <w:r w:rsidRPr="004E0468">
              <w:rPr>
                <w:sz w:val="22"/>
                <w:szCs w:val="22"/>
              </w:rPr>
              <w:t>Confidentiality and trust issues hamper exchange of information</w:t>
            </w:r>
          </w:p>
        </w:tc>
      </w:tr>
      <w:tr w:rsidR="004B7F02" w:rsidRPr="004E0468" w14:paraId="15CFA502" w14:textId="77777777" w:rsidTr="004373D4">
        <w:trPr>
          <w:cantSplit/>
          <w:trHeight w:val="20"/>
        </w:trPr>
        <w:tc>
          <w:tcPr>
            <w:tcW w:w="916" w:type="pct"/>
            <w:vMerge/>
            <w:shd w:val="clear" w:color="000000" w:fill="FFFFFF"/>
            <w:hideMark/>
          </w:tcPr>
          <w:p w14:paraId="77F11555" w14:textId="77777777" w:rsidR="004B7F02" w:rsidRPr="004E0468" w:rsidRDefault="004B7F02" w:rsidP="004B7F02">
            <w:pPr>
              <w:spacing w:line="240" w:lineRule="auto"/>
              <w:rPr>
                <w:sz w:val="22"/>
                <w:szCs w:val="22"/>
              </w:rPr>
            </w:pPr>
          </w:p>
        </w:tc>
        <w:tc>
          <w:tcPr>
            <w:tcW w:w="4084" w:type="pct"/>
            <w:shd w:val="clear" w:color="000000" w:fill="FFFFFF"/>
            <w:noWrap/>
            <w:hideMark/>
          </w:tcPr>
          <w:p w14:paraId="76CC4713" w14:textId="77777777" w:rsidR="004B7F02" w:rsidRPr="004E0468" w:rsidRDefault="004B7F02" w:rsidP="004B7F02">
            <w:pPr>
              <w:spacing w:line="240" w:lineRule="auto"/>
              <w:rPr>
                <w:sz w:val="22"/>
                <w:szCs w:val="22"/>
              </w:rPr>
            </w:pPr>
            <w:r w:rsidRPr="004E0468">
              <w:rPr>
                <w:sz w:val="22"/>
                <w:szCs w:val="22"/>
              </w:rPr>
              <w:t xml:space="preserve">Exchange of materials is limited by capacity of reverse logistics    </w:t>
            </w:r>
          </w:p>
        </w:tc>
      </w:tr>
      <w:tr w:rsidR="004B7F02" w:rsidRPr="004E0468" w14:paraId="178BB474" w14:textId="77777777" w:rsidTr="004373D4">
        <w:trPr>
          <w:cantSplit/>
          <w:trHeight w:val="20"/>
        </w:trPr>
        <w:tc>
          <w:tcPr>
            <w:tcW w:w="916" w:type="pct"/>
            <w:vMerge/>
            <w:shd w:val="clear" w:color="000000" w:fill="FFFFFF"/>
            <w:hideMark/>
          </w:tcPr>
          <w:p w14:paraId="59F9F001" w14:textId="77777777" w:rsidR="004B7F02" w:rsidRPr="004E0468" w:rsidRDefault="004B7F02" w:rsidP="004B7F02">
            <w:pPr>
              <w:spacing w:line="240" w:lineRule="auto"/>
              <w:rPr>
                <w:sz w:val="22"/>
                <w:szCs w:val="22"/>
              </w:rPr>
            </w:pPr>
          </w:p>
        </w:tc>
        <w:tc>
          <w:tcPr>
            <w:tcW w:w="4084" w:type="pct"/>
            <w:shd w:val="clear" w:color="000000" w:fill="FFFFFF"/>
            <w:noWrap/>
            <w:hideMark/>
          </w:tcPr>
          <w:p w14:paraId="64792BA1" w14:textId="77777777" w:rsidR="004B7F02" w:rsidRPr="004E0468" w:rsidRDefault="004B7F02" w:rsidP="004B7F02">
            <w:pPr>
              <w:spacing w:line="240" w:lineRule="auto"/>
              <w:rPr>
                <w:sz w:val="22"/>
                <w:szCs w:val="22"/>
              </w:rPr>
            </w:pPr>
            <w:r w:rsidRPr="004E0468">
              <w:rPr>
                <w:sz w:val="22"/>
                <w:szCs w:val="22"/>
              </w:rPr>
              <w:t>Lack of clear, standardized, quantitative measurement and goals</w:t>
            </w:r>
          </w:p>
        </w:tc>
      </w:tr>
      <w:tr w:rsidR="004B7F02" w:rsidRPr="004E0468" w14:paraId="55D643A4" w14:textId="77777777" w:rsidTr="004373D4">
        <w:trPr>
          <w:cantSplit/>
          <w:trHeight w:val="20"/>
        </w:trPr>
        <w:tc>
          <w:tcPr>
            <w:tcW w:w="916" w:type="pct"/>
            <w:vMerge w:val="restart"/>
            <w:shd w:val="clear" w:color="000000" w:fill="FFFFFF"/>
            <w:hideMark/>
          </w:tcPr>
          <w:p w14:paraId="65968E5F" w14:textId="77777777" w:rsidR="004B7F02" w:rsidRPr="004E0468" w:rsidRDefault="004B7F02" w:rsidP="004B7F02">
            <w:pPr>
              <w:spacing w:line="240" w:lineRule="auto"/>
              <w:rPr>
                <w:sz w:val="22"/>
                <w:szCs w:val="22"/>
              </w:rPr>
            </w:pPr>
            <w:r w:rsidRPr="004E0468">
              <w:rPr>
                <w:sz w:val="22"/>
                <w:szCs w:val="22"/>
              </w:rPr>
              <w:t>Societal</w:t>
            </w:r>
          </w:p>
        </w:tc>
        <w:tc>
          <w:tcPr>
            <w:tcW w:w="4084" w:type="pct"/>
            <w:shd w:val="clear" w:color="000000" w:fill="FFFFFF"/>
            <w:noWrap/>
            <w:hideMark/>
          </w:tcPr>
          <w:p w14:paraId="5BE0B03F" w14:textId="77777777" w:rsidR="004B7F02" w:rsidRPr="004E0468" w:rsidRDefault="004B7F02" w:rsidP="004B7F02">
            <w:pPr>
              <w:spacing w:line="240" w:lineRule="auto"/>
              <w:rPr>
                <w:sz w:val="22"/>
                <w:szCs w:val="22"/>
              </w:rPr>
            </w:pPr>
            <w:r w:rsidRPr="004E0468">
              <w:rPr>
                <w:sz w:val="22"/>
                <w:szCs w:val="22"/>
              </w:rPr>
              <w:t>Lack of awareness and sense of urgency, also in businesses</w:t>
            </w:r>
          </w:p>
        </w:tc>
      </w:tr>
      <w:tr w:rsidR="004B7F02" w:rsidRPr="004E0468" w14:paraId="0904F95E" w14:textId="77777777" w:rsidTr="004373D4">
        <w:trPr>
          <w:cantSplit/>
          <w:trHeight w:val="20"/>
        </w:trPr>
        <w:tc>
          <w:tcPr>
            <w:tcW w:w="916" w:type="pct"/>
            <w:vMerge/>
            <w:shd w:val="clear" w:color="000000" w:fill="FFFFFF"/>
            <w:hideMark/>
          </w:tcPr>
          <w:p w14:paraId="17EDD3DB" w14:textId="77777777" w:rsidR="004B7F02" w:rsidRPr="004E0468" w:rsidRDefault="004B7F02" w:rsidP="004B7F02">
            <w:pPr>
              <w:spacing w:line="240" w:lineRule="auto"/>
              <w:rPr>
                <w:sz w:val="22"/>
                <w:szCs w:val="22"/>
              </w:rPr>
            </w:pPr>
          </w:p>
        </w:tc>
        <w:tc>
          <w:tcPr>
            <w:tcW w:w="4084" w:type="pct"/>
            <w:shd w:val="clear" w:color="000000" w:fill="FFFFFF"/>
            <w:noWrap/>
            <w:hideMark/>
          </w:tcPr>
          <w:p w14:paraId="19E533E8" w14:textId="77777777" w:rsidR="004B7F02" w:rsidRPr="004E0468" w:rsidRDefault="004B7F02" w:rsidP="004B7F02">
            <w:pPr>
              <w:spacing w:line="240" w:lineRule="auto"/>
              <w:rPr>
                <w:sz w:val="22"/>
                <w:szCs w:val="22"/>
              </w:rPr>
            </w:pPr>
            <w:r w:rsidRPr="004E0468">
              <w:rPr>
                <w:sz w:val="22"/>
                <w:szCs w:val="22"/>
              </w:rPr>
              <w:t xml:space="preserve">GDP does not show the real progress or decline of our society  </w:t>
            </w:r>
          </w:p>
        </w:tc>
      </w:tr>
      <w:tr w:rsidR="004B7F02" w:rsidRPr="004E0468" w14:paraId="0EBD36CB" w14:textId="77777777" w:rsidTr="004373D4">
        <w:trPr>
          <w:cantSplit/>
          <w:trHeight w:val="20"/>
        </w:trPr>
        <w:tc>
          <w:tcPr>
            <w:tcW w:w="916" w:type="pct"/>
            <w:vMerge/>
            <w:shd w:val="clear" w:color="000000" w:fill="FFFFFF"/>
            <w:hideMark/>
          </w:tcPr>
          <w:p w14:paraId="1EDF3376" w14:textId="77777777" w:rsidR="004B7F02" w:rsidRPr="004E0468" w:rsidRDefault="004B7F02" w:rsidP="004B7F02">
            <w:pPr>
              <w:spacing w:line="240" w:lineRule="auto"/>
              <w:rPr>
                <w:sz w:val="22"/>
                <w:szCs w:val="22"/>
              </w:rPr>
            </w:pPr>
          </w:p>
        </w:tc>
        <w:tc>
          <w:tcPr>
            <w:tcW w:w="4084" w:type="pct"/>
            <w:shd w:val="clear" w:color="000000" w:fill="FFFFFF"/>
            <w:noWrap/>
            <w:hideMark/>
          </w:tcPr>
          <w:p w14:paraId="73C60510" w14:textId="77777777" w:rsidR="004B7F02" w:rsidRPr="004E0468" w:rsidRDefault="004B7F02" w:rsidP="004B7F02">
            <w:pPr>
              <w:spacing w:line="240" w:lineRule="auto"/>
              <w:rPr>
                <w:sz w:val="22"/>
                <w:szCs w:val="22"/>
              </w:rPr>
            </w:pPr>
            <w:r w:rsidRPr="004E0468">
              <w:rPr>
                <w:sz w:val="22"/>
                <w:szCs w:val="22"/>
              </w:rPr>
              <w:t>Resistance from powerful stakeholders with large interests in status quo</w:t>
            </w:r>
          </w:p>
        </w:tc>
      </w:tr>
      <w:tr w:rsidR="004B7F02" w:rsidRPr="004E0468" w14:paraId="71417E11" w14:textId="77777777" w:rsidTr="004373D4">
        <w:trPr>
          <w:cantSplit/>
          <w:trHeight w:val="20"/>
        </w:trPr>
        <w:tc>
          <w:tcPr>
            <w:tcW w:w="916" w:type="pct"/>
            <w:vMerge w:val="restart"/>
            <w:shd w:val="clear" w:color="000000" w:fill="FFFFFF"/>
            <w:hideMark/>
          </w:tcPr>
          <w:p w14:paraId="0BEBC684" w14:textId="77777777" w:rsidR="004B7F02" w:rsidRPr="004E0468" w:rsidRDefault="004B7F02" w:rsidP="004B7F02">
            <w:pPr>
              <w:spacing w:line="240" w:lineRule="auto"/>
              <w:rPr>
                <w:sz w:val="22"/>
                <w:szCs w:val="22"/>
              </w:rPr>
            </w:pPr>
            <w:r w:rsidRPr="004E0468">
              <w:rPr>
                <w:sz w:val="22"/>
                <w:szCs w:val="22"/>
              </w:rPr>
              <w:t>Technological</w:t>
            </w:r>
          </w:p>
        </w:tc>
        <w:tc>
          <w:tcPr>
            <w:tcW w:w="4084" w:type="pct"/>
            <w:shd w:val="clear" w:color="000000" w:fill="FFFFFF"/>
            <w:noWrap/>
            <w:hideMark/>
          </w:tcPr>
          <w:p w14:paraId="6F2B7557" w14:textId="77777777" w:rsidR="004B7F02" w:rsidRPr="004E0468" w:rsidRDefault="004B7F02" w:rsidP="004B7F02">
            <w:pPr>
              <w:spacing w:line="240" w:lineRule="auto"/>
              <w:rPr>
                <w:sz w:val="22"/>
                <w:szCs w:val="22"/>
              </w:rPr>
            </w:pPr>
            <w:r w:rsidRPr="004E0468">
              <w:rPr>
                <w:sz w:val="22"/>
                <w:szCs w:val="22"/>
              </w:rPr>
              <w:t>Limited attention for end-of-life phase in current product designs</w:t>
            </w:r>
          </w:p>
        </w:tc>
      </w:tr>
      <w:tr w:rsidR="004B7F02" w:rsidRPr="004E0468" w14:paraId="1B1FB103" w14:textId="77777777" w:rsidTr="004373D4">
        <w:trPr>
          <w:cantSplit/>
          <w:trHeight w:val="20"/>
        </w:trPr>
        <w:tc>
          <w:tcPr>
            <w:tcW w:w="916" w:type="pct"/>
            <w:vMerge/>
            <w:shd w:val="clear" w:color="000000" w:fill="FFFFFF"/>
            <w:hideMark/>
          </w:tcPr>
          <w:p w14:paraId="788E4EEE" w14:textId="77777777" w:rsidR="004B7F02" w:rsidRPr="004E0468" w:rsidRDefault="004B7F02" w:rsidP="004B7F02">
            <w:pPr>
              <w:spacing w:line="240" w:lineRule="auto"/>
              <w:rPr>
                <w:sz w:val="22"/>
                <w:szCs w:val="22"/>
              </w:rPr>
            </w:pPr>
          </w:p>
        </w:tc>
        <w:tc>
          <w:tcPr>
            <w:tcW w:w="4084" w:type="pct"/>
            <w:shd w:val="clear" w:color="000000" w:fill="FFFFFF"/>
            <w:noWrap/>
            <w:hideMark/>
          </w:tcPr>
          <w:p w14:paraId="0676EAF0" w14:textId="77777777" w:rsidR="004B7F02" w:rsidRPr="004E0468" w:rsidRDefault="004B7F02" w:rsidP="004B7F02">
            <w:pPr>
              <w:spacing w:line="240" w:lineRule="auto"/>
              <w:rPr>
                <w:sz w:val="22"/>
                <w:szCs w:val="22"/>
              </w:rPr>
            </w:pPr>
            <w:r w:rsidRPr="004E0468">
              <w:rPr>
                <w:sz w:val="22"/>
                <w:szCs w:val="22"/>
              </w:rPr>
              <w:t>Limited availability and quality of recycling material</w:t>
            </w:r>
          </w:p>
        </w:tc>
      </w:tr>
      <w:tr w:rsidR="004B7F02" w:rsidRPr="004E0468" w14:paraId="241896AF" w14:textId="77777777" w:rsidTr="004373D4">
        <w:trPr>
          <w:cantSplit/>
          <w:trHeight w:val="20"/>
        </w:trPr>
        <w:tc>
          <w:tcPr>
            <w:tcW w:w="916" w:type="pct"/>
            <w:vMerge/>
            <w:shd w:val="clear" w:color="000000" w:fill="FFFFFF"/>
            <w:hideMark/>
          </w:tcPr>
          <w:p w14:paraId="29D67FEE" w14:textId="77777777" w:rsidR="004B7F02" w:rsidRPr="004E0468" w:rsidRDefault="004B7F02" w:rsidP="004B7F02">
            <w:pPr>
              <w:spacing w:line="240" w:lineRule="auto"/>
              <w:rPr>
                <w:sz w:val="22"/>
                <w:szCs w:val="22"/>
              </w:rPr>
            </w:pPr>
          </w:p>
        </w:tc>
        <w:tc>
          <w:tcPr>
            <w:tcW w:w="4084" w:type="pct"/>
            <w:shd w:val="clear" w:color="000000" w:fill="FFFFFF"/>
            <w:noWrap/>
            <w:hideMark/>
          </w:tcPr>
          <w:p w14:paraId="24F69E03" w14:textId="77777777" w:rsidR="004B7F02" w:rsidRPr="004E0468" w:rsidRDefault="004B7F02" w:rsidP="004B7F02">
            <w:pPr>
              <w:spacing w:line="240" w:lineRule="auto"/>
              <w:rPr>
                <w:sz w:val="22"/>
                <w:szCs w:val="22"/>
              </w:rPr>
            </w:pPr>
            <w:r w:rsidRPr="004E0468">
              <w:rPr>
                <w:sz w:val="22"/>
                <w:szCs w:val="22"/>
              </w:rPr>
              <w:t xml:space="preserve">New challenges to separate the bio- from the </w:t>
            </w:r>
            <w:proofErr w:type="spellStart"/>
            <w:r w:rsidRPr="004E0468">
              <w:rPr>
                <w:sz w:val="22"/>
                <w:szCs w:val="22"/>
              </w:rPr>
              <w:t>technocycle</w:t>
            </w:r>
            <w:proofErr w:type="spellEnd"/>
            <w:r w:rsidRPr="004E0468">
              <w:rPr>
                <w:sz w:val="22"/>
                <w:szCs w:val="22"/>
              </w:rPr>
              <w:t xml:space="preserve">   </w:t>
            </w:r>
          </w:p>
        </w:tc>
      </w:tr>
      <w:tr w:rsidR="004B7F02" w:rsidRPr="004E0468" w14:paraId="1D3A8DCF" w14:textId="77777777" w:rsidTr="004373D4">
        <w:trPr>
          <w:cantSplit/>
          <w:trHeight w:val="20"/>
        </w:trPr>
        <w:tc>
          <w:tcPr>
            <w:tcW w:w="916" w:type="pct"/>
            <w:vMerge/>
            <w:shd w:val="clear" w:color="000000" w:fill="FFFFFF"/>
            <w:hideMark/>
          </w:tcPr>
          <w:p w14:paraId="5E5976E3" w14:textId="77777777" w:rsidR="004B7F02" w:rsidRPr="004E0468" w:rsidRDefault="004B7F02" w:rsidP="004B7F02">
            <w:pPr>
              <w:spacing w:line="240" w:lineRule="auto"/>
              <w:rPr>
                <w:sz w:val="22"/>
                <w:szCs w:val="22"/>
              </w:rPr>
            </w:pPr>
          </w:p>
        </w:tc>
        <w:tc>
          <w:tcPr>
            <w:tcW w:w="4084" w:type="pct"/>
            <w:shd w:val="clear" w:color="000000" w:fill="FFFFFF"/>
            <w:noWrap/>
            <w:hideMark/>
          </w:tcPr>
          <w:p w14:paraId="2932CEF6" w14:textId="77777777" w:rsidR="004B7F02" w:rsidRPr="004E0468" w:rsidRDefault="004B7F02" w:rsidP="004B7F02">
            <w:pPr>
              <w:spacing w:line="240" w:lineRule="auto"/>
              <w:rPr>
                <w:sz w:val="22"/>
                <w:szCs w:val="22"/>
              </w:rPr>
            </w:pPr>
            <w:r w:rsidRPr="004E0468">
              <w:rPr>
                <w:sz w:val="22"/>
                <w:szCs w:val="22"/>
              </w:rPr>
              <w:t xml:space="preserve">Linear technologies are deeply rooted </w:t>
            </w:r>
          </w:p>
        </w:tc>
      </w:tr>
    </w:tbl>
    <w:p w14:paraId="051A8105" w14:textId="39F2245A" w:rsidR="006312E0" w:rsidRPr="004E0468" w:rsidRDefault="006312E0" w:rsidP="00746952">
      <w:pPr>
        <w:pStyle w:val="Heading2"/>
      </w:pPr>
      <w:r w:rsidRPr="004E0468">
        <w:t xml:space="preserve">2.2. Current </w:t>
      </w:r>
      <w:r w:rsidR="00F740BB" w:rsidRPr="004E0468">
        <w:t xml:space="preserve">survey </w:t>
      </w:r>
      <w:r w:rsidRPr="004E0468">
        <w:t>s</w:t>
      </w:r>
      <w:r w:rsidR="00F740BB" w:rsidRPr="004E0468">
        <w:t>tudies</w:t>
      </w:r>
      <w:r w:rsidRPr="004E0468">
        <w:t xml:space="preserve"> on</w:t>
      </w:r>
      <w:r w:rsidR="00F740BB" w:rsidRPr="004E0468">
        <w:t xml:space="preserve"> </w:t>
      </w:r>
      <w:r w:rsidRPr="004E0468">
        <w:t>C</w:t>
      </w:r>
      <w:r w:rsidR="002B6762" w:rsidRPr="004E0468">
        <w:t xml:space="preserve">ircular </w:t>
      </w:r>
      <w:r w:rsidRPr="004E0468">
        <w:t>E</w:t>
      </w:r>
      <w:r w:rsidR="002B6762" w:rsidRPr="004E0468">
        <w:t>conomy</w:t>
      </w:r>
    </w:p>
    <w:p w14:paraId="42D802C0" w14:textId="3AAD290B" w:rsidR="0072712E" w:rsidRPr="004E0468" w:rsidRDefault="0072712E" w:rsidP="0072712E">
      <w:pPr>
        <w:jc w:val="both"/>
      </w:pPr>
      <w:r w:rsidRPr="004E0468">
        <w:t>Understanding</w:t>
      </w:r>
      <w:r w:rsidR="003D1A3F" w:rsidRPr="004E0468">
        <w:t xml:space="preserve"> the nature and the state of the ongoing </w:t>
      </w:r>
      <w:r w:rsidRPr="004E0468">
        <w:t xml:space="preserve">transition </w:t>
      </w:r>
      <w:r w:rsidR="003D1A3F" w:rsidRPr="004E0468">
        <w:t xml:space="preserve">to a CE </w:t>
      </w:r>
      <w:r w:rsidRPr="004E0468">
        <w:t>is essential for the development of more effective regulation and business strategies</w:t>
      </w:r>
      <w:r w:rsidR="00735107" w:rsidRPr="004E0468">
        <w:t xml:space="preserve">. Accordingly, </w:t>
      </w:r>
      <w:r w:rsidRPr="004E0468">
        <w:t xml:space="preserve">researchers </w:t>
      </w:r>
      <w:r w:rsidR="008F54D0" w:rsidRPr="004E0468">
        <w:t xml:space="preserve">have </w:t>
      </w:r>
      <w:r w:rsidRPr="004E0468">
        <w:t xml:space="preserve">started </w:t>
      </w:r>
      <w:r w:rsidR="008F54D0" w:rsidRPr="004E0468">
        <w:t xml:space="preserve">to </w:t>
      </w:r>
      <w:r w:rsidRPr="004E0468">
        <w:t>analys</w:t>
      </w:r>
      <w:r w:rsidR="008F54D0" w:rsidRPr="004E0468">
        <w:t>e</w:t>
      </w:r>
      <w:r w:rsidRPr="004E0468">
        <w:t xml:space="preserve"> the transition to the CE from </w:t>
      </w:r>
      <w:r w:rsidR="008F54D0" w:rsidRPr="004E0468">
        <w:t xml:space="preserve">various </w:t>
      </w:r>
      <w:r w:rsidRPr="004E0468">
        <w:t>perspectives</w:t>
      </w:r>
      <w:r w:rsidR="008472B0" w:rsidRPr="004E0468">
        <w:t xml:space="preserve">. </w:t>
      </w:r>
      <w:r w:rsidR="003D1A3F" w:rsidRPr="004E0468">
        <w:t xml:space="preserve">The focus of the preliminary studies on the transition to a CE varies and includes awareness, attitudes, behaviours and </w:t>
      </w:r>
      <w:r w:rsidR="006C7F1E" w:rsidRPr="004E0468">
        <w:t>practices at individual, organis</w:t>
      </w:r>
      <w:r w:rsidR="003D1A3F" w:rsidRPr="004E0468">
        <w:t xml:space="preserve">ational, and regional levels. </w:t>
      </w:r>
      <w:r w:rsidR="008472B0" w:rsidRPr="004E0468">
        <w:t xml:space="preserve">The </w:t>
      </w:r>
      <w:r w:rsidR="00C82B3F" w:rsidRPr="004E0468">
        <w:t>results of</w:t>
      </w:r>
      <w:r w:rsidR="00F740BB" w:rsidRPr="004E0468">
        <w:t xml:space="preserve"> various survey studies</w:t>
      </w:r>
      <w:r w:rsidR="008472B0" w:rsidRPr="004E0468">
        <w:t xml:space="preserve"> published in peer-reviewed scientific journals</w:t>
      </w:r>
      <w:r w:rsidRPr="004E0468">
        <w:t xml:space="preserve"> </w:t>
      </w:r>
      <w:r w:rsidR="008472B0" w:rsidRPr="004E0468">
        <w:t xml:space="preserve">and identified by the authors through a review of the literature are </w:t>
      </w:r>
      <w:r w:rsidR="00773038" w:rsidRPr="004E0468">
        <w:t xml:space="preserve">summarised in Table </w:t>
      </w:r>
      <w:r w:rsidR="001A006F" w:rsidRPr="004E0468">
        <w:t>4</w:t>
      </w:r>
      <w:r w:rsidR="00773038" w:rsidRPr="004E0468">
        <w:t>.</w:t>
      </w:r>
    </w:p>
    <w:p w14:paraId="18F6958B" w14:textId="7F587DC5" w:rsidR="009F6496" w:rsidRPr="004E0468" w:rsidRDefault="0077596D" w:rsidP="00F40F6E">
      <w:pPr>
        <w:jc w:val="both"/>
      </w:pPr>
      <w:r w:rsidRPr="004E0468">
        <w:t xml:space="preserve">     </w:t>
      </w:r>
      <w:r w:rsidR="008472B0" w:rsidRPr="004E0468">
        <w:t xml:space="preserve">An analysis of the studies suggests three key limitations. </w:t>
      </w:r>
      <w:r w:rsidR="006312E0" w:rsidRPr="004E0468">
        <w:t xml:space="preserve">First, all </w:t>
      </w:r>
      <w:r w:rsidR="008F54D0" w:rsidRPr="004E0468">
        <w:t xml:space="preserve">were </w:t>
      </w:r>
      <w:r w:rsidR="006312E0" w:rsidRPr="004E0468">
        <w:t>carried out in a specific context, i.e. China. This is not surprising as China is the only country whose central government adopted the Circular Economy as a national policy priority.</w:t>
      </w:r>
    </w:p>
    <w:p w14:paraId="24DE653E" w14:textId="77777777" w:rsidR="004B7F02" w:rsidRPr="004E0468" w:rsidRDefault="004B7F02" w:rsidP="004B7F02">
      <w:pPr>
        <w:jc w:val="both"/>
      </w:pPr>
      <w:r w:rsidRPr="004E0468">
        <w:t xml:space="preserve">     Second, there is a scarcity of survey studies at firm level published in high quality peer reviewed journals: indeed, only two</w:t>
      </w:r>
      <w:r w:rsidRPr="004E0468">
        <w:rPr>
          <w:lang w:val="fr-FR"/>
        </w:rPr>
        <w:t xml:space="preserve"> of the</w:t>
      </w:r>
      <w:r w:rsidRPr="004E0468">
        <w:t xml:space="preserve"> reviewed surveys</w:t>
      </w:r>
      <w:r w:rsidRPr="004E0468">
        <w:rPr>
          <w:lang w:val="fr-FR"/>
        </w:rPr>
        <w:t xml:space="preserve"> focus on</w:t>
      </w:r>
      <w:r w:rsidRPr="004E0468">
        <w:t xml:space="preserve"> firms (Zhu et al., 2010; Liu and Bai, 2014). </w:t>
      </w:r>
    </w:p>
    <w:p w14:paraId="02DEB61F" w14:textId="381D0029" w:rsidR="004B7F02" w:rsidRPr="004E0468" w:rsidRDefault="004B7F02" w:rsidP="004B7F02">
      <w:pPr>
        <w:jc w:val="both"/>
      </w:pPr>
      <w:r w:rsidRPr="004E0468">
        <w:t xml:space="preserve">     Third, a comparison between the practices and barriers measured in the existing survey studies compared to the literature show that previous studies have focused on specific practices and barriers. An understanding of the transitions to a CE at a firm level requires a comprehensive analysis of all the practices and barriers listed in Appendix A and</w:t>
      </w:r>
      <w:r w:rsidR="001A006F" w:rsidRPr="004E0468">
        <w:t xml:space="preserve"> Table 3</w:t>
      </w:r>
      <w:r w:rsidRPr="004E0468">
        <w:t xml:space="preserve">. </w:t>
      </w:r>
    </w:p>
    <w:p w14:paraId="34FD7863" w14:textId="77777777" w:rsidR="004B7F02" w:rsidRPr="004E0468" w:rsidRDefault="004B7F02" w:rsidP="004B7F02">
      <w:pPr>
        <w:jc w:val="both"/>
      </w:pPr>
      <w:r w:rsidRPr="004E0468">
        <w:t xml:space="preserve">     In the light of these gaps, this paper presents the results from a survey-based study from the perspective of 77 focal firms. It explores the practices aligned to a shift </w:t>
      </w:r>
      <w:r w:rsidRPr="004E0468">
        <w:lastRenderedPageBreak/>
        <w:t xml:space="preserve">towards CE principles and its corresponding barriers. The international sample used for this survey overcomes the geographical bias of previous studies. </w:t>
      </w:r>
    </w:p>
    <w:p w14:paraId="4065489D" w14:textId="77777777" w:rsidR="004B7F02" w:rsidRPr="004E0468" w:rsidRDefault="004B7F02" w:rsidP="00F40F6E">
      <w:pPr>
        <w:jc w:val="both"/>
      </w:pPr>
    </w:p>
    <w:p w14:paraId="2202B699" w14:textId="77777777" w:rsidR="004B7F02" w:rsidRPr="004E0468" w:rsidRDefault="004B7F02" w:rsidP="00F40F6E">
      <w:pPr>
        <w:jc w:val="both"/>
        <w:sectPr w:rsidR="004B7F02" w:rsidRPr="004E0468" w:rsidSect="00074B81">
          <w:footerReference w:type="default" r:id="rId9"/>
          <w:pgSz w:w="11901" w:h="16840" w:code="9"/>
          <w:pgMar w:top="1418" w:right="1701" w:bottom="1418" w:left="1701" w:header="709" w:footer="709" w:gutter="0"/>
          <w:cols w:space="708"/>
          <w:docGrid w:linePitch="360"/>
        </w:sectPr>
      </w:pPr>
    </w:p>
    <w:p w14:paraId="151AD5E9" w14:textId="61CDF896" w:rsidR="004B7F02" w:rsidRPr="004E0468" w:rsidRDefault="004B7F02" w:rsidP="004B7F02">
      <w:pPr>
        <w:spacing w:line="240" w:lineRule="auto"/>
        <w:jc w:val="center"/>
      </w:pPr>
      <w:r w:rsidRPr="004E0468">
        <w:lastRenderedPageBreak/>
        <w:t>Tab</w:t>
      </w:r>
      <w:r w:rsidR="001A006F" w:rsidRPr="004E0468">
        <w:t>le 4</w:t>
      </w:r>
      <w:r w:rsidRPr="004E0468">
        <w:t>. Survey studies published in peer-reviewed scientific journals on the implementation of CE</w:t>
      </w:r>
    </w:p>
    <w:p w14:paraId="438494EF" w14:textId="77777777" w:rsidR="004B7F02" w:rsidRPr="004E0468" w:rsidRDefault="004B7F02" w:rsidP="004B7F02">
      <w:pPr>
        <w:spacing w:line="240" w:lineRule="auto"/>
        <w:jc w:val="center"/>
      </w:pPr>
    </w:p>
    <w:tbl>
      <w:tblPr>
        <w:tblStyle w:val="TableGrid"/>
        <w:tblW w:w="5000" w:type="pct"/>
        <w:tblLayout w:type="fixed"/>
        <w:tblLook w:val="04A0" w:firstRow="1" w:lastRow="0" w:firstColumn="1" w:lastColumn="0" w:noHBand="0" w:noVBand="1"/>
      </w:tblPr>
      <w:tblGrid>
        <w:gridCol w:w="1869"/>
        <w:gridCol w:w="2597"/>
        <w:gridCol w:w="1723"/>
        <w:gridCol w:w="8031"/>
      </w:tblGrid>
      <w:tr w:rsidR="004B7F02" w:rsidRPr="004E0468" w14:paraId="1037074C" w14:textId="77777777" w:rsidTr="004B7F02">
        <w:tc>
          <w:tcPr>
            <w:tcW w:w="657" w:type="pct"/>
          </w:tcPr>
          <w:p w14:paraId="72E5D17D"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Reference</w:t>
            </w:r>
          </w:p>
        </w:tc>
        <w:tc>
          <w:tcPr>
            <w:tcW w:w="913" w:type="pct"/>
          </w:tcPr>
          <w:p w14:paraId="75A29FFE"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Unit of analysis</w:t>
            </w:r>
          </w:p>
        </w:tc>
        <w:tc>
          <w:tcPr>
            <w:tcW w:w="606" w:type="pct"/>
          </w:tcPr>
          <w:p w14:paraId="7AE0CF94"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Context</w:t>
            </w:r>
          </w:p>
        </w:tc>
        <w:tc>
          <w:tcPr>
            <w:tcW w:w="2824" w:type="pct"/>
          </w:tcPr>
          <w:p w14:paraId="1D8847CB"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Results</w:t>
            </w:r>
          </w:p>
        </w:tc>
      </w:tr>
      <w:tr w:rsidR="004B7F02" w:rsidRPr="004E0468" w14:paraId="37D173D5" w14:textId="77777777" w:rsidTr="004B7F02">
        <w:tc>
          <w:tcPr>
            <w:tcW w:w="657" w:type="pct"/>
          </w:tcPr>
          <w:p w14:paraId="2A1FAC34" w14:textId="77777777" w:rsidR="004B7F02" w:rsidRPr="004E0468" w:rsidRDefault="004B7F02" w:rsidP="004B7F02">
            <w:pPr>
              <w:spacing w:line="240" w:lineRule="auto"/>
              <w:rPr>
                <w:rFonts w:ascii="Times New Roman" w:eastAsia="Times New Roman" w:hAnsi="Times New Roman" w:cs="Times New Roman"/>
                <w:lang w:eastAsia="en-GB"/>
              </w:rPr>
            </w:pPr>
            <w:proofErr w:type="spellStart"/>
            <w:r w:rsidRPr="004E0468">
              <w:rPr>
                <w:rFonts w:ascii="Times New Roman" w:eastAsia="Times New Roman" w:hAnsi="Times New Roman" w:cs="Times New Roman"/>
                <w:lang w:eastAsia="en-GB"/>
              </w:rPr>
              <w:t>Xue</w:t>
            </w:r>
            <w:proofErr w:type="spellEnd"/>
            <w:r w:rsidRPr="004E0468">
              <w:rPr>
                <w:rFonts w:ascii="Times New Roman" w:eastAsia="Times New Roman" w:hAnsi="Times New Roman" w:cs="Times New Roman"/>
                <w:lang w:eastAsia="en-GB"/>
              </w:rPr>
              <w:t xml:space="preserve"> et al. 2010</w:t>
            </w:r>
          </w:p>
        </w:tc>
        <w:tc>
          <w:tcPr>
            <w:tcW w:w="913" w:type="pct"/>
          </w:tcPr>
          <w:p w14:paraId="1C1E0635"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awareness and attitudes regarding the Circular Economy of municipal government officials</w:t>
            </w:r>
          </w:p>
        </w:tc>
        <w:tc>
          <w:tcPr>
            <w:tcW w:w="606" w:type="pct"/>
          </w:tcPr>
          <w:p w14:paraId="46E0E563"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China</w:t>
            </w:r>
          </w:p>
        </w:tc>
        <w:tc>
          <w:tcPr>
            <w:tcW w:w="2824" w:type="pct"/>
          </w:tcPr>
          <w:p w14:paraId="3CCCE167" w14:textId="77777777" w:rsidR="004B7F02" w:rsidRPr="004E0468" w:rsidRDefault="004B7F02" w:rsidP="004B7F02">
            <w:pPr>
              <w:numPr>
                <w:ilvl w:val="0"/>
                <w:numId w:val="6"/>
              </w:num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Government officials were more aware of the Circular Economy than the public</w:t>
            </w:r>
          </w:p>
          <w:p w14:paraId="1AF00F7A" w14:textId="77777777" w:rsidR="004B7F02" w:rsidRPr="004E0468" w:rsidRDefault="004B7F02" w:rsidP="004B7F02">
            <w:pPr>
              <w:numPr>
                <w:ilvl w:val="0"/>
                <w:numId w:val="6"/>
              </w:num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Lack of public awareness and of financial support was the main barriers to the Circular Economy</w:t>
            </w:r>
          </w:p>
          <w:p w14:paraId="068E73BF" w14:textId="77777777" w:rsidR="004B7F02" w:rsidRPr="004E0468" w:rsidRDefault="004B7F02" w:rsidP="004B7F02">
            <w:pPr>
              <w:numPr>
                <w:ilvl w:val="0"/>
                <w:numId w:val="6"/>
              </w:num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Positive attitude toward garbage sorting by government officials</w:t>
            </w:r>
          </w:p>
          <w:p w14:paraId="21FB113F" w14:textId="77777777" w:rsidR="004B7F02" w:rsidRPr="004E0468" w:rsidRDefault="004B7F02" w:rsidP="004B7F02">
            <w:pPr>
              <w:numPr>
                <w:ilvl w:val="0"/>
                <w:numId w:val="6"/>
              </w:num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Gap between policy-making and practical actions hampering the development of the Circular Economy in China</w:t>
            </w:r>
          </w:p>
        </w:tc>
      </w:tr>
      <w:tr w:rsidR="004B7F02" w:rsidRPr="004E0468" w14:paraId="3F462195" w14:textId="77777777" w:rsidTr="004B7F02">
        <w:tc>
          <w:tcPr>
            <w:tcW w:w="657" w:type="pct"/>
          </w:tcPr>
          <w:p w14:paraId="795572F7"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Liu et al. 2009</w:t>
            </w:r>
          </w:p>
        </w:tc>
        <w:tc>
          <w:tcPr>
            <w:tcW w:w="913" w:type="pct"/>
          </w:tcPr>
          <w:p w14:paraId="5E285D99"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public awareness and behaviour in the promotion of a Circular Economy</w:t>
            </w:r>
          </w:p>
        </w:tc>
        <w:tc>
          <w:tcPr>
            <w:tcW w:w="606" w:type="pct"/>
          </w:tcPr>
          <w:p w14:paraId="4D9B97C3"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Tianjin, China</w:t>
            </w:r>
          </w:p>
        </w:tc>
        <w:tc>
          <w:tcPr>
            <w:tcW w:w="2824" w:type="pct"/>
          </w:tcPr>
          <w:p w14:paraId="651A043B" w14:textId="77777777" w:rsidR="004B7F02" w:rsidRPr="004E0468" w:rsidRDefault="004B7F02" w:rsidP="004B7F02">
            <w:pPr>
              <w:numPr>
                <w:ilvl w:val="0"/>
                <w:numId w:val="7"/>
              </w:num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 xml:space="preserve">Low awareness and understanding of the Circular Economy </w:t>
            </w:r>
          </w:p>
          <w:p w14:paraId="322136F5" w14:textId="77777777" w:rsidR="004B7F02" w:rsidRPr="004E0468" w:rsidRDefault="004B7F02" w:rsidP="004B7F02">
            <w:pPr>
              <w:numPr>
                <w:ilvl w:val="0"/>
                <w:numId w:val="7"/>
              </w:num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Economical consumption behaviours rather than conservation-conscious behaviours</w:t>
            </w:r>
          </w:p>
        </w:tc>
      </w:tr>
      <w:tr w:rsidR="004B7F02" w:rsidRPr="004E0468" w14:paraId="49F1CC80" w14:textId="77777777" w:rsidTr="004B7F02">
        <w:tc>
          <w:tcPr>
            <w:tcW w:w="657" w:type="pct"/>
          </w:tcPr>
          <w:p w14:paraId="00831D09"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Liu and Bai 2014</w:t>
            </w:r>
          </w:p>
        </w:tc>
        <w:tc>
          <w:tcPr>
            <w:tcW w:w="913" w:type="pct"/>
          </w:tcPr>
          <w:p w14:paraId="40FD95D2"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firms’ awareness and behaviour in the development of the Circular Economy</w:t>
            </w:r>
          </w:p>
        </w:tc>
        <w:tc>
          <w:tcPr>
            <w:tcW w:w="606" w:type="pct"/>
          </w:tcPr>
          <w:p w14:paraId="5B6971EE"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manufacturing clusters in China</w:t>
            </w:r>
          </w:p>
        </w:tc>
        <w:tc>
          <w:tcPr>
            <w:tcW w:w="2824" w:type="pct"/>
          </w:tcPr>
          <w:p w14:paraId="77449831" w14:textId="77777777" w:rsidR="004B7F02" w:rsidRPr="004E0468" w:rsidRDefault="004B7F02" w:rsidP="004B7F02">
            <w:pPr>
              <w:numPr>
                <w:ilvl w:val="0"/>
                <w:numId w:val="8"/>
              </w:num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Good understanding and a high willingness of firms to move to a Circular Economy</w:t>
            </w:r>
          </w:p>
          <w:p w14:paraId="1D8F7CC0" w14:textId="77777777" w:rsidR="004B7F02" w:rsidRPr="004E0468" w:rsidRDefault="004B7F02" w:rsidP="004B7F02">
            <w:pPr>
              <w:numPr>
                <w:ilvl w:val="0"/>
                <w:numId w:val="8"/>
              </w:num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Only few Circular Economy practices implemented</w:t>
            </w:r>
          </w:p>
          <w:p w14:paraId="24B1896C" w14:textId="77777777" w:rsidR="004B7F02" w:rsidRPr="004E0468" w:rsidRDefault="004B7F02" w:rsidP="004B7F02">
            <w:pPr>
              <w:numPr>
                <w:ilvl w:val="0"/>
                <w:numId w:val="8"/>
              </w:num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Reasons for the gap between awareness and behaviour were structural, contextual, and cultural.</w:t>
            </w:r>
          </w:p>
        </w:tc>
      </w:tr>
      <w:tr w:rsidR="004B7F02" w:rsidRPr="004E0468" w14:paraId="5917136E" w14:textId="77777777" w:rsidTr="004B7F02">
        <w:tc>
          <w:tcPr>
            <w:tcW w:w="657" w:type="pct"/>
          </w:tcPr>
          <w:p w14:paraId="5C3F234A"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Zhu et al 2010</w:t>
            </w:r>
          </w:p>
        </w:tc>
        <w:tc>
          <w:tcPr>
            <w:tcW w:w="913" w:type="pct"/>
          </w:tcPr>
          <w:p w14:paraId="7D39B116"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Impact of environmental-oriented supply chain on the implementation of Circular Economy practices</w:t>
            </w:r>
          </w:p>
        </w:tc>
        <w:tc>
          <w:tcPr>
            <w:tcW w:w="606" w:type="pct"/>
          </w:tcPr>
          <w:p w14:paraId="294B85B7" w14:textId="77777777" w:rsidR="004B7F02" w:rsidRPr="004E0468" w:rsidRDefault="004B7F02" w:rsidP="004B7F02">
            <w:p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China</w:t>
            </w:r>
          </w:p>
        </w:tc>
        <w:tc>
          <w:tcPr>
            <w:tcW w:w="2824" w:type="pct"/>
          </w:tcPr>
          <w:p w14:paraId="51558689" w14:textId="77777777" w:rsidR="004B7F02" w:rsidRPr="004E0468" w:rsidRDefault="004B7F02" w:rsidP="004B7F02">
            <w:pPr>
              <w:numPr>
                <w:ilvl w:val="0"/>
                <w:numId w:val="9"/>
              </w:numPr>
              <w:spacing w:line="240" w:lineRule="auto"/>
              <w:rPr>
                <w:rFonts w:ascii="Times New Roman" w:eastAsia="Times New Roman" w:hAnsi="Times New Roman" w:cs="Times New Roman"/>
                <w:lang w:eastAsia="en-GB"/>
              </w:rPr>
            </w:pPr>
            <w:r w:rsidRPr="004E0468">
              <w:rPr>
                <w:rFonts w:ascii="Times New Roman" w:eastAsia="Times New Roman" w:hAnsi="Times New Roman" w:cs="Times New Roman"/>
                <w:lang w:eastAsia="en-GB"/>
              </w:rPr>
              <w:t>Supply chain cooperation enhanced Circular Economy-targeted performance and practices</w:t>
            </w:r>
          </w:p>
        </w:tc>
      </w:tr>
    </w:tbl>
    <w:p w14:paraId="2B2F614B" w14:textId="77777777" w:rsidR="004B7F02" w:rsidRPr="004E0468" w:rsidRDefault="004B7F02" w:rsidP="004B7F02"/>
    <w:p w14:paraId="52087D09" w14:textId="77777777" w:rsidR="009F6496" w:rsidRPr="004E0468" w:rsidRDefault="009F6496" w:rsidP="00F40F6E">
      <w:pPr>
        <w:jc w:val="both"/>
        <w:sectPr w:rsidR="009F6496" w:rsidRPr="004E0468" w:rsidSect="009F6496">
          <w:pgSz w:w="16840" w:h="11901" w:orient="landscape" w:code="9"/>
          <w:pgMar w:top="1701" w:right="1418" w:bottom="1701" w:left="1418" w:header="709" w:footer="709" w:gutter="0"/>
          <w:cols w:space="708"/>
          <w:docGrid w:linePitch="360"/>
        </w:sectPr>
      </w:pPr>
    </w:p>
    <w:p w14:paraId="1A48BADA" w14:textId="6ED7B7C6" w:rsidR="00355D0B" w:rsidRPr="004E0468" w:rsidRDefault="00355D0B" w:rsidP="00746952">
      <w:pPr>
        <w:pStyle w:val="Heading1"/>
        <w:numPr>
          <w:ilvl w:val="0"/>
          <w:numId w:val="5"/>
        </w:numPr>
        <w:ind w:left="426" w:hanging="426"/>
      </w:pPr>
      <w:r w:rsidRPr="004E0468">
        <w:lastRenderedPageBreak/>
        <w:t xml:space="preserve"> Research Methodology</w:t>
      </w:r>
      <w:r w:rsidRPr="004E0468">
        <w:tab/>
      </w:r>
    </w:p>
    <w:p w14:paraId="1F35F843" w14:textId="5F78B21F" w:rsidR="00746952" w:rsidRPr="004E0468" w:rsidRDefault="00355D0B" w:rsidP="00746952">
      <w:pPr>
        <w:jc w:val="both"/>
      </w:pPr>
      <w:r w:rsidRPr="004E0468">
        <w:t>The authors selected a survey-based questionnaire as strategy to collect primary data as it enables both reach and breadth.</w:t>
      </w:r>
      <w:r w:rsidRPr="004E0468">
        <w:rPr>
          <w:color w:val="000000"/>
        </w:rPr>
        <w:t xml:space="preserve"> </w:t>
      </w:r>
      <w:r w:rsidRPr="004E0468">
        <w:t>The research process included three different phases: survey design, data collection and data analysis.</w:t>
      </w:r>
      <w:r w:rsidR="001A006F" w:rsidRPr="004E0468">
        <w:t xml:space="preserve"> Sections 3.1 and 3</w:t>
      </w:r>
      <w:r w:rsidRPr="004E0468">
        <w:t>.2 outline the choices made for the survey design and data collection.</w:t>
      </w:r>
    </w:p>
    <w:p w14:paraId="51F61D2A" w14:textId="3DE739E3" w:rsidR="00355D0B" w:rsidRPr="004E0468" w:rsidRDefault="00746952" w:rsidP="00746952">
      <w:pPr>
        <w:pStyle w:val="Heading2"/>
      </w:pPr>
      <w:r w:rsidRPr="004E0468">
        <w:t xml:space="preserve">3.1 </w:t>
      </w:r>
      <w:r w:rsidR="00355D0B" w:rsidRPr="004E0468">
        <w:t>Survey design</w:t>
      </w:r>
    </w:p>
    <w:p w14:paraId="69C9A8B3" w14:textId="77777777" w:rsidR="00355D0B" w:rsidRPr="004E0468" w:rsidRDefault="00355D0B" w:rsidP="00355D0B">
      <w:pPr>
        <w:jc w:val="both"/>
      </w:pPr>
      <w:r w:rsidRPr="004E0468">
        <w:t xml:space="preserve">The questionnaire was divided into three sections, namely: demographic information for statistic reference, firms’ circular practices and barriers, and firms’ awareness of the Circular Economy. </w:t>
      </w:r>
    </w:p>
    <w:p w14:paraId="7859D010" w14:textId="77777777" w:rsidR="00355D0B" w:rsidRPr="004E0468" w:rsidRDefault="00355D0B" w:rsidP="00355D0B">
      <w:pPr>
        <w:jc w:val="both"/>
      </w:pPr>
      <w:r w:rsidRPr="004E0468">
        <w:t>Given the holistic nature of the CE concept, richness is lost if specific practices or contextual factors are considered in isolation. Therefore, the authors performed a review of the literature with the objective of defining a comprehensive taxonomy of practices and barriers regarding the CE.</w:t>
      </w:r>
    </w:p>
    <w:p w14:paraId="288FEB60" w14:textId="77777777" w:rsidR="00355D0B" w:rsidRPr="004E0468" w:rsidRDefault="00355D0B" w:rsidP="00355D0B">
      <w:pPr>
        <w:jc w:val="both"/>
      </w:pPr>
      <w:r w:rsidRPr="004E0468">
        <w:t xml:space="preserve">In order to locate the relevant studies, three search engines were chosen: ‘Scopus’, ‘ProQuest’, and ‘Web of Science’. The used search string was ‘Circular </w:t>
      </w:r>
      <w:proofErr w:type="spellStart"/>
      <w:r w:rsidRPr="004E0468">
        <w:t>Econom</w:t>
      </w:r>
      <w:proofErr w:type="spellEnd"/>
      <w:r w:rsidRPr="004E0468">
        <w:t xml:space="preserve">*’ in the Article Title. This choice has been made to ensure that papers explicitly focus on the circular economy, instead of incidentally mentioning the term while the main spotlight was on another topic. The search was made in July 2015 and limited to scholarly journals in English with no time restrictions. The resultant number of papers was 154 (Scopus), 114 (ProQuest), and 75 (Web of Science). Given the relative immaturity and fragmentation of the circular economy concept, the titles, journals, and abstracts of the papers were reviewed for selection. The selection criteria used to reduce the number of articles were the Relevance for the review questions and the Journal type, including </w:t>
      </w:r>
      <w:r w:rsidRPr="004E0468">
        <w:lastRenderedPageBreak/>
        <w:t xml:space="preserve">only papers published in double-blind peer reviewed journals. Application of these criteria reduced the resultant number of full papers for analysis and synthesis to 54. </w:t>
      </w:r>
    </w:p>
    <w:p w14:paraId="34459B91" w14:textId="6B08BE5F" w:rsidR="00355D0B" w:rsidRPr="004E0468" w:rsidRDefault="00355D0B" w:rsidP="00355D0B">
      <w:pPr>
        <w:jc w:val="both"/>
      </w:pPr>
      <w:r w:rsidRPr="004E0468">
        <w:t>The analysis of the 54 references clarified the key types of practices aligned with the CE principles and the key barriers. Since the studies analysed the practices and barriers with varying degrees of granularity, the authors added other 8 papers and 4 reports from the analysis of the references, thus getting taxonomies of practices and barriers with the same level of detail. All the practices and the barriers with the corresponding references are summarised in Appendix A</w:t>
      </w:r>
      <w:r w:rsidR="000814BE" w:rsidRPr="004E0468">
        <w:t xml:space="preserve"> and Table 3</w:t>
      </w:r>
      <w:r w:rsidRPr="004E0468">
        <w:t>.</w:t>
      </w:r>
    </w:p>
    <w:p w14:paraId="6D6DCD69" w14:textId="6E7008A4" w:rsidR="00355D0B" w:rsidRPr="004E0468" w:rsidRDefault="00355D0B" w:rsidP="00355D0B">
      <w:pPr>
        <w:jc w:val="both"/>
      </w:pPr>
      <w:r w:rsidRPr="004E0468">
        <w:t xml:space="preserve">     The last section assessing firms’ awareness of the Circular Economy was deliberately located at the end of the questionnaire, so that a low understanding of the Circular Economy did not affect the answers in previous sections. To measure awareness, the respondents were asked to tick the main principles of Circular Economy established on the basis of the existing literature (Ellen MacArthur Foundation</w:t>
      </w:r>
      <w:r w:rsidR="00E2471A" w:rsidRPr="004E0468">
        <w:t xml:space="preserve"> 2013</w:t>
      </w:r>
      <w:r w:rsidRPr="004E0468">
        <w:t>).</w:t>
      </w:r>
    </w:p>
    <w:p w14:paraId="286E16C7" w14:textId="77777777" w:rsidR="00355D0B" w:rsidRPr="004E0468" w:rsidRDefault="00355D0B" w:rsidP="00355D0B">
      <w:pPr>
        <w:jc w:val="both"/>
      </w:pPr>
      <w:r w:rsidRPr="004E0468">
        <w:t xml:space="preserve">     Following the questionnaire approach of </w:t>
      </w:r>
      <w:proofErr w:type="spellStart"/>
      <w:r w:rsidRPr="004E0468">
        <w:t>Binti</w:t>
      </w:r>
      <w:proofErr w:type="spellEnd"/>
      <w:r w:rsidRPr="004E0468">
        <w:t xml:space="preserve"> </w:t>
      </w:r>
      <w:proofErr w:type="spellStart"/>
      <w:r w:rsidRPr="004E0468">
        <w:t>Aminuddin</w:t>
      </w:r>
      <w:proofErr w:type="spellEnd"/>
      <w:r w:rsidRPr="004E0468">
        <w:t xml:space="preserve"> et al. (2015), questions were specifically designed to obtain both nominal and ordinal data. The questionnaire used a precise scale for the answers to capture the varying degrees of implementation across firms: ‘not considering it’, ‘planning to consider it’, ‘considering it currently’, ‘initiating implementation’, ‘implementing successfully’, coherently with the scale used in previous studies on the CE (</w:t>
      </w:r>
      <w:proofErr w:type="spellStart"/>
      <w:r w:rsidRPr="004E0468">
        <w:t>Xue</w:t>
      </w:r>
      <w:proofErr w:type="spellEnd"/>
      <w:r w:rsidRPr="004E0468">
        <w:t xml:space="preserve"> et al. 2010; Zhu et al. 2005; Zhu et al 2010).</w:t>
      </w:r>
    </w:p>
    <w:p w14:paraId="226C9DD9" w14:textId="26D12261" w:rsidR="00355D0B" w:rsidRPr="004E0468" w:rsidRDefault="00355D0B" w:rsidP="00355D0B">
      <w:pPr>
        <w:jc w:val="both"/>
      </w:pPr>
      <w:r w:rsidRPr="004E0468">
        <w:t>To ensure the validity and reliability of the questionnaire (</w:t>
      </w:r>
      <w:r w:rsidR="00E2471A" w:rsidRPr="004E0468">
        <w:t xml:space="preserve">Crowther and </w:t>
      </w:r>
      <w:r w:rsidRPr="004E0468">
        <w:t>Lancaster 2008), a pilot study was conducted as suggested by Robson (2011). Therefore, the questionnaire was distributed to 10 professionals that included academic and industrial experts in a variety of fields. As a result, the questionnaire was amended and improved to eliminate common threats such as subject or participant error, subject or participant bias, observer error and, observer bias (Robson 2011).</w:t>
      </w:r>
    </w:p>
    <w:p w14:paraId="3BF0413C" w14:textId="41D82792" w:rsidR="00355D0B" w:rsidRPr="004E0468" w:rsidRDefault="00746952" w:rsidP="00355D0B">
      <w:pPr>
        <w:pStyle w:val="Heading2"/>
      </w:pPr>
      <w:r w:rsidRPr="004E0468">
        <w:lastRenderedPageBreak/>
        <w:t>3</w:t>
      </w:r>
      <w:r w:rsidR="00355D0B" w:rsidRPr="004E0468">
        <w:t>.2 Data collection</w:t>
      </w:r>
    </w:p>
    <w:p w14:paraId="0B036581" w14:textId="77777777" w:rsidR="00355D0B" w:rsidRPr="004E0468" w:rsidRDefault="00355D0B" w:rsidP="00355D0B">
      <w:pPr>
        <w:jc w:val="both"/>
        <w:rPr>
          <w:color w:val="FF0000"/>
          <w:lang w:val="en-US"/>
        </w:rPr>
      </w:pPr>
      <w:r w:rsidRPr="004E0468">
        <w:t>As this was an exploratory study, the questionnaire was distributed to respondents working in various industrial sectors worldwide. It was mainly circulated using the business/professional-oriented social networking site LinkedIn. LinkedIn is now increasingly becoming a reliable platform for the fast collection of research data (</w:t>
      </w:r>
      <w:proofErr w:type="spellStart"/>
      <w:r w:rsidRPr="004E0468">
        <w:t>Papacharissi</w:t>
      </w:r>
      <w:proofErr w:type="spellEnd"/>
      <w:r w:rsidRPr="004E0468">
        <w:t xml:space="preserve"> 2009). In this case, 200 professionals from LinkedIn group societies related to relevant subject areas such as sustainability, green practices, circular economy, manufacturing, business excellence and operations management were identified and </w:t>
      </w:r>
      <w:r w:rsidRPr="004E0468">
        <w:rPr>
          <w:lang w:val="en-US"/>
        </w:rPr>
        <w:t>directly contacted through personal messages to request their contributions to the research by responding the questionnaire</w:t>
      </w:r>
      <w:r w:rsidRPr="004E0468">
        <w:t xml:space="preserve">. In addition, the questionnaire was also publically shared in the same LinkedIn group societies, alongside a cover letter that described the research and its objectives, as well as </w:t>
      </w:r>
      <w:r w:rsidRPr="004E0468">
        <w:rPr>
          <w:lang w:val="en-US"/>
        </w:rPr>
        <w:t xml:space="preserve">forwarded via e-mails to </w:t>
      </w:r>
      <w:r w:rsidRPr="004E0468">
        <w:t>personal contacts of the authors</w:t>
      </w:r>
      <w:r w:rsidRPr="004E0468">
        <w:rPr>
          <w:lang w:val="en-US"/>
        </w:rPr>
        <w:t>. Personal contacts</w:t>
      </w:r>
      <w:r w:rsidRPr="004E0468">
        <w:rPr>
          <w:color w:val="FF0000"/>
          <w:lang w:val="en-US"/>
        </w:rPr>
        <w:t xml:space="preserve"> </w:t>
      </w:r>
      <w:r w:rsidRPr="004E0468">
        <w:t>were also requested to distribute the questionnaire among their own professional networks, which created a ‘snowballing sampling technique’ that contributed in broadening the pool of respondents (Horwitz et al. 2006).</w:t>
      </w:r>
    </w:p>
    <w:p w14:paraId="1C59BD03" w14:textId="77777777" w:rsidR="00355D0B" w:rsidRPr="004E0468" w:rsidRDefault="00355D0B" w:rsidP="00355D0B">
      <w:pPr>
        <w:jc w:val="both"/>
      </w:pPr>
      <w:r w:rsidRPr="004E0468">
        <w:t xml:space="preserve">     In total, 81 responses were received from various respondents across the world. Out of the 81 responses, 4 were incomplete and</w:t>
      </w:r>
      <w:r w:rsidRPr="004E0468">
        <w:rPr>
          <w:color w:val="FF0000"/>
        </w:rPr>
        <w:t xml:space="preserve"> </w:t>
      </w:r>
      <w:r w:rsidRPr="004E0468">
        <w:t>hence they were ignored and excluded from the analysis. Therefore, the final sample size included 77 fully completed survey responses. Although the total number of responses obtained may be considered slightly lower than other survey-based studies in Circular Economy (</w:t>
      </w:r>
      <w:proofErr w:type="spellStart"/>
      <w:r w:rsidRPr="004E0468">
        <w:t>Xue</w:t>
      </w:r>
      <w:proofErr w:type="spellEnd"/>
      <w:r w:rsidRPr="004E0468">
        <w:t xml:space="preserve"> et al. 2010; Liu et al. 2009), it still provided sufficient data for an initial and general exploratory analysis of the awareness, practices, and barriers in the implementation of CE. </w:t>
      </w:r>
    </w:p>
    <w:p w14:paraId="1E6719DC" w14:textId="74AC8325" w:rsidR="00473EF6" w:rsidRPr="004E0468" w:rsidRDefault="00473EF6" w:rsidP="00437A13">
      <w:pPr>
        <w:pStyle w:val="Heading1"/>
      </w:pPr>
      <w:r w:rsidRPr="004E0468">
        <w:lastRenderedPageBreak/>
        <w:t>4. Findings</w:t>
      </w:r>
      <w:r w:rsidR="00B23F5E" w:rsidRPr="004E0468">
        <w:t xml:space="preserve"> and Discussion</w:t>
      </w:r>
    </w:p>
    <w:p w14:paraId="66B90C80" w14:textId="39FA2628" w:rsidR="00473EF6" w:rsidRPr="004E0468" w:rsidRDefault="003632F2" w:rsidP="00F40F6E">
      <w:pPr>
        <w:jc w:val="both"/>
      </w:pPr>
      <w:r w:rsidRPr="004E0468">
        <w:t>The survey data show</w:t>
      </w:r>
      <w:r w:rsidR="002A70F9" w:rsidRPr="004E0468">
        <w:t>ed</w:t>
      </w:r>
      <w:r w:rsidRPr="004E0468">
        <w:t xml:space="preserve"> that m</w:t>
      </w:r>
      <w:r w:rsidR="00C722E0" w:rsidRPr="004E0468">
        <w:t>ost respondents were acting as managers/supervisors (</w:t>
      </w:r>
      <w:r w:rsidR="000F3AC8" w:rsidRPr="004E0468">
        <w:t>42</w:t>
      </w:r>
      <w:r w:rsidR="00C722E0" w:rsidRPr="004E0468">
        <w:t>%) and working in</w:t>
      </w:r>
      <w:r w:rsidR="002A70F9" w:rsidRPr="004E0468">
        <w:t xml:space="preserve"> </w:t>
      </w:r>
      <w:r w:rsidR="00C722E0" w:rsidRPr="004E0468">
        <w:t>operations, quality, production, process improvement</w:t>
      </w:r>
      <w:r w:rsidR="002A70F9" w:rsidRPr="004E0468">
        <w:t xml:space="preserve"> and</w:t>
      </w:r>
      <w:r w:rsidR="00C722E0" w:rsidRPr="004E0468">
        <w:t xml:space="preserve"> general manager</w:t>
      </w:r>
      <w:r w:rsidR="002A70F9" w:rsidRPr="004E0468">
        <w:t>ial</w:t>
      </w:r>
      <w:r w:rsidR="00C722E0" w:rsidRPr="004E0468">
        <w:t xml:space="preserve"> role</w:t>
      </w:r>
      <w:r w:rsidR="002A70F9" w:rsidRPr="004E0468">
        <w:t>s. These were</w:t>
      </w:r>
      <w:r w:rsidR="00C722E0" w:rsidRPr="004E0468">
        <w:t xml:space="preserve"> followed by engineers (</w:t>
      </w:r>
      <w:r w:rsidR="000F3AC8" w:rsidRPr="004E0468">
        <w:t>25</w:t>
      </w:r>
      <w:r w:rsidR="00C722E0" w:rsidRPr="004E0468">
        <w:t xml:space="preserve">%), </w:t>
      </w:r>
      <w:r w:rsidR="002A70F9" w:rsidRPr="004E0468">
        <w:t>whereas a</w:t>
      </w:r>
      <w:r w:rsidR="00C722E0" w:rsidRPr="004E0468">
        <w:t xml:space="preserve">round </w:t>
      </w:r>
      <w:r w:rsidR="000F3AC8" w:rsidRPr="004E0468">
        <w:t>21</w:t>
      </w:r>
      <w:r w:rsidR="00C722E0" w:rsidRPr="004E0468">
        <w:t xml:space="preserve">% </w:t>
      </w:r>
      <w:r w:rsidR="008035D9" w:rsidRPr="004E0468">
        <w:t xml:space="preserve">of </w:t>
      </w:r>
      <w:r w:rsidR="00C722E0" w:rsidRPr="004E0468">
        <w:t xml:space="preserve">respondents classified themselves as </w:t>
      </w:r>
      <w:r w:rsidR="002A70F9" w:rsidRPr="004E0468">
        <w:t>‘</w:t>
      </w:r>
      <w:r w:rsidR="00C722E0" w:rsidRPr="004E0468">
        <w:t>others</w:t>
      </w:r>
      <w:r w:rsidR="002A70F9" w:rsidRPr="004E0468">
        <w:t>’. These</w:t>
      </w:r>
      <w:r w:rsidR="00C722E0" w:rsidRPr="004E0468">
        <w:t xml:space="preserve"> included professions such as </w:t>
      </w:r>
      <w:r w:rsidR="00270539" w:rsidRPr="004E0468">
        <w:t>consultants, business developer</w:t>
      </w:r>
      <w:r w:rsidR="00A30E03" w:rsidRPr="004E0468">
        <w:t>s</w:t>
      </w:r>
      <w:r w:rsidR="00270539" w:rsidRPr="004E0468">
        <w:t xml:space="preserve">, </w:t>
      </w:r>
      <w:r w:rsidR="00CC49EB" w:rsidRPr="004E0468">
        <w:t>architects</w:t>
      </w:r>
      <w:r w:rsidR="00270539" w:rsidRPr="004E0468">
        <w:t xml:space="preserve">, and procurement specialists. </w:t>
      </w:r>
      <w:r w:rsidR="008035D9" w:rsidRPr="004E0468">
        <w:t>The m</w:t>
      </w:r>
      <w:r w:rsidR="00270539" w:rsidRPr="004E0468">
        <w:t>ajority of the responses were also from</w:t>
      </w:r>
      <w:r w:rsidR="008035D9" w:rsidRPr="004E0468">
        <w:t xml:space="preserve"> the</w:t>
      </w:r>
      <w:r w:rsidR="00270539" w:rsidRPr="004E0468">
        <w:t xml:space="preserve"> manufacturing sector (</w:t>
      </w:r>
      <w:r w:rsidR="000F3AC8" w:rsidRPr="004E0468">
        <w:t>43</w:t>
      </w:r>
      <w:r w:rsidR="00270539" w:rsidRPr="004E0468">
        <w:t>%) and from organisations employing more than 250 employees (</w:t>
      </w:r>
      <w:r w:rsidR="000F3AC8" w:rsidRPr="004E0468">
        <w:t xml:space="preserve">55%). </w:t>
      </w:r>
      <w:r w:rsidR="00270539" w:rsidRPr="004E0468">
        <w:t xml:space="preserve">With regard to </w:t>
      </w:r>
      <w:r w:rsidR="00875A4A" w:rsidRPr="004E0468">
        <w:t>respondents</w:t>
      </w:r>
      <w:r w:rsidR="00A30E03" w:rsidRPr="004E0468">
        <w:t>’</w:t>
      </w:r>
      <w:r w:rsidR="00875A4A" w:rsidRPr="004E0468">
        <w:t xml:space="preserve"> </w:t>
      </w:r>
      <w:r w:rsidR="00270539" w:rsidRPr="004E0468">
        <w:t>experience in</w:t>
      </w:r>
      <w:r w:rsidR="00A30E03" w:rsidRPr="004E0468">
        <w:t xml:space="preserve"> </w:t>
      </w:r>
      <w:r w:rsidR="00270539" w:rsidRPr="004E0468">
        <w:t xml:space="preserve">industry, around </w:t>
      </w:r>
      <w:r w:rsidR="000F3AC8" w:rsidRPr="004E0468">
        <w:t>40</w:t>
      </w:r>
      <w:r w:rsidR="00270539" w:rsidRPr="004E0468">
        <w:t>% had 5-10 years of experience</w:t>
      </w:r>
      <w:r w:rsidR="002A70F9" w:rsidRPr="004E0468">
        <w:t>,</w:t>
      </w:r>
      <w:r w:rsidR="00270539" w:rsidRPr="004E0468">
        <w:t xml:space="preserve"> followed by 10-25 years (22%), 2-5 years (</w:t>
      </w:r>
      <w:r w:rsidR="000F3AC8" w:rsidRPr="004E0468">
        <w:t>21</w:t>
      </w:r>
      <w:r w:rsidR="00270539" w:rsidRPr="004E0468">
        <w:t>%), and less than 2 years (14%)</w:t>
      </w:r>
      <w:r w:rsidR="00A30E03" w:rsidRPr="004E0468">
        <w:t xml:space="preserve"> of experience</w:t>
      </w:r>
      <w:r w:rsidR="00270539" w:rsidRPr="004E0468">
        <w:t xml:space="preserve">. </w:t>
      </w:r>
      <w:r w:rsidR="00A30E03" w:rsidRPr="004E0468">
        <w:t>R</w:t>
      </w:r>
      <w:r w:rsidR="00A01C2A" w:rsidRPr="004E0468">
        <w:t xml:space="preserve">espondents identified themselves from </w:t>
      </w:r>
      <w:r w:rsidR="002A70F9" w:rsidRPr="004E0468">
        <w:t>various</w:t>
      </w:r>
      <w:r w:rsidR="00A01C2A" w:rsidRPr="004E0468">
        <w:t xml:space="preserve"> countries around the world</w:t>
      </w:r>
      <w:r w:rsidR="002A70F9" w:rsidRPr="004E0468">
        <w:t>,</w:t>
      </w:r>
      <w:r w:rsidR="00A01C2A" w:rsidRPr="004E0468">
        <w:t xml:space="preserve"> with </w:t>
      </w:r>
      <w:r w:rsidR="002A70F9" w:rsidRPr="004E0468">
        <w:t xml:space="preserve">the </w:t>
      </w:r>
      <w:r w:rsidR="00A01C2A" w:rsidRPr="004E0468">
        <w:t>majority</w:t>
      </w:r>
      <w:r w:rsidR="002A70F9" w:rsidRPr="004E0468">
        <w:t xml:space="preserve"> of them being based</w:t>
      </w:r>
      <w:r w:rsidR="00A01C2A" w:rsidRPr="004E0468">
        <w:t xml:space="preserve"> </w:t>
      </w:r>
      <w:r w:rsidR="002A70F9" w:rsidRPr="004E0468">
        <w:t>in</w:t>
      </w:r>
      <w:r w:rsidR="00A01C2A" w:rsidRPr="004E0468">
        <w:t xml:space="preserve"> </w:t>
      </w:r>
      <w:r w:rsidR="008035D9" w:rsidRPr="004E0468">
        <w:t xml:space="preserve">the </w:t>
      </w:r>
      <w:r w:rsidR="00A01C2A" w:rsidRPr="004E0468">
        <w:t>UK, Vietnam, Turkey, Denmark, Italy, India, South Korea, Indonesia, Germany, Russia</w:t>
      </w:r>
      <w:r w:rsidR="00C5063B" w:rsidRPr="004E0468">
        <w:t>, Malawi</w:t>
      </w:r>
      <w:r w:rsidR="00A01C2A" w:rsidRPr="004E0468">
        <w:t xml:space="preserve"> and France. </w:t>
      </w:r>
    </w:p>
    <w:p w14:paraId="48F35800" w14:textId="4A5CFACC" w:rsidR="00437A13" w:rsidRPr="004E0468" w:rsidRDefault="0077596D" w:rsidP="00F40F6E">
      <w:pPr>
        <w:jc w:val="both"/>
      </w:pPr>
      <w:r w:rsidRPr="004E0468">
        <w:t xml:space="preserve">     </w:t>
      </w:r>
      <w:r w:rsidR="006425F4" w:rsidRPr="004E0468">
        <w:t xml:space="preserve">The second part of the survey included questions </w:t>
      </w:r>
      <w:r w:rsidR="00C3653E" w:rsidRPr="004E0468">
        <w:t>aim</w:t>
      </w:r>
      <w:r w:rsidR="008035D9" w:rsidRPr="004E0468">
        <w:t>ed</w:t>
      </w:r>
      <w:r w:rsidR="006425F4" w:rsidRPr="004E0468">
        <w:t xml:space="preserve"> at investigating the current organisational practice</w:t>
      </w:r>
      <w:r w:rsidR="00437A13" w:rsidRPr="004E0468">
        <w:t>s and barriers encounter</w:t>
      </w:r>
      <w:r w:rsidR="008035D9" w:rsidRPr="004E0468">
        <w:t>ed</w:t>
      </w:r>
      <w:r w:rsidR="00437A13" w:rsidRPr="004E0468">
        <w:t xml:space="preserve">. </w:t>
      </w:r>
      <w:r w:rsidR="00B9450E" w:rsidRPr="004E0468">
        <w:t xml:space="preserve">This part was further sub-divided into </w:t>
      </w:r>
      <w:r w:rsidR="00776758" w:rsidRPr="004E0468">
        <w:t>six</w:t>
      </w:r>
      <w:r w:rsidR="00B9450E" w:rsidRPr="004E0468">
        <w:t xml:space="preserve"> parts; </w:t>
      </w:r>
      <w:proofErr w:type="spellStart"/>
      <w:r w:rsidR="00776758" w:rsidRPr="004E0468">
        <w:t>i</w:t>
      </w:r>
      <w:proofErr w:type="spellEnd"/>
      <w:r w:rsidR="00776758" w:rsidRPr="004E0468">
        <w:t xml:space="preserve">) </w:t>
      </w:r>
      <w:r w:rsidR="00B9450E" w:rsidRPr="004E0468">
        <w:t>resources and energy utilization efficiency;</w:t>
      </w:r>
      <w:r w:rsidR="00776758" w:rsidRPr="004E0468">
        <w:t xml:space="preserve"> ii)</w:t>
      </w:r>
      <w:r w:rsidR="00B9450E" w:rsidRPr="004E0468">
        <w:t xml:space="preserve"> investment recovery; </w:t>
      </w:r>
      <w:r w:rsidR="00776758" w:rsidRPr="004E0468">
        <w:t xml:space="preserve">iii) </w:t>
      </w:r>
      <w:r w:rsidR="00B9450E" w:rsidRPr="004E0468">
        <w:t xml:space="preserve">eco-design; </w:t>
      </w:r>
      <w:proofErr w:type="gramStart"/>
      <w:r w:rsidR="00776758" w:rsidRPr="004E0468">
        <w:t xml:space="preserve">iv) </w:t>
      </w:r>
      <w:r w:rsidR="00B9450E" w:rsidRPr="004E0468">
        <w:t>green</w:t>
      </w:r>
      <w:proofErr w:type="gramEnd"/>
      <w:r w:rsidR="00B9450E" w:rsidRPr="004E0468">
        <w:t xml:space="preserve"> purchasing; </w:t>
      </w:r>
      <w:r w:rsidR="00776758" w:rsidRPr="004E0468">
        <w:t xml:space="preserve">v) </w:t>
      </w:r>
      <w:r w:rsidR="00B9450E" w:rsidRPr="004E0468">
        <w:t xml:space="preserve">customer cooperation; and </w:t>
      </w:r>
      <w:r w:rsidR="00776758" w:rsidRPr="004E0468">
        <w:t xml:space="preserve">vi) </w:t>
      </w:r>
      <w:r w:rsidR="00B9450E" w:rsidRPr="004E0468">
        <w:t xml:space="preserve">internal environmental management. </w:t>
      </w:r>
      <w:r w:rsidR="00437A13" w:rsidRPr="004E0468">
        <w:t xml:space="preserve">The results for the practices are summarised in Table </w:t>
      </w:r>
      <w:r w:rsidR="001A006F" w:rsidRPr="004E0468">
        <w:t>5</w:t>
      </w:r>
      <w:r w:rsidR="00437A13" w:rsidRPr="004E0468">
        <w:t xml:space="preserve"> while the results for the barr</w:t>
      </w:r>
      <w:r w:rsidR="001A006F" w:rsidRPr="004E0468">
        <w:t>iers are summarised in Table 6</w:t>
      </w:r>
      <w:r w:rsidR="00437A13" w:rsidRPr="004E0468">
        <w:t>.</w:t>
      </w:r>
    </w:p>
    <w:p w14:paraId="57A809BC" w14:textId="77777777" w:rsidR="009F6496" w:rsidRPr="004E0468" w:rsidRDefault="009F6496" w:rsidP="00F40F6E">
      <w:pPr>
        <w:jc w:val="both"/>
      </w:pPr>
    </w:p>
    <w:p w14:paraId="7603BF5D" w14:textId="77777777" w:rsidR="009F6496" w:rsidRPr="004E0468" w:rsidRDefault="009F6496" w:rsidP="00F40F6E">
      <w:pPr>
        <w:jc w:val="both"/>
        <w:sectPr w:rsidR="009F6496" w:rsidRPr="004E0468" w:rsidSect="00074B81">
          <w:pgSz w:w="11901" w:h="16840" w:code="9"/>
          <w:pgMar w:top="1418" w:right="1701" w:bottom="1418" w:left="1701" w:header="709" w:footer="709" w:gutter="0"/>
          <w:cols w:space="708"/>
          <w:docGrid w:linePitch="360"/>
        </w:sectPr>
      </w:pPr>
    </w:p>
    <w:tbl>
      <w:tblPr>
        <w:tblpPr w:leftFromText="180" w:rightFromText="180" w:tblpY="426"/>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927"/>
        <w:gridCol w:w="960"/>
        <w:gridCol w:w="960"/>
        <w:gridCol w:w="960"/>
        <w:gridCol w:w="960"/>
        <w:gridCol w:w="960"/>
      </w:tblGrid>
      <w:tr w:rsidR="005D0F8A" w:rsidRPr="004E0468" w14:paraId="076171DA" w14:textId="77777777" w:rsidTr="004C0C08">
        <w:trPr>
          <w:cantSplit/>
          <w:trHeight w:val="1134"/>
        </w:trPr>
        <w:tc>
          <w:tcPr>
            <w:tcW w:w="2547" w:type="dxa"/>
            <w:tcBorders>
              <w:top w:val="nil"/>
              <w:left w:val="nil"/>
              <w:bottom w:val="single" w:sz="4" w:space="0" w:color="auto"/>
              <w:right w:val="nil"/>
            </w:tcBorders>
            <w:shd w:val="clear" w:color="auto" w:fill="auto"/>
            <w:noWrap/>
            <w:vAlign w:val="center"/>
          </w:tcPr>
          <w:p w14:paraId="35AFE9B2" w14:textId="77777777" w:rsidR="005D0F8A" w:rsidRPr="004E0468" w:rsidRDefault="005D0F8A" w:rsidP="004C0C08">
            <w:pPr>
              <w:spacing w:line="240" w:lineRule="auto"/>
              <w:jc w:val="center"/>
              <w:rPr>
                <w:rFonts w:ascii="Calibri" w:hAnsi="Calibri"/>
                <w:sz w:val="16"/>
                <w:szCs w:val="16"/>
              </w:rPr>
            </w:pPr>
          </w:p>
        </w:tc>
        <w:tc>
          <w:tcPr>
            <w:tcW w:w="6927" w:type="dxa"/>
            <w:tcBorders>
              <w:top w:val="nil"/>
              <w:left w:val="nil"/>
              <w:bottom w:val="single" w:sz="4" w:space="0" w:color="auto"/>
              <w:right w:val="single" w:sz="4" w:space="0" w:color="auto"/>
            </w:tcBorders>
            <w:shd w:val="clear" w:color="auto" w:fill="auto"/>
            <w:noWrap/>
            <w:vAlign w:val="center"/>
          </w:tcPr>
          <w:p w14:paraId="38A51912" w14:textId="77777777" w:rsidR="005D0F8A" w:rsidRPr="004E0468" w:rsidRDefault="005D0F8A" w:rsidP="004C0C08">
            <w:pPr>
              <w:spacing w:line="240" w:lineRule="auto"/>
              <w:rPr>
                <w:rFonts w:ascii="Calibri" w:hAnsi="Calibri"/>
                <w:color w:val="000000"/>
                <w:sz w:val="16"/>
                <w:szCs w:val="16"/>
              </w:rPr>
            </w:pPr>
          </w:p>
        </w:tc>
        <w:tc>
          <w:tcPr>
            <w:tcW w:w="960" w:type="dxa"/>
            <w:tcBorders>
              <w:left w:val="single" w:sz="4" w:space="0" w:color="auto"/>
            </w:tcBorders>
            <w:shd w:val="clear" w:color="auto" w:fill="FFFFFF" w:themeFill="background1"/>
            <w:noWrap/>
            <w:textDirection w:val="btLr"/>
            <w:vAlign w:val="center"/>
          </w:tcPr>
          <w:p w14:paraId="30BFA55A" w14:textId="77777777" w:rsidR="005D0F8A" w:rsidRPr="004E0468" w:rsidRDefault="005D0F8A" w:rsidP="004C0C08">
            <w:pPr>
              <w:spacing w:line="240" w:lineRule="auto"/>
              <w:ind w:left="113" w:right="113"/>
              <w:jc w:val="center"/>
              <w:rPr>
                <w:rFonts w:ascii="Calibri" w:hAnsi="Calibri"/>
                <w:sz w:val="16"/>
                <w:szCs w:val="16"/>
              </w:rPr>
            </w:pPr>
            <w:r w:rsidRPr="004E0468">
              <w:rPr>
                <w:rFonts w:ascii="Calibri" w:hAnsi="Calibri"/>
                <w:sz w:val="16"/>
                <w:szCs w:val="16"/>
              </w:rPr>
              <w:t>Not considering it</w:t>
            </w:r>
          </w:p>
        </w:tc>
        <w:tc>
          <w:tcPr>
            <w:tcW w:w="960" w:type="dxa"/>
            <w:shd w:val="clear" w:color="auto" w:fill="FFFFFF" w:themeFill="background1"/>
            <w:noWrap/>
            <w:textDirection w:val="btLr"/>
            <w:vAlign w:val="center"/>
          </w:tcPr>
          <w:p w14:paraId="4337310E" w14:textId="77777777" w:rsidR="005D0F8A" w:rsidRPr="004E0468" w:rsidRDefault="005D0F8A" w:rsidP="004C0C08">
            <w:pPr>
              <w:spacing w:line="240" w:lineRule="auto"/>
              <w:ind w:left="113" w:right="113"/>
              <w:jc w:val="center"/>
              <w:rPr>
                <w:rFonts w:ascii="Calibri" w:hAnsi="Calibri"/>
                <w:sz w:val="16"/>
                <w:szCs w:val="16"/>
              </w:rPr>
            </w:pPr>
            <w:r w:rsidRPr="004E0468">
              <w:rPr>
                <w:rFonts w:ascii="Calibri" w:hAnsi="Calibri"/>
                <w:sz w:val="16"/>
                <w:szCs w:val="16"/>
              </w:rPr>
              <w:t>Planning to consider it</w:t>
            </w:r>
          </w:p>
        </w:tc>
        <w:tc>
          <w:tcPr>
            <w:tcW w:w="960" w:type="dxa"/>
            <w:shd w:val="clear" w:color="auto" w:fill="FFFFFF" w:themeFill="background1"/>
            <w:noWrap/>
            <w:textDirection w:val="btLr"/>
            <w:vAlign w:val="center"/>
          </w:tcPr>
          <w:p w14:paraId="3761CB3D" w14:textId="77777777" w:rsidR="005D0F8A" w:rsidRPr="004E0468" w:rsidRDefault="005D0F8A" w:rsidP="004C0C08">
            <w:pPr>
              <w:spacing w:line="240" w:lineRule="auto"/>
              <w:ind w:left="113" w:right="113"/>
              <w:jc w:val="center"/>
              <w:rPr>
                <w:rFonts w:ascii="Calibri" w:hAnsi="Calibri"/>
                <w:sz w:val="16"/>
                <w:szCs w:val="16"/>
              </w:rPr>
            </w:pPr>
            <w:r w:rsidRPr="004E0468">
              <w:rPr>
                <w:rFonts w:ascii="Calibri" w:hAnsi="Calibri"/>
                <w:sz w:val="16"/>
                <w:szCs w:val="16"/>
              </w:rPr>
              <w:t>Considering it currently</w:t>
            </w:r>
          </w:p>
        </w:tc>
        <w:tc>
          <w:tcPr>
            <w:tcW w:w="960" w:type="dxa"/>
            <w:shd w:val="clear" w:color="auto" w:fill="FFFFFF" w:themeFill="background1"/>
            <w:noWrap/>
            <w:textDirection w:val="btLr"/>
            <w:vAlign w:val="center"/>
          </w:tcPr>
          <w:p w14:paraId="3DBEC53E" w14:textId="77777777" w:rsidR="005D0F8A" w:rsidRPr="004E0468" w:rsidRDefault="005D0F8A" w:rsidP="004C0C08">
            <w:pPr>
              <w:spacing w:line="240" w:lineRule="auto"/>
              <w:ind w:left="113" w:right="113"/>
              <w:jc w:val="center"/>
              <w:rPr>
                <w:rFonts w:ascii="Calibri" w:hAnsi="Calibri"/>
                <w:sz w:val="16"/>
                <w:szCs w:val="16"/>
              </w:rPr>
            </w:pPr>
            <w:r w:rsidRPr="004E0468">
              <w:rPr>
                <w:rFonts w:ascii="Calibri" w:hAnsi="Calibri"/>
                <w:sz w:val="16"/>
                <w:szCs w:val="16"/>
              </w:rPr>
              <w:t>Initiating implementation</w:t>
            </w:r>
          </w:p>
        </w:tc>
        <w:tc>
          <w:tcPr>
            <w:tcW w:w="960" w:type="dxa"/>
            <w:shd w:val="clear" w:color="auto" w:fill="FFFFFF" w:themeFill="background1"/>
            <w:noWrap/>
            <w:textDirection w:val="btLr"/>
            <w:vAlign w:val="center"/>
          </w:tcPr>
          <w:p w14:paraId="5AA1AC72" w14:textId="77777777" w:rsidR="005D0F8A" w:rsidRPr="004E0468" w:rsidRDefault="005D0F8A" w:rsidP="004C0C08">
            <w:pPr>
              <w:spacing w:line="240" w:lineRule="auto"/>
              <w:ind w:left="113" w:right="113"/>
              <w:jc w:val="center"/>
              <w:rPr>
                <w:rFonts w:ascii="Calibri" w:hAnsi="Calibri"/>
                <w:sz w:val="16"/>
                <w:szCs w:val="16"/>
              </w:rPr>
            </w:pPr>
            <w:r w:rsidRPr="004E0468">
              <w:rPr>
                <w:rFonts w:ascii="Calibri" w:hAnsi="Calibri"/>
                <w:sz w:val="16"/>
                <w:szCs w:val="16"/>
              </w:rPr>
              <w:t>Implementing successfully</w:t>
            </w:r>
          </w:p>
        </w:tc>
      </w:tr>
      <w:tr w:rsidR="005D0F8A" w:rsidRPr="004E0468" w14:paraId="4D560E83" w14:textId="77777777" w:rsidTr="004C0C08">
        <w:trPr>
          <w:trHeight w:val="20"/>
        </w:trPr>
        <w:tc>
          <w:tcPr>
            <w:tcW w:w="2547" w:type="dxa"/>
            <w:vMerge w:val="restart"/>
            <w:tcBorders>
              <w:top w:val="single" w:sz="4" w:space="0" w:color="auto"/>
            </w:tcBorders>
            <w:shd w:val="clear" w:color="auto" w:fill="auto"/>
            <w:noWrap/>
            <w:vAlign w:val="center"/>
            <w:hideMark/>
          </w:tcPr>
          <w:p w14:paraId="405962E8" w14:textId="77777777" w:rsidR="005D0F8A" w:rsidRPr="004E0468" w:rsidRDefault="005D0F8A" w:rsidP="004C0C08">
            <w:pPr>
              <w:spacing w:line="240" w:lineRule="auto"/>
              <w:jc w:val="center"/>
              <w:rPr>
                <w:rFonts w:ascii="Calibri" w:hAnsi="Calibri"/>
                <w:sz w:val="16"/>
                <w:szCs w:val="16"/>
              </w:rPr>
            </w:pPr>
            <w:r w:rsidRPr="004E0468">
              <w:rPr>
                <w:rFonts w:ascii="Calibri" w:hAnsi="Calibri"/>
                <w:sz w:val="16"/>
                <w:szCs w:val="16"/>
              </w:rPr>
              <w:t>Resource and Energy Utilisation Efficiency </w:t>
            </w:r>
          </w:p>
        </w:tc>
        <w:tc>
          <w:tcPr>
            <w:tcW w:w="6927" w:type="dxa"/>
            <w:tcBorders>
              <w:top w:val="single" w:sz="4" w:space="0" w:color="auto"/>
            </w:tcBorders>
            <w:shd w:val="clear" w:color="auto" w:fill="auto"/>
            <w:noWrap/>
            <w:vAlign w:val="center"/>
            <w:hideMark/>
          </w:tcPr>
          <w:p w14:paraId="4034264A"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Reducing energy</w:t>
            </w:r>
          </w:p>
        </w:tc>
        <w:tc>
          <w:tcPr>
            <w:tcW w:w="960" w:type="dxa"/>
            <w:shd w:val="clear" w:color="000000" w:fill="FFFFFF"/>
            <w:noWrap/>
            <w:vAlign w:val="center"/>
          </w:tcPr>
          <w:p w14:paraId="2BADADB7"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40EE0E3C"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07A4FBF3" w14:textId="77777777" w:rsidR="005D0F8A" w:rsidRPr="004E0468" w:rsidRDefault="005D0F8A" w:rsidP="004C0C08">
            <w:pPr>
              <w:spacing w:line="240" w:lineRule="auto"/>
              <w:jc w:val="center"/>
              <w:rPr>
                <w:rFonts w:ascii="Calibri" w:hAnsi="Calibri"/>
                <w:sz w:val="16"/>
                <w:szCs w:val="16"/>
              </w:rPr>
            </w:pPr>
          </w:p>
        </w:tc>
        <w:tc>
          <w:tcPr>
            <w:tcW w:w="960" w:type="dxa"/>
            <w:shd w:val="clear" w:color="auto" w:fill="BFBFBF" w:themeFill="background1" w:themeFillShade="BF"/>
            <w:noWrap/>
            <w:vAlign w:val="center"/>
          </w:tcPr>
          <w:p w14:paraId="5F625F2F" w14:textId="77777777" w:rsidR="005D0F8A" w:rsidRPr="004E0468" w:rsidRDefault="005D0F8A" w:rsidP="004C0C08">
            <w:pPr>
              <w:spacing w:line="240" w:lineRule="auto"/>
              <w:jc w:val="center"/>
              <w:rPr>
                <w:rFonts w:ascii="Calibri" w:hAnsi="Calibri"/>
                <w:sz w:val="16"/>
                <w:szCs w:val="16"/>
              </w:rPr>
            </w:pPr>
          </w:p>
        </w:tc>
        <w:tc>
          <w:tcPr>
            <w:tcW w:w="960" w:type="dxa"/>
            <w:shd w:val="clear" w:color="auto" w:fill="BFBFBF" w:themeFill="background1" w:themeFillShade="BF"/>
            <w:noWrap/>
            <w:vAlign w:val="center"/>
          </w:tcPr>
          <w:p w14:paraId="5BEA79F8" w14:textId="77777777" w:rsidR="005D0F8A" w:rsidRPr="004E0468" w:rsidRDefault="005D0F8A" w:rsidP="004C0C08">
            <w:pPr>
              <w:spacing w:line="240" w:lineRule="auto"/>
              <w:jc w:val="center"/>
              <w:rPr>
                <w:rFonts w:ascii="Calibri" w:hAnsi="Calibri"/>
                <w:sz w:val="16"/>
                <w:szCs w:val="16"/>
              </w:rPr>
            </w:pPr>
          </w:p>
        </w:tc>
      </w:tr>
      <w:tr w:rsidR="005D0F8A" w:rsidRPr="004E0468" w14:paraId="4EC69AC8" w14:textId="77777777" w:rsidTr="004C0C08">
        <w:trPr>
          <w:trHeight w:val="20"/>
        </w:trPr>
        <w:tc>
          <w:tcPr>
            <w:tcW w:w="2547" w:type="dxa"/>
            <w:vMerge/>
            <w:shd w:val="clear" w:color="auto" w:fill="auto"/>
            <w:noWrap/>
            <w:vAlign w:val="center"/>
            <w:hideMark/>
          </w:tcPr>
          <w:p w14:paraId="7977953F"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7BA59409"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Reducing material consumption</w:t>
            </w:r>
          </w:p>
        </w:tc>
        <w:tc>
          <w:tcPr>
            <w:tcW w:w="960" w:type="dxa"/>
            <w:shd w:val="clear" w:color="000000" w:fill="FFFFFF"/>
            <w:noWrap/>
            <w:vAlign w:val="center"/>
          </w:tcPr>
          <w:p w14:paraId="1A2D0ABE"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4D01DD09"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5B897D15" w14:textId="77777777" w:rsidR="005D0F8A" w:rsidRPr="004E0468" w:rsidRDefault="005D0F8A" w:rsidP="004C0C08">
            <w:pPr>
              <w:spacing w:line="240" w:lineRule="auto"/>
              <w:jc w:val="center"/>
              <w:rPr>
                <w:rFonts w:ascii="Calibri" w:hAnsi="Calibri"/>
                <w:sz w:val="16"/>
                <w:szCs w:val="16"/>
              </w:rPr>
            </w:pPr>
          </w:p>
        </w:tc>
        <w:tc>
          <w:tcPr>
            <w:tcW w:w="960" w:type="dxa"/>
            <w:shd w:val="clear" w:color="auto" w:fill="BFBFBF" w:themeFill="background1" w:themeFillShade="BF"/>
            <w:noWrap/>
            <w:vAlign w:val="center"/>
          </w:tcPr>
          <w:p w14:paraId="44906E2A" w14:textId="77777777" w:rsidR="005D0F8A" w:rsidRPr="004E0468" w:rsidRDefault="005D0F8A" w:rsidP="004C0C08">
            <w:pPr>
              <w:spacing w:line="240" w:lineRule="auto"/>
              <w:jc w:val="center"/>
              <w:rPr>
                <w:rFonts w:ascii="Calibri" w:hAnsi="Calibri"/>
                <w:sz w:val="16"/>
                <w:szCs w:val="16"/>
              </w:rPr>
            </w:pPr>
          </w:p>
        </w:tc>
        <w:tc>
          <w:tcPr>
            <w:tcW w:w="960" w:type="dxa"/>
            <w:shd w:val="clear" w:color="auto" w:fill="BFBFBF" w:themeFill="background1" w:themeFillShade="BF"/>
            <w:noWrap/>
            <w:vAlign w:val="center"/>
          </w:tcPr>
          <w:p w14:paraId="73DF0B6F" w14:textId="77777777" w:rsidR="005D0F8A" w:rsidRPr="004E0468" w:rsidRDefault="005D0F8A" w:rsidP="004C0C08">
            <w:pPr>
              <w:spacing w:line="240" w:lineRule="auto"/>
              <w:jc w:val="center"/>
              <w:rPr>
                <w:rFonts w:ascii="Calibri" w:hAnsi="Calibri"/>
                <w:sz w:val="16"/>
                <w:szCs w:val="16"/>
              </w:rPr>
            </w:pPr>
          </w:p>
        </w:tc>
      </w:tr>
      <w:tr w:rsidR="005D0F8A" w:rsidRPr="004E0468" w14:paraId="4C962572" w14:textId="77777777" w:rsidTr="004C0C08">
        <w:trPr>
          <w:trHeight w:val="20"/>
        </w:trPr>
        <w:tc>
          <w:tcPr>
            <w:tcW w:w="2547" w:type="dxa"/>
            <w:vMerge/>
            <w:shd w:val="clear" w:color="auto" w:fill="auto"/>
            <w:noWrap/>
            <w:vAlign w:val="center"/>
            <w:hideMark/>
          </w:tcPr>
          <w:p w14:paraId="342CD56E"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3704B095"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Reducing pollutant emissions</w:t>
            </w:r>
          </w:p>
        </w:tc>
        <w:tc>
          <w:tcPr>
            <w:tcW w:w="960" w:type="dxa"/>
            <w:shd w:val="clear" w:color="auto" w:fill="BFBFBF" w:themeFill="background1" w:themeFillShade="BF"/>
            <w:noWrap/>
            <w:vAlign w:val="center"/>
          </w:tcPr>
          <w:p w14:paraId="49F712E1"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269C17E8"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4D4DF4C6"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42B4336F" w14:textId="77777777" w:rsidR="005D0F8A" w:rsidRPr="004E0468" w:rsidRDefault="005D0F8A" w:rsidP="004C0C08">
            <w:pPr>
              <w:spacing w:line="240" w:lineRule="auto"/>
              <w:jc w:val="center"/>
              <w:rPr>
                <w:rFonts w:ascii="Calibri" w:hAnsi="Calibri"/>
                <w:sz w:val="16"/>
                <w:szCs w:val="16"/>
              </w:rPr>
            </w:pPr>
          </w:p>
        </w:tc>
        <w:tc>
          <w:tcPr>
            <w:tcW w:w="960" w:type="dxa"/>
            <w:shd w:val="clear" w:color="auto" w:fill="BFBFBF" w:themeFill="background1" w:themeFillShade="BF"/>
            <w:noWrap/>
            <w:vAlign w:val="center"/>
          </w:tcPr>
          <w:p w14:paraId="16260B8F" w14:textId="77777777" w:rsidR="005D0F8A" w:rsidRPr="004E0468" w:rsidRDefault="005D0F8A" w:rsidP="004C0C08">
            <w:pPr>
              <w:spacing w:line="240" w:lineRule="auto"/>
              <w:jc w:val="center"/>
              <w:rPr>
                <w:rFonts w:ascii="Calibri" w:hAnsi="Calibri"/>
                <w:sz w:val="16"/>
                <w:szCs w:val="16"/>
              </w:rPr>
            </w:pPr>
          </w:p>
        </w:tc>
      </w:tr>
      <w:tr w:rsidR="005D0F8A" w:rsidRPr="004E0468" w14:paraId="23A71CCD" w14:textId="77777777" w:rsidTr="004C0C08">
        <w:trPr>
          <w:trHeight w:val="20"/>
        </w:trPr>
        <w:tc>
          <w:tcPr>
            <w:tcW w:w="2547" w:type="dxa"/>
            <w:vMerge/>
            <w:shd w:val="clear" w:color="auto" w:fill="auto"/>
            <w:noWrap/>
            <w:vAlign w:val="center"/>
            <w:hideMark/>
          </w:tcPr>
          <w:p w14:paraId="37275E9B" w14:textId="77777777" w:rsidR="005D0F8A" w:rsidRPr="004E0468" w:rsidRDefault="005D0F8A" w:rsidP="004C0C08">
            <w:pPr>
              <w:spacing w:line="240" w:lineRule="auto"/>
              <w:rPr>
                <w:rFonts w:ascii="Calibri" w:hAnsi="Calibri"/>
                <w:sz w:val="16"/>
                <w:szCs w:val="16"/>
              </w:rPr>
            </w:pPr>
          </w:p>
        </w:tc>
        <w:tc>
          <w:tcPr>
            <w:tcW w:w="6927" w:type="dxa"/>
            <w:shd w:val="clear" w:color="auto" w:fill="auto"/>
            <w:noWrap/>
            <w:vAlign w:val="center"/>
            <w:hideMark/>
          </w:tcPr>
          <w:p w14:paraId="7C653220"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Reducing wastes</w:t>
            </w:r>
          </w:p>
        </w:tc>
        <w:tc>
          <w:tcPr>
            <w:tcW w:w="960" w:type="dxa"/>
            <w:shd w:val="clear" w:color="000000" w:fill="FFFFFF"/>
            <w:noWrap/>
            <w:vAlign w:val="center"/>
          </w:tcPr>
          <w:p w14:paraId="51410350"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4629007C"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2E046885"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7A2A7720" w14:textId="77777777" w:rsidR="005D0F8A" w:rsidRPr="004E0468" w:rsidRDefault="005D0F8A" w:rsidP="004C0C08">
            <w:pPr>
              <w:spacing w:line="240" w:lineRule="auto"/>
              <w:jc w:val="center"/>
              <w:rPr>
                <w:rFonts w:ascii="Calibri" w:hAnsi="Calibri"/>
                <w:sz w:val="16"/>
                <w:szCs w:val="16"/>
              </w:rPr>
            </w:pPr>
          </w:p>
        </w:tc>
        <w:tc>
          <w:tcPr>
            <w:tcW w:w="960" w:type="dxa"/>
            <w:shd w:val="clear" w:color="auto" w:fill="BFBFBF" w:themeFill="background1" w:themeFillShade="BF"/>
            <w:noWrap/>
            <w:vAlign w:val="center"/>
          </w:tcPr>
          <w:p w14:paraId="4A290B66" w14:textId="77777777" w:rsidR="005D0F8A" w:rsidRPr="004E0468" w:rsidRDefault="005D0F8A" w:rsidP="004C0C08">
            <w:pPr>
              <w:spacing w:line="240" w:lineRule="auto"/>
              <w:jc w:val="center"/>
              <w:rPr>
                <w:rFonts w:ascii="Calibri" w:hAnsi="Calibri"/>
                <w:sz w:val="16"/>
                <w:szCs w:val="16"/>
              </w:rPr>
            </w:pPr>
          </w:p>
        </w:tc>
      </w:tr>
      <w:tr w:rsidR="005D0F8A" w:rsidRPr="004E0468" w14:paraId="69B04330" w14:textId="77777777" w:rsidTr="004C0C08">
        <w:trPr>
          <w:trHeight w:val="20"/>
        </w:trPr>
        <w:tc>
          <w:tcPr>
            <w:tcW w:w="2547" w:type="dxa"/>
            <w:vMerge w:val="restart"/>
            <w:shd w:val="clear" w:color="auto" w:fill="auto"/>
            <w:noWrap/>
            <w:vAlign w:val="center"/>
            <w:hideMark/>
          </w:tcPr>
          <w:p w14:paraId="5D08A8A8" w14:textId="77777777" w:rsidR="005D0F8A" w:rsidRPr="004E0468" w:rsidRDefault="005D0F8A" w:rsidP="004C0C08">
            <w:pPr>
              <w:spacing w:line="240" w:lineRule="auto"/>
              <w:jc w:val="center"/>
              <w:rPr>
                <w:rFonts w:ascii="Calibri" w:hAnsi="Calibri"/>
                <w:sz w:val="16"/>
                <w:szCs w:val="16"/>
              </w:rPr>
            </w:pPr>
            <w:r w:rsidRPr="004E0468">
              <w:rPr>
                <w:rFonts w:ascii="Calibri" w:hAnsi="Calibri"/>
                <w:sz w:val="16"/>
                <w:szCs w:val="16"/>
              </w:rPr>
              <w:t>Investment Recovery </w:t>
            </w:r>
          </w:p>
        </w:tc>
        <w:tc>
          <w:tcPr>
            <w:tcW w:w="6927" w:type="dxa"/>
            <w:shd w:val="clear" w:color="auto" w:fill="auto"/>
            <w:noWrap/>
            <w:vAlign w:val="center"/>
            <w:hideMark/>
          </w:tcPr>
          <w:p w14:paraId="303B1A1C"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Taking back products from consumers after the end of their functional life</w:t>
            </w:r>
          </w:p>
        </w:tc>
        <w:tc>
          <w:tcPr>
            <w:tcW w:w="960" w:type="dxa"/>
            <w:shd w:val="clear" w:color="auto" w:fill="000000" w:themeFill="text1"/>
            <w:noWrap/>
            <w:vAlign w:val="center"/>
          </w:tcPr>
          <w:p w14:paraId="66657F48" w14:textId="77777777" w:rsidR="005D0F8A" w:rsidRPr="004E0468" w:rsidRDefault="005D0F8A" w:rsidP="004C0C08">
            <w:pPr>
              <w:spacing w:line="240" w:lineRule="auto"/>
              <w:jc w:val="center"/>
              <w:rPr>
                <w:rFonts w:ascii="Calibri" w:hAnsi="Calibri"/>
                <w:color w:val="808080"/>
                <w:sz w:val="16"/>
                <w:szCs w:val="16"/>
              </w:rPr>
            </w:pPr>
          </w:p>
        </w:tc>
        <w:tc>
          <w:tcPr>
            <w:tcW w:w="960" w:type="dxa"/>
            <w:shd w:val="clear" w:color="000000" w:fill="FFFFFF"/>
            <w:noWrap/>
            <w:vAlign w:val="center"/>
          </w:tcPr>
          <w:p w14:paraId="5ED0E890"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0F76BC60"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59255D1B"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0971B16C" w14:textId="77777777" w:rsidR="005D0F8A" w:rsidRPr="004E0468" w:rsidRDefault="005D0F8A" w:rsidP="004C0C08">
            <w:pPr>
              <w:spacing w:line="240" w:lineRule="auto"/>
              <w:jc w:val="center"/>
              <w:rPr>
                <w:rFonts w:ascii="Calibri" w:hAnsi="Calibri"/>
                <w:color w:val="FFFFFF"/>
                <w:sz w:val="16"/>
                <w:szCs w:val="16"/>
              </w:rPr>
            </w:pPr>
          </w:p>
        </w:tc>
      </w:tr>
      <w:tr w:rsidR="005D0F8A" w:rsidRPr="004E0468" w14:paraId="6CB9B951" w14:textId="77777777" w:rsidTr="004C0C08">
        <w:trPr>
          <w:trHeight w:val="20"/>
        </w:trPr>
        <w:tc>
          <w:tcPr>
            <w:tcW w:w="2547" w:type="dxa"/>
            <w:vMerge/>
            <w:shd w:val="clear" w:color="auto" w:fill="auto"/>
            <w:noWrap/>
            <w:vAlign w:val="center"/>
            <w:hideMark/>
          </w:tcPr>
          <w:p w14:paraId="2A0E892A"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0AB0EC59"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Taking back products from consumers after the end of their usage</w:t>
            </w:r>
          </w:p>
        </w:tc>
        <w:tc>
          <w:tcPr>
            <w:tcW w:w="960" w:type="dxa"/>
            <w:shd w:val="clear" w:color="auto" w:fill="000000" w:themeFill="text1"/>
            <w:noWrap/>
            <w:vAlign w:val="center"/>
          </w:tcPr>
          <w:p w14:paraId="4067CEE0" w14:textId="77777777" w:rsidR="005D0F8A" w:rsidRPr="004E0468" w:rsidRDefault="005D0F8A" w:rsidP="004C0C08">
            <w:pPr>
              <w:spacing w:line="240" w:lineRule="auto"/>
              <w:jc w:val="center"/>
              <w:rPr>
                <w:rFonts w:ascii="Calibri" w:hAnsi="Calibri"/>
                <w:color w:val="808080"/>
                <w:sz w:val="16"/>
                <w:szCs w:val="16"/>
              </w:rPr>
            </w:pPr>
          </w:p>
        </w:tc>
        <w:tc>
          <w:tcPr>
            <w:tcW w:w="960" w:type="dxa"/>
            <w:shd w:val="clear" w:color="000000" w:fill="FFFFFF"/>
            <w:noWrap/>
            <w:vAlign w:val="center"/>
          </w:tcPr>
          <w:p w14:paraId="69783838"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4411BC2C"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776CB92D"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2108E158" w14:textId="77777777" w:rsidR="005D0F8A" w:rsidRPr="004E0468" w:rsidRDefault="005D0F8A" w:rsidP="004C0C08">
            <w:pPr>
              <w:spacing w:line="240" w:lineRule="auto"/>
              <w:jc w:val="center"/>
              <w:rPr>
                <w:rFonts w:ascii="Calibri" w:hAnsi="Calibri"/>
                <w:color w:val="FFFFFF"/>
                <w:sz w:val="16"/>
                <w:szCs w:val="16"/>
              </w:rPr>
            </w:pPr>
          </w:p>
        </w:tc>
      </w:tr>
      <w:tr w:rsidR="005D0F8A" w:rsidRPr="004E0468" w14:paraId="1C44E100" w14:textId="77777777" w:rsidTr="004C0C08">
        <w:trPr>
          <w:trHeight w:val="20"/>
        </w:trPr>
        <w:tc>
          <w:tcPr>
            <w:tcW w:w="2547" w:type="dxa"/>
            <w:vMerge/>
            <w:shd w:val="clear" w:color="auto" w:fill="auto"/>
            <w:noWrap/>
            <w:vAlign w:val="center"/>
            <w:hideMark/>
          </w:tcPr>
          <w:p w14:paraId="2C075C27"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31670415"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Remanufacturing products</w:t>
            </w:r>
          </w:p>
        </w:tc>
        <w:tc>
          <w:tcPr>
            <w:tcW w:w="960" w:type="dxa"/>
            <w:shd w:val="clear" w:color="auto" w:fill="404040" w:themeFill="text1" w:themeFillTint="BF"/>
            <w:noWrap/>
            <w:vAlign w:val="center"/>
          </w:tcPr>
          <w:p w14:paraId="58147125" w14:textId="77777777" w:rsidR="005D0F8A" w:rsidRPr="004E0468" w:rsidRDefault="005D0F8A" w:rsidP="004C0C08">
            <w:pPr>
              <w:spacing w:line="240" w:lineRule="auto"/>
              <w:jc w:val="center"/>
              <w:rPr>
                <w:rFonts w:ascii="Calibri" w:hAnsi="Calibri"/>
                <w:color w:val="000000"/>
                <w:sz w:val="16"/>
                <w:szCs w:val="16"/>
              </w:rPr>
            </w:pPr>
          </w:p>
        </w:tc>
        <w:tc>
          <w:tcPr>
            <w:tcW w:w="960" w:type="dxa"/>
            <w:shd w:val="clear" w:color="000000" w:fill="FFFFFF"/>
            <w:noWrap/>
            <w:vAlign w:val="center"/>
          </w:tcPr>
          <w:p w14:paraId="23457847"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3B23FB7C"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6E7386A8"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6101C73A" w14:textId="77777777" w:rsidR="005D0F8A" w:rsidRPr="004E0468" w:rsidRDefault="005D0F8A" w:rsidP="004C0C08">
            <w:pPr>
              <w:spacing w:line="240" w:lineRule="auto"/>
              <w:jc w:val="center"/>
              <w:rPr>
                <w:rFonts w:ascii="Calibri" w:hAnsi="Calibri"/>
                <w:color w:val="FFFFFF"/>
                <w:sz w:val="16"/>
                <w:szCs w:val="16"/>
              </w:rPr>
            </w:pPr>
          </w:p>
        </w:tc>
      </w:tr>
      <w:tr w:rsidR="005D0F8A" w:rsidRPr="004E0468" w14:paraId="748A9DE8" w14:textId="77777777" w:rsidTr="004C0C08">
        <w:trPr>
          <w:trHeight w:val="20"/>
        </w:trPr>
        <w:tc>
          <w:tcPr>
            <w:tcW w:w="2547" w:type="dxa"/>
            <w:vMerge/>
            <w:shd w:val="clear" w:color="auto" w:fill="auto"/>
            <w:noWrap/>
            <w:vAlign w:val="center"/>
            <w:hideMark/>
          </w:tcPr>
          <w:p w14:paraId="19788A2E"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4059BDA2"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Recycling materials</w:t>
            </w:r>
          </w:p>
        </w:tc>
        <w:tc>
          <w:tcPr>
            <w:tcW w:w="960" w:type="dxa"/>
            <w:shd w:val="clear" w:color="auto" w:fill="BFBFBF" w:themeFill="background1" w:themeFillShade="BF"/>
            <w:noWrap/>
            <w:vAlign w:val="center"/>
          </w:tcPr>
          <w:p w14:paraId="4DCCCF29"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45343388"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7EA9C7DD"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526552DC"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14289937" w14:textId="77777777" w:rsidR="005D0F8A" w:rsidRPr="004E0468" w:rsidRDefault="005D0F8A" w:rsidP="004C0C08">
            <w:pPr>
              <w:spacing w:line="240" w:lineRule="auto"/>
              <w:jc w:val="center"/>
              <w:rPr>
                <w:rFonts w:ascii="Calibri" w:hAnsi="Calibri"/>
                <w:sz w:val="16"/>
                <w:szCs w:val="16"/>
              </w:rPr>
            </w:pPr>
          </w:p>
        </w:tc>
      </w:tr>
      <w:tr w:rsidR="005D0F8A" w:rsidRPr="004E0468" w14:paraId="48F2C2E2" w14:textId="77777777" w:rsidTr="004C0C08">
        <w:trPr>
          <w:trHeight w:val="20"/>
        </w:trPr>
        <w:tc>
          <w:tcPr>
            <w:tcW w:w="2547" w:type="dxa"/>
            <w:vMerge/>
            <w:shd w:val="clear" w:color="auto" w:fill="auto"/>
            <w:noWrap/>
            <w:vAlign w:val="center"/>
            <w:hideMark/>
          </w:tcPr>
          <w:p w14:paraId="04D8BFB3"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0A3EF798"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Refurbishing products</w:t>
            </w:r>
          </w:p>
        </w:tc>
        <w:tc>
          <w:tcPr>
            <w:tcW w:w="960" w:type="dxa"/>
            <w:shd w:val="clear" w:color="auto" w:fill="BFBFBF" w:themeFill="background1" w:themeFillShade="BF"/>
            <w:noWrap/>
            <w:vAlign w:val="center"/>
          </w:tcPr>
          <w:p w14:paraId="2CAD3339"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0B92E39B"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1D32793E"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34620163"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2EDBFFD8" w14:textId="77777777" w:rsidR="005D0F8A" w:rsidRPr="004E0468" w:rsidRDefault="005D0F8A" w:rsidP="004C0C08">
            <w:pPr>
              <w:spacing w:line="240" w:lineRule="auto"/>
              <w:jc w:val="center"/>
              <w:rPr>
                <w:rFonts w:ascii="Calibri" w:hAnsi="Calibri"/>
                <w:sz w:val="16"/>
                <w:szCs w:val="16"/>
              </w:rPr>
            </w:pPr>
          </w:p>
        </w:tc>
      </w:tr>
      <w:tr w:rsidR="005D0F8A" w:rsidRPr="004E0468" w14:paraId="00FBB705" w14:textId="77777777" w:rsidTr="004C0C08">
        <w:trPr>
          <w:trHeight w:val="20"/>
        </w:trPr>
        <w:tc>
          <w:tcPr>
            <w:tcW w:w="2547" w:type="dxa"/>
            <w:vMerge/>
            <w:shd w:val="clear" w:color="auto" w:fill="auto"/>
            <w:noWrap/>
            <w:vAlign w:val="center"/>
            <w:hideMark/>
          </w:tcPr>
          <w:p w14:paraId="242B2189"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25B2388C"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Reusing energy and/or water across the value chain</w:t>
            </w:r>
          </w:p>
        </w:tc>
        <w:tc>
          <w:tcPr>
            <w:tcW w:w="960" w:type="dxa"/>
            <w:shd w:val="clear" w:color="auto" w:fill="BFBFBF" w:themeFill="background1" w:themeFillShade="BF"/>
            <w:noWrap/>
            <w:vAlign w:val="center"/>
          </w:tcPr>
          <w:p w14:paraId="41301A0B"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6D63E0E6"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2BB7CDA5"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4558F09B"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001356F5" w14:textId="77777777" w:rsidR="005D0F8A" w:rsidRPr="004E0468" w:rsidRDefault="005D0F8A" w:rsidP="004C0C08">
            <w:pPr>
              <w:spacing w:line="240" w:lineRule="auto"/>
              <w:jc w:val="center"/>
              <w:rPr>
                <w:rFonts w:ascii="Calibri" w:hAnsi="Calibri"/>
                <w:color w:val="FFFFFF"/>
                <w:sz w:val="16"/>
                <w:szCs w:val="16"/>
              </w:rPr>
            </w:pPr>
          </w:p>
        </w:tc>
      </w:tr>
      <w:tr w:rsidR="005D0F8A" w:rsidRPr="004E0468" w14:paraId="1E0CE1FC" w14:textId="77777777" w:rsidTr="004C0C08">
        <w:trPr>
          <w:trHeight w:val="20"/>
        </w:trPr>
        <w:tc>
          <w:tcPr>
            <w:tcW w:w="2547" w:type="dxa"/>
            <w:vMerge/>
            <w:shd w:val="clear" w:color="auto" w:fill="auto"/>
            <w:noWrap/>
            <w:vAlign w:val="center"/>
            <w:hideMark/>
          </w:tcPr>
          <w:p w14:paraId="53A8EF44"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12EFF0E5"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Cascading use of components and materials</w:t>
            </w:r>
          </w:p>
        </w:tc>
        <w:tc>
          <w:tcPr>
            <w:tcW w:w="960" w:type="dxa"/>
            <w:shd w:val="clear" w:color="auto" w:fill="BFBFBF" w:themeFill="background1" w:themeFillShade="BF"/>
            <w:noWrap/>
            <w:vAlign w:val="center"/>
          </w:tcPr>
          <w:p w14:paraId="19F945C1" w14:textId="77777777" w:rsidR="005D0F8A" w:rsidRPr="004E0468" w:rsidRDefault="005D0F8A" w:rsidP="004C0C08">
            <w:pPr>
              <w:spacing w:line="240" w:lineRule="auto"/>
              <w:jc w:val="center"/>
              <w:rPr>
                <w:rFonts w:ascii="Calibri" w:hAnsi="Calibri"/>
                <w:sz w:val="16"/>
                <w:szCs w:val="16"/>
              </w:rPr>
            </w:pPr>
          </w:p>
        </w:tc>
        <w:tc>
          <w:tcPr>
            <w:tcW w:w="960" w:type="dxa"/>
            <w:shd w:val="clear" w:color="auto" w:fill="BFBFBF" w:themeFill="background1" w:themeFillShade="BF"/>
            <w:noWrap/>
            <w:vAlign w:val="center"/>
          </w:tcPr>
          <w:p w14:paraId="0AF5B84F"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0FAC7536"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6619492B"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7318EB6E" w14:textId="77777777" w:rsidR="005D0F8A" w:rsidRPr="004E0468" w:rsidRDefault="005D0F8A" w:rsidP="004C0C08">
            <w:pPr>
              <w:spacing w:line="240" w:lineRule="auto"/>
              <w:jc w:val="center"/>
              <w:rPr>
                <w:rFonts w:ascii="Calibri" w:hAnsi="Calibri"/>
                <w:color w:val="FFFFFF"/>
                <w:sz w:val="16"/>
                <w:szCs w:val="16"/>
              </w:rPr>
            </w:pPr>
          </w:p>
        </w:tc>
      </w:tr>
      <w:tr w:rsidR="005D0F8A" w:rsidRPr="004E0468" w14:paraId="244F70AF" w14:textId="77777777" w:rsidTr="004C0C08">
        <w:trPr>
          <w:trHeight w:val="20"/>
        </w:trPr>
        <w:tc>
          <w:tcPr>
            <w:tcW w:w="2547" w:type="dxa"/>
            <w:vMerge w:val="restart"/>
            <w:shd w:val="clear" w:color="auto" w:fill="auto"/>
            <w:noWrap/>
            <w:vAlign w:val="center"/>
            <w:hideMark/>
          </w:tcPr>
          <w:p w14:paraId="6F464029" w14:textId="77777777" w:rsidR="005D0F8A" w:rsidRPr="004E0468" w:rsidRDefault="005D0F8A" w:rsidP="004C0C08">
            <w:pPr>
              <w:spacing w:line="240" w:lineRule="auto"/>
              <w:jc w:val="center"/>
              <w:rPr>
                <w:rFonts w:ascii="Calibri" w:hAnsi="Calibri"/>
                <w:sz w:val="16"/>
                <w:szCs w:val="16"/>
              </w:rPr>
            </w:pPr>
            <w:r w:rsidRPr="004E0468">
              <w:rPr>
                <w:rFonts w:ascii="Calibri" w:hAnsi="Calibri"/>
                <w:sz w:val="16"/>
                <w:szCs w:val="16"/>
              </w:rPr>
              <w:t>Eco-design </w:t>
            </w:r>
          </w:p>
        </w:tc>
        <w:tc>
          <w:tcPr>
            <w:tcW w:w="6927" w:type="dxa"/>
            <w:shd w:val="clear" w:color="auto" w:fill="auto"/>
            <w:noWrap/>
            <w:vAlign w:val="center"/>
            <w:hideMark/>
          </w:tcPr>
          <w:p w14:paraId="751846E6"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Designing products for reduced consumption of material/energy</w:t>
            </w:r>
          </w:p>
        </w:tc>
        <w:tc>
          <w:tcPr>
            <w:tcW w:w="960" w:type="dxa"/>
            <w:shd w:val="clear" w:color="auto" w:fill="BFBFBF" w:themeFill="background1" w:themeFillShade="BF"/>
            <w:noWrap/>
            <w:vAlign w:val="center"/>
          </w:tcPr>
          <w:p w14:paraId="3F64D5DF"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1A6DB0A5"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7D1E5B3E"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109F474C"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497EE622" w14:textId="77777777" w:rsidR="005D0F8A" w:rsidRPr="004E0468" w:rsidRDefault="005D0F8A" w:rsidP="004C0C08">
            <w:pPr>
              <w:spacing w:line="240" w:lineRule="auto"/>
              <w:jc w:val="center"/>
              <w:rPr>
                <w:rFonts w:ascii="Calibri" w:hAnsi="Calibri"/>
                <w:sz w:val="16"/>
                <w:szCs w:val="16"/>
              </w:rPr>
            </w:pPr>
          </w:p>
        </w:tc>
      </w:tr>
      <w:tr w:rsidR="005D0F8A" w:rsidRPr="004E0468" w14:paraId="2F0C12AA" w14:textId="77777777" w:rsidTr="004C0C08">
        <w:trPr>
          <w:trHeight w:val="20"/>
        </w:trPr>
        <w:tc>
          <w:tcPr>
            <w:tcW w:w="2547" w:type="dxa"/>
            <w:vMerge/>
            <w:shd w:val="clear" w:color="auto" w:fill="auto"/>
            <w:noWrap/>
            <w:vAlign w:val="center"/>
            <w:hideMark/>
          </w:tcPr>
          <w:p w14:paraId="16A2A43F"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7883C0FA"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Designing products for reuse, recycle and/or recovery of material/component</w:t>
            </w:r>
          </w:p>
        </w:tc>
        <w:tc>
          <w:tcPr>
            <w:tcW w:w="960" w:type="dxa"/>
            <w:shd w:val="clear" w:color="auto" w:fill="BFBFBF" w:themeFill="background1" w:themeFillShade="BF"/>
            <w:noWrap/>
            <w:vAlign w:val="center"/>
          </w:tcPr>
          <w:p w14:paraId="718F2A95"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1C618866"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64BA64AE"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5DB546D1"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0E6AB771" w14:textId="77777777" w:rsidR="005D0F8A" w:rsidRPr="004E0468" w:rsidRDefault="005D0F8A" w:rsidP="004C0C08">
            <w:pPr>
              <w:spacing w:line="240" w:lineRule="auto"/>
              <w:jc w:val="center"/>
              <w:rPr>
                <w:rFonts w:ascii="Calibri" w:hAnsi="Calibri"/>
                <w:color w:val="FFFFFF"/>
                <w:sz w:val="16"/>
                <w:szCs w:val="16"/>
              </w:rPr>
            </w:pPr>
          </w:p>
        </w:tc>
      </w:tr>
      <w:tr w:rsidR="005D0F8A" w:rsidRPr="004E0468" w14:paraId="1484ED03" w14:textId="77777777" w:rsidTr="004C0C08">
        <w:trPr>
          <w:trHeight w:val="20"/>
        </w:trPr>
        <w:tc>
          <w:tcPr>
            <w:tcW w:w="2547" w:type="dxa"/>
            <w:vMerge/>
            <w:shd w:val="clear" w:color="auto" w:fill="auto"/>
            <w:noWrap/>
            <w:vAlign w:val="center"/>
            <w:hideMark/>
          </w:tcPr>
          <w:p w14:paraId="7D34C877"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6CFB6CB9"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Designing process for minimisation of waste</w:t>
            </w:r>
          </w:p>
        </w:tc>
        <w:tc>
          <w:tcPr>
            <w:tcW w:w="960" w:type="dxa"/>
            <w:shd w:val="clear" w:color="auto" w:fill="BFBFBF" w:themeFill="background1" w:themeFillShade="BF"/>
            <w:noWrap/>
            <w:vAlign w:val="center"/>
          </w:tcPr>
          <w:p w14:paraId="0486D9D7"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445FBE7C"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281B696C"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3EA82DED"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54F6A0D5" w14:textId="77777777" w:rsidR="005D0F8A" w:rsidRPr="004E0468" w:rsidRDefault="005D0F8A" w:rsidP="004C0C08">
            <w:pPr>
              <w:spacing w:line="240" w:lineRule="auto"/>
              <w:jc w:val="center"/>
              <w:rPr>
                <w:rFonts w:ascii="Calibri" w:hAnsi="Calibri"/>
                <w:sz w:val="16"/>
                <w:szCs w:val="16"/>
              </w:rPr>
            </w:pPr>
          </w:p>
        </w:tc>
      </w:tr>
      <w:tr w:rsidR="005D0F8A" w:rsidRPr="004E0468" w14:paraId="5887D7D2" w14:textId="77777777" w:rsidTr="004C0C08">
        <w:trPr>
          <w:trHeight w:val="20"/>
        </w:trPr>
        <w:tc>
          <w:tcPr>
            <w:tcW w:w="2547" w:type="dxa"/>
            <w:vMerge w:val="restart"/>
            <w:shd w:val="clear" w:color="auto" w:fill="auto"/>
            <w:noWrap/>
            <w:vAlign w:val="center"/>
            <w:hideMark/>
          </w:tcPr>
          <w:p w14:paraId="4A855991" w14:textId="77777777" w:rsidR="005D0F8A" w:rsidRPr="004E0468" w:rsidRDefault="005D0F8A" w:rsidP="004C0C08">
            <w:pPr>
              <w:spacing w:line="240" w:lineRule="auto"/>
              <w:jc w:val="center"/>
              <w:rPr>
                <w:rFonts w:ascii="Calibri" w:hAnsi="Calibri"/>
                <w:sz w:val="16"/>
                <w:szCs w:val="16"/>
              </w:rPr>
            </w:pPr>
            <w:r w:rsidRPr="004E0468">
              <w:rPr>
                <w:rFonts w:ascii="Calibri" w:hAnsi="Calibri"/>
                <w:sz w:val="16"/>
                <w:szCs w:val="16"/>
              </w:rPr>
              <w:t>Green Purchasing</w:t>
            </w:r>
          </w:p>
        </w:tc>
        <w:tc>
          <w:tcPr>
            <w:tcW w:w="6927" w:type="dxa"/>
            <w:shd w:val="clear" w:color="auto" w:fill="auto"/>
            <w:noWrap/>
            <w:vAlign w:val="center"/>
            <w:hideMark/>
          </w:tcPr>
          <w:p w14:paraId="78C9E278"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Selecting suppliers using environmental criteria</w:t>
            </w:r>
          </w:p>
        </w:tc>
        <w:tc>
          <w:tcPr>
            <w:tcW w:w="960" w:type="dxa"/>
            <w:shd w:val="clear" w:color="auto" w:fill="BFBFBF" w:themeFill="background1" w:themeFillShade="BF"/>
            <w:noWrap/>
            <w:vAlign w:val="center"/>
          </w:tcPr>
          <w:p w14:paraId="74020AC7"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0D6477CC"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62547831"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5D93DAA6"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0C37ECE5" w14:textId="77777777" w:rsidR="005D0F8A" w:rsidRPr="004E0468" w:rsidRDefault="005D0F8A" w:rsidP="004C0C08">
            <w:pPr>
              <w:spacing w:line="240" w:lineRule="auto"/>
              <w:jc w:val="center"/>
              <w:rPr>
                <w:rFonts w:ascii="Calibri" w:hAnsi="Calibri"/>
                <w:color w:val="FFFFFF"/>
                <w:sz w:val="16"/>
                <w:szCs w:val="16"/>
              </w:rPr>
            </w:pPr>
          </w:p>
        </w:tc>
      </w:tr>
      <w:tr w:rsidR="005D0F8A" w:rsidRPr="004E0468" w14:paraId="2CD60163" w14:textId="77777777" w:rsidTr="004C0C08">
        <w:trPr>
          <w:trHeight w:val="20"/>
        </w:trPr>
        <w:tc>
          <w:tcPr>
            <w:tcW w:w="2547" w:type="dxa"/>
            <w:vMerge/>
            <w:vAlign w:val="center"/>
            <w:hideMark/>
          </w:tcPr>
          <w:p w14:paraId="6E6F69D4" w14:textId="77777777" w:rsidR="005D0F8A" w:rsidRPr="004E0468" w:rsidRDefault="005D0F8A" w:rsidP="004C0C08">
            <w:pPr>
              <w:spacing w:line="240" w:lineRule="auto"/>
              <w:rPr>
                <w:rFonts w:ascii="Calibri" w:hAnsi="Calibri"/>
                <w:sz w:val="16"/>
                <w:szCs w:val="16"/>
              </w:rPr>
            </w:pPr>
          </w:p>
        </w:tc>
        <w:tc>
          <w:tcPr>
            <w:tcW w:w="6927" w:type="dxa"/>
            <w:shd w:val="clear" w:color="auto" w:fill="auto"/>
            <w:noWrap/>
            <w:vAlign w:val="center"/>
            <w:hideMark/>
          </w:tcPr>
          <w:p w14:paraId="433BE25A"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Using renewable energy/material in the production process</w:t>
            </w:r>
          </w:p>
        </w:tc>
        <w:tc>
          <w:tcPr>
            <w:tcW w:w="960" w:type="dxa"/>
            <w:shd w:val="clear" w:color="auto" w:fill="BFBFBF" w:themeFill="background1" w:themeFillShade="BF"/>
            <w:noWrap/>
            <w:vAlign w:val="center"/>
          </w:tcPr>
          <w:p w14:paraId="6B676598"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78B15C52"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472FA967"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0A82B8C0"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53F6598B" w14:textId="77777777" w:rsidR="005D0F8A" w:rsidRPr="004E0468" w:rsidRDefault="005D0F8A" w:rsidP="004C0C08">
            <w:pPr>
              <w:spacing w:line="240" w:lineRule="auto"/>
              <w:jc w:val="center"/>
              <w:rPr>
                <w:rFonts w:ascii="Calibri" w:hAnsi="Calibri"/>
                <w:color w:val="FFFFFF"/>
                <w:sz w:val="16"/>
                <w:szCs w:val="16"/>
              </w:rPr>
            </w:pPr>
          </w:p>
        </w:tc>
      </w:tr>
      <w:tr w:rsidR="005D0F8A" w:rsidRPr="004E0468" w14:paraId="416E4504" w14:textId="77777777" w:rsidTr="004C0C08">
        <w:trPr>
          <w:trHeight w:val="20"/>
        </w:trPr>
        <w:tc>
          <w:tcPr>
            <w:tcW w:w="2547" w:type="dxa"/>
            <w:vMerge/>
            <w:vAlign w:val="center"/>
            <w:hideMark/>
          </w:tcPr>
          <w:p w14:paraId="29000F47" w14:textId="77777777" w:rsidR="005D0F8A" w:rsidRPr="004E0468" w:rsidRDefault="005D0F8A" w:rsidP="004C0C08">
            <w:pPr>
              <w:spacing w:line="240" w:lineRule="auto"/>
              <w:rPr>
                <w:rFonts w:ascii="Calibri" w:hAnsi="Calibri"/>
                <w:sz w:val="16"/>
                <w:szCs w:val="16"/>
              </w:rPr>
            </w:pPr>
          </w:p>
        </w:tc>
        <w:tc>
          <w:tcPr>
            <w:tcW w:w="6927" w:type="dxa"/>
            <w:shd w:val="clear" w:color="auto" w:fill="auto"/>
            <w:noWrap/>
            <w:vAlign w:val="center"/>
            <w:hideMark/>
          </w:tcPr>
          <w:p w14:paraId="0256E83E"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Cooperating with other firms to establish eco-industrial chains</w:t>
            </w:r>
          </w:p>
        </w:tc>
        <w:tc>
          <w:tcPr>
            <w:tcW w:w="960" w:type="dxa"/>
            <w:shd w:val="clear" w:color="auto" w:fill="404040" w:themeFill="text1" w:themeFillTint="BF"/>
            <w:noWrap/>
            <w:vAlign w:val="center"/>
          </w:tcPr>
          <w:p w14:paraId="5B185702" w14:textId="77777777" w:rsidR="005D0F8A" w:rsidRPr="004E0468" w:rsidRDefault="005D0F8A" w:rsidP="004C0C08">
            <w:pPr>
              <w:spacing w:line="240" w:lineRule="auto"/>
              <w:jc w:val="center"/>
              <w:rPr>
                <w:rFonts w:ascii="Calibri" w:hAnsi="Calibri"/>
                <w:color w:val="000000"/>
                <w:sz w:val="16"/>
                <w:szCs w:val="16"/>
              </w:rPr>
            </w:pPr>
          </w:p>
        </w:tc>
        <w:tc>
          <w:tcPr>
            <w:tcW w:w="960" w:type="dxa"/>
            <w:shd w:val="clear" w:color="000000" w:fill="FFFFFF"/>
            <w:noWrap/>
            <w:vAlign w:val="center"/>
          </w:tcPr>
          <w:p w14:paraId="4FCEC251"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4A017F0F"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36742FED"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225F69E5" w14:textId="77777777" w:rsidR="005D0F8A" w:rsidRPr="004E0468" w:rsidRDefault="005D0F8A" w:rsidP="004C0C08">
            <w:pPr>
              <w:spacing w:line="240" w:lineRule="auto"/>
              <w:jc w:val="center"/>
              <w:rPr>
                <w:rFonts w:ascii="Calibri" w:hAnsi="Calibri"/>
                <w:color w:val="FFFFFF"/>
                <w:sz w:val="16"/>
                <w:szCs w:val="16"/>
              </w:rPr>
            </w:pPr>
          </w:p>
        </w:tc>
      </w:tr>
      <w:tr w:rsidR="005D0F8A" w:rsidRPr="004E0468" w14:paraId="7561E53F" w14:textId="77777777" w:rsidTr="004C0C08">
        <w:trPr>
          <w:trHeight w:val="20"/>
        </w:trPr>
        <w:tc>
          <w:tcPr>
            <w:tcW w:w="2547" w:type="dxa"/>
            <w:vMerge w:val="restart"/>
            <w:shd w:val="clear" w:color="auto" w:fill="auto"/>
            <w:noWrap/>
            <w:vAlign w:val="center"/>
            <w:hideMark/>
          </w:tcPr>
          <w:p w14:paraId="3E5A8797" w14:textId="77777777" w:rsidR="005D0F8A" w:rsidRPr="004E0468" w:rsidRDefault="005D0F8A" w:rsidP="004C0C08">
            <w:pPr>
              <w:spacing w:line="240" w:lineRule="auto"/>
              <w:jc w:val="center"/>
              <w:rPr>
                <w:rFonts w:ascii="Calibri" w:hAnsi="Calibri"/>
                <w:sz w:val="16"/>
                <w:szCs w:val="16"/>
              </w:rPr>
            </w:pPr>
            <w:r w:rsidRPr="004E0468">
              <w:rPr>
                <w:rFonts w:ascii="Calibri" w:hAnsi="Calibri"/>
                <w:sz w:val="16"/>
                <w:szCs w:val="16"/>
              </w:rPr>
              <w:t>Customer Cooperation</w:t>
            </w:r>
          </w:p>
        </w:tc>
        <w:tc>
          <w:tcPr>
            <w:tcW w:w="6927" w:type="dxa"/>
            <w:shd w:val="clear" w:color="auto" w:fill="auto"/>
            <w:noWrap/>
            <w:vAlign w:val="center"/>
            <w:hideMark/>
          </w:tcPr>
          <w:p w14:paraId="32107D3B"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Adopting a leasing or service-based marketing strategy</w:t>
            </w:r>
          </w:p>
        </w:tc>
        <w:tc>
          <w:tcPr>
            <w:tcW w:w="960" w:type="dxa"/>
            <w:shd w:val="clear" w:color="auto" w:fill="404040" w:themeFill="text1" w:themeFillTint="BF"/>
            <w:noWrap/>
            <w:vAlign w:val="center"/>
          </w:tcPr>
          <w:p w14:paraId="3DA0FDF3" w14:textId="77777777" w:rsidR="005D0F8A" w:rsidRPr="004E0468" w:rsidRDefault="005D0F8A" w:rsidP="004C0C08">
            <w:pPr>
              <w:spacing w:line="240" w:lineRule="auto"/>
              <w:jc w:val="center"/>
              <w:rPr>
                <w:rFonts w:ascii="Calibri" w:hAnsi="Calibri"/>
                <w:color w:val="000000"/>
                <w:sz w:val="16"/>
                <w:szCs w:val="16"/>
              </w:rPr>
            </w:pPr>
          </w:p>
        </w:tc>
        <w:tc>
          <w:tcPr>
            <w:tcW w:w="960" w:type="dxa"/>
            <w:shd w:val="clear" w:color="000000" w:fill="FFFFFF"/>
            <w:noWrap/>
            <w:vAlign w:val="center"/>
          </w:tcPr>
          <w:p w14:paraId="643B31FC"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4DF9812A"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77DD0252"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74AEEA5D" w14:textId="77777777" w:rsidR="005D0F8A" w:rsidRPr="004E0468" w:rsidRDefault="005D0F8A" w:rsidP="004C0C08">
            <w:pPr>
              <w:spacing w:line="240" w:lineRule="auto"/>
              <w:jc w:val="center"/>
              <w:rPr>
                <w:rFonts w:ascii="Calibri" w:hAnsi="Calibri"/>
                <w:sz w:val="16"/>
                <w:szCs w:val="16"/>
              </w:rPr>
            </w:pPr>
          </w:p>
        </w:tc>
      </w:tr>
      <w:tr w:rsidR="005D0F8A" w:rsidRPr="004E0468" w14:paraId="413A3FFC" w14:textId="77777777" w:rsidTr="004C0C08">
        <w:trPr>
          <w:trHeight w:val="20"/>
        </w:trPr>
        <w:tc>
          <w:tcPr>
            <w:tcW w:w="2547" w:type="dxa"/>
            <w:vMerge/>
            <w:vAlign w:val="center"/>
            <w:hideMark/>
          </w:tcPr>
          <w:p w14:paraId="47A49EA4" w14:textId="77777777" w:rsidR="005D0F8A" w:rsidRPr="004E0468" w:rsidRDefault="005D0F8A" w:rsidP="004C0C08">
            <w:pPr>
              <w:spacing w:line="240" w:lineRule="auto"/>
              <w:rPr>
                <w:rFonts w:ascii="Calibri" w:hAnsi="Calibri"/>
                <w:sz w:val="16"/>
                <w:szCs w:val="16"/>
              </w:rPr>
            </w:pPr>
          </w:p>
        </w:tc>
        <w:tc>
          <w:tcPr>
            <w:tcW w:w="6927" w:type="dxa"/>
            <w:shd w:val="clear" w:color="auto" w:fill="auto"/>
            <w:noWrap/>
            <w:vAlign w:val="center"/>
            <w:hideMark/>
          </w:tcPr>
          <w:p w14:paraId="1166E40E"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Targeting “green” segments of the market</w:t>
            </w:r>
          </w:p>
        </w:tc>
        <w:tc>
          <w:tcPr>
            <w:tcW w:w="960" w:type="dxa"/>
            <w:shd w:val="clear" w:color="auto" w:fill="404040" w:themeFill="text1" w:themeFillTint="BF"/>
            <w:noWrap/>
            <w:vAlign w:val="center"/>
          </w:tcPr>
          <w:p w14:paraId="3347A4D5" w14:textId="77777777" w:rsidR="005D0F8A" w:rsidRPr="004E0468" w:rsidRDefault="005D0F8A" w:rsidP="004C0C08">
            <w:pPr>
              <w:spacing w:line="240" w:lineRule="auto"/>
              <w:jc w:val="center"/>
              <w:rPr>
                <w:rFonts w:ascii="Calibri" w:hAnsi="Calibri"/>
                <w:color w:val="000000"/>
                <w:sz w:val="16"/>
                <w:szCs w:val="16"/>
              </w:rPr>
            </w:pPr>
          </w:p>
        </w:tc>
        <w:tc>
          <w:tcPr>
            <w:tcW w:w="960" w:type="dxa"/>
            <w:shd w:val="clear" w:color="000000" w:fill="FFFFFF"/>
            <w:noWrap/>
            <w:vAlign w:val="center"/>
          </w:tcPr>
          <w:p w14:paraId="5E8B5E9C"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23B981B5"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1EB1B9F9"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2338484C" w14:textId="77777777" w:rsidR="005D0F8A" w:rsidRPr="004E0468" w:rsidRDefault="005D0F8A" w:rsidP="004C0C08">
            <w:pPr>
              <w:spacing w:line="240" w:lineRule="auto"/>
              <w:jc w:val="center"/>
              <w:rPr>
                <w:rFonts w:ascii="Calibri" w:hAnsi="Calibri"/>
                <w:color w:val="FFFFFF"/>
                <w:sz w:val="16"/>
                <w:szCs w:val="16"/>
              </w:rPr>
            </w:pPr>
          </w:p>
        </w:tc>
      </w:tr>
      <w:tr w:rsidR="005D0F8A" w:rsidRPr="004E0468" w14:paraId="1E4E09D1" w14:textId="77777777" w:rsidTr="004C0C08">
        <w:trPr>
          <w:trHeight w:val="201"/>
        </w:trPr>
        <w:tc>
          <w:tcPr>
            <w:tcW w:w="2547" w:type="dxa"/>
            <w:vMerge/>
            <w:vAlign w:val="center"/>
            <w:hideMark/>
          </w:tcPr>
          <w:p w14:paraId="72B57F1C" w14:textId="77777777" w:rsidR="005D0F8A" w:rsidRPr="004E0468" w:rsidRDefault="005D0F8A" w:rsidP="004C0C08">
            <w:pPr>
              <w:spacing w:line="240" w:lineRule="auto"/>
              <w:rPr>
                <w:rFonts w:ascii="Calibri" w:hAnsi="Calibri"/>
                <w:sz w:val="16"/>
                <w:szCs w:val="16"/>
              </w:rPr>
            </w:pPr>
          </w:p>
        </w:tc>
        <w:tc>
          <w:tcPr>
            <w:tcW w:w="6927" w:type="dxa"/>
            <w:shd w:val="clear" w:color="auto" w:fill="auto"/>
            <w:noWrap/>
            <w:vAlign w:val="center"/>
            <w:hideMark/>
          </w:tcPr>
          <w:p w14:paraId="37DA49D6"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Green packaging</w:t>
            </w:r>
          </w:p>
        </w:tc>
        <w:tc>
          <w:tcPr>
            <w:tcW w:w="960" w:type="dxa"/>
            <w:shd w:val="clear" w:color="auto" w:fill="404040" w:themeFill="text1" w:themeFillTint="BF"/>
            <w:noWrap/>
            <w:vAlign w:val="center"/>
          </w:tcPr>
          <w:p w14:paraId="4C4F698A" w14:textId="77777777" w:rsidR="005D0F8A" w:rsidRPr="004E0468" w:rsidRDefault="005D0F8A" w:rsidP="004C0C08">
            <w:pPr>
              <w:spacing w:line="240" w:lineRule="auto"/>
              <w:jc w:val="center"/>
              <w:rPr>
                <w:rFonts w:ascii="Calibri" w:hAnsi="Calibri"/>
                <w:color w:val="000000"/>
                <w:sz w:val="16"/>
                <w:szCs w:val="16"/>
              </w:rPr>
            </w:pPr>
          </w:p>
        </w:tc>
        <w:tc>
          <w:tcPr>
            <w:tcW w:w="960" w:type="dxa"/>
            <w:shd w:val="clear" w:color="auto" w:fill="BFBFBF" w:themeFill="background1" w:themeFillShade="BF"/>
            <w:noWrap/>
            <w:vAlign w:val="center"/>
          </w:tcPr>
          <w:p w14:paraId="1D90A1F6"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50A21124"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74786373"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498C16A8" w14:textId="77777777" w:rsidR="005D0F8A" w:rsidRPr="004E0468" w:rsidRDefault="005D0F8A" w:rsidP="004C0C08">
            <w:pPr>
              <w:spacing w:line="240" w:lineRule="auto"/>
              <w:jc w:val="center"/>
              <w:rPr>
                <w:rFonts w:ascii="Calibri" w:hAnsi="Calibri"/>
                <w:color w:val="FFFFFF"/>
                <w:sz w:val="16"/>
                <w:szCs w:val="16"/>
              </w:rPr>
            </w:pPr>
          </w:p>
        </w:tc>
      </w:tr>
      <w:tr w:rsidR="005D0F8A" w:rsidRPr="004E0468" w14:paraId="4BB23B54" w14:textId="77777777" w:rsidTr="004C0C08">
        <w:trPr>
          <w:trHeight w:val="20"/>
        </w:trPr>
        <w:tc>
          <w:tcPr>
            <w:tcW w:w="2547" w:type="dxa"/>
            <w:vMerge w:val="restart"/>
            <w:shd w:val="clear" w:color="auto" w:fill="auto"/>
            <w:noWrap/>
            <w:vAlign w:val="center"/>
            <w:hideMark/>
          </w:tcPr>
          <w:p w14:paraId="32DB6826" w14:textId="77777777" w:rsidR="005D0F8A" w:rsidRPr="004E0468" w:rsidRDefault="005D0F8A" w:rsidP="004C0C08">
            <w:pPr>
              <w:spacing w:line="240" w:lineRule="auto"/>
              <w:jc w:val="center"/>
              <w:rPr>
                <w:rFonts w:ascii="Calibri" w:hAnsi="Calibri"/>
                <w:sz w:val="16"/>
                <w:szCs w:val="16"/>
              </w:rPr>
            </w:pPr>
            <w:r w:rsidRPr="004E0468">
              <w:rPr>
                <w:rFonts w:ascii="Calibri" w:hAnsi="Calibri"/>
                <w:sz w:val="16"/>
                <w:szCs w:val="16"/>
              </w:rPr>
              <w:t>Internal Environmental Management </w:t>
            </w:r>
          </w:p>
        </w:tc>
        <w:tc>
          <w:tcPr>
            <w:tcW w:w="6927" w:type="dxa"/>
            <w:shd w:val="clear" w:color="auto" w:fill="auto"/>
            <w:noWrap/>
            <w:vAlign w:val="center"/>
            <w:hideMark/>
          </w:tcPr>
          <w:p w14:paraId="26374FC0"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Including environmental factors in the internal performance evaluation system</w:t>
            </w:r>
          </w:p>
        </w:tc>
        <w:tc>
          <w:tcPr>
            <w:tcW w:w="960" w:type="dxa"/>
            <w:shd w:val="clear" w:color="auto" w:fill="BFBFBF" w:themeFill="background1" w:themeFillShade="BF"/>
            <w:noWrap/>
            <w:vAlign w:val="center"/>
          </w:tcPr>
          <w:p w14:paraId="32FB3957"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6AD3881C"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50197B47"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7C9B3C37"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6A61F99F" w14:textId="77777777" w:rsidR="005D0F8A" w:rsidRPr="004E0468" w:rsidRDefault="005D0F8A" w:rsidP="004C0C08">
            <w:pPr>
              <w:spacing w:line="240" w:lineRule="auto"/>
              <w:jc w:val="center"/>
              <w:rPr>
                <w:rFonts w:ascii="Calibri" w:hAnsi="Calibri"/>
                <w:sz w:val="16"/>
                <w:szCs w:val="16"/>
              </w:rPr>
            </w:pPr>
          </w:p>
        </w:tc>
      </w:tr>
      <w:tr w:rsidR="005D0F8A" w:rsidRPr="004E0468" w14:paraId="6EDB00C2" w14:textId="77777777" w:rsidTr="004C0C08">
        <w:trPr>
          <w:trHeight w:val="20"/>
        </w:trPr>
        <w:tc>
          <w:tcPr>
            <w:tcW w:w="2547" w:type="dxa"/>
            <w:vMerge/>
            <w:shd w:val="clear" w:color="auto" w:fill="auto"/>
            <w:noWrap/>
            <w:vAlign w:val="center"/>
            <w:hideMark/>
          </w:tcPr>
          <w:p w14:paraId="0F9AD4F1"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41E7E9B5"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Environmental auditing programs such as ISO 14000 certification</w:t>
            </w:r>
          </w:p>
        </w:tc>
        <w:tc>
          <w:tcPr>
            <w:tcW w:w="960" w:type="dxa"/>
            <w:shd w:val="clear" w:color="auto" w:fill="BFBFBF" w:themeFill="background1" w:themeFillShade="BF"/>
            <w:noWrap/>
            <w:vAlign w:val="center"/>
          </w:tcPr>
          <w:p w14:paraId="78FD9B85"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34442432"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352D54C7"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271A1C21"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2FB5DC8E" w14:textId="77777777" w:rsidR="005D0F8A" w:rsidRPr="004E0468" w:rsidRDefault="005D0F8A" w:rsidP="004C0C08">
            <w:pPr>
              <w:spacing w:line="240" w:lineRule="auto"/>
              <w:jc w:val="center"/>
              <w:rPr>
                <w:rFonts w:ascii="Calibri" w:hAnsi="Calibri"/>
                <w:sz w:val="16"/>
                <w:szCs w:val="16"/>
              </w:rPr>
            </w:pPr>
          </w:p>
        </w:tc>
      </w:tr>
      <w:tr w:rsidR="005D0F8A" w:rsidRPr="004E0468" w14:paraId="3CC83A4C" w14:textId="77777777" w:rsidTr="004C0C08">
        <w:trPr>
          <w:trHeight w:val="20"/>
        </w:trPr>
        <w:tc>
          <w:tcPr>
            <w:tcW w:w="2547" w:type="dxa"/>
            <w:vMerge/>
            <w:shd w:val="clear" w:color="auto" w:fill="auto"/>
            <w:noWrap/>
            <w:vAlign w:val="center"/>
            <w:hideMark/>
          </w:tcPr>
          <w:p w14:paraId="62B91620"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7192A902"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Cross-functional cooperation for environmental improvements</w:t>
            </w:r>
          </w:p>
        </w:tc>
        <w:tc>
          <w:tcPr>
            <w:tcW w:w="960" w:type="dxa"/>
            <w:shd w:val="clear" w:color="auto" w:fill="BFBFBF" w:themeFill="background1" w:themeFillShade="BF"/>
            <w:noWrap/>
            <w:vAlign w:val="center"/>
          </w:tcPr>
          <w:p w14:paraId="226A9456"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6DC95C37"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60E393ED" w14:textId="77777777" w:rsidR="005D0F8A" w:rsidRPr="004E0468" w:rsidRDefault="005D0F8A" w:rsidP="004C0C08">
            <w:pPr>
              <w:spacing w:line="240" w:lineRule="auto"/>
              <w:jc w:val="center"/>
              <w:rPr>
                <w:rFonts w:ascii="Calibri" w:hAnsi="Calibri"/>
                <w:sz w:val="16"/>
                <w:szCs w:val="16"/>
              </w:rPr>
            </w:pPr>
          </w:p>
        </w:tc>
        <w:tc>
          <w:tcPr>
            <w:tcW w:w="960" w:type="dxa"/>
            <w:shd w:val="clear" w:color="auto" w:fill="BFBFBF" w:themeFill="background1" w:themeFillShade="BF"/>
            <w:noWrap/>
            <w:vAlign w:val="center"/>
          </w:tcPr>
          <w:p w14:paraId="15AEE529"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719A053F" w14:textId="77777777" w:rsidR="005D0F8A" w:rsidRPr="004E0468" w:rsidRDefault="005D0F8A" w:rsidP="004C0C08">
            <w:pPr>
              <w:spacing w:line="240" w:lineRule="auto"/>
              <w:jc w:val="center"/>
              <w:rPr>
                <w:rFonts w:ascii="Calibri" w:hAnsi="Calibri"/>
                <w:color w:val="FFFFFF"/>
                <w:sz w:val="16"/>
                <w:szCs w:val="16"/>
              </w:rPr>
            </w:pPr>
          </w:p>
        </w:tc>
      </w:tr>
      <w:tr w:rsidR="005D0F8A" w:rsidRPr="004E0468" w14:paraId="48110ED6" w14:textId="77777777" w:rsidTr="004C0C08">
        <w:trPr>
          <w:trHeight w:val="20"/>
        </w:trPr>
        <w:tc>
          <w:tcPr>
            <w:tcW w:w="2547" w:type="dxa"/>
            <w:vMerge/>
            <w:shd w:val="clear" w:color="auto" w:fill="auto"/>
            <w:noWrap/>
            <w:vAlign w:val="center"/>
            <w:hideMark/>
          </w:tcPr>
          <w:p w14:paraId="68714B8D"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5D6C472C"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Eco-labelling of products</w:t>
            </w:r>
          </w:p>
        </w:tc>
        <w:tc>
          <w:tcPr>
            <w:tcW w:w="960" w:type="dxa"/>
            <w:shd w:val="clear" w:color="auto" w:fill="BFBFBF" w:themeFill="background1" w:themeFillShade="BF"/>
            <w:noWrap/>
            <w:vAlign w:val="center"/>
          </w:tcPr>
          <w:p w14:paraId="1DF352DB"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1ABE564E"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1301B166"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42FF5F56"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59F93271" w14:textId="77777777" w:rsidR="005D0F8A" w:rsidRPr="004E0468" w:rsidRDefault="005D0F8A" w:rsidP="004C0C08">
            <w:pPr>
              <w:spacing w:line="240" w:lineRule="auto"/>
              <w:jc w:val="center"/>
              <w:rPr>
                <w:rFonts w:ascii="Calibri" w:hAnsi="Calibri"/>
                <w:color w:val="FFFFFF"/>
                <w:sz w:val="16"/>
                <w:szCs w:val="16"/>
              </w:rPr>
            </w:pPr>
          </w:p>
        </w:tc>
      </w:tr>
      <w:tr w:rsidR="005D0F8A" w:rsidRPr="004E0468" w14:paraId="1A42B868" w14:textId="77777777" w:rsidTr="004C0C08">
        <w:trPr>
          <w:trHeight w:val="20"/>
        </w:trPr>
        <w:tc>
          <w:tcPr>
            <w:tcW w:w="2547" w:type="dxa"/>
            <w:vMerge/>
            <w:shd w:val="clear" w:color="auto" w:fill="auto"/>
            <w:noWrap/>
            <w:vAlign w:val="center"/>
            <w:hideMark/>
          </w:tcPr>
          <w:p w14:paraId="51731643" w14:textId="77777777" w:rsidR="005D0F8A" w:rsidRPr="004E0468" w:rsidRDefault="005D0F8A" w:rsidP="004C0C08">
            <w:pPr>
              <w:spacing w:line="240" w:lineRule="auto"/>
              <w:jc w:val="center"/>
              <w:rPr>
                <w:rFonts w:ascii="Calibri" w:hAnsi="Calibri"/>
                <w:sz w:val="16"/>
                <w:szCs w:val="16"/>
              </w:rPr>
            </w:pPr>
          </w:p>
        </w:tc>
        <w:tc>
          <w:tcPr>
            <w:tcW w:w="6927" w:type="dxa"/>
            <w:shd w:val="clear" w:color="auto" w:fill="auto"/>
            <w:noWrap/>
            <w:vAlign w:val="center"/>
            <w:hideMark/>
          </w:tcPr>
          <w:p w14:paraId="4729DF1B" w14:textId="77777777" w:rsidR="005D0F8A" w:rsidRPr="004E0468" w:rsidRDefault="005D0F8A" w:rsidP="004C0C08">
            <w:pPr>
              <w:spacing w:line="240" w:lineRule="auto"/>
              <w:rPr>
                <w:rFonts w:ascii="Calibri" w:hAnsi="Calibri"/>
                <w:color w:val="000000"/>
                <w:sz w:val="16"/>
                <w:szCs w:val="16"/>
              </w:rPr>
            </w:pPr>
            <w:r w:rsidRPr="004E0468">
              <w:rPr>
                <w:rFonts w:ascii="Calibri" w:hAnsi="Calibri"/>
                <w:color w:val="000000"/>
                <w:sz w:val="16"/>
                <w:szCs w:val="16"/>
              </w:rPr>
              <w:t>Special training for workers on environmental issues</w:t>
            </w:r>
          </w:p>
        </w:tc>
        <w:tc>
          <w:tcPr>
            <w:tcW w:w="960" w:type="dxa"/>
            <w:shd w:val="clear" w:color="auto" w:fill="BFBFBF" w:themeFill="background1" w:themeFillShade="BF"/>
            <w:noWrap/>
            <w:vAlign w:val="center"/>
          </w:tcPr>
          <w:p w14:paraId="2C60F5B0" w14:textId="77777777" w:rsidR="005D0F8A" w:rsidRPr="004E0468" w:rsidRDefault="005D0F8A" w:rsidP="004C0C08">
            <w:pPr>
              <w:spacing w:line="240" w:lineRule="auto"/>
              <w:jc w:val="center"/>
              <w:rPr>
                <w:rFonts w:ascii="Calibri" w:hAnsi="Calibri"/>
                <w:sz w:val="16"/>
                <w:szCs w:val="16"/>
              </w:rPr>
            </w:pPr>
          </w:p>
        </w:tc>
        <w:tc>
          <w:tcPr>
            <w:tcW w:w="960" w:type="dxa"/>
            <w:shd w:val="clear" w:color="000000" w:fill="FFFFFF"/>
            <w:noWrap/>
            <w:vAlign w:val="center"/>
          </w:tcPr>
          <w:p w14:paraId="1EBE237A"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000000" w:fill="FFFFFF"/>
            <w:noWrap/>
            <w:vAlign w:val="center"/>
          </w:tcPr>
          <w:p w14:paraId="7F63BE2E" w14:textId="77777777" w:rsidR="005D0F8A" w:rsidRPr="004E0468" w:rsidRDefault="005D0F8A" w:rsidP="004C0C08">
            <w:pPr>
              <w:spacing w:line="240" w:lineRule="auto"/>
              <w:jc w:val="center"/>
              <w:rPr>
                <w:rFonts w:ascii="Calibri" w:hAnsi="Calibri"/>
                <w:color w:val="FFFFFF"/>
                <w:sz w:val="16"/>
                <w:szCs w:val="16"/>
              </w:rPr>
            </w:pPr>
          </w:p>
        </w:tc>
        <w:tc>
          <w:tcPr>
            <w:tcW w:w="960" w:type="dxa"/>
            <w:shd w:val="clear" w:color="auto" w:fill="BFBFBF" w:themeFill="background1" w:themeFillShade="BF"/>
            <w:noWrap/>
            <w:vAlign w:val="center"/>
          </w:tcPr>
          <w:p w14:paraId="3083FA20" w14:textId="77777777" w:rsidR="005D0F8A" w:rsidRPr="004E0468" w:rsidRDefault="005D0F8A" w:rsidP="004C0C08">
            <w:pPr>
              <w:spacing w:line="240" w:lineRule="auto"/>
              <w:jc w:val="center"/>
              <w:rPr>
                <w:rFonts w:ascii="Calibri" w:hAnsi="Calibri"/>
                <w:sz w:val="16"/>
                <w:szCs w:val="16"/>
              </w:rPr>
            </w:pPr>
          </w:p>
        </w:tc>
        <w:tc>
          <w:tcPr>
            <w:tcW w:w="960" w:type="dxa"/>
            <w:shd w:val="clear" w:color="auto" w:fill="BFBFBF" w:themeFill="background1" w:themeFillShade="BF"/>
            <w:noWrap/>
            <w:vAlign w:val="center"/>
          </w:tcPr>
          <w:p w14:paraId="521F6A6D" w14:textId="77777777" w:rsidR="005D0F8A" w:rsidRPr="004E0468" w:rsidRDefault="005D0F8A" w:rsidP="004C0C08">
            <w:pPr>
              <w:spacing w:line="240" w:lineRule="auto"/>
              <w:jc w:val="center"/>
              <w:rPr>
                <w:rFonts w:ascii="Calibri" w:hAnsi="Calibri"/>
                <w:sz w:val="16"/>
                <w:szCs w:val="16"/>
              </w:rPr>
            </w:pPr>
          </w:p>
        </w:tc>
      </w:tr>
    </w:tbl>
    <w:p w14:paraId="591B823F" w14:textId="2FCE714E" w:rsidR="009F6496" w:rsidRPr="004E0468" w:rsidRDefault="001A006F" w:rsidP="009F6496">
      <w:r w:rsidRPr="004E0468">
        <w:t>Table 5</w:t>
      </w:r>
      <w:r w:rsidR="004C0C08" w:rsidRPr="004E0468">
        <w:t>. Results: Practices</w:t>
      </w:r>
    </w:p>
    <w:p w14:paraId="13847308" w14:textId="77777777" w:rsidR="004C0C08" w:rsidRPr="004E0468" w:rsidRDefault="004C0C08" w:rsidP="009F6496">
      <w:pPr>
        <w:spacing w:line="240" w:lineRule="auto"/>
      </w:pPr>
    </w:p>
    <w:tbl>
      <w:tblPr>
        <w:tblW w:w="4957" w:type="dxa"/>
        <w:tblLook w:val="04A0" w:firstRow="1" w:lastRow="0" w:firstColumn="1" w:lastColumn="0" w:noHBand="0" w:noVBand="1"/>
      </w:tblPr>
      <w:tblGrid>
        <w:gridCol w:w="960"/>
        <w:gridCol w:w="3997"/>
      </w:tblGrid>
      <w:tr w:rsidR="004C0C08" w:rsidRPr="004E0468" w14:paraId="0F93CFD1" w14:textId="77777777" w:rsidTr="00BB3FE7">
        <w:trPr>
          <w:trHeight w:val="2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34467F" w14:textId="77777777" w:rsidR="004C0C08" w:rsidRPr="004E0468" w:rsidRDefault="004C0C08" w:rsidP="00BB3FE7">
            <w:pPr>
              <w:spacing w:line="240" w:lineRule="auto"/>
              <w:rPr>
                <w:rFonts w:ascii="Calibri" w:hAnsi="Calibri"/>
                <w:color w:val="FFFFFF"/>
                <w:sz w:val="16"/>
                <w:szCs w:val="16"/>
              </w:rPr>
            </w:pPr>
            <w:r w:rsidRPr="004E0468">
              <w:rPr>
                <w:rFonts w:ascii="Calibri" w:hAnsi="Calibri"/>
                <w:color w:val="FFFFFF"/>
                <w:sz w:val="16"/>
                <w:szCs w:val="16"/>
              </w:rPr>
              <w:t> </w:t>
            </w:r>
          </w:p>
        </w:tc>
        <w:tc>
          <w:tcPr>
            <w:tcW w:w="39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811F1F" w14:textId="77777777" w:rsidR="004C0C08" w:rsidRPr="004E0468" w:rsidRDefault="004C0C08" w:rsidP="00BB3FE7">
            <w:pPr>
              <w:spacing w:line="240" w:lineRule="auto"/>
              <w:rPr>
                <w:rFonts w:ascii="Calibri" w:hAnsi="Calibri"/>
                <w:sz w:val="16"/>
                <w:szCs w:val="16"/>
              </w:rPr>
            </w:pPr>
            <w:r w:rsidRPr="004E0468">
              <w:rPr>
                <w:rFonts w:ascii="Calibri" w:hAnsi="Calibri"/>
                <w:sz w:val="16"/>
                <w:szCs w:val="16"/>
              </w:rPr>
              <w:t> Frequency &lt;20%</w:t>
            </w:r>
          </w:p>
        </w:tc>
      </w:tr>
      <w:tr w:rsidR="004C0C08" w:rsidRPr="004E0468" w14:paraId="22AFAB37" w14:textId="77777777" w:rsidTr="00BB3FE7">
        <w:trPr>
          <w:trHeight w:val="20"/>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4983974" w14:textId="77777777" w:rsidR="004C0C08" w:rsidRPr="004E0468" w:rsidRDefault="004C0C08" w:rsidP="00BB3FE7">
            <w:pPr>
              <w:spacing w:line="240" w:lineRule="auto"/>
              <w:jc w:val="center"/>
              <w:rPr>
                <w:rFonts w:ascii="Calibri" w:hAnsi="Calibri"/>
                <w:sz w:val="16"/>
                <w:szCs w:val="16"/>
              </w:rPr>
            </w:pPr>
          </w:p>
        </w:tc>
        <w:tc>
          <w:tcPr>
            <w:tcW w:w="39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E0D747" w14:textId="77777777" w:rsidR="004C0C08" w:rsidRPr="004E0468" w:rsidRDefault="004C0C08" w:rsidP="00BB3FE7">
            <w:pPr>
              <w:spacing w:line="240" w:lineRule="auto"/>
              <w:rPr>
                <w:rFonts w:ascii="Calibri" w:hAnsi="Calibri"/>
                <w:sz w:val="16"/>
                <w:szCs w:val="16"/>
              </w:rPr>
            </w:pPr>
            <w:r w:rsidRPr="004E0468">
              <w:rPr>
                <w:rFonts w:ascii="Calibri" w:hAnsi="Calibri"/>
                <w:sz w:val="16"/>
                <w:szCs w:val="16"/>
              </w:rPr>
              <w:t> 20 ≤ Frequency &lt; 40</w:t>
            </w:r>
          </w:p>
        </w:tc>
      </w:tr>
      <w:tr w:rsidR="004C0C08" w:rsidRPr="004E0468" w14:paraId="4A4D790D" w14:textId="77777777" w:rsidTr="00BB3FE7">
        <w:trPr>
          <w:trHeight w:val="20"/>
        </w:trPr>
        <w:tc>
          <w:tcPr>
            <w:tcW w:w="960"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center"/>
          </w:tcPr>
          <w:p w14:paraId="48483073" w14:textId="77777777" w:rsidR="004C0C08" w:rsidRPr="004E0468" w:rsidRDefault="004C0C08" w:rsidP="00BB3FE7">
            <w:pPr>
              <w:spacing w:line="240" w:lineRule="auto"/>
              <w:jc w:val="center"/>
              <w:rPr>
                <w:rFonts w:ascii="Calibri" w:hAnsi="Calibri"/>
                <w:color w:val="000000"/>
                <w:sz w:val="16"/>
                <w:szCs w:val="16"/>
              </w:rPr>
            </w:pPr>
          </w:p>
        </w:tc>
        <w:tc>
          <w:tcPr>
            <w:tcW w:w="39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7792F5" w14:textId="77777777" w:rsidR="004C0C08" w:rsidRPr="004E0468" w:rsidRDefault="004C0C08" w:rsidP="00BB3FE7">
            <w:pPr>
              <w:spacing w:line="240" w:lineRule="auto"/>
              <w:rPr>
                <w:rFonts w:ascii="Calibri" w:hAnsi="Calibri"/>
                <w:sz w:val="16"/>
                <w:szCs w:val="16"/>
              </w:rPr>
            </w:pPr>
            <w:r w:rsidRPr="004E0468">
              <w:rPr>
                <w:rFonts w:ascii="Calibri" w:hAnsi="Calibri"/>
                <w:sz w:val="16"/>
                <w:szCs w:val="16"/>
              </w:rPr>
              <w:t> 40 ≤ Frequency &lt; 60</w:t>
            </w:r>
          </w:p>
        </w:tc>
      </w:tr>
      <w:tr w:rsidR="004C0C08" w:rsidRPr="004E0468" w14:paraId="5B40B65F" w14:textId="77777777" w:rsidTr="00BB3FE7">
        <w:trPr>
          <w:trHeight w:val="20"/>
        </w:trPr>
        <w:tc>
          <w:tcPr>
            <w:tcW w:w="960"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1929BC78" w14:textId="77777777" w:rsidR="004C0C08" w:rsidRPr="004E0468" w:rsidRDefault="004C0C08" w:rsidP="00BB3FE7">
            <w:pPr>
              <w:spacing w:line="240" w:lineRule="auto"/>
              <w:jc w:val="center"/>
              <w:rPr>
                <w:rFonts w:ascii="Calibri" w:hAnsi="Calibri"/>
                <w:color w:val="808080"/>
                <w:sz w:val="16"/>
                <w:szCs w:val="16"/>
              </w:rPr>
            </w:pPr>
          </w:p>
        </w:tc>
        <w:tc>
          <w:tcPr>
            <w:tcW w:w="39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300BC7" w14:textId="77777777" w:rsidR="004C0C08" w:rsidRPr="004E0468" w:rsidRDefault="004C0C08" w:rsidP="00BB3FE7">
            <w:pPr>
              <w:spacing w:line="240" w:lineRule="auto"/>
              <w:rPr>
                <w:rFonts w:ascii="Calibri" w:hAnsi="Calibri"/>
                <w:sz w:val="16"/>
                <w:szCs w:val="16"/>
              </w:rPr>
            </w:pPr>
            <w:r w:rsidRPr="004E0468">
              <w:rPr>
                <w:rFonts w:ascii="Calibri" w:hAnsi="Calibri"/>
                <w:sz w:val="16"/>
                <w:szCs w:val="16"/>
              </w:rPr>
              <w:t> 60 ≤</w:t>
            </w:r>
            <w:r w:rsidRPr="004E0468">
              <w:rPr>
                <w:sz w:val="16"/>
                <w:szCs w:val="16"/>
              </w:rPr>
              <w:t xml:space="preserve"> </w:t>
            </w:r>
            <w:r w:rsidRPr="004E0468">
              <w:rPr>
                <w:rFonts w:ascii="Calibri" w:hAnsi="Calibri"/>
                <w:sz w:val="16"/>
                <w:szCs w:val="16"/>
              </w:rPr>
              <w:t xml:space="preserve">Frequency </w:t>
            </w:r>
          </w:p>
        </w:tc>
      </w:tr>
    </w:tbl>
    <w:p w14:paraId="6839F9E2" w14:textId="77777777" w:rsidR="004C0C08" w:rsidRPr="004E0468" w:rsidRDefault="004C0C08" w:rsidP="009F6496">
      <w:pPr>
        <w:spacing w:line="240" w:lineRule="auto"/>
      </w:pPr>
    </w:p>
    <w:p w14:paraId="218B96DF" w14:textId="77777777" w:rsidR="009F6496" w:rsidRPr="004E0468" w:rsidRDefault="009F6496" w:rsidP="009F6496">
      <w:pPr>
        <w:sectPr w:rsidR="009F6496" w:rsidRPr="004E0468" w:rsidSect="00205F00">
          <w:pgSz w:w="16840" w:h="11901" w:orient="landscape" w:code="9"/>
          <w:pgMar w:top="1701" w:right="1418" w:bottom="1701" w:left="1418" w:header="709" w:footer="709" w:gutter="0"/>
          <w:cols w:space="708"/>
          <w:docGrid w:linePitch="360"/>
        </w:sectPr>
      </w:pPr>
    </w:p>
    <w:p w14:paraId="2485EC44" w14:textId="7399CF7D" w:rsidR="004C0C08" w:rsidRPr="004E0468" w:rsidRDefault="001A006F" w:rsidP="004C0C08">
      <w:pPr>
        <w:spacing w:line="240" w:lineRule="auto"/>
        <w:jc w:val="center"/>
      </w:pPr>
      <w:r w:rsidRPr="004E0468">
        <w:lastRenderedPageBreak/>
        <w:t>Table 6</w:t>
      </w:r>
      <w:r w:rsidR="004C0C08" w:rsidRPr="004E0468">
        <w:t>. Results: Barriers</w:t>
      </w:r>
    </w:p>
    <w:p w14:paraId="0327AD47" w14:textId="1F7B223D" w:rsidR="009F6496" w:rsidRPr="004E0468" w:rsidRDefault="009F6496" w:rsidP="009F6496"/>
    <w:tbl>
      <w:tblPr>
        <w:tblpPr w:leftFromText="180" w:rightFromText="180" w:horzAnchor="margin" w:tblpY="690"/>
        <w:tblW w:w="5000" w:type="pct"/>
        <w:tblLayout w:type="fixed"/>
        <w:tblLook w:val="04A0" w:firstRow="1" w:lastRow="0" w:firstColumn="1" w:lastColumn="0" w:noHBand="0" w:noVBand="1"/>
      </w:tblPr>
      <w:tblGrid>
        <w:gridCol w:w="478"/>
        <w:gridCol w:w="6365"/>
        <w:gridCol w:w="1229"/>
        <w:gridCol w:w="1231"/>
        <w:gridCol w:w="1231"/>
        <w:gridCol w:w="1229"/>
        <w:gridCol w:w="1231"/>
        <w:gridCol w:w="1226"/>
      </w:tblGrid>
      <w:tr w:rsidR="005D0F8A" w:rsidRPr="004E0468" w14:paraId="571FEEBC" w14:textId="77777777" w:rsidTr="004C0C08">
        <w:trPr>
          <w:cantSplit/>
          <w:trHeight w:val="20"/>
        </w:trPr>
        <w:tc>
          <w:tcPr>
            <w:tcW w:w="168" w:type="pct"/>
            <w:tcBorders>
              <w:bottom w:val="single" w:sz="4" w:space="0" w:color="auto"/>
            </w:tcBorders>
            <w:shd w:val="clear" w:color="auto" w:fill="auto"/>
            <w:noWrap/>
            <w:vAlign w:val="bottom"/>
            <w:hideMark/>
          </w:tcPr>
          <w:p w14:paraId="27D177C2" w14:textId="77777777" w:rsidR="005D0F8A" w:rsidRPr="004E0468" w:rsidRDefault="005D0F8A" w:rsidP="005D0F8A">
            <w:pPr>
              <w:spacing w:line="240" w:lineRule="auto"/>
              <w:rPr>
                <w:sz w:val="16"/>
                <w:szCs w:val="16"/>
              </w:rPr>
            </w:pPr>
          </w:p>
        </w:tc>
        <w:tc>
          <w:tcPr>
            <w:tcW w:w="2238" w:type="pct"/>
            <w:tcBorders>
              <w:bottom w:val="single" w:sz="4" w:space="0" w:color="auto"/>
              <w:right w:val="single" w:sz="4" w:space="0" w:color="auto"/>
            </w:tcBorders>
            <w:shd w:val="clear" w:color="auto" w:fill="auto"/>
            <w:noWrap/>
            <w:vAlign w:val="bottom"/>
            <w:hideMark/>
          </w:tcPr>
          <w:p w14:paraId="29EC152F" w14:textId="77777777" w:rsidR="005D0F8A" w:rsidRPr="004E0468" w:rsidRDefault="005D0F8A" w:rsidP="005D0F8A">
            <w:pPr>
              <w:spacing w:line="240" w:lineRule="auto"/>
              <w:rPr>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57F65" w14:textId="77777777" w:rsidR="005D0F8A" w:rsidRPr="004E0468" w:rsidRDefault="005D0F8A" w:rsidP="005D0F8A">
            <w:pPr>
              <w:spacing w:line="240" w:lineRule="auto"/>
              <w:jc w:val="center"/>
              <w:rPr>
                <w:rFonts w:ascii="Calibri" w:hAnsi="Calibri"/>
                <w:sz w:val="16"/>
                <w:szCs w:val="16"/>
              </w:rPr>
            </w:pPr>
            <w:r w:rsidRPr="004E0468">
              <w:rPr>
                <w:rFonts w:ascii="Calibri" w:hAnsi="Calibri"/>
                <w:sz w:val="16"/>
                <w:szCs w:val="16"/>
              </w:rPr>
              <w:t>Res. Eff.</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14:paraId="45251EEE" w14:textId="77777777" w:rsidR="005D0F8A" w:rsidRPr="004E0468" w:rsidRDefault="005D0F8A" w:rsidP="005D0F8A">
            <w:pPr>
              <w:spacing w:line="240" w:lineRule="auto"/>
              <w:jc w:val="center"/>
              <w:rPr>
                <w:rFonts w:ascii="Calibri" w:hAnsi="Calibri"/>
                <w:sz w:val="16"/>
                <w:szCs w:val="16"/>
              </w:rPr>
            </w:pPr>
            <w:r w:rsidRPr="004E0468">
              <w:rPr>
                <w:rFonts w:ascii="Calibri" w:hAnsi="Calibri"/>
                <w:sz w:val="16"/>
                <w:szCs w:val="16"/>
              </w:rPr>
              <w:t>Inv. Rec.</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14:paraId="3C20771D" w14:textId="77777777" w:rsidR="005D0F8A" w:rsidRPr="004E0468" w:rsidRDefault="005D0F8A" w:rsidP="005D0F8A">
            <w:pPr>
              <w:spacing w:line="240" w:lineRule="auto"/>
              <w:jc w:val="center"/>
              <w:rPr>
                <w:rFonts w:ascii="Calibri" w:hAnsi="Calibri"/>
                <w:sz w:val="16"/>
                <w:szCs w:val="16"/>
              </w:rPr>
            </w:pPr>
            <w:r w:rsidRPr="004E0468">
              <w:rPr>
                <w:rFonts w:ascii="Calibri" w:hAnsi="Calibri"/>
                <w:sz w:val="16"/>
                <w:szCs w:val="16"/>
              </w:rPr>
              <w:t>Eco-d</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44866788" w14:textId="77777777" w:rsidR="005D0F8A" w:rsidRPr="004E0468" w:rsidRDefault="005D0F8A" w:rsidP="005D0F8A">
            <w:pPr>
              <w:spacing w:line="240" w:lineRule="auto"/>
              <w:jc w:val="center"/>
              <w:rPr>
                <w:rFonts w:ascii="Calibri" w:hAnsi="Calibri"/>
                <w:sz w:val="16"/>
                <w:szCs w:val="16"/>
              </w:rPr>
            </w:pPr>
            <w:r w:rsidRPr="004E0468">
              <w:rPr>
                <w:rFonts w:ascii="Calibri" w:hAnsi="Calibri"/>
                <w:sz w:val="16"/>
                <w:szCs w:val="16"/>
              </w:rPr>
              <w:t>Green Pu</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14:paraId="733E97A2" w14:textId="77777777" w:rsidR="005D0F8A" w:rsidRPr="004E0468" w:rsidRDefault="005D0F8A" w:rsidP="005D0F8A">
            <w:pPr>
              <w:spacing w:line="240" w:lineRule="auto"/>
              <w:jc w:val="center"/>
              <w:rPr>
                <w:rFonts w:ascii="Calibri" w:hAnsi="Calibri"/>
                <w:sz w:val="16"/>
                <w:szCs w:val="16"/>
              </w:rPr>
            </w:pPr>
            <w:proofErr w:type="spellStart"/>
            <w:r w:rsidRPr="004E0468">
              <w:rPr>
                <w:rFonts w:ascii="Calibri" w:hAnsi="Calibri"/>
                <w:sz w:val="16"/>
                <w:szCs w:val="16"/>
              </w:rPr>
              <w:t>Cust</w:t>
            </w:r>
            <w:proofErr w:type="spellEnd"/>
            <w:r w:rsidRPr="004E0468">
              <w:rPr>
                <w:rFonts w:ascii="Calibri" w:hAnsi="Calibri"/>
                <w:sz w:val="16"/>
                <w:szCs w:val="16"/>
              </w:rPr>
              <w:t xml:space="preserve"> Coop</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14:paraId="434C09C7" w14:textId="77777777" w:rsidR="005D0F8A" w:rsidRPr="004E0468" w:rsidRDefault="005D0F8A" w:rsidP="005D0F8A">
            <w:pPr>
              <w:spacing w:line="240" w:lineRule="auto"/>
              <w:jc w:val="center"/>
              <w:rPr>
                <w:rFonts w:ascii="Calibri" w:hAnsi="Calibri"/>
                <w:sz w:val="16"/>
                <w:szCs w:val="16"/>
              </w:rPr>
            </w:pPr>
            <w:proofErr w:type="spellStart"/>
            <w:r w:rsidRPr="004E0468">
              <w:rPr>
                <w:rFonts w:ascii="Calibri" w:hAnsi="Calibri"/>
                <w:sz w:val="16"/>
                <w:szCs w:val="16"/>
              </w:rPr>
              <w:t>Env</w:t>
            </w:r>
            <w:proofErr w:type="spellEnd"/>
            <w:r w:rsidRPr="004E0468">
              <w:rPr>
                <w:rFonts w:ascii="Calibri" w:hAnsi="Calibri"/>
                <w:sz w:val="16"/>
                <w:szCs w:val="16"/>
              </w:rPr>
              <w:t xml:space="preserve">. </w:t>
            </w:r>
            <w:proofErr w:type="spellStart"/>
            <w:r w:rsidRPr="004E0468">
              <w:rPr>
                <w:rFonts w:ascii="Calibri" w:hAnsi="Calibri"/>
                <w:sz w:val="16"/>
                <w:szCs w:val="16"/>
              </w:rPr>
              <w:t>Mgmt</w:t>
            </w:r>
            <w:proofErr w:type="spellEnd"/>
          </w:p>
        </w:tc>
      </w:tr>
      <w:tr w:rsidR="005D0F8A" w:rsidRPr="004E0468" w14:paraId="77747338" w14:textId="77777777" w:rsidTr="004C0C08">
        <w:trPr>
          <w:cantSplit/>
          <w:trHeight w:val="20"/>
        </w:trPr>
        <w:tc>
          <w:tcPr>
            <w:tcW w:w="168"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F167B29" w14:textId="77777777" w:rsidR="005D0F8A" w:rsidRPr="004E0468" w:rsidRDefault="005D0F8A" w:rsidP="005D0F8A">
            <w:pPr>
              <w:spacing w:line="240" w:lineRule="auto"/>
              <w:ind w:left="113" w:right="113"/>
              <w:rPr>
                <w:rFonts w:ascii="Calibri" w:hAnsi="Calibri"/>
                <w:color w:val="000000"/>
                <w:sz w:val="16"/>
                <w:szCs w:val="16"/>
              </w:rPr>
            </w:pPr>
            <w:r w:rsidRPr="004E0468">
              <w:rPr>
                <w:rFonts w:ascii="Calibri" w:hAnsi="Calibri"/>
                <w:color w:val="000000"/>
                <w:sz w:val="16"/>
                <w:szCs w:val="16"/>
              </w:rPr>
              <w:t>Financial</w:t>
            </w:r>
          </w:p>
        </w:tc>
        <w:tc>
          <w:tcPr>
            <w:tcW w:w="2238" w:type="pct"/>
            <w:tcBorders>
              <w:top w:val="single" w:sz="4" w:space="0" w:color="auto"/>
              <w:left w:val="nil"/>
              <w:bottom w:val="single" w:sz="4" w:space="0" w:color="auto"/>
              <w:right w:val="single" w:sz="4" w:space="0" w:color="auto"/>
            </w:tcBorders>
            <w:shd w:val="clear" w:color="000000" w:fill="FFFFFF"/>
            <w:noWrap/>
            <w:hideMark/>
          </w:tcPr>
          <w:p w14:paraId="1C7FBE12"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Major up-front investment cost</w:t>
            </w:r>
          </w:p>
        </w:tc>
        <w:tc>
          <w:tcPr>
            <w:tcW w:w="432" w:type="pct"/>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BAB7AD9" w14:textId="77777777" w:rsidR="005D0F8A" w:rsidRPr="004E0468" w:rsidRDefault="005D0F8A" w:rsidP="005D0F8A">
            <w:pPr>
              <w:spacing w:line="240" w:lineRule="auto"/>
              <w:jc w:val="right"/>
              <w:rPr>
                <w:rFonts w:ascii="Calibri" w:hAnsi="Calibri"/>
                <w:color w:val="9C0006"/>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C94CD85" w14:textId="77777777" w:rsidR="005D0F8A" w:rsidRPr="004E0468" w:rsidRDefault="005D0F8A" w:rsidP="005D0F8A">
            <w:pPr>
              <w:spacing w:line="240" w:lineRule="auto"/>
              <w:jc w:val="right"/>
              <w:rPr>
                <w:rFonts w:ascii="Calibri" w:hAnsi="Calibri"/>
                <w:color w:val="9C0006"/>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39D365D" w14:textId="77777777" w:rsidR="005D0F8A" w:rsidRPr="004E0468" w:rsidRDefault="005D0F8A" w:rsidP="005D0F8A">
            <w:pPr>
              <w:spacing w:line="240" w:lineRule="auto"/>
              <w:jc w:val="right"/>
              <w:rPr>
                <w:rFonts w:ascii="Calibri" w:hAnsi="Calibri"/>
                <w:color w:val="9C0006"/>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13B7FD4" w14:textId="77777777" w:rsidR="005D0F8A" w:rsidRPr="004E0468" w:rsidRDefault="005D0F8A" w:rsidP="005D0F8A">
            <w:pPr>
              <w:spacing w:line="240" w:lineRule="auto"/>
              <w:jc w:val="right"/>
              <w:rPr>
                <w:rFonts w:ascii="Calibri" w:hAnsi="Calibri"/>
                <w:color w:val="0061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2A3AD07" w14:textId="77777777" w:rsidR="005D0F8A" w:rsidRPr="004E0468" w:rsidRDefault="005D0F8A" w:rsidP="005D0F8A">
            <w:pPr>
              <w:spacing w:line="240" w:lineRule="auto"/>
              <w:jc w:val="right"/>
              <w:rPr>
                <w:rFonts w:ascii="Calibri" w:hAnsi="Calibri"/>
                <w:color w:val="006100"/>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31A42E" w14:textId="77777777" w:rsidR="005D0F8A" w:rsidRPr="004E0468" w:rsidRDefault="005D0F8A" w:rsidP="005D0F8A">
            <w:pPr>
              <w:spacing w:line="240" w:lineRule="auto"/>
              <w:jc w:val="right"/>
              <w:rPr>
                <w:rFonts w:ascii="Calibri" w:hAnsi="Calibri"/>
                <w:color w:val="9C6500"/>
                <w:sz w:val="16"/>
                <w:szCs w:val="16"/>
              </w:rPr>
            </w:pPr>
          </w:p>
        </w:tc>
      </w:tr>
      <w:tr w:rsidR="005D0F8A" w:rsidRPr="004E0468" w14:paraId="028CDBAA" w14:textId="77777777" w:rsidTr="004C0C08">
        <w:trPr>
          <w:cantSplit/>
          <w:trHeight w:val="20"/>
        </w:trPr>
        <w:tc>
          <w:tcPr>
            <w:tcW w:w="168" w:type="pct"/>
            <w:vMerge/>
            <w:tcBorders>
              <w:top w:val="single" w:sz="4" w:space="0" w:color="auto"/>
              <w:left w:val="single" w:sz="4" w:space="0" w:color="auto"/>
              <w:bottom w:val="single" w:sz="4" w:space="0" w:color="auto"/>
              <w:right w:val="single" w:sz="4" w:space="0" w:color="auto"/>
            </w:tcBorders>
            <w:shd w:val="clear" w:color="000000" w:fill="FFFFFF"/>
            <w:hideMark/>
          </w:tcPr>
          <w:p w14:paraId="49751B83" w14:textId="77777777" w:rsidR="005D0F8A" w:rsidRPr="004E0468" w:rsidRDefault="005D0F8A" w:rsidP="005D0F8A">
            <w:pPr>
              <w:spacing w:line="240" w:lineRule="auto"/>
              <w:rPr>
                <w:rFonts w:ascii="Calibri" w:hAnsi="Calibri"/>
                <w:color w:val="000000"/>
                <w:sz w:val="16"/>
                <w:szCs w:val="16"/>
              </w:rPr>
            </w:pPr>
          </w:p>
        </w:tc>
        <w:tc>
          <w:tcPr>
            <w:tcW w:w="2238" w:type="pct"/>
            <w:tcBorders>
              <w:top w:val="single" w:sz="4" w:space="0" w:color="auto"/>
              <w:left w:val="nil"/>
              <w:bottom w:val="single" w:sz="4" w:space="0" w:color="auto"/>
              <w:right w:val="single" w:sz="4" w:space="0" w:color="auto"/>
            </w:tcBorders>
            <w:shd w:val="clear" w:color="000000" w:fill="FFFFFF"/>
            <w:noWrap/>
            <w:hideMark/>
          </w:tcPr>
          <w:p w14:paraId="2CAD4749"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 xml:space="preserve">Environmental costs (externalities) are not taken into account   </w:t>
            </w:r>
          </w:p>
        </w:tc>
        <w:tc>
          <w:tcPr>
            <w:tcW w:w="432" w:type="pct"/>
            <w:tcBorders>
              <w:top w:val="nil"/>
              <w:left w:val="nil"/>
              <w:bottom w:val="single" w:sz="4" w:space="0" w:color="auto"/>
              <w:right w:val="single" w:sz="4" w:space="0" w:color="auto"/>
            </w:tcBorders>
            <w:shd w:val="clear" w:color="auto" w:fill="auto"/>
            <w:noWrap/>
            <w:vAlign w:val="bottom"/>
          </w:tcPr>
          <w:p w14:paraId="0E947511"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705BD3D5"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0DDA773C" w14:textId="77777777" w:rsidR="005D0F8A" w:rsidRPr="004E0468" w:rsidRDefault="005D0F8A" w:rsidP="005D0F8A">
            <w:pPr>
              <w:spacing w:line="240" w:lineRule="auto"/>
              <w:jc w:val="right"/>
              <w:rPr>
                <w:rFonts w:ascii="Calibri" w:hAnsi="Calibri"/>
                <w:color w:val="0000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111CFF02"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206FAAC6" w14:textId="77777777" w:rsidR="005D0F8A" w:rsidRPr="004E0468" w:rsidRDefault="005D0F8A" w:rsidP="005D0F8A">
            <w:pPr>
              <w:spacing w:line="240" w:lineRule="auto"/>
              <w:jc w:val="right"/>
              <w:rPr>
                <w:rFonts w:ascii="Calibri" w:hAnsi="Calibri"/>
                <w:color w:val="000000"/>
                <w:sz w:val="16"/>
                <w:szCs w:val="16"/>
              </w:rPr>
            </w:pPr>
          </w:p>
        </w:tc>
        <w:tc>
          <w:tcPr>
            <w:tcW w:w="431" w:type="pct"/>
            <w:tcBorders>
              <w:top w:val="nil"/>
              <w:left w:val="nil"/>
              <w:bottom w:val="single" w:sz="4" w:space="0" w:color="auto"/>
              <w:right w:val="single" w:sz="4" w:space="0" w:color="auto"/>
            </w:tcBorders>
            <w:shd w:val="clear" w:color="auto" w:fill="auto"/>
            <w:vAlign w:val="center"/>
          </w:tcPr>
          <w:p w14:paraId="76F7267F" w14:textId="77777777" w:rsidR="005D0F8A" w:rsidRPr="004E0468" w:rsidRDefault="005D0F8A" w:rsidP="005D0F8A">
            <w:pPr>
              <w:spacing w:line="240" w:lineRule="auto"/>
              <w:jc w:val="right"/>
              <w:rPr>
                <w:rFonts w:ascii="Calibri" w:hAnsi="Calibri"/>
                <w:color w:val="000000"/>
                <w:sz w:val="16"/>
                <w:szCs w:val="16"/>
              </w:rPr>
            </w:pPr>
          </w:p>
        </w:tc>
      </w:tr>
      <w:tr w:rsidR="005D0F8A" w:rsidRPr="004E0468" w14:paraId="72E70A2C" w14:textId="77777777" w:rsidTr="004C0C08">
        <w:trPr>
          <w:cantSplit/>
          <w:trHeight w:val="20"/>
        </w:trPr>
        <w:tc>
          <w:tcPr>
            <w:tcW w:w="168" w:type="pct"/>
            <w:vMerge/>
            <w:tcBorders>
              <w:top w:val="single" w:sz="4" w:space="0" w:color="auto"/>
              <w:left w:val="single" w:sz="4" w:space="0" w:color="auto"/>
              <w:bottom w:val="single" w:sz="4" w:space="0" w:color="auto"/>
              <w:right w:val="single" w:sz="4" w:space="0" w:color="auto"/>
            </w:tcBorders>
            <w:shd w:val="clear" w:color="000000" w:fill="FFFFFF"/>
            <w:hideMark/>
          </w:tcPr>
          <w:p w14:paraId="70D3B018" w14:textId="77777777" w:rsidR="005D0F8A" w:rsidRPr="004E0468" w:rsidRDefault="005D0F8A" w:rsidP="005D0F8A">
            <w:pPr>
              <w:spacing w:line="240" w:lineRule="auto"/>
              <w:rPr>
                <w:rFonts w:ascii="Calibri" w:hAnsi="Calibri"/>
                <w:color w:val="000000"/>
                <w:sz w:val="16"/>
                <w:szCs w:val="16"/>
              </w:rPr>
            </w:pPr>
          </w:p>
        </w:tc>
        <w:tc>
          <w:tcPr>
            <w:tcW w:w="2238" w:type="pct"/>
            <w:tcBorders>
              <w:top w:val="single" w:sz="4" w:space="0" w:color="auto"/>
              <w:left w:val="nil"/>
              <w:bottom w:val="single" w:sz="4" w:space="0" w:color="auto"/>
              <w:right w:val="single" w:sz="4" w:space="0" w:color="auto"/>
            </w:tcBorders>
            <w:shd w:val="clear" w:color="000000" w:fill="FFFFFF"/>
            <w:noWrap/>
            <w:hideMark/>
          </w:tcPr>
          <w:p w14:paraId="0417706D"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Shareholders with short-term agenda dominate corporate governance</w:t>
            </w:r>
          </w:p>
        </w:tc>
        <w:tc>
          <w:tcPr>
            <w:tcW w:w="432" w:type="pct"/>
            <w:tcBorders>
              <w:top w:val="nil"/>
              <w:left w:val="nil"/>
              <w:bottom w:val="single" w:sz="4" w:space="0" w:color="auto"/>
              <w:right w:val="single" w:sz="4" w:space="0" w:color="auto"/>
            </w:tcBorders>
            <w:shd w:val="clear" w:color="auto" w:fill="auto"/>
            <w:noWrap/>
            <w:vAlign w:val="bottom"/>
          </w:tcPr>
          <w:p w14:paraId="1240B8A0"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57F7A059"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51CF6872" w14:textId="77777777" w:rsidR="005D0F8A" w:rsidRPr="004E0468" w:rsidRDefault="005D0F8A" w:rsidP="005D0F8A">
            <w:pPr>
              <w:spacing w:line="240" w:lineRule="auto"/>
              <w:jc w:val="right"/>
              <w:rPr>
                <w:rFonts w:ascii="Calibri" w:hAnsi="Calibri"/>
                <w:color w:val="0000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1CE6CFC2"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5DBCFFFE" w14:textId="77777777" w:rsidR="005D0F8A" w:rsidRPr="004E0468" w:rsidRDefault="005D0F8A" w:rsidP="005D0F8A">
            <w:pPr>
              <w:spacing w:line="240" w:lineRule="auto"/>
              <w:jc w:val="right"/>
              <w:rPr>
                <w:rFonts w:ascii="Calibri" w:hAnsi="Calibri"/>
                <w:color w:val="000000"/>
                <w:sz w:val="16"/>
                <w:szCs w:val="16"/>
              </w:rPr>
            </w:pPr>
          </w:p>
        </w:tc>
        <w:tc>
          <w:tcPr>
            <w:tcW w:w="431" w:type="pct"/>
            <w:tcBorders>
              <w:top w:val="nil"/>
              <w:left w:val="nil"/>
              <w:bottom w:val="single" w:sz="4" w:space="0" w:color="auto"/>
              <w:right w:val="single" w:sz="4" w:space="0" w:color="auto"/>
            </w:tcBorders>
            <w:shd w:val="clear" w:color="auto" w:fill="auto"/>
            <w:vAlign w:val="center"/>
          </w:tcPr>
          <w:p w14:paraId="36B5AE28" w14:textId="77777777" w:rsidR="005D0F8A" w:rsidRPr="004E0468" w:rsidRDefault="005D0F8A" w:rsidP="005D0F8A">
            <w:pPr>
              <w:spacing w:line="240" w:lineRule="auto"/>
              <w:jc w:val="right"/>
              <w:rPr>
                <w:rFonts w:ascii="Calibri" w:hAnsi="Calibri"/>
                <w:color w:val="000000"/>
                <w:sz w:val="16"/>
                <w:szCs w:val="16"/>
              </w:rPr>
            </w:pPr>
          </w:p>
        </w:tc>
      </w:tr>
      <w:tr w:rsidR="005D0F8A" w:rsidRPr="004E0468" w14:paraId="1BFF7055" w14:textId="77777777" w:rsidTr="004C0C08">
        <w:trPr>
          <w:cantSplit/>
          <w:trHeight w:val="20"/>
        </w:trPr>
        <w:tc>
          <w:tcPr>
            <w:tcW w:w="168" w:type="pct"/>
            <w:vMerge/>
            <w:tcBorders>
              <w:top w:val="single" w:sz="4" w:space="0" w:color="auto"/>
              <w:left w:val="single" w:sz="4" w:space="0" w:color="auto"/>
              <w:bottom w:val="single" w:sz="4" w:space="0" w:color="auto"/>
              <w:right w:val="single" w:sz="4" w:space="0" w:color="auto"/>
            </w:tcBorders>
            <w:shd w:val="clear" w:color="000000" w:fill="FFFFFF"/>
            <w:hideMark/>
          </w:tcPr>
          <w:p w14:paraId="247E2B6E" w14:textId="77777777" w:rsidR="005D0F8A" w:rsidRPr="004E0468" w:rsidRDefault="005D0F8A" w:rsidP="005D0F8A">
            <w:pPr>
              <w:spacing w:line="240" w:lineRule="auto"/>
              <w:rPr>
                <w:rFonts w:ascii="Calibri" w:hAnsi="Calibri"/>
                <w:color w:val="000000"/>
                <w:sz w:val="16"/>
                <w:szCs w:val="16"/>
              </w:rPr>
            </w:pPr>
          </w:p>
        </w:tc>
        <w:tc>
          <w:tcPr>
            <w:tcW w:w="2238" w:type="pct"/>
            <w:tcBorders>
              <w:top w:val="single" w:sz="4" w:space="0" w:color="auto"/>
              <w:left w:val="nil"/>
              <w:bottom w:val="single" w:sz="4" w:space="0" w:color="auto"/>
              <w:right w:val="single" w:sz="4" w:space="0" w:color="auto"/>
            </w:tcBorders>
            <w:shd w:val="clear" w:color="000000" w:fill="FFFFFF"/>
            <w:noWrap/>
            <w:hideMark/>
          </w:tcPr>
          <w:p w14:paraId="1754CE97"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Recycled materials are often still more expensive than virgin raw materials</w:t>
            </w: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B86301A"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55F02697"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79056431" w14:textId="77777777" w:rsidR="005D0F8A" w:rsidRPr="004E0468" w:rsidRDefault="005D0F8A" w:rsidP="005D0F8A">
            <w:pPr>
              <w:spacing w:line="240" w:lineRule="auto"/>
              <w:jc w:val="right"/>
              <w:rPr>
                <w:rFonts w:ascii="Calibri" w:hAnsi="Calibri"/>
                <w:color w:val="000000"/>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E196DF"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0F65D895" w14:textId="77777777" w:rsidR="005D0F8A" w:rsidRPr="004E0468" w:rsidRDefault="005D0F8A" w:rsidP="005D0F8A">
            <w:pPr>
              <w:spacing w:line="240" w:lineRule="auto"/>
              <w:jc w:val="right"/>
              <w:rPr>
                <w:rFonts w:ascii="Calibri" w:hAnsi="Calibri"/>
                <w:color w:val="000000"/>
                <w:sz w:val="16"/>
                <w:szCs w:val="16"/>
              </w:rPr>
            </w:pPr>
          </w:p>
        </w:tc>
        <w:tc>
          <w:tcPr>
            <w:tcW w:w="431" w:type="pct"/>
            <w:tcBorders>
              <w:top w:val="nil"/>
              <w:left w:val="nil"/>
              <w:bottom w:val="single" w:sz="4" w:space="0" w:color="auto"/>
              <w:right w:val="single" w:sz="4" w:space="0" w:color="auto"/>
            </w:tcBorders>
            <w:shd w:val="clear" w:color="auto" w:fill="auto"/>
            <w:vAlign w:val="center"/>
          </w:tcPr>
          <w:p w14:paraId="5132915D" w14:textId="77777777" w:rsidR="005D0F8A" w:rsidRPr="004E0468" w:rsidRDefault="005D0F8A" w:rsidP="005D0F8A">
            <w:pPr>
              <w:spacing w:line="240" w:lineRule="auto"/>
              <w:jc w:val="right"/>
              <w:rPr>
                <w:rFonts w:ascii="Calibri" w:hAnsi="Calibri"/>
                <w:color w:val="000000"/>
                <w:sz w:val="16"/>
                <w:szCs w:val="16"/>
              </w:rPr>
            </w:pPr>
          </w:p>
        </w:tc>
      </w:tr>
      <w:tr w:rsidR="005D0F8A" w:rsidRPr="004E0468" w14:paraId="750B28DD" w14:textId="77777777" w:rsidTr="004C0C08">
        <w:trPr>
          <w:cantSplit/>
          <w:trHeight w:val="20"/>
        </w:trPr>
        <w:tc>
          <w:tcPr>
            <w:tcW w:w="168" w:type="pct"/>
            <w:vMerge/>
            <w:tcBorders>
              <w:top w:val="single" w:sz="4" w:space="0" w:color="auto"/>
              <w:left w:val="single" w:sz="4" w:space="0" w:color="auto"/>
              <w:bottom w:val="single" w:sz="4" w:space="0" w:color="auto"/>
              <w:right w:val="single" w:sz="4" w:space="0" w:color="auto"/>
            </w:tcBorders>
            <w:shd w:val="clear" w:color="000000" w:fill="FFFFFF"/>
            <w:hideMark/>
          </w:tcPr>
          <w:p w14:paraId="318534A9" w14:textId="77777777" w:rsidR="005D0F8A" w:rsidRPr="004E0468" w:rsidRDefault="005D0F8A" w:rsidP="005D0F8A">
            <w:pPr>
              <w:spacing w:line="240" w:lineRule="auto"/>
              <w:rPr>
                <w:rFonts w:ascii="Calibri" w:hAnsi="Calibri"/>
                <w:color w:val="000000"/>
                <w:sz w:val="16"/>
                <w:szCs w:val="16"/>
              </w:rPr>
            </w:pPr>
          </w:p>
        </w:tc>
        <w:tc>
          <w:tcPr>
            <w:tcW w:w="2238" w:type="pct"/>
            <w:tcBorders>
              <w:top w:val="single" w:sz="4" w:space="0" w:color="auto"/>
              <w:left w:val="nil"/>
              <w:bottom w:val="single" w:sz="4" w:space="0" w:color="auto"/>
              <w:right w:val="single" w:sz="4" w:space="0" w:color="auto"/>
            </w:tcBorders>
            <w:shd w:val="clear" w:color="000000" w:fill="FFFFFF"/>
            <w:noWrap/>
            <w:hideMark/>
          </w:tcPr>
          <w:p w14:paraId="5E4211AE"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Higher costs for management and planning</w:t>
            </w:r>
          </w:p>
        </w:tc>
        <w:tc>
          <w:tcPr>
            <w:tcW w:w="432" w:type="pct"/>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7AD3BB2" w14:textId="77777777" w:rsidR="005D0F8A" w:rsidRPr="004E0468" w:rsidRDefault="005D0F8A" w:rsidP="005D0F8A">
            <w:pPr>
              <w:spacing w:line="240" w:lineRule="auto"/>
              <w:jc w:val="right"/>
              <w:rPr>
                <w:rFonts w:ascii="Calibri" w:hAnsi="Calibri"/>
                <w:color w:val="9C0006"/>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BD7DC54" w14:textId="77777777" w:rsidR="005D0F8A" w:rsidRPr="004E0468" w:rsidRDefault="005D0F8A" w:rsidP="005D0F8A">
            <w:pPr>
              <w:spacing w:line="240" w:lineRule="auto"/>
              <w:jc w:val="right"/>
              <w:rPr>
                <w:rFonts w:ascii="Calibri" w:hAnsi="Calibri"/>
                <w:color w:val="0061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2C52FD" w14:textId="77777777" w:rsidR="005D0F8A" w:rsidRPr="004E0468" w:rsidRDefault="005D0F8A" w:rsidP="005D0F8A">
            <w:pPr>
              <w:spacing w:line="240" w:lineRule="auto"/>
              <w:jc w:val="right"/>
              <w:rPr>
                <w:rFonts w:ascii="Calibri" w:hAnsi="Calibri"/>
                <w:color w:val="9C6500"/>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890E6"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A5B8AFD" w14:textId="77777777" w:rsidR="005D0F8A" w:rsidRPr="004E0468" w:rsidRDefault="005D0F8A" w:rsidP="005D0F8A">
            <w:pPr>
              <w:spacing w:line="240" w:lineRule="auto"/>
              <w:jc w:val="right"/>
              <w:rPr>
                <w:rFonts w:ascii="Calibri" w:hAnsi="Calibri"/>
                <w:color w:val="006100"/>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4EFF808" w14:textId="77777777" w:rsidR="005D0F8A" w:rsidRPr="004E0468" w:rsidRDefault="005D0F8A" w:rsidP="005D0F8A">
            <w:pPr>
              <w:spacing w:line="240" w:lineRule="auto"/>
              <w:jc w:val="right"/>
              <w:rPr>
                <w:rFonts w:ascii="Calibri" w:hAnsi="Calibri"/>
                <w:color w:val="9C0006"/>
                <w:sz w:val="16"/>
                <w:szCs w:val="16"/>
              </w:rPr>
            </w:pPr>
          </w:p>
        </w:tc>
      </w:tr>
      <w:tr w:rsidR="005D0F8A" w:rsidRPr="004E0468" w14:paraId="0A6792C6" w14:textId="77777777" w:rsidTr="004C0C08">
        <w:trPr>
          <w:cantSplit/>
          <w:trHeight w:val="20"/>
        </w:trPr>
        <w:tc>
          <w:tcPr>
            <w:tcW w:w="168" w:type="pct"/>
            <w:vMerge w:val="restart"/>
            <w:tcBorders>
              <w:top w:val="nil"/>
              <w:left w:val="single" w:sz="4" w:space="0" w:color="auto"/>
              <w:right w:val="single" w:sz="4" w:space="0" w:color="auto"/>
            </w:tcBorders>
            <w:shd w:val="clear" w:color="000000" w:fill="FFFFFF"/>
            <w:textDirection w:val="btLr"/>
            <w:hideMark/>
          </w:tcPr>
          <w:p w14:paraId="482B9DF2" w14:textId="77777777" w:rsidR="005D0F8A" w:rsidRPr="004E0468" w:rsidRDefault="005D0F8A" w:rsidP="005D0F8A">
            <w:pPr>
              <w:spacing w:line="240" w:lineRule="auto"/>
              <w:ind w:left="113" w:right="113"/>
              <w:rPr>
                <w:rFonts w:ascii="Calibri" w:hAnsi="Calibri"/>
                <w:color w:val="000000"/>
                <w:sz w:val="16"/>
                <w:szCs w:val="16"/>
              </w:rPr>
            </w:pPr>
            <w:r w:rsidRPr="004E0468">
              <w:rPr>
                <w:rFonts w:ascii="Calibri" w:hAnsi="Calibri"/>
                <w:color w:val="000000"/>
                <w:sz w:val="16"/>
                <w:szCs w:val="16"/>
              </w:rPr>
              <w:t>Institutional</w:t>
            </w:r>
          </w:p>
        </w:tc>
        <w:tc>
          <w:tcPr>
            <w:tcW w:w="2238" w:type="pct"/>
            <w:tcBorders>
              <w:top w:val="nil"/>
              <w:left w:val="nil"/>
              <w:bottom w:val="single" w:sz="4" w:space="0" w:color="auto"/>
              <w:right w:val="single" w:sz="4" w:space="0" w:color="auto"/>
            </w:tcBorders>
            <w:shd w:val="clear" w:color="000000" w:fill="FFFFFF"/>
            <w:noWrap/>
            <w:hideMark/>
          </w:tcPr>
          <w:p w14:paraId="4C5729E6"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 xml:space="preserve">Uneven playing field created by current institutions    </w:t>
            </w:r>
          </w:p>
        </w:tc>
        <w:tc>
          <w:tcPr>
            <w:tcW w:w="432" w:type="pct"/>
            <w:tcBorders>
              <w:top w:val="nil"/>
              <w:left w:val="nil"/>
              <w:bottom w:val="single" w:sz="4" w:space="0" w:color="auto"/>
              <w:right w:val="single" w:sz="4" w:space="0" w:color="auto"/>
            </w:tcBorders>
            <w:shd w:val="clear" w:color="auto" w:fill="auto"/>
            <w:noWrap/>
            <w:vAlign w:val="bottom"/>
          </w:tcPr>
          <w:p w14:paraId="46EF465A"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646AD6D1"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71BFEDE2" w14:textId="77777777" w:rsidR="005D0F8A" w:rsidRPr="004E0468" w:rsidRDefault="005D0F8A" w:rsidP="005D0F8A">
            <w:pPr>
              <w:spacing w:line="240" w:lineRule="auto"/>
              <w:jc w:val="right"/>
              <w:rPr>
                <w:rFonts w:ascii="Calibri" w:hAnsi="Calibri"/>
                <w:color w:val="0000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6B15EEC2"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758BD3" w14:textId="77777777" w:rsidR="005D0F8A" w:rsidRPr="004E0468" w:rsidRDefault="005D0F8A" w:rsidP="005D0F8A">
            <w:pPr>
              <w:spacing w:line="240" w:lineRule="auto"/>
              <w:jc w:val="right"/>
              <w:rPr>
                <w:rFonts w:ascii="Calibri" w:hAnsi="Calibri"/>
                <w:color w:val="9C6500"/>
                <w:sz w:val="16"/>
                <w:szCs w:val="16"/>
              </w:rPr>
            </w:pPr>
          </w:p>
        </w:tc>
        <w:tc>
          <w:tcPr>
            <w:tcW w:w="431" w:type="pct"/>
            <w:tcBorders>
              <w:top w:val="nil"/>
              <w:left w:val="nil"/>
              <w:bottom w:val="single" w:sz="4" w:space="0" w:color="auto"/>
              <w:right w:val="single" w:sz="4" w:space="0" w:color="auto"/>
            </w:tcBorders>
            <w:shd w:val="clear" w:color="auto" w:fill="auto"/>
            <w:vAlign w:val="center"/>
          </w:tcPr>
          <w:p w14:paraId="0F820788" w14:textId="77777777" w:rsidR="005D0F8A" w:rsidRPr="004E0468" w:rsidRDefault="005D0F8A" w:rsidP="005D0F8A">
            <w:pPr>
              <w:spacing w:line="240" w:lineRule="auto"/>
              <w:jc w:val="right"/>
              <w:rPr>
                <w:rFonts w:ascii="Calibri" w:hAnsi="Calibri"/>
                <w:color w:val="000000"/>
                <w:sz w:val="16"/>
                <w:szCs w:val="16"/>
              </w:rPr>
            </w:pPr>
          </w:p>
        </w:tc>
      </w:tr>
      <w:tr w:rsidR="005D0F8A" w:rsidRPr="004E0468" w14:paraId="609ACED5" w14:textId="77777777" w:rsidTr="004C0C08">
        <w:trPr>
          <w:cantSplit/>
          <w:trHeight w:val="20"/>
        </w:trPr>
        <w:tc>
          <w:tcPr>
            <w:tcW w:w="168" w:type="pct"/>
            <w:vMerge/>
            <w:tcBorders>
              <w:left w:val="single" w:sz="4" w:space="0" w:color="auto"/>
              <w:right w:val="single" w:sz="4" w:space="0" w:color="auto"/>
            </w:tcBorders>
            <w:shd w:val="clear" w:color="000000" w:fill="FFFFFF"/>
            <w:hideMark/>
          </w:tcPr>
          <w:p w14:paraId="42766968"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53B68C74"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 xml:space="preserve">Financial governmental incentives support the linear economy </w:t>
            </w: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D371788"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8E8AA1"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2869349B" w14:textId="77777777" w:rsidR="005D0F8A" w:rsidRPr="004E0468" w:rsidRDefault="005D0F8A" w:rsidP="005D0F8A">
            <w:pPr>
              <w:spacing w:line="240" w:lineRule="auto"/>
              <w:jc w:val="right"/>
              <w:rPr>
                <w:rFonts w:ascii="Calibri" w:hAnsi="Calibri"/>
                <w:color w:val="000000"/>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13EA49"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0FD368" w14:textId="77777777" w:rsidR="005D0F8A" w:rsidRPr="004E0468" w:rsidRDefault="005D0F8A" w:rsidP="005D0F8A">
            <w:pPr>
              <w:spacing w:line="240" w:lineRule="auto"/>
              <w:jc w:val="right"/>
              <w:rPr>
                <w:rFonts w:ascii="Calibri" w:hAnsi="Calibri"/>
                <w:color w:val="9C6500"/>
                <w:sz w:val="16"/>
                <w:szCs w:val="16"/>
              </w:rPr>
            </w:pPr>
          </w:p>
        </w:tc>
        <w:tc>
          <w:tcPr>
            <w:tcW w:w="431" w:type="pct"/>
            <w:tcBorders>
              <w:top w:val="nil"/>
              <w:left w:val="nil"/>
              <w:bottom w:val="single" w:sz="4" w:space="0" w:color="auto"/>
              <w:right w:val="single" w:sz="4" w:space="0" w:color="auto"/>
            </w:tcBorders>
            <w:shd w:val="clear" w:color="auto" w:fill="auto"/>
            <w:vAlign w:val="center"/>
          </w:tcPr>
          <w:p w14:paraId="342DEAF0" w14:textId="77777777" w:rsidR="005D0F8A" w:rsidRPr="004E0468" w:rsidRDefault="005D0F8A" w:rsidP="005D0F8A">
            <w:pPr>
              <w:spacing w:line="240" w:lineRule="auto"/>
              <w:jc w:val="right"/>
              <w:rPr>
                <w:rFonts w:ascii="Calibri" w:hAnsi="Calibri"/>
                <w:color w:val="000000"/>
                <w:sz w:val="16"/>
                <w:szCs w:val="16"/>
              </w:rPr>
            </w:pPr>
          </w:p>
        </w:tc>
      </w:tr>
      <w:tr w:rsidR="005D0F8A" w:rsidRPr="004E0468" w14:paraId="5AED5A8D" w14:textId="77777777" w:rsidTr="004C0C08">
        <w:trPr>
          <w:cantSplit/>
          <w:trHeight w:val="20"/>
        </w:trPr>
        <w:tc>
          <w:tcPr>
            <w:tcW w:w="168" w:type="pct"/>
            <w:vMerge/>
            <w:tcBorders>
              <w:left w:val="single" w:sz="4" w:space="0" w:color="auto"/>
              <w:right w:val="single" w:sz="4" w:space="0" w:color="auto"/>
            </w:tcBorders>
            <w:shd w:val="clear" w:color="000000" w:fill="FFFFFF"/>
            <w:hideMark/>
          </w:tcPr>
          <w:p w14:paraId="2DFDA376"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7674B6C9"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 xml:space="preserve">Circularity is not effectively integrated in innovation policies </w:t>
            </w: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69543D0"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577A12"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F2F9F3" w14:textId="77777777" w:rsidR="005D0F8A" w:rsidRPr="004E0468" w:rsidRDefault="005D0F8A" w:rsidP="005D0F8A">
            <w:pPr>
              <w:spacing w:line="240" w:lineRule="auto"/>
              <w:jc w:val="right"/>
              <w:rPr>
                <w:rFonts w:ascii="Calibri" w:hAnsi="Calibri"/>
                <w:color w:val="9C65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716BD151"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5049FBCC" w14:textId="77777777" w:rsidR="005D0F8A" w:rsidRPr="004E0468" w:rsidRDefault="005D0F8A" w:rsidP="005D0F8A">
            <w:pPr>
              <w:spacing w:line="240" w:lineRule="auto"/>
              <w:jc w:val="right"/>
              <w:rPr>
                <w:rFonts w:ascii="Calibri" w:hAnsi="Calibri"/>
                <w:color w:val="000000"/>
                <w:sz w:val="16"/>
                <w:szCs w:val="16"/>
              </w:rPr>
            </w:pPr>
          </w:p>
        </w:tc>
        <w:tc>
          <w:tcPr>
            <w:tcW w:w="431" w:type="pct"/>
            <w:tcBorders>
              <w:top w:val="nil"/>
              <w:left w:val="nil"/>
              <w:bottom w:val="single" w:sz="4" w:space="0" w:color="auto"/>
              <w:right w:val="single" w:sz="4" w:space="0" w:color="auto"/>
            </w:tcBorders>
            <w:shd w:val="clear" w:color="auto" w:fill="auto"/>
            <w:vAlign w:val="center"/>
          </w:tcPr>
          <w:p w14:paraId="414DA630" w14:textId="77777777" w:rsidR="005D0F8A" w:rsidRPr="004E0468" w:rsidRDefault="005D0F8A" w:rsidP="005D0F8A">
            <w:pPr>
              <w:spacing w:line="240" w:lineRule="auto"/>
              <w:jc w:val="right"/>
              <w:rPr>
                <w:rFonts w:ascii="Calibri" w:hAnsi="Calibri"/>
                <w:color w:val="000000"/>
                <w:sz w:val="16"/>
                <w:szCs w:val="16"/>
              </w:rPr>
            </w:pPr>
          </w:p>
        </w:tc>
      </w:tr>
      <w:tr w:rsidR="005D0F8A" w:rsidRPr="004E0468" w14:paraId="7CEAA86C" w14:textId="77777777" w:rsidTr="004C0C08">
        <w:trPr>
          <w:cantSplit/>
          <w:trHeight w:val="20"/>
        </w:trPr>
        <w:tc>
          <w:tcPr>
            <w:tcW w:w="168" w:type="pct"/>
            <w:vMerge/>
            <w:tcBorders>
              <w:left w:val="single" w:sz="4" w:space="0" w:color="auto"/>
              <w:right w:val="single" w:sz="4" w:space="0" w:color="auto"/>
            </w:tcBorders>
            <w:shd w:val="clear" w:color="000000" w:fill="FFFFFF"/>
            <w:hideMark/>
          </w:tcPr>
          <w:p w14:paraId="5EB7A844"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46BF18C3"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Competition legislation inhibits collaboration between companies</w:t>
            </w:r>
          </w:p>
        </w:tc>
        <w:tc>
          <w:tcPr>
            <w:tcW w:w="432" w:type="pct"/>
            <w:tcBorders>
              <w:top w:val="nil"/>
              <w:left w:val="nil"/>
              <w:bottom w:val="single" w:sz="4" w:space="0" w:color="auto"/>
              <w:right w:val="single" w:sz="4" w:space="0" w:color="auto"/>
            </w:tcBorders>
            <w:shd w:val="clear" w:color="auto" w:fill="auto"/>
            <w:noWrap/>
            <w:vAlign w:val="bottom"/>
          </w:tcPr>
          <w:p w14:paraId="2C25C56F"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40140FF0"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5CB43125" w14:textId="77777777" w:rsidR="005D0F8A" w:rsidRPr="004E0468" w:rsidRDefault="005D0F8A" w:rsidP="005D0F8A">
            <w:pPr>
              <w:spacing w:line="240" w:lineRule="auto"/>
              <w:jc w:val="right"/>
              <w:rPr>
                <w:rFonts w:ascii="Calibri" w:hAnsi="Calibri"/>
                <w:color w:val="0000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07CE32CF"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0C7FE4ED" w14:textId="77777777" w:rsidR="005D0F8A" w:rsidRPr="004E0468" w:rsidRDefault="005D0F8A" w:rsidP="005D0F8A">
            <w:pPr>
              <w:spacing w:line="240" w:lineRule="auto"/>
              <w:jc w:val="right"/>
              <w:rPr>
                <w:rFonts w:ascii="Calibri" w:hAnsi="Calibri"/>
                <w:color w:val="000000"/>
                <w:sz w:val="16"/>
                <w:szCs w:val="16"/>
              </w:rPr>
            </w:pPr>
          </w:p>
        </w:tc>
        <w:tc>
          <w:tcPr>
            <w:tcW w:w="431" w:type="pct"/>
            <w:tcBorders>
              <w:top w:val="nil"/>
              <w:left w:val="nil"/>
              <w:bottom w:val="single" w:sz="4" w:space="0" w:color="auto"/>
              <w:right w:val="single" w:sz="4" w:space="0" w:color="auto"/>
            </w:tcBorders>
            <w:shd w:val="clear" w:color="auto" w:fill="auto"/>
            <w:vAlign w:val="center"/>
          </w:tcPr>
          <w:p w14:paraId="217E14A4" w14:textId="77777777" w:rsidR="005D0F8A" w:rsidRPr="004E0468" w:rsidRDefault="005D0F8A" w:rsidP="005D0F8A">
            <w:pPr>
              <w:spacing w:line="240" w:lineRule="auto"/>
              <w:jc w:val="right"/>
              <w:rPr>
                <w:rFonts w:ascii="Calibri" w:hAnsi="Calibri"/>
                <w:color w:val="000000"/>
                <w:sz w:val="16"/>
                <w:szCs w:val="16"/>
              </w:rPr>
            </w:pPr>
          </w:p>
        </w:tc>
      </w:tr>
      <w:tr w:rsidR="005D0F8A" w:rsidRPr="004E0468" w14:paraId="39DFA4E0" w14:textId="77777777" w:rsidTr="004C0C08">
        <w:trPr>
          <w:cantSplit/>
          <w:trHeight w:val="20"/>
        </w:trPr>
        <w:tc>
          <w:tcPr>
            <w:tcW w:w="168" w:type="pct"/>
            <w:vMerge/>
            <w:tcBorders>
              <w:left w:val="single" w:sz="4" w:space="0" w:color="auto"/>
              <w:right w:val="single" w:sz="4" w:space="0" w:color="auto"/>
            </w:tcBorders>
            <w:shd w:val="clear" w:color="000000" w:fill="FFFFFF"/>
            <w:hideMark/>
          </w:tcPr>
          <w:p w14:paraId="514C3710"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73E93601"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Recycling policies are ineffective to obtain high quality recycling</w:t>
            </w:r>
          </w:p>
        </w:tc>
        <w:tc>
          <w:tcPr>
            <w:tcW w:w="432" w:type="pct"/>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tcPr>
          <w:p w14:paraId="54C9B25B" w14:textId="77777777" w:rsidR="005D0F8A" w:rsidRPr="004E0468" w:rsidRDefault="005D0F8A" w:rsidP="005D0F8A">
            <w:pPr>
              <w:spacing w:line="240" w:lineRule="auto"/>
              <w:jc w:val="right"/>
              <w:rPr>
                <w:rFonts w:ascii="Calibri" w:hAnsi="Calibri"/>
                <w:color w:val="0061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CC3FC6"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B76C4B" w14:textId="77777777" w:rsidR="005D0F8A" w:rsidRPr="004E0468" w:rsidRDefault="005D0F8A" w:rsidP="005D0F8A">
            <w:pPr>
              <w:spacing w:line="240" w:lineRule="auto"/>
              <w:jc w:val="right"/>
              <w:rPr>
                <w:rFonts w:ascii="Calibri" w:hAnsi="Calibri"/>
                <w:color w:val="9C6500"/>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C23929"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2F17B16A" w14:textId="77777777" w:rsidR="005D0F8A" w:rsidRPr="004E0468" w:rsidRDefault="005D0F8A" w:rsidP="005D0F8A">
            <w:pPr>
              <w:spacing w:line="240" w:lineRule="auto"/>
              <w:jc w:val="right"/>
              <w:rPr>
                <w:rFonts w:ascii="Calibri" w:hAnsi="Calibri"/>
                <w:color w:val="000000"/>
                <w:sz w:val="16"/>
                <w:szCs w:val="16"/>
              </w:rPr>
            </w:pPr>
          </w:p>
        </w:tc>
        <w:tc>
          <w:tcPr>
            <w:tcW w:w="431" w:type="pct"/>
            <w:tcBorders>
              <w:top w:val="nil"/>
              <w:left w:val="nil"/>
              <w:bottom w:val="single" w:sz="4" w:space="0" w:color="auto"/>
              <w:right w:val="single" w:sz="4" w:space="0" w:color="auto"/>
            </w:tcBorders>
            <w:shd w:val="clear" w:color="auto" w:fill="auto"/>
            <w:vAlign w:val="center"/>
          </w:tcPr>
          <w:p w14:paraId="3AFDE8FA" w14:textId="77777777" w:rsidR="005D0F8A" w:rsidRPr="004E0468" w:rsidRDefault="005D0F8A" w:rsidP="005D0F8A">
            <w:pPr>
              <w:spacing w:line="240" w:lineRule="auto"/>
              <w:jc w:val="right"/>
              <w:rPr>
                <w:rFonts w:ascii="Calibri" w:hAnsi="Calibri"/>
                <w:color w:val="000000"/>
                <w:sz w:val="16"/>
                <w:szCs w:val="16"/>
              </w:rPr>
            </w:pPr>
          </w:p>
        </w:tc>
      </w:tr>
      <w:tr w:rsidR="005D0F8A" w:rsidRPr="004E0468" w14:paraId="36E668B0" w14:textId="77777777" w:rsidTr="004C0C08">
        <w:trPr>
          <w:cantSplit/>
          <w:trHeight w:val="20"/>
        </w:trPr>
        <w:tc>
          <w:tcPr>
            <w:tcW w:w="168" w:type="pct"/>
            <w:vMerge/>
            <w:tcBorders>
              <w:left w:val="single" w:sz="4" w:space="0" w:color="auto"/>
              <w:bottom w:val="single" w:sz="4" w:space="0" w:color="auto"/>
              <w:right w:val="single" w:sz="4" w:space="0" w:color="auto"/>
            </w:tcBorders>
            <w:shd w:val="clear" w:color="000000" w:fill="FFFFFF"/>
            <w:hideMark/>
          </w:tcPr>
          <w:p w14:paraId="53C4E7FC"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44049ABE"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Governance issues concerning responsibilities, liabilities and ownership</w:t>
            </w:r>
          </w:p>
        </w:tc>
        <w:tc>
          <w:tcPr>
            <w:tcW w:w="432" w:type="pct"/>
            <w:tcBorders>
              <w:top w:val="nil"/>
              <w:left w:val="nil"/>
              <w:bottom w:val="single" w:sz="4" w:space="0" w:color="auto"/>
              <w:right w:val="single" w:sz="4" w:space="0" w:color="auto"/>
            </w:tcBorders>
            <w:shd w:val="clear" w:color="auto" w:fill="auto"/>
            <w:noWrap/>
            <w:vAlign w:val="bottom"/>
          </w:tcPr>
          <w:p w14:paraId="7FB14FF3"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505510D1"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6A72FF36" w14:textId="77777777" w:rsidR="005D0F8A" w:rsidRPr="004E0468" w:rsidRDefault="005D0F8A" w:rsidP="005D0F8A">
            <w:pPr>
              <w:spacing w:line="240" w:lineRule="auto"/>
              <w:jc w:val="right"/>
              <w:rPr>
                <w:rFonts w:ascii="Calibri" w:hAnsi="Calibri"/>
                <w:color w:val="000000"/>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B599ED"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49DEF4BC" w14:textId="77777777" w:rsidR="005D0F8A" w:rsidRPr="004E0468" w:rsidRDefault="005D0F8A" w:rsidP="005D0F8A">
            <w:pPr>
              <w:spacing w:line="240" w:lineRule="auto"/>
              <w:jc w:val="right"/>
              <w:rPr>
                <w:rFonts w:ascii="Calibri" w:hAnsi="Calibri"/>
                <w:color w:val="000000"/>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5FAFC2" w14:textId="77777777" w:rsidR="005D0F8A" w:rsidRPr="004E0468" w:rsidRDefault="005D0F8A" w:rsidP="005D0F8A">
            <w:pPr>
              <w:spacing w:line="240" w:lineRule="auto"/>
              <w:jc w:val="right"/>
              <w:rPr>
                <w:rFonts w:ascii="Calibri" w:hAnsi="Calibri"/>
                <w:color w:val="9C6500"/>
                <w:sz w:val="16"/>
                <w:szCs w:val="16"/>
              </w:rPr>
            </w:pPr>
          </w:p>
        </w:tc>
      </w:tr>
      <w:tr w:rsidR="005D0F8A" w:rsidRPr="004E0468" w14:paraId="09325FA8" w14:textId="77777777" w:rsidTr="004C0C08">
        <w:trPr>
          <w:cantSplit/>
          <w:trHeight w:val="20"/>
        </w:trPr>
        <w:tc>
          <w:tcPr>
            <w:tcW w:w="168" w:type="pct"/>
            <w:vMerge w:val="restart"/>
            <w:tcBorders>
              <w:top w:val="nil"/>
              <w:left w:val="single" w:sz="4" w:space="0" w:color="auto"/>
              <w:right w:val="single" w:sz="4" w:space="0" w:color="auto"/>
            </w:tcBorders>
            <w:shd w:val="clear" w:color="000000" w:fill="FFFFFF"/>
            <w:textDirection w:val="btLr"/>
            <w:hideMark/>
          </w:tcPr>
          <w:p w14:paraId="404AFF28" w14:textId="77777777" w:rsidR="005D0F8A" w:rsidRPr="004E0468" w:rsidRDefault="005D0F8A" w:rsidP="005D0F8A">
            <w:pPr>
              <w:spacing w:line="240" w:lineRule="auto"/>
              <w:ind w:left="113" w:right="113"/>
              <w:rPr>
                <w:rFonts w:ascii="Calibri" w:hAnsi="Calibri"/>
                <w:color w:val="000000"/>
                <w:sz w:val="16"/>
                <w:szCs w:val="16"/>
              </w:rPr>
            </w:pPr>
            <w:r w:rsidRPr="004E0468">
              <w:rPr>
                <w:rFonts w:ascii="Calibri" w:hAnsi="Calibri"/>
                <w:color w:val="000000"/>
                <w:sz w:val="16"/>
                <w:szCs w:val="16"/>
              </w:rPr>
              <w:t>Infrastructural</w:t>
            </w:r>
          </w:p>
        </w:tc>
        <w:tc>
          <w:tcPr>
            <w:tcW w:w="2238" w:type="pct"/>
            <w:tcBorders>
              <w:top w:val="nil"/>
              <w:left w:val="nil"/>
              <w:bottom w:val="single" w:sz="4" w:space="0" w:color="auto"/>
              <w:right w:val="single" w:sz="4" w:space="0" w:color="auto"/>
            </w:tcBorders>
            <w:shd w:val="clear" w:color="000000" w:fill="FFFFFF"/>
            <w:noWrap/>
            <w:hideMark/>
          </w:tcPr>
          <w:p w14:paraId="182B657E"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Limited application of new sustainable business models</w:t>
            </w:r>
          </w:p>
        </w:tc>
        <w:tc>
          <w:tcPr>
            <w:tcW w:w="432"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3E162F2" w14:textId="77777777" w:rsidR="005D0F8A" w:rsidRPr="004E0468" w:rsidRDefault="005D0F8A" w:rsidP="005D0F8A">
            <w:pPr>
              <w:spacing w:line="240" w:lineRule="auto"/>
              <w:jc w:val="right"/>
              <w:rPr>
                <w:rFonts w:ascii="Calibri" w:hAnsi="Calibri"/>
                <w:color w:val="0061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89DC565" w14:textId="77777777" w:rsidR="005D0F8A" w:rsidRPr="004E0468" w:rsidRDefault="005D0F8A" w:rsidP="005D0F8A">
            <w:pPr>
              <w:spacing w:line="240" w:lineRule="auto"/>
              <w:jc w:val="right"/>
              <w:rPr>
                <w:rFonts w:ascii="Calibri" w:hAnsi="Calibri"/>
                <w:color w:val="0061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7AA6140" w14:textId="77777777" w:rsidR="005D0F8A" w:rsidRPr="004E0468" w:rsidRDefault="005D0F8A" w:rsidP="005D0F8A">
            <w:pPr>
              <w:spacing w:line="240" w:lineRule="auto"/>
              <w:jc w:val="right"/>
              <w:rPr>
                <w:rFonts w:ascii="Calibri" w:hAnsi="Calibri"/>
                <w:color w:val="006100"/>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E619882" w14:textId="77777777" w:rsidR="005D0F8A" w:rsidRPr="004E0468" w:rsidRDefault="005D0F8A" w:rsidP="005D0F8A">
            <w:pPr>
              <w:spacing w:line="240" w:lineRule="auto"/>
              <w:jc w:val="right"/>
              <w:rPr>
                <w:rFonts w:ascii="Calibri" w:hAnsi="Calibri"/>
                <w:color w:val="0061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249F47" w14:textId="77777777" w:rsidR="005D0F8A" w:rsidRPr="004E0468" w:rsidRDefault="005D0F8A" w:rsidP="005D0F8A">
            <w:pPr>
              <w:spacing w:line="240" w:lineRule="auto"/>
              <w:jc w:val="right"/>
              <w:rPr>
                <w:rFonts w:ascii="Calibri" w:hAnsi="Calibri"/>
                <w:color w:val="9C6500"/>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4FF176C" w14:textId="77777777" w:rsidR="005D0F8A" w:rsidRPr="004E0468" w:rsidRDefault="005D0F8A" w:rsidP="005D0F8A">
            <w:pPr>
              <w:spacing w:line="240" w:lineRule="auto"/>
              <w:jc w:val="right"/>
              <w:rPr>
                <w:rFonts w:ascii="Calibri" w:hAnsi="Calibri"/>
                <w:color w:val="006100"/>
                <w:sz w:val="16"/>
                <w:szCs w:val="16"/>
              </w:rPr>
            </w:pPr>
          </w:p>
        </w:tc>
      </w:tr>
      <w:tr w:rsidR="005D0F8A" w:rsidRPr="004E0468" w14:paraId="698D59E7" w14:textId="77777777" w:rsidTr="004C0C08">
        <w:trPr>
          <w:cantSplit/>
          <w:trHeight w:val="20"/>
        </w:trPr>
        <w:tc>
          <w:tcPr>
            <w:tcW w:w="168" w:type="pct"/>
            <w:vMerge/>
            <w:tcBorders>
              <w:left w:val="single" w:sz="4" w:space="0" w:color="auto"/>
              <w:right w:val="single" w:sz="4" w:space="0" w:color="auto"/>
            </w:tcBorders>
            <w:shd w:val="clear" w:color="000000" w:fill="FFFFFF"/>
            <w:hideMark/>
          </w:tcPr>
          <w:p w14:paraId="6C8C6634"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6139BF3E"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 xml:space="preserve"> Lack of an information exchange system between different stakeholders</w:t>
            </w: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6A8C01"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8A0471"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D9231E" w14:textId="77777777" w:rsidR="005D0F8A" w:rsidRPr="004E0468" w:rsidRDefault="005D0F8A" w:rsidP="005D0F8A">
            <w:pPr>
              <w:spacing w:line="240" w:lineRule="auto"/>
              <w:jc w:val="right"/>
              <w:rPr>
                <w:rFonts w:ascii="Calibri" w:hAnsi="Calibri"/>
                <w:color w:val="9C65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4724F4FD"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D76580" w14:textId="77777777" w:rsidR="005D0F8A" w:rsidRPr="004E0468" w:rsidRDefault="005D0F8A" w:rsidP="005D0F8A">
            <w:pPr>
              <w:spacing w:line="240" w:lineRule="auto"/>
              <w:jc w:val="right"/>
              <w:rPr>
                <w:rFonts w:ascii="Calibri" w:hAnsi="Calibri"/>
                <w:color w:val="9C6500"/>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5DC64D" w14:textId="77777777" w:rsidR="005D0F8A" w:rsidRPr="004E0468" w:rsidRDefault="005D0F8A" w:rsidP="005D0F8A">
            <w:pPr>
              <w:spacing w:line="240" w:lineRule="auto"/>
              <w:jc w:val="right"/>
              <w:rPr>
                <w:rFonts w:ascii="Calibri" w:hAnsi="Calibri"/>
                <w:color w:val="9C6500"/>
                <w:sz w:val="16"/>
                <w:szCs w:val="16"/>
              </w:rPr>
            </w:pPr>
          </w:p>
        </w:tc>
      </w:tr>
      <w:tr w:rsidR="005D0F8A" w:rsidRPr="004E0468" w14:paraId="6C74AA9B" w14:textId="77777777" w:rsidTr="004C0C08">
        <w:trPr>
          <w:cantSplit/>
          <w:trHeight w:val="20"/>
        </w:trPr>
        <w:tc>
          <w:tcPr>
            <w:tcW w:w="168" w:type="pct"/>
            <w:vMerge/>
            <w:tcBorders>
              <w:left w:val="single" w:sz="4" w:space="0" w:color="auto"/>
              <w:right w:val="single" w:sz="4" w:space="0" w:color="auto"/>
            </w:tcBorders>
            <w:shd w:val="clear" w:color="000000" w:fill="FFFFFF"/>
            <w:hideMark/>
          </w:tcPr>
          <w:p w14:paraId="6EBEDC44"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2B150561"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Confidentiality and trust issues hamper exchange of information</w:t>
            </w:r>
          </w:p>
        </w:tc>
        <w:tc>
          <w:tcPr>
            <w:tcW w:w="432" w:type="pct"/>
            <w:tcBorders>
              <w:top w:val="nil"/>
              <w:left w:val="nil"/>
              <w:bottom w:val="single" w:sz="4" w:space="0" w:color="auto"/>
              <w:right w:val="single" w:sz="4" w:space="0" w:color="auto"/>
            </w:tcBorders>
            <w:shd w:val="clear" w:color="auto" w:fill="auto"/>
            <w:vAlign w:val="center"/>
          </w:tcPr>
          <w:p w14:paraId="607C2AA2"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167C853C"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4210165B" w14:textId="77777777" w:rsidR="005D0F8A" w:rsidRPr="004E0468" w:rsidRDefault="005D0F8A" w:rsidP="005D0F8A">
            <w:pPr>
              <w:spacing w:line="240" w:lineRule="auto"/>
              <w:jc w:val="right"/>
              <w:rPr>
                <w:rFonts w:ascii="Calibri" w:hAnsi="Calibri"/>
                <w:color w:val="0000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7E366670"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0804DE89" w14:textId="77777777" w:rsidR="005D0F8A" w:rsidRPr="004E0468" w:rsidRDefault="005D0F8A" w:rsidP="005D0F8A">
            <w:pPr>
              <w:spacing w:line="240" w:lineRule="auto"/>
              <w:jc w:val="right"/>
              <w:rPr>
                <w:rFonts w:ascii="Calibri" w:hAnsi="Calibri"/>
                <w:color w:val="000000"/>
                <w:sz w:val="16"/>
                <w:szCs w:val="16"/>
              </w:rPr>
            </w:pPr>
          </w:p>
        </w:tc>
        <w:tc>
          <w:tcPr>
            <w:tcW w:w="431" w:type="pct"/>
            <w:tcBorders>
              <w:top w:val="nil"/>
              <w:left w:val="nil"/>
              <w:bottom w:val="single" w:sz="4" w:space="0" w:color="auto"/>
              <w:right w:val="single" w:sz="4" w:space="0" w:color="auto"/>
            </w:tcBorders>
            <w:shd w:val="clear" w:color="auto" w:fill="auto"/>
            <w:vAlign w:val="center"/>
          </w:tcPr>
          <w:p w14:paraId="3DD9ED62" w14:textId="77777777" w:rsidR="005D0F8A" w:rsidRPr="004E0468" w:rsidRDefault="005D0F8A" w:rsidP="005D0F8A">
            <w:pPr>
              <w:spacing w:line="240" w:lineRule="auto"/>
              <w:jc w:val="right"/>
              <w:rPr>
                <w:rFonts w:ascii="Calibri" w:hAnsi="Calibri"/>
                <w:color w:val="000000"/>
                <w:sz w:val="16"/>
                <w:szCs w:val="16"/>
              </w:rPr>
            </w:pPr>
          </w:p>
        </w:tc>
      </w:tr>
      <w:tr w:rsidR="005D0F8A" w:rsidRPr="004E0468" w14:paraId="6BC57A98" w14:textId="77777777" w:rsidTr="004C0C08">
        <w:trPr>
          <w:cantSplit/>
          <w:trHeight w:val="20"/>
        </w:trPr>
        <w:tc>
          <w:tcPr>
            <w:tcW w:w="168" w:type="pct"/>
            <w:vMerge/>
            <w:tcBorders>
              <w:left w:val="single" w:sz="4" w:space="0" w:color="auto"/>
              <w:right w:val="single" w:sz="4" w:space="0" w:color="auto"/>
            </w:tcBorders>
            <w:shd w:val="clear" w:color="000000" w:fill="FFFFFF"/>
            <w:hideMark/>
          </w:tcPr>
          <w:p w14:paraId="52C1ECA0"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749F9AC0"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 xml:space="preserve">Exchange of materials is limited by capacity of reverse logistics    </w:t>
            </w: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00B5C8"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784A810F"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5D46209F" w14:textId="77777777" w:rsidR="005D0F8A" w:rsidRPr="004E0468" w:rsidRDefault="005D0F8A" w:rsidP="005D0F8A">
            <w:pPr>
              <w:spacing w:line="240" w:lineRule="auto"/>
              <w:jc w:val="right"/>
              <w:rPr>
                <w:rFonts w:ascii="Calibri" w:hAnsi="Calibri"/>
                <w:color w:val="0000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665E5D7C"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4D354333" w14:textId="77777777" w:rsidR="005D0F8A" w:rsidRPr="004E0468" w:rsidRDefault="005D0F8A" w:rsidP="005D0F8A">
            <w:pPr>
              <w:spacing w:line="240" w:lineRule="auto"/>
              <w:jc w:val="right"/>
              <w:rPr>
                <w:rFonts w:ascii="Calibri" w:hAnsi="Calibri"/>
                <w:color w:val="000000"/>
                <w:sz w:val="16"/>
                <w:szCs w:val="16"/>
              </w:rPr>
            </w:pPr>
          </w:p>
        </w:tc>
        <w:tc>
          <w:tcPr>
            <w:tcW w:w="431" w:type="pct"/>
            <w:tcBorders>
              <w:top w:val="nil"/>
              <w:left w:val="nil"/>
              <w:bottom w:val="single" w:sz="4" w:space="0" w:color="auto"/>
              <w:right w:val="single" w:sz="4" w:space="0" w:color="auto"/>
            </w:tcBorders>
            <w:shd w:val="clear" w:color="auto" w:fill="auto"/>
            <w:vAlign w:val="center"/>
          </w:tcPr>
          <w:p w14:paraId="0F5FDD9D" w14:textId="77777777" w:rsidR="005D0F8A" w:rsidRPr="004E0468" w:rsidRDefault="005D0F8A" w:rsidP="005D0F8A">
            <w:pPr>
              <w:spacing w:line="240" w:lineRule="auto"/>
              <w:jc w:val="right"/>
              <w:rPr>
                <w:rFonts w:ascii="Calibri" w:hAnsi="Calibri"/>
                <w:color w:val="000000"/>
                <w:sz w:val="16"/>
                <w:szCs w:val="16"/>
              </w:rPr>
            </w:pPr>
          </w:p>
        </w:tc>
      </w:tr>
      <w:tr w:rsidR="005D0F8A" w:rsidRPr="004E0468" w14:paraId="2769F3FE" w14:textId="77777777" w:rsidTr="004C0C08">
        <w:trPr>
          <w:cantSplit/>
          <w:trHeight w:val="20"/>
        </w:trPr>
        <w:tc>
          <w:tcPr>
            <w:tcW w:w="168" w:type="pct"/>
            <w:vMerge/>
            <w:tcBorders>
              <w:left w:val="single" w:sz="4" w:space="0" w:color="auto"/>
              <w:bottom w:val="single" w:sz="4" w:space="0" w:color="auto"/>
              <w:right w:val="single" w:sz="4" w:space="0" w:color="auto"/>
            </w:tcBorders>
            <w:shd w:val="clear" w:color="000000" w:fill="FFFFFF"/>
            <w:hideMark/>
          </w:tcPr>
          <w:p w14:paraId="11FCF9A8"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31024CD1"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Lack of clear, standardized, quantitative measurement and goals</w:t>
            </w:r>
          </w:p>
        </w:tc>
        <w:tc>
          <w:tcPr>
            <w:tcW w:w="43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049BCE7" w14:textId="77777777" w:rsidR="005D0F8A" w:rsidRPr="004E0468" w:rsidRDefault="005D0F8A" w:rsidP="005D0F8A">
            <w:pPr>
              <w:spacing w:line="240" w:lineRule="auto"/>
              <w:jc w:val="right"/>
              <w:rPr>
                <w:rFonts w:ascii="Calibri" w:hAnsi="Calibri"/>
                <w:color w:val="9C0006"/>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7E0AEA0" w14:textId="77777777" w:rsidR="005D0F8A" w:rsidRPr="004E0468" w:rsidRDefault="005D0F8A" w:rsidP="005D0F8A">
            <w:pPr>
              <w:spacing w:line="240" w:lineRule="auto"/>
              <w:jc w:val="right"/>
              <w:rPr>
                <w:rFonts w:ascii="Calibri" w:hAnsi="Calibri"/>
                <w:color w:val="0061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1981F9F" w14:textId="77777777" w:rsidR="005D0F8A" w:rsidRPr="004E0468" w:rsidRDefault="005D0F8A" w:rsidP="005D0F8A">
            <w:pPr>
              <w:spacing w:line="240" w:lineRule="auto"/>
              <w:jc w:val="right"/>
              <w:rPr>
                <w:rFonts w:ascii="Calibri" w:hAnsi="Calibri"/>
                <w:color w:val="006100"/>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401D507" w14:textId="77777777" w:rsidR="005D0F8A" w:rsidRPr="004E0468" w:rsidRDefault="005D0F8A" w:rsidP="005D0F8A">
            <w:pPr>
              <w:spacing w:line="240" w:lineRule="auto"/>
              <w:jc w:val="right"/>
              <w:rPr>
                <w:rFonts w:ascii="Calibri" w:hAnsi="Calibri"/>
                <w:color w:val="0061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5564536" w14:textId="77777777" w:rsidR="005D0F8A" w:rsidRPr="004E0468" w:rsidRDefault="005D0F8A" w:rsidP="005D0F8A">
            <w:pPr>
              <w:spacing w:line="240" w:lineRule="auto"/>
              <w:jc w:val="right"/>
              <w:rPr>
                <w:rFonts w:ascii="Calibri" w:hAnsi="Calibri"/>
                <w:color w:val="006100"/>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9A9F007" w14:textId="77777777" w:rsidR="005D0F8A" w:rsidRPr="004E0468" w:rsidRDefault="005D0F8A" w:rsidP="005D0F8A">
            <w:pPr>
              <w:spacing w:line="240" w:lineRule="auto"/>
              <w:jc w:val="right"/>
              <w:rPr>
                <w:rFonts w:ascii="Calibri" w:hAnsi="Calibri"/>
                <w:color w:val="006100"/>
                <w:sz w:val="16"/>
                <w:szCs w:val="16"/>
              </w:rPr>
            </w:pPr>
          </w:p>
        </w:tc>
      </w:tr>
      <w:tr w:rsidR="005D0F8A" w:rsidRPr="004E0468" w14:paraId="793A1738" w14:textId="77777777" w:rsidTr="004C0C08">
        <w:trPr>
          <w:cantSplit/>
          <w:trHeight w:val="20"/>
        </w:trPr>
        <w:tc>
          <w:tcPr>
            <w:tcW w:w="168" w:type="pct"/>
            <w:vMerge w:val="restart"/>
            <w:tcBorders>
              <w:top w:val="nil"/>
              <w:left w:val="single" w:sz="4" w:space="0" w:color="auto"/>
              <w:right w:val="single" w:sz="4" w:space="0" w:color="auto"/>
            </w:tcBorders>
            <w:shd w:val="clear" w:color="000000" w:fill="FFFFFF"/>
            <w:textDirection w:val="btLr"/>
            <w:hideMark/>
          </w:tcPr>
          <w:p w14:paraId="26C21AA3" w14:textId="77777777" w:rsidR="005D0F8A" w:rsidRPr="004E0468" w:rsidRDefault="005D0F8A" w:rsidP="005D0F8A">
            <w:pPr>
              <w:spacing w:line="240" w:lineRule="auto"/>
              <w:ind w:left="113" w:right="113"/>
              <w:rPr>
                <w:rFonts w:ascii="Calibri" w:hAnsi="Calibri"/>
                <w:color w:val="000000"/>
                <w:sz w:val="16"/>
                <w:szCs w:val="16"/>
              </w:rPr>
            </w:pPr>
            <w:r w:rsidRPr="004E0468">
              <w:rPr>
                <w:rFonts w:ascii="Calibri" w:hAnsi="Calibri"/>
                <w:color w:val="000000"/>
                <w:sz w:val="16"/>
                <w:szCs w:val="16"/>
              </w:rPr>
              <w:t>Societal</w:t>
            </w:r>
          </w:p>
        </w:tc>
        <w:tc>
          <w:tcPr>
            <w:tcW w:w="2238" w:type="pct"/>
            <w:tcBorders>
              <w:top w:val="nil"/>
              <w:left w:val="nil"/>
              <w:bottom w:val="single" w:sz="4" w:space="0" w:color="auto"/>
              <w:right w:val="single" w:sz="4" w:space="0" w:color="auto"/>
            </w:tcBorders>
            <w:shd w:val="clear" w:color="000000" w:fill="FFFFFF"/>
            <w:noWrap/>
            <w:hideMark/>
          </w:tcPr>
          <w:p w14:paraId="7F849E00"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Lack of awareness and sense of urgency, also in businesses</w:t>
            </w:r>
          </w:p>
        </w:tc>
        <w:tc>
          <w:tcPr>
            <w:tcW w:w="43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AE6E72" w14:textId="77777777" w:rsidR="005D0F8A" w:rsidRPr="004E0468" w:rsidRDefault="005D0F8A" w:rsidP="005D0F8A">
            <w:pPr>
              <w:spacing w:line="240" w:lineRule="auto"/>
              <w:jc w:val="right"/>
              <w:rPr>
                <w:rFonts w:ascii="Calibri" w:hAnsi="Calibri"/>
                <w:color w:val="9C0006"/>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7CFDC69" w14:textId="77777777" w:rsidR="005D0F8A" w:rsidRPr="004E0468" w:rsidRDefault="005D0F8A" w:rsidP="005D0F8A">
            <w:pPr>
              <w:spacing w:line="240" w:lineRule="auto"/>
              <w:jc w:val="right"/>
              <w:rPr>
                <w:rFonts w:ascii="Calibri" w:hAnsi="Calibri"/>
                <w:color w:val="9C0006"/>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C478F8D" w14:textId="77777777" w:rsidR="005D0F8A" w:rsidRPr="004E0468" w:rsidRDefault="005D0F8A" w:rsidP="005D0F8A">
            <w:pPr>
              <w:spacing w:line="240" w:lineRule="auto"/>
              <w:jc w:val="right"/>
              <w:rPr>
                <w:rFonts w:ascii="Calibri" w:hAnsi="Calibri"/>
                <w:color w:val="9C0006"/>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05ABAD0" w14:textId="77777777" w:rsidR="005D0F8A" w:rsidRPr="004E0468" w:rsidRDefault="005D0F8A" w:rsidP="005D0F8A">
            <w:pPr>
              <w:spacing w:line="240" w:lineRule="auto"/>
              <w:jc w:val="right"/>
              <w:rPr>
                <w:rFonts w:ascii="Calibri" w:hAnsi="Calibri"/>
                <w:color w:val="9C0006"/>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3BD85F2" w14:textId="77777777" w:rsidR="005D0F8A" w:rsidRPr="004E0468" w:rsidRDefault="005D0F8A" w:rsidP="005D0F8A">
            <w:pPr>
              <w:spacing w:line="240" w:lineRule="auto"/>
              <w:jc w:val="right"/>
              <w:rPr>
                <w:rFonts w:ascii="Calibri" w:hAnsi="Calibri"/>
                <w:color w:val="9C0006"/>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8C85A39" w14:textId="77777777" w:rsidR="005D0F8A" w:rsidRPr="004E0468" w:rsidRDefault="005D0F8A" w:rsidP="005D0F8A">
            <w:pPr>
              <w:spacing w:line="240" w:lineRule="auto"/>
              <w:jc w:val="right"/>
              <w:rPr>
                <w:rFonts w:ascii="Calibri" w:hAnsi="Calibri"/>
                <w:color w:val="9C0006"/>
                <w:sz w:val="16"/>
                <w:szCs w:val="16"/>
              </w:rPr>
            </w:pPr>
          </w:p>
        </w:tc>
      </w:tr>
      <w:tr w:rsidR="005D0F8A" w:rsidRPr="004E0468" w14:paraId="77AC543C" w14:textId="77777777" w:rsidTr="004C0C08">
        <w:trPr>
          <w:cantSplit/>
          <w:trHeight w:val="20"/>
        </w:trPr>
        <w:tc>
          <w:tcPr>
            <w:tcW w:w="168" w:type="pct"/>
            <w:vMerge/>
            <w:tcBorders>
              <w:left w:val="single" w:sz="4" w:space="0" w:color="auto"/>
              <w:right w:val="single" w:sz="4" w:space="0" w:color="auto"/>
            </w:tcBorders>
            <w:shd w:val="clear" w:color="000000" w:fill="FFFFFF"/>
            <w:hideMark/>
          </w:tcPr>
          <w:p w14:paraId="4499A95E"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560355E3"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 xml:space="preserve">GDP does not show the real progress or decline of our society  </w:t>
            </w:r>
          </w:p>
        </w:tc>
        <w:tc>
          <w:tcPr>
            <w:tcW w:w="432" w:type="pct"/>
            <w:tcBorders>
              <w:top w:val="nil"/>
              <w:left w:val="nil"/>
              <w:bottom w:val="single" w:sz="4" w:space="0" w:color="auto"/>
              <w:right w:val="single" w:sz="4" w:space="0" w:color="auto"/>
            </w:tcBorders>
            <w:shd w:val="clear" w:color="auto" w:fill="auto"/>
            <w:vAlign w:val="center"/>
          </w:tcPr>
          <w:p w14:paraId="5902BE07"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59410735"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2EBE4EFA" w14:textId="77777777" w:rsidR="005D0F8A" w:rsidRPr="004E0468" w:rsidRDefault="005D0F8A" w:rsidP="005D0F8A">
            <w:pPr>
              <w:spacing w:line="240" w:lineRule="auto"/>
              <w:jc w:val="right"/>
              <w:rPr>
                <w:rFonts w:ascii="Calibri" w:hAnsi="Calibri"/>
                <w:color w:val="0000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55E894AD"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569C921B" w14:textId="77777777" w:rsidR="005D0F8A" w:rsidRPr="004E0468" w:rsidRDefault="005D0F8A" w:rsidP="005D0F8A">
            <w:pPr>
              <w:spacing w:line="240" w:lineRule="auto"/>
              <w:jc w:val="right"/>
              <w:rPr>
                <w:rFonts w:ascii="Calibri" w:hAnsi="Calibri"/>
                <w:color w:val="000000"/>
                <w:sz w:val="16"/>
                <w:szCs w:val="16"/>
              </w:rPr>
            </w:pPr>
          </w:p>
        </w:tc>
        <w:tc>
          <w:tcPr>
            <w:tcW w:w="431" w:type="pct"/>
            <w:tcBorders>
              <w:top w:val="nil"/>
              <w:left w:val="nil"/>
              <w:bottom w:val="single" w:sz="4" w:space="0" w:color="auto"/>
              <w:right w:val="single" w:sz="4" w:space="0" w:color="auto"/>
            </w:tcBorders>
            <w:shd w:val="clear" w:color="auto" w:fill="auto"/>
            <w:vAlign w:val="center"/>
          </w:tcPr>
          <w:p w14:paraId="4F9DE6CE" w14:textId="77777777" w:rsidR="005D0F8A" w:rsidRPr="004E0468" w:rsidRDefault="005D0F8A" w:rsidP="005D0F8A">
            <w:pPr>
              <w:spacing w:line="240" w:lineRule="auto"/>
              <w:jc w:val="right"/>
              <w:rPr>
                <w:rFonts w:ascii="Calibri" w:hAnsi="Calibri"/>
                <w:color w:val="000000"/>
                <w:sz w:val="16"/>
                <w:szCs w:val="16"/>
              </w:rPr>
            </w:pPr>
          </w:p>
        </w:tc>
      </w:tr>
      <w:tr w:rsidR="005D0F8A" w:rsidRPr="004E0468" w14:paraId="237D855D" w14:textId="77777777" w:rsidTr="004C0C08">
        <w:trPr>
          <w:cantSplit/>
          <w:trHeight w:val="20"/>
        </w:trPr>
        <w:tc>
          <w:tcPr>
            <w:tcW w:w="168" w:type="pct"/>
            <w:vMerge/>
            <w:tcBorders>
              <w:left w:val="single" w:sz="4" w:space="0" w:color="auto"/>
              <w:bottom w:val="single" w:sz="4" w:space="0" w:color="auto"/>
              <w:right w:val="single" w:sz="4" w:space="0" w:color="auto"/>
            </w:tcBorders>
            <w:shd w:val="clear" w:color="000000" w:fill="FFFFFF"/>
            <w:hideMark/>
          </w:tcPr>
          <w:p w14:paraId="2928751D"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1021A1FE"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Resistance from powerful stakeholders with large interests in status quo</w:t>
            </w: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0598C"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26884C9E"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F00D82" w14:textId="77777777" w:rsidR="005D0F8A" w:rsidRPr="004E0468" w:rsidRDefault="005D0F8A" w:rsidP="005D0F8A">
            <w:pPr>
              <w:spacing w:line="240" w:lineRule="auto"/>
              <w:jc w:val="right"/>
              <w:rPr>
                <w:rFonts w:ascii="Calibri" w:hAnsi="Calibri"/>
                <w:color w:val="9C65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75431255"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234C7A" w14:textId="77777777" w:rsidR="005D0F8A" w:rsidRPr="004E0468" w:rsidRDefault="005D0F8A" w:rsidP="005D0F8A">
            <w:pPr>
              <w:spacing w:line="240" w:lineRule="auto"/>
              <w:jc w:val="right"/>
              <w:rPr>
                <w:rFonts w:ascii="Calibri" w:hAnsi="Calibri"/>
                <w:color w:val="9C6500"/>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39B910" w14:textId="77777777" w:rsidR="005D0F8A" w:rsidRPr="004E0468" w:rsidRDefault="005D0F8A" w:rsidP="005D0F8A">
            <w:pPr>
              <w:spacing w:line="240" w:lineRule="auto"/>
              <w:jc w:val="right"/>
              <w:rPr>
                <w:rFonts w:ascii="Calibri" w:hAnsi="Calibri"/>
                <w:color w:val="9C6500"/>
                <w:sz w:val="16"/>
                <w:szCs w:val="16"/>
              </w:rPr>
            </w:pPr>
          </w:p>
        </w:tc>
      </w:tr>
      <w:tr w:rsidR="005D0F8A" w:rsidRPr="004E0468" w14:paraId="6B8A702E" w14:textId="77777777" w:rsidTr="004C0C08">
        <w:trPr>
          <w:cantSplit/>
          <w:trHeight w:val="20"/>
        </w:trPr>
        <w:tc>
          <w:tcPr>
            <w:tcW w:w="168" w:type="pct"/>
            <w:vMerge w:val="restart"/>
            <w:tcBorders>
              <w:top w:val="nil"/>
              <w:left w:val="single" w:sz="4" w:space="0" w:color="auto"/>
              <w:right w:val="single" w:sz="4" w:space="0" w:color="auto"/>
            </w:tcBorders>
            <w:shd w:val="clear" w:color="000000" w:fill="FFFFFF"/>
            <w:textDirection w:val="btLr"/>
            <w:hideMark/>
          </w:tcPr>
          <w:p w14:paraId="2171FF81" w14:textId="77777777" w:rsidR="005D0F8A" w:rsidRPr="004E0468" w:rsidRDefault="005D0F8A" w:rsidP="005D0F8A">
            <w:pPr>
              <w:spacing w:line="240" w:lineRule="auto"/>
              <w:ind w:left="113" w:right="113"/>
              <w:rPr>
                <w:rFonts w:ascii="Calibri" w:hAnsi="Calibri"/>
                <w:color w:val="000000"/>
                <w:sz w:val="16"/>
                <w:szCs w:val="16"/>
              </w:rPr>
            </w:pPr>
            <w:r w:rsidRPr="004E0468">
              <w:rPr>
                <w:rFonts w:ascii="Calibri" w:hAnsi="Calibri"/>
                <w:color w:val="000000"/>
                <w:sz w:val="16"/>
                <w:szCs w:val="16"/>
              </w:rPr>
              <w:t>Technological</w:t>
            </w:r>
          </w:p>
        </w:tc>
        <w:tc>
          <w:tcPr>
            <w:tcW w:w="2238" w:type="pct"/>
            <w:tcBorders>
              <w:top w:val="nil"/>
              <w:left w:val="nil"/>
              <w:bottom w:val="single" w:sz="4" w:space="0" w:color="auto"/>
              <w:right w:val="single" w:sz="4" w:space="0" w:color="auto"/>
            </w:tcBorders>
            <w:shd w:val="clear" w:color="000000" w:fill="FFFFFF"/>
            <w:noWrap/>
            <w:hideMark/>
          </w:tcPr>
          <w:p w14:paraId="2D63AC9D"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Limited attention for end-of-life phase in current product designs</w:t>
            </w:r>
          </w:p>
        </w:tc>
        <w:tc>
          <w:tcPr>
            <w:tcW w:w="43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3E1D814" w14:textId="77777777" w:rsidR="005D0F8A" w:rsidRPr="004E0468" w:rsidRDefault="005D0F8A" w:rsidP="005D0F8A">
            <w:pPr>
              <w:spacing w:line="240" w:lineRule="auto"/>
              <w:jc w:val="right"/>
              <w:rPr>
                <w:rFonts w:ascii="Calibri" w:hAnsi="Calibri"/>
                <w:color w:val="9C0006"/>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A2B5752" w14:textId="77777777" w:rsidR="005D0F8A" w:rsidRPr="004E0468" w:rsidRDefault="005D0F8A" w:rsidP="005D0F8A">
            <w:pPr>
              <w:spacing w:line="240" w:lineRule="auto"/>
              <w:jc w:val="right"/>
              <w:rPr>
                <w:rFonts w:ascii="Calibri" w:hAnsi="Calibri"/>
                <w:color w:val="9C0006"/>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BC1DFC0" w14:textId="77777777" w:rsidR="005D0F8A" w:rsidRPr="004E0468" w:rsidRDefault="005D0F8A" w:rsidP="005D0F8A">
            <w:pPr>
              <w:spacing w:line="240" w:lineRule="auto"/>
              <w:jc w:val="right"/>
              <w:rPr>
                <w:rFonts w:ascii="Calibri" w:hAnsi="Calibri"/>
                <w:color w:val="9C0006"/>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7B17EFF" w14:textId="77777777" w:rsidR="005D0F8A" w:rsidRPr="004E0468" w:rsidRDefault="005D0F8A" w:rsidP="005D0F8A">
            <w:pPr>
              <w:spacing w:line="240" w:lineRule="auto"/>
              <w:jc w:val="right"/>
              <w:rPr>
                <w:rFonts w:ascii="Calibri" w:hAnsi="Calibri"/>
                <w:color w:val="9C0006"/>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F61E9F4" w14:textId="77777777" w:rsidR="005D0F8A" w:rsidRPr="004E0468" w:rsidRDefault="005D0F8A" w:rsidP="005D0F8A">
            <w:pPr>
              <w:spacing w:line="240" w:lineRule="auto"/>
              <w:jc w:val="right"/>
              <w:rPr>
                <w:rFonts w:ascii="Calibri" w:hAnsi="Calibri"/>
                <w:color w:val="9C0006"/>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A593672" w14:textId="77777777" w:rsidR="005D0F8A" w:rsidRPr="004E0468" w:rsidRDefault="005D0F8A" w:rsidP="005D0F8A">
            <w:pPr>
              <w:spacing w:line="240" w:lineRule="auto"/>
              <w:jc w:val="right"/>
              <w:rPr>
                <w:rFonts w:ascii="Calibri" w:hAnsi="Calibri"/>
                <w:color w:val="9C0006"/>
                <w:sz w:val="16"/>
                <w:szCs w:val="16"/>
              </w:rPr>
            </w:pPr>
          </w:p>
        </w:tc>
      </w:tr>
      <w:tr w:rsidR="005D0F8A" w:rsidRPr="004E0468" w14:paraId="5D95FE12" w14:textId="77777777" w:rsidTr="004C0C08">
        <w:trPr>
          <w:cantSplit/>
          <w:trHeight w:val="20"/>
        </w:trPr>
        <w:tc>
          <w:tcPr>
            <w:tcW w:w="168" w:type="pct"/>
            <w:vMerge/>
            <w:tcBorders>
              <w:left w:val="single" w:sz="4" w:space="0" w:color="auto"/>
              <w:right w:val="single" w:sz="4" w:space="0" w:color="auto"/>
            </w:tcBorders>
            <w:shd w:val="clear" w:color="000000" w:fill="FFFFFF"/>
            <w:hideMark/>
          </w:tcPr>
          <w:p w14:paraId="38FE7A77"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15ACF456"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Limited availability and quality of recycling material</w:t>
            </w:r>
          </w:p>
        </w:tc>
        <w:tc>
          <w:tcPr>
            <w:tcW w:w="432"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7263733" w14:textId="77777777" w:rsidR="005D0F8A" w:rsidRPr="004E0468" w:rsidRDefault="005D0F8A" w:rsidP="005D0F8A">
            <w:pPr>
              <w:spacing w:line="240" w:lineRule="auto"/>
              <w:jc w:val="right"/>
              <w:rPr>
                <w:rFonts w:ascii="Calibri" w:hAnsi="Calibri"/>
                <w:color w:val="0061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0205C99" w14:textId="77777777" w:rsidR="005D0F8A" w:rsidRPr="004E0468" w:rsidRDefault="005D0F8A" w:rsidP="005D0F8A">
            <w:pPr>
              <w:spacing w:line="240" w:lineRule="auto"/>
              <w:jc w:val="right"/>
              <w:rPr>
                <w:rFonts w:ascii="Calibri" w:hAnsi="Calibri"/>
                <w:color w:val="0061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48D0E7B" w14:textId="77777777" w:rsidR="005D0F8A" w:rsidRPr="004E0468" w:rsidRDefault="005D0F8A" w:rsidP="005D0F8A">
            <w:pPr>
              <w:spacing w:line="240" w:lineRule="auto"/>
              <w:jc w:val="right"/>
              <w:rPr>
                <w:rFonts w:ascii="Calibri" w:hAnsi="Calibri"/>
                <w:color w:val="006100"/>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7167AA"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33A2CAE3" w14:textId="77777777" w:rsidR="005D0F8A" w:rsidRPr="004E0468" w:rsidRDefault="005D0F8A" w:rsidP="005D0F8A">
            <w:pPr>
              <w:spacing w:line="240" w:lineRule="auto"/>
              <w:jc w:val="right"/>
              <w:rPr>
                <w:rFonts w:ascii="Calibri" w:hAnsi="Calibri"/>
                <w:color w:val="000000"/>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4E300C" w14:textId="77777777" w:rsidR="005D0F8A" w:rsidRPr="004E0468" w:rsidRDefault="005D0F8A" w:rsidP="005D0F8A">
            <w:pPr>
              <w:spacing w:line="240" w:lineRule="auto"/>
              <w:jc w:val="right"/>
              <w:rPr>
                <w:rFonts w:ascii="Calibri" w:hAnsi="Calibri"/>
                <w:color w:val="9C6500"/>
                <w:sz w:val="16"/>
                <w:szCs w:val="16"/>
              </w:rPr>
            </w:pPr>
          </w:p>
        </w:tc>
      </w:tr>
      <w:tr w:rsidR="005D0F8A" w:rsidRPr="004E0468" w14:paraId="5F3019DD" w14:textId="77777777" w:rsidTr="004C0C08">
        <w:trPr>
          <w:cantSplit/>
          <w:trHeight w:val="20"/>
        </w:trPr>
        <w:tc>
          <w:tcPr>
            <w:tcW w:w="168" w:type="pct"/>
            <w:vMerge/>
            <w:tcBorders>
              <w:left w:val="single" w:sz="4" w:space="0" w:color="auto"/>
              <w:right w:val="single" w:sz="4" w:space="0" w:color="auto"/>
            </w:tcBorders>
            <w:shd w:val="clear" w:color="000000" w:fill="FFFFFF"/>
            <w:hideMark/>
          </w:tcPr>
          <w:p w14:paraId="5E40DDD7"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798B711F"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 xml:space="preserve">New challenges to separate the bio- from the </w:t>
            </w:r>
            <w:proofErr w:type="spellStart"/>
            <w:r w:rsidRPr="004E0468">
              <w:rPr>
                <w:rFonts w:ascii="Calibri" w:hAnsi="Calibri"/>
                <w:color w:val="000000"/>
                <w:sz w:val="16"/>
                <w:szCs w:val="16"/>
              </w:rPr>
              <w:t>technocycle</w:t>
            </w:r>
            <w:proofErr w:type="spellEnd"/>
            <w:r w:rsidRPr="004E0468">
              <w:rPr>
                <w:rFonts w:ascii="Calibri" w:hAnsi="Calibri"/>
                <w:color w:val="000000"/>
                <w:sz w:val="16"/>
                <w:szCs w:val="16"/>
              </w:rPr>
              <w:t xml:space="preserve">   </w:t>
            </w:r>
          </w:p>
        </w:tc>
        <w:tc>
          <w:tcPr>
            <w:tcW w:w="432" w:type="pct"/>
            <w:tcBorders>
              <w:top w:val="nil"/>
              <w:left w:val="nil"/>
              <w:bottom w:val="single" w:sz="4" w:space="0" w:color="auto"/>
              <w:right w:val="single" w:sz="4" w:space="0" w:color="auto"/>
            </w:tcBorders>
            <w:shd w:val="clear" w:color="auto" w:fill="auto"/>
            <w:vAlign w:val="center"/>
          </w:tcPr>
          <w:p w14:paraId="757FA14D"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3C5C0E85"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32A5CE6C" w14:textId="77777777" w:rsidR="005D0F8A" w:rsidRPr="004E0468" w:rsidRDefault="005D0F8A" w:rsidP="005D0F8A">
            <w:pPr>
              <w:spacing w:line="240" w:lineRule="auto"/>
              <w:jc w:val="right"/>
              <w:rPr>
                <w:rFonts w:ascii="Calibri" w:hAnsi="Calibri"/>
                <w:color w:val="000000"/>
                <w:sz w:val="16"/>
                <w:szCs w:val="16"/>
              </w:rPr>
            </w:pPr>
          </w:p>
        </w:tc>
        <w:tc>
          <w:tcPr>
            <w:tcW w:w="432" w:type="pct"/>
            <w:tcBorders>
              <w:top w:val="nil"/>
              <w:left w:val="nil"/>
              <w:bottom w:val="single" w:sz="4" w:space="0" w:color="auto"/>
              <w:right w:val="single" w:sz="4" w:space="0" w:color="auto"/>
            </w:tcBorders>
            <w:shd w:val="clear" w:color="auto" w:fill="auto"/>
            <w:vAlign w:val="center"/>
          </w:tcPr>
          <w:p w14:paraId="1DECD15D"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2128A53E" w14:textId="77777777" w:rsidR="005D0F8A" w:rsidRPr="004E0468" w:rsidRDefault="005D0F8A" w:rsidP="005D0F8A">
            <w:pPr>
              <w:spacing w:line="240" w:lineRule="auto"/>
              <w:jc w:val="right"/>
              <w:rPr>
                <w:rFonts w:ascii="Calibri" w:hAnsi="Calibri"/>
                <w:color w:val="000000"/>
                <w:sz w:val="16"/>
                <w:szCs w:val="16"/>
              </w:rPr>
            </w:pPr>
          </w:p>
        </w:tc>
        <w:tc>
          <w:tcPr>
            <w:tcW w:w="431" w:type="pct"/>
            <w:tcBorders>
              <w:top w:val="nil"/>
              <w:left w:val="nil"/>
              <w:bottom w:val="single" w:sz="4" w:space="0" w:color="auto"/>
              <w:right w:val="single" w:sz="4" w:space="0" w:color="auto"/>
            </w:tcBorders>
            <w:shd w:val="clear" w:color="auto" w:fill="auto"/>
            <w:vAlign w:val="center"/>
          </w:tcPr>
          <w:p w14:paraId="2F5807CD" w14:textId="77777777" w:rsidR="005D0F8A" w:rsidRPr="004E0468" w:rsidRDefault="005D0F8A" w:rsidP="005D0F8A">
            <w:pPr>
              <w:spacing w:line="240" w:lineRule="auto"/>
              <w:jc w:val="right"/>
              <w:rPr>
                <w:rFonts w:ascii="Calibri" w:hAnsi="Calibri"/>
                <w:color w:val="000000"/>
                <w:sz w:val="16"/>
                <w:szCs w:val="16"/>
              </w:rPr>
            </w:pPr>
          </w:p>
        </w:tc>
      </w:tr>
      <w:tr w:rsidR="005D0F8A" w:rsidRPr="004E0468" w14:paraId="56F566F1" w14:textId="77777777" w:rsidTr="004C0C08">
        <w:trPr>
          <w:cantSplit/>
          <w:trHeight w:val="20"/>
        </w:trPr>
        <w:tc>
          <w:tcPr>
            <w:tcW w:w="168" w:type="pct"/>
            <w:vMerge/>
            <w:tcBorders>
              <w:left w:val="single" w:sz="4" w:space="0" w:color="auto"/>
              <w:bottom w:val="single" w:sz="4" w:space="0" w:color="auto"/>
              <w:right w:val="single" w:sz="4" w:space="0" w:color="auto"/>
            </w:tcBorders>
            <w:shd w:val="clear" w:color="000000" w:fill="FFFFFF"/>
            <w:hideMark/>
          </w:tcPr>
          <w:p w14:paraId="535D1DAF" w14:textId="77777777" w:rsidR="005D0F8A" w:rsidRPr="004E0468" w:rsidRDefault="005D0F8A" w:rsidP="005D0F8A">
            <w:pPr>
              <w:spacing w:line="240" w:lineRule="auto"/>
              <w:rPr>
                <w:rFonts w:ascii="Calibri" w:hAnsi="Calibri"/>
                <w:color w:val="000000"/>
                <w:sz w:val="16"/>
                <w:szCs w:val="16"/>
              </w:rPr>
            </w:pPr>
          </w:p>
        </w:tc>
        <w:tc>
          <w:tcPr>
            <w:tcW w:w="2238" w:type="pct"/>
            <w:tcBorders>
              <w:top w:val="nil"/>
              <w:left w:val="nil"/>
              <w:bottom w:val="single" w:sz="4" w:space="0" w:color="auto"/>
              <w:right w:val="single" w:sz="4" w:space="0" w:color="auto"/>
            </w:tcBorders>
            <w:shd w:val="clear" w:color="000000" w:fill="FFFFFF"/>
            <w:noWrap/>
            <w:hideMark/>
          </w:tcPr>
          <w:p w14:paraId="364899B7"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 xml:space="preserve">Linear technologies are deeply rooted </w:t>
            </w: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3DE4D7"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5380BA09" w14:textId="77777777" w:rsidR="005D0F8A" w:rsidRPr="004E0468" w:rsidRDefault="005D0F8A" w:rsidP="005D0F8A">
            <w:pPr>
              <w:spacing w:line="240" w:lineRule="auto"/>
              <w:jc w:val="right"/>
              <w:rPr>
                <w:rFonts w:ascii="Calibri" w:hAnsi="Calibri"/>
                <w:color w:val="0000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6DD260" w14:textId="77777777" w:rsidR="005D0F8A" w:rsidRPr="004E0468" w:rsidRDefault="005D0F8A" w:rsidP="005D0F8A">
            <w:pPr>
              <w:spacing w:line="240" w:lineRule="auto"/>
              <w:jc w:val="right"/>
              <w:rPr>
                <w:rFonts w:ascii="Calibri" w:hAnsi="Calibri"/>
                <w:color w:val="9C6500"/>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2C5DF3" w14:textId="77777777" w:rsidR="005D0F8A" w:rsidRPr="004E0468" w:rsidRDefault="005D0F8A" w:rsidP="005D0F8A">
            <w:pPr>
              <w:spacing w:line="240" w:lineRule="auto"/>
              <w:jc w:val="right"/>
              <w:rPr>
                <w:rFonts w:ascii="Calibri" w:hAnsi="Calibri"/>
                <w:color w:val="9C6500"/>
                <w:sz w:val="16"/>
                <w:szCs w:val="16"/>
              </w:rPr>
            </w:pPr>
          </w:p>
        </w:tc>
        <w:tc>
          <w:tcPr>
            <w:tcW w:w="433" w:type="pct"/>
            <w:tcBorders>
              <w:top w:val="nil"/>
              <w:left w:val="nil"/>
              <w:bottom w:val="single" w:sz="4" w:space="0" w:color="auto"/>
              <w:right w:val="single" w:sz="4" w:space="0" w:color="auto"/>
            </w:tcBorders>
            <w:shd w:val="clear" w:color="auto" w:fill="auto"/>
            <w:vAlign w:val="center"/>
          </w:tcPr>
          <w:p w14:paraId="7D1D3281" w14:textId="77777777" w:rsidR="005D0F8A" w:rsidRPr="004E0468" w:rsidRDefault="005D0F8A" w:rsidP="005D0F8A">
            <w:pPr>
              <w:spacing w:line="240" w:lineRule="auto"/>
              <w:jc w:val="right"/>
              <w:rPr>
                <w:rFonts w:ascii="Calibri" w:hAnsi="Calibri"/>
                <w:color w:val="000000"/>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76909" w14:textId="77777777" w:rsidR="005D0F8A" w:rsidRPr="004E0468" w:rsidRDefault="005D0F8A" w:rsidP="005D0F8A">
            <w:pPr>
              <w:spacing w:line="240" w:lineRule="auto"/>
              <w:jc w:val="right"/>
              <w:rPr>
                <w:rFonts w:ascii="Calibri" w:hAnsi="Calibri"/>
                <w:color w:val="9C6500"/>
                <w:sz w:val="16"/>
                <w:szCs w:val="16"/>
              </w:rPr>
            </w:pPr>
          </w:p>
        </w:tc>
      </w:tr>
    </w:tbl>
    <w:p w14:paraId="2B6DCA06" w14:textId="77777777" w:rsidR="009F6496" w:rsidRPr="004E0468" w:rsidRDefault="009F6496" w:rsidP="009F6496"/>
    <w:tbl>
      <w:tblPr>
        <w:tblW w:w="4390" w:type="dxa"/>
        <w:tblLook w:val="04A0" w:firstRow="1" w:lastRow="0" w:firstColumn="1" w:lastColumn="0" w:noHBand="0" w:noVBand="1"/>
      </w:tblPr>
      <w:tblGrid>
        <w:gridCol w:w="960"/>
        <w:gridCol w:w="3430"/>
      </w:tblGrid>
      <w:tr w:rsidR="005D0F8A" w:rsidRPr="004E0468" w14:paraId="7C337E70" w14:textId="77777777" w:rsidTr="005D0F8A">
        <w:trPr>
          <w:trHeight w:val="20"/>
        </w:trPr>
        <w:tc>
          <w:tcPr>
            <w:tcW w:w="96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184CC4D" w14:textId="77777777" w:rsidR="005D0F8A" w:rsidRPr="004E0468" w:rsidRDefault="005D0F8A" w:rsidP="005D0F8A">
            <w:pPr>
              <w:spacing w:line="240" w:lineRule="auto"/>
              <w:jc w:val="right"/>
              <w:rPr>
                <w:rFonts w:ascii="Calibri" w:hAnsi="Calibri"/>
                <w:color w:val="9C0006"/>
                <w:sz w:val="16"/>
                <w:szCs w:val="16"/>
              </w:rPr>
            </w:pPr>
          </w:p>
        </w:tc>
        <w:tc>
          <w:tcPr>
            <w:tcW w:w="3430" w:type="dxa"/>
            <w:tcBorders>
              <w:top w:val="single" w:sz="4" w:space="0" w:color="auto"/>
              <w:left w:val="nil"/>
              <w:bottom w:val="single" w:sz="4" w:space="0" w:color="auto"/>
              <w:right w:val="single" w:sz="4" w:space="0" w:color="auto"/>
            </w:tcBorders>
            <w:shd w:val="clear" w:color="auto" w:fill="auto"/>
            <w:noWrap/>
            <w:vAlign w:val="bottom"/>
            <w:hideMark/>
          </w:tcPr>
          <w:p w14:paraId="5E9E5BC5"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 </w:t>
            </w:r>
            <w:r w:rsidRPr="004E0468">
              <w:rPr>
                <w:rFonts w:ascii="Calibri" w:hAnsi="Calibri"/>
                <w:sz w:val="16"/>
                <w:szCs w:val="16"/>
              </w:rPr>
              <w:t>60% ≤</w:t>
            </w:r>
            <w:r w:rsidRPr="004E0468">
              <w:rPr>
                <w:sz w:val="16"/>
                <w:szCs w:val="16"/>
              </w:rPr>
              <w:t xml:space="preserve"> </w:t>
            </w:r>
            <w:r w:rsidRPr="004E0468">
              <w:rPr>
                <w:rFonts w:ascii="Calibri" w:hAnsi="Calibri"/>
                <w:sz w:val="16"/>
                <w:szCs w:val="16"/>
              </w:rPr>
              <w:t>Frequency</w:t>
            </w:r>
          </w:p>
        </w:tc>
      </w:tr>
      <w:tr w:rsidR="005D0F8A" w:rsidRPr="004E0468" w14:paraId="7B0AD82A" w14:textId="77777777" w:rsidTr="005D0F8A">
        <w:trPr>
          <w:trHeight w:val="20"/>
        </w:trPr>
        <w:tc>
          <w:tcPr>
            <w:tcW w:w="960"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tcPr>
          <w:p w14:paraId="5E868D3D" w14:textId="77777777" w:rsidR="005D0F8A" w:rsidRPr="004E0468" w:rsidRDefault="005D0F8A" w:rsidP="005D0F8A">
            <w:pPr>
              <w:spacing w:line="240" w:lineRule="auto"/>
              <w:jc w:val="right"/>
              <w:rPr>
                <w:rFonts w:ascii="Calibri" w:hAnsi="Calibri"/>
                <w:color w:val="006100"/>
                <w:sz w:val="16"/>
                <w:szCs w:val="16"/>
              </w:rPr>
            </w:pPr>
          </w:p>
        </w:tc>
        <w:tc>
          <w:tcPr>
            <w:tcW w:w="3430" w:type="dxa"/>
            <w:tcBorders>
              <w:top w:val="nil"/>
              <w:left w:val="nil"/>
              <w:bottom w:val="single" w:sz="4" w:space="0" w:color="auto"/>
              <w:right w:val="single" w:sz="4" w:space="0" w:color="auto"/>
            </w:tcBorders>
            <w:shd w:val="clear" w:color="auto" w:fill="auto"/>
            <w:noWrap/>
            <w:vAlign w:val="bottom"/>
            <w:hideMark/>
          </w:tcPr>
          <w:p w14:paraId="6AE5556B"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 </w:t>
            </w:r>
            <w:r w:rsidRPr="004E0468">
              <w:rPr>
                <w:rFonts w:ascii="Calibri" w:hAnsi="Calibri"/>
                <w:sz w:val="16"/>
                <w:szCs w:val="16"/>
              </w:rPr>
              <w:t>40% ≤ Frequency &lt; 50%</w:t>
            </w:r>
          </w:p>
        </w:tc>
      </w:tr>
      <w:tr w:rsidR="005D0F8A" w:rsidRPr="004E0468" w14:paraId="01AFA563" w14:textId="77777777" w:rsidTr="005D0F8A">
        <w:trPr>
          <w:trHeight w:val="20"/>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A13AB7B" w14:textId="77777777" w:rsidR="005D0F8A" w:rsidRPr="004E0468" w:rsidRDefault="005D0F8A" w:rsidP="005D0F8A">
            <w:pPr>
              <w:spacing w:line="240" w:lineRule="auto"/>
              <w:jc w:val="right"/>
              <w:rPr>
                <w:rFonts w:ascii="Calibri" w:hAnsi="Calibri"/>
                <w:color w:val="9C6500"/>
                <w:sz w:val="16"/>
                <w:szCs w:val="16"/>
              </w:rPr>
            </w:pPr>
          </w:p>
        </w:tc>
        <w:tc>
          <w:tcPr>
            <w:tcW w:w="3430" w:type="dxa"/>
            <w:tcBorders>
              <w:top w:val="nil"/>
              <w:left w:val="nil"/>
              <w:bottom w:val="single" w:sz="4" w:space="0" w:color="auto"/>
              <w:right w:val="single" w:sz="4" w:space="0" w:color="auto"/>
            </w:tcBorders>
            <w:shd w:val="clear" w:color="auto" w:fill="auto"/>
            <w:noWrap/>
            <w:vAlign w:val="bottom"/>
            <w:hideMark/>
          </w:tcPr>
          <w:p w14:paraId="0FA68100"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color w:val="000000"/>
                <w:sz w:val="16"/>
                <w:szCs w:val="16"/>
              </w:rPr>
              <w:t> </w:t>
            </w:r>
            <w:r w:rsidRPr="004E0468">
              <w:rPr>
                <w:rFonts w:ascii="Calibri" w:hAnsi="Calibri"/>
                <w:sz w:val="16"/>
                <w:szCs w:val="16"/>
              </w:rPr>
              <w:t>30% ≤ Frequency &lt; 40%</w:t>
            </w:r>
          </w:p>
        </w:tc>
      </w:tr>
      <w:tr w:rsidR="005D0F8A" w:rsidRPr="004E0468" w14:paraId="6C33DD8E" w14:textId="77777777" w:rsidTr="005D0F8A">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A6865E9" w14:textId="77777777" w:rsidR="005D0F8A" w:rsidRPr="004E0468" w:rsidRDefault="005D0F8A" w:rsidP="005D0F8A">
            <w:pPr>
              <w:spacing w:line="240" w:lineRule="auto"/>
              <w:jc w:val="right"/>
              <w:rPr>
                <w:rFonts w:ascii="Calibri" w:hAnsi="Calibri"/>
                <w:color w:val="000000"/>
                <w:sz w:val="16"/>
                <w:szCs w:val="16"/>
              </w:rPr>
            </w:pPr>
          </w:p>
        </w:tc>
        <w:tc>
          <w:tcPr>
            <w:tcW w:w="3430" w:type="dxa"/>
            <w:tcBorders>
              <w:top w:val="nil"/>
              <w:left w:val="nil"/>
              <w:bottom w:val="single" w:sz="4" w:space="0" w:color="auto"/>
              <w:right w:val="single" w:sz="4" w:space="0" w:color="auto"/>
            </w:tcBorders>
            <w:shd w:val="clear" w:color="auto" w:fill="auto"/>
            <w:noWrap/>
            <w:vAlign w:val="bottom"/>
            <w:hideMark/>
          </w:tcPr>
          <w:p w14:paraId="221A762A" w14:textId="77777777" w:rsidR="005D0F8A" w:rsidRPr="004E0468" w:rsidRDefault="005D0F8A" w:rsidP="005D0F8A">
            <w:pPr>
              <w:spacing w:line="240" w:lineRule="auto"/>
              <w:rPr>
                <w:rFonts w:ascii="Calibri" w:hAnsi="Calibri"/>
                <w:color w:val="000000"/>
                <w:sz w:val="16"/>
                <w:szCs w:val="16"/>
              </w:rPr>
            </w:pPr>
            <w:r w:rsidRPr="004E0468">
              <w:rPr>
                <w:rFonts w:ascii="Calibri" w:hAnsi="Calibri"/>
                <w:sz w:val="16"/>
                <w:szCs w:val="16"/>
              </w:rPr>
              <w:t>Frequency &lt;30%</w:t>
            </w:r>
          </w:p>
        </w:tc>
      </w:tr>
    </w:tbl>
    <w:p w14:paraId="45090357" w14:textId="77777777" w:rsidR="009F6496" w:rsidRPr="004E0468" w:rsidRDefault="009F6496" w:rsidP="009F6496"/>
    <w:p w14:paraId="648A631C" w14:textId="2C092601" w:rsidR="009F6496" w:rsidRPr="004E0468" w:rsidRDefault="009F6496" w:rsidP="00F40F6E">
      <w:pPr>
        <w:jc w:val="both"/>
      </w:pPr>
    </w:p>
    <w:p w14:paraId="21800018" w14:textId="77777777" w:rsidR="009F6496" w:rsidRPr="004E0468" w:rsidRDefault="009F6496" w:rsidP="00F40F6E">
      <w:pPr>
        <w:jc w:val="both"/>
        <w:sectPr w:rsidR="009F6496" w:rsidRPr="004E0468" w:rsidSect="009F6496">
          <w:pgSz w:w="16840" w:h="11901" w:orient="landscape" w:code="9"/>
          <w:pgMar w:top="1701" w:right="1418" w:bottom="1701" w:left="1418" w:header="709" w:footer="709" w:gutter="0"/>
          <w:cols w:space="708"/>
          <w:docGrid w:linePitch="360"/>
        </w:sectPr>
      </w:pPr>
    </w:p>
    <w:p w14:paraId="7C297E1C" w14:textId="2905CCB2" w:rsidR="00177F66" w:rsidRPr="004E0468" w:rsidRDefault="00177F66" w:rsidP="00177F66">
      <w:pPr>
        <w:pStyle w:val="Heading2"/>
      </w:pPr>
      <w:r w:rsidRPr="004E0468">
        <w:lastRenderedPageBreak/>
        <w:t>4.1 Resource and Energy Utilisation Practices</w:t>
      </w:r>
    </w:p>
    <w:p w14:paraId="5ED803D6" w14:textId="44F5BEC1" w:rsidR="00177F66" w:rsidRPr="004E0468" w:rsidRDefault="00177F66" w:rsidP="00177F66">
      <w:pPr>
        <w:jc w:val="both"/>
      </w:pPr>
      <w:r w:rsidRPr="004E0468">
        <w:t xml:space="preserve">The results of the study illustrated in Table </w:t>
      </w:r>
      <w:r w:rsidR="001A006F" w:rsidRPr="004E0468">
        <w:t>5</w:t>
      </w:r>
      <w:r w:rsidRPr="004E0468">
        <w:t xml:space="preserve"> indi</w:t>
      </w:r>
      <w:r w:rsidR="00C5063B" w:rsidRPr="004E0468">
        <w:t>cate that practices related to ‘resource and e</w:t>
      </w:r>
      <w:r w:rsidRPr="004E0468">
        <w:t>ne</w:t>
      </w:r>
      <w:r w:rsidR="00C5063B" w:rsidRPr="004E0468">
        <w:t>rgy utilisation e</w:t>
      </w:r>
      <w:r w:rsidRPr="004E0468">
        <w:t>fficiency</w:t>
      </w:r>
      <w:r w:rsidR="00C5063B" w:rsidRPr="004E0468">
        <w:t>’</w:t>
      </w:r>
      <w:r w:rsidRPr="004E0468">
        <w:t xml:space="preserve"> tend to be more commonly implemented than other practices. This is valid for both current implementation and for the intention of implementing such practices. In this case, the majority of the parti</w:t>
      </w:r>
      <w:r w:rsidR="004E5ECD" w:rsidRPr="004E0468">
        <w:t>cipant companies indicated</w:t>
      </w:r>
      <w:r w:rsidRPr="004E0468">
        <w:t xml:space="preserve"> the implementation of these practices, with 28.57% of companies focusing on reducing material consumption and 33.77% focusing on reducing wastes. The high levels of implementation of </w:t>
      </w:r>
      <w:r w:rsidR="00C5063B" w:rsidRPr="004E0468">
        <w:t>‘resource and energy utilisation efficiency’</w:t>
      </w:r>
      <w:r w:rsidRPr="004E0468">
        <w:t xml:space="preserve"> practices may be explained by their fast return on investment, in line with previous findings reported in the academic literature that have highlighted how the implementation of </w:t>
      </w:r>
      <w:r w:rsidR="00B23F5E" w:rsidRPr="004E0468">
        <w:t>CE</w:t>
      </w:r>
      <w:r w:rsidRPr="004E0468">
        <w:t xml:space="preserve"> and sustainability-based models is mostly driven by economical consumption behaviours rather than conservation-conscious behaviours (Liu et al. 2009). In addition, the synergy between productivity and environmental conservation created by these practices may be another factor for companies to be attracted to their implementation. The major barrier to the deployment of </w:t>
      </w:r>
      <w:r w:rsidR="00C5063B" w:rsidRPr="004E0468">
        <w:t xml:space="preserve">‘resource and energy utilisation efficiency’ </w:t>
      </w:r>
      <w:r w:rsidRPr="004E0468">
        <w:t xml:space="preserve">practices was found to be a </w:t>
      </w:r>
      <w:r w:rsidR="00C5063B" w:rsidRPr="004E0468">
        <w:t>‘</w:t>
      </w:r>
      <w:r w:rsidRPr="004E0468">
        <w:t>lack of awareness and sense of urgency</w:t>
      </w:r>
      <w:r w:rsidR="00C5063B" w:rsidRPr="004E0468">
        <w:t>’</w:t>
      </w:r>
      <w:r w:rsidRPr="004E0468">
        <w:t xml:space="preserve"> (77.33%). Garza-Reyes (2015) suggests that environmental concerns and pressures have contributed to organisations being more environmentally aware and ‘greening’ their operations. </w:t>
      </w:r>
      <w:r w:rsidR="005939B8" w:rsidRPr="004E0468">
        <w:t>H</w:t>
      </w:r>
      <w:r w:rsidRPr="004E0468">
        <w:t xml:space="preserve">owever, </w:t>
      </w:r>
      <w:r w:rsidR="005939B8" w:rsidRPr="004E0468">
        <w:t xml:space="preserve">this does </w:t>
      </w:r>
      <w:r w:rsidRPr="004E0468">
        <w:t>not</w:t>
      </w:r>
      <w:r w:rsidR="005939B8" w:rsidRPr="004E0468">
        <w:t xml:space="preserve"> appear</w:t>
      </w:r>
      <w:r w:rsidRPr="004E0468">
        <w:t xml:space="preserve"> to be the case fo</w:t>
      </w:r>
      <w:r w:rsidR="002C488C" w:rsidRPr="004E0468">
        <w:t>r the participant organisations</w:t>
      </w:r>
      <w:r w:rsidR="00E76F8C" w:rsidRPr="004E0468">
        <w:t xml:space="preserve">. Thus, the results of this study suggest </w:t>
      </w:r>
      <w:r w:rsidR="00145B6D" w:rsidRPr="004E0468">
        <w:t>that even though environmental awareness and sense of urgency to be</w:t>
      </w:r>
      <w:r w:rsidR="00E76F8C" w:rsidRPr="004E0468">
        <w:t xml:space="preserve">come more sustainable </w:t>
      </w:r>
      <w:r w:rsidR="00E832AA" w:rsidRPr="004E0468">
        <w:t xml:space="preserve">may </w:t>
      </w:r>
      <w:r w:rsidR="004E5ECD" w:rsidRPr="004E0468">
        <w:t xml:space="preserve">have </w:t>
      </w:r>
      <w:r w:rsidR="00145B6D" w:rsidRPr="004E0468">
        <w:t xml:space="preserve">increased around </w:t>
      </w:r>
      <w:r w:rsidR="00E76F8C" w:rsidRPr="004E0468">
        <w:t>the world,</w:t>
      </w:r>
      <w:r w:rsidR="00FC5E70" w:rsidRPr="004E0468">
        <w:t xml:space="preserve"> lack of awareness and sense of urgency are </w:t>
      </w:r>
      <w:r w:rsidR="004E5ECD" w:rsidRPr="004E0468">
        <w:t>still</w:t>
      </w:r>
      <w:r w:rsidR="00FC5E70" w:rsidRPr="004E0468">
        <w:t xml:space="preserve"> acting as</w:t>
      </w:r>
      <w:r w:rsidR="0035258C" w:rsidRPr="004E0468">
        <w:t xml:space="preserve"> important barrier</w:t>
      </w:r>
      <w:r w:rsidR="004E5ECD" w:rsidRPr="004E0468">
        <w:t xml:space="preserve"> </w:t>
      </w:r>
      <w:r w:rsidR="00DF0CEA" w:rsidRPr="004E0468">
        <w:t>which impede</w:t>
      </w:r>
      <w:r w:rsidR="004E5ECD" w:rsidRPr="004E0468">
        <w:t xml:space="preserve"> the adoption of sustainable practices</w:t>
      </w:r>
      <w:r w:rsidR="00E76F8C" w:rsidRPr="004E0468">
        <w:t>.</w:t>
      </w:r>
      <w:r w:rsidR="00145B6D" w:rsidRPr="004E0468">
        <w:rPr>
          <w:color w:val="FF0000"/>
        </w:rPr>
        <w:t xml:space="preserve"> </w:t>
      </w:r>
      <w:r w:rsidR="00360489" w:rsidRPr="004E0468">
        <w:rPr>
          <w:color w:val="FF0000"/>
        </w:rPr>
        <w:t xml:space="preserve"> </w:t>
      </w:r>
      <w:r w:rsidRPr="004E0468">
        <w:t xml:space="preserve">Other barriers to the implementation of </w:t>
      </w:r>
      <w:r w:rsidR="00C5063B" w:rsidRPr="004E0468">
        <w:t xml:space="preserve">‘resource and energy utilisation efficiency’ </w:t>
      </w:r>
      <w:r w:rsidRPr="004E0468">
        <w:t xml:space="preserve">practices included </w:t>
      </w:r>
      <w:r w:rsidR="00C5063B" w:rsidRPr="004E0468">
        <w:t>‘</w:t>
      </w:r>
      <w:r w:rsidRPr="004E0468">
        <w:t>major up-front investment cost</w:t>
      </w:r>
      <w:r w:rsidR="00C5063B" w:rsidRPr="004E0468">
        <w:t>’</w:t>
      </w:r>
      <w:r w:rsidRPr="004E0468">
        <w:t xml:space="preserve"> (65.33%), </w:t>
      </w:r>
      <w:r w:rsidR="00C5063B" w:rsidRPr="004E0468">
        <w:t>‘</w:t>
      </w:r>
      <w:r w:rsidRPr="004E0468">
        <w:t xml:space="preserve">lack of clear, standardized, quantitative measurement and goals for assessing the performance of a </w:t>
      </w:r>
      <w:r w:rsidRPr="004E0468">
        <w:lastRenderedPageBreak/>
        <w:t>circular sustainable development model</w:t>
      </w:r>
      <w:r w:rsidR="00C5063B" w:rsidRPr="004E0468">
        <w:t>’</w:t>
      </w:r>
      <w:r w:rsidRPr="004E0468">
        <w:t xml:space="preserve"> (61.33%), </w:t>
      </w:r>
      <w:r w:rsidR="00C5063B" w:rsidRPr="004E0468">
        <w:t>‘</w:t>
      </w:r>
      <w:r w:rsidRPr="004E0468">
        <w:t>life phase in current product designs</w:t>
      </w:r>
      <w:r w:rsidR="00C5063B" w:rsidRPr="004E0468">
        <w:t>’</w:t>
      </w:r>
      <w:r w:rsidRPr="004E0468">
        <w:t xml:space="preserve"> (60.56%) and </w:t>
      </w:r>
      <w:r w:rsidR="00C5063B" w:rsidRPr="004E0468">
        <w:t>‘</w:t>
      </w:r>
      <w:r w:rsidRPr="004E0468">
        <w:t>higher costs for management and planning</w:t>
      </w:r>
      <w:r w:rsidR="00C5063B" w:rsidRPr="004E0468">
        <w:t>’</w:t>
      </w:r>
      <w:r w:rsidRPr="004E0468">
        <w:t xml:space="preserve"> (60.01%). </w:t>
      </w:r>
      <w:r w:rsidR="00322B02" w:rsidRPr="004E0468">
        <w:t>E</w:t>
      </w:r>
      <w:r w:rsidRPr="004E0468">
        <w:t xml:space="preserve">conomic barriers are </w:t>
      </w:r>
      <w:r w:rsidR="00322B02" w:rsidRPr="004E0468">
        <w:t>still</w:t>
      </w:r>
      <w:r w:rsidRPr="004E0468">
        <w:t xml:space="preserve"> significant for most of the </w:t>
      </w:r>
      <w:r w:rsidR="00C5063B" w:rsidRPr="004E0468">
        <w:t xml:space="preserve">CE </w:t>
      </w:r>
      <w:r w:rsidRPr="004E0468">
        <w:t xml:space="preserve">practices investigated, </w:t>
      </w:r>
      <w:r w:rsidR="00322B02" w:rsidRPr="004E0468">
        <w:t xml:space="preserve">showing that </w:t>
      </w:r>
      <w:r w:rsidRPr="004E0468">
        <w:t>it may still be expensive for an organisation to initially adopt, for example, energy efficiency practices</w:t>
      </w:r>
      <w:r w:rsidR="005939B8" w:rsidRPr="004E0468">
        <w:t>, such</w:t>
      </w:r>
      <w:r w:rsidRPr="004E0468">
        <w:t xml:space="preserve"> as new energy-saving equipment (e.g. solar panels) </w:t>
      </w:r>
      <w:r w:rsidR="005939B8" w:rsidRPr="004E0468">
        <w:t xml:space="preserve">that </w:t>
      </w:r>
      <w:r w:rsidRPr="004E0468">
        <w:t>need to be bought and installed.</w:t>
      </w:r>
    </w:p>
    <w:p w14:paraId="577AB985" w14:textId="5E8A9D1B" w:rsidR="00177F66" w:rsidRPr="004E0468" w:rsidRDefault="00177F66" w:rsidP="00177F66">
      <w:pPr>
        <w:pStyle w:val="Heading2"/>
      </w:pPr>
      <w:r w:rsidRPr="004E0468">
        <w:t>4.2 Investment Recovery Practices</w:t>
      </w:r>
    </w:p>
    <w:p w14:paraId="1A2C0480" w14:textId="341FF2DE" w:rsidR="00177F66" w:rsidRPr="004E0468" w:rsidRDefault="00177F66" w:rsidP="00177F66">
      <w:pPr>
        <w:jc w:val="both"/>
      </w:pPr>
      <w:r w:rsidRPr="004E0468">
        <w:t>Accordin</w:t>
      </w:r>
      <w:r w:rsidR="008819DC" w:rsidRPr="004E0468">
        <w:t>g to the results of the study, ‘investment r</w:t>
      </w:r>
      <w:r w:rsidRPr="004E0468">
        <w:t>ecovery</w:t>
      </w:r>
      <w:r w:rsidR="008819DC" w:rsidRPr="004E0468">
        <w:t>’</w:t>
      </w:r>
      <w:r w:rsidRPr="004E0468">
        <w:t xml:space="preserve"> practices such as </w:t>
      </w:r>
      <w:r w:rsidR="008819DC" w:rsidRPr="004E0468">
        <w:t>‘</w:t>
      </w:r>
      <w:r w:rsidRPr="004E0468">
        <w:t>taking back products from consumers</w:t>
      </w:r>
      <w:r w:rsidR="008819DC" w:rsidRPr="004E0468">
        <w:t>’</w:t>
      </w:r>
      <w:r w:rsidRPr="004E0468">
        <w:t xml:space="preserve">, </w:t>
      </w:r>
      <w:r w:rsidR="008819DC" w:rsidRPr="004E0468">
        <w:t>‘</w:t>
      </w:r>
      <w:r w:rsidRPr="004E0468">
        <w:t>remanufacturing</w:t>
      </w:r>
      <w:r w:rsidR="008819DC" w:rsidRPr="004E0468">
        <w:t>’</w:t>
      </w:r>
      <w:r w:rsidRPr="004E0468">
        <w:t xml:space="preserve">, and </w:t>
      </w:r>
      <w:r w:rsidR="008819DC" w:rsidRPr="004E0468">
        <w:t>‘</w:t>
      </w:r>
      <w:r w:rsidRPr="004E0468">
        <w:t>recycling</w:t>
      </w:r>
      <w:r w:rsidR="008819DC" w:rsidRPr="004E0468">
        <w:t>’</w:t>
      </w:r>
      <w:r w:rsidRPr="004E0468">
        <w:t xml:space="preserve"> do not only tend to be less common but also a relatively low number of firms were currently considering their implementa</w:t>
      </w:r>
      <w:r w:rsidR="00CC193A" w:rsidRPr="004E0468">
        <w:t>tion. These practices are close</w:t>
      </w:r>
      <w:r w:rsidRPr="004E0468">
        <w:t xml:space="preserve"> to the core principles of circular economy and show that despite a transition towards this economic model is occurring, most businesses still have practices related to </w:t>
      </w:r>
      <w:r w:rsidR="006E1F6C" w:rsidRPr="004E0468">
        <w:t>linear</w:t>
      </w:r>
      <w:r w:rsidRPr="004E0468">
        <w:t xml:space="preserve"> economy models. Practices such as </w:t>
      </w:r>
      <w:r w:rsidR="008819DC" w:rsidRPr="004E0468">
        <w:t>‘</w:t>
      </w:r>
      <w:r w:rsidRPr="004E0468">
        <w:t>taking back products from consumers after the end of their functional life</w:t>
      </w:r>
      <w:r w:rsidR="008819DC" w:rsidRPr="004E0468">
        <w:t>’</w:t>
      </w:r>
      <w:r w:rsidRPr="004E0468">
        <w:t xml:space="preserve">, </w:t>
      </w:r>
      <w:r w:rsidR="008819DC" w:rsidRPr="004E0468">
        <w:t>‘</w:t>
      </w:r>
      <w:r w:rsidRPr="004E0468">
        <w:t>taking back products from consumers after the end of their usage</w:t>
      </w:r>
      <w:r w:rsidR="008819DC" w:rsidRPr="004E0468">
        <w:t>’</w:t>
      </w:r>
      <w:r w:rsidRPr="004E0468">
        <w:t xml:space="preserve">, and </w:t>
      </w:r>
      <w:r w:rsidR="008819DC" w:rsidRPr="004E0468">
        <w:t>‘</w:t>
      </w:r>
      <w:r w:rsidRPr="004E0468">
        <w:t>remanufacturing products</w:t>
      </w:r>
      <w:r w:rsidR="008819DC" w:rsidRPr="004E0468">
        <w:t>’</w:t>
      </w:r>
      <w:r w:rsidRPr="004E0468">
        <w:t xml:space="preserve"> are those that are less likely to be implemented by companies according to our study’s results. For example, a vast majority of companies are not considering </w:t>
      </w:r>
      <w:r w:rsidR="008819DC" w:rsidRPr="004E0468">
        <w:t>‘</w:t>
      </w:r>
      <w:r w:rsidRPr="004E0468">
        <w:t>taking back products from consumers after the end of their functional life</w:t>
      </w:r>
      <w:r w:rsidR="008819DC" w:rsidRPr="004E0468">
        <w:t>’</w:t>
      </w:r>
      <w:r w:rsidRPr="004E0468">
        <w:t xml:space="preserve"> (67.11%) or </w:t>
      </w:r>
      <w:r w:rsidR="008819DC" w:rsidRPr="004E0468">
        <w:t>‘</w:t>
      </w:r>
      <w:r w:rsidRPr="004E0468">
        <w:t>after the end of their usage</w:t>
      </w:r>
      <w:r w:rsidR="008819DC" w:rsidRPr="004E0468">
        <w:t>’</w:t>
      </w:r>
      <w:r w:rsidRPr="004E0468">
        <w:t xml:space="preserve"> (64.47%) or </w:t>
      </w:r>
      <w:r w:rsidR="008819DC" w:rsidRPr="004E0468">
        <w:t>‘r</w:t>
      </w:r>
      <w:r w:rsidRPr="004E0468">
        <w:t>emanufacturing products</w:t>
      </w:r>
      <w:r w:rsidR="008819DC" w:rsidRPr="004E0468">
        <w:t>’</w:t>
      </w:r>
      <w:r w:rsidRPr="004E0468">
        <w:t xml:space="preserve"> (55.26%). These types of </w:t>
      </w:r>
      <w:r w:rsidR="008819DC" w:rsidRPr="004E0468">
        <w:t xml:space="preserve">CE </w:t>
      </w:r>
      <w:r w:rsidRPr="004E0468">
        <w:t xml:space="preserve">practices require a significant capital investment and </w:t>
      </w:r>
      <w:r w:rsidR="00B23F5E" w:rsidRPr="004E0468">
        <w:t>a full</w:t>
      </w:r>
      <w:r w:rsidR="006E1F6C" w:rsidRPr="004E0468">
        <w:t xml:space="preserve"> alignment</w:t>
      </w:r>
      <w:r w:rsidRPr="004E0468">
        <w:t xml:space="preserve"> </w:t>
      </w:r>
      <w:r w:rsidR="00B23F5E" w:rsidRPr="004E0468">
        <w:t>with</w:t>
      </w:r>
      <w:r w:rsidRPr="004E0468">
        <w:t xml:space="preserve"> corporate goals</w:t>
      </w:r>
      <w:r w:rsidR="00B23F5E" w:rsidRPr="004E0468">
        <w:t>. T</w:t>
      </w:r>
      <w:r w:rsidRPr="004E0468">
        <w:t xml:space="preserve">his makes the implementation of </w:t>
      </w:r>
      <w:r w:rsidR="008819DC" w:rsidRPr="004E0468">
        <w:t xml:space="preserve">‘investment recovery’ </w:t>
      </w:r>
      <w:r w:rsidRPr="004E0468">
        <w:t xml:space="preserve">practices more complex and risky, and unlike </w:t>
      </w:r>
      <w:r w:rsidR="008819DC" w:rsidRPr="004E0468">
        <w:t>‘r</w:t>
      </w:r>
      <w:r w:rsidRPr="004E0468">
        <w:t>esource</w:t>
      </w:r>
      <w:r w:rsidR="008819DC" w:rsidRPr="004E0468">
        <w:t xml:space="preserve"> and energy utilisation e</w:t>
      </w:r>
      <w:r w:rsidRPr="004E0468">
        <w:t>fficiency</w:t>
      </w:r>
      <w:r w:rsidR="008819DC" w:rsidRPr="004E0468">
        <w:t>’</w:t>
      </w:r>
      <w:r w:rsidRPr="004E0468">
        <w:t xml:space="preserve">, they </w:t>
      </w:r>
      <w:r w:rsidR="00446881" w:rsidRPr="004E0468">
        <w:t>must</w:t>
      </w:r>
      <w:r w:rsidRPr="004E0468">
        <w:t xml:space="preserve"> be part of the stra</w:t>
      </w:r>
      <w:r w:rsidR="006E1F6C" w:rsidRPr="004E0468">
        <w:t xml:space="preserve">tegic vision of organisations. </w:t>
      </w:r>
      <w:r w:rsidRPr="004E0468">
        <w:t xml:space="preserve">The most perceived barriers for </w:t>
      </w:r>
      <w:r w:rsidR="00B23F5E" w:rsidRPr="004E0468">
        <w:t xml:space="preserve">the </w:t>
      </w:r>
      <w:r w:rsidRPr="004E0468">
        <w:t xml:space="preserve">implementation of </w:t>
      </w:r>
      <w:r w:rsidR="008819DC" w:rsidRPr="004E0468">
        <w:t xml:space="preserve">‘investment recovery’ </w:t>
      </w:r>
      <w:r w:rsidR="00CC193A" w:rsidRPr="004E0468">
        <w:t xml:space="preserve">practices </w:t>
      </w:r>
      <w:r w:rsidRPr="004E0468">
        <w:t>we</w:t>
      </w:r>
      <w:r w:rsidR="00CC193A" w:rsidRPr="004E0468">
        <w:t>re found t</w:t>
      </w:r>
      <w:r w:rsidR="008819DC" w:rsidRPr="004E0468">
        <w:t>o be ‘l</w:t>
      </w:r>
      <w:r w:rsidRPr="004E0468">
        <w:t xml:space="preserve">ack of awareness </w:t>
      </w:r>
      <w:r w:rsidR="0093675C" w:rsidRPr="004E0468">
        <w:t>and sense of urgency</w:t>
      </w:r>
      <w:r w:rsidR="008819DC" w:rsidRPr="004E0468">
        <w:t>’ (81.69%), ‘m</w:t>
      </w:r>
      <w:r w:rsidRPr="004E0468">
        <w:t>ajor up-f</w:t>
      </w:r>
      <w:r w:rsidR="00CC193A" w:rsidRPr="004E0468">
        <w:t>ront investment cost</w:t>
      </w:r>
      <w:r w:rsidR="008819DC" w:rsidRPr="004E0468">
        <w:t>’</w:t>
      </w:r>
      <w:r w:rsidR="00CC193A" w:rsidRPr="004E0468">
        <w:t xml:space="preserve"> (70.8</w:t>
      </w:r>
      <w:r w:rsidR="008819DC" w:rsidRPr="004E0468">
        <w:t>3%), ‘l</w:t>
      </w:r>
      <w:r w:rsidRPr="004E0468">
        <w:t xml:space="preserve">imited </w:t>
      </w:r>
      <w:r w:rsidRPr="004E0468">
        <w:lastRenderedPageBreak/>
        <w:t xml:space="preserve">attention for end-of-life phase in current </w:t>
      </w:r>
      <w:r w:rsidR="00CC193A" w:rsidRPr="004E0468">
        <w:t xml:space="preserve">product </w:t>
      </w:r>
      <w:r w:rsidR="0093675C" w:rsidRPr="004E0468">
        <w:t>designs</w:t>
      </w:r>
      <w:r w:rsidR="008819DC" w:rsidRPr="004E0468">
        <w:t>’ (61.97%), ‘l</w:t>
      </w:r>
      <w:r w:rsidRPr="004E0468">
        <w:t>ack of clear perform</w:t>
      </w:r>
      <w:r w:rsidR="0093675C" w:rsidRPr="004E0468">
        <w:t>ance measurements</w:t>
      </w:r>
      <w:r w:rsidR="008819DC" w:rsidRPr="004E0468">
        <w:t>’</w:t>
      </w:r>
      <w:r w:rsidR="0093675C" w:rsidRPr="004E0468">
        <w:t xml:space="preserve"> (59.15%) and </w:t>
      </w:r>
      <w:r w:rsidR="008819DC" w:rsidRPr="004E0468">
        <w:t>‘l</w:t>
      </w:r>
      <w:r w:rsidRPr="004E0468">
        <w:t>imited availability and quality of recycling material</w:t>
      </w:r>
      <w:r w:rsidR="008819DC" w:rsidRPr="004E0468">
        <w:t>’</w:t>
      </w:r>
      <w:r w:rsidRPr="004E0468">
        <w:t xml:space="preserve"> (59.15%). Indeed, </w:t>
      </w:r>
      <w:r w:rsidR="008819DC" w:rsidRPr="004E0468">
        <w:t>‘</w:t>
      </w:r>
      <w:r w:rsidRPr="004E0468">
        <w:t>major up-front investment costs</w:t>
      </w:r>
      <w:r w:rsidR="008819DC" w:rsidRPr="004E0468">
        <w:t>’</w:t>
      </w:r>
      <w:r w:rsidRPr="004E0468">
        <w:t xml:space="preserve"> have been indicated as a barrier in the majority of the </w:t>
      </w:r>
      <w:r w:rsidR="008819DC" w:rsidRPr="004E0468">
        <w:t xml:space="preserve">CE </w:t>
      </w:r>
      <w:r w:rsidRPr="004E0468">
        <w:t>practices</w:t>
      </w:r>
      <w:r w:rsidR="00851C03" w:rsidRPr="004E0468">
        <w:t xml:space="preserve"> investigated in this research, in line with previous sustainability </w:t>
      </w:r>
      <w:r w:rsidR="00DC6EB8" w:rsidRPr="004E0468">
        <w:t>related studies (Masi and Cagno</w:t>
      </w:r>
      <w:r w:rsidR="00851C03" w:rsidRPr="004E0468">
        <w:t xml:space="preserve"> 2015</w:t>
      </w:r>
      <w:r w:rsidR="00DC6EB8" w:rsidRPr="004E0468">
        <w:t>; Masi et al.</w:t>
      </w:r>
      <w:r w:rsidR="00D97B08" w:rsidRPr="004E0468">
        <w:t xml:space="preserve"> 2014</w:t>
      </w:r>
      <w:r w:rsidR="00851C03" w:rsidRPr="004E0468">
        <w:t>).</w:t>
      </w:r>
    </w:p>
    <w:p w14:paraId="3C116291" w14:textId="0CB3A186" w:rsidR="00177F66" w:rsidRPr="004E0468" w:rsidRDefault="00177F66" w:rsidP="00177F66">
      <w:pPr>
        <w:pStyle w:val="Heading2"/>
      </w:pPr>
      <w:r w:rsidRPr="004E0468">
        <w:t>4.3 Eco-design Practices</w:t>
      </w:r>
    </w:p>
    <w:p w14:paraId="01FF2142" w14:textId="0C132776" w:rsidR="00177F66" w:rsidRPr="004E0468" w:rsidRDefault="00177F66" w:rsidP="00177F66">
      <w:pPr>
        <w:jc w:val="both"/>
      </w:pPr>
      <w:r w:rsidRPr="004E0468">
        <w:t>In terms</w:t>
      </w:r>
      <w:r w:rsidR="008819DC" w:rsidRPr="004E0468">
        <w:t xml:space="preserve"> of ‘e</w:t>
      </w:r>
      <w:r w:rsidRPr="004E0468">
        <w:t>co-design</w:t>
      </w:r>
      <w:r w:rsidR="008819DC" w:rsidRPr="004E0468">
        <w:t>’</w:t>
      </w:r>
      <w:r w:rsidRPr="004E0468">
        <w:t xml:space="preserve"> practices, the results of the study indicate that these are equally split between companies not considering them and those that have implemented them successfully. However, </w:t>
      </w:r>
      <w:r w:rsidR="008819DC" w:rsidRPr="004E0468">
        <w:t>‘</w:t>
      </w:r>
      <w:r w:rsidRPr="004E0468">
        <w:t>designing products for reuse or recycle</w:t>
      </w:r>
      <w:r w:rsidR="008819DC" w:rsidRPr="004E0468">
        <w:t>’</w:t>
      </w:r>
      <w:r w:rsidRPr="004E0468">
        <w:t xml:space="preserve"> is an exception as the majority of the surveyed organisations (38.16%) were not considering its implementation. Once more, there is a marked difference betwee</w:t>
      </w:r>
      <w:r w:rsidR="00792935" w:rsidRPr="004E0468">
        <w:t>n those practices that generate</w:t>
      </w:r>
      <w:r w:rsidRPr="004E0468">
        <w:t xml:space="preserve"> an economic return in the short</w:t>
      </w:r>
      <w:r w:rsidR="008819DC" w:rsidRPr="004E0468">
        <w:t>-</w:t>
      </w:r>
      <w:r w:rsidR="005706AA" w:rsidRPr="004E0468">
        <w:t>term</w:t>
      </w:r>
      <w:r w:rsidRPr="004E0468">
        <w:t xml:space="preserve"> and those that produce it in the longer term. </w:t>
      </w:r>
      <w:r w:rsidR="00BB64AA" w:rsidRPr="004E0468">
        <w:t>‘</w:t>
      </w:r>
      <w:r w:rsidRPr="004E0468">
        <w:t>Product design for reuse, recycle and/or recovery</w:t>
      </w:r>
      <w:r w:rsidR="00BB64AA" w:rsidRPr="004E0468">
        <w:t>’</w:t>
      </w:r>
      <w:r w:rsidRPr="004E0468">
        <w:t xml:space="preserve"> is less ad</w:t>
      </w:r>
      <w:r w:rsidR="008819DC" w:rsidRPr="004E0468">
        <w:t>opted than practices with short-</w:t>
      </w:r>
      <w:r w:rsidRPr="004E0468">
        <w:t xml:space="preserve">term returns such as </w:t>
      </w:r>
      <w:r w:rsidR="00BB64AA" w:rsidRPr="004E0468">
        <w:t>‘</w:t>
      </w:r>
      <w:r w:rsidRPr="004E0468">
        <w:t>waste minimisation and material efficiency</w:t>
      </w:r>
      <w:r w:rsidR="00BB64AA" w:rsidRPr="004E0468">
        <w:t>’</w:t>
      </w:r>
      <w:r w:rsidRPr="004E0468">
        <w:t>. Another interesting observation is whether the implementation of some practices requires the involvement of the supply chain. Indeed, the practices that can be implemented at firm level seem to be more successful than practices involving supply chains. This is easy to understand as the implementation of practices relating</w:t>
      </w:r>
      <w:r w:rsidR="005706AA" w:rsidRPr="004E0468">
        <w:t xml:space="preserve"> to</w:t>
      </w:r>
      <w:r w:rsidRPr="004E0468">
        <w:t xml:space="preserve"> other organisations (e.g. suppliers, whole sellers, customers, etc.) is significantly more complex than when simply implemented within the internal operations of an organisation. </w:t>
      </w:r>
      <w:r w:rsidR="00094BDE" w:rsidRPr="004E0468">
        <w:t xml:space="preserve">The result is in line with supply chain theory </w:t>
      </w:r>
      <w:r w:rsidR="00BB64AA" w:rsidRPr="004E0468">
        <w:t>that highlights</w:t>
      </w:r>
      <w:r w:rsidR="00094BDE" w:rsidRPr="004E0468">
        <w:t xml:space="preserve"> the difficul</w:t>
      </w:r>
      <w:r w:rsidR="00BB64AA" w:rsidRPr="004E0468">
        <w:t>ty of implementing supply chain</w:t>
      </w:r>
      <w:r w:rsidR="00094BDE" w:rsidRPr="004E0468">
        <w:t xml:space="preserve"> practices characterised by broader arcs of int</w:t>
      </w:r>
      <w:r w:rsidR="00DC6EB8" w:rsidRPr="004E0468">
        <w:t>egration (</w:t>
      </w:r>
      <w:proofErr w:type="spellStart"/>
      <w:r w:rsidR="00DC6EB8" w:rsidRPr="004E0468">
        <w:t>Fro</w:t>
      </w:r>
      <w:r w:rsidR="00A04806" w:rsidRPr="004E0468">
        <w:t>h</w:t>
      </w:r>
      <w:r w:rsidR="00DC6EB8" w:rsidRPr="004E0468">
        <w:t>lich</w:t>
      </w:r>
      <w:proofErr w:type="spellEnd"/>
      <w:r w:rsidR="00DC6EB8" w:rsidRPr="004E0468">
        <w:t xml:space="preserve"> and Westbrook</w:t>
      </w:r>
      <w:r w:rsidR="00094BDE" w:rsidRPr="004E0468">
        <w:t xml:space="preserve"> 2001). </w:t>
      </w:r>
      <w:r w:rsidR="00D23056" w:rsidRPr="004E0468">
        <w:t>Moreover, the success of some specific product design practices seem</w:t>
      </w:r>
      <w:r w:rsidR="00105C0E" w:rsidRPr="004E0468">
        <w:t>s to be crucially dependent upon</w:t>
      </w:r>
      <w:r w:rsidR="00D23056" w:rsidRPr="004E0468">
        <w:t xml:space="preserve"> the alignment with corresponding supply chain configurations. The relationship between product design and supply chain design has been widely discussed </w:t>
      </w:r>
      <w:r w:rsidR="00D23056" w:rsidRPr="004E0468">
        <w:lastRenderedPageBreak/>
        <w:t>in the literature, an</w:t>
      </w:r>
      <w:r w:rsidR="00DC6EB8" w:rsidRPr="004E0468">
        <w:t>d several authors (</w:t>
      </w:r>
      <w:r w:rsidR="00D23056" w:rsidRPr="004E0468">
        <w:t xml:space="preserve">see e.g. </w:t>
      </w:r>
      <w:r w:rsidR="00DC6EB8" w:rsidRPr="004E0468">
        <w:rPr>
          <w:noProof/>
        </w:rPr>
        <w:t>Van Hoek and Chapman [2007]</w:t>
      </w:r>
      <w:r w:rsidR="00C66C77" w:rsidRPr="004E0468">
        <w:rPr>
          <w:noProof/>
        </w:rPr>
        <w:t xml:space="preserve"> a</w:t>
      </w:r>
      <w:r w:rsidR="00DC6EB8" w:rsidRPr="004E0468">
        <w:rPr>
          <w:noProof/>
        </w:rPr>
        <w:t>nd Pero et al. [2010</w:t>
      </w:r>
      <w:r w:rsidR="00D23056" w:rsidRPr="004E0468">
        <w:rPr>
          <w:noProof/>
        </w:rPr>
        <w:t>]</w:t>
      </w:r>
      <w:r w:rsidR="00DC6EB8" w:rsidRPr="004E0468">
        <w:rPr>
          <w:noProof/>
        </w:rPr>
        <w:t>)</w:t>
      </w:r>
      <w:r w:rsidR="00D23056" w:rsidRPr="004E0468">
        <w:rPr>
          <w:noProof/>
        </w:rPr>
        <w:t xml:space="preserve"> </w:t>
      </w:r>
      <w:r w:rsidR="001738DA" w:rsidRPr="004E0468">
        <w:t>highlighted the need for</w:t>
      </w:r>
      <w:r w:rsidR="00D23056" w:rsidRPr="004E0468">
        <w:t xml:space="preserve"> aligning product design and supply chain design. This seems particularly </w:t>
      </w:r>
      <w:r w:rsidR="00C66C77" w:rsidRPr="004E0468">
        <w:t>relevant</w:t>
      </w:r>
      <w:r w:rsidR="00D23056" w:rsidRPr="004E0468">
        <w:t xml:space="preserve"> for </w:t>
      </w:r>
      <w:r w:rsidR="00C66C77" w:rsidRPr="004E0468">
        <w:t>the transition to a</w:t>
      </w:r>
      <w:r w:rsidR="00BB64AA" w:rsidRPr="004E0468">
        <w:t xml:space="preserve"> CE</w:t>
      </w:r>
      <w:r w:rsidR="00D23056" w:rsidRPr="004E0468">
        <w:t>.</w:t>
      </w:r>
      <w:r w:rsidR="00C66C77" w:rsidRPr="004E0468">
        <w:t xml:space="preserve"> </w:t>
      </w:r>
      <w:r w:rsidRPr="004E0468">
        <w:t xml:space="preserve">In relation to the barriers for the implementation of </w:t>
      </w:r>
      <w:r w:rsidR="0058733C" w:rsidRPr="004E0468">
        <w:t>‘e</w:t>
      </w:r>
      <w:r w:rsidRPr="004E0468">
        <w:t>co-design</w:t>
      </w:r>
      <w:r w:rsidR="0058733C" w:rsidRPr="004E0468">
        <w:t>’</w:t>
      </w:r>
      <w:r w:rsidRPr="004E0468">
        <w:t xml:space="preserve"> pra</w:t>
      </w:r>
      <w:r w:rsidR="0058733C" w:rsidRPr="004E0468">
        <w:t>ctices, they were found to be: ‘l</w:t>
      </w:r>
      <w:r w:rsidRPr="004E0468">
        <w:t>ack of awareness and sense of urgency, also in businesses</w:t>
      </w:r>
      <w:r w:rsidR="0058733C" w:rsidRPr="004E0468">
        <w:t>’</w:t>
      </w:r>
      <w:r w:rsidRPr="004E0468">
        <w:t xml:space="preserve"> (80.00%), </w:t>
      </w:r>
      <w:r w:rsidR="0058733C" w:rsidRPr="004E0468">
        <w:t>‘</w:t>
      </w:r>
      <w:r w:rsidRPr="004E0468">
        <w:t>major up-front investment cost</w:t>
      </w:r>
      <w:r w:rsidR="0058733C" w:rsidRPr="004E0468">
        <w:t>’</w:t>
      </w:r>
      <w:r w:rsidRPr="004E0468">
        <w:t xml:space="preserve"> (71.23%), </w:t>
      </w:r>
      <w:r w:rsidR="0058733C" w:rsidRPr="004E0468">
        <w:t>‘</w:t>
      </w:r>
      <w:r w:rsidRPr="004E0468">
        <w:t>limited attention for end-of-life phase in current product designs</w:t>
      </w:r>
      <w:r w:rsidR="0058733C" w:rsidRPr="004E0468">
        <w:t>’</w:t>
      </w:r>
      <w:r w:rsidRPr="004E0468">
        <w:t xml:space="preserve"> (64.29%), </w:t>
      </w:r>
      <w:r w:rsidR="0058733C" w:rsidRPr="004E0468">
        <w:t>‘</w:t>
      </w:r>
      <w:r w:rsidRPr="004E0468">
        <w:t>lack of clear performance measurement</w:t>
      </w:r>
      <w:r w:rsidR="0058733C" w:rsidRPr="004E0468">
        <w:t>’</w:t>
      </w:r>
      <w:r w:rsidRPr="004E0468">
        <w:t xml:space="preserve"> (59.15%). </w:t>
      </w:r>
    </w:p>
    <w:p w14:paraId="7B88E74A" w14:textId="2694ABB9" w:rsidR="00177F66" w:rsidRPr="004E0468" w:rsidRDefault="00177F66" w:rsidP="00177F66">
      <w:pPr>
        <w:pStyle w:val="Heading2"/>
      </w:pPr>
      <w:r w:rsidRPr="004E0468">
        <w:t>4.4 Green Purchasing Practices</w:t>
      </w:r>
    </w:p>
    <w:p w14:paraId="4E1DF473" w14:textId="567E595D" w:rsidR="00177F66" w:rsidRPr="004E0468" w:rsidRDefault="00F957EB" w:rsidP="00177F66">
      <w:pPr>
        <w:jc w:val="both"/>
      </w:pPr>
      <w:r w:rsidRPr="004E0468">
        <w:t>Similar to the ‘investment r</w:t>
      </w:r>
      <w:r w:rsidR="00177F66" w:rsidRPr="004E0468">
        <w:t>ecovery</w:t>
      </w:r>
      <w:r w:rsidRPr="004E0468">
        <w:t>’ and ‘e</w:t>
      </w:r>
      <w:r w:rsidR="00177F66" w:rsidRPr="004E0468">
        <w:t>co-design</w:t>
      </w:r>
      <w:r w:rsidRPr="004E0468">
        <w:t>’ practices, ‘g</w:t>
      </w:r>
      <w:r w:rsidR="00177F66" w:rsidRPr="004E0468">
        <w:t>reen purchasing</w:t>
      </w:r>
      <w:r w:rsidRPr="004E0468">
        <w:t>’</w:t>
      </w:r>
      <w:r w:rsidR="00177F66" w:rsidRPr="004E0468">
        <w:t xml:space="preserve"> practices such as </w:t>
      </w:r>
      <w:r w:rsidR="00BB64AA" w:rsidRPr="004E0468">
        <w:t>‘</w:t>
      </w:r>
      <w:r w:rsidR="00177F66" w:rsidRPr="004E0468">
        <w:t>selecting suppliers using environmental criteria</w:t>
      </w:r>
      <w:r w:rsidR="00BB64AA" w:rsidRPr="004E0468">
        <w:t>’</w:t>
      </w:r>
      <w:r w:rsidR="00177F66" w:rsidRPr="004E0468">
        <w:t xml:space="preserve"> and </w:t>
      </w:r>
      <w:r w:rsidR="00BB64AA" w:rsidRPr="004E0468">
        <w:t>‘</w:t>
      </w:r>
      <w:r w:rsidR="00177F66" w:rsidRPr="004E0468">
        <w:t>cooperating with other firms to establish eco-industrial chains</w:t>
      </w:r>
      <w:r w:rsidR="00BB64AA" w:rsidRPr="004E0468">
        <w:t>’</w:t>
      </w:r>
      <w:r w:rsidR="00177F66" w:rsidRPr="004E0468">
        <w:t xml:space="preserve"> tend to be uncommon. This is linked to the previous idea that internally implemented practices are less complex than those implemented throughout the supply chain of organisations, and hence they are less common</w:t>
      </w:r>
      <w:r w:rsidR="00955B4C" w:rsidRPr="004E0468">
        <w:t xml:space="preserve">ly practiced by organisations. </w:t>
      </w:r>
      <w:r w:rsidR="00177F66" w:rsidRPr="004E0468">
        <w:t>This complexity is reflected on through the percentage of companies that are not considering their i</w:t>
      </w:r>
      <w:r w:rsidR="00BB64AA" w:rsidRPr="004E0468">
        <w:t>mplementation, with 30.67% for ‘s</w:t>
      </w:r>
      <w:r w:rsidR="00177F66" w:rsidRPr="004E0468">
        <w:t>electing suppliers using envi</w:t>
      </w:r>
      <w:r w:rsidR="00105C0E" w:rsidRPr="004E0468">
        <w:t>ronmental criteria</w:t>
      </w:r>
      <w:r w:rsidR="00BB64AA" w:rsidRPr="004E0468">
        <w:t>’</w:t>
      </w:r>
      <w:r w:rsidR="00105C0E" w:rsidRPr="004E0468">
        <w:t>, 30.67% for ‘u</w:t>
      </w:r>
      <w:r w:rsidR="00177F66" w:rsidRPr="004E0468">
        <w:t>sing renewable energy/ material in the production process</w:t>
      </w:r>
      <w:r w:rsidR="00105C0E" w:rsidRPr="004E0468">
        <w:t>’, and 41.33% for ‘c</w:t>
      </w:r>
      <w:r w:rsidR="00177F66" w:rsidRPr="004E0468">
        <w:t>ooperating with other firms to establish eco-industrial chains</w:t>
      </w:r>
      <w:r w:rsidR="00105C0E" w:rsidRPr="004E0468">
        <w:t>’</w:t>
      </w:r>
      <w:r w:rsidR="00177F66" w:rsidRPr="004E0468">
        <w:t xml:space="preserve">. The preference of companies intervening at firm level </w:t>
      </w:r>
      <w:r w:rsidR="005706AA" w:rsidRPr="004E0468">
        <w:t xml:space="preserve">rather than a </w:t>
      </w:r>
      <w:r w:rsidR="00177F66" w:rsidRPr="004E0468">
        <w:t xml:space="preserve">supply chain level is further confirmed by this relative comparison between the </w:t>
      </w:r>
      <w:r w:rsidR="00BB64AA" w:rsidRPr="004E0468">
        <w:t>‘</w:t>
      </w:r>
      <w:r w:rsidR="00177F66" w:rsidRPr="004E0468">
        <w:t>green purchasing</w:t>
      </w:r>
      <w:r w:rsidR="00BB64AA" w:rsidRPr="004E0468">
        <w:t>’</w:t>
      </w:r>
      <w:r w:rsidR="00177F66" w:rsidRPr="004E0468">
        <w:t xml:space="preserve"> practices, where </w:t>
      </w:r>
      <w:r w:rsidR="00BB64AA" w:rsidRPr="004E0468">
        <w:t>‘</w:t>
      </w:r>
      <w:r w:rsidR="005706AA" w:rsidRPr="004E0468">
        <w:t>c</w:t>
      </w:r>
      <w:r w:rsidR="00177F66" w:rsidRPr="004E0468">
        <w:t>ooperating with other firms to establish eco-industrial chains</w:t>
      </w:r>
      <w:r w:rsidR="00BB64AA" w:rsidRPr="004E0468">
        <w:t>’</w:t>
      </w:r>
      <w:r w:rsidR="00177F66" w:rsidRPr="004E0468">
        <w:t xml:space="preserve"> is less</w:t>
      </w:r>
      <w:r w:rsidR="005706AA" w:rsidRPr="004E0468">
        <w:t xml:space="preserve"> frequently</w:t>
      </w:r>
      <w:r w:rsidR="00BB64AA" w:rsidRPr="004E0468">
        <w:t xml:space="preserve"> adopted than the ‘s</w:t>
      </w:r>
      <w:r w:rsidR="00177F66" w:rsidRPr="004E0468">
        <w:t>election of suppliers using environmental criteria</w:t>
      </w:r>
      <w:r w:rsidR="00BB64AA" w:rsidRPr="004E0468">
        <w:t>’</w:t>
      </w:r>
      <w:r w:rsidR="00177F66" w:rsidRPr="004E0468">
        <w:t xml:space="preserve">, since this second activity relies more on the firm than on the supply chain. </w:t>
      </w:r>
      <w:r w:rsidR="00955B4C" w:rsidRPr="004E0468">
        <w:t>The result is again explained by supply chain theory highlighting the difficulty of implementing supply chains practices characterised by broader arcs of int</w:t>
      </w:r>
      <w:r w:rsidR="00DF7F15" w:rsidRPr="004E0468">
        <w:t>egration (</w:t>
      </w:r>
      <w:proofErr w:type="spellStart"/>
      <w:r w:rsidR="00DF7F15" w:rsidRPr="004E0468">
        <w:t>Fro</w:t>
      </w:r>
      <w:r w:rsidR="00A04806" w:rsidRPr="004E0468">
        <w:t>h</w:t>
      </w:r>
      <w:r w:rsidR="00DF7F15" w:rsidRPr="004E0468">
        <w:t>lich</w:t>
      </w:r>
      <w:proofErr w:type="spellEnd"/>
      <w:r w:rsidR="00DF7F15" w:rsidRPr="004E0468">
        <w:t xml:space="preserve"> and Westbrook</w:t>
      </w:r>
      <w:r w:rsidR="00955B4C" w:rsidRPr="004E0468">
        <w:t xml:space="preserve"> 2001). </w:t>
      </w:r>
      <w:r w:rsidR="00177F66" w:rsidRPr="004E0468">
        <w:t xml:space="preserve">The most perceived barriers for this type of </w:t>
      </w:r>
      <w:r w:rsidR="00BB64AA" w:rsidRPr="004E0468">
        <w:lastRenderedPageBreak/>
        <w:t>practices are ‘m</w:t>
      </w:r>
      <w:r w:rsidR="00177F66" w:rsidRPr="004E0468">
        <w:t>ajor up-front investment cost</w:t>
      </w:r>
      <w:r w:rsidR="00BB64AA" w:rsidRPr="004E0468">
        <w:t>’ (55.07%), ‘l</w:t>
      </w:r>
      <w:r w:rsidR="00177F66" w:rsidRPr="004E0468">
        <w:t>ack of clear, standardized, quantitative measurement and goals for assessing the performance of a circular sustainable development model</w:t>
      </w:r>
      <w:r w:rsidR="00BB64AA" w:rsidRPr="004E0468">
        <w:t>’</w:t>
      </w:r>
      <w:r w:rsidR="00177F66" w:rsidRPr="004E0468">
        <w:t xml:space="preserve"> (57.14%), </w:t>
      </w:r>
      <w:r w:rsidR="00BB64AA" w:rsidRPr="004E0468">
        <w:t>‘l</w:t>
      </w:r>
      <w:r w:rsidR="00177F66" w:rsidRPr="004E0468">
        <w:t>ack of awareness and sense of urgency</w:t>
      </w:r>
      <w:r w:rsidR="00D05FCF" w:rsidRPr="004E0468">
        <w:t>,</w:t>
      </w:r>
      <w:r w:rsidR="00177F66" w:rsidRPr="004E0468">
        <w:t xml:space="preserve"> also in businesses</w:t>
      </w:r>
      <w:r w:rsidR="00BB64AA" w:rsidRPr="004E0468">
        <w:t>’ (81.69%), ‘l</w:t>
      </w:r>
      <w:r w:rsidR="00177F66" w:rsidRPr="004E0468">
        <w:t>imited attention for end-of-life phase in current product designs</w:t>
      </w:r>
      <w:r w:rsidR="00BB64AA" w:rsidRPr="004E0468">
        <w:t>’</w:t>
      </w:r>
      <w:r w:rsidR="00177F66" w:rsidRPr="004E0468">
        <w:t xml:space="preserve"> (62.86%). </w:t>
      </w:r>
      <w:r w:rsidR="001738DA" w:rsidRPr="004E0468">
        <w:t>It is i</w:t>
      </w:r>
      <w:r w:rsidR="00177F66" w:rsidRPr="004E0468">
        <w:t>nteresting to observe how financial</w:t>
      </w:r>
      <w:r w:rsidR="00BB64AA" w:rsidRPr="004E0468">
        <w:t xml:space="preserve"> related</w:t>
      </w:r>
      <w:r w:rsidR="00177F66" w:rsidRPr="004E0468">
        <w:t xml:space="preserve"> barriers have less importance in this case</w:t>
      </w:r>
      <w:r w:rsidR="001738DA" w:rsidRPr="004E0468">
        <w:t>,</w:t>
      </w:r>
      <w:r w:rsidR="00177F66" w:rsidRPr="004E0468">
        <w:t xml:space="preserve"> and this can be explained both with actually lower cost and with the perception of the relative importance of these costs for the firm. </w:t>
      </w:r>
    </w:p>
    <w:p w14:paraId="6E37AF46" w14:textId="20102E1D" w:rsidR="00177F66" w:rsidRPr="004E0468" w:rsidRDefault="00177F66" w:rsidP="00177F66">
      <w:pPr>
        <w:pStyle w:val="Heading2"/>
      </w:pPr>
      <w:r w:rsidRPr="004E0468">
        <w:t>4.5 Customer Cooperation Practices</w:t>
      </w:r>
    </w:p>
    <w:p w14:paraId="694C05EA" w14:textId="02DD6B81" w:rsidR="00177F66" w:rsidRPr="004E0468" w:rsidRDefault="00BB64AA" w:rsidP="00177F66">
      <w:pPr>
        <w:jc w:val="both"/>
      </w:pPr>
      <w:r w:rsidRPr="004E0468">
        <w:t>In the case of ‘customer c</w:t>
      </w:r>
      <w:r w:rsidR="00177F66" w:rsidRPr="004E0468">
        <w:t>ooperation</w:t>
      </w:r>
      <w:r w:rsidRPr="004E0468">
        <w:t>’</w:t>
      </w:r>
      <w:r w:rsidR="00177F66" w:rsidRPr="004E0468">
        <w:t xml:space="preserve"> practices such as </w:t>
      </w:r>
      <w:r w:rsidRPr="004E0468">
        <w:t>‘</w:t>
      </w:r>
      <w:r w:rsidR="00177F66" w:rsidRPr="004E0468">
        <w:t>adopting a leasing or service-based marketing strategy</w:t>
      </w:r>
      <w:r w:rsidR="002D73A5" w:rsidRPr="004E0468">
        <w:t>’</w:t>
      </w:r>
      <w:r w:rsidR="00177F66" w:rsidRPr="004E0468">
        <w:t xml:space="preserve"> or </w:t>
      </w:r>
      <w:r w:rsidR="002D73A5" w:rsidRPr="004E0468">
        <w:t>‘</w:t>
      </w:r>
      <w:r w:rsidR="00177F66" w:rsidRPr="004E0468">
        <w:t>targeting “green” segments of the market</w:t>
      </w:r>
      <w:r w:rsidR="002D73A5" w:rsidRPr="004E0468">
        <w:t>’</w:t>
      </w:r>
      <w:r w:rsidR="00177F66" w:rsidRPr="004E0468">
        <w:t xml:space="preserve">, these practices were found to be not commonly followed among the participant organisations. For instance, the results of the study indicate that only 45.33% of the companies that participated in the study had adopted a </w:t>
      </w:r>
      <w:r w:rsidR="002D73A5" w:rsidRPr="004E0468">
        <w:t>‘</w:t>
      </w:r>
      <w:r w:rsidR="00177F66" w:rsidRPr="004E0468">
        <w:t>leasing or service-based marketing strategy</w:t>
      </w:r>
      <w:r w:rsidR="002D73A5" w:rsidRPr="004E0468">
        <w:t>’</w:t>
      </w:r>
      <w:r w:rsidR="00177F66" w:rsidRPr="004E0468">
        <w:t xml:space="preserve">, whereas 41.33% had </w:t>
      </w:r>
      <w:r w:rsidR="002D73A5" w:rsidRPr="004E0468">
        <w:t>‘</w:t>
      </w:r>
      <w:r w:rsidR="00177F66" w:rsidRPr="004E0468">
        <w:t>targeted “green” segments of the market</w:t>
      </w:r>
      <w:r w:rsidR="002D73A5" w:rsidRPr="004E0468">
        <w:t>’</w:t>
      </w:r>
      <w:r w:rsidR="00177F66" w:rsidRPr="004E0468">
        <w:t xml:space="preserve">, and only 40.00% had adopted </w:t>
      </w:r>
      <w:r w:rsidR="002D73A5" w:rsidRPr="004E0468">
        <w:t>‘</w:t>
      </w:r>
      <w:r w:rsidR="00177F66" w:rsidRPr="004E0468">
        <w:t>green packaging practices</w:t>
      </w:r>
      <w:r w:rsidR="002D73A5" w:rsidRPr="004E0468">
        <w:t>’. After ‘investment r</w:t>
      </w:r>
      <w:r w:rsidR="00177F66" w:rsidRPr="004E0468">
        <w:t>ecovery</w:t>
      </w:r>
      <w:r w:rsidR="002D73A5" w:rsidRPr="004E0468">
        <w:t>’, ‘customer c</w:t>
      </w:r>
      <w:r w:rsidR="00177F66" w:rsidRPr="004E0468">
        <w:t>ooperation</w:t>
      </w:r>
      <w:r w:rsidR="002D73A5" w:rsidRPr="004E0468">
        <w:t>’</w:t>
      </w:r>
      <w:r w:rsidR="00177F66" w:rsidRPr="004E0468">
        <w:t xml:space="preserve"> practices were the least commonly adopted by organisations. </w:t>
      </w:r>
      <w:r w:rsidR="00955B4C" w:rsidRPr="004E0468">
        <w:t>Apart from emphasising</w:t>
      </w:r>
      <w:r w:rsidR="00177F66" w:rsidRPr="004E0468">
        <w:t xml:space="preserve"> </w:t>
      </w:r>
      <w:r w:rsidR="00955B4C" w:rsidRPr="004E0468">
        <w:t>again</w:t>
      </w:r>
      <w:r w:rsidR="00177F66" w:rsidRPr="004E0468">
        <w:t xml:space="preserve"> </w:t>
      </w:r>
      <w:r w:rsidR="00955B4C" w:rsidRPr="004E0468">
        <w:t>how</w:t>
      </w:r>
      <w:r w:rsidR="00177F66" w:rsidRPr="004E0468">
        <w:t xml:space="preserve"> </w:t>
      </w:r>
      <w:r w:rsidR="00955B4C" w:rsidRPr="004E0468">
        <w:t xml:space="preserve">the implementation of </w:t>
      </w:r>
      <w:r w:rsidR="002D73A5" w:rsidRPr="004E0468">
        <w:t xml:space="preserve">CE </w:t>
      </w:r>
      <w:r w:rsidR="00955B4C" w:rsidRPr="004E0468">
        <w:t>practices</w:t>
      </w:r>
      <w:r w:rsidR="00177F66" w:rsidRPr="004E0468">
        <w:t xml:space="preserve"> tend to be characterised by narrow arc</w:t>
      </w:r>
      <w:r w:rsidR="00955B4C" w:rsidRPr="004E0468">
        <w:t>s of integration (</w:t>
      </w:r>
      <w:proofErr w:type="spellStart"/>
      <w:r w:rsidR="00955B4C" w:rsidRPr="004E0468">
        <w:t>Frolich</w:t>
      </w:r>
      <w:proofErr w:type="spellEnd"/>
      <w:r w:rsidR="00955B4C" w:rsidRPr="004E0468">
        <w:t xml:space="preserve"> 2001), the result highlights how</w:t>
      </w:r>
      <w:r w:rsidR="00177F66" w:rsidRPr="004E0468">
        <w:t xml:space="preserve"> practices for the upstream side of the supply chain are more common than </w:t>
      </w:r>
      <w:r w:rsidR="002D73A5" w:rsidRPr="004E0468">
        <w:t xml:space="preserve">CE </w:t>
      </w:r>
      <w:r w:rsidR="00177F66" w:rsidRPr="004E0468">
        <w:t xml:space="preserve">practices adopted in the downstream side of the supply chain. </w:t>
      </w:r>
      <w:r w:rsidR="00456826" w:rsidRPr="004E0468">
        <w:t xml:space="preserve">One </w:t>
      </w:r>
      <w:r w:rsidR="00177F66" w:rsidRPr="004E0468">
        <w:t xml:space="preserve">possible </w:t>
      </w:r>
      <w:r w:rsidR="00456826" w:rsidRPr="004E0468">
        <w:t>explanation for</w:t>
      </w:r>
      <w:r w:rsidR="00177F66" w:rsidRPr="004E0468">
        <w:t xml:space="preserve"> this phenomenon is that customer integration could be relatively more difficult to achieve if compared to supplier integration, since suppliers can easily be influenced if focal companies use their bargaining power (Crook 2007).</w:t>
      </w:r>
    </w:p>
    <w:p w14:paraId="248BDB05" w14:textId="42F00FDA" w:rsidR="00177F66" w:rsidRPr="004E0468" w:rsidRDefault="00177F66" w:rsidP="00177F66">
      <w:pPr>
        <w:jc w:val="both"/>
      </w:pPr>
      <w:r w:rsidRPr="004E0468">
        <w:t>Barriers to the implementation of</w:t>
      </w:r>
      <w:r w:rsidR="002D73A5" w:rsidRPr="004E0468">
        <w:t xml:space="preserve"> ‘customer c</w:t>
      </w:r>
      <w:r w:rsidRPr="004E0468">
        <w:t>ooperation</w:t>
      </w:r>
      <w:r w:rsidR="002D73A5" w:rsidRPr="004E0468">
        <w:t>’</w:t>
      </w:r>
      <w:r w:rsidRPr="004E0468">
        <w:t xml:space="preserve"> practices included </w:t>
      </w:r>
      <w:r w:rsidR="002D73A5" w:rsidRPr="004E0468">
        <w:t>‘</w:t>
      </w:r>
      <w:r w:rsidRPr="004E0468">
        <w:t>lack of awareness and sense of urgency, also in businesses</w:t>
      </w:r>
      <w:r w:rsidR="002D73A5" w:rsidRPr="004E0468">
        <w:t>’</w:t>
      </w:r>
      <w:r w:rsidRPr="004E0468">
        <w:t xml:space="preserve"> (76.47%), </w:t>
      </w:r>
      <w:r w:rsidR="002D73A5" w:rsidRPr="004E0468">
        <w:t>‘</w:t>
      </w:r>
      <w:r w:rsidRPr="004E0468">
        <w:t xml:space="preserve">limited attention for </w:t>
      </w:r>
      <w:r w:rsidRPr="004E0468">
        <w:lastRenderedPageBreak/>
        <w:t>end-of-life phase in current product designs</w:t>
      </w:r>
      <w:r w:rsidR="002D73A5" w:rsidRPr="004E0468">
        <w:t>’</w:t>
      </w:r>
      <w:r w:rsidRPr="004E0468">
        <w:t xml:space="preserve"> (64.71%), </w:t>
      </w:r>
      <w:r w:rsidR="002D73A5" w:rsidRPr="004E0468">
        <w:t>‘</w:t>
      </w:r>
      <w:r w:rsidRPr="004E0468">
        <w:t>lack of clear, standardized, quantitative measurement and goals for assessing the performance of a circular sustainable development model</w:t>
      </w:r>
      <w:r w:rsidR="002D73A5" w:rsidRPr="004E0468">
        <w:t>’</w:t>
      </w:r>
      <w:r w:rsidRPr="004E0468">
        <w:t xml:space="preserve"> (56.72%), and </w:t>
      </w:r>
      <w:r w:rsidR="002D73A5" w:rsidRPr="004E0468">
        <w:t>‘</w:t>
      </w:r>
      <w:r w:rsidRPr="004E0468">
        <w:t>higher costs for management and planning</w:t>
      </w:r>
      <w:r w:rsidR="002D73A5" w:rsidRPr="004E0468">
        <w:t>’</w:t>
      </w:r>
      <w:r w:rsidRPr="004E0468">
        <w:t xml:space="preserve"> (56.52%</w:t>
      </w:r>
      <w:r w:rsidR="002D73A5" w:rsidRPr="004E0468">
        <w:t>). Similarly as in the case of ‘green p</w:t>
      </w:r>
      <w:r w:rsidRPr="004E0468">
        <w:t>urchasing</w:t>
      </w:r>
      <w:r w:rsidR="002D73A5" w:rsidRPr="004E0468">
        <w:t>’</w:t>
      </w:r>
      <w:r w:rsidRPr="004E0468">
        <w:t>, financial barriers seem to be less significant to adopt</w:t>
      </w:r>
      <w:r w:rsidR="002D73A5" w:rsidRPr="004E0468">
        <w:t xml:space="preserve"> than</w:t>
      </w:r>
      <w:r w:rsidRPr="004E0468">
        <w:t xml:space="preserve"> </w:t>
      </w:r>
      <w:r w:rsidR="002D73A5" w:rsidRPr="004E0468">
        <w:t>‘customer c</w:t>
      </w:r>
      <w:r w:rsidRPr="004E0468">
        <w:t>ooperation</w:t>
      </w:r>
      <w:r w:rsidR="002D73A5" w:rsidRPr="004E0468">
        <w:t>’ p</w:t>
      </w:r>
      <w:r w:rsidRPr="004E0468">
        <w:t>ractices. This can be related to the fact that the costs to manage the downstream side of the supply chain are lower, or to the fact that practitioners are not aware of the costs needed to perform this kind of activities.</w:t>
      </w:r>
      <w:r w:rsidR="005D6DFB" w:rsidRPr="004E0468">
        <w:t xml:space="preserve"> It is interesting to observe the importance of the </w:t>
      </w:r>
      <w:r w:rsidR="002D73A5" w:rsidRPr="004E0468">
        <w:t>‘</w:t>
      </w:r>
      <w:r w:rsidR="005D6DFB" w:rsidRPr="004E0468">
        <w:t>lack of clear, standardized, quantitative measurement and goals for assessing the performance of a circular sustainable development model</w:t>
      </w:r>
      <w:r w:rsidR="002D73A5" w:rsidRPr="004E0468">
        <w:t>’</w:t>
      </w:r>
      <w:r w:rsidR="005D6DFB" w:rsidRPr="004E0468">
        <w:t>, in line with previous supply chain manageme</w:t>
      </w:r>
      <w:r w:rsidR="002C079F" w:rsidRPr="004E0468">
        <w:t>nt studies (Wong et al.</w:t>
      </w:r>
      <w:r w:rsidR="005D6DFB" w:rsidRPr="004E0468">
        <w:t xml:space="preserve"> 2012) highlighting how a proper business performance management system is </w:t>
      </w:r>
      <w:r w:rsidR="001738DA" w:rsidRPr="004E0468">
        <w:t>a key enabler for</w:t>
      </w:r>
      <w:r w:rsidR="005D6DFB" w:rsidRPr="004E0468">
        <w:t xml:space="preserve"> supply chain alignment.</w:t>
      </w:r>
    </w:p>
    <w:p w14:paraId="245E0FB5" w14:textId="27C5C370" w:rsidR="00177F66" w:rsidRPr="004E0468" w:rsidRDefault="00177F66" w:rsidP="00177F66">
      <w:pPr>
        <w:pStyle w:val="Heading2"/>
      </w:pPr>
      <w:r w:rsidRPr="004E0468">
        <w:t xml:space="preserve">4.6 Internal Environmental Management Practices </w:t>
      </w:r>
    </w:p>
    <w:p w14:paraId="55F94EA2" w14:textId="09CEC4F2" w:rsidR="005C2D56" w:rsidRPr="004E0468" w:rsidRDefault="002D73A5" w:rsidP="00177F66">
      <w:pPr>
        <w:jc w:val="both"/>
      </w:pPr>
      <w:r w:rsidRPr="004E0468">
        <w:t>‘Internal environmental m</w:t>
      </w:r>
      <w:r w:rsidR="00177F66" w:rsidRPr="004E0468">
        <w:t>anagement</w:t>
      </w:r>
      <w:r w:rsidRPr="004E0468">
        <w:t>’</w:t>
      </w:r>
      <w:r w:rsidR="00177F66" w:rsidRPr="004E0468">
        <w:t xml:space="preserve"> practices such as </w:t>
      </w:r>
      <w:r w:rsidRPr="004E0468">
        <w:t>‘</w:t>
      </w:r>
      <w:r w:rsidR="00177F66" w:rsidRPr="004E0468">
        <w:t>including environmental factors in internal performance evaluation systems</w:t>
      </w:r>
      <w:r w:rsidRPr="004E0468">
        <w:t>’</w:t>
      </w:r>
      <w:r w:rsidR="00177F66" w:rsidRPr="004E0468">
        <w:t xml:space="preserve"> </w:t>
      </w:r>
      <w:r w:rsidR="007A101C" w:rsidRPr="004E0468">
        <w:t xml:space="preserve">appear </w:t>
      </w:r>
      <w:r w:rsidR="00177F66" w:rsidRPr="004E0468">
        <w:t xml:space="preserve">to have a “medium” level of adoption among the participant organisations (i.e. these practices were equally split between companies not considering them and companies that had implemented them in their operations). </w:t>
      </w:r>
    </w:p>
    <w:p w14:paraId="6C5F039C" w14:textId="3A8BFCD5" w:rsidR="005C2D56" w:rsidRPr="004E0468" w:rsidRDefault="0077596D" w:rsidP="005C2D56">
      <w:pPr>
        <w:jc w:val="both"/>
      </w:pPr>
      <w:r w:rsidRPr="004E0468">
        <w:t xml:space="preserve">     </w:t>
      </w:r>
      <w:r w:rsidR="005C2D56" w:rsidRPr="004E0468">
        <w:t xml:space="preserve">In terms of barriers to the implementation of </w:t>
      </w:r>
      <w:r w:rsidR="002D73A5" w:rsidRPr="004E0468">
        <w:t xml:space="preserve">‘internal environmental management’ </w:t>
      </w:r>
      <w:r w:rsidR="005C2D56" w:rsidRPr="004E0468">
        <w:t>practices, the most common</w:t>
      </w:r>
      <w:r w:rsidR="007A101C" w:rsidRPr="004E0468">
        <w:t>ly</w:t>
      </w:r>
      <w:r w:rsidR="005C2D56" w:rsidRPr="004E0468">
        <w:t xml:space="preserve"> perceived were </w:t>
      </w:r>
      <w:r w:rsidR="002D73A5" w:rsidRPr="004E0468">
        <w:t>‘</w:t>
      </w:r>
      <w:r w:rsidR="005C2D56" w:rsidRPr="004E0468">
        <w:t>lack of awareness and sense of urgency, also in businesses</w:t>
      </w:r>
      <w:r w:rsidR="002D73A5" w:rsidRPr="004E0468">
        <w:t>’</w:t>
      </w:r>
      <w:r w:rsidR="005C2D56" w:rsidRPr="004E0468">
        <w:t xml:space="preserve"> (75.36%), </w:t>
      </w:r>
      <w:r w:rsidR="002D73A5" w:rsidRPr="004E0468">
        <w:t>‘</w:t>
      </w:r>
      <w:r w:rsidR="005C2D56" w:rsidRPr="004E0468">
        <w:t>limited attention for end-of-life phase in current product designs</w:t>
      </w:r>
      <w:r w:rsidR="002D73A5" w:rsidRPr="004E0468">
        <w:t>’</w:t>
      </w:r>
      <w:r w:rsidR="005C2D56" w:rsidRPr="004E0468">
        <w:t xml:space="preserve"> (61.19%) and </w:t>
      </w:r>
      <w:r w:rsidR="002D73A5" w:rsidRPr="004E0468">
        <w:t>‘</w:t>
      </w:r>
      <w:r w:rsidR="005C2D56" w:rsidRPr="004E0468">
        <w:t>higher costs for management and planning</w:t>
      </w:r>
      <w:r w:rsidR="002D73A5" w:rsidRPr="004E0468">
        <w:t>’</w:t>
      </w:r>
      <w:r w:rsidR="005C2D56" w:rsidRPr="004E0468">
        <w:t xml:space="preserve"> (60.61%). </w:t>
      </w:r>
    </w:p>
    <w:p w14:paraId="53C0DD5D" w14:textId="23655E89" w:rsidR="005C2D56" w:rsidRPr="004E0468" w:rsidRDefault="0077596D" w:rsidP="005C2D56">
      <w:pPr>
        <w:jc w:val="both"/>
      </w:pPr>
      <w:r w:rsidRPr="004E0468">
        <w:t xml:space="preserve">     </w:t>
      </w:r>
      <w:r w:rsidR="005C2D56" w:rsidRPr="004E0468">
        <w:t xml:space="preserve">The result highlights again the relevance of metrics and planning for the implementation of </w:t>
      </w:r>
      <w:r w:rsidR="007A101C" w:rsidRPr="004E0468">
        <w:t xml:space="preserve">the </w:t>
      </w:r>
      <w:r w:rsidR="0052515B" w:rsidRPr="004E0468">
        <w:t>CE</w:t>
      </w:r>
      <w:r w:rsidR="005C2D56" w:rsidRPr="004E0468">
        <w:t>, in</w:t>
      </w:r>
      <w:r w:rsidR="001175F6" w:rsidRPr="004E0468">
        <w:t xml:space="preserve"> line with supply chain theory (</w:t>
      </w:r>
      <w:r w:rsidR="005C2D56" w:rsidRPr="004E0468">
        <w:t>Won</w:t>
      </w:r>
      <w:r w:rsidR="00A04806" w:rsidRPr="004E0468">
        <w:t xml:space="preserve">g et al. 2012; </w:t>
      </w:r>
      <w:proofErr w:type="spellStart"/>
      <w:r w:rsidR="00A04806" w:rsidRPr="004E0468">
        <w:t>Ski</w:t>
      </w:r>
      <w:r w:rsidR="001175F6" w:rsidRPr="004E0468">
        <w:t>pworth</w:t>
      </w:r>
      <w:proofErr w:type="spellEnd"/>
      <w:r w:rsidR="001175F6" w:rsidRPr="004E0468">
        <w:t xml:space="preserve"> et al. 2015)</w:t>
      </w:r>
      <w:r w:rsidR="005C2D56" w:rsidRPr="004E0468">
        <w:t xml:space="preserve"> and highlights how this is true at both internal operational and </w:t>
      </w:r>
      <w:r w:rsidR="005C2D56" w:rsidRPr="004E0468">
        <w:lastRenderedPageBreak/>
        <w:t xml:space="preserve">supply chain levels. Hence, organisations must strive </w:t>
      </w:r>
      <w:r w:rsidR="007A1B6B" w:rsidRPr="004E0468">
        <w:t xml:space="preserve">to </w:t>
      </w:r>
      <w:r w:rsidR="005C2D56" w:rsidRPr="004E0468">
        <w:t xml:space="preserve">adopt planning and environmental metrics in their performance </w:t>
      </w:r>
      <w:r w:rsidR="0052515B" w:rsidRPr="004E0468">
        <w:t xml:space="preserve">measurement </w:t>
      </w:r>
      <w:r w:rsidR="005C2D56" w:rsidRPr="004E0468">
        <w:t>systems to make sure that a higher performance in this area is enabled.</w:t>
      </w:r>
    </w:p>
    <w:p w14:paraId="75EEC156" w14:textId="404B588C" w:rsidR="005C2D56" w:rsidRPr="004E0468" w:rsidRDefault="005C2D56" w:rsidP="005C2D56">
      <w:pPr>
        <w:pStyle w:val="Heading2"/>
      </w:pPr>
      <w:r w:rsidRPr="004E0468">
        <w:t xml:space="preserve">4.7 Awareness </w:t>
      </w:r>
    </w:p>
    <w:p w14:paraId="0917AD46" w14:textId="70C2EE99" w:rsidR="005C2D56" w:rsidRPr="004E0468" w:rsidRDefault="005C2D56" w:rsidP="005C2D56">
      <w:pPr>
        <w:jc w:val="both"/>
      </w:pPr>
      <w:r w:rsidRPr="004E0468">
        <w:t xml:space="preserve">Finally, it is interesting to observe that 65.33% of the participant organisations declared to be aware of the </w:t>
      </w:r>
      <w:r w:rsidR="002D73A5" w:rsidRPr="004E0468">
        <w:t xml:space="preserve">CE </w:t>
      </w:r>
      <w:r w:rsidR="0052515B" w:rsidRPr="004E0468">
        <w:t>concept</w:t>
      </w:r>
      <w:r w:rsidRPr="004E0468">
        <w:t xml:space="preserve"> while 34.67% were not. In this context, the result of this study show</w:t>
      </w:r>
      <w:r w:rsidR="007A1B6B" w:rsidRPr="004E0468">
        <w:t>s</w:t>
      </w:r>
      <w:r w:rsidRPr="004E0468">
        <w:t xml:space="preserve"> a discrepancy between awareness and practices as previously observed by Liu and Bai (2014).</w:t>
      </w:r>
    </w:p>
    <w:p w14:paraId="77B9E5ED" w14:textId="57862AD5" w:rsidR="00437A13" w:rsidRPr="004E0468" w:rsidRDefault="005C2D56" w:rsidP="005C2D56">
      <w:pPr>
        <w:pStyle w:val="Heading1"/>
      </w:pPr>
      <w:r w:rsidRPr="004E0468">
        <w:t>5. C</w:t>
      </w:r>
      <w:r w:rsidR="00E03FF6" w:rsidRPr="004E0468">
        <w:t xml:space="preserve">onclusions </w:t>
      </w:r>
    </w:p>
    <w:p w14:paraId="38F4A2EF" w14:textId="5F1CBA59" w:rsidR="00F6095F" w:rsidRPr="004E0468" w:rsidRDefault="00F6095F" w:rsidP="00F6095F">
      <w:pPr>
        <w:jc w:val="both"/>
      </w:pPr>
      <w:r w:rsidRPr="004E0468">
        <w:t>Unique when compared to previous CE researches, the present survey-based study investigated the implementation of practices aligned with the CE at a firm level through a comprehensive taxonomy of practices and barriers. The results show that the implementation of CE related practices seems driven by economical rather than environmental conscious behaviours, with a marked preference for those practices that generate an economic return in the shorter term. The results also highlight the preference of companies for practices at firm level instead of supply chain level, in line with supply chain management theory.</w:t>
      </w:r>
    </w:p>
    <w:p w14:paraId="626CFB6A" w14:textId="17B4181A" w:rsidR="006C7F1E" w:rsidRPr="004E0468" w:rsidRDefault="00286F8A" w:rsidP="00286F8A">
      <w:pPr>
        <w:jc w:val="both"/>
        <w:rPr>
          <w:sz w:val="23"/>
          <w:szCs w:val="23"/>
        </w:rPr>
      </w:pPr>
      <w:r w:rsidRPr="004E0468">
        <w:t>T</w:t>
      </w:r>
      <w:r w:rsidR="001233CD" w:rsidRPr="004E0468">
        <w:t>h</w:t>
      </w:r>
      <w:r w:rsidRPr="004E0468">
        <w:t>e</w:t>
      </w:r>
      <w:r w:rsidR="001233CD" w:rsidRPr="004E0468">
        <w:t xml:space="preserve"> </w:t>
      </w:r>
      <w:r w:rsidR="00A81714" w:rsidRPr="004E0468">
        <w:t xml:space="preserve">paper </w:t>
      </w:r>
      <w:r w:rsidRPr="004E0468">
        <w:t>gives a contribution to</w:t>
      </w:r>
      <w:r w:rsidR="002C1858" w:rsidRPr="004E0468">
        <w:t xml:space="preserve"> </w:t>
      </w:r>
      <w:r w:rsidRPr="004E0468">
        <w:t>knowledge in the field of CE by p</w:t>
      </w:r>
      <w:r w:rsidR="006C7F1E" w:rsidRPr="004E0468">
        <w:t>roposing a</w:t>
      </w:r>
      <w:r w:rsidRPr="004E0468">
        <w:t xml:space="preserve">n empirically validated </w:t>
      </w:r>
      <w:r w:rsidR="002C1858" w:rsidRPr="004E0468">
        <w:t xml:space="preserve">taxonomy of practices and barriers </w:t>
      </w:r>
      <w:r w:rsidR="006C7F1E" w:rsidRPr="004E0468">
        <w:t xml:space="preserve">related to the deployment of the CE </w:t>
      </w:r>
      <w:r w:rsidRPr="004E0468">
        <w:t xml:space="preserve">at a firm level. Such a taxonomy creates a background for the contextualisation of other studies with a narrow focus on specific contexts or on </w:t>
      </w:r>
      <w:r w:rsidRPr="004E0468">
        <w:rPr>
          <w:sz w:val="23"/>
          <w:szCs w:val="23"/>
        </w:rPr>
        <w:t xml:space="preserve">pockets of good practice. </w:t>
      </w:r>
    </w:p>
    <w:p w14:paraId="231587A9" w14:textId="34B2F97F" w:rsidR="00BD3484" w:rsidRPr="004E0468" w:rsidRDefault="00E812BC" w:rsidP="000D39E4">
      <w:pPr>
        <w:jc w:val="both"/>
      </w:pPr>
      <w:r w:rsidRPr="004E0468">
        <w:rPr>
          <w:bCs/>
        </w:rPr>
        <w:t xml:space="preserve">Despite the exploratory nature of the present study, </w:t>
      </w:r>
      <w:r w:rsidRPr="004E0468">
        <w:t>t</w:t>
      </w:r>
      <w:r w:rsidR="00286F8A" w:rsidRPr="004E0468">
        <w:t xml:space="preserve">he results of the study are also beneficial for organisations of any sector that aim at tackling the sustainability challenges of the current scenario through the principles of the CE. An understanding of </w:t>
      </w:r>
      <w:r w:rsidR="00286F8A" w:rsidRPr="004E0468">
        <w:lastRenderedPageBreak/>
        <w:t xml:space="preserve">the current trends in the transitions to a CE allows firms to differentiate their strategies and gain competitive advantage. </w:t>
      </w:r>
      <w:r w:rsidRPr="004E0468">
        <w:t xml:space="preserve">Similarly, an analysis of current biases and barriers can foster the design of more </w:t>
      </w:r>
      <w:r w:rsidRPr="004E0468">
        <w:rPr>
          <w:bCs/>
        </w:rPr>
        <w:t>balanced strategies for firms trying to align their practices to the CE principles.</w:t>
      </w:r>
      <w:r w:rsidRPr="004E0468">
        <w:t xml:space="preserve"> </w:t>
      </w:r>
      <w:r w:rsidR="00286F8A" w:rsidRPr="004E0468">
        <w:t xml:space="preserve">This is extremely important in a macro-economic context were legislations is increasingly stringent in terms of protection of the environment. </w:t>
      </w:r>
      <w:r w:rsidR="00BD3484" w:rsidRPr="004E0468">
        <w:rPr>
          <w:bCs/>
        </w:rPr>
        <w:t>Moreover, the i</w:t>
      </w:r>
      <w:r w:rsidR="0077596D" w:rsidRPr="004E0468">
        <w:rPr>
          <w:bCs/>
        </w:rPr>
        <w:t xml:space="preserve">nsights into the practices that </w:t>
      </w:r>
      <w:r w:rsidR="00B704BC" w:rsidRPr="004E0468">
        <w:rPr>
          <w:bCs/>
        </w:rPr>
        <w:t>can play a significant role in</w:t>
      </w:r>
      <w:r w:rsidR="0077596D" w:rsidRPr="004E0468">
        <w:rPr>
          <w:bCs/>
        </w:rPr>
        <w:t xml:space="preserve"> the </w:t>
      </w:r>
      <w:r w:rsidR="00BD3484" w:rsidRPr="004E0468">
        <w:rPr>
          <w:bCs/>
        </w:rPr>
        <w:t xml:space="preserve">transition to a </w:t>
      </w:r>
      <w:r w:rsidR="0077596D" w:rsidRPr="004E0468">
        <w:rPr>
          <w:bCs/>
        </w:rPr>
        <w:t>CE</w:t>
      </w:r>
      <w:r w:rsidR="00BD3484" w:rsidRPr="004E0468">
        <w:rPr>
          <w:bCs/>
        </w:rPr>
        <w:t xml:space="preserve"> </w:t>
      </w:r>
      <w:r w:rsidR="0077596D" w:rsidRPr="004E0468">
        <w:rPr>
          <w:bCs/>
        </w:rPr>
        <w:t xml:space="preserve">may encourage organisations not currently committed to sustainability to contemplate the potential benefits </w:t>
      </w:r>
      <w:r w:rsidR="00BD3484" w:rsidRPr="004E0468">
        <w:rPr>
          <w:bCs/>
        </w:rPr>
        <w:t>of it</w:t>
      </w:r>
      <w:r w:rsidR="0077596D" w:rsidRPr="004E0468">
        <w:rPr>
          <w:bCs/>
        </w:rPr>
        <w:t xml:space="preserve">. </w:t>
      </w:r>
    </w:p>
    <w:p w14:paraId="20A7CF55" w14:textId="73823B41" w:rsidR="00BD3484" w:rsidRPr="004E0468" w:rsidRDefault="00BD3484" w:rsidP="00BD3484">
      <w:pPr>
        <w:jc w:val="both"/>
      </w:pPr>
      <w:r w:rsidRPr="004E0468">
        <w:rPr>
          <w:bCs/>
        </w:rPr>
        <w:t xml:space="preserve">     In terms of research limitations, </w:t>
      </w:r>
      <w:r w:rsidRPr="004E0468">
        <w:t xml:space="preserve">the size of the sample considered in this study is a constraint factor that </w:t>
      </w:r>
      <w:r w:rsidR="00E3410A" w:rsidRPr="004E0468">
        <w:t>implies the exploratory nature of the results.</w:t>
      </w:r>
    </w:p>
    <w:p w14:paraId="07987790" w14:textId="77777777" w:rsidR="002F5CF4" w:rsidRPr="004E0468" w:rsidRDefault="00BD3484" w:rsidP="002F5CF4">
      <w:pPr>
        <w:jc w:val="both"/>
      </w:pPr>
      <w:r w:rsidRPr="004E0468">
        <w:t>Therefore, further research</w:t>
      </w:r>
      <w:r w:rsidR="00564EA0" w:rsidRPr="004E0468">
        <w:t xml:space="preserve"> can build on current results while</w:t>
      </w:r>
      <w:r w:rsidRPr="004E0468">
        <w:t xml:space="preserve"> involving a broader set of companies.</w:t>
      </w:r>
      <w:r w:rsidR="00564EA0" w:rsidRPr="004E0468">
        <w:t xml:space="preserve"> </w:t>
      </w:r>
      <w:r w:rsidR="00F57257" w:rsidRPr="004E0468">
        <w:t xml:space="preserve">Building on a clear understanding of the main trends in terms of practices and barriers, further studies can investigate the effect of specific industry sectors and geographical contexts, a key gap that originated the current study. </w:t>
      </w:r>
      <w:r w:rsidRPr="004E0468">
        <w:rPr>
          <w:bCs/>
        </w:rPr>
        <w:t xml:space="preserve">Finally, </w:t>
      </w:r>
      <w:r w:rsidR="00F57257" w:rsidRPr="004E0468">
        <w:rPr>
          <w:bCs/>
        </w:rPr>
        <w:t xml:space="preserve">while the current study analysed the implementation of practices aligned with the CE principles, </w:t>
      </w:r>
      <w:r w:rsidRPr="004E0468">
        <w:t xml:space="preserve">researchers could </w:t>
      </w:r>
      <w:r w:rsidR="00F57257" w:rsidRPr="004E0468">
        <w:t xml:space="preserve">also </w:t>
      </w:r>
      <w:r w:rsidRPr="004E0468">
        <w:t xml:space="preserve">investigate </w:t>
      </w:r>
      <w:r w:rsidR="00F57257" w:rsidRPr="004E0468">
        <w:t>the factors triggering the adoption of these practices.</w:t>
      </w:r>
    </w:p>
    <w:p w14:paraId="1616FE99" w14:textId="7F2F7A18" w:rsidR="00E03FF6" w:rsidRPr="004E0468" w:rsidRDefault="00E03FF6" w:rsidP="002F5CF4">
      <w:pPr>
        <w:jc w:val="both"/>
      </w:pPr>
      <w:r w:rsidRPr="004E0468">
        <w:br w:type="page"/>
      </w:r>
    </w:p>
    <w:p w14:paraId="7E9BC7B6" w14:textId="7863AC11" w:rsidR="009B3E4F" w:rsidRPr="004E0468" w:rsidRDefault="00D97B08" w:rsidP="00D97B08">
      <w:pPr>
        <w:pStyle w:val="Heading1"/>
      </w:pPr>
      <w:r w:rsidRPr="004E0468">
        <w:lastRenderedPageBreak/>
        <w:t xml:space="preserve">References </w:t>
      </w:r>
    </w:p>
    <w:p w14:paraId="3BD4D1D0" w14:textId="77777777" w:rsidR="004E4E0D" w:rsidRPr="004E0468" w:rsidRDefault="004E4E0D" w:rsidP="004E4E0D">
      <w:pPr>
        <w:spacing w:line="276" w:lineRule="auto"/>
        <w:ind w:left="567" w:hanging="425"/>
        <w:jc w:val="both"/>
        <w:rPr>
          <w:sz w:val="22"/>
          <w:szCs w:val="22"/>
        </w:rPr>
      </w:pPr>
      <w:r w:rsidRPr="004E0468">
        <w:rPr>
          <w:color w:val="222222"/>
          <w:sz w:val="22"/>
          <w:szCs w:val="22"/>
          <w:shd w:val="clear" w:color="auto" w:fill="FFFFFF"/>
        </w:rPr>
        <w:t xml:space="preserve">Andersen, Mikael </w:t>
      </w:r>
      <w:proofErr w:type="spellStart"/>
      <w:r w:rsidRPr="004E0468">
        <w:rPr>
          <w:color w:val="222222"/>
          <w:sz w:val="22"/>
          <w:szCs w:val="22"/>
          <w:shd w:val="clear" w:color="auto" w:fill="FFFFFF"/>
        </w:rPr>
        <w:t>Skou</w:t>
      </w:r>
      <w:proofErr w:type="spellEnd"/>
      <w:r w:rsidRPr="004E0468">
        <w:rPr>
          <w:color w:val="222222"/>
          <w:sz w:val="22"/>
          <w:szCs w:val="22"/>
          <w:shd w:val="clear" w:color="auto" w:fill="FFFFFF"/>
        </w:rPr>
        <w:t>. 2007. "An introductory note on the environmental economics of the circular economy."</w:t>
      </w:r>
      <w:r w:rsidRPr="004E0468">
        <w:rPr>
          <w:rStyle w:val="apple-converted-space"/>
          <w:color w:val="222222"/>
          <w:sz w:val="22"/>
          <w:szCs w:val="22"/>
          <w:shd w:val="clear" w:color="auto" w:fill="FFFFFF"/>
        </w:rPr>
        <w:t> </w:t>
      </w:r>
      <w:r w:rsidRPr="004E0468">
        <w:rPr>
          <w:i/>
          <w:iCs/>
          <w:color w:val="222222"/>
          <w:sz w:val="22"/>
          <w:szCs w:val="22"/>
          <w:shd w:val="clear" w:color="auto" w:fill="FFFFFF"/>
        </w:rPr>
        <w:t>Sustainability Science</w:t>
      </w:r>
      <w:r w:rsidRPr="004E0468">
        <w:rPr>
          <w:rStyle w:val="apple-converted-space"/>
          <w:color w:val="222222"/>
          <w:sz w:val="22"/>
          <w:szCs w:val="22"/>
          <w:shd w:val="clear" w:color="auto" w:fill="FFFFFF"/>
        </w:rPr>
        <w:t> </w:t>
      </w:r>
      <w:r w:rsidRPr="004E0468">
        <w:rPr>
          <w:color w:val="222222"/>
          <w:sz w:val="22"/>
          <w:szCs w:val="22"/>
          <w:shd w:val="clear" w:color="auto" w:fill="FFFFFF"/>
        </w:rPr>
        <w:t>2, no. 1: 133-140.</w:t>
      </w:r>
    </w:p>
    <w:p w14:paraId="6E81F2B3"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Binti</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Aminuddin</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Nur</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Ainunnazli</w:t>
      </w:r>
      <w:proofErr w:type="spellEnd"/>
      <w:r w:rsidRPr="004E0468">
        <w:rPr>
          <w:color w:val="222222"/>
          <w:sz w:val="22"/>
          <w:szCs w:val="22"/>
          <w:shd w:val="clear" w:color="auto" w:fill="FFFFFF"/>
        </w:rPr>
        <w:t xml:space="preserve">, Jose Arturo Garza-Reyes, Vikas Kumar, </w:t>
      </w:r>
      <w:proofErr w:type="spellStart"/>
      <w:r w:rsidRPr="004E0468">
        <w:rPr>
          <w:color w:val="222222"/>
          <w:sz w:val="22"/>
          <w:szCs w:val="22"/>
          <w:shd w:val="clear" w:color="auto" w:fill="FFFFFF"/>
        </w:rPr>
        <w:t>Jiju</w:t>
      </w:r>
      <w:proofErr w:type="spellEnd"/>
      <w:r w:rsidRPr="004E0468">
        <w:rPr>
          <w:color w:val="222222"/>
          <w:sz w:val="22"/>
          <w:szCs w:val="22"/>
          <w:shd w:val="clear" w:color="auto" w:fill="FFFFFF"/>
        </w:rPr>
        <w:t xml:space="preserve"> Antony, and Luis Rocha-Lona. 2016. "An analysis of managerial factors affecting the implementation and use of overall equipment effectiveness."</w:t>
      </w:r>
      <w:r w:rsidRPr="004E0468">
        <w:rPr>
          <w:rStyle w:val="apple-converted-space"/>
          <w:color w:val="222222"/>
          <w:sz w:val="22"/>
          <w:szCs w:val="22"/>
          <w:shd w:val="clear" w:color="auto" w:fill="FFFFFF"/>
        </w:rPr>
        <w:t> </w:t>
      </w:r>
      <w:r w:rsidRPr="004E0468">
        <w:rPr>
          <w:i/>
          <w:iCs/>
          <w:color w:val="222222"/>
          <w:sz w:val="22"/>
          <w:szCs w:val="22"/>
          <w:shd w:val="clear" w:color="auto" w:fill="FFFFFF"/>
        </w:rPr>
        <w:t>International Journal of Production Research</w:t>
      </w:r>
      <w:r w:rsidRPr="004E0468">
        <w:rPr>
          <w:rStyle w:val="apple-converted-space"/>
          <w:color w:val="222222"/>
          <w:sz w:val="22"/>
          <w:szCs w:val="22"/>
          <w:shd w:val="clear" w:color="auto" w:fill="FFFFFF"/>
        </w:rPr>
        <w:t> </w:t>
      </w:r>
      <w:r w:rsidRPr="004E0468">
        <w:rPr>
          <w:color w:val="222222"/>
          <w:sz w:val="22"/>
          <w:szCs w:val="22"/>
          <w:shd w:val="clear" w:color="auto" w:fill="FFFFFF"/>
        </w:rPr>
        <w:t>54, no. 15: 4430-4447.</w:t>
      </w:r>
    </w:p>
    <w:p w14:paraId="0A48AA93" w14:textId="77777777" w:rsidR="004E4E0D" w:rsidRPr="004E0468" w:rsidRDefault="004E4E0D" w:rsidP="004E4E0D">
      <w:pPr>
        <w:spacing w:line="276" w:lineRule="auto"/>
        <w:ind w:left="567" w:hanging="425"/>
        <w:jc w:val="both"/>
        <w:rPr>
          <w:sz w:val="22"/>
          <w:szCs w:val="22"/>
        </w:rPr>
      </w:pPr>
      <w:proofErr w:type="spellStart"/>
      <w:r w:rsidRPr="004E0468">
        <w:rPr>
          <w:color w:val="222222"/>
          <w:sz w:val="22"/>
          <w:szCs w:val="22"/>
          <w:shd w:val="clear" w:color="auto" w:fill="FFFFFF"/>
        </w:rPr>
        <w:t>Bocken</w:t>
      </w:r>
      <w:proofErr w:type="spellEnd"/>
      <w:r w:rsidRPr="004E0468">
        <w:rPr>
          <w:color w:val="222222"/>
          <w:sz w:val="22"/>
          <w:szCs w:val="22"/>
          <w:shd w:val="clear" w:color="auto" w:fill="FFFFFF"/>
        </w:rPr>
        <w:t xml:space="preserve">, Nancy MP, Ingrid de </w:t>
      </w:r>
      <w:proofErr w:type="spellStart"/>
      <w:r w:rsidRPr="004E0468">
        <w:rPr>
          <w:color w:val="222222"/>
          <w:sz w:val="22"/>
          <w:szCs w:val="22"/>
          <w:shd w:val="clear" w:color="auto" w:fill="FFFFFF"/>
        </w:rPr>
        <w:t>Pauw</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Conny</w:t>
      </w:r>
      <w:proofErr w:type="spellEnd"/>
      <w:r w:rsidRPr="004E0468">
        <w:rPr>
          <w:color w:val="222222"/>
          <w:sz w:val="22"/>
          <w:szCs w:val="22"/>
          <w:shd w:val="clear" w:color="auto" w:fill="FFFFFF"/>
        </w:rPr>
        <w:t xml:space="preserve"> Bakker, and Bram van der </w:t>
      </w:r>
      <w:proofErr w:type="spellStart"/>
      <w:r w:rsidRPr="004E0468">
        <w:rPr>
          <w:color w:val="222222"/>
          <w:sz w:val="22"/>
          <w:szCs w:val="22"/>
          <w:shd w:val="clear" w:color="auto" w:fill="FFFFFF"/>
        </w:rPr>
        <w:t>Grinten</w:t>
      </w:r>
      <w:proofErr w:type="spellEnd"/>
      <w:r w:rsidRPr="004E0468">
        <w:rPr>
          <w:color w:val="222222"/>
          <w:sz w:val="22"/>
          <w:szCs w:val="22"/>
          <w:shd w:val="clear" w:color="auto" w:fill="FFFFFF"/>
        </w:rPr>
        <w:t>. 2016. "Product design and business model strategies for a circular economy."</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Industrial and Production Engineering</w:t>
      </w:r>
      <w:r w:rsidRPr="004E0468">
        <w:rPr>
          <w:rStyle w:val="apple-converted-space"/>
          <w:color w:val="222222"/>
          <w:sz w:val="22"/>
          <w:szCs w:val="22"/>
          <w:shd w:val="clear" w:color="auto" w:fill="FFFFFF"/>
        </w:rPr>
        <w:t> </w:t>
      </w:r>
      <w:r w:rsidRPr="004E0468">
        <w:rPr>
          <w:color w:val="222222"/>
          <w:sz w:val="22"/>
          <w:szCs w:val="22"/>
          <w:shd w:val="clear" w:color="auto" w:fill="FFFFFF"/>
        </w:rPr>
        <w:t>33, no. 5: 308-320.</w:t>
      </w:r>
    </w:p>
    <w:p w14:paraId="20C49276"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Bocken</w:t>
      </w:r>
      <w:proofErr w:type="spellEnd"/>
      <w:r w:rsidRPr="004E0468">
        <w:rPr>
          <w:color w:val="222222"/>
          <w:sz w:val="22"/>
          <w:szCs w:val="22"/>
          <w:shd w:val="clear" w:color="auto" w:fill="FFFFFF"/>
        </w:rPr>
        <w:t>, N. M. P., Samuel W. Short, P. Rana, and S. Evans. 2014. "A literature and practice review to develop sustainable business model archetypes."</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cleaner production</w:t>
      </w:r>
      <w:r w:rsidRPr="004E0468">
        <w:rPr>
          <w:rStyle w:val="apple-converted-space"/>
          <w:color w:val="222222"/>
          <w:sz w:val="22"/>
          <w:szCs w:val="22"/>
          <w:shd w:val="clear" w:color="auto" w:fill="FFFFFF"/>
        </w:rPr>
        <w:t> </w:t>
      </w:r>
      <w:r w:rsidRPr="004E0468">
        <w:rPr>
          <w:color w:val="222222"/>
          <w:sz w:val="22"/>
          <w:szCs w:val="22"/>
          <w:shd w:val="clear" w:color="auto" w:fill="FFFFFF"/>
        </w:rPr>
        <w:t>65: 42-56.</w:t>
      </w:r>
    </w:p>
    <w:p w14:paraId="3033702A" w14:textId="7D64FEFB" w:rsidR="004E4E0D" w:rsidRPr="004E0468" w:rsidRDefault="00A04806"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Bonc</w:t>
      </w:r>
      <w:r w:rsidR="004E4E0D" w:rsidRPr="004E0468">
        <w:rPr>
          <w:color w:val="222222"/>
          <w:sz w:val="22"/>
          <w:szCs w:val="22"/>
          <w:shd w:val="clear" w:color="auto" w:fill="FFFFFF"/>
        </w:rPr>
        <w:t>iu</w:t>
      </w:r>
      <w:proofErr w:type="spellEnd"/>
      <w:r w:rsidR="004E4E0D" w:rsidRPr="004E0468">
        <w:rPr>
          <w:color w:val="222222"/>
          <w:sz w:val="22"/>
          <w:szCs w:val="22"/>
          <w:shd w:val="clear" w:color="auto" w:fill="FFFFFF"/>
        </w:rPr>
        <w:t>, Florin. 2014."The European economy: from a linear to a circular economy."</w:t>
      </w:r>
      <w:r w:rsidR="004E4E0D" w:rsidRPr="004E0468">
        <w:rPr>
          <w:rStyle w:val="apple-converted-space"/>
          <w:color w:val="222222"/>
          <w:sz w:val="22"/>
          <w:szCs w:val="22"/>
          <w:shd w:val="clear" w:color="auto" w:fill="FFFFFF"/>
        </w:rPr>
        <w:t> </w:t>
      </w:r>
      <w:r w:rsidR="004E4E0D" w:rsidRPr="004E0468">
        <w:rPr>
          <w:i/>
          <w:iCs/>
          <w:color w:val="222222"/>
          <w:sz w:val="22"/>
          <w:szCs w:val="22"/>
          <w:shd w:val="clear" w:color="auto" w:fill="FFFFFF"/>
        </w:rPr>
        <w:t xml:space="preserve">Romanian J. Eur. </w:t>
      </w:r>
      <w:proofErr w:type="spellStart"/>
      <w:r w:rsidR="004E4E0D" w:rsidRPr="004E0468">
        <w:rPr>
          <w:i/>
          <w:iCs/>
          <w:color w:val="222222"/>
          <w:sz w:val="22"/>
          <w:szCs w:val="22"/>
          <w:shd w:val="clear" w:color="auto" w:fill="FFFFFF"/>
        </w:rPr>
        <w:t>Aff</w:t>
      </w:r>
      <w:proofErr w:type="spellEnd"/>
      <w:r w:rsidR="004E4E0D" w:rsidRPr="004E0468">
        <w:rPr>
          <w:i/>
          <w:iCs/>
          <w:color w:val="222222"/>
          <w:sz w:val="22"/>
          <w:szCs w:val="22"/>
          <w:shd w:val="clear" w:color="auto" w:fill="FFFFFF"/>
        </w:rPr>
        <w:t>.</w:t>
      </w:r>
      <w:r w:rsidR="004E4E0D" w:rsidRPr="004E0468">
        <w:rPr>
          <w:rStyle w:val="apple-converted-space"/>
          <w:color w:val="222222"/>
          <w:sz w:val="22"/>
          <w:szCs w:val="22"/>
          <w:shd w:val="clear" w:color="auto" w:fill="FFFFFF"/>
        </w:rPr>
        <w:t> </w:t>
      </w:r>
      <w:r w:rsidR="004E4E0D" w:rsidRPr="004E0468">
        <w:rPr>
          <w:color w:val="222222"/>
          <w:sz w:val="22"/>
          <w:szCs w:val="22"/>
          <w:shd w:val="clear" w:color="auto" w:fill="FFFFFF"/>
        </w:rPr>
        <w:t>14: 78.</w:t>
      </w:r>
    </w:p>
    <w:p w14:paraId="4062D70C" w14:textId="77777777" w:rsidR="004E4E0D" w:rsidRPr="004E0468" w:rsidRDefault="004E4E0D" w:rsidP="004E4E0D">
      <w:pPr>
        <w:spacing w:line="276" w:lineRule="auto"/>
        <w:ind w:left="567" w:hanging="425"/>
        <w:jc w:val="both"/>
        <w:rPr>
          <w:sz w:val="22"/>
          <w:szCs w:val="22"/>
        </w:rPr>
      </w:pPr>
      <w:proofErr w:type="spellStart"/>
      <w:r w:rsidRPr="004E0468">
        <w:rPr>
          <w:sz w:val="22"/>
          <w:szCs w:val="22"/>
        </w:rPr>
        <w:t>Boulding</w:t>
      </w:r>
      <w:proofErr w:type="spellEnd"/>
      <w:r w:rsidRPr="004E0468">
        <w:rPr>
          <w:sz w:val="22"/>
          <w:szCs w:val="22"/>
        </w:rPr>
        <w:t xml:space="preserve">, K. E., 1966. “Environmental Quality in a Growing Economy BT - (Null).” Environmental Quality Issues in a Growing Economy, 3–15. </w:t>
      </w:r>
      <w:proofErr w:type="gramStart"/>
      <w:r w:rsidRPr="004E0468">
        <w:rPr>
          <w:sz w:val="22"/>
          <w:szCs w:val="22"/>
        </w:rPr>
        <w:t>doi:</w:t>
      </w:r>
      <w:proofErr w:type="gramEnd"/>
      <w:r w:rsidRPr="004E0468">
        <w:rPr>
          <w:sz w:val="22"/>
          <w:szCs w:val="22"/>
        </w:rPr>
        <w:t>10.4324/9781315064147.</w:t>
      </w:r>
    </w:p>
    <w:p w14:paraId="2AE0AE65"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Braungart</w:t>
      </w:r>
      <w:proofErr w:type="spellEnd"/>
      <w:r w:rsidRPr="004E0468">
        <w:rPr>
          <w:color w:val="222222"/>
          <w:sz w:val="22"/>
          <w:szCs w:val="22"/>
          <w:shd w:val="clear" w:color="auto" w:fill="FFFFFF"/>
        </w:rPr>
        <w:t>, Michael, William McDonough, and Andrew Bollinger. 2007. "Cradle-to-cradle design: creating healthy emissions–a strategy for eco-effective product and system design."</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cleaner production</w:t>
      </w:r>
      <w:r w:rsidRPr="004E0468">
        <w:rPr>
          <w:rStyle w:val="apple-converted-space"/>
          <w:color w:val="222222"/>
          <w:sz w:val="22"/>
          <w:szCs w:val="22"/>
          <w:shd w:val="clear" w:color="auto" w:fill="FFFFFF"/>
        </w:rPr>
        <w:t> </w:t>
      </w:r>
      <w:r w:rsidRPr="004E0468">
        <w:rPr>
          <w:color w:val="222222"/>
          <w:sz w:val="22"/>
          <w:szCs w:val="22"/>
          <w:shd w:val="clear" w:color="auto" w:fill="FFFFFF"/>
        </w:rPr>
        <w:t>15, no. 13: 1337-1348.</w:t>
      </w:r>
    </w:p>
    <w:p w14:paraId="088F13AA"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Cagno, Enrico, and Andrea Trianni. 2013. "Exploring drivers for energy efficiency within small-and medium-sized enterprises: first evidences from Italian manufacturing enterprises."</w:t>
      </w:r>
      <w:r w:rsidRPr="004E0468">
        <w:rPr>
          <w:rStyle w:val="apple-converted-space"/>
          <w:color w:val="222222"/>
          <w:sz w:val="22"/>
          <w:szCs w:val="22"/>
          <w:shd w:val="clear" w:color="auto" w:fill="FFFFFF"/>
        </w:rPr>
        <w:t> </w:t>
      </w:r>
      <w:r w:rsidRPr="004E0468">
        <w:rPr>
          <w:i/>
          <w:iCs/>
          <w:color w:val="222222"/>
          <w:sz w:val="22"/>
          <w:szCs w:val="22"/>
          <w:shd w:val="clear" w:color="auto" w:fill="FFFFFF"/>
        </w:rPr>
        <w:t>Applied Energy</w:t>
      </w:r>
      <w:r w:rsidRPr="004E0468">
        <w:rPr>
          <w:rStyle w:val="apple-converted-space"/>
          <w:color w:val="222222"/>
          <w:sz w:val="22"/>
          <w:szCs w:val="22"/>
          <w:shd w:val="clear" w:color="auto" w:fill="FFFFFF"/>
        </w:rPr>
        <w:t> </w:t>
      </w:r>
      <w:r w:rsidRPr="004E0468">
        <w:rPr>
          <w:color w:val="222222"/>
          <w:sz w:val="22"/>
          <w:szCs w:val="22"/>
          <w:shd w:val="clear" w:color="auto" w:fill="FFFFFF"/>
        </w:rPr>
        <w:t>104: 276-285.</w:t>
      </w:r>
    </w:p>
    <w:p w14:paraId="73F2125C"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Carter, Craig R., Lisa M. </w:t>
      </w:r>
      <w:proofErr w:type="spellStart"/>
      <w:r w:rsidRPr="004E0468">
        <w:rPr>
          <w:color w:val="222222"/>
          <w:sz w:val="22"/>
          <w:szCs w:val="22"/>
          <w:shd w:val="clear" w:color="auto" w:fill="FFFFFF"/>
        </w:rPr>
        <w:t>Ellram</w:t>
      </w:r>
      <w:proofErr w:type="spellEnd"/>
      <w:r w:rsidRPr="004E0468">
        <w:rPr>
          <w:color w:val="222222"/>
          <w:sz w:val="22"/>
          <w:szCs w:val="22"/>
          <w:shd w:val="clear" w:color="auto" w:fill="FFFFFF"/>
        </w:rPr>
        <w:t>, and Kathryn J. Ready. 1998. "Environmental purchasing: benchmarking our German counterparts."</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Supply Chain Management</w:t>
      </w:r>
      <w:r w:rsidRPr="004E0468">
        <w:rPr>
          <w:rStyle w:val="apple-converted-space"/>
          <w:color w:val="222222"/>
          <w:sz w:val="22"/>
          <w:szCs w:val="22"/>
          <w:shd w:val="clear" w:color="auto" w:fill="FFFFFF"/>
        </w:rPr>
        <w:t> </w:t>
      </w:r>
      <w:r w:rsidRPr="004E0468">
        <w:rPr>
          <w:color w:val="222222"/>
          <w:sz w:val="22"/>
          <w:szCs w:val="22"/>
          <w:shd w:val="clear" w:color="auto" w:fill="FFFFFF"/>
        </w:rPr>
        <w:t>34, no. 3: 28-38.</w:t>
      </w:r>
    </w:p>
    <w:p w14:paraId="28B736B4"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Chai, </w:t>
      </w:r>
      <w:proofErr w:type="spellStart"/>
      <w:r w:rsidRPr="004E0468">
        <w:rPr>
          <w:color w:val="222222"/>
          <w:sz w:val="22"/>
          <w:szCs w:val="22"/>
          <w:shd w:val="clear" w:color="auto" w:fill="FFFFFF"/>
        </w:rPr>
        <w:t>Kah-Hin</w:t>
      </w:r>
      <w:proofErr w:type="spellEnd"/>
      <w:r w:rsidRPr="004E0468">
        <w:rPr>
          <w:color w:val="222222"/>
          <w:sz w:val="22"/>
          <w:szCs w:val="22"/>
          <w:shd w:val="clear" w:color="auto" w:fill="FFFFFF"/>
        </w:rPr>
        <w:t>, and Catrina Yeo. 2012. "Overcoming energy efficiency barriers through systems approach—a conceptual framework."</w:t>
      </w:r>
      <w:r w:rsidRPr="004E0468">
        <w:rPr>
          <w:rStyle w:val="apple-converted-space"/>
          <w:color w:val="222222"/>
          <w:sz w:val="22"/>
          <w:szCs w:val="22"/>
          <w:shd w:val="clear" w:color="auto" w:fill="FFFFFF"/>
        </w:rPr>
        <w:t> </w:t>
      </w:r>
      <w:r w:rsidRPr="004E0468">
        <w:rPr>
          <w:i/>
          <w:iCs/>
          <w:color w:val="222222"/>
          <w:sz w:val="22"/>
          <w:szCs w:val="22"/>
          <w:shd w:val="clear" w:color="auto" w:fill="FFFFFF"/>
        </w:rPr>
        <w:t>Energy Policy</w:t>
      </w:r>
      <w:r w:rsidRPr="004E0468">
        <w:rPr>
          <w:rStyle w:val="apple-converted-space"/>
          <w:color w:val="222222"/>
          <w:sz w:val="22"/>
          <w:szCs w:val="22"/>
          <w:shd w:val="clear" w:color="auto" w:fill="FFFFFF"/>
        </w:rPr>
        <w:t> </w:t>
      </w:r>
      <w:r w:rsidRPr="004E0468">
        <w:rPr>
          <w:color w:val="222222"/>
          <w:sz w:val="22"/>
          <w:szCs w:val="22"/>
          <w:shd w:val="clear" w:color="auto" w:fill="FFFFFF"/>
        </w:rPr>
        <w:t>46: 460-472.</w:t>
      </w:r>
    </w:p>
    <w:p w14:paraId="17BA64CB"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Chien</w:t>
      </w:r>
      <w:proofErr w:type="spellEnd"/>
      <w:r w:rsidRPr="004E0468">
        <w:rPr>
          <w:color w:val="222222"/>
          <w:sz w:val="22"/>
          <w:szCs w:val="22"/>
          <w:shd w:val="clear" w:color="auto" w:fill="FFFFFF"/>
        </w:rPr>
        <w:t>, M. K., and Li-</w:t>
      </w:r>
      <w:proofErr w:type="spellStart"/>
      <w:r w:rsidRPr="004E0468">
        <w:rPr>
          <w:color w:val="222222"/>
          <w:sz w:val="22"/>
          <w:szCs w:val="22"/>
          <w:shd w:val="clear" w:color="auto" w:fill="FFFFFF"/>
        </w:rPr>
        <w:t>Hsing</w:t>
      </w:r>
      <w:proofErr w:type="spellEnd"/>
      <w:r w:rsidRPr="004E0468">
        <w:rPr>
          <w:color w:val="222222"/>
          <w:sz w:val="22"/>
          <w:szCs w:val="22"/>
          <w:shd w:val="clear" w:color="auto" w:fill="FFFFFF"/>
        </w:rPr>
        <w:t xml:space="preserve"> Shih. 2007. "An empirical study of the implementation of green supply chain management practices in the electrical and electronic industry and their relation to organizational performances."</w:t>
      </w:r>
      <w:r w:rsidRPr="004E0468">
        <w:rPr>
          <w:rStyle w:val="apple-converted-space"/>
          <w:color w:val="222222"/>
          <w:sz w:val="22"/>
          <w:szCs w:val="22"/>
          <w:shd w:val="clear" w:color="auto" w:fill="FFFFFF"/>
        </w:rPr>
        <w:t> </w:t>
      </w:r>
      <w:r w:rsidRPr="004E0468">
        <w:rPr>
          <w:i/>
          <w:iCs/>
          <w:color w:val="222222"/>
          <w:sz w:val="22"/>
          <w:szCs w:val="22"/>
          <w:shd w:val="clear" w:color="auto" w:fill="FFFFFF"/>
        </w:rPr>
        <w:t xml:space="preserve">International Journal of Environmental Science and </w:t>
      </w:r>
      <w:proofErr w:type="gramStart"/>
      <w:r w:rsidRPr="004E0468">
        <w:rPr>
          <w:i/>
          <w:iCs/>
          <w:color w:val="222222"/>
          <w:sz w:val="22"/>
          <w:szCs w:val="22"/>
          <w:shd w:val="clear" w:color="auto" w:fill="FFFFFF"/>
        </w:rPr>
        <w:t>Technology:</w:t>
      </w:r>
      <w:proofErr w:type="gramEnd"/>
      <w:r w:rsidRPr="004E0468">
        <w:rPr>
          <w:i/>
          <w:iCs/>
          <w:color w:val="222222"/>
          <w:sz w:val="22"/>
          <w:szCs w:val="22"/>
          <w:shd w:val="clear" w:color="auto" w:fill="FFFFFF"/>
        </w:rPr>
        <w:t>(IJEST)</w:t>
      </w:r>
      <w:r w:rsidRPr="004E0468">
        <w:rPr>
          <w:rStyle w:val="apple-converted-space"/>
          <w:color w:val="222222"/>
          <w:sz w:val="22"/>
          <w:szCs w:val="22"/>
          <w:shd w:val="clear" w:color="auto" w:fill="FFFFFF"/>
        </w:rPr>
        <w:t> </w:t>
      </w:r>
      <w:r w:rsidRPr="004E0468">
        <w:rPr>
          <w:color w:val="222222"/>
          <w:sz w:val="22"/>
          <w:szCs w:val="22"/>
          <w:shd w:val="clear" w:color="auto" w:fill="FFFFFF"/>
        </w:rPr>
        <w:t>4, no. 3: 383.</w:t>
      </w:r>
    </w:p>
    <w:p w14:paraId="4E17D6B7" w14:textId="36DE71EE" w:rsidR="00A55851" w:rsidRPr="004E0468" w:rsidRDefault="00A55851"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Crook, T. R., and J. G. Combs. 2007. “Sources and consequences of bargaining power in supply chains”. </w:t>
      </w:r>
      <w:r w:rsidRPr="004E0468">
        <w:rPr>
          <w:i/>
          <w:color w:val="222222"/>
          <w:sz w:val="22"/>
          <w:szCs w:val="22"/>
          <w:shd w:val="clear" w:color="auto" w:fill="FFFFFF"/>
        </w:rPr>
        <w:t>Journal of Operations Management</w:t>
      </w:r>
      <w:r w:rsidRPr="004E0468">
        <w:rPr>
          <w:color w:val="222222"/>
          <w:sz w:val="22"/>
          <w:szCs w:val="22"/>
          <w:shd w:val="clear" w:color="auto" w:fill="FFFFFF"/>
        </w:rPr>
        <w:t xml:space="preserve"> 25(2): 546–555. http://doi.org/10.1016/j.jom.2006.05.008</w:t>
      </w:r>
    </w:p>
    <w:p w14:paraId="3D2C5959"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Crowther, D., and G. Lancaster. 2008. "Research Methods: a </w:t>
      </w:r>
      <w:proofErr w:type="spellStart"/>
      <w:r w:rsidRPr="004E0468">
        <w:rPr>
          <w:color w:val="222222"/>
          <w:sz w:val="22"/>
          <w:szCs w:val="22"/>
          <w:shd w:val="clear" w:color="auto" w:fill="FFFFFF"/>
        </w:rPr>
        <w:t>Consice</w:t>
      </w:r>
      <w:proofErr w:type="spellEnd"/>
      <w:r w:rsidRPr="004E0468">
        <w:rPr>
          <w:color w:val="222222"/>
          <w:sz w:val="22"/>
          <w:szCs w:val="22"/>
          <w:shd w:val="clear" w:color="auto" w:fill="FFFFFF"/>
        </w:rPr>
        <w:t xml:space="preserve"> Introduction to Research in Management and Business Consultancy."</w:t>
      </w:r>
    </w:p>
    <w:p w14:paraId="696C8817"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sz w:val="22"/>
          <w:szCs w:val="22"/>
        </w:rPr>
        <w:t xml:space="preserve">Ellen MacArthur Foundation. 2013. </w:t>
      </w:r>
      <w:r w:rsidRPr="004E0468">
        <w:rPr>
          <w:color w:val="222222"/>
          <w:sz w:val="22"/>
          <w:szCs w:val="22"/>
          <w:shd w:val="clear" w:color="auto" w:fill="FFFFFF"/>
        </w:rPr>
        <w:t>"Towards the circular economy: Opportunities for the consumer goods sector."</w:t>
      </w:r>
      <w:r w:rsidRPr="004E0468">
        <w:rPr>
          <w:rStyle w:val="apple-converted-space"/>
          <w:color w:val="222222"/>
          <w:sz w:val="22"/>
          <w:szCs w:val="22"/>
          <w:shd w:val="clear" w:color="auto" w:fill="FFFFFF"/>
        </w:rPr>
        <w:t> </w:t>
      </w:r>
      <w:r w:rsidRPr="004E0468">
        <w:rPr>
          <w:i/>
          <w:iCs/>
          <w:color w:val="222222"/>
          <w:sz w:val="22"/>
          <w:szCs w:val="22"/>
          <w:shd w:val="clear" w:color="auto" w:fill="FFFFFF"/>
        </w:rPr>
        <w:t>Ellen MacArthur Foundation</w:t>
      </w:r>
      <w:r w:rsidRPr="004E0468">
        <w:rPr>
          <w:rStyle w:val="apple-converted-space"/>
          <w:color w:val="222222"/>
          <w:sz w:val="22"/>
          <w:szCs w:val="22"/>
          <w:shd w:val="clear" w:color="auto" w:fill="FFFFFF"/>
        </w:rPr>
        <w:t>.</w:t>
      </w:r>
    </w:p>
    <w:p w14:paraId="03ADD59E"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sz w:val="22"/>
          <w:szCs w:val="22"/>
        </w:rPr>
        <w:t xml:space="preserve">Ellen MacArthur Foundation. 2014. </w:t>
      </w:r>
      <w:r w:rsidRPr="004E0468">
        <w:rPr>
          <w:color w:val="222222"/>
          <w:sz w:val="22"/>
          <w:szCs w:val="22"/>
          <w:shd w:val="clear" w:color="auto" w:fill="FFFFFF"/>
        </w:rPr>
        <w:t>"Towards the circular economy: Accelerating the scale-up across global supply chains."</w:t>
      </w:r>
      <w:r w:rsidRPr="004E0468">
        <w:rPr>
          <w:rStyle w:val="apple-converted-space"/>
          <w:color w:val="222222"/>
          <w:sz w:val="22"/>
          <w:szCs w:val="22"/>
          <w:shd w:val="clear" w:color="auto" w:fill="FFFFFF"/>
        </w:rPr>
        <w:t> </w:t>
      </w:r>
      <w:r w:rsidRPr="004E0468">
        <w:rPr>
          <w:i/>
          <w:iCs/>
          <w:color w:val="222222"/>
          <w:sz w:val="22"/>
          <w:szCs w:val="22"/>
          <w:shd w:val="clear" w:color="auto" w:fill="FFFFFF"/>
        </w:rPr>
        <w:t>MacArthur Foundation, Geneva</w:t>
      </w:r>
      <w:r w:rsidRPr="004E0468">
        <w:rPr>
          <w:rStyle w:val="apple-converted-space"/>
          <w:color w:val="222222"/>
          <w:sz w:val="22"/>
          <w:szCs w:val="22"/>
          <w:shd w:val="clear" w:color="auto" w:fill="FFFFFF"/>
        </w:rPr>
        <w:t>.</w:t>
      </w:r>
    </w:p>
    <w:p w14:paraId="3EE8BA28" w14:textId="77777777" w:rsidR="004E4E0D" w:rsidRPr="004E0468" w:rsidRDefault="004E4E0D" w:rsidP="004E4E0D">
      <w:pPr>
        <w:spacing w:line="276" w:lineRule="auto"/>
        <w:ind w:left="567" w:hanging="425"/>
        <w:jc w:val="both"/>
        <w:rPr>
          <w:sz w:val="22"/>
          <w:szCs w:val="22"/>
        </w:rPr>
      </w:pPr>
      <w:r w:rsidRPr="004E0468">
        <w:rPr>
          <w:sz w:val="22"/>
          <w:szCs w:val="22"/>
        </w:rPr>
        <w:t>Ellen MacArthur Foundation. 2015. “Towards a Circular Economy: Business Rationale for an Accelerated Transition.” Ellen MacArthur Foundation.</w:t>
      </w:r>
    </w:p>
    <w:p w14:paraId="013A6D5F" w14:textId="77777777" w:rsidR="004E4E0D" w:rsidRPr="004E0468" w:rsidRDefault="004E4E0D" w:rsidP="004E4E0D">
      <w:pPr>
        <w:spacing w:line="276" w:lineRule="auto"/>
        <w:ind w:left="567" w:hanging="425"/>
        <w:jc w:val="both"/>
        <w:rPr>
          <w:sz w:val="22"/>
          <w:szCs w:val="22"/>
        </w:rPr>
      </w:pPr>
      <w:r w:rsidRPr="004E0468">
        <w:rPr>
          <w:sz w:val="22"/>
          <w:szCs w:val="22"/>
        </w:rPr>
        <w:t xml:space="preserve">       https://www.ellenmacarthurfoundation.org/assets/downloads/TCE_Ellen-MacArthur-Foundation_9-Dec-2015.pdf.</w:t>
      </w:r>
    </w:p>
    <w:p w14:paraId="39828B03"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lastRenderedPageBreak/>
        <w:t xml:space="preserve">French, Monique L., and R. Lawrence </w:t>
      </w:r>
      <w:proofErr w:type="spellStart"/>
      <w:r w:rsidRPr="004E0468">
        <w:rPr>
          <w:color w:val="222222"/>
          <w:sz w:val="22"/>
          <w:szCs w:val="22"/>
          <w:shd w:val="clear" w:color="auto" w:fill="FFFFFF"/>
        </w:rPr>
        <w:t>LaForge</w:t>
      </w:r>
      <w:proofErr w:type="spellEnd"/>
      <w:r w:rsidRPr="004E0468">
        <w:rPr>
          <w:color w:val="222222"/>
          <w:sz w:val="22"/>
          <w:szCs w:val="22"/>
          <w:shd w:val="clear" w:color="auto" w:fill="FFFFFF"/>
        </w:rPr>
        <w:t>. 2006. "Closed-loop supply chains in process industries: An empirical study of producer re-use issues."</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Operations Management</w:t>
      </w:r>
      <w:r w:rsidRPr="004E0468">
        <w:rPr>
          <w:rStyle w:val="apple-converted-space"/>
          <w:color w:val="222222"/>
          <w:sz w:val="22"/>
          <w:szCs w:val="22"/>
          <w:shd w:val="clear" w:color="auto" w:fill="FFFFFF"/>
        </w:rPr>
        <w:t> </w:t>
      </w:r>
      <w:r w:rsidRPr="004E0468">
        <w:rPr>
          <w:color w:val="222222"/>
          <w:sz w:val="22"/>
          <w:szCs w:val="22"/>
          <w:shd w:val="clear" w:color="auto" w:fill="FFFFFF"/>
        </w:rPr>
        <w:t>24, no. 3: 271-286.</w:t>
      </w:r>
    </w:p>
    <w:p w14:paraId="601BC017"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Frohlich</w:t>
      </w:r>
      <w:proofErr w:type="spellEnd"/>
      <w:r w:rsidRPr="004E0468">
        <w:rPr>
          <w:color w:val="222222"/>
          <w:sz w:val="22"/>
          <w:szCs w:val="22"/>
          <w:shd w:val="clear" w:color="auto" w:fill="FFFFFF"/>
        </w:rPr>
        <w:t>, Markham T., and Roy Westbrook. 2001. "Arcs of integration: an international study of supply chain strategies."</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operations management</w:t>
      </w:r>
      <w:r w:rsidRPr="004E0468">
        <w:rPr>
          <w:rStyle w:val="apple-converted-space"/>
          <w:color w:val="222222"/>
          <w:sz w:val="22"/>
          <w:szCs w:val="22"/>
          <w:shd w:val="clear" w:color="auto" w:fill="FFFFFF"/>
        </w:rPr>
        <w:t> </w:t>
      </w:r>
      <w:r w:rsidRPr="004E0468">
        <w:rPr>
          <w:color w:val="222222"/>
          <w:sz w:val="22"/>
          <w:szCs w:val="22"/>
          <w:shd w:val="clear" w:color="auto" w:fill="FFFFFF"/>
        </w:rPr>
        <w:t>19, no. 2: 185-200.</w:t>
      </w:r>
    </w:p>
    <w:p w14:paraId="23A51B08"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Gallouj</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Faïz</w:t>
      </w:r>
      <w:proofErr w:type="spellEnd"/>
      <w:r w:rsidRPr="004E0468">
        <w:rPr>
          <w:color w:val="222222"/>
          <w:sz w:val="22"/>
          <w:szCs w:val="22"/>
          <w:shd w:val="clear" w:color="auto" w:fill="FFFFFF"/>
        </w:rPr>
        <w:t xml:space="preserve">, K. Matthias Weber, </w:t>
      </w:r>
      <w:proofErr w:type="spellStart"/>
      <w:r w:rsidRPr="004E0468">
        <w:rPr>
          <w:color w:val="222222"/>
          <w:sz w:val="22"/>
          <w:szCs w:val="22"/>
          <w:shd w:val="clear" w:color="auto" w:fill="FFFFFF"/>
        </w:rPr>
        <w:t>Metka</w:t>
      </w:r>
      <w:proofErr w:type="spellEnd"/>
      <w:r w:rsidRPr="004E0468">
        <w:rPr>
          <w:color w:val="222222"/>
          <w:sz w:val="22"/>
          <w:szCs w:val="22"/>
          <w:shd w:val="clear" w:color="auto" w:fill="FFFFFF"/>
        </w:rPr>
        <w:t xml:space="preserve"> Stare, and Luis </w:t>
      </w:r>
      <w:proofErr w:type="spellStart"/>
      <w:r w:rsidRPr="004E0468">
        <w:rPr>
          <w:color w:val="222222"/>
          <w:sz w:val="22"/>
          <w:szCs w:val="22"/>
          <w:shd w:val="clear" w:color="auto" w:fill="FFFFFF"/>
        </w:rPr>
        <w:t>Rubalcaba</w:t>
      </w:r>
      <w:proofErr w:type="spellEnd"/>
      <w:r w:rsidRPr="004E0468">
        <w:rPr>
          <w:color w:val="222222"/>
          <w:sz w:val="22"/>
          <w:szCs w:val="22"/>
          <w:shd w:val="clear" w:color="auto" w:fill="FFFFFF"/>
        </w:rPr>
        <w:t>. 2015. "The futures of the service economy in Europe: a foresight analysis."</w:t>
      </w:r>
      <w:r w:rsidRPr="004E0468">
        <w:rPr>
          <w:rStyle w:val="apple-converted-space"/>
          <w:color w:val="222222"/>
          <w:sz w:val="22"/>
          <w:szCs w:val="22"/>
          <w:shd w:val="clear" w:color="auto" w:fill="FFFFFF"/>
        </w:rPr>
        <w:t> </w:t>
      </w:r>
      <w:r w:rsidRPr="004E0468">
        <w:rPr>
          <w:i/>
          <w:iCs/>
          <w:color w:val="222222"/>
          <w:sz w:val="22"/>
          <w:szCs w:val="22"/>
          <w:shd w:val="clear" w:color="auto" w:fill="FFFFFF"/>
        </w:rPr>
        <w:t>Technological Forecasting and Social Change</w:t>
      </w:r>
      <w:r w:rsidRPr="004E0468">
        <w:rPr>
          <w:rStyle w:val="apple-converted-space"/>
          <w:color w:val="222222"/>
          <w:sz w:val="22"/>
          <w:szCs w:val="22"/>
          <w:shd w:val="clear" w:color="auto" w:fill="FFFFFF"/>
        </w:rPr>
        <w:t> </w:t>
      </w:r>
      <w:r w:rsidRPr="004E0468">
        <w:rPr>
          <w:color w:val="222222"/>
          <w:sz w:val="22"/>
          <w:szCs w:val="22"/>
          <w:shd w:val="clear" w:color="auto" w:fill="FFFFFF"/>
        </w:rPr>
        <w:t>94: 80-96.</w:t>
      </w:r>
    </w:p>
    <w:p w14:paraId="100AD23C"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Garza-Reyes, Jose Arturo. "Lean and green–a systematic review of the state of the art literature."</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Cleaner Production</w:t>
      </w:r>
      <w:r w:rsidRPr="004E0468">
        <w:rPr>
          <w:rStyle w:val="apple-converted-space"/>
          <w:color w:val="222222"/>
          <w:sz w:val="22"/>
          <w:szCs w:val="22"/>
          <w:shd w:val="clear" w:color="auto" w:fill="FFFFFF"/>
        </w:rPr>
        <w:t> </w:t>
      </w:r>
      <w:r w:rsidRPr="004E0468">
        <w:rPr>
          <w:color w:val="222222"/>
          <w:sz w:val="22"/>
          <w:szCs w:val="22"/>
          <w:shd w:val="clear" w:color="auto" w:fill="FFFFFF"/>
        </w:rPr>
        <w:t>102 (2015): 18-29.</w:t>
      </w:r>
    </w:p>
    <w:p w14:paraId="0A2FF07D" w14:textId="77777777" w:rsidR="004E4E0D" w:rsidRPr="004E0468" w:rsidRDefault="004E4E0D" w:rsidP="004E4E0D">
      <w:pPr>
        <w:spacing w:line="276" w:lineRule="auto"/>
        <w:ind w:left="567" w:hanging="425"/>
        <w:jc w:val="both"/>
        <w:rPr>
          <w:sz w:val="22"/>
          <w:szCs w:val="22"/>
        </w:rPr>
      </w:pPr>
      <w:proofErr w:type="spellStart"/>
      <w:r w:rsidRPr="004E0468">
        <w:rPr>
          <w:sz w:val="22"/>
          <w:szCs w:val="22"/>
        </w:rPr>
        <w:t>Geng</w:t>
      </w:r>
      <w:proofErr w:type="spellEnd"/>
      <w:r w:rsidRPr="004E0468">
        <w:rPr>
          <w:sz w:val="22"/>
          <w:szCs w:val="22"/>
        </w:rPr>
        <w:t xml:space="preserve">, </w:t>
      </w:r>
      <w:proofErr w:type="spellStart"/>
      <w:r w:rsidRPr="004E0468">
        <w:rPr>
          <w:sz w:val="22"/>
          <w:szCs w:val="22"/>
        </w:rPr>
        <w:t>Dianming</w:t>
      </w:r>
      <w:proofErr w:type="spellEnd"/>
      <w:r w:rsidRPr="004E0468">
        <w:rPr>
          <w:sz w:val="22"/>
          <w:szCs w:val="22"/>
        </w:rPr>
        <w:t xml:space="preserve"> and </w:t>
      </w:r>
      <w:proofErr w:type="spellStart"/>
      <w:r w:rsidRPr="004E0468">
        <w:rPr>
          <w:sz w:val="22"/>
          <w:szCs w:val="22"/>
        </w:rPr>
        <w:t>Xiaolu</w:t>
      </w:r>
      <w:proofErr w:type="spellEnd"/>
      <w:r w:rsidRPr="004E0468">
        <w:rPr>
          <w:sz w:val="22"/>
          <w:szCs w:val="22"/>
        </w:rPr>
        <w:t xml:space="preserve"> Song. 2014. “Proceedings of the Seventh International Conference on Management Science and Engineering Management” 2: 1177–83. http://doi.org/10.1007/978-3-642-40081-0.</w:t>
      </w:r>
    </w:p>
    <w:p w14:paraId="6C2990B9"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Geng</w:t>
      </w:r>
      <w:proofErr w:type="spellEnd"/>
      <w:r w:rsidRPr="004E0468">
        <w:rPr>
          <w:color w:val="222222"/>
          <w:sz w:val="22"/>
          <w:szCs w:val="22"/>
          <w:shd w:val="clear" w:color="auto" w:fill="FFFFFF"/>
        </w:rPr>
        <w:t xml:space="preserve">, Yong, and Brent </w:t>
      </w:r>
      <w:proofErr w:type="spellStart"/>
      <w:r w:rsidRPr="004E0468">
        <w:rPr>
          <w:color w:val="222222"/>
          <w:sz w:val="22"/>
          <w:szCs w:val="22"/>
          <w:shd w:val="clear" w:color="auto" w:fill="FFFFFF"/>
        </w:rPr>
        <w:t>Doberstein</w:t>
      </w:r>
      <w:proofErr w:type="spellEnd"/>
      <w:r w:rsidRPr="004E0468">
        <w:rPr>
          <w:color w:val="222222"/>
          <w:sz w:val="22"/>
          <w:szCs w:val="22"/>
          <w:shd w:val="clear" w:color="auto" w:fill="FFFFFF"/>
        </w:rPr>
        <w:t xml:space="preserve">. 2008. "Developing the circular economy in China: Challenges and opportunities for </w:t>
      </w:r>
      <w:proofErr w:type="spellStart"/>
      <w:r w:rsidRPr="004E0468">
        <w:rPr>
          <w:color w:val="222222"/>
          <w:sz w:val="22"/>
          <w:szCs w:val="22"/>
          <w:shd w:val="clear" w:color="auto" w:fill="FFFFFF"/>
        </w:rPr>
        <w:t>achieving'leapfrog</w:t>
      </w:r>
      <w:proofErr w:type="spellEnd"/>
      <w:r w:rsidRPr="004E0468">
        <w:rPr>
          <w:color w:val="222222"/>
          <w:sz w:val="22"/>
          <w:szCs w:val="22"/>
          <w:shd w:val="clear" w:color="auto" w:fill="FFFFFF"/>
        </w:rPr>
        <w:t xml:space="preserve"> development'."</w:t>
      </w:r>
      <w:r w:rsidRPr="004E0468">
        <w:rPr>
          <w:rStyle w:val="apple-converted-space"/>
          <w:color w:val="222222"/>
          <w:sz w:val="22"/>
          <w:szCs w:val="22"/>
          <w:shd w:val="clear" w:color="auto" w:fill="FFFFFF"/>
        </w:rPr>
        <w:t> </w:t>
      </w:r>
      <w:r w:rsidRPr="004E0468">
        <w:rPr>
          <w:i/>
          <w:iCs/>
          <w:color w:val="222222"/>
          <w:sz w:val="22"/>
          <w:szCs w:val="22"/>
          <w:shd w:val="clear" w:color="auto" w:fill="FFFFFF"/>
        </w:rPr>
        <w:t>The International Journal of Sustainable Development &amp; World Ecology</w:t>
      </w:r>
      <w:r w:rsidRPr="004E0468">
        <w:rPr>
          <w:rStyle w:val="apple-converted-space"/>
          <w:color w:val="222222"/>
          <w:sz w:val="22"/>
          <w:szCs w:val="22"/>
          <w:shd w:val="clear" w:color="auto" w:fill="FFFFFF"/>
        </w:rPr>
        <w:t> </w:t>
      </w:r>
      <w:r w:rsidRPr="004E0468">
        <w:rPr>
          <w:color w:val="222222"/>
          <w:sz w:val="22"/>
          <w:szCs w:val="22"/>
          <w:shd w:val="clear" w:color="auto" w:fill="FFFFFF"/>
        </w:rPr>
        <w:t>15, no. 3: 231-239.</w:t>
      </w:r>
    </w:p>
    <w:p w14:paraId="11A1F495"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Geng</w:t>
      </w:r>
      <w:proofErr w:type="spellEnd"/>
      <w:r w:rsidRPr="004E0468">
        <w:rPr>
          <w:color w:val="222222"/>
          <w:sz w:val="22"/>
          <w:szCs w:val="22"/>
          <w:shd w:val="clear" w:color="auto" w:fill="FFFFFF"/>
        </w:rPr>
        <w:t xml:space="preserve">, Yong, </w:t>
      </w:r>
      <w:proofErr w:type="spellStart"/>
      <w:r w:rsidRPr="004E0468">
        <w:rPr>
          <w:color w:val="222222"/>
          <w:sz w:val="22"/>
          <w:szCs w:val="22"/>
          <w:shd w:val="clear" w:color="auto" w:fill="FFFFFF"/>
        </w:rPr>
        <w:t>Jia</w:t>
      </w:r>
      <w:proofErr w:type="spellEnd"/>
      <w:r w:rsidRPr="004E0468">
        <w:rPr>
          <w:color w:val="222222"/>
          <w:sz w:val="22"/>
          <w:szCs w:val="22"/>
          <w:shd w:val="clear" w:color="auto" w:fill="FFFFFF"/>
        </w:rPr>
        <w:t xml:space="preserve"> Fu, Joseph </w:t>
      </w:r>
      <w:proofErr w:type="spellStart"/>
      <w:r w:rsidRPr="004E0468">
        <w:rPr>
          <w:color w:val="222222"/>
          <w:sz w:val="22"/>
          <w:szCs w:val="22"/>
          <w:shd w:val="clear" w:color="auto" w:fill="FFFFFF"/>
        </w:rPr>
        <w:t>Sarkis</w:t>
      </w:r>
      <w:proofErr w:type="spellEnd"/>
      <w:r w:rsidRPr="004E0468">
        <w:rPr>
          <w:color w:val="222222"/>
          <w:sz w:val="22"/>
          <w:szCs w:val="22"/>
          <w:shd w:val="clear" w:color="auto" w:fill="FFFFFF"/>
        </w:rPr>
        <w:t xml:space="preserve">, and Bing </w:t>
      </w:r>
      <w:proofErr w:type="spellStart"/>
      <w:r w:rsidRPr="004E0468">
        <w:rPr>
          <w:color w:val="222222"/>
          <w:sz w:val="22"/>
          <w:szCs w:val="22"/>
          <w:shd w:val="clear" w:color="auto" w:fill="FFFFFF"/>
        </w:rPr>
        <w:t>Xue</w:t>
      </w:r>
      <w:proofErr w:type="spellEnd"/>
      <w:r w:rsidRPr="004E0468">
        <w:rPr>
          <w:color w:val="222222"/>
          <w:sz w:val="22"/>
          <w:szCs w:val="22"/>
          <w:shd w:val="clear" w:color="auto" w:fill="FFFFFF"/>
        </w:rPr>
        <w:t>. 2012. "Towards a national circular economy indicator system in China: an evaluation and critical analysis."</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Cleaner Production</w:t>
      </w:r>
      <w:r w:rsidRPr="004E0468">
        <w:rPr>
          <w:rStyle w:val="apple-converted-space"/>
          <w:color w:val="222222"/>
          <w:sz w:val="22"/>
          <w:szCs w:val="22"/>
          <w:shd w:val="clear" w:color="auto" w:fill="FFFFFF"/>
        </w:rPr>
        <w:t> </w:t>
      </w:r>
      <w:r w:rsidRPr="004E0468">
        <w:rPr>
          <w:color w:val="222222"/>
          <w:sz w:val="22"/>
          <w:szCs w:val="22"/>
          <w:shd w:val="clear" w:color="auto" w:fill="FFFFFF"/>
        </w:rPr>
        <w:t>23, no. 1: 216-224.</w:t>
      </w:r>
    </w:p>
    <w:p w14:paraId="0D30B6D9"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Geng</w:t>
      </w:r>
      <w:proofErr w:type="spellEnd"/>
      <w:r w:rsidRPr="004E0468">
        <w:rPr>
          <w:color w:val="222222"/>
          <w:sz w:val="22"/>
          <w:szCs w:val="22"/>
          <w:shd w:val="clear" w:color="auto" w:fill="FFFFFF"/>
        </w:rPr>
        <w:t xml:space="preserve">, Yong, </w:t>
      </w:r>
      <w:proofErr w:type="spellStart"/>
      <w:r w:rsidRPr="004E0468">
        <w:rPr>
          <w:color w:val="222222"/>
          <w:sz w:val="22"/>
          <w:szCs w:val="22"/>
          <w:shd w:val="clear" w:color="auto" w:fill="FFFFFF"/>
        </w:rPr>
        <w:t>Qinghua</w:t>
      </w:r>
      <w:proofErr w:type="spellEnd"/>
      <w:r w:rsidRPr="004E0468">
        <w:rPr>
          <w:color w:val="222222"/>
          <w:sz w:val="22"/>
          <w:szCs w:val="22"/>
          <w:shd w:val="clear" w:color="auto" w:fill="FFFFFF"/>
        </w:rPr>
        <w:t xml:space="preserve"> Zhu, Brent </w:t>
      </w:r>
      <w:proofErr w:type="spellStart"/>
      <w:r w:rsidRPr="004E0468">
        <w:rPr>
          <w:color w:val="222222"/>
          <w:sz w:val="22"/>
          <w:szCs w:val="22"/>
          <w:shd w:val="clear" w:color="auto" w:fill="FFFFFF"/>
        </w:rPr>
        <w:t>Doberstein</w:t>
      </w:r>
      <w:proofErr w:type="spellEnd"/>
      <w:r w:rsidRPr="004E0468">
        <w:rPr>
          <w:color w:val="222222"/>
          <w:sz w:val="22"/>
          <w:szCs w:val="22"/>
          <w:shd w:val="clear" w:color="auto" w:fill="FFFFFF"/>
        </w:rPr>
        <w:t>, and Tsuyoshi Fujita. 2009. "Implementing China’s circular economy concept at the regional level: A review of progress in Dalian, China."</w:t>
      </w:r>
      <w:r w:rsidRPr="004E0468">
        <w:rPr>
          <w:rStyle w:val="apple-converted-space"/>
          <w:color w:val="222222"/>
          <w:sz w:val="22"/>
          <w:szCs w:val="22"/>
          <w:shd w:val="clear" w:color="auto" w:fill="FFFFFF"/>
        </w:rPr>
        <w:t> </w:t>
      </w:r>
      <w:r w:rsidRPr="004E0468">
        <w:rPr>
          <w:i/>
          <w:iCs/>
          <w:color w:val="222222"/>
          <w:sz w:val="22"/>
          <w:szCs w:val="22"/>
          <w:shd w:val="clear" w:color="auto" w:fill="FFFFFF"/>
        </w:rPr>
        <w:t>Waste Management</w:t>
      </w:r>
      <w:r w:rsidRPr="004E0468">
        <w:rPr>
          <w:rStyle w:val="apple-converted-space"/>
          <w:color w:val="222222"/>
          <w:sz w:val="22"/>
          <w:szCs w:val="22"/>
          <w:shd w:val="clear" w:color="auto" w:fill="FFFFFF"/>
        </w:rPr>
        <w:t> </w:t>
      </w:r>
      <w:r w:rsidRPr="004E0468">
        <w:rPr>
          <w:color w:val="222222"/>
          <w:sz w:val="22"/>
          <w:szCs w:val="22"/>
          <w:shd w:val="clear" w:color="auto" w:fill="FFFFFF"/>
        </w:rPr>
        <w:t>29, no. 2: 996-1002.</w:t>
      </w:r>
    </w:p>
    <w:p w14:paraId="20E35795"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Genovese, Andrea, Adolf A. </w:t>
      </w:r>
      <w:proofErr w:type="spellStart"/>
      <w:r w:rsidRPr="004E0468">
        <w:rPr>
          <w:color w:val="222222"/>
          <w:sz w:val="22"/>
          <w:szCs w:val="22"/>
          <w:shd w:val="clear" w:color="auto" w:fill="FFFFFF"/>
        </w:rPr>
        <w:t>Acquaye</w:t>
      </w:r>
      <w:proofErr w:type="spellEnd"/>
      <w:r w:rsidRPr="004E0468">
        <w:rPr>
          <w:color w:val="222222"/>
          <w:sz w:val="22"/>
          <w:szCs w:val="22"/>
          <w:shd w:val="clear" w:color="auto" w:fill="FFFFFF"/>
        </w:rPr>
        <w:t xml:space="preserve">, Alejandro Figueroa, and SC Lenny </w:t>
      </w:r>
      <w:proofErr w:type="spellStart"/>
      <w:r w:rsidRPr="004E0468">
        <w:rPr>
          <w:color w:val="222222"/>
          <w:sz w:val="22"/>
          <w:szCs w:val="22"/>
          <w:shd w:val="clear" w:color="auto" w:fill="FFFFFF"/>
        </w:rPr>
        <w:t>Koh</w:t>
      </w:r>
      <w:proofErr w:type="spellEnd"/>
      <w:r w:rsidRPr="004E0468">
        <w:rPr>
          <w:color w:val="222222"/>
          <w:sz w:val="22"/>
          <w:szCs w:val="22"/>
          <w:shd w:val="clear" w:color="auto" w:fill="FFFFFF"/>
        </w:rPr>
        <w:t>. 2017. "Sustainable supply chain management and the transition towards a circular economy: Evidence and some applications."</w:t>
      </w:r>
      <w:r w:rsidRPr="004E0468">
        <w:rPr>
          <w:rStyle w:val="apple-converted-space"/>
          <w:color w:val="222222"/>
          <w:sz w:val="22"/>
          <w:szCs w:val="22"/>
          <w:shd w:val="clear" w:color="auto" w:fill="FFFFFF"/>
        </w:rPr>
        <w:t> </w:t>
      </w:r>
      <w:r w:rsidRPr="004E0468">
        <w:rPr>
          <w:i/>
          <w:iCs/>
          <w:color w:val="222222"/>
          <w:sz w:val="22"/>
          <w:szCs w:val="22"/>
          <w:shd w:val="clear" w:color="auto" w:fill="FFFFFF"/>
        </w:rPr>
        <w:t>Omega</w:t>
      </w:r>
      <w:r w:rsidRPr="004E0468">
        <w:rPr>
          <w:rStyle w:val="apple-converted-space"/>
          <w:color w:val="222222"/>
          <w:sz w:val="22"/>
          <w:szCs w:val="22"/>
          <w:shd w:val="clear" w:color="auto" w:fill="FFFFFF"/>
        </w:rPr>
        <w:t> </w:t>
      </w:r>
      <w:r w:rsidRPr="004E0468">
        <w:rPr>
          <w:color w:val="222222"/>
          <w:sz w:val="22"/>
          <w:szCs w:val="22"/>
          <w:shd w:val="clear" w:color="auto" w:fill="FFFFFF"/>
        </w:rPr>
        <w:t>66: 344-357.</w:t>
      </w:r>
    </w:p>
    <w:p w14:paraId="4CA3C42C"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Ghisellini</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Patrizia</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Catia</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Cialani</w:t>
      </w:r>
      <w:proofErr w:type="spellEnd"/>
      <w:r w:rsidRPr="004E0468">
        <w:rPr>
          <w:color w:val="222222"/>
          <w:sz w:val="22"/>
          <w:szCs w:val="22"/>
          <w:shd w:val="clear" w:color="auto" w:fill="FFFFFF"/>
        </w:rPr>
        <w:t xml:space="preserve">, and Sergio </w:t>
      </w:r>
      <w:proofErr w:type="spellStart"/>
      <w:r w:rsidRPr="004E0468">
        <w:rPr>
          <w:color w:val="222222"/>
          <w:sz w:val="22"/>
          <w:szCs w:val="22"/>
          <w:shd w:val="clear" w:color="auto" w:fill="FFFFFF"/>
        </w:rPr>
        <w:t>Ulgiati</w:t>
      </w:r>
      <w:proofErr w:type="spellEnd"/>
      <w:r w:rsidRPr="004E0468">
        <w:rPr>
          <w:color w:val="222222"/>
          <w:sz w:val="22"/>
          <w:szCs w:val="22"/>
          <w:shd w:val="clear" w:color="auto" w:fill="FFFFFF"/>
        </w:rPr>
        <w:t>. 2016. "A review on circular economy: the expected transition to a balanced interplay of environmental and economic systems."</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Cleaner Production</w:t>
      </w:r>
      <w:r w:rsidRPr="004E0468">
        <w:rPr>
          <w:rStyle w:val="apple-converted-space"/>
          <w:color w:val="222222"/>
          <w:sz w:val="22"/>
          <w:szCs w:val="22"/>
          <w:shd w:val="clear" w:color="auto" w:fill="FFFFFF"/>
        </w:rPr>
        <w:t> </w:t>
      </w:r>
      <w:r w:rsidRPr="004E0468">
        <w:rPr>
          <w:color w:val="222222"/>
          <w:sz w:val="22"/>
          <w:szCs w:val="22"/>
          <w:shd w:val="clear" w:color="auto" w:fill="FFFFFF"/>
        </w:rPr>
        <w:t>114: 11-32.</w:t>
      </w:r>
    </w:p>
    <w:p w14:paraId="2539F698"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Gibbs, David, and Pauline </w:t>
      </w:r>
      <w:proofErr w:type="spellStart"/>
      <w:r w:rsidRPr="004E0468">
        <w:rPr>
          <w:color w:val="222222"/>
          <w:sz w:val="22"/>
          <w:szCs w:val="22"/>
          <w:shd w:val="clear" w:color="auto" w:fill="FFFFFF"/>
        </w:rPr>
        <w:t>Deutz</w:t>
      </w:r>
      <w:proofErr w:type="spellEnd"/>
      <w:r w:rsidRPr="004E0468">
        <w:rPr>
          <w:color w:val="222222"/>
          <w:sz w:val="22"/>
          <w:szCs w:val="22"/>
          <w:shd w:val="clear" w:color="auto" w:fill="FFFFFF"/>
        </w:rPr>
        <w:t>. 2007. "Reflections on implementing industrial ecology through eco-industrial park development."</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Cleaner Production</w:t>
      </w:r>
      <w:r w:rsidRPr="004E0468">
        <w:rPr>
          <w:rStyle w:val="apple-converted-space"/>
          <w:color w:val="222222"/>
          <w:sz w:val="22"/>
          <w:szCs w:val="22"/>
          <w:shd w:val="clear" w:color="auto" w:fill="FFFFFF"/>
        </w:rPr>
        <w:t> </w:t>
      </w:r>
      <w:r w:rsidRPr="004E0468">
        <w:rPr>
          <w:color w:val="222222"/>
          <w:sz w:val="22"/>
          <w:szCs w:val="22"/>
          <w:shd w:val="clear" w:color="auto" w:fill="FFFFFF"/>
        </w:rPr>
        <w:t>15, no. 17: 1683-1695.</w:t>
      </w:r>
    </w:p>
    <w:p w14:paraId="3BB5DB78"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Giurco</w:t>
      </w:r>
      <w:proofErr w:type="spellEnd"/>
      <w:r w:rsidRPr="004E0468">
        <w:rPr>
          <w:color w:val="222222"/>
          <w:sz w:val="22"/>
          <w:szCs w:val="22"/>
          <w:shd w:val="clear" w:color="auto" w:fill="FFFFFF"/>
        </w:rPr>
        <w:t xml:space="preserve">, Damien, Anna </w:t>
      </w:r>
      <w:proofErr w:type="spellStart"/>
      <w:r w:rsidRPr="004E0468">
        <w:rPr>
          <w:color w:val="222222"/>
          <w:sz w:val="22"/>
          <w:szCs w:val="22"/>
          <w:shd w:val="clear" w:color="auto" w:fill="FFFFFF"/>
        </w:rPr>
        <w:t>Littleboy</w:t>
      </w:r>
      <w:proofErr w:type="spellEnd"/>
      <w:r w:rsidRPr="004E0468">
        <w:rPr>
          <w:color w:val="222222"/>
          <w:sz w:val="22"/>
          <w:szCs w:val="22"/>
          <w:shd w:val="clear" w:color="auto" w:fill="FFFFFF"/>
        </w:rPr>
        <w:t>, Thomas Boyle, Julian Fyfe, and Stuart White. 2014. "Circular economy: questions for responsible minerals, additive manufacturing and recycling of metals."</w:t>
      </w:r>
      <w:r w:rsidRPr="004E0468">
        <w:rPr>
          <w:rStyle w:val="apple-converted-space"/>
          <w:color w:val="222222"/>
          <w:sz w:val="22"/>
          <w:szCs w:val="22"/>
          <w:shd w:val="clear" w:color="auto" w:fill="FFFFFF"/>
        </w:rPr>
        <w:t> </w:t>
      </w:r>
      <w:r w:rsidRPr="004E0468">
        <w:rPr>
          <w:i/>
          <w:iCs/>
          <w:color w:val="222222"/>
          <w:sz w:val="22"/>
          <w:szCs w:val="22"/>
          <w:shd w:val="clear" w:color="auto" w:fill="FFFFFF"/>
        </w:rPr>
        <w:t>Resources</w:t>
      </w:r>
      <w:r w:rsidRPr="004E0468">
        <w:rPr>
          <w:rStyle w:val="apple-converted-space"/>
          <w:color w:val="222222"/>
          <w:sz w:val="22"/>
          <w:szCs w:val="22"/>
          <w:shd w:val="clear" w:color="auto" w:fill="FFFFFF"/>
        </w:rPr>
        <w:t> </w:t>
      </w:r>
      <w:r w:rsidRPr="004E0468">
        <w:rPr>
          <w:color w:val="222222"/>
          <w:sz w:val="22"/>
          <w:szCs w:val="22"/>
          <w:shd w:val="clear" w:color="auto" w:fill="FFFFFF"/>
        </w:rPr>
        <w:t>3, no. 2: 432-453.</w:t>
      </w:r>
    </w:p>
    <w:p w14:paraId="4AB1518D"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Gregson, Nicky, Mike </w:t>
      </w:r>
      <w:proofErr w:type="spellStart"/>
      <w:r w:rsidRPr="004E0468">
        <w:rPr>
          <w:color w:val="222222"/>
          <w:sz w:val="22"/>
          <w:szCs w:val="22"/>
          <w:shd w:val="clear" w:color="auto" w:fill="FFFFFF"/>
        </w:rPr>
        <w:t>Crang</w:t>
      </w:r>
      <w:proofErr w:type="spellEnd"/>
      <w:r w:rsidRPr="004E0468">
        <w:rPr>
          <w:color w:val="222222"/>
          <w:sz w:val="22"/>
          <w:szCs w:val="22"/>
          <w:shd w:val="clear" w:color="auto" w:fill="FFFFFF"/>
        </w:rPr>
        <w:t>, Sara Fuller, and Helen Holmes. 2015. "Interrogating the circular economy: the moral economy of resource recovery in the EU."</w:t>
      </w:r>
      <w:r w:rsidRPr="004E0468">
        <w:rPr>
          <w:rStyle w:val="apple-converted-space"/>
          <w:color w:val="222222"/>
          <w:sz w:val="22"/>
          <w:szCs w:val="22"/>
          <w:shd w:val="clear" w:color="auto" w:fill="FFFFFF"/>
        </w:rPr>
        <w:t> </w:t>
      </w:r>
      <w:r w:rsidRPr="004E0468">
        <w:rPr>
          <w:i/>
          <w:iCs/>
          <w:color w:val="222222"/>
          <w:sz w:val="22"/>
          <w:szCs w:val="22"/>
          <w:shd w:val="clear" w:color="auto" w:fill="FFFFFF"/>
        </w:rPr>
        <w:t>Economy and Society</w:t>
      </w:r>
      <w:r w:rsidRPr="004E0468">
        <w:rPr>
          <w:rStyle w:val="apple-converted-space"/>
          <w:color w:val="222222"/>
          <w:sz w:val="22"/>
          <w:szCs w:val="22"/>
          <w:shd w:val="clear" w:color="auto" w:fill="FFFFFF"/>
        </w:rPr>
        <w:t> </w:t>
      </w:r>
      <w:r w:rsidRPr="004E0468">
        <w:rPr>
          <w:color w:val="222222"/>
          <w:sz w:val="22"/>
          <w:szCs w:val="22"/>
          <w:shd w:val="clear" w:color="auto" w:fill="FFFFFF"/>
        </w:rPr>
        <w:t>44, no. 2: 218-243.</w:t>
      </w:r>
    </w:p>
    <w:p w14:paraId="7EC31E93" w14:textId="7B83110A"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Guide Jr, V. Daniel R., </w:t>
      </w:r>
      <w:proofErr w:type="spellStart"/>
      <w:r w:rsidRPr="004E0468">
        <w:rPr>
          <w:color w:val="222222"/>
          <w:sz w:val="22"/>
          <w:szCs w:val="22"/>
          <w:shd w:val="clear" w:color="auto" w:fill="FFFFFF"/>
        </w:rPr>
        <w:t>Vaidyanathan</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Jayaraman</w:t>
      </w:r>
      <w:proofErr w:type="spellEnd"/>
      <w:r w:rsidRPr="004E0468">
        <w:rPr>
          <w:color w:val="222222"/>
          <w:sz w:val="22"/>
          <w:szCs w:val="22"/>
          <w:shd w:val="clear" w:color="auto" w:fill="FFFFFF"/>
        </w:rPr>
        <w:t>, Rajesh S</w:t>
      </w:r>
      <w:r w:rsidR="00FD4C62" w:rsidRPr="004E0468">
        <w:rPr>
          <w:color w:val="222222"/>
          <w:sz w:val="22"/>
          <w:szCs w:val="22"/>
          <w:shd w:val="clear" w:color="auto" w:fill="FFFFFF"/>
        </w:rPr>
        <w:t>rivastava, and W. C. Benton. 20</w:t>
      </w:r>
      <w:r w:rsidR="00E2471A" w:rsidRPr="004E0468">
        <w:rPr>
          <w:color w:val="222222"/>
          <w:sz w:val="22"/>
          <w:szCs w:val="22"/>
          <w:shd w:val="clear" w:color="auto" w:fill="FFFFFF"/>
        </w:rPr>
        <w:t>00</w:t>
      </w:r>
      <w:r w:rsidR="00FD4C62" w:rsidRPr="004E0468">
        <w:rPr>
          <w:color w:val="222222"/>
          <w:sz w:val="22"/>
          <w:szCs w:val="22"/>
          <w:shd w:val="clear" w:color="auto" w:fill="FFFFFF"/>
        </w:rPr>
        <w:t>.</w:t>
      </w:r>
      <w:r w:rsidRPr="004E0468">
        <w:rPr>
          <w:color w:val="222222"/>
          <w:sz w:val="22"/>
          <w:szCs w:val="22"/>
          <w:shd w:val="clear" w:color="auto" w:fill="FFFFFF"/>
        </w:rPr>
        <w:t xml:space="preserve">  "Supply-chain management for recoverable manufacturing systems."</w:t>
      </w:r>
      <w:r w:rsidRPr="004E0468">
        <w:rPr>
          <w:rStyle w:val="apple-converted-space"/>
          <w:color w:val="222222"/>
          <w:sz w:val="22"/>
          <w:szCs w:val="22"/>
          <w:shd w:val="clear" w:color="auto" w:fill="FFFFFF"/>
        </w:rPr>
        <w:t> </w:t>
      </w:r>
      <w:r w:rsidRPr="004E0468">
        <w:rPr>
          <w:i/>
          <w:iCs/>
          <w:color w:val="222222"/>
          <w:sz w:val="22"/>
          <w:szCs w:val="22"/>
          <w:shd w:val="clear" w:color="auto" w:fill="FFFFFF"/>
        </w:rPr>
        <w:t>Interfaces</w:t>
      </w:r>
      <w:r w:rsidRPr="004E0468">
        <w:rPr>
          <w:rStyle w:val="apple-converted-space"/>
          <w:color w:val="222222"/>
          <w:sz w:val="22"/>
          <w:szCs w:val="22"/>
          <w:shd w:val="clear" w:color="auto" w:fill="FFFFFF"/>
        </w:rPr>
        <w:t> </w:t>
      </w:r>
      <w:r w:rsidRPr="004E0468">
        <w:rPr>
          <w:color w:val="222222"/>
          <w:sz w:val="22"/>
          <w:szCs w:val="22"/>
          <w:shd w:val="clear" w:color="auto" w:fill="FFFFFF"/>
        </w:rPr>
        <w:t>30, no. 3: 125-142.</w:t>
      </w:r>
    </w:p>
    <w:p w14:paraId="1E78F6AC"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Heshmati</w:t>
      </w:r>
      <w:proofErr w:type="spellEnd"/>
      <w:r w:rsidRPr="004E0468">
        <w:rPr>
          <w:color w:val="222222"/>
          <w:sz w:val="22"/>
          <w:szCs w:val="22"/>
          <w:shd w:val="clear" w:color="auto" w:fill="FFFFFF"/>
        </w:rPr>
        <w:t>, Almas. "A Review of the Circular Economy and its Implementation. 2016. "</w:t>
      </w:r>
      <w:r w:rsidRPr="004E0468">
        <w:rPr>
          <w:rStyle w:val="apple-converted-space"/>
          <w:color w:val="222222"/>
          <w:sz w:val="22"/>
          <w:szCs w:val="22"/>
          <w:shd w:val="clear" w:color="auto" w:fill="FFFFFF"/>
        </w:rPr>
        <w:t> </w:t>
      </w:r>
      <w:r w:rsidRPr="004E0468">
        <w:rPr>
          <w:i/>
          <w:iCs/>
          <w:color w:val="222222"/>
          <w:sz w:val="22"/>
          <w:szCs w:val="22"/>
          <w:shd w:val="clear" w:color="auto" w:fill="FFFFFF"/>
        </w:rPr>
        <w:t>Browser Download This Paper</w:t>
      </w:r>
      <w:r w:rsidRPr="004E0468">
        <w:rPr>
          <w:color w:val="222222"/>
          <w:sz w:val="22"/>
          <w:szCs w:val="22"/>
          <w:shd w:val="clear" w:color="auto" w:fill="FFFFFF"/>
        </w:rPr>
        <w:t>.</w:t>
      </w:r>
    </w:p>
    <w:p w14:paraId="219BF556"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Horwitz, Frank M., Desmond </w:t>
      </w:r>
      <w:proofErr w:type="spellStart"/>
      <w:r w:rsidRPr="004E0468">
        <w:rPr>
          <w:color w:val="222222"/>
          <w:sz w:val="22"/>
          <w:szCs w:val="22"/>
          <w:shd w:val="clear" w:color="auto" w:fill="FFFFFF"/>
        </w:rPr>
        <w:t>Bravington</w:t>
      </w:r>
      <w:proofErr w:type="spellEnd"/>
      <w:r w:rsidRPr="004E0468">
        <w:rPr>
          <w:color w:val="222222"/>
          <w:sz w:val="22"/>
          <w:szCs w:val="22"/>
          <w:shd w:val="clear" w:color="auto" w:fill="FFFFFF"/>
        </w:rPr>
        <w:t xml:space="preserve">, and </w:t>
      </w:r>
      <w:proofErr w:type="spellStart"/>
      <w:r w:rsidRPr="004E0468">
        <w:rPr>
          <w:color w:val="222222"/>
          <w:sz w:val="22"/>
          <w:szCs w:val="22"/>
          <w:shd w:val="clear" w:color="auto" w:fill="FFFFFF"/>
        </w:rPr>
        <w:t>Ulrik</w:t>
      </w:r>
      <w:proofErr w:type="spellEnd"/>
      <w:r w:rsidRPr="004E0468">
        <w:rPr>
          <w:color w:val="222222"/>
          <w:sz w:val="22"/>
          <w:szCs w:val="22"/>
          <w:shd w:val="clear" w:color="auto" w:fill="FFFFFF"/>
        </w:rPr>
        <w:t xml:space="preserve"> Silvis. 2006. "The promise of virtual teams: identifying key factors in effectiveness and failure."</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European Industrial Training</w:t>
      </w:r>
      <w:r w:rsidRPr="004E0468">
        <w:rPr>
          <w:rStyle w:val="apple-converted-space"/>
          <w:color w:val="222222"/>
          <w:sz w:val="22"/>
          <w:szCs w:val="22"/>
          <w:shd w:val="clear" w:color="auto" w:fill="FFFFFF"/>
        </w:rPr>
        <w:t> </w:t>
      </w:r>
      <w:r w:rsidRPr="004E0468">
        <w:rPr>
          <w:color w:val="222222"/>
          <w:sz w:val="22"/>
          <w:szCs w:val="22"/>
          <w:shd w:val="clear" w:color="auto" w:fill="FFFFFF"/>
        </w:rPr>
        <w:t>30, no. 6: 472-494.</w:t>
      </w:r>
    </w:p>
    <w:p w14:paraId="538D72F7"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Kok, L., G. </w:t>
      </w:r>
      <w:proofErr w:type="spellStart"/>
      <w:r w:rsidRPr="004E0468">
        <w:rPr>
          <w:color w:val="222222"/>
          <w:sz w:val="22"/>
          <w:szCs w:val="22"/>
          <w:shd w:val="clear" w:color="auto" w:fill="FFFFFF"/>
        </w:rPr>
        <w:t>Wurpel</w:t>
      </w:r>
      <w:proofErr w:type="spellEnd"/>
      <w:r w:rsidRPr="004E0468">
        <w:rPr>
          <w:color w:val="222222"/>
          <w:sz w:val="22"/>
          <w:szCs w:val="22"/>
          <w:shd w:val="clear" w:color="auto" w:fill="FFFFFF"/>
        </w:rPr>
        <w:t xml:space="preserve">, and A. Ten </w:t>
      </w:r>
      <w:proofErr w:type="spellStart"/>
      <w:r w:rsidRPr="004E0468">
        <w:rPr>
          <w:color w:val="222222"/>
          <w:sz w:val="22"/>
          <w:szCs w:val="22"/>
          <w:shd w:val="clear" w:color="auto" w:fill="FFFFFF"/>
        </w:rPr>
        <w:t>Wolde</w:t>
      </w:r>
      <w:proofErr w:type="spellEnd"/>
      <w:r w:rsidRPr="004E0468">
        <w:rPr>
          <w:color w:val="222222"/>
          <w:sz w:val="22"/>
          <w:szCs w:val="22"/>
          <w:shd w:val="clear" w:color="auto" w:fill="FFFFFF"/>
        </w:rPr>
        <w:t>. 2013. "Unleashing the power of the circular economy."</w:t>
      </w:r>
      <w:r w:rsidRPr="004E0468">
        <w:rPr>
          <w:rStyle w:val="apple-converted-space"/>
          <w:color w:val="222222"/>
          <w:sz w:val="22"/>
          <w:szCs w:val="22"/>
          <w:shd w:val="clear" w:color="auto" w:fill="FFFFFF"/>
        </w:rPr>
        <w:t> </w:t>
      </w:r>
      <w:r w:rsidRPr="004E0468">
        <w:rPr>
          <w:i/>
          <w:iCs/>
          <w:color w:val="222222"/>
          <w:sz w:val="22"/>
          <w:szCs w:val="22"/>
          <w:shd w:val="clear" w:color="auto" w:fill="FFFFFF"/>
        </w:rPr>
        <w:t xml:space="preserve">IMSA: Amsterdam, </w:t>
      </w:r>
      <w:proofErr w:type="gramStart"/>
      <w:r w:rsidRPr="004E0468">
        <w:rPr>
          <w:i/>
          <w:iCs/>
          <w:color w:val="222222"/>
          <w:sz w:val="22"/>
          <w:szCs w:val="22"/>
          <w:shd w:val="clear" w:color="auto" w:fill="FFFFFF"/>
        </w:rPr>
        <w:t>The</w:t>
      </w:r>
      <w:proofErr w:type="gramEnd"/>
      <w:r w:rsidRPr="004E0468">
        <w:rPr>
          <w:i/>
          <w:iCs/>
          <w:color w:val="222222"/>
          <w:sz w:val="22"/>
          <w:szCs w:val="22"/>
          <w:shd w:val="clear" w:color="auto" w:fill="FFFFFF"/>
        </w:rPr>
        <w:t xml:space="preserve"> Netherlands</w:t>
      </w:r>
      <w:r w:rsidRPr="004E0468">
        <w:rPr>
          <w:color w:val="222222"/>
          <w:sz w:val="22"/>
          <w:szCs w:val="22"/>
          <w:shd w:val="clear" w:color="auto" w:fill="FFFFFF"/>
        </w:rPr>
        <w:t>.</w:t>
      </w:r>
    </w:p>
    <w:p w14:paraId="7480410C"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lastRenderedPageBreak/>
        <w:t xml:space="preserve">Li, </w:t>
      </w:r>
      <w:proofErr w:type="spellStart"/>
      <w:r w:rsidRPr="004E0468">
        <w:rPr>
          <w:color w:val="222222"/>
          <w:sz w:val="22"/>
          <w:szCs w:val="22"/>
          <w:shd w:val="clear" w:color="auto" w:fill="FFFFFF"/>
        </w:rPr>
        <w:t>Huiquan</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Weijun</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Bao</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Caihong</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Xiu</w:t>
      </w:r>
      <w:proofErr w:type="spellEnd"/>
      <w:r w:rsidRPr="004E0468">
        <w:rPr>
          <w:color w:val="222222"/>
          <w:sz w:val="22"/>
          <w:szCs w:val="22"/>
          <w:shd w:val="clear" w:color="auto" w:fill="FFFFFF"/>
        </w:rPr>
        <w:t xml:space="preserve">, Yi Zhang, and </w:t>
      </w:r>
      <w:proofErr w:type="spellStart"/>
      <w:r w:rsidRPr="004E0468">
        <w:rPr>
          <w:color w:val="222222"/>
          <w:sz w:val="22"/>
          <w:szCs w:val="22"/>
          <w:shd w:val="clear" w:color="auto" w:fill="FFFFFF"/>
        </w:rPr>
        <w:t>Hongbin</w:t>
      </w:r>
      <w:proofErr w:type="spellEnd"/>
      <w:r w:rsidRPr="004E0468">
        <w:rPr>
          <w:color w:val="222222"/>
          <w:sz w:val="22"/>
          <w:szCs w:val="22"/>
          <w:shd w:val="clear" w:color="auto" w:fill="FFFFFF"/>
        </w:rPr>
        <w:t xml:space="preserve"> Xu. 2010. "Energy conservation and circular economy in China's process industries."</w:t>
      </w:r>
      <w:r w:rsidRPr="004E0468">
        <w:rPr>
          <w:rStyle w:val="apple-converted-space"/>
          <w:color w:val="222222"/>
          <w:sz w:val="22"/>
          <w:szCs w:val="22"/>
          <w:shd w:val="clear" w:color="auto" w:fill="FFFFFF"/>
        </w:rPr>
        <w:t> </w:t>
      </w:r>
      <w:r w:rsidRPr="004E0468">
        <w:rPr>
          <w:i/>
          <w:iCs/>
          <w:color w:val="222222"/>
          <w:sz w:val="22"/>
          <w:szCs w:val="22"/>
          <w:shd w:val="clear" w:color="auto" w:fill="FFFFFF"/>
        </w:rPr>
        <w:t>Energy</w:t>
      </w:r>
      <w:r w:rsidRPr="004E0468">
        <w:rPr>
          <w:rStyle w:val="apple-converted-space"/>
          <w:color w:val="222222"/>
          <w:sz w:val="22"/>
          <w:szCs w:val="22"/>
          <w:shd w:val="clear" w:color="auto" w:fill="FFFFFF"/>
        </w:rPr>
        <w:t> </w:t>
      </w:r>
      <w:r w:rsidRPr="004E0468">
        <w:rPr>
          <w:color w:val="222222"/>
          <w:sz w:val="22"/>
          <w:szCs w:val="22"/>
          <w:shd w:val="clear" w:color="auto" w:fill="FFFFFF"/>
        </w:rPr>
        <w:t>35, no. 11: 4273-4281.</w:t>
      </w:r>
    </w:p>
    <w:p w14:paraId="774C68F6"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Liu, Qian, Hui-</w:t>
      </w:r>
      <w:proofErr w:type="spellStart"/>
      <w:r w:rsidRPr="004E0468">
        <w:rPr>
          <w:color w:val="222222"/>
          <w:sz w:val="22"/>
          <w:szCs w:val="22"/>
          <w:shd w:val="clear" w:color="auto" w:fill="FFFFFF"/>
        </w:rPr>
        <w:t>ming</w:t>
      </w:r>
      <w:proofErr w:type="spellEnd"/>
      <w:r w:rsidRPr="004E0468">
        <w:rPr>
          <w:color w:val="222222"/>
          <w:sz w:val="22"/>
          <w:szCs w:val="22"/>
          <w:shd w:val="clear" w:color="auto" w:fill="FFFFFF"/>
        </w:rPr>
        <w:t xml:space="preserve"> Li, Xiao-li </w:t>
      </w:r>
      <w:proofErr w:type="spellStart"/>
      <w:r w:rsidRPr="004E0468">
        <w:rPr>
          <w:color w:val="222222"/>
          <w:sz w:val="22"/>
          <w:szCs w:val="22"/>
          <w:shd w:val="clear" w:color="auto" w:fill="FFFFFF"/>
        </w:rPr>
        <w:t>Zuo</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Fei-fei</w:t>
      </w:r>
      <w:proofErr w:type="spellEnd"/>
      <w:r w:rsidRPr="004E0468">
        <w:rPr>
          <w:color w:val="222222"/>
          <w:sz w:val="22"/>
          <w:szCs w:val="22"/>
          <w:shd w:val="clear" w:color="auto" w:fill="FFFFFF"/>
        </w:rPr>
        <w:t xml:space="preserve"> Zhang, and Lei Wang. 2009. "A survey and analysis on public awareness and performance for promoting circular economy in China: A case study from Tianjin."</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Cleaner Production</w:t>
      </w:r>
      <w:r w:rsidRPr="004E0468">
        <w:rPr>
          <w:rStyle w:val="apple-converted-space"/>
          <w:color w:val="222222"/>
          <w:sz w:val="22"/>
          <w:szCs w:val="22"/>
          <w:shd w:val="clear" w:color="auto" w:fill="FFFFFF"/>
        </w:rPr>
        <w:t> </w:t>
      </w:r>
      <w:r w:rsidRPr="004E0468">
        <w:rPr>
          <w:color w:val="222222"/>
          <w:sz w:val="22"/>
          <w:szCs w:val="22"/>
          <w:shd w:val="clear" w:color="auto" w:fill="FFFFFF"/>
        </w:rPr>
        <w:t>17, no. 2: 265-270.</w:t>
      </w:r>
    </w:p>
    <w:p w14:paraId="49638C18"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Liu, Yong. 2009. "Investigating external environmental pressure on firms and their </w:t>
      </w:r>
      <w:proofErr w:type="spellStart"/>
      <w:r w:rsidRPr="004E0468">
        <w:rPr>
          <w:color w:val="222222"/>
          <w:sz w:val="22"/>
          <w:szCs w:val="22"/>
          <w:shd w:val="clear" w:color="auto" w:fill="FFFFFF"/>
        </w:rPr>
        <w:t>behavior</w:t>
      </w:r>
      <w:proofErr w:type="spellEnd"/>
      <w:r w:rsidRPr="004E0468">
        <w:rPr>
          <w:color w:val="222222"/>
          <w:sz w:val="22"/>
          <w:szCs w:val="22"/>
          <w:shd w:val="clear" w:color="auto" w:fill="FFFFFF"/>
        </w:rPr>
        <w:t xml:space="preserve"> in Yangtze River Delta of China."</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Cleaner Production</w:t>
      </w:r>
      <w:r w:rsidRPr="004E0468">
        <w:rPr>
          <w:rStyle w:val="apple-converted-space"/>
          <w:color w:val="222222"/>
          <w:sz w:val="22"/>
          <w:szCs w:val="22"/>
          <w:shd w:val="clear" w:color="auto" w:fill="FFFFFF"/>
        </w:rPr>
        <w:t> </w:t>
      </w:r>
      <w:r w:rsidRPr="004E0468">
        <w:rPr>
          <w:color w:val="222222"/>
          <w:sz w:val="22"/>
          <w:szCs w:val="22"/>
          <w:shd w:val="clear" w:color="auto" w:fill="FFFFFF"/>
        </w:rPr>
        <w:t>17, no. 16: 1480-1486.</w:t>
      </w:r>
    </w:p>
    <w:p w14:paraId="0B024FC3"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Liu, Yong, and Yin Bai. 2014. "An exploration of firms’ awareness and </w:t>
      </w:r>
      <w:proofErr w:type="spellStart"/>
      <w:r w:rsidRPr="004E0468">
        <w:rPr>
          <w:color w:val="222222"/>
          <w:sz w:val="22"/>
          <w:szCs w:val="22"/>
          <w:shd w:val="clear" w:color="auto" w:fill="FFFFFF"/>
        </w:rPr>
        <w:t>behavior</w:t>
      </w:r>
      <w:proofErr w:type="spellEnd"/>
      <w:r w:rsidRPr="004E0468">
        <w:rPr>
          <w:color w:val="222222"/>
          <w:sz w:val="22"/>
          <w:szCs w:val="22"/>
          <w:shd w:val="clear" w:color="auto" w:fill="FFFFFF"/>
        </w:rPr>
        <w:t xml:space="preserve"> of developing circular economy: An empirical research in China."</w:t>
      </w:r>
      <w:r w:rsidRPr="004E0468">
        <w:rPr>
          <w:rStyle w:val="apple-converted-space"/>
          <w:color w:val="222222"/>
          <w:sz w:val="22"/>
          <w:szCs w:val="22"/>
          <w:shd w:val="clear" w:color="auto" w:fill="FFFFFF"/>
        </w:rPr>
        <w:t> </w:t>
      </w:r>
      <w:r w:rsidRPr="004E0468">
        <w:rPr>
          <w:i/>
          <w:iCs/>
          <w:color w:val="222222"/>
          <w:sz w:val="22"/>
          <w:szCs w:val="22"/>
          <w:shd w:val="clear" w:color="auto" w:fill="FFFFFF"/>
        </w:rPr>
        <w:t>Resources, Conservation and Recycling</w:t>
      </w:r>
      <w:r w:rsidRPr="004E0468">
        <w:rPr>
          <w:rStyle w:val="apple-converted-space"/>
          <w:color w:val="222222"/>
          <w:sz w:val="22"/>
          <w:szCs w:val="22"/>
          <w:shd w:val="clear" w:color="auto" w:fill="FFFFFF"/>
        </w:rPr>
        <w:t> </w:t>
      </w:r>
      <w:r w:rsidRPr="004E0468">
        <w:rPr>
          <w:color w:val="222222"/>
          <w:sz w:val="22"/>
          <w:szCs w:val="22"/>
          <w:shd w:val="clear" w:color="auto" w:fill="FFFFFF"/>
        </w:rPr>
        <w:t>87: 145-152.</w:t>
      </w:r>
    </w:p>
    <w:p w14:paraId="72BA938D"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Masi, Donato, Enrico Cagno, and Guido JL Micheli. 2014. "Developing, implementing and evaluating OSH interventions in SMEs: a pilot, exploratory study."</w:t>
      </w:r>
      <w:r w:rsidRPr="004E0468">
        <w:rPr>
          <w:rStyle w:val="apple-converted-space"/>
          <w:color w:val="222222"/>
          <w:sz w:val="22"/>
          <w:szCs w:val="22"/>
          <w:shd w:val="clear" w:color="auto" w:fill="FFFFFF"/>
        </w:rPr>
        <w:t> </w:t>
      </w:r>
      <w:r w:rsidRPr="004E0468">
        <w:rPr>
          <w:i/>
          <w:iCs/>
          <w:color w:val="222222"/>
          <w:sz w:val="22"/>
          <w:szCs w:val="22"/>
          <w:shd w:val="clear" w:color="auto" w:fill="FFFFFF"/>
        </w:rPr>
        <w:t>International Journal of Occupational Safety and Ergonomics</w:t>
      </w:r>
      <w:r w:rsidRPr="004E0468">
        <w:rPr>
          <w:rStyle w:val="apple-converted-space"/>
          <w:color w:val="222222"/>
          <w:sz w:val="22"/>
          <w:szCs w:val="22"/>
          <w:shd w:val="clear" w:color="auto" w:fill="FFFFFF"/>
        </w:rPr>
        <w:t> </w:t>
      </w:r>
      <w:r w:rsidRPr="004E0468">
        <w:rPr>
          <w:color w:val="222222"/>
          <w:sz w:val="22"/>
          <w:szCs w:val="22"/>
          <w:shd w:val="clear" w:color="auto" w:fill="FFFFFF"/>
        </w:rPr>
        <w:t>20, no. 3: 385-405.</w:t>
      </w:r>
    </w:p>
    <w:p w14:paraId="7ABB6C66"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Masi, Donato, and Enrico Cagno. 2015. "Barriers to OHS interventions in Small and Medium-sized Enterprises."</w:t>
      </w:r>
      <w:r w:rsidRPr="004E0468">
        <w:rPr>
          <w:rStyle w:val="apple-converted-space"/>
          <w:color w:val="222222"/>
          <w:sz w:val="22"/>
          <w:szCs w:val="22"/>
          <w:shd w:val="clear" w:color="auto" w:fill="FFFFFF"/>
        </w:rPr>
        <w:t> </w:t>
      </w:r>
      <w:r w:rsidRPr="004E0468">
        <w:rPr>
          <w:i/>
          <w:iCs/>
          <w:color w:val="222222"/>
          <w:sz w:val="22"/>
          <w:szCs w:val="22"/>
          <w:shd w:val="clear" w:color="auto" w:fill="FFFFFF"/>
        </w:rPr>
        <w:t>Safety science</w:t>
      </w:r>
      <w:r w:rsidRPr="004E0468">
        <w:rPr>
          <w:rStyle w:val="apple-converted-space"/>
          <w:color w:val="222222"/>
          <w:sz w:val="22"/>
          <w:szCs w:val="22"/>
          <w:shd w:val="clear" w:color="auto" w:fill="FFFFFF"/>
        </w:rPr>
        <w:t> </w:t>
      </w:r>
      <w:r w:rsidRPr="004E0468">
        <w:rPr>
          <w:color w:val="222222"/>
          <w:sz w:val="22"/>
          <w:szCs w:val="22"/>
          <w:shd w:val="clear" w:color="auto" w:fill="FFFFFF"/>
        </w:rPr>
        <w:t>71: 226-241.</w:t>
      </w:r>
    </w:p>
    <w:p w14:paraId="7642504A" w14:textId="0677F5AA"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May, </w:t>
      </w:r>
      <w:proofErr w:type="spellStart"/>
      <w:r w:rsidRPr="004E0468">
        <w:rPr>
          <w:color w:val="222222"/>
          <w:sz w:val="22"/>
          <w:szCs w:val="22"/>
          <w:shd w:val="clear" w:color="auto" w:fill="FFFFFF"/>
        </w:rPr>
        <w:t>Gökan</w:t>
      </w:r>
      <w:proofErr w:type="spellEnd"/>
      <w:r w:rsidRPr="004E0468">
        <w:rPr>
          <w:color w:val="222222"/>
          <w:sz w:val="22"/>
          <w:szCs w:val="22"/>
          <w:shd w:val="clear" w:color="auto" w:fill="FFFFFF"/>
        </w:rPr>
        <w:t>, Marc</w:t>
      </w:r>
      <w:r w:rsidR="00A04806" w:rsidRPr="004E0468">
        <w:rPr>
          <w:color w:val="222222"/>
          <w:sz w:val="22"/>
          <w:szCs w:val="22"/>
          <w:shd w:val="clear" w:color="auto" w:fill="FFFFFF"/>
        </w:rPr>
        <w:t xml:space="preserve">o </w:t>
      </w:r>
      <w:proofErr w:type="spellStart"/>
      <w:r w:rsidR="00A04806" w:rsidRPr="004E0468">
        <w:rPr>
          <w:color w:val="222222"/>
          <w:sz w:val="22"/>
          <w:szCs w:val="22"/>
          <w:shd w:val="clear" w:color="auto" w:fill="FFFFFF"/>
        </w:rPr>
        <w:t>Taisch</w:t>
      </w:r>
      <w:proofErr w:type="spellEnd"/>
      <w:r w:rsidR="00A04806" w:rsidRPr="004E0468">
        <w:rPr>
          <w:color w:val="222222"/>
          <w:sz w:val="22"/>
          <w:szCs w:val="22"/>
          <w:shd w:val="clear" w:color="auto" w:fill="FFFFFF"/>
        </w:rPr>
        <w:t xml:space="preserve">, and Endris </w:t>
      </w:r>
      <w:proofErr w:type="spellStart"/>
      <w:r w:rsidR="00A04806" w:rsidRPr="004E0468">
        <w:rPr>
          <w:color w:val="222222"/>
          <w:sz w:val="22"/>
          <w:szCs w:val="22"/>
          <w:shd w:val="clear" w:color="auto" w:fill="FFFFFF"/>
        </w:rPr>
        <w:t>Kerga</w:t>
      </w:r>
      <w:proofErr w:type="spellEnd"/>
      <w:r w:rsidR="00A04806" w:rsidRPr="004E0468">
        <w:rPr>
          <w:color w:val="222222"/>
          <w:sz w:val="22"/>
          <w:szCs w:val="22"/>
          <w:shd w:val="clear" w:color="auto" w:fill="FFFFFF"/>
        </w:rPr>
        <w:t>. 2012</w:t>
      </w:r>
      <w:r w:rsidRPr="004E0468">
        <w:rPr>
          <w:color w:val="222222"/>
          <w:sz w:val="22"/>
          <w:szCs w:val="22"/>
          <w:shd w:val="clear" w:color="auto" w:fill="FFFFFF"/>
        </w:rPr>
        <w:t>. "Assessment of sustainable practices in new product development." In</w:t>
      </w:r>
      <w:r w:rsidRPr="004E0468">
        <w:rPr>
          <w:rStyle w:val="apple-converted-space"/>
          <w:color w:val="222222"/>
          <w:sz w:val="22"/>
          <w:szCs w:val="22"/>
          <w:shd w:val="clear" w:color="auto" w:fill="FFFFFF"/>
        </w:rPr>
        <w:t> </w:t>
      </w:r>
      <w:r w:rsidRPr="004E0468">
        <w:rPr>
          <w:i/>
          <w:iCs/>
          <w:color w:val="222222"/>
          <w:sz w:val="22"/>
          <w:szCs w:val="22"/>
          <w:shd w:val="clear" w:color="auto" w:fill="FFFFFF"/>
        </w:rPr>
        <w:t>IFIP International Conference on Advances in Production Management Systems</w:t>
      </w:r>
      <w:r w:rsidRPr="004E0468">
        <w:rPr>
          <w:color w:val="222222"/>
          <w:sz w:val="22"/>
          <w:szCs w:val="22"/>
          <w:shd w:val="clear" w:color="auto" w:fill="FFFFFF"/>
        </w:rPr>
        <w:t>, pp. 437-447. Springer Berlin Heidelberg.</w:t>
      </w:r>
    </w:p>
    <w:p w14:paraId="643C0EA5"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Morioka, </w:t>
      </w:r>
      <w:proofErr w:type="spellStart"/>
      <w:r w:rsidRPr="004E0468">
        <w:rPr>
          <w:color w:val="222222"/>
          <w:sz w:val="22"/>
          <w:szCs w:val="22"/>
          <w:shd w:val="clear" w:color="auto" w:fill="FFFFFF"/>
        </w:rPr>
        <w:t>Tohru</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Kiyotaka</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Tsunemi</w:t>
      </w:r>
      <w:proofErr w:type="spellEnd"/>
      <w:r w:rsidRPr="004E0468">
        <w:rPr>
          <w:color w:val="222222"/>
          <w:sz w:val="22"/>
          <w:szCs w:val="22"/>
          <w:shd w:val="clear" w:color="auto" w:fill="FFFFFF"/>
        </w:rPr>
        <w:t xml:space="preserve">, Yugo Yamamoto, Helmut </w:t>
      </w:r>
      <w:proofErr w:type="spellStart"/>
      <w:r w:rsidRPr="004E0468">
        <w:rPr>
          <w:color w:val="222222"/>
          <w:sz w:val="22"/>
          <w:szCs w:val="22"/>
          <w:shd w:val="clear" w:color="auto" w:fill="FFFFFF"/>
        </w:rPr>
        <w:t>Yabar</w:t>
      </w:r>
      <w:proofErr w:type="spellEnd"/>
      <w:r w:rsidRPr="004E0468">
        <w:rPr>
          <w:color w:val="222222"/>
          <w:sz w:val="22"/>
          <w:szCs w:val="22"/>
          <w:shd w:val="clear" w:color="auto" w:fill="FFFFFF"/>
        </w:rPr>
        <w:t>, and Noboru Yoshida. 2005. "Eco</w:t>
      </w:r>
      <w:r w:rsidRPr="004E0468">
        <w:rPr>
          <w:rFonts w:ascii="Cambria Math" w:hAnsi="Cambria Math" w:cs="Cambria Math"/>
          <w:color w:val="222222"/>
          <w:sz w:val="22"/>
          <w:szCs w:val="22"/>
          <w:shd w:val="clear" w:color="auto" w:fill="FFFFFF"/>
        </w:rPr>
        <w:t>‐</w:t>
      </w:r>
      <w:r w:rsidRPr="004E0468">
        <w:rPr>
          <w:color w:val="222222"/>
          <w:sz w:val="22"/>
          <w:szCs w:val="22"/>
          <w:shd w:val="clear" w:color="auto" w:fill="FFFFFF"/>
        </w:rPr>
        <w:t>efficiency of Advanced Loop</w:t>
      </w:r>
      <w:r w:rsidRPr="004E0468">
        <w:rPr>
          <w:rFonts w:ascii="Cambria Math" w:hAnsi="Cambria Math" w:cs="Cambria Math"/>
          <w:color w:val="222222"/>
          <w:sz w:val="22"/>
          <w:szCs w:val="22"/>
          <w:shd w:val="clear" w:color="auto" w:fill="FFFFFF"/>
        </w:rPr>
        <w:t>‐</w:t>
      </w:r>
      <w:r w:rsidRPr="004E0468">
        <w:rPr>
          <w:color w:val="222222"/>
          <w:sz w:val="22"/>
          <w:szCs w:val="22"/>
          <w:shd w:val="clear" w:color="auto" w:fill="FFFFFF"/>
        </w:rPr>
        <w:t>closing Systems for Vehicles and Household Appliances in Hyogo Eco</w:t>
      </w:r>
      <w:r w:rsidRPr="004E0468">
        <w:rPr>
          <w:rFonts w:ascii="Cambria Math" w:hAnsi="Cambria Math" w:cs="Cambria Math"/>
          <w:color w:val="222222"/>
          <w:sz w:val="22"/>
          <w:szCs w:val="22"/>
          <w:shd w:val="clear" w:color="auto" w:fill="FFFFFF"/>
        </w:rPr>
        <w:t>‐</w:t>
      </w:r>
      <w:r w:rsidRPr="004E0468">
        <w:rPr>
          <w:color w:val="222222"/>
          <w:sz w:val="22"/>
          <w:szCs w:val="22"/>
          <w:shd w:val="clear" w:color="auto" w:fill="FFFFFF"/>
        </w:rPr>
        <w:t>town."</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Industrial Ecology</w:t>
      </w:r>
      <w:r w:rsidRPr="004E0468">
        <w:rPr>
          <w:rStyle w:val="apple-converted-space"/>
          <w:color w:val="222222"/>
          <w:sz w:val="22"/>
          <w:szCs w:val="22"/>
          <w:shd w:val="clear" w:color="auto" w:fill="FFFFFF"/>
        </w:rPr>
        <w:t> </w:t>
      </w:r>
      <w:r w:rsidRPr="004E0468">
        <w:rPr>
          <w:color w:val="222222"/>
          <w:sz w:val="22"/>
          <w:szCs w:val="22"/>
          <w:shd w:val="clear" w:color="auto" w:fill="FFFFFF"/>
        </w:rPr>
        <w:t>9, no. 4: 205-221.</w:t>
      </w:r>
    </w:p>
    <w:p w14:paraId="6F0AB1B8"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Murray, Alan, Keith Skene, and Kathryn Haynes. 2015. "The circular economy: An interdisciplinary exploration of the concept and application in a global context."</w:t>
      </w:r>
      <w:r w:rsidRPr="004E0468">
        <w:rPr>
          <w:rStyle w:val="apple-converted-space"/>
          <w:color w:val="222222"/>
          <w:sz w:val="22"/>
          <w:szCs w:val="22"/>
          <w:shd w:val="clear" w:color="auto" w:fill="FFFFFF"/>
        </w:rPr>
        <w:t> </w:t>
      </w:r>
      <w:r w:rsidRPr="004E0468">
        <w:rPr>
          <w:i/>
          <w:iCs/>
          <w:color w:val="222222"/>
          <w:sz w:val="22"/>
          <w:szCs w:val="22"/>
          <w:shd w:val="clear" w:color="auto" w:fill="FFFFFF"/>
        </w:rPr>
        <w:t xml:space="preserve">Journal of Business </w:t>
      </w:r>
      <w:proofErr w:type="gramStart"/>
      <w:r w:rsidRPr="004E0468">
        <w:rPr>
          <w:i/>
          <w:iCs/>
          <w:color w:val="222222"/>
          <w:sz w:val="22"/>
          <w:szCs w:val="22"/>
          <w:shd w:val="clear" w:color="auto" w:fill="FFFFFF"/>
        </w:rPr>
        <w:t>Ethics</w:t>
      </w:r>
      <w:r w:rsidRPr="004E0468">
        <w:rPr>
          <w:rStyle w:val="apple-converted-space"/>
          <w:color w:val="222222"/>
          <w:sz w:val="22"/>
          <w:szCs w:val="22"/>
          <w:shd w:val="clear" w:color="auto" w:fill="FFFFFF"/>
        </w:rPr>
        <w:t> </w:t>
      </w:r>
      <w:r w:rsidRPr="004E0468">
        <w:rPr>
          <w:color w:val="222222"/>
          <w:sz w:val="22"/>
          <w:szCs w:val="22"/>
          <w:shd w:val="clear" w:color="auto" w:fill="FFFFFF"/>
        </w:rPr>
        <w:t>:</w:t>
      </w:r>
      <w:proofErr w:type="gramEnd"/>
      <w:r w:rsidRPr="004E0468">
        <w:rPr>
          <w:color w:val="222222"/>
          <w:sz w:val="22"/>
          <w:szCs w:val="22"/>
          <w:shd w:val="clear" w:color="auto" w:fill="FFFFFF"/>
        </w:rPr>
        <w:t xml:space="preserve"> 1-12.</w:t>
      </w:r>
    </w:p>
    <w:p w14:paraId="0850E1A0"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Naustdalslid</w:t>
      </w:r>
      <w:proofErr w:type="spellEnd"/>
      <w:r w:rsidRPr="004E0468">
        <w:rPr>
          <w:color w:val="222222"/>
          <w:sz w:val="22"/>
          <w:szCs w:val="22"/>
          <w:shd w:val="clear" w:color="auto" w:fill="FFFFFF"/>
        </w:rPr>
        <w:t>, Jon. 2014. "Circular economy in China–the environmental dimension of the harmonious society."</w:t>
      </w:r>
      <w:r w:rsidRPr="004E0468">
        <w:rPr>
          <w:rStyle w:val="apple-converted-space"/>
          <w:color w:val="222222"/>
          <w:sz w:val="22"/>
          <w:szCs w:val="22"/>
          <w:shd w:val="clear" w:color="auto" w:fill="FFFFFF"/>
        </w:rPr>
        <w:t> </w:t>
      </w:r>
      <w:r w:rsidRPr="004E0468">
        <w:rPr>
          <w:i/>
          <w:iCs/>
          <w:color w:val="222222"/>
          <w:sz w:val="22"/>
          <w:szCs w:val="22"/>
          <w:shd w:val="clear" w:color="auto" w:fill="FFFFFF"/>
        </w:rPr>
        <w:t>International Journal of Sustainable Development &amp; World Ecology</w:t>
      </w:r>
      <w:r w:rsidRPr="004E0468">
        <w:rPr>
          <w:rStyle w:val="apple-converted-space"/>
          <w:color w:val="222222"/>
          <w:sz w:val="22"/>
          <w:szCs w:val="22"/>
          <w:shd w:val="clear" w:color="auto" w:fill="FFFFFF"/>
        </w:rPr>
        <w:t> </w:t>
      </w:r>
      <w:r w:rsidRPr="004E0468">
        <w:rPr>
          <w:color w:val="222222"/>
          <w:sz w:val="22"/>
          <w:szCs w:val="22"/>
          <w:shd w:val="clear" w:color="auto" w:fill="FFFFFF"/>
        </w:rPr>
        <w:t>21, no. 4: 303-313.</w:t>
      </w:r>
    </w:p>
    <w:p w14:paraId="21EC5B51"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Neely, Andy, Ornella </w:t>
      </w:r>
      <w:proofErr w:type="spellStart"/>
      <w:r w:rsidRPr="004E0468">
        <w:rPr>
          <w:color w:val="222222"/>
          <w:sz w:val="22"/>
          <w:szCs w:val="22"/>
          <w:shd w:val="clear" w:color="auto" w:fill="FFFFFF"/>
        </w:rPr>
        <w:t>Benedettini</w:t>
      </w:r>
      <w:proofErr w:type="spellEnd"/>
      <w:r w:rsidRPr="004E0468">
        <w:rPr>
          <w:color w:val="222222"/>
          <w:sz w:val="22"/>
          <w:szCs w:val="22"/>
          <w:shd w:val="clear" w:color="auto" w:fill="FFFFFF"/>
        </w:rPr>
        <w:t xml:space="preserve">, and </w:t>
      </w:r>
      <w:proofErr w:type="spellStart"/>
      <w:r w:rsidRPr="004E0468">
        <w:rPr>
          <w:color w:val="222222"/>
          <w:sz w:val="22"/>
          <w:szCs w:val="22"/>
          <w:shd w:val="clear" w:color="auto" w:fill="FFFFFF"/>
        </w:rPr>
        <w:t>Ivanka</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Visnjic</w:t>
      </w:r>
      <w:proofErr w:type="spellEnd"/>
      <w:r w:rsidRPr="004E0468">
        <w:rPr>
          <w:color w:val="222222"/>
          <w:sz w:val="22"/>
          <w:szCs w:val="22"/>
          <w:shd w:val="clear" w:color="auto" w:fill="FFFFFF"/>
        </w:rPr>
        <w:t xml:space="preserve">. 2011. "The </w:t>
      </w:r>
      <w:proofErr w:type="spellStart"/>
      <w:r w:rsidRPr="004E0468">
        <w:rPr>
          <w:color w:val="222222"/>
          <w:sz w:val="22"/>
          <w:szCs w:val="22"/>
          <w:shd w:val="clear" w:color="auto" w:fill="FFFFFF"/>
        </w:rPr>
        <w:t>servitization</w:t>
      </w:r>
      <w:proofErr w:type="spellEnd"/>
      <w:r w:rsidRPr="004E0468">
        <w:rPr>
          <w:color w:val="222222"/>
          <w:sz w:val="22"/>
          <w:szCs w:val="22"/>
          <w:shd w:val="clear" w:color="auto" w:fill="FFFFFF"/>
        </w:rPr>
        <w:t xml:space="preserve"> of manufacturing: Further evidence." In</w:t>
      </w:r>
      <w:r w:rsidRPr="004E0468">
        <w:rPr>
          <w:rStyle w:val="apple-converted-space"/>
          <w:color w:val="222222"/>
          <w:sz w:val="22"/>
          <w:szCs w:val="22"/>
          <w:shd w:val="clear" w:color="auto" w:fill="FFFFFF"/>
        </w:rPr>
        <w:t> </w:t>
      </w:r>
      <w:r w:rsidRPr="004E0468">
        <w:rPr>
          <w:i/>
          <w:iCs/>
          <w:color w:val="222222"/>
          <w:sz w:val="22"/>
          <w:szCs w:val="22"/>
          <w:shd w:val="clear" w:color="auto" w:fill="FFFFFF"/>
        </w:rPr>
        <w:t>18th European operations management association conference</w:t>
      </w:r>
      <w:r w:rsidRPr="004E0468">
        <w:rPr>
          <w:color w:val="222222"/>
          <w:sz w:val="22"/>
          <w:szCs w:val="22"/>
          <w:shd w:val="clear" w:color="auto" w:fill="FFFFFF"/>
        </w:rPr>
        <w:t>, vol. 1.</w:t>
      </w:r>
    </w:p>
    <w:p w14:paraId="03780201"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Pagell</w:t>
      </w:r>
      <w:proofErr w:type="spellEnd"/>
      <w:r w:rsidRPr="004E0468">
        <w:rPr>
          <w:color w:val="222222"/>
          <w:sz w:val="22"/>
          <w:szCs w:val="22"/>
          <w:shd w:val="clear" w:color="auto" w:fill="FFFFFF"/>
        </w:rPr>
        <w:t>, Mark, and Anton Shevchenko. 2014. "Why research in sustainable supply chain management should have no future."</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supply chain management</w:t>
      </w:r>
      <w:r w:rsidRPr="004E0468">
        <w:rPr>
          <w:rStyle w:val="apple-converted-space"/>
          <w:color w:val="222222"/>
          <w:sz w:val="22"/>
          <w:szCs w:val="22"/>
          <w:shd w:val="clear" w:color="auto" w:fill="FFFFFF"/>
        </w:rPr>
        <w:t> </w:t>
      </w:r>
      <w:r w:rsidRPr="004E0468">
        <w:rPr>
          <w:color w:val="222222"/>
          <w:sz w:val="22"/>
          <w:szCs w:val="22"/>
          <w:shd w:val="clear" w:color="auto" w:fill="FFFFFF"/>
        </w:rPr>
        <w:t>50, no. 1: 44-55.</w:t>
      </w:r>
    </w:p>
    <w:p w14:paraId="2DF19018"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Papacharissi</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Zizi</w:t>
      </w:r>
      <w:proofErr w:type="spellEnd"/>
      <w:r w:rsidRPr="004E0468">
        <w:rPr>
          <w:color w:val="222222"/>
          <w:sz w:val="22"/>
          <w:szCs w:val="22"/>
          <w:shd w:val="clear" w:color="auto" w:fill="FFFFFF"/>
        </w:rPr>
        <w:t xml:space="preserve">. 2010. "The virtual geographies of social networks: a comparative analysis of Facebook, LinkedIn and </w:t>
      </w:r>
      <w:proofErr w:type="spellStart"/>
      <w:r w:rsidRPr="004E0468">
        <w:rPr>
          <w:color w:val="222222"/>
          <w:sz w:val="22"/>
          <w:szCs w:val="22"/>
          <w:shd w:val="clear" w:color="auto" w:fill="FFFFFF"/>
        </w:rPr>
        <w:t>ASmallWorld</w:t>
      </w:r>
      <w:proofErr w:type="spellEnd"/>
      <w:r w:rsidRPr="004E0468">
        <w:rPr>
          <w:color w:val="222222"/>
          <w:sz w:val="22"/>
          <w:szCs w:val="22"/>
          <w:shd w:val="clear" w:color="auto" w:fill="FFFFFF"/>
        </w:rPr>
        <w:t>."</w:t>
      </w:r>
      <w:r w:rsidRPr="004E0468">
        <w:rPr>
          <w:rStyle w:val="apple-converted-space"/>
          <w:color w:val="222222"/>
          <w:sz w:val="22"/>
          <w:szCs w:val="22"/>
          <w:shd w:val="clear" w:color="auto" w:fill="FFFFFF"/>
        </w:rPr>
        <w:t> </w:t>
      </w:r>
      <w:r w:rsidRPr="004E0468">
        <w:rPr>
          <w:i/>
          <w:iCs/>
          <w:color w:val="222222"/>
          <w:sz w:val="22"/>
          <w:szCs w:val="22"/>
          <w:shd w:val="clear" w:color="auto" w:fill="FFFFFF"/>
        </w:rPr>
        <w:t>New media &amp; society</w:t>
      </w:r>
      <w:r w:rsidRPr="004E0468">
        <w:rPr>
          <w:rStyle w:val="apple-converted-space"/>
          <w:color w:val="222222"/>
          <w:sz w:val="22"/>
          <w:szCs w:val="22"/>
          <w:shd w:val="clear" w:color="auto" w:fill="FFFFFF"/>
        </w:rPr>
        <w:t> </w:t>
      </w:r>
      <w:r w:rsidRPr="004E0468">
        <w:rPr>
          <w:color w:val="222222"/>
          <w:sz w:val="22"/>
          <w:szCs w:val="22"/>
          <w:shd w:val="clear" w:color="auto" w:fill="FFFFFF"/>
        </w:rPr>
        <w:t>11, no. 1-2 (2009): 199-220.</w:t>
      </w:r>
    </w:p>
    <w:p w14:paraId="394FAD26"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Pearce, David W., and R. Kerry Turner.</w:t>
      </w:r>
      <w:r w:rsidRPr="004E0468">
        <w:rPr>
          <w:rStyle w:val="apple-converted-space"/>
          <w:color w:val="222222"/>
          <w:sz w:val="22"/>
          <w:szCs w:val="22"/>
          <w:shd w:val="clear" w:color="auto" w:fill="FFFFFF"/>
        </w:rPr>
        <w:t> </w:t>
      </w:r>
      <w:r w:rsidRPr="004E0468">
        <w:rPr>
          <w:color w:val="222222"/>
          <w:sz w:val="22"/>
          <w:szCs w:val="22"/>
          <w:shd w:val="clear" w:color="auto" w:fill="FFFFFF"/>
        </w:rPr>
        <w:t xml:space="preserve">1990. </w:t>
      </w:r>
      <w:r w:rsidRPr="004E0468">
        <w:rPr>
          <w:i/>
          <w:iCs/>
          <w:color w:val="222222"/>
          <w:sz w:val="22"/>
          <w:szCs w:val="22"/>
          <w:shd w:val="clear" w:color="auto" w:fill="FFFFFF"/>
        </w:rPr>
        <w:t>Economics of natural resources and the environment</w:t>
      </w:r>
      <w:r w:rsidRPr="004E0468">
        <w:rPr>
          <w:color w:val="222222"/>
          <w:sz w:val="22"/>
          <w:szCs w:val="22"/>
          <w:shd w:val="clear" w:color="auto" w:fill="FFFFFF"/>
        </w:rPr>
        <w:t>. JHU Press.</w:t>
      </w:r>
    </w:p>
    <w:p w14:paraId="40B26CA9"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Pero, Margherita, Nizar </w:t>
      </w:r>
      <w:proofErr w:type="spellStart"/>
      <w:r w:rsidRPr="004E0468">
        <w:rPr>
          <w:color w:val="222222"/>
          <w:sz w:val="22"/>
          <w:szCs w:val="22"/>
          <w:shd w:val="clear" w:color="auto" w:fill="FFFFFF"/>
        </w:rPr>
        <w:t>Abdelkafi</w:t>
      </w:r>
      <w:proofErr w:type="spellEnd"/>
      <w:r w:rsidRPr="004E0468">
        <w:rPr>
          <w:color w:val="222222"/>
          <w:sz w:val="22"/>
          <w:szCs w:val="22"/>
          <w:shd w:val="clear" w:color="auto" w:fill="FFFFFF"/>
        </w:rPr>
        <w:t xml:space="preserve">, Andrea </w:t>
      </w:r>
      <w:proofErr w:type="spellStart"/>
      <w:r w:rsidRPr="004E0468">
        <w:rPr>
          <w:color w:val="222222"/>
          <w:sz w:val="22"/>
          <w:szCs w:val="22"/>
          <w:shd w:val="clear" w:color="auto" w:fill="FFFFFF"/>
        </w:rPr>
        <w:t>Sianesi</w:t>
      </w:r>
      <w:proofErr w:type="spellEnd"/>
      <w:r w:rsidRPr="004E0468">
        <w:rPr>
          <w:color w:val="222222"/>
          <w:sz w:val="22"/>
          <w:szCs w:val="22"/>
          <w:shd w:val="clear" w:color="auto" w:fill="FFFFFF"/>
        </w:rPr>
        <w:t xml:space="preserve">, and Thorsten </w:t>
      </w:r>
      <w:proofErr w:type="spellStart"/>
      <w:r w:rsidRPr="004E0468">
        <w:rPr>
          <w:color w:val="222222"/>
          <w:sz w:val="22"/>
          <w:szCs w:val="22"/>
          <w:shd w:val="clear" w:color="auto" w:fill="FFFFFF"/>
        </w:rPr>
        <w:t>Blecker</w:t>
      </w:r>
      <w:proofErr w:type="spellEnd"/>
      <w:r w:rsidRPr="004E0468">
        <w:rPr>
          <w:color w:val="222222"/>
          <w:sz w:val="22"/>
          <w:szCs w:val="22"/>
          <w:shd w:val="clear" w:color="auto" w:fill="FFFFFF"/>
        </w:rPr>
        <w:t>. 2010. "A framework for the alignment of new product development and supply chains."</w:t>
      </w:r>
      <w:r w:rsidRPr="004E0468">
        <w:rPr>
          <w:rStyle w:val="apple-converted-space"/>
          <w:color w:val="222222"/>
          <w:sz w:val="22"/>
          <w:szCs w:val="22"/>
          <w:shd w:val="clear" w:color="auto" w:fill="FFFFFF"/>
        </w:rPr>
        <w:t> </w:t>
      </w:r>
      <w:r w:rsidRPr="004E0468">
        <w:rPr>
          <w:i/>
          <w:iCs/>
          <w:color w:val="222222"/>
          <w:sz w:val="22"/>
          <w:szCs w:val="22"/>
          <w:shd w:val="clear" w:color="auto" w:fill="FFFFFF"/>
        </w:rPr>
        <w:t>Supply Chain Management: An International Journal</w:t>
      </w:r>
      <w:r w:rsidRPr="004E0468">
        <w:rPr>
          <w:rStyle w:val="apple-converted-space"/>
          <w:color w:val="222222"/>
          <w:sz w:val="22"/>
          <w:szCs w:val="22"/>
          <w:shd w:val="clear" w:color="auto" w:fill="FFFFFF"/>
        </w:rPr>
        <w:t> </w:t>
      </w:r>
      <w:r w:rsidRPr="004E0468">
        <w:rPr>
          <w:color w:val="222222"/>
          <w:sz w:val="22"/>
          <w:szCs w:val="22"/>
          <w:shd w:val="clear" w:color="auto" w:fill="FFFFFF"/>
        </w:rPr>
        <w:t>15, no. 2: 115-128.</w:t>
      </w:r>
    </w:p>
    <w:p w14:paraId="3DBCA5BA"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Robson, C. 2011. "Real world research 3 </w:t>
      </w:r>
      <w:proofErr w:type="spellStart"/>
      <w:r w:rsidRPr="004E0468">
        <w:rPr>
          <w:color w:val="222222"/>
          <w:sz w:val="22"/>
          <w:szCs w:val="22"/>
          <w:shd w:val="clear" w:color="auto" w:fill="FFFFFF"/>
        </w:rPr>
        <w:t>rd</w:t>
      </w:r>
      <w:proofErr w:type="spellEnd"/>
      <w:r w:rsidRPr="004E0468">
        <w:rPr>
          <w:color w:val="222222"/>
          <w:sz w:val="22"/>
          <w:szCs w:val="22"/>
          <w:shd w:val="clear" w:color="auto" w:fill="FFFFFF"/>
        </w:rPr>
        <w:t xml:space="preserve"> Ed."</w:t>
      </w:r>
      <w:r w:rsidRPr="004E0468">
        <w:rPr>
          <w:rStyle w:val="apple-converted-space"/>
          <w:color w:val="222222"/>
          <w:sz w:val="22"/>
          <w:szCs w:val="22"/>
          <w:shd w:val="clear" w:color="auto" w:fill="FFFFFF"/>
        </w:rPr>
        <w:t> </w:t>
      </w:r>
      <w:r w:rsidRPr="004E0468">
        <w:rPr>
          <w:i/>
          <w:iCs/>
          <w:color w:val="222222"/>
          <w:sz w:val="22"/>
          <w:szCs w:val="22"/>
          <w:shd w:val="clear" w:color="auto" w:fill="FFFFFF"/>
        </w:rPr>
        <w:t>UK: Wiley</w:t>
      </w:r>
      <w:r w:rsidRPr="004E0468">
        <w:rPr>
          <w:color w:val="222222"/>
          <w:sz w:val="22"/>
          <w:szCs w:val="22"/>
          <w:shd w:val="clear" w:color="auto" w:fill="FFFFFF"/>
        </w:rPr>
        <w:t>.</w:t>
      </w:r>
    </w:p>
    <w:p w14:paraId="092EA086"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Sarkis</w:t>
      </w:r>
      <w:proofErr w:type="spellEnd"/>
      <w:r w:rsidRPr="004E0468">
        <w:rPr>
          <w:color w:val="222222"/>
          <w:sz w:val="22"/>
          <w:szCs w:val="22"/>
          <w:shd w:val="clear" w:color="auto" w:fill="FFFFFF"/>
        </w:rPr>
        <w:t xml:space="preserve">, Joseph, and </w:t>
      </w:r>
      <w:proofErr w:type="spellStart"/>
      <w:r w:rsidRPr="004E0468">
        <w:rPr>
          <w:color w:val="222222"/>
          <w:sz w:val="22"/>
          <w:szCs w:val="22"/>
          <w:shd w:val="clear" w:color="auto" w:fill="FFFFFF"/>
        </w:rPr>
        <w:t>Hanmin</w:t>
      </w:r>
      <w:proofErr w:type="spellEnd"/>
      <w:r w:rsidRPr="004E0468">
        <w:rPr>
          <w:color w:val="222222"/>
          <w:sz w:val="22"/>
          <w:szCs w:val="22"/>
          <w:shd w:val="clear" w:color="auto" w:fill="FFFFFF"/>
        </w:rPr>
        <w:t xml:space="preserve"> Zhu. 2008. "Information technology and systems in China's circular economy: Implications for sustainability."</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Systems and Information Technology</w:t>
      </w:r>
      <w:r w:rsidRPr="004E0468">
        <w:rPr>
          <w:rStyle w:val="apple-converted-space"/>
          <w:color w:val="222222"/>
          <w:sz w:val="22"/>
          <w:szCs w:val="22"/>
          <w:shd w:val="clear" w:color="auto" w:fill="FFFFFF"/>
        </w:rPr>
        <w:t> </w:t>
      </w:r>
      <w:r w:rsidRPr="004E0468">
        <w:rPr>
          <w:color w:val="222222"/>
          <w:sz w:val="22"/>
          <w:szCs w:val="22"/>
          <w:shd w:val="clear" w:color="auto" w:fill="FFFFFF"/>
        </w:rPr>
        <w:t>10, no. 3: 202-217.</w:t>
      </w:r>
    </w:p>
    <w:p w14:paraId="545044BF"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lastRenderedPageBreak/>
        <w:t>Skipworth</w:t>
      </w:r>
      <w:proofErr w:type="spellEnd"/>
      <w:r w:rsidRPr="004E0468">
        <w:rPr>
          <w:color w:val="222222"/>
          <w:sz w:val="22"/>
          <w:szCs w:val="22"/>
          <w:shd w:val="clear" w:color="auto" w:fill="FFFFFF"/>
        </w:rPr>
        <w:t xml:space="preserve">, Heather, Janet </w:t>
      </w:r>
      <w:proofErr w:type="spellStart"/>
      <w:r w:rsidRPr="004E0468">
        <w:rPr>
          <w:color w:val="222222"/>
          <w:sz w:val="22"/>
          <w:szCs w:val="22"/>
          <w:shd w:val="clear" w:color="auto" w:fill="FFFFFF"/>
        </w:rPr>
        <w:t>Godsell</w:t>
      </w:r>
      <w:proofErr w:type="spellEnd"/>
      <w:r w:rsidRPr="004E0468">
        <w:rPr>
          <w:color w:val="222222"/>
          <w:sz w:val="22"/>
          <w:szCs w:val="22"/>
          <w:shd w:val="clear" w:color="auto" w:fill="FFFFFF"/>
        </w:rPr>
        <w:t xml:space="preserve">, Chee Yew Wong, </w:t>
      </w:r>
      <w:proofErr w:type="spellStart"/>
      <w:r w:rsidRPr="004E0468">
        <w:rPr>
          <w:color w:val="222222"/>
          <w:sz w:val="22"/>
          <w:szCs w:val="22"/>
          <w:shd w:val="clear" w:color="auto" w:fill="FFFFFF"/>
        </w:rPr>
        <w:t>Soroosh</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Saghiri</w:t>
      </w:r>
      <w:proofErr w:type="spellEnd"/>
      <w:r w:rsidRPr="004E0468">
        <w:rPr>
          <w:color w:val="222222"/>
          <w:sz w:val="22"/>
          <w:szCs w:val="22"/>
          <w:shd w:val="clear" w:color="auto" w:fill="FFFFFF"/>
        </w:rPr>
        <w:t>, and Denyse Julien. 2015. "Supply chain alignment for improved business performance: an empirical study."</w:t>
      </w:r>
      <w:r w:rsidRPr="004E0468">
        <w:rPr>
          <w:rStyle w:val="apple-converted-space"/>
          <w:color w:val="222222"/>
          <w:sz w:val="22"/>
          <w:szCs w:val="22"/>
          <w:shd w:val="clear" w:color="auto" w:fill="FFFFFF"/>
        </w:rPr>
        <w:t> </w:t>
      </w:r>
      <w:r w:rsidRPr="004E0468">
        <w:rPr>
          <w:i/>
          <w:iCs/>
          <w:color w:val="222222"/>
          <w:sz w:val="22"/>
          <w:szCs w:val="22"/>
          <w:shd w:val="clear" w:color="auto" w:fill="FFFFFF"/>
        </w:rPr>
        <w:t>Supply Chain Management: An International Journal</w:t>
      </w:r>
      <w:r w:rsidRPr="004E0468">
        <w:rPr>
          <w:rStyle w:val="apple-converted-space"/>
          <w:color w:val="222222"/>
          <w:sz w:val="22"/>
          <w:szCs w:val="22"/>
          <w:shd w:val="clear" w:color="auto" w:fill="FFFFFF"/>
        </w:rPr>
        <w:t> </w:t>
      </w:r>
      <w:r w:rsidRPr="004E0468">
        <w:rPr>
          <w:color w:val="222222"/>
          <w:sz w:val="22"/>
          <w:szCs w:val="22"/>
          <w:shd w:val="clear" w:color="auto" w:fill="FFFFFF"/>
        </w:rPr>
        <w:t>20, no. 5: 511-533.</w:t>
      </w:r>
    </w:p>
    <w:p w14:paraId="54AEA0B6"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Vachon</w:t>
      </w:r>
      <w:proofErr w:type="spellEnd"/>
      <w:r w:rsidRPr="004E0468">
        <w:rPr>
          <w:color w:val="222222"/>
          <w:sz w:val="22"/>
          <w:szCs w:val="22"/>
          <w:shd w:val="clear" w:color="auto" w:fill="FFFFFF"/>
        </w:rPr>
        <w:t>, Stephan, and Robert D. Klassen. 2006. "Extending green practices across the supply chain: the impact of upstream and downstream integration."</w:t>
      </w:r>
      <w:r w:rsidRPr="004E0468">
        <w:rPr>
          <w:rStyle w:val="apple-converted-space"/>
          <w:color w:val="222222"/>
          <w:sz w:val="22"/>
          <w:szCs w:val="22"/>
          <w:shd w:val="clear" w:color="auto" w:fill="FFFFFF"/>
        </w:rPr>
        <w:t> </w:t>
      </w:r>
      <w:r w:rsidRPr="004E0468">
        <w:rPr>
          <w:i/>
          <w:iCs/>
          <w:color w:val="222222"/>
          <w:sz w:val="22"/>
          <w:szCs w:val="22"/>
          <w:shd w:val="clear" w:color="auto" w:fill="FFFFFF"/>
        </w:rPr>
        <w:t>International Journal of Operations &amp; Production Management</w:t>
      </w:r>
      <w:r w:rsidRPr="004E0468">
        <w:rPr>
          <w:rStyle w:val="apple-converted-space"/>
          <w:color w:val="222222"/>
          <w:sz w:val="22"/>
          <w:szCs w:val="22"/>
          <w:shd w:val="clear" w:color="auto" w:fill="FFFFFF"/>
        </w:rPr>
        <w:t> </w:t>
      </w:r>
      <w:r w:rsidRPr="004E0468">
        <w:rPr>
          <w:color w:val="222222"/>
          <w:sz w:val="22"/>
          <w:szCs w:val="22"/>
          <w:shd w:val="clear" w:color="auto" w:fill="FFFFFF"/>
        </w:rPr>
        <w:t>26, no. 7: 795-821.</w:t>
      </w:r>
    </w:p>
    <w:p w14:paraId="4A585490"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Van Hoek, </w:t>
      </w:r>
      <w:proofErr w:type="spellStart"/>
      <w:r w:rsidRPr="004E0468">
        <w:rPr>
          <w:color w:val="222222"/>
          <w:sz w:val="22"/>
          <w:szCs w:val="22"/>
          <w:shd w:val="clear" w:color="auto" w:fill="FFFFFF"/>
        </w:rPr>
        <w:t>Remko</w:t>
      </w:r>
      <w:proofErr w:type="spellEnd"/>
      <w:r w:rsidRPr="004E0468">
        <w:rPr>
          <w:color w:val="222222"/>
          <w:sz w:val="22"/>
          <w:szCs w:val="22"/>
          <w:shd w:val="clear" w:color="auto" w:fill="FFFFFF"/>
        </w:rPr>
        <w:t>, and Paul Chapman. 2007. "How to move supply chain beyond cleaning up after new product development."</w:t>
      </w:r>
      <w:r w:rsidRPr="004E0468">
        <w:rPr>
          <w:rStyle w:val="apple-converted-space"/>
          <w:color w:val="222222"/>
          <w:sz w:val="22"/>
          <w:szCs w:val="22"/>
          <w:shd w:val="clear" w:color="auto" w:fill="FFFFFF"/>
        </w:rPr>
        <w:t> </w:t>
      </w:r>
      <w:r w:rsidRPr="004E0468">
        <w:rPr>
          <w:i/>
          <w:iCs/>
          <w:color w:val="222222"/>
          <w:sz w:val="22"/>
          <w:szCs w:val="22"/>
          <w:shd w:val="clear" w:color="auto" w:fill="FFFFFF"/>
        </w:rPr>
        <w:t>Supply Chain Management: An International Journal</w:t>
      </w:r>
      <w:r w:rsidRPr="004E0468">
        <w:rPr>
          <w:rStyle w:val="apple-converted-space"/>
          <w:color w:val="222222"/>
          <w:sz w:val="22"/>
          <w:szCs w:val="22"/>
          <w:shd w:val="clear" w:color="auto" w:fill="FFFFFF"/>
        </w:rPr>
        <w:t> </w:t>
      </w:r>
      <w:r w:rsidRPr="004E0468">
        <w:rPr>
          <w:color w:val="222222"/>
          <w:sz w:val="22"/>
          <w:szCs w:val="22"/>
          <w:shd w:val="clear" w:color="auto" w:fill="FFFFFF"/>
        </w:rPr>
        <w:t>12, no. 4: 239-244.</w:t>
      </w:r>
    </w:p>
    <w:p w14:paraId="39B0E81D"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Vieira, </w:t>
      </w:r>
      <w:proofErr w:type="spellStart"/>
      <w:r w:rsidRPr="004E0468">
        <w:rPr>
          <w:color w:val="222222"/>
          <w:sz w:val="22"/>
          <w:szCs w:val="22"/>
          <w:shd w:val="clear" w:color="auto" w:fill="FFFFFF"/>
        </w:rPr>
        <w:t>Letícia</w:t>
      </w:r>
      <w:proofErr w:type="spellEnd"/>
      <w:r w:rsidRPr="004E0468">
        <w:rPr>
          <w:color w:val="222222"/>
          <w:sz w:val="22"/>
          <w:szCs w:val="22"/>
          <w:shd w:val="clear" w:color="auto" w:fill="FFFFFF"/>
        </w:rPr>
        <w:t xml:space="preserve"> Canal, and Fernando </w:t>
      </w:r>
      <w:proofErr w:type="spellStart"/>
      <w:r w:rsidRPr="004E0468">
        <w:rPr>
          <w:color w:val="222222"/>
          <w:sz w:val="22"/>
          <w:szCs w:val="22"/>
          <w:shd w:val="clear" w:color="auto" w:fill="FFFFFF"/>
        </w:rPr>
        <w:t>Gonçalves</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Amaral</w:t>
      </w:r>
      <w:proofErr w:type="spellEnd"/>
      <w:r w:rsidRPr="004E0468">
        <w:rPr>
          <w:color w:val="222222"/>
          <w:sz w:val="22"/>
          <w:szCs w:val="22"/>
          <w:shd w:val="clear" w:color="auto" w:fill="FFFFFF"/>
        </w:rPr>
        <w:t>. 2016. "Barriers and strategies applying Cleaner Production: a systematic review."</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Cleaner Production</w:t>
      </w:r>
      <w:r w:rsidRPr="004E0468">
        <w:rPr>
          <w:rStyle w:val="apple-converted-space"/>
          <w:color w:val="222222"/>
          <w:sz w:val="22"/>
          <w:szCs w:val="22"/>
          <w:shd w:val="clear" w:color="auto" w:fill="FFFFFF"/>
        </w:rPr>
        <w:t> </w:t>
      </w:r>
      <w:r w:rsidRPr="004E0468">
        <w:rPr>
          <w:color w:val="222222"/>
          <w:sz w:val="22"/>
          <w:szCs w:val="22"/>
          <w:shd w:val="clear" w:color="auto" w:fill="FFFFFF"/>
        </w:rPr>
        <w:t>113: 5-16.</w:t>
      </w:r>
    </w:p>
    <w:p w14:paraId="52C5652B"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White, Gareth RT, </w:t>
      </w:r>
      <w:proofErr w:type="spellStart"/>
      <w:r w:rsidRPr="004E0468">
        <w:rPr>
          <w:color w:val="222222"/>
          <w:sz w:val="22"/>
          <w:szCs w:val="22"/>
          <w:shd w:val="clear" w:color="auto" w:fill="FFFFFF"/>
        </w:rPr>
        <w:t>Xiaojun</w:t>
      </w:r>
      <w:proofErr w:type="spellEnd"/>
      <w:r w:rsidRPr="004E0468">
        <w:rPr>
          <w:color w:val="222222"/>
          <w:sz w:val="22"/>
          <w:szCs w:val="22"/>
          <w:shd w:val="clear" w:color="auto" w:fill="FFFFFF"/>
        </w:rPr>
        <w:t xml:space="preserve"> Wang, and Dong Li. 2015. "Inter-organisational green packaging design: a case study of influencing factors and constraints in the automotive supply chain."</w:t>
      </w:r>
      <w:r w:rsidRPr="004E0468">
        <w:rPr>
          <w:rStyle w:val="apple-converted-space"/>
          <w:color w:val="222222"/>
          <w:sz w:val="22"/>
          <w:szCs w:val="22"/>
          <w:shd w:val="clear" w:color="auto" w:fill="FFFFFF"/>
        </w:rPr>
        <w:t> </w:t>
      </w:r>
      <w:r w:rsidRPr="004E0468">
        <w:rPr>
          <w:i/>
          <w:iCs/>
          <w:color w:val="222222"/>
          <w:sz w:val="22"/>
          <w:szCs w:val="22"/>
          <w:shd w:val="clear" w:color="auto" w:fill="FFFFFF"/>
        </w:rPr>
        <w:t>International Journal of Production Research</w:t>
      </w:r>
      <w:r w:rsidRPr="004E0468">
        <w:rPr>
          <w:rStyle w:val="apple-converted-space"/>
          <w:color w:val="222222"/>
          <w:sz w:val="22"/>
          <w:szCs w:val="22"/>
          <w:shd w:val="clear" w:color="auto" w:fill="FFFFFF"/>
        </w:rPr>
        <w:t> </w:t>
      </w:r>
      <w:r w:rsidRPr="004E0468">
        <w:rPr>
          <w:color w:val="222222"/>
          <w:sz w:val="22"/>
          <w:szCs w:val="22"/>
          <w:shd w:val="clear" w:color="auto" w:fill="FFFFFF"/>
        </w:rPr>
        <w:t>53, no. 21: 6551-6566.</w:t>
      </w:r>
    </w:p>
    <w:p w14:paraId="79C70B25"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Wong, Chee, Heather </w:t>
      </w:r>
      <w:proofErr w:type="spellStart"/>
      <w:r w:rsidRPr="004E0468">
        <w:rPr>
          <w:color w:val="222222"/>
          <w:sz w:val="22"/>
          <w:szCs w:val="22"/>
          <w:shd w:val="clear" w:color="auto" w:fill="FFFFFF"/>
        </w:rPr>
        <w:t>Skipworth</w:t>
      </w:r>
      <w:proofErr w:type="spellEnd"/>
      <w:r w:rsidRPr="004E0468">
        <w:rPr>
          <w:color w:val="222222"/>
          <w:sz w:val="22"/>
          <w:szCs w:val="22"/>
          <w:shd w:val="clear" w:color="auto" w:fill="FFFFFF"/>
        </w:rPr>
        <w:t xml:space="preserve">, Janet </w:t>
      </w:r>
      <w:proofErr w:type="spellStart"/>
      <w:r w:rsidRPr="004E0468">
        <w:rPr>
          <w:color w:val="222222"/>
          <w:sz w:val="22"/>
          <w:szCs w:val="22"/>
          <w:shd w:val="clear" w:color="auto" w:fill="FFFFFF"/>
        </w:rPr>
        <w:t>Godsell</w:t>
      </w:r>
      <w:proofErr w:type="spellEnd"/>
      <w:r w:rsidRPr="004E0468">
        <w:rPr>
          <w:color w:val="222222"/>
          <w:sz w:val="22"/>
          <w:szCs w:val="22"/>
          <w:shd w:val="clear" w:color="auto" w:fill="FFFFFF"/>
        </w:rPr>
        <w:t xml:space="preserve">, and </w:t>
      </w:r>
      <w:proofErr w:type="spellStart"/>
      <w:r w:rsidRPr="004E0468">
        <w:rPr>
          <w:color w:val="222222"/>
          <w:sz w:val="22"/>
          <w:szCs w:val="22"/>
          <w:shd w:val="clear" w:color="auto" w:fill="FFFFFF"/>
        </w:rPr>
        <w:t>Nemile</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Achimugu</w:t>
      </w:r>
      <w:proofErr w:type="spellEnd"/>
      <w:r w:rsidRPr="004E0468">
        <w:rPr>
          <w:color w:val="222222"/>
          <w:sz w:val="22"/>
          <w:szCs w:val="22"/>
          <w:shd w:val="clear" w:color="auto" w:fill="FFFFFF"/>
        </w:rPr>
        <w:t>. 2012. "Towards a theory of supply chain alignment enablers: a systematic literature review."</w:t>
      </w:r>
      <w:r w:rsidRPr="004E0468">
        <w:rPr>
          <w:rStyle w:val="apple-converted-space"/>
          <w:color w:val="222222"/>
          <w:sz w:val="22"/>
          <w:szCs w:val="22"/>
          <w:shd w:val="clear" w:color="auto" w:fill="FFFFFF"/>
        </w:rPr>
        <w:t> </w:t>
      </w:r>
      <w:r w:rsidRPr="004E0468">
        <w:rPr>
          <w:i/>
          <w:iCs/>
          <w:color w:val="222222"/>
          <w:sz w:val="22"/>
          <w:szCs w:val="22"/>
          <w:shd w:val="clear" w:color="auto" w:fill="FFFFFF"/>
        </w:rPr>
        <w:t>Supply Chain Management: An International Journal</w:t>
      </w:r>
      <w:r w:rsidRPr="004E0468">
        <w:rPr>
          <w:rStyle w:val="apple-converted-space"/>
          <w:color w:val="222222"/>
          <w:sz w:val="22"/>
          <w:szCs w:val="22"/>
          <w:shd w:val="clear" w:color="auto" w:fill="FFFFFF"/>
        </w:rPr>
        <w:t> </w:t>
      </w:r>
      <w:r w:rsidRPr="004E0468">
        <w:rPr>
          <w:color w:val="222222"/>
          <w:sz w:val="22"/>
          <w:szCs w:val="22"/>
          <w:shd w:val="clear" w:color="auto" w:fill="FFFFFF"/>
        </w:rPr>
        <w:t>17, no. 4: 419-437.</w:t>
      </w:r>
    </w:p>
    <w:p w14:paraId="64037330"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Xue</w:t>
      </w:r>
      <w:proofErr w:type="spellEnd"/>
      <w:r w:rsidRPr="004E0468">
        <w:rPr>
          <w:color w:val="222222"/>
          <w:sz w:val="22"/>
          <w:szCs w:val="22"/>
          <w:shd w:val="clear" w:color="auto" w:fill="FFFFFF"/>
        </w:rPr>
        <w:t>, Bing, Xing-</w:t>
      </w:r>
      <w:proofErr w:type="spellStart"/>
      <w:r w:rsidRPr="004E0468">
        <w:rPr>
          <w:color w:val="222222"/>
          <w:sz w:val="22"/>
          <w:szCs w:val="22"/>
          <w:shd w:val="clear" w:color="auto" w:fill="FFFFFF"/>
        </w:rPr>
        <w:t>peng</w:t>
      </w:r>
      <w:proofErr w:type="spellEnd"/>
      <w:r w:rsidRPr="004E0468">
        <w:rPr>
          <w:color w:val="222222"/>
          <w:sz w:val="22"/>
          <w:szCs w:val="22"/>
          <w:shd w:val="clear" w:color="auto" w:fill="FFFFFF"/>
        </w:rPr>
        <w:t xml:space="preserve"> Chen, Yong </w:t>
      </w:r>
      <w:proofErr w:type="spellStart"/>
      <w:r w:rsidRPr="004E0468">
        <w:rPr>
          <w:color w:val="222222"/>
          <w:sz w:val="22"/>
          <w:szCs w:val="22"/>
          <w:shd w:val="clear" w:color="auto" w:fill="FFFFFF"/>
        </w:rPr>
        <w:t>Geng</w:t>
      </w:r>
      <w:proofErr w:type="spellEnd"/>
      <w:r w:rsidRPr="004E0468">
        <w:rPr>
          <w:color w:val="222222"/>
          <w:sz w:val="22"/>
          <w:szCs w:val="22"/>
          <w:shd w:val="clear" w:color="auto" w:fill="FFFFFF"/>
        </w:rPr>
        <w:t>, Xiao-</w:t>
      </w:r>
      <w:proofErr w:type="spellStart"/>
      <w:r w:rsidRPr="004E0468">
        <w:rPr>
          <w:color w:val="222222"/>
          <w:sz w:val="22"/>
          <w:szCs w:val="22"/>
          <w:shd w:val="clear" w:color="auto" w:fill="FFFFFF"/>
        </w:rPr>
        <w:t>jia</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Guo</w:t>
      </w:r>
      <w:proofErr w:type="spellEnd"/>
      <w:r w:rsidRPr="004E0468">
        <w:rPr>
          <w:color w:val="222222"/>
          <w:sz w:val="22"/>
          <w:szCs w:val="22"/>
          <w:shd w:val="clear" w:color="auto" w:fill="FFFFFF"/>
        </w:rPr>
        <w:t>, Cheng-</w:t>
      </w:r>
      <w:proofErr w:type="spellStart"/>
      <w:r w:rsidRPr="004E0468">
        <w:rPr>
          <w:color w:val="222222"/>
          <w:sz w:val="22"/>
          <w:szCs w:val="22"/>
          <w:shd w:val="clear" w:color="auto" w:fill="FFFFFF"/>
        </w:rPr>
        <w:t>peng</w:t>
      </w:r>
      <w:proofErr w:type="spellEnd"/>
      <w:r w:rsidRPr="004E0468">
        <w:rPr>
          <w:color w:val="222222"/>
          <w:sz w:val="22"/>
          <w:szCs w:val="22"/>
          <w:shd w:val="clear" w:color="auto" w:fill="FFFFFF"/>
        </w:rPr>
        <w:t xml:space="preserve"> Lu, </w:t>
      </w:r>
      <w:proofErr w:type="spellStart"/>
      <w:r w:rsidRPr="004E0468">
        <w:rPr>
          <w:color w:val="222222"/>
          <w:sz w:val="22"/>
          <w:szCs w:val="22"/>
          <w:shd w:val="clear" w:color="auto" w:fill="FFFFFF"/>
        </w:rPr>
        <w:t>Zi</w:t>
      </w:r>
      <w:proofErr w:type="spellEnd"/>
      <w:r w:rsidRPr="004E0468">
        <w:rPr>
          <w:color w:val="222222"/>
          <w:sz w:val="22"/>
          <w:szCs w:val="22"/>
          <w:shd w:val="clear" w:color="auto" w:fill="FFFFFF"/>
        </w:rPr>
        <w:t>-long Zhang, and Chen-</w:t>
      </w:r>
      <w:proofErr w:type="spellStart"/>
      <w:r w:rsidRPr="004E0468">
        <w:rPr>
          <w:color w:val="222222"/>
          <w:sz w:val="22"/>
          <w:szCs w:val="22"/>
          <w:shd w:val="clear" w:color="auto" w:fill="FFFFFF"/>
        </w:rPr>
        <w:t>yu</w:t>
      </w:r>
      <w:proofErr w:type="spellEnd"/>
      <w:r w:rsidRPr="004E0468">
        <w:rPr>
          <w:color w:val="222222"/>
          <w:sz w:val="22"/>
          <w:szCs w:val="22"/>
          <w:shd w:val="clear" w:color="auto" w:fill="FFFFFF"/>
        </w:rPr>
        <w:t xml:space="preserve"> Lu. 2010. "Survey of officials’ awareness on circular economy development in China: Based on municipal and county level."</w:t>
      </w:r>
      <w:r w:rsidRPr="004E0468">
        <w:rPr>
          <w:rStyle w:val="apple-converted-space"/>
          <w:color w:val="222222"/>
          <w:sz w:val="22"/>
          <w:szCs w:val="22"/>
          <w:shd w:val="clear" w:color="auto" w:fill="FFFFFF"/>
        </w:rPr>
        <w:t> </w:t>
      </w:r>
      <w:r w:rsidRPr="004E0468">
        <w:rPr>
          <w:i/>
          <w:iCs/>
          <w:color w:val="222222"/>
          <w:sz w:val="22"/>
          <w:szCs w:val="22"/>
          <w:shd w:val="clear" w:color="auto" w:fill="FFFFFF"/>
        </w:rPr>
        <w:t>Resources, Conservation and Recycling</w:t>
      </w:r>
      <w:r w:rsidRPr="004E0468">
        <w:rPr>
          <w:rStyle w:val="apple-converted-space"/>
          <w:color w:val="222222"/>
          <w:sz w:val="22"/>
          <w:szCs w:val="22"/>
          <w:shd w:val="clear" w:color="auto" w:fill="FFFFFF"/>
        </w:rPr>
        <w:t> </w:t>
      </w:r>
      <w:r w:rsidRPr="004E0468">
        <w:rPr>
          <w:color w:val="222222"/>
          <w:sz w:val="22"/>
          <w:szCs w:val="22"/>
          <w:shd w:val="clear" w:color="auto" w:fill="FFFFFF"/>
        </w:rPr>
        <w:t>54, no. 12: 1296-1302.</w:t>
      </w:r>
    </w:p>
    <w:p w14:paraId="7366F63D"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Ying, Jiang, and Zhou Li-jun. 2012. "Study on green supply chain management based on circular economy."</w:t>
      </w:r>
      <w:r w:rsidRPr="004E0468">
        <w:rPr>
          <w:rStyle w:val="apple-converted-space"/>
          <w:color w:val="222222"/>
          <w:sz w:val="22"/>
          <w:szCs w:val="22"/>
          <w:shd w:val="clear" w:color="auto" w:fill="FFFFFF"/>
        </w:rPr>
        <w:t> </w:t>
      </w:r>
      <w:r w:rsidRPr="004E0468">
        <w:rPr>
          <w:i/>
          <w:iCs/>
          <w:color w:val="222222"/>
          <w:sz w:val="22"/>
          <w:szCs w:val="22"/>
          <w:shd w:val="clear" w:color="auto" w:fill="FFFFFF"/>
        </w:rPr>
        <w:t>Physics Procedia</w:t>
      </w:r>
      <w:r w:rsidRPr="004E0468">
        <w:rPr>
          <w:rStyle w:val="apple-converted-space"/>
          <w:color w:val="222222"/>
          <w:sz w:val="22"/>
          <w:szCs w:val="22"/>
          <w:shd w:val="clear" w:color="auto" w:fill="FFFFFF"/>
        </w:rPr>
        <w:t> </w:t>
      </w:r>
      <w:r w:rsidRPr="004E0468">
        <w:rPr>
          <w:color w:val="222222"/>
          <w:sz w:val="22"/>
          <w:szCs w:val="22"/>
          <w:shd w:val="clear" w:color="auto" w:fill="FFFFFF"/>
        </w:rPr>
        <w:t>25: 1682-1688.</w:t>
      </w:r>
    </w:p>
    <w:p w14:paraId="50018163"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Yuan, </w:t>
      </w:r>
      <w:proofErr w:type="spellStart"/>
      <w:r w:rsidRPr="004E0468">
        <w:rPr>
          <w:color w:val="222222"/>
          <w:sz w:val="22"/>
          <w:szCs w:val="22"/>
          <w:shd w:val="clear" w:color="auto" w:fill="FFFFFF"/>
        </w:rPr>
        <w:t>Zengwei</w:t>
      </w:r>
      <w:proofErr w:type="spellEnd"/>
      <w:r w:rsidRPr="004E0468">
        <w:rPr>
          <w:color w:val="222222"/>
          <w:sz w:val="22"/>
          <w:szCs w:val="22"/>
          <w:shd w:val="clear" w:color="auto" w:fill="FFFFFF"/>
        </w:rPr>
        <w:t xml:space="preserve">, Jun Bi, and Yuichi </w:t>
      </w:r>
      <w:proofErr w:type="spellStart"/>
      <w:r w:rsidRPr="004E0468">
        <w:rPr>
          <w:color w:val="222222"/>
          <w:sz w:val="22"/>
          <w:szCs w:val="22"/>
          <w:shd w:val="clear" w:color="auto" w:fill="FFFFFF"/>
        </w:rPr>
        <w:t>Moriguichi</w:t>
      </w:r>
      <w:proofErr w:type="spellEnd"/>
      <w:r w:rsidRPr="004E0468">
        <w:rPr>
          <w:color w:val="222222"/>
          <w:sz w:val="22"/>
          <w:szCs w:val="22"/>
          <w:shd w:val="clear" w:color="auto" w:fill="FFFFFF"/>
        </w:rPr>
        <w:t>. 2006. "The circular economy: A new development strategy in China."</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Industrial Ecology</w:t>
      </w:r>
      <w:r w:rsidRPr="004E0468">
        <w:rPr>
          <w:rStyle w:val="apple-converted-space"/>
          <w:color w:val="222222"/>
          <w:sz w:val="22"/>
          <w:szCs w:val="22"/>
          <w:shd w:val="clear" w:color="auto" w:fill="FFFFFF"/>
        </w:rPr>
        <w:t> </w:t>
      </w:r>
      <w:r w:rsidRPr="004E0468">
        <w:rPr>
          <w:color w:val="222222"/>
          <w:sz w:val="22"/>
          <w:szCs w:val="22"/>
          <w:shd w:val="clear" w:color="auto" w:fill="FFFFFF"/>
        </w:rPr>
        <w:t>10, no. 1</w:t>
      </w:r>
      <w:r w:rsidRPr="004E0468">
        <w:rPr>
          <w:rFonts w:ascii="Cambria Math" w:hAnsi="Cambria Math" w:cs="Cambria Math"/>
          <w:color w:val="222222"/>
          <w:sz w:val="22"/>
          <w:szCs w:val="22"/>
          <w:shd w:val="clear" w:color="auto" w:fill="FFFFFF"/>
        </w:rPr>
        <w:t>‐</w:t>
      </w:r>
      <w:r w:rsidRPr="004E0468">
        <w:rPr>
          <w:color w:val="222222"/>
          <w:sz w:val="22"/>
          <w:szCs w:val="22"/>
          <w:shd w:val="clear" w:color="auto" w:fill="FFFFFF"/>
        </w:rPr>
        <w:t>2: 4-8.</w:t>
      </w:r>
    </w:p>
    <w:p w14:paraId="64CD9D49"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Zailani</w:t>
      </w:r>
      <w:proofErr w:type="spellEnd"/>
      <w:r w:rsidRPr="004E0468">
        <w:rPr>
          <w:color w:val="222222"/>
          <w:sz w:val="22"/>
          <w:szCs w:val="22"/>
          <w:shd w:val="clear" w:color="auto" w:fill="FFFFFF"/>
        </w:rPr>
        <w:t xml:space="preserve">, </w:t>
      </w:r>
      <w:proofErr w:type="spellStart"/>
      <w:r w:rsidRPr="004E0468">
        <w:rPr>
          <w:color w:val="222222"/>
          <w:sz w:val="22"/>
          <w:szCs w:val="22"/>
          <w:shd w:val="clear" w:color="auto" w:fill="FFFFFF"/>
        </w:rPr>
        <w:t>Suhaiza</w:t>
      </w:r>
      <w:proofErr w:type="spellEnd"/>
      <w:r w:rsidRPr="004E0468">
        <w:rPr>
          <w:color w:val="222222"/>
          <w:sz w:val="22"/>
          <w:szCs w:val="22"/>
          <w:shd w:val="clear" w:color="auto" w:fill="FFFFFF"/>
        </w:rPr>
        <w:t xml:space="preserve">, K. </w:t>
      </w:r>
      <w:proofErr w:type="spellStart"/>
      <w:r w:rsidRPr="004E0468">
        <w:rPr>
          <w:color w:val="222222"/>
          <w:sz w:val="22"/>
          <w:szCs w:val="22"/>
          <w:shd w:val="clear" w:color="auto" w:fill="FFFFFF"/>
        </w:rPr>
        <w:t>Jeyaraman</w:t>
      </w:r>
      <w:proofErr w:type="spellEnd"/>
      <w:r w:rsidRPr="004E0468">
        <w:rPr>
          <w:color w:val="222222"/>
          <w:sz w:val="22"/>
          <w:szCs w:val="22"/>
          <w:shd w:val="clear" w:color="auto" w:fill="FFFFFF"/>
        </w:rPr>
        <w:t xml:space="preserve">, G. </w:t>
      </w:r>
      <w:proofErr w:type="spellStart"/>
      <w:r w:rsidRPr="004E0468">
        <w:rPr>
          <w:color w:val="222222"/>
          <w:sz w:val="22"/>
          <w:szCs w:val="22"/>
          <w:shd w:val="clear" w:color="auto" w:fill="FFFFFF"/>
        </w:rPr>
        <w:t>Vengadasan</w:t>
      </w:r>
      <w:proofErr w:type="spellEnd"/>
      <w:r w:rsidRPr="004E0468">
        <w:rPr>
          <w:color w:val="222222"/>
          <w:sz w:val="22"/>
          <w:szCs w:val="22"/>
          <w:shd w:val="clear" w:color="auto" w:fill="FFFFFF"/>
        </w:rPr>
        <w:t xml:space="preserve">, and R. </w:t>
      </w:r>
      <w:proofErr w:type="spellStart"/>
      <w:r w:rsidRPr="004E0468">
        <w:rPr>
          <w:color w:val="222222"/>
          <w:sz w:val="22"/>
          <w:szCs w:val="22"/>
          <w:shd w:val="clear" w:color="auto" w:fill="FFFFFF"/>
        </w:rPr>
        <w:t>Premkumar</w:t>
      </w:r>
      <w:proofErr w:type="spellEnd"/>
      <w:r w:rsidRPr="004E0468">
        <w:rPr>
          <w:color w:val="222222"/>
          <w:sz w:val="22"/>
          <w:szCs w:val="22"/>
          <w:shd w:val="clear" w:color="auto" w:fill="FFFFFF"/>
        </w:rPr>
        <w:t>. 2012. "Sustainable supply chain management (SSCM) in Malaysia: A survey."</w:t>
      </w:r>
      <w:r w:rsidRPr="004E0468">
        <w:rPr>
          <w:rStyle w:val="apple-converted-space"/>
          <w:color w:val="222222"/>
          <w:sz w:val="22"/>
          <w:szCs w:val="22"/>
          <w:shd w:val="clear" w:color="auto" w:fill="FFFFFF"/>
        </w:rPr>
        <w:t> </w:t>
      </w:r>
      <w:r w:rsidRPr="004E0468">
        <w:rPr>
          <w:i/>
          <w:iCs/>
          <w:color w:val="222222"/>
          <w:sz w:val="22"/>
          <w:szCs w:val="22"/>
          <w:shd w:val="clear" w:color="auto" w:fill="FFFFFF"/>
        </w:rPr>
        <w:t>International Journal of Production Economics</w:t>
      </w:r>
      <w:r w:rsidRPr="004E0468">
        <w:rPr>
          <w:rStyle w:val="apple-converted-space"/>
          <w:color w:val="222222"/>
          <w:sz w:val="22"/>
          <w:szCs w:val="22"/>
          <w:shd w:val="clear" w:color="auto" w:fill="FFFFFF"/>
        </w:rPr>
        <w:t> </w:t>
      </w:r>
      <w:r w:rsidRPr="004E0468">
        <w:rPr>
          <w:color w:val="222222"/>
          <w:sz w:val="22"/>
          <w:szCs w:val="22"/>
          <w:shd w:val="clear" w:color="auto" w:fill="FFFFFF"/>
        </w:rPr>
        <w:t>140, no. 1: 330-340.</w:t>
      </w:r>
    </w:p>
    <w:p w14:paraId="14613091" w14:textId="155FD73F" w:rsidR="004E4E0D" w:rsidRPr="004E0468" w:rsidRDefault="00C70D72"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Zheng, </w:t>
      </w:r>
      <w:proofErr w:type="spellStart"/>
      <w:r w:rsidRPr="004E0468">
        <w:rPr>
          <w:color w:val="222222"/>
          <w:sz w:val="22"/>
          <w:szCs w:val="22"/>
          <w:shd w:val="clear" w:color="auto" w:fill="FFFFFF"/>
        </w:rPr>
        <w:t>Jiliang</w:t>
      </w:r>
      <w:proofErr w:type="spellEnd"/>
      <w:r w:rsidR="004E4E0D" w:rsidRPr="004E0468">
        <w:rPr>
          <w:color w:val="222222"/>
          <w:sz w:val="22"/>
          <w:szCs w:val="22"/>
          <w:shd w:val="clear" w:color="auto" w:fill="FFFFFF"/>
        </w:rPr>
        <w:t xml:space="preserve">, and </w:t>
      </w:r>
      <w:r w:rsidRPr="004E0468">
        <w:rPr>
          <w:color w:val="222222"/>
          <w:sz w:val="22"/>
          <w:szCs w:val="22"/>
          <w:shd w:val="clear" w:color="auto" w:fill="FFFFFF"/>
        </w:rPr>
        <w:t xml:space="preserve">Zheng </w:t>
      </w:r>
      <w:r w:rsidR="004E4E0D" w:rsidRPr="004E0468">
        <w:rPr>
          <w:color w:val="222222"/>
          <w:sz w:val="22"/>
          <w:szCs w:val="22"/>
          <w:shd w:val="clear" w:color="auto" w:fill="FFFFFF"/>
        </w:rPr>
        <w:t xml:space="preserve">Chen. 2011. "Comparison </w:t>
      </w:r>
      <w:proofErr w:type="gramStart"/>
      <w:r w:rsidR="004E4E0D" w:rsidRPr="004E0468">
        <w:rPr>
          <w:color w:val="222222"/>
          <w:sz w:val="22"/>
          <w:szCs w:val="22"/>
          <w:shd w:val="clear" w:color="auto" w:fill="FFFFFF"/>
        </w:rPr>
        <w:t>Between</w:t>
      </w:r>
      <w:proofErr w:type="gramEnd"/>
      <w:r w:rsidR="004E4E0D" w:rsidRPr="004E0468">
        <w:rPr>
          <w:color w:val="222222"/>
          <w:sz w:val="22"/>
          <w:szCs w:val="22"/>
          <w:shd w:val="clear" w:color="auto" w:fill="FFFFFF"/>
        </w:rPr>
        <w:t xml:space="preserve"> the Two End Circular Economy Index Systems of Manufacturing Industrial Chain to Form into a Unified System."</w:t>
      </w:r>
      <w:r w:rsidR="004E4E0D" w:rsidRPr="004E0468">
        <w:rPr>
          <w:rStyle w:val="apple-converted-space"/>
          <w:color w:val="222222"/>
          <w:sz w:val="22"/>
          <w:szCs w:val="22"/>
          <w:shd w:val="clear" w:color="auto" w:fill="FFFFFF"/>
        </w:rPr>
        <w:t> </w:t>
      </w:r>
      <w:r w:rsidR="004E4E0D" w:rsidRPr="004E0468">
        <w:rPr>
          <w:i/>
          <w:iCs/>
          <w:color w:val="222222"/>
          <w:sz w:val="22"/>
          <w:szCs w:val="22"/>
          <w:shd w:val="clear" w:color="auto" w:fill="FFFFFF"/>
        </w:rPr>
        <w:t>Management Science and Engineering</w:t>
      </w:r>
      <w:r w:rsidR="004E4E0D" w:rsidRPr="004E0468">
        <w:rPr>
          <w:rStyle w:val="apple-converted-space"/>
          <w:color w:val="222222"/>
          <w:sz w:val="22"/>
          <w:szCs w:val="22"/>
          <w:shd w:val="clear" w:color="auto" w:fill="FFFFFF"/>
        </w:rPr>
        <w:t> </w:t>
      </w:r>
      <w:r w:rsidR="004E4E0D" w:rsidRPr="004E0468">
        <w:rPr>
          <w:color w:val="222222"/>
          <w:sz w:val="22"/>
          <w:szCs w:val="22"/>
          <w:shd w:val="clear" w:color="auto" w:fill="FFFFFF"/>
        </w:rPr>
        <w:t>5, no. 3: 49.</w:t>
      </w:r>
    </w:p>
    <w:p w14:paraId="6F90D83B"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Zhijun</w:t>
      </w:r>
      <w:proofErr w:type="spellEnd"/>
      <w:r w:rsidRPr="004E0468">
        <w:rPr>
          <w:color w:val="222222"/>
          <w:sz w:val="22"/>
          <w:szCs w:val="22"/>
          <w:shd w:val="clear" w:color="auto" w:fill="FFFFFF"/>
        </w:rPr>
        <w:t>, Feng, and Yan Nailing. 2007. "Putting a circular economy into practice in China."</w:t>
      </w:r>
      <w:r w:rsidRPr="004E0468">
        <w:rPr>
          <w:rStyle w:val="apple-converted-space"/>
          <w:color w:val="222222"/>
          <w:sz w:val="22"/>
          <w:szCs w:val="22"/>
          <w:shd w:val="clear" w:color="auto" w:fill="FFFFFF"/>
        </w:rPr>
        <w:t> </w:t>
      </w:r>
      <w:r w:rsidRPr="004E0468">
        <w:rPr>
          <w:i/>
          <w:iCs/>
          <w:color w:val="222222"/>
          <w:sz w:val="22"/>
          <w:szCs w:val="22"/>
          <w:shd w:val="clear" w:color="auto" w:fill="FFFFFF"/>
        </w:rPr>
        <w:t>Sustainability Science</w:t>
      </w:r>
      <w:r w:rsidRPr="004E0468">
        <w:rPr>
          <w:rStyle w:val="apple-converted-space"/>
          <w:color w:val="222222"/>
          <w:sz w:val="22"/>
          <w:szCs w:val="22"/>
          <w:shd w:val="clear" w:color="auto" w:fill="FFFFFF"/>
        </w:rPr>
        <w:t> </w:t>
      </w:r>
      <w:r w:rsidRPr="004E0468">
        <w:rPr>
          <w:color w:val="222222"/>
          <w:sz w:val="22"/>
          <w:szCs w:val="22"/>
          <w:shd w:val="clear" w:color="auto" w:fill="FFFFFF"/>
        </w:rPr>
        <w:t>2, no. 1: 95-101.</w:t>
      </w:r>
    </w:p>
    <w:p w14:paraId="22C43A0F"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Zhu, </w:t>
      </w:r>
      <w:proofErr w:type="spellStart"/>
      <w:r w:rsidRPr="004E0468">
        <w:rPr>
          <w:color w:val="222222"/>
          <w:sz w:val="22"/>
          <w:szCs w:val="22"/>
          <w:shd w:val="clear" w:color="auto" w:fill="FFFFFF"/>
        </w:rPr>
        <w:t>Qinghua</w:t>
      </w:r>
      <w:proofErr w:type="spellEnd"/>
      <w:r w:rsidRPr="004E0468">
        <w:rPr>
          <w:color w:val="222222"/>
          <w:sz w:val="22"/>
          <w:szCs w:val="22"/>
          <w:shd w:val="clear" w:color="auto" w:fill="FFFFFF"/>
        </w:rPr>
        <w:t xml:space="preserve">, Joseph </w:t>
      </w:r>
      <w:proofErr w:type="spellStart"/>
      <w:r w:rsidRPr="004E0468">
        <w:rPr>
          <w:color w:val="222222"/>
          <w:sz w:val="22"/>
          <w:szCs w:val="22"/>
          <w:shd w:val="clear" w:color="auto" w:fill="FFFFFF"/>
        </w:rPr>
        <w:t>Sarkis</w:t>
      </w:r>
      <w:proofErr w:type="spellEnd"/>
      <w:r w:rsidRPr="004E0468">
        <w:rPr>
          <w:color w:val="222222"/>
          <w:sz w:val="22"/>
          <w:szCs w:val="22"/>
          <w:shd w:val="clear" w:color="auto" w:fill="FFFFFF"/>
        </w:rPr>
        <w:t xml:space="preserve">, and Yong </w:t>
      </w:r>
      <w:proofErr w:type="spellStart"/>
      <w:r w:rsidRPr="004E0468">
        <w:rPr>
          <w:color w:val="222222"/>
          <w:sz w:val="22"/>
          <w:szCs w:val="22"/>
          <w:shd w:val="clear" w:color="auto" w:fill="FFFFFF"/>
        </w:rPr>
        <w:t>Geng</w:t>
      </w:r>
      <w:proofErr w:type="spellEnd"/>
      <w:r w:rsidRPr="004E0468">
        <w:rPr>
          <w:color w:val="222222"/>
          <w:sz w:val="22"/>
          <w:szCs w:val="22"/>
          <w:shd w:val="clear" w:color="auto" w:fill="FFFFFF"/>
        </w:rPr>
        <w:t>. 2005. "Green supply chain management in China: pressures, practices and performance."</w:t>
      </w:r>
      <w:r w:rsidRPr="004E0468">
        <w:rPr>
          <w:rStyle w:val="apple-converted-space"/>
          <w:color w:val="222222"/>
          <w:sz w:val="22"/>
          <w:szCs w:val="22"/>
          <w:shd w:val="clear" w:color="auto" w:fill="FFFFFF"/>
        </w:rPr>
        <w:t> </w:t>
      </w:r>
      <w:r w:rsidRPr="004E0468">
        <w:rPr>
          <w:i/>
          <w:iCs/>
          <w:color w:val="222222"/>
          <w:sz w:val="22"/>
          <w:szCs w:val="22"/>
          <w:shd w:val="clear" w:color="auto" w:fill="FFFFFF"/>
        </w:rPr>
        <w:t>International Journal of Operations &amp; Production Management</w:t>
      </w:r>
      <w:r w:rsidRPr="004E0468">
        <w:rPr>
          <w:rStyle w:val="apple-converted-space"/>
          <w:color w:val="222222"/>
          <w:sz w:val="22"/>
          <w:szCs w:val="22"/>
          <w:shd w:val="clear" w:color="auto" w:fill="FFFFFF"/>
        </w:rPr>
        <w:t> </w:t>
      </w:r>
      <w:r w:rsidRPr="004E0468">
        <w:rPr>
          <w:color w:val="222222"/>
          <w:sz w:val="22"/>
          <w:szCs w:val="22"/>
          <w:shd w:val="clear" w:color="auto" w:fill="FFFFFF"/>
        </w:rPr>
        <w:t>25, no. 5: 449-468.</w:t>
      </w:r>
    </w:p>
    <w:p w14:paraId="5CF41735" w14:textId="77777777" w:rsidR="004E4E0D" w:rsidRPr="004E0468" w:rsidRDefault="004E4E0D" w:rsidP="004E4E0D">
      <w:pPr>
        <w:spacing w:line="276" w:lineRule="auto"/>
        <w:ind w:left="567" w:hanging="425"/>
        <w:jc w:val="both"/>
        <w:rPr>
          <w:color w:val="222222"/>
          <w:sz w:val="22"/>
          <w:szCs w:val="22"/>
          <w:shd w:val="clear" w:color="auto" w:fill="FFFFFF"/>
        </w:rPr>
      </w:pPr>
      <w:r w:rsidRPr="004E0468">
        <w:rPr>
          <w:color w:val="222222"/>
          <w:sz w:val="22"/>
          <w:szCs w:val="22"/>
          <w:shd w:val="clear" w:color="auto" w:fill="FFFFFF"/>
        </w:rPr>
        <w:t xml:space="preserve">Zhu, </w:t>
      </w:r>
      <w:proofErr w:type="spellStart"/>
      <w:r w:rsidRPr="004E0468">
        <w:rPr>
          <w:color w:val="222222"/>
          <w:sz w:val="22"/>
          <w:szCs w:val="22"/>
          <w:shd w:val="clear" w:color="auto" w:fill="FFFFFF"/>
        </w:rPr>
        <w:t>Qinghua</w:t>
      </w:r>
      <w:proofErr w:type="spellEnd"/>
      <w:r w:rsidRPr="004E0468">
        <w:rPr>
          <w:color w:val="222222"/>
          <w:sz w:val="22"/>
          <w:szCs w:val="22"/>
          <w:shd w:val="clear" w:color="auto" w:fill="FFFFFF"/>
        </w:rPr>
        <w:t xml:space="preserve">, Yong </w:t>
      </w:r>
      <w:proofErr w:type="spellStart"/>
      <w:r w:rsidRPr="004E0468">
        <w:rPr>
          <w:color w:val="222222"/>
          <w:sz w:val="22"/>
          <w:szCs w:val="22"/>
          <w:shd w:val="clear" w:color="auto" w:fill="FFFFFF"/>
        </w:rPr>
        <w:t>Geng</w:t>
      </w:r>
      <w:proofErr w:type="spellEnd"/>
      <w:r w:rsidRPr="004E0468">
        <w:rPr>
          <w:color w:val="222222"/>
          <w:sz w:val="22"/>
          <w:szCs w:val="22"/>
          <w:shd w:val="clear" w:color="auto" w:fill="FFFFFF"/>
        </w:rPr>
        <w:t xml:space="preserve">, and </w:t>
      </w:r>
      <w:proofErr w:type="spellStart"/>
      <w:r w:rsidRPr="004E0468">
        <w:rPr>
          <w:color w:val="222222"/>
          <w:sz w:val="22"/>
          <w:szCs w:val="22"/>
          <w:shd w:val="clear" w:color="auto" w:fill="FFFFFF"/>
        </w:rPr>
        <w:t>Kee</w:t>
      </w:r>
      <w:proofErr w:type="spellEnd"/>
      <w:r w:rsidRPr="004E0468">
        <w:rPr>
          <w:color w:val="222222"/>
          <w:sz w:val="22"/>
          <w:szCs w:val="22"/>
          <w:shd w:val="clear" w:color="auto" w:fill="FFFFFF"/>
        </w:rPr>
        <w:t>-hung Lai. 2010. "Circular economy practices among Chinese manufacturers varying in environmental-oriented supply chain cooperation and the performance implications."</w:t>
      </w:r>
      <w:r w:rsidRPr="004E0468">
        <w:rPr>
          <w:rStyle w:val="apple-converted-space"/>
          <w:color w:val="222222"/>
          <w:sz w:val="22"/>
          <w:szCs w:val="22"/>
          <w:shd w:val="clear" w:color="auto" w:fill="FFFFFF"/>
        </w:rPr>
        <w:t> </w:t>
      </w:r>
      <w:r w:rsidRPr="004E0468">
        <w:rPr>
          <w:i/>
          <w:iCs/>
          <w:color w:val="222222"/>
          <w:sz w:val="22"/>
          <w:szCs w:val="22"/>
          <w:shd w:val="clear" w:color="auto" w:fill="FFFFFF"/>
        </w:rPr>
        <w:t>Journal of Environmental Management</w:t>
      </w:r>
      <w:r w:rsidRPr="004E0468">
        <w:rPr>
          <w:rStyle w:val="apple-converted-space"/>
          <w:color w:val="222222"/>
          <w:sz w:val="22"/>
          <w:szCs w:val="22"/>
          <w:shd w:val="clear" w:color="auto" w:fill="FFFFFF"/>
        </w:rPr>
        <w:t> </w:t>
      </w:r>
      <w:r w:rsidRPr="004E0468">
        <w:rPr>
          <w:color w:val="222222"/>
          <w:sz w:val="22"/>
          <w:szCs w:val="22"/>
          <w:shd w:val="clear" w:color="auto" w:fill="FFFFFF"/>
        </w:rPr>
        <w:t>91, no. 6: 1324-1331.</w:t>
      </w:r>
    </w:p>
    <w:p w14:paraId="61FF5147" w14:textId="77777777" w:rsidR="004E4E0D" w:rsidRPr="004E0468" w:rsidRDefault="004E4E0D" w:rsidP="004E4E0D">
      <w:pPr>
        <w:spacing w:line="276" w:lineRule="auto"/>
        <w:ind w:left="567" w:hanging="425"/>
        <w:jc w:val="both"/>
        <w:rPr>
          <w:color w:val="222222"/>
          <w:sz w:val="22"/>
          <w:szCs w:val="22"/>
          <w:shd w:val="clear" w:color="auto" w:fill="FFFFFF"/>
        </w:rPr>
      </w:pPr>
      <w:proofErr w:type="spellStart"/>
      <w:r w:rsidRPr="004E0468">
        <w:rPr>
          <w:color w:val="222222"/>
          <w:sz w:val="22"/>
          <w:szCs w:val="22"/>
          <w:shd w:val="clear" w:color="auto" w:fill="FFFFFF"/>
        </w:rPr>
        <w:t>Zsidisin</w:t>
      </w:r>
      <w:proofErr w:type="spellEnd"/>
      <w:r w:rsidRPr="004E0468">
        <w:rPr>
          <w:color w:val="222222"/>
          <w:sz w:val="22"/>
          <w:szCs w:val="22"/>
          <w:shd w:val="clear" w:color="auto" w:fill="FFFFFF"/>
        </w:rPr>
        <w:t xml:space="preserve">, George A., and Thomas E. </w:t>
      </w:r>
      <w:proofErr w:type="spellStart"/>
      <w:r w:rsidRPr="004E0468">
        <w:rPr>
          <w:color w:val="222222"/>
          <w:sz w:val="22"/>
          <w:szCs w:val="22"/>
          <w:shd w:val="clear" w:color="auto" w:fill="FFFFFF"/>
        </w:rPr>
        <w:t>Hendrick</w:t>
      </w:r>
      <w:proofErr w:type="spellEnd"/>
      <w:r w:rsidRPr="004E0468">
        <w:rPr>
          <w:color w:val="222222"/>
          <w:sz w:val="22"/>
          <w:szCs w:val="22"/>
          <w:shd w:val="clear" w:color="auto" w:fill="FFFFFF"/>
        </w:rPr>
        <w:t>. 1998. "Purchasing’s involvement in environmental issues: a multi-country perspective."</w:t>
      </w:r>
      <w:r w:rsidRPr="004E0468">
        <w:rPr>
          <w:rStyle w:val="apple-converted-space"/>
          <w:color w:val="222222"/>
          <w:sz w:val="22"/>
          <w:szCs w:val="22"/>
          <w:shd w:val="clear" w:color="auto" w:fill="FFFFFF"/>
        </w:rPr>
        <w:t> </w:t>
      </w:r>
      <w:r w:rsidRPr="004E0468">
        <w:rPr>
          <w:i/>
          <w:iCs/>
          <w:color w:val="222222"/>
          <w:sz w:val="22"/>
          <w:szCs w:val="22"/>
          <w:shd w:val="clear" w:color="auto" w:fill="FFFFFF"/>
        </w:rPr>
        <w:t>Industrial Management &amp; Data Systems</w:t>
      </w:r>
      <w:r w:rsidRPr="004E0468">
        <w:rPr>
          <w:rStyle w:val="apple-converted-space"/>
          <w:color w:val="222222"/>
          <w:sz w:val="22"/>
          <w:szCs w:val="22"/>
          <w:shd w:val="clear" w:color="auto" w:fill="FFFFFF"/>
        </w:rPr>
        <w:t> </w:t>
      </w:r>
      <w:r w:rsidRPr="004E0468">
        <w:rPr>
          <w:color w:val="222222"/>
          <w:sz w:val="22"/>
          <w:szCs w:val="22"/>
          <w:shd w:val="clear" w:color="auto" w:fill="FFFFFF"/>
        </w:rPr>
        <w:t>98, no. 7: 313-320.</w:t>
      </w:r>
    </w:p>
    <w:p w14:paraId="1ADDEDB5" w14:textId="3709EEE0" w:rsidR="004E4E0D" w:rsidRPr="004E0468" w:rsidRDefault="004E4E0D" w:rsidP="004E4E0D">
      <w:pPr>
        <w:spacing w:line="276" w:lineRule="auto"/>
        <w:ind w:left="567" w:hanging="425"/>
        <w:jc w:val="both"/>
        <w:rPr>
          <w:color w:val="222222"/>
          <w:sz w:val="22"/>
          <w:szCs w:val="22"/>
          <w:shd w:val="clear" w:color="auto" w:fill="FFFFFF"/>
        </w:rPr>
      </w:pPr>
    </w:p>
    <w:p w14:paraId="20700629" w14:textId="77777777" w:rsidR="00DB3A40" w:rsidRPr="004E0468" w:rsidRDefault="00DB3A40" w:rsidP="00A32003">
      <w:pPr>
        <w:pStyle w:val="Paragraph"/>
        <w:sectPr w:rsidR="00DB3A40" w:rsidRPr="004E0468" w:rsidSect="009F6496">
          <w:pgSz w:w="11901" w:h="16840" w:code="9"/>
          <w:pgMar w:top="1418" w:right="1701" w:bottom="1418" w:left="1701" w:header="709" w:footer="709" w:gutter="0"/>
          <w:cols w:space="708"/>
          <w:docGrid w:linePitch="360"/>
        </w:sectPr>
      </w:pPr>
    </w:p>
    <w:p w14:paraId="43FFB385" w14:textId="7DEE3C0B" w:rsidR="00DB3A40" w:rsidRPr="004E0468" w:rsidRDefault="00DB3A40" w:rsidP="00DB3A40">
      <w:pPr>
        <w:spacing w:line="240" w:lineRule="auto"/>
      </w:pPr>
      <w:r w:rsidRPr="004E0468">
        <w:lastRenderedPageBreak/>
        <w:t>Appendix A</w:t>
      </w:r>
    </w:p>
    <w:p w14:paraId="5A6798D2" w14:textId="77777777" w:rsidR="00DB3A40" w:rsidRPr="004E0468" w:rsidRDefault="00DB3A40" w:rsidP="00DB3A40">
      <w:pPr>
        <w:spacing w:line="240" w:lineRule="auto"/>
      </w:pP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4213"/>
        <w:gridCol w:w="626"/>
        <w:gridCol w:w="626"/>
        <w:gridCol w:w="626"/>
        <w:gridCol w:w="626"/>
        <w:gridCol w:w="626"/>
        <w:gridCol w:w="626"/>
        <w:gridCol w:w="626"/>
        <w:gridCol w:w="626"/>
        <w:gridCol w:w="626"/>
        <w:gridCol w:w="626"/>
        <w:gridCol w:w="626"/>
        <w:gridCol w:w="626"/>
        <w:gridCol w:w="626"/>
        <w:gridCol w:w="626"/>
        <w:gridCol w:w="626"/>
        <w:gridCol w:w="617"/>
      </w:tblGrid>
      <w:tr w:rsidR="00DB3A40" w:rsidRPr="004E0468" w14:paraId="75604A7E" w14:textId="77777777" w:rsidTr="00DB3A40">
        <w:trPr>
          <w:cantSplit/>
          <w:trHeight w:val="1845"/>
        </w:trPr>
        <w:tc>
          <w:tcPr>
            <w:tcW w:w="1480" w:type="pct"/>
            <w:shd w:val="clear" w:color="auto" w:fill="auto"/>
            <w:vAlign w:val="center"/>
          </w:tcPr>
          <w:p w14:paraId="4396D11B" w14:textId="77777777" w:rsidR="00DB3A40" w:rsidRPr="004E0468" w:rsidRDefault="00DB3A40" w:rsidP="00DB3A40">
            <w:pPr>
              <w:jc w:val="center"/>
              <w:rPr>
                <w:rFonts w:ascii="Times New Roman" w:hAnsi="Times New Roman" w:cs="Times New Roman"/>
                <w:b/>
                <w:sz w:val="16"/>
                <w:szCs w:val="16"/>
              </w:rPr>
            </w:pPr>
            <w:r w:rsidRPr="004E0468">
              <w:rPr>
                <w:rFonts w:ascii="Times New Roman" w:hAnsi="Times New Roman" w:cs="Times New Roman"/>
                <w:b/>
                <w:sz w:val="16"/>
                <w:szCs w:val="16"/>
              </w:rPr>
              <w:t>Measurement items</w:t>
            </w:r>
          </w:p>
        </w:tc>
        <w:tc>
          <w:tcPr>
            <w:tcW w:w="220" w:type="pct"/>
            <w:shd w:val="clear" w:color="auto" w:fill="auto"/>
            <w:textDirection w:val="btLr"/>
            <w:vAlign w:val="center"/>
          </w:tcPr>
          <w:p w14:paraId="0BE0BFD8" w14:textId="77777777" w:rsidR="00DB3A40" w:rsidRPr="004E0468" w:rsidRDefault="00DB3A40" w:rsidP="00DB3A40">
            <w:pPr>
              <w:spacing w:line="240" w:lineRule="auto"/>
              <w:ind w:left="113" w:right="113"/>
              <w:jc w:val="center"/>
              <w:rPr>
                <w:rFonts w:ascii="Times New Roman" w:hAnsi="Times New Roman" w:cs="Times New Roman"/>
                <w:sz w:val="16"/>
                <w:szCs w:val="16"/>
              </w:rPr>
            </w:pPr>
            <w:r w:rsidRPr="004E0468">
              <w:rPr>
                <w:rFonts w:ascii="Times New Roman" w:hAnsi="Times New Roman" w:cs="Times New Roman"/>
                <w:sz w:val="16"/>
                <w:szCs w:val="16"/>
              </w:rPr>
              <w:t>Carter et al 1998</w:t>
            </w:r>
          </w:p>
        </w:tc>
        <w:tc>
          <w:tcPr>
            <w:tcW w:w="220" w:type="pct"/>
            <w:shd w:val="clear" w:color="auto" w:fill="auto"/>
            <w:textDirection w:val="btLr"/>
            <w:vAlign w:val="center"/>
          </w:tcPr>
          <w:p w14:paraId="482C7C70" w14:textId="77777777" w:rsidR="00DB3A40" w:rsidRPr="004E0468" w:rsidRDefault="00DB3A40" w:rsidP="00DB3A40">
            <w:pPr>
              <w:spacing w:line="240" w:lineRule="auto"/>
              <w:ind w:left="113" w:right="113"/>
              <w:jc w:val="center"/>
              <w:rPr>
                <w:rFonts w:ascii="Times New Roman" w:hAnsi="Times New Roman" w:cs="Times New Roman"/>
                <w:sz w:val="16"/>
                <w:szCs w:val="16"/>
              </w:rPr>
            </w:pPr>
            <w:proofErr w:type="spellStart"/>
            <w:r w:rsidRPr="004E0468">
              <w:rPr>
                <w:rFonts w:ascii="Times New Roman" w:hAnsi="Times New Roman" w:cs="Times New Roman"/>
                <w:sz w:val="16"/>
                <w:szCs w:val="16"/>
              </w:rPr>
              <w:t>Chien</w:t>
            </w:r>
            <w:proofErr w:type="spellEnd"/>
            <w:r w:rsidRPr="004E0468">
              <w:rPr>
                <w:rFonts w:ascii="Times New Roman" w:hAnsi="Times New Roman" w:cs="Times New Roman"/>
                <w:sz w:val="16"/>
                <w:szCs w:val="16"/>
              </w:rPr>
              <w:t xml:space="preserve"> and Shih 2007</w:t>
            </w:r>
          </w:p>
        </w:tc>
        <w:tc>
          <w:tcPr>
            <w:tcW w:w="220" w:type="pct"/>
            <w:shd w:val="clear" w:color="auto" w:fill="auto"/>
            <w:textDirection w:val="btLr"/>
            <w:vAlign w:val="center"/>
          </w:tcPr>
          <w:p w14:paraId="6DAEACA7" w14:textId="7BE6DC79" w:rsidR="00DB3A40" w:rsidRPr="004E0468" w:rsidRDefault="00DB3A40" w:rsidP="00DB3A40">
            <w:pPr>
              <w:spacing w:line="240" w:lineRule="auto"/>
              <w:ind w:left="113" w:right="113"/>
              <w:jc w:val="center"/>
              <w:rPr>
                <w:rFonts w:ascii="Times New Roman" w:hAnsi="Times New Roman" w:cs="Times New Roman"/>
                <w:sz w:val="16"/>
                <w:szCs w:val="16"/>
              </w:rPr>
            </w:pPr>
            <w:r w:rsidRPr="004E0468">
              <w:rPr>
                <w:rFonts w:ascii="Times New Roman" w:hAnsi="Times New Roman" w:cs="Times New Roman"/>
                <w:sz w:val="16"/>
                <w:szCs w:val="16"/>
              </w:rPr>
              <w:t xml:space="preserve">Ellen MacArthur F. 2013a, </w:t>
            </w:r>
            <w:r w:rsidR="004E4E0D" w:rsidRPr="004E0468">
              <w:rPr>
                <w:rFonts w:ascii="Times New Roman" w:hAnsi="Times New Roman" w:cs="Times New Roman"/>
                <w:sz w:val="16"/>
                <w:szCs w:val="16"/>
              </w:rPr>
              <w:t>2013</w:t>
            </w:r>
            <w:r w:rsidRPr="004E0468">
              <w:rPr>
                <w:rFonts w:ascii="Times New Roman" w:hAnsi="Times New Roman" w:cs="Times New Roman"/>
                <w:sz w:val="16"/>
                <w:szCs w:val="16"/>
              </w:rPr>
              <w:t>, 2014</w:t>
            </w:r>
          </w:p>
        </w:tc>
        <w:tc>
          <w:tcPr>
            <w:tcW w:w="220" w:type="pct"/>
            <w:shd w:val="clear" w:color="auto" w:fill="auto"/>
            <w:textDirection w:val="btLr"/>
            <w:vAlign w:val="center"/>
          </w:tcPr>
          <w:p w14:paraId="612265F2" w14:textId="77777777" w:rsidR="00DB3A40" w:rsidRPr="004E0468" w:rsidRDefault="00DB3A40" w:rsidP="00DB3A40">
            <w:pPr>
              <w:spacing w:line="240" w:lineRule="auto"/>
              <w:ind w:left="113" w:right="113"/>
              <w:jc w:val="center"/>
              <w:rPr>
                <w:rFonts w:ascii="Times New Roman" w:hAnsi="Times New Roman" w:cs="Times New Roman"/>
                <w:sz w:val="16"/>
                <w:szCs w:val="16"/>
              </w:rPr>
            </w:pPr>
            <w:proofErr w:type="spellStart"/>
            <w:r w:rsidRPr="004E0468">
              <w:rPr>
                <w:rFonts w:ascii="Times New Roman" w:hAnsi="Times New Roman" w:cs="Times New Roman"/>
                <w:sz w:val="16"/>
                <w:szCs w:val="16"/>
              </w:rPr>
              <w:t>Geng</w:t>
            </w:r>
            <w:proofErr w:type="spellEnd"/>
            <w:r w:rsidRPr="004E0468">
              <w:rPr>
                <w:rFonts w:ascii="Times New Roman" w:hAnsi="Times New Roman" w:cs="Times New Roman"/>
                <w:sz w:val="16"/>
                <w:szCs w:val="16"/>
              </w:rPr>
              <w:t xml:space="preserve"> et al. 2012</w:t>
            </w:r>
          </w:p>
        </w:tc>
        <w:tc>
          <w:tcPr>
            <w:tcW w:w="220" w:type="pct"/>
            <w:shd w:val="clear" w:color="auto" w:fill="auto"/>
            <w:textDirection w:val="btLr"/>
            <w:vAlign w:val="center"/>
          </w:tcPr>
          <w:p w14:paraId="7FADE8AD" w14:textId="77777777" w:rsidR="00DB3A40" w:rsidRPr="004E0468" w:rsidRDefault="00DB3A40" w:rsidP="00DB3A40">
            <w:pPr>
              <w:spacing w:line="240" w:lineRule="auto"/>
              <w:ind w:left="113" w:right="113"/>
              <w:jc w:val="center"/>
              <w:rPr>
                <w:rFonts w:ascii="Times New Roman" w:hAnsi="Times New Roman" w:cs="Times New Roman"/>
                <w:sz w:val="16"/>
                <w:szCs w:val="16"/>
              </w:rPr>
            </w:pPr>
            <w:proofErr w:type="spellStart"/>
            <w:r w:rsidRPr="004E0468">
              <w:rPr>
                <w:rFonts w:ascii="Times New Roman" w:hAnsi="Times New Roman" w:cs="Times New Roman"/>
                <w:sz w:val="16"/>
                <w:szCs w:val="16"/>
              </w:rPr>
              <w:t>Geng</w:t>
            </w:r>
            <w:proofErr w:type="spellEnd"/>
            <w:r w:rsidRPr="004E0468">
              <w:rPr>
                <w:rFonts w:ascii="Times New Roman" w:hAnsi="Times New Roman" w:cs="Times New Roman"/>
                <w:sz w:val="16"/>
                <w:szCs w:val="16"/>
              </w:rPr>
              <w:t xml:space="preserve"> and Song 2014</w:t>
            </w:r>
          </w:p>
        </w:tc>
        <w:tc>
          <w:tcPr>
            <w:tcW w:w="220" w:type="pct"/>
            <w:shd w:val="clear" w:color="auto" w:fill="auto"/>
            <w:textDirection w:val="btLr"/>
            <w:vAlign w:val="center"/>
          </w:tcPr>
          <w:p w14:paraId="4DC4270A" w14:textId="77777777" w:rsidR="00DB3A40" w:rsidRPr="004E0468" w:rsidRDefault="00DB3A40" w:rsidP="00DB3A40">
            <w:pPr>
              <w:spacing w:line="240" w:lineRule="auto"/>
              <w:ind w:left="113" w:right="113"/>
              <w:jc w:val="center"/>
              <w:rPr>
                <w:rFonts w:ascii="Times New Roman" w:hAnsi="Times New Roman" w:cs="Times New Roman"/>
                <w:sz w:val="16"/>
                <w:szCs w:val="16"/>
              </w:rPr>
            </w:pPr>
            <w:r w:rsidRPr="004E0468">
              <w:rPr>
                <w:rFonts w:ascii="Times New Roman" w:hAnsi="Times New Roman" w:cs="Times New Roman"/>
                <w:sz w:val="16"/>
                <w:szCs w:val="16"/>
              </w:rPr>
              <w:t>Li et al. 2010</w:t>
            </w:r>
          </w:p>
        </w:tc>
        <w:tc>
          <w:tcPr>
            <w:tcW w:w="220" w:type="pct"/>
            <w:shd w:val="clear" w:color="auto" w:fill="auto"/>
            <w:textDirection w:val="btLr"/>
            <w:vAlign w:val="center"/>
          </w:tcPr>
          <w:p w14:paraId="791A7D93" w14:textId="77777777" w:rsidR="00DB3A40" w:rsidRPr="004E0468" w:rsidRDefault="00DB3A40" w:rsidP="00DB3A40">
            <w:pPr>
              <w:spacing w:line="240" w:lineRule="auto"/>
              <w:ind w:left="113" w:right="113"/>
              <w:jc w:val="center"/>
              <w:rPr>
                <w:rFonts w:ascii="Times New Roman" w:hAnsi="Times New Roman" w:cs="Times New Roman"/>
                <w:sz w:val="16"/>
                <w:szCs w:val="16"/>
              </w:rPr>
            </w:pPr>
            <w:r w:rsidRPr="004E0468">
              <w:rPr>
                <w:rFonts w:ascii="Times New Roman" w:hAnsi="Times New Roman" w:cs="Times New Roman"/>
                <w:sz w:val="16"/>
                <w:szCs w:val="16"/>
              </w:rPr>
              <w:t>Liu 2009</w:t>
            </w:r>
          </w:p>
        </w:tc>
        <w:tc>
          <w:tcPr>
            <w:tcW w:w="220" w:type="pct"/>
            <w:shd w:val="clear" w:color="auto" w:fill="auto"/>
            <w:textDirection w:val="btLr"/>
            <w:vAlign w:val="center"/>
          </w:tcPr>
          <w:p w14:paraId="08507388" w14:textId="77777777" w:rsidR="00DB3A40" w:rsidRPr="004E0468" w:rsidRDefault="00DB3A40" w:rsidP="00DB3A40">
            <w:pPr>
              <w:spacing w:line="240" w:lineRule="auto"/>
              <w:ind w:left="113" w:right="113"/>
              <w:jc w:val="center"/>
              <w:rPr>
                <w:rFonts w:ascii="Times New Roman" w:hAnsi="Times New Roman" w:cs="Times New Roman"/>
                <w:sz w:val="16"/>
                <w:szCs w:val="16"/>
              </w:rPr>
            </w:pPr>
            <w:r w:rsidRPr="004E0468">
              <w:rPr>
                <w:rFonts w:ascii="Times New Roman" w:hAnsi="Times New Roman" w:cs="Times New Roman"/>
                <w:sz w:val="16"/>
                <w:szCs w:val="16"/>
              </w:rPr>
              <w:t>Liu and Bai 2014</w:t>
            </w:r>
          </w:p>
        </w:tc>
        <w:tc>
          <w:tcPr>
            <w:tcW w:w="220" w:type="pct"/>
            <w:shd w:val="clear" w:color="auto" w:fill="auto"/>
            <w:textDirection w:val="btLr"/>
            <w:vAlign w:val="center"/>
          </w:tcPr>
          <w:p w14:paraId="116CD717" w14:textId="77777777" w:rsidR="00DB3A40" w:rsidRPr="004E0468" w:rsidRDefault="00DB3A40" w:rsidP="00DB3A40">
            <w:pPr>
              <w:spacing w:line="240" w:lineRule="auto"/>
              <w:ind w:left="113" w:right="113"/>
              <w:jc w:val="center"/>
              <w:rPr>
                <w:rFonts w:ascii="Times New Roman" w:hAnsi="Times New Roman" w:cs="Times New Roman"/>
                <w:sz w:val="16"/>
                <w:szCs w:val="16"/>
              </w:rPr>
            </w:pPr>
            <w:r w:rsidRPr="004E0468">
              <w:rPr>
                <w:rFonts w:ascii="Times New Roman" w:hAnsi="Times New Roman" w:cs="Times New Roman"/>
                <w:sz w:val="16"/>
                <w:szCs w:val="16"/>
              </w:rPr>
              <w:t>May et al 2012</w:t>
            </w:r>
          </w:p>
        </w:tc>
        <w:tc>
          <w:tcPr>
            <w:tcW w:w="220" w:type="pct"/>
            <w:shd w:val="clear" w:color="auto" w:fill="auto"/>
            <w:textDirection w:val="btLr"/>
            <w:vAlign w:val="center"/>
          </w:tcPr>
          <w:p w14:paraId="1784470E" w14:textId="77777777" w:rsidR="00DB3A40" w:rsidRPr="004E0468" w:rsidRDefault="00DB3A40" w:rsidP="00DB3A40">
            <w:pPr>
              <w:spacing w:line="240" w:lineRule="auto"/>
              <w:ind w:left="113" w:right="113"/>
              <w:jc w:val="center"/>
              <w:rPr>
                <w:rFonts w:ascii="Times New Roman" w:hAnsi="Times New Roman" w:cs="Times New Roman"/>
                <w:sz w:val="16"/>
                <w:szCs w:val="16"/>
              </w:rPr>
            </w:pPr>
            <w:proofErr w:type="spellStart"/>
            <w:r w:rsidRPr="004E0468">
              <w:rPr>
                <w:rFonts w:ascii="Times New Roman" w:hAnsi="Times New Roman" w:cs="Times New Roman"/>
                <w:sz w:val="16"/>
                <w:szCs w:val="16"/>
              </w:rPr>
              <w:t>Vachon</w:t>
            </w:r>
            <w:proofErr w:type="spellEnd"/>
            <w:r w:rsidRPr="004E0468">
              <w:rPr>
                <w:rFonts w:ascii="Times New Roman" w:hAnsi="Times New Roman" w:cs="Times New Roman"/>
                <w:sz w:val="16"/>
                <w:szCs w:val="16"/>
              </w:rPr>
              <w:t xml:space="preserve"> and Klassen 2006</w:t>
            </w:r>
          </w:p>
        </w:tc>
        <w:tc>
          <w:tcPr>
            <w:tcW w:w="220" w:type="pct"/>
            <w:shd w:val="clear" w:color="auto" w:fill="auto"/>
            <w:textDirection w:val="btLr"/>
            <w:vAlign w:val="center"/>
          </w:tcPr>
          <w:p w14:paraId="48A69251" w14:textId="77777777" w:rsidR="00DB3A40" w:rsidRPr="004E0468" w:rsidRDefault="00DB3A40" w:rsidP="00DB3A40">
            <w:pPr>
              <w:spacing w:line="240" w:lineRule="auto"/>
              <w:ind w:left="113" w:right="113"/>
              <w:jc w:val="center"/>
              <w:rPr>
                <w:rFonts w:ascii="Times New Roman" w:hAnsi="Times New Roman" w:cs="Times New Roman"/>
                <w:sz w:val="16"/>
                <w:szCs w:val="16"/>
              </w:rPr>
            </w:pPr>
            <w:proofErr w:type="spellStart"/>
            <w:r w:rsidRPr="004E0468">
              <w:rPr>
                <w:rFonts w:ascii="Times New Roman" w:hAnsi="Times New Roman" w:cs="Times New Roman"/>
                <w:sz w:val="16"/>
                <w:szCs w:val="16"/>
              </w:rPr>
              <w:t>Xue</w:t>
            </w:r>
            <w:proofErr w:type="spellEnd"/>
            <w:r w:rsidRPr="004E0468">
              <w:rPr>
                <w:rFonts w:ascii="Times New Roman" w:hAnsi="Times New Roman" w:cs="Times New Roman"/>
                <w:sz w:val="16"/>
                <w:szCs w:val="16"/>
              </w:rPr>
              <w:t xml:space="preserve"> et al. 2010</w:t>
            </w:r>
          </w:p>
        </w:tc>
        <w:tc>
          <w:tcPr>
            <w:tcW w:w="220" w:type="pct"/>
            <w:shd w:val="clear" w:color="auto" w:fill="auto"/>
            <w:textDirection w:val="btLr"/>
            <w:vAlign w:val="center"/>
          </w:tcPr>
          <w:p w14:paraId="39480A0A" w14:textId="77777777" w:rsidR="00DB3A40" w:rsidRPr="004E0468" w:rsidRDefault="00DB3A40" w:rsidP="00DB3A40">
            <w:pPr>
              <w:spacing w:line="240" w:lineRule="auto"/>
              <w:ind w:left="113" w:right="113"/>
              <w:jc w:val="center"/>
              <w:rPr>
                <w:rFonts w:ascii="Times New Roman" w:hAnsi="Times New Roman" w:cs="Times New Roman"/>
                <w:sz w:val="16"/>
                <w:szCs w:val="16"/>
              </w:rPr>
            </w:pPr>
            <w:proofErr w:type="spellStart"/>
            <w:r w:rsidRPr="004E0468">
              <w:rPr>
                <w:rFonts w:ascii="Times New Roman" w:hAnsi="Times New Roman" w:cs="Times New Roman"/>
                <w:sz w:val="16"/>
                <w:szCs w:val="16"/>
              </w:rPr>
              <w:t>Zailani</w:t>
            </w:r>
            <w:proofErr w:type="spellEnd"/>
            <w:r w:rsidRPr="004E0468">
              <w:rPr>
                <w:rFonts w:ascii="Times New Roman" w:hAnsi="Times New Roman" w:cs="Times New Roman"/>
                <w:sz w:val="16"/>
                <w:szCs w:val="16"/>
              </w:rPr>
              <w:t xml:space="preserve"> et al. 2012</w:t>
            </w:r>
          </w:p>
        </w:tc>
        <w:tc>
          <w:tcPr>
            <w:tcW w:w="220" w:type="pct"/>
            <w:shd w:val="clear" w:color="auto" w:fill="auto"/>
            <w:textDirection w:val="btLr"/>
            <w:vAlign w:val="center"/>
          </w:tcPr>
          <w:p w14:paraId="1BB5E898" w14:textId="77777777" w:rsidR="00DB3A40" w:rsidRPr="004E0468" w:rsidRDefault="00DB3A40" w:rsidP="00DB3A40">
            <w:pPr>
              <w:spacing w:line="240" w:lineRule="auto"/>
              <w:ind w:left="113" w:right="113"/>
              <w:jc w:val="center"/>
              <w:rPr>
                <w:rFonts w:ascii="Times New Roman" w:hAnsi="Times New Roman" w:cs="Times New Roman"/>
                <w:sz w:val="16"/>
                <w:szCs w:val="16"/>
              </w:rPr>
            </w:pPr>
            <w:r w:rsidRPr="004E0468">
              <w:rPr>
                <w:rFonts w:ascii="Times New Roman" w:hAnsi="Times New Roman" w:cs="Times New Roman"/>
                <w:sz w:val="16"/>
                <w:szCs w:val="16"/>
              </w:rPr>
              <w:t>Zheng and Zheng 2011</w:t>
            </w:r>
          </w:p>
        </w:tc>
        <w:tc>
          <w:tcPr>
            <w:tcW w:w="220" w:type="pct"/>
            <w:shd w:val="clear" w:color="auto" w:fill="auto"/>
            <w:textDirection w:val="btLr"/>
            <w:vAlign w:val="center"/>
          </w:tcPr>
          <w:p w14:paraId="2CA8C338" w14:textId="77777777" w:rsidR="00DB3A40" w:rsidRPr="004E0468" w:rsidRDefault="00DB3A40" w:rsidP="00DB3A40">
            <w:pPr>
              <w:spacing w:line="240" w:lineRule="auto"/>
              <w:ind w:left="113" w:right="113"/>
              <w:jc w:val="center"/>
              <w:rPr>
                <w:rFonts w:ascii="Times New Roman" w:hAnsi="Times New Roman" w:cs="Times New Roman"/>
                <w:sz w:val="16"/>
                <w:szCs w:val="16"/>
              </w:rPr>
            </w:pPr>
            <w:r w:rsidRPr="004E0468">
              <w:rPr>
                <w:rFonts w:ascii="Times New Roman" w:hAnsi="Times New Roman" w:cs="Times New Roman"/>
                <w:sz w:val="16"/>
                <w:szCs w:val="16"/>
              </w:rPr>
              <w:t>Zhu et al 2010</w:t>
            </w:r>
          </w:p>
        </w:tc>
        <w:tc>
          <w:tcPr>
            <w:tcW w:w="220" w:type="pct"/>
            <w:shd w:val="clear" w:color="auto" w:fill="auto"/>
            <w:textDirection w:val="btLr"/>
            <w:vAlign w:val="center"/>
          </w:tcPr>
          <w:p w14:paraId="6156176E" w14:textId="77777777" w:rsidR="00DB3A40" w:rsidRPr="004E0468" w:rsidRDefault="00DB3A40" w:rsidP="00DB3A40">
            <w:pPr>
              <w:spacing w:line="240" w:lineRule="auto"/>
              <w:ind w:left="113" w:right="113"/>
              <w:jc w:val="center"/>
              <w:rPr>
                <w:rFonts w:ascii="Times New Roman" w:hAnsi="Times New Roman" w:cs="Times New Roman"/>
                <w:sz w:val="16"/>
                <w:szCs w:val="16"/>
              </w:rPr>
            </w:pPr>
            <w:r w:rsidRPr="004E0468">
              <w:rPr>
                <w:rFonts w:ascii="Times New Roman" w:hAnsi="Times New Roman" w:cs="Times New Roman"/>
                <w:sz w:val="16"/>
                <w:szCs w:val="16"/>
              </w:rPr>
              <w:t>Zhu et al 2005</w:t>
            </w:r>
          </w:p>
        </w:tc>
        <w:tc>
          <w:tcPr>
            <w:tcW w:w="217" w:type="pct"/>
            <w:shd w:val="clear" w:color="auto" w:fill="auto"/>
            <w:textDirection w:val="btLr"/>
            <w:vAlign w:val="center"/>
          </w:tcPr>
          <w:p w14:paraId="3ECDB9DE" w14:textId="77777777" w:rsidR="00DB3A40" w:rsidRPr="004E0468" w:rsidRDefault="00DB3A40" w:rsidP="00DB3A40">
            <w:pPr>
              <w:spacing w:line="240" w:lineRule="auto"/>
              <w:ind w:left="113" w:right="113"/>
              <w:jc w:val="center"/>
              <w:rPr>
                <w:rFonts w:ascii="Times New Roman" w:hAnsi="Times New Roman" w:cs="Times New Roman"/>
                <w:sz w:val="16"/>
                <w:szCs w:val="16"/>
              </w:rPr>
            </w:pPr>
            <w:proofErr w:type="spellStart"/>
            <w:r w:rsidRPr="004E0468">
              <w:rPr>
                <w:rFonts w:ascii="Times New Roman" w:hAnsi="Times New Roman" w:cs="Times New Roman"/>
                <w:sz w:val="16"/>
                <w:szCs w:val="16"/>
              </w:rPr>
              <w:t>Zsidisin</w:t>
            </w:r>
            <w:proofErr w:type="spellEnd"/>
            <w:r w:rsidRPr="004E0468">
              <w:rPr>
                <w:rFonts w:ascii="Times New Roman" w:hAnsi="Times New Roman" w:cs="Times New Roman"/>
                <w:sz w:val="16"/>
                <w:szCs w:val="16"/>
              </w:rPr>
              <w:t xml:space="preserve"> and </w:t>
            </w:r>
            <w:proofErr w:type="spellStart"/>
            <w:r w:rsidRPr="004E0468">
              <w:rPr>
                <w:rFonts w:ascii="Times New Roman" w:hAnsi="Times New Roman" w:cs="Times New Roman"/>
                <w:sz w:val="16"/>
                <w:szCs w:val="16"/>
              </w:rPr>
              <w:t>Hendrick</w:t>
            </w:r>
            <w:proofErr w:type="spellEnd"/>
            <w:r w:rsidRPr="004E0468">
              <w:rPr>
                <w:rFonts w:ascii="Times New Roman" w:hAnsi="Times New Roman" w:cs="Times New Roman"/>
                <w:sz w:val="16"/>
                <w:szCs w:val="16"/>
              </w:rPr>
              <w:t xml:space="preserve"> 1998</w:t>
            </w:r>
          </w:p>
        </w:tc>
      </w:tr>
      <w:tr w:rsidR="00DB3A40" w:rsidRPr="004E0468" w14:paraId="790EDB33" w14:textId="77777777" w:rsidTr="00DB3A40">
        <w:trPr>
          <w:trHeight w:val="20"/>
        </w:trPr>
        <w:tc>
          <w:tcPr>
            <w:tcW w:w="1480" w:type="pct"/>
            <w:vAlign w:val="center"/>
          </w:tcPr>
          <w:p w14:paraId="0A16C39B" w14:textId="77777777" w:rsidR="00DB3A40" w:rsidRPr="004E0468" w:rsidRDefault="00DB3A40" w:rsidP="00DB3A40">
            <w:pPr>
              <w:pStyle w:val="ListParagraph"/>
              <w:numPr>
                <w:ilvl w:val="0"/>
                <w:numId w:val="3"/>
              </w:numPr>
              <w:spacing w:after="0" w:line="240" w:lineRule="auto"/>
              <w:rPr>
                <w:rFonts w:ascii="Times New Roman" w:hAnsi="Times New Roman" w:cs="Times New Roman"/>
                <w:b/>
                <w:sz w:val="16"/>
                <w:szCs w:val="16"/>
              </w:rPr>
            </w:pPr>
            <w:r w:rsidRPr="004E0468">
              <w:rPr>
                <w:rFonts w:ascii="Times New Roman" w:hAnsi="Times New Roman" w:cs="Times New Roman"/>
                <w:b/>
                <w:sz w:val="16"/>
                <w:szCs w:val="16"/>
              </w:rPr>
              <w:t>Resource and energy utilisation efficiency</w:t>
            </w:r>
          </w:p>
        </w:tc>
        <w:tc>
          <w:tcPr>
            <w:tcW w:w="220" w:type="pct"/>
            <w:vAlign w:val="center"/>
          </w:tcPr>
          <w:p w14:paraId="265AC04A" w14:textId="77777777" w:rsidR="00DB3A40" w:rsidRPr="004E0468" w:rsidRDefault="00DB3A40" w:rsidP="00DB3A40">
            <w:pPr>
              <w:jc w:val="center"/>
              <w:rPr>
                <w:rFonts w:ascii="Times New Roman" w:hAnsi="Times New Roman" w:cs="Times New Roman"/>
              </w:rPr>
            </w:pPr>
          </w:p>
        </w:tc>
        <w:tc>
          <w:tcPr>
            <w:tcW w:w="220" w:type="pct"/>
            <w:vAlign w:val="center"/>
          </w:tcPr>
          <w:p w14:paraId="028FAC74" w14:textId="77777777" w:rsidR="00DB3A40" w:rsidRPr="004E0468" w:rsidRDefault="00DB3A40" w:rsidP="00DB3A40">
            <w:pPr>
              <w:jc w:val="center"/>
              <w:rPr>
                <w:rFonts w:ascii="Times New Roman" w:hAnsi="Times New Roman" w:cs="Times New Roman"/>
              </w:rPr>
            </w:pPr>
          </w:p>
        </w:tc>
        <w:tc>
          <w:tcPr>
            <w:tcW w:w="220" w:type="pct"/>
            <w:vAlign w:val="center"/>
          </w:tcPr>
          <w:p w14:paraId="5CD7A240"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57784F5C" w14:textId="77777777" w:rsidR="00DB3A40" w:rsidRPr="004E0468" w:rsidRDefault="00DB3A40" w:rsidP="00DB3A40">
            <w:pPr>
              <w:jc w:val="center"/>
              <w:rPr>
                <w:rFonts w:ascii="Times New Roman" w:hAnsi="Times New Roman" w:cs="Times New Roman"/>
              </w:rPr>
            </w:pPr>
          </w:p>
        </w:tc>
        <w:tc>
          <w:tcPr>
            <w:tcW w:w="220" w:type="pct"/>
            <w:vAlign w:val="center"/>
          </w:tcPr>
          <w:p w14:paraId="3D8972A9" w14:textId="77777777" w:rsidR="00DB3A40" w:rsidRPr="004E0468" w:rsidRDefault="00DB3A40" w:rsidP="00DB3A40">
            <w:pPr>
              <w:jc w:val="center"/>
              <w:rPr>
                <w:rFonts w:ascii="Times New Roman" w:hAnsi="Times New Roman" w:cs="Times New Roman"/>
              </w:rPr>
            </w:pPr>
          </w:p>
        </w:tc>
        <w:tc>
          <w:tcPr>
            <w:tcW w:w="220" w:type="pct"/>
            <w:vAlign w:val="center"/>
          </w:tcPr>
          <w:p w14:paraId="5D0088FF"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7894830A"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7473FFC1"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1278953" w14:textId="77777777" w:rsidR="00DB3A40" w:rsidRPr="004E0468" w:rsidRDefault="00DB3A40" w:rsidP="00DB3A40">
            <w:pPr>
              <w:jc w:val="center"/>
              <w:rPr>
                <w:rFonts w:ascii="Times New Roman" w:hAnsi="Times New Roman" w:cs="Times New Roman"/>
              </w:rPr>
            </w:pPr>
          </w:p>
        </w:tc>
        <w:tc>
          <w:tcPr>
            <w:tcW w:w="220" w:type="pct"/>
            <w:vAlign w:val="center"/>
          </w:tcPr>
          <w:p w14:paraId="04CBF286" w14:textId="77777777" w:rsidR="00DB3A40" w:rsidRPr="004E0468" w:rsidRDefault="00DB3A40" w:rsidP="00DB3A40">
            <w:pPr>
              <w:jc w:val="center"/>
              <w:rPr>
                <w:rFonts w:ascii="Times New Roman" w:hAnsi="Times New Roman" w:cs="Times New Roman"/>
              </w:rPr>
            </w:pPr>
          </w:p>
        </w:tc>
        <w:tc>
          <w:tcPr>
            <w:tcW w:w="220" w:type="pct"/>
            <w:vAlign w:val="center"/>
          </w:tcPr>
          <w:p w14:paraId="1F23A917" w14:textId="77777777" w:rsidR="00DB3A40" w:rsidRPr="004E0468" w:rsidRDefault="00DB3A40" w:rsidP="00DB3A40">
            <w:pPr>
              <w:jc w:val="center"/>
              <w:rPr>
                <w:rFonts w:ascii="Times New Roman" w:hAnsi="Times New Roman" w:cs="Times New Roman"/>
              </w:rPr>
            </w:pPr>
          </w:p>
        </w:tc>
        <w:tc>
          <w:tcPr>
            <w:tcW w:w="220" w:type="pct"/>
            <w:vAlign w:val="center"/>
          </w:tcPr>
          <w:p w14:paraId="361AA9DA"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7F2E983" w14:textId="77777777" w:rsidR="00DB3A40" w:rsidRPr="004E0468" w:rsidRDefault="00DB3A40" w:rsidP="00DB3A40">
            <w:pPr>
              <w:jc w:val="center"/>
              <w:rPr>
                <w:rFonts w:ascii="Times New Roman" w:hAnsi="Times New Roman" w:cs="Times New Roman"/>
              </w:rPr>
            </w:pPr>
          </w:p>
        </w:tc>
        <w:tc>
          <w:tcPr>
            <w:tcW w:w="220" w:type="pct"/>
            <w:vAlign w:val="center"/>
          </w:tcPr>
          <w:p w14:paraId="7CF50DD8" w14:textId="77777777" w:rsidR="00DB3A40" w:rsidRPr="004E0468" w:rsidRDefault="00DB3A40" w:rsidP="00DB3A40">
            <w:pPr>
              <w:jc w:val="center"/>
              <w:rPr>
                <w:rFonts w:ascii="Times New Roman" w:hAnsi="Times New Roman" w:cs="Times New Roman"/>
              </w:rPr>
            </w:pPr>
          </w:p>
        </w:tc>
        <w:tc>
          <w:tcPr>
            <w:tcW w:w="220" w:type="pct"/>
            <w:vAlign w:val="center"/>
          </w:tcPr>
          <w:p w14:paraId="60210DB4" w14:textId="77777777" w:rsidR="00DB3A40" w:rsidRPr="004E0468" w:rsidRDefault="00DB3A40" w:rsidP="00DB3A40">
            <w:pPr>
              <w:jc w:val="center"/>
              <w:rPr>
                <w:rFonts w:ascii="Times New Roman" w:hAnsi="Times New Roman" w:cs="Times New Roman"/>
              </w:rPr>
            </w:pPr>
          </w:p>
        </w:tc>
        <w:tc>
          <w:tcPr>
            <w:tcW w:w="217" w:type="pct"/>
            <w:vAlign w:val="center"/>
          </w:tcPr>
          <w:p w14:paraId="6F17A481" w14:textId="77777777" w:rsidR="00DB3A40" w:rsidRPr="004E0468" w:rsidRDefault="00DB3A40" w:rsidP="00DB3A40">
            <w:pPr>
              <w:jc w:val="center"/>
              <w:rPr>
                <w:rFonts w:ascii="Times New Roman" w:hAnsi="Times New Roman" w:cs="Times New Roman"/>
              </w:rPr>
            </w:pPr>
          </w:p>
        </w:tc>
      </w:tr>
      <w:tr w:rsidR="00DB3A40" w:rsidRPr="004E0468" w14:paraId="56E1EBDC" w14:textId="77777777" w:rsidTr="00DB3A40">
        <w:trPr>
          <w:trHeight w:val="20"/>
        </w:trPr>
        <w:tc>
          <w:tcPr>
            <w:tcW w:w="1480" w:type="pct"/>
            <w:vAlign w:val="center"/>
          </w:tcPr>
          <w:p w14:paraId="49FC3AEC"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Reducing energy (i.e. electricity, coal, gas) consumption</w:t>
            </w:r>
          </w:p>
        </w:tc>
        <w:tc>
          <w:tcPr>
            <w:tcW w:w="220" w:type="pct"/>
            <w:vAlign w:val="center"/>
          </w:tcPr>
          <w:p w14:paraId="6C6D5243" w14:textId="77777777" w:rsidR="00DB3A40" w:rsidRPr="004E0468" w:rsidRDefault="00DB3A40" w:rsidP="00DB3A40">
            <w:pPr>
              <w:jc w:val="center"/>
              <w:rPr>
                <w:rFonts w:ascii="Times New Roman" w:hAnsi="Times New Roman" w:cs="Times New Roman"/>
              </w:rPr>
            </w:pPr>
          </w:p>
        </w:tc>
        <w:tc>
          <w:tcPr>
            <w:tcW w:w="220" w:type="pct"/>
            <w:vAlign w:val="center"/>
          </w:tcPr>
          <w:p w14:paraId="38F9CF13"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6289D3C2"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5C8D9ABB"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F75EF4B" w14:textId="77777777" w:rsidR="00DB3A40" w:rsidRPr="004E0468" w:rsidRDefault="00DB3A40" w:rsidP="00DB3A40">
            <w:pPr>
              <w:jc w:val="center"/>
              <w:rPr>
                <w:rFonts w:ascii="Times New Roman" w:hAnsi="Times New Roman" w:cs="Times New Roman"/>
              </w:rPr>
            </w:pPr>
          </w:p>
        </w:tc>
        <w:tc>
          <w:tcPr>
            <w:tcW w:w="220" w:type="pct"/>
            <w:vAlign w:val="center"/>
          </w:tcPr>
          <w:p w14:paraId="2A69F7A6"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E4E6842" w14:textId="77777777" w:rsidR="00DB3A40" w:rsidRPr="004E0468" w:rsidRDefault="00DB3A40" w:rsidP="00DB3A40">
            <w:pPr>
              <w:jc w:val="center"/>
              <w:rPr>
                <w:rFonts w:ascii="Times New Roman" w:hAnsi="Times New Roman" w:cs="Times New Roman"/>
              </w:rPr>
            </w:pPr>
          </w:p>
        </w:tc>
        <w:tc>
          <w:tcPr>
            <w:tcW w:w="220" w:type="pct"/>
            <w:vAlign w:val="center"/>
          </w:tcPr>
          <w:p w14:paraId="6102745B" w14:textId="77777777" w:rsidR="00DB3A40" w:rsidRPr="004E0468" w:rsidRDefault="00DB3A40" w:rsidP="00DB3A40">
            <w:pPr>
              <w:jc w:val="center"/>
              <w:rPr>
                <w:rFonts w:ascii="Times New Roman" w:hAnsi="Times New Roman" w:cs="Times New Roman"/>
              </w:rPr>
            </w:pPr>
          </w:p>
        </w:tc>
        <w:tc>
          <w:tcPr>
            <w:tcW w:w="220" w:type="pct"/>
            <w:vAlign w:val="center"/>
          </w:tcPr>
          <w:p w14:paraId="3636B2BB" w14:textId="77777777" w:rsidR="00DB3A40" w:rsidRPr="004E0468" w:rsidRDefault="00DB3A40" w:rsidP="00DB3A40">
            <w:pPr>
              <w:jc w:val="center"/>
              <w:rPr>
                <w:rFonts w:ascii="Times New Roman" w:hAnsi="Times New Roman" w:cs="Times New Roman"/>
              </w:rPr>
            </w:pPr>
          </w:p>
        </w:tc>
        <w:tc>
          <w:tcPr>
            <w:tcW w:w="220" w:type="pct"/>
            <w:vAlign w:val="center"/>
          </w:tcPr>
          <w:p w14:paraId="6B738A72" w14:textId="77777777" w:rsidR="00DB3A40" w:rsidRPr="004E0468" w:rsidRDefault="00DB3A40" w:rsidP="00DB3A40">
            <w:pPr>
              <w:jc w:val="center"/>
              <w:rPr>
                <w:rFonts w:ascii="Times New Roman" w:hAnsi="Times New Roman" w:cs="Times New Roman"/>
              </w:rPr>
            </w:pPr>
          </w:p>
        </w:tc>
        <w:tc>
          <w:tcPr>
            <w:tcW w:w="220" w:type="pct"/>
            <w:vAlign w:val="center"/>
          </w:tcPr>
          <w:p w14:paraId="4A932170" w14:textId="77777777" w:rsidR="00DB3A40" w:rsidRPr="004E0468" w:rsidRDefault="00DB3A40" w:rsidP="00DB3A40">
            <w:pPr>
              <w:jc w:val="center"/>
              <w:rPr>
                <w:rFonts w:ascii="Times New Roman" w:hAnsi="Times New Roman" w:cs="Times New Roman"/>
              </w:rPr>
            </w:pPr>
          </w:p>
        </w:tc>
        <w:tc>
          <w:tcPr>
            <w:tcW w:w="220" w:type="pct"/>
            <w:vAlign w:val="center"/>
          </w:tcPr>
          <w:p w14:paraId="0976A06E"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6F54E2A"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BC46F8F" w14:textId="77777777" w:rsidR="00DB3A40" w:rsidRPr="004E0468" w:rsidRDefault="00DB3A40" w:rsidP="00DB3A40">
            <w:pPr>
              <w:jc w:val="center"/>
              <w:rPr>
                <w:rFonts w:ascii="Times New Roman" w:hAnsi="Times New Roman" w:cs="Times New Roman"/>
              </w:rPr>
            </w:pPr>
          </w:p>
        </w:tc>
        <w:tc>
          <w:tcPr>
            <w:tcW w:w="220" w:type="pct"/>
            <w:vAlign w:val="center"/>
          </w:tcPr>
          <w:p w14:paraId="29F893AC"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4045F557" w14:textId="77777777" w:rsidR="00DB3A40" w:rsidRPr="004E0468" w:rsidRDefault="00DB3A40" w:rsidP="00DB3A40">
            <w:pPr>
              <w:jc w:val="center"/>
              <w:rPr>
                <w:rFonts w:ascii="Times New Roman" w:hAnsi="Times New Roman" w:cs="Times New Roman"/>
              </w:rPr>
            </w:pPr>
          </w:p>
        </w:tc>
      </w:tr>
      <w:tr w:rsidR="00DB3A40" w:rsidRPr="004E0468" w14:paraId="17281F4C" w14:textId="77777777" w:rsidTr="00DB3A40">
        <w:trPr>
          <w:trHeight w:val="20"/>
        </w:trPr>
        <w:tc>
          <w:tcPr>
            <w:tcW w:w="1480" w:type="pct"/>
            <w:vAlign w:val="center"/>
          </w:tcPr>
          <w:p w14:paraId="34224E49"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Reducing material (i.e. raw material and/or water) consumption</w:t>
            </w:r>
          </w:p>
        </w:tc>
        <w:tc>
          <w:tcPr>
            <w:tcW w:w="220" w:type="pct"/>
            <w:vAlign w:val="center"/>
          </w:tcPr>
          <w:p w14:paraId="2322078F" w14:textId="77777777" w:rsidR="00DB3A40" w:rsidRPr="004E0468" w:rsidRDefault="00DB3A40" w:rsidP="00DB3A40">
            <w:pPr>
              <w:jc w:val="center"/>
              <w:rPr>
                <w:rFonts w:ascii="Times New Roman" w:hAnsi="Times New Roman" w:cs="Times New Roman"/>
              </w:rPr>
            </w:pPr>
          </w:p>
        </w:tc>
        <w:tc>
          <w:tcPr>
            <w:tcW w:w="220" w:type="pct"/>
            <w:vAlign w:val="center"/>
          </w:tcPr>
          <w:p w14:paraId="6B88C5E6"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791CF74C"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67480A6E"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51C5067C"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0E96ABCD"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45498867" w14:textId="77777777" w:rsidR="00DB3A40" w:rsidRPr="004E0468" w:rsidRDefault="00DB3A40" w:rsidP="00DB3A40">
            <w:pPr>
              <w:jc w:val="center"/>
              <w:rPr>
                <w:rFonts w:ascii="Times New Roman" w:hAnsi="Times New Roman" w:cs="Times New Roman"/>
              </w:rPr>
            </w:pPr>
          </w:p>
        </w:tc>
        <w:tc>
          <w:tcPr>
            <w:tcW w:w="220" w:type="pct"/>
            <w:vAlign w:val="center"/>
          </w:tcPr>
          <w:p w14:paraId="3102A259" w14:textId="77777777" w:rsidR="00DB3A40" w:rsidRPr="004E0468" w:rsidRDefault="00DB3A40" w:rsidP="00DB3A40">
            <w:pPr>
              <w:jc w:val="center"/>
              <w:rPr>
                <w:rFonts w:ascii="Times New Roman" w:hAnsi="Times New Roman" w:cs="Times New Roman"/>
              </w:rPr>
            </w:pPr>
          </w:p>
        </w:tc>
        <w:tc>
          <w:tcPr>
            <w:tcW w:w="220" w:type="pct"/>
            <w:vAlign w:val="center"/>
          </w:tcPr>
          <w:p w14:paraId="4D1AFC62" w14:textId="77777777" w:rsidR="00DB3A40" w:rsidRPr="004E0468" w:rsidRDefault="00DB3A40" w:rsidP="00DB3A40">
            <w:pPr>
              <w:jc w:val="center"/>
              <w:rPr>
                <w:rFonts w:ascii="Times New Roman" w:hAnsi="Times New Roman" w:cs="Times New Roman"/>
              </w:rPr>
            </w:pPr>
          </w:p>
        </w:tc>
        <w:tc>
          <w:tcPr>
            <w:tcW w:w="220" w:type="pct"/>
            <w:vAlign w:val="center"/>
          </w:tcPr>
          <w:p w14:paraId="1F512374" w14:textId="77777777" w:rsidR="00DB3A40" w:rsidRPr="004E0468" w:rsidRDefault="00DB3A40" w:rsidP="00DB3A40">
            <w:pPr>
              <w:jc w:val="center"/>
              <w:rPr>
                <w:rFonts w:ascii="Times New Roman" w:hAnsi="Times New Roman" w:cs="Times New Roman"/>
              </w:rPr>
            </w:pPr>
          </w:p>
        </w:tc>
        <w:tc>
          <w:tcPr>
            <w:tcW w:w="220" w:type="pct"/>
            <w:vAlign w:val="center"/>
          </w:tcPr>
          <w:p w14:paraId="06C9E98B" w14:textId="77777777" w:rsidR="00DB3A40" w:rsidRPr="004E0468" w:rsidRDefault="00DB3A40" w:rsidP="00DB3A40">
            <w:pPr>
              <w:jc w:val="center"/>
              <w:rPr>
                <w:rFonts w:ascii="Times New Roman" w:hAnsi="Times New Roman" w:cs="Times New Roman"/>
              </w:rPr>
            </w:pPr>
          </w:p>
        </w:tc>
        <w:tc>
          <w:tcPr>
            <w:tcW w:w="220" w:type="pct"/>
            <w:vAlign w:val="center"/>
          </w:tcPr>
          <w:p w14:paraId="0B112927"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C6484BA"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74498F5"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0DACAA20"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34074D2A"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r>
      <w:tr w:rsidR="00DB3A40" w:rsidRPr="004E0468" w14:paraId="16663B6E" w14:textId="77777777" w:rsidTr="00DB3A40">
        <w:trPr>
          <w:trHeight w:val="20"/>
        </w:trPr>
        <w:tc>
          <w:tcPr>
            <w:tcW w:w="1480" w:type="pct"/>
            <w:vAlign w:val="center"/>
          </w:tcPr>
          <w:p w14:paraId="794574AE"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Reducing pollutants emissions</w:t>
            </w:r>
          </w:p>
        </w:tc>
        <w:tc>
          <w:tcPr>
            <w:tcW w:w="220" w:type="pct"/>
            <w:vAlign w:val="center"/>
          </w:tcPr>
          <w:p w14:paraId="789A41C0" w14:textId="77777777" w:rsidR="00DB3A40" w:rsidRPr="004E0468" w:rsidRDefault="00DB3A40" w:rsidP="00DB3A40">
            <w:pPr>
              <w:jc w:val="center"/>
              <w:rPr>
                <w:rFonts w:ascii="Times New Roman" w:hAnsi="Times New Roman" w:cs="Times New Roman"/>
              </w:rPr>
            </w:pPr>
          </w:p>
        </w:tc>
        <w:tc>
          <w:tcPr>
            <w:tcW w:w="220" w:type="pct"/>
            <w:vAlign w:val="center"/>
          </w:tcPr>
          <w:p w14:paraId="50D95D68"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DE145F5"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0645A66B" w14:textId="77777777" w:rsidR="00DB3A40" w:rsidRPr="004E0468" w:rsidRDefault="00DB3A40" w:rsidP="00DB3A40">
            <w:pPr>
              <w:jc w:val="center"/>
              <w:rPr>
                <w:rFonts w:ascii="Times New Roman" w:hAnsi="Times New Roman" w:cs="Times New Roman"/>
              </w:rPr>
            </w:pPr>
          </w:p>
        </w:tc>
        <w:tc>
          <w:tcPr>
            <w:tcW w:w="220" w:type="pct"/>
            <w:vAlign w:val="center"/>
          </w:tcPr>
          <w:p w14:paraId="390E0541"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69EC52CC"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A314130"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E9EA98D" w14:textId="77777777" w:rsidR="00DB3A40" w:rsidRPr="004E0468" w:rsidRDefault="00DB3A40" w:rsidP="00DB3A40">
            <w:pPr>
              <w:jc w:val="center"/>
              <w:rPr>
                <w:rFonts w:ascii="Times New Roman" w:hAnsi="Times New Roman" w:cs="Times New Roman"/>
              </w:rPr>
            </w:pPr>
          </w:p>
        </w:tc>
        <w:tc>
          <w:tcPr>
            <w:tcW w:w="220" w:type="pct"/>
            <w:vAlign w:val="center"/>
          </w:tcPr>
          <w:p w14:paraId="67DB5B44" w14:textId="77777777" w:rsidR="00DB3A40" w:rsidRPr="004E0468" w:rsidRDefault="00DB3A40" w:rsidP="00DB3A40">
            <w:pPr>
              <w:jc w:val="center"/>
              <w:rPr>
                <w:rFonts w:ascii="Times New Roman" w:hAnsi="Times New Roman" w:cs="Times New Roman"/>
              </w:rPr>
            </w:pPr>
          </w:p>
        </w:tc>
        <w:tc>
          <w:tcPr>
            <w:tcW w:w="220" w:type="pct"/>
            <w:vAlign w:val="center"/>
          </w:tcPr>
          <w:p w14:paraId="65491FC2" w14:textId="77777777" w:rsidR="00DB3A40" w:rsidRPr="004E0468" w:rsidRDefault="00DB3A40" w:rsidP="00DB3A40">
            <w:pPr>
              <w:jc w:val="center"/>
              <w:rPr>
                <w:rFonts w:ascii="Times New Roman" w:hAnsi="Times New Roman" w:cs="Times New Roman"/>
              </w:rPr>
            </w:pPr>
          </w:p>
        </w:tc>
        <w:tc>
          <w:tcPr>
            <w:tcW w:w="220" w:type="pct"/>
            <w:vAlign w:val="center"/>
          </w:tcPr>
          <w:p w14:paraId="4154506F" w14:textId="77777777" w:rsidR="00DB3A40" w:rsidRPr="004E0468" w:rsidRDefault="00DB3A40" w:rsidP="00DB3A40">
            <w:pPr>
              <w:jc w:val="center"/>
              <w:rPr>
                <w:rFonts w:ascii="Times New Roman" w:hAnsi="Times New Roman" w:cs="Times New Roman"/>
              </w:rPr>
            </w:pPr>
          </w:p>
        </w:tc>
        <w:tc>
          <w:tcPr>
            <w:tcW w:w="220" w:type="pct"/>
            <w:vAlign w:val="center"/>
          </w:tcPr>
          <w:p w14:paraId="5A9E8EEF" w14:textId="77777777" w:rsidR="00DB3A40" w:rsidRPr="004E0468" w:rsidRDefault="00DB3A40" w:rsidP="00DB3A40">
            <w:pPr>
              <w:jc w:val="center"/>
              <w:rPr>
                <w:rFonts w:ascii="Times New Roman" w:hAnsi="Times New Roman" w:cs="Times New Roman"/>
              </w:rPr>
            </w:pPr>
          </w:p>
        </w:tc>
        <w:tc>
          <w:tcPr>
            <w:tcW w:w="220" w:type="pct"/>
            <w:vAlign w:val="center"/>
          </w:tcPr>
          <w:p w14:paraId="0FDE5426" w14:textId="77777777" w:rsidR="00DB3A40" w:rsidRPr="004E0468" w:rsidRDefault="00DB3A40" w:rsidP="00DB3A40">
            <w:pPr>
              <w:jc w:val="center"/>
              <w:rPr>
                <w:rFonts w:ascii="Times New Roman" w:hAnsi="Times New Roman" w:cs="Times New Roman"/>
              </w:rPr>
            </w:pPr>
          </w:p>
        </w:tc>
        <w:tc>
          <w:tcPr>
            <w:tcW w:w="220" w:type="pct"/>
            <w:vAlign w:val="center"/>
          </w:tcPr>
          <w:p w14:paraId="5F4EE9CE"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716C5FEC"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65A8C3A3" w14:textId="77777777" w:rsidR="00DB3A40" w:rsidRPr="004E0468" w:rsidRDefault="00DB3A40" w:rsidP="00DB3A40">
            <w:pPr>
              <w:jc w:val="center"/>
              <w:rPr>
                <w:rFonts w:ascii="Times New Roman" w:hAnsi="Times New Roman" w:cs="Times New Roman"/>
              </w:rPr>
            </w:pPr>
          </w:p>
        </w:tc>
      </w:tr>
      <w:tr w:rsidR="00DB3A40" w:rsidRPr="004E0468" w14:paraId="50D8D522" w14:textId="77777777" w:rsidTr="00DB3A40">
        <w:trPr>
          <w:trHeight w:val="20"/>
        </w:trPr>
        <w:tc>
          <w:tcPr>
            <w:tcW w:w="1480" w:type="pct"/>
            <w:vAlign w:val="center"/>
          </w:tcPr>
          <w:p w14:paraId="6B029E0F"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Reducing wastes</w:t>
            </w:r>
          </w:p>
        </w:tc>
        <w:tc>
          <w:tcPr>
            <w:tcW w:w="220" w:type="pct"/>
            <w:vAlign w:val="center"/>
          </w:tcPr>
          <w:p w14:paraId="5E76A101"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080B9170"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ED722A5"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5E58ED2E" w14:textId="77777777" w:rsidR="00DB3A40" w:rsidRPr="004E0468" w:rsidRDefault="00DB3A40" w:rsidP="00DB3A40">
            <w:pPr>
              <w:jc w:val="center"/>
              <w:rPr>
                <w:rFonts w:ascii="Times New Roman" w:hAnsi="Times New Roman" w:cs="Times New Roman"/>
              </w:rPr>
            </w:pPr>
          </w:p>
        </w:tc>
        <w:tc>
          <w:tcPr>
            <w:tcW w:w="220" w:type="pct"/>
            <w:vAlign w:val="center"/>
          </w:tcPr>
          <w:p w14:paraId="148FE45E" w14:textId="77777777" w:rsidR="00DB3A40" w:rsidRPr="004E0468" w:rsidRDefault="00DB3A40" w:rsidP="00DB3A40">
            <w:pPr>
              <w:jc w:val="center"/>
              <w:rPr>
                <w:rFonts w:ascii="Times New Roman" w:hAnsi="Times New Roman" w:cs="Times New Roman"/>
              </w:rPr>
            </w:pPr>
          </w:p>
        </w:tc>
        <w:tc>
          <w:tcPr>
            <w:tcW w:w="220" w:type="pct"/>
            <w:vAlign w:val="center"/>
          </w:tcPr>
          <w:p w14:paraId="6F3897C7"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69239EE2" w14:textId="77777777" w:rsidR="00DB3A40" w:rsidRPr="004E0468" w:rsidRDefault="00DB3A40" w:rsidP="00DB3A40">
            <w:pPr>
              <w:jc w:val="center"/>
              <w:rPr>
                <w:rFonts w:ascii="Times New Roman" w:hAnsi="Times New Roman" w:cs="Times New Roman"/>
              </w:rPr>
            </w:pPr>
          </w:p>
        </w:tc>
        <w:tc>
          <w:tcPr>
            <w:tcW w:w="220" w:type="pct"/>
            <w:vAlign w:val="center"/>
          </w:tcPr>
          <w:p w14:paraId="16932C08"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70CDFE9" w14:textId="77777777" w:rsidR="00DB3A40" w:rsidRPr="004E0468" w:rsidRDefault="00DB3A40" w:rsidP="00DB3A40">
            <w:pPr>
              <w:jc w:val="center"/>
              <w:rPr>
                <w:rFonts w:ascii="Times New Roman" w:hAnsi="Times New Roman" w:cs="Times New Roman"/>
              </w:rPr>
            </w:pPr>
          </w:p>
        </w:tc>
        <w:tc>
          <w:tcPr>
            <w:tcW w:w="220" w:type="pct"/>
            <w:vAlign w:val="center"/>
          </w:tcPr>
          <w:p w14:paraId="33F6BF8B" w14:textId="77777777" w:rsidR="00DB3A40" w:rsidRPr="004E0468" w:rsidRDefault="00DB3A40" w:rsidP="00DB3A40">
            <w:pPr>
              <w:jc w:val="center"/>
              <w:rPr>
                <w:rFonts w:ascii="Times New Roman" w:hAnsi="Times New Roman" w:cs="Times New Roman"/>
              </w:rPr>
            </w:pPr>
          </w:p>
        </w:tc>
        <w:tc>
          <w:tcPr>
            <w:tcW w:w="220" w:type="pct"/>
            <w:vAlign w:val="center"/>
          </w:tcPr>
          <w:p w14:paraId="1C1EFF6E" w14:textId="77777777" w:rsidR="00DB3A40" w:rsidRPr="004E0468" w:rsidRDefault="00DB3A40" w:rsidP="00DB3A40">
            <w:pPr>
              <w:jc w:val="center"/>
              <w:rPr>
                <w:rFonts w:ascii="Times New Roman" w:hAnsi="Times New Roman" w:cs="Times New Roman"/>
              </w:rPr>
            </w:pPr>
          </w:p>
        </w:tc>
        <w:tc>
          <w:tcPr>
            <w:tcW w:w="220" w:type="pct"/>
            <w:vAlign w:val="center"/>
          </w:tcPr>
          <w:p w14:paraId="6C39E0D2"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0372CB88"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65F6E1F7"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4B47BE76"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1A6286C4" w14:textId="77777777" w:rsidR="00DB3A40" w:rsidRPr="004E0468" w:rsidRDefault="00DB3A40" w:rsidP="00DB3A40">
            <w:pPr>
              <w:jc w:val="center"/>
              <w:rPr>
                <w:rFonts w:ascii="Times New Roman" w:hAnsi="Times New Roman" w:cs="Times New Roman"/>
              </w:rPr>
            </w:pPr>
          </w:p>
        </w:tc>
      </w:tr>
      <w:tr w:rsidR="00DB3A40" w:rsidRPr="004E0468" w14:paraId="040112A3" w14:textId="77777777" w:rsidTr="00DB3A40">
        <w:trPr>
          <w:trHeight w:val="20"/>
        </w:trPr>
        <w:tc>
          <w:tcPr>
            <w:tcW w:w="1480" w:type="pct"/>
            <w:vAlign w:val="center"/>
          </w:tcPr>
          <w:p w14:paraId="29756194" w14:textId="77777777" w:rsidR="00DB3A40" w:rsidRPr="004E0468" w:rsidRDefault="00DB3A40" w:rsidP="00DB3A40">
            <w:pPr>
              <w:pStyle w:val="ListParagraph"/>
              <w:numPr>
                <w:ilvl w:val="0"/>
                <w:numId w:val="3"/>
              </w:numPr>
              <w:spacing w:after="0" w:line="240" w:lineRule="auto"/>
              <w:rPr>
                <w:rFonts w:ascii="Times New Roman" w:hAnsi="Times New Roman" w:cs="Times New Roman"/>
                <w:b/>
                <w:sz w:val="16"/>
                <w:szCs w:val="16"/>
              </w:rPr>
            </w:pPr>
            <w:r w:rsidRPr="004E0468">
              <w:rPr>
                <w:rFonts w:ascii="Times New Roman" w:hAnsi="Times New Roman" w:cs="Times New Roman"/>
                <w:b/>
                <w:sz w:val="16"/>
                <w:szCs w:val="16"/>
              </w:rPr>
              <w:t>Investment recovery</w:t>
            </w:r>
          </w:p>
        </w:tc>
        <w:tc>
          <w:tcPr>
            <w:tcW w:w="220" w:type="pct"/>
            <w:vAlign w:val="center"/>
          </w:tcPr>
          <w:p w14:paraId="172D37A5" w14:textId="77777777" w:rsidR="00DB3A40" w:rsidRPr="004E0468" w:rsidRDefault="00DB3A40" w:rsidP="00DB3A40">
            <w:pPr>
              <w:jc w:val="center"/>
              <w:rPr>
                <w:rFonts w:ascii="Times New Roman" w:hAnsi="Times New Roman" w:cs="Times New Roman"/>
              </w:rPr>
            </w:pPr>
          </w:p>
        </w:tc>
        <w:tc>
          <w:tcPr>
            <w:tcW w:w="220" w:type="pct"/>
            <w:vAlign w:val="center"/>
          </w:tcPr>
          <w:p w14:paraId="3CBC765B" w14:textId="77777777" w:rsidR="00DB3A40" w:rsidRPr="004E0468" w:rsidRDefault="00DB3A40" w:rsidP="00DB3A40">
            <w:pPr>
              <w:jc w:val="center"/>
              <w:rPr>
                <w:rFonts w:ascii="Times New Roman" w:hAnsi="Times New Roman" w:cs="Times New Roman"/>
              </w:rPr>
            </w:pPr>
          </w:p>
        </w:tc>
        <w:tc>
          <w:tcPr>
            <w:tcW w:w="220" w:type="pct"/>
            <w:vAlign w:val="center"/>
          </w:tcPr>
          <w:p w14:paraId="25154A7E" w14:textId="77777777" w:rsidR="00DB3A40" w:rsidRPr="004E0468" w:rsidRDefault="00DB3A40" w:rsidP="00DB3A40">
            <w:pPr>
              <w:jc w:val="center"/>
              <w:rPr>
                <w:rFonts w:ascii="Times New Roman" w:hAnsi="Times New Roman" w:cs="Times New Roman"/>
              </w:rPr>
            </w:pPr>
          </w:p>
        </w:tc>
        <w:tc>
          <w:tcPr>
            <w:tcW w:w="220" w:type="pct"/>
            <w:vAlign w:val="center"/>
          </w:tcPr>
          <w:p w14:paraId="3CD7778D" w14:textId="77777777" w:rsidR="00DB3A40" w:rsidRPr="004E0468" w:rsidRDefault="00DB3A40" w:rsidP="00DB3A40">
            <w:pPr>
              <w:jc w:val="center"/>
              <w:rPr>
                <w:rFonts w:ascii="Times New Roman" w:hAnsi="Times New Roman" w:cs="Times New Roman"/>
              </w:rPr>
            </w:pPr>
          </w:p>
        </w:tc>
        <w:tc>
          <w:tcPr>
            <w:tcW w:w="220" w:type="pct"/>
            <w:vAlign w:val="center"/>
          </w:tcPr>
          <w:p w14:paraId="31122368" w14:textId="77777777" w:rsidR="00DB3A40" w:rsidRPr="004E0468" w:rsidRDefault="00DB3A40" w:rsidP="00DB3A40">
            <w:pPr>
              <w:jc w:val="center"/>
              <w:rPr>
                <w:rFonts w:ascii="Times New Roman" w:hAnsi="Times New Roman" w:cs="Times New Roman"/>
              </w:rPr>
            </w:pPr>
          </w:p>
        </w:tc>
        <w:tc>
          <w:tcPr>
            <w:tcW w:w="220" w:type="pct"/>
            <w:vAlign w:val="center"/>
          </w:tcPr>
          <w:p w14:paraId="1FE515B0" w14:textId="77777777" w:rsidR="00DB3A40" w:rsidRPr="004E0468" w:rsidRDefault="00DB3A40" w:rsidP="00DB3A40">
            <w:pPr>
              <w:jc w:val="center"/>
              <w:rPr>
                <w:rFonts w:ascii="Times New Roman" w:hAnsi="Times New Roman" w:cs="Times New Roman"/>
              </w:rPr>
            </w:pPr>
          </w:p>
        </w:tc>
        <w:tc>
          <w:tcPr>
            <w:tcW w:w="220" w:type="pct"/>
            <w:vAlign w:val="center"/>
          </w:tcPr>
          <w:p w14:paraId="327DD0AA" w14:textId="77777777" w:rsidR="00DB3A40" w:rsidRPr="004E0468" w:rsidRDefault="00DB3A40" w:rsidP="00DB3A40">
            <w:pPr>
              <w:jc w:val="center"/>
              <w:rPr>
                <w:rFonts w:ascii="Times New Roman" w:hAnsi="Times New Roman" w:cs="Times New Roman"/>
              </w:rPr>
            </w:pPr>
          </w:p>
        </w:tc>
        <w:tc>
          <w:tcPr>
            <w:tcW w:w="220" w:type="pct"/>
            <w:vAlign w:val="center"/>
          </w:tcPr>
          <w:p w14:paraId="1FBAC76D" w14:textId="77777777" w:rsidR="00DB3A40" w:rsidRPr="004E0468" w:rsidRDefault="00DB3A40" w:rsidP="00DB3A40">
            <w:pPr>
              <w:jc w:val="center"/>
              <w:rPr>
                <w:rFonts w:ascii="Times New Roman" w:hAnsi="Times New Roman" w:cs="Times New Roman"/>
              </w:rPr>
            </w:pPr>
          </w:p>
        </w:tc>
        <w:tc>
          <w:tcPr>
            <w:tcW w:w="220" w:type="pct"/>
            <w:vAlign w:val="center"/>
          </w:tcPr>
          <w:p w14:paraId="5B8166E1" w14:textId="77777777" w:rsidR="00DB3A40" w:rsidRPr="004E0468" w:rsidRDefault="00DB3A40" w:rsidP="00DB3A40">
            <w:pPr>
              <w:jc w:val="center"/>
              <w:rPr>
                <w:rFonts w:ascii="Times New Roman" w:hAnsi="Times New Roman" w:cs="Times New Roman"/>
              </w:rPr>
            </w:pPr>
          </w:p>
        </w:tc>
        <w:tc>
          <w:tcPr>
            <w:tcW w:w="220" w:type="pct"/>
            <w:vAlign w:val="center"/>
          </w:tcPr>
          <w:p w14:paraId="0E54AE1E" w14:textId="77777777" w:rsidR="00DB3A40" w:rsidRPr="004E0468" w:rsidRDefault="00DB3A40" w:rsidP="00DB3A40">
            <w:pPr>
              <w:jc w:val="center"/>
              <w:rPr>
                <w:rFonts w:ascii="Times New Roman" w:hAnsi="Times New Roman" w:cs="Times New Roman"/>
              </w:rPr>
            </w:pPr>
          </w:p>
        </w:tc>
        <w:tc>
          <w:tcPr>
            <w:tcW w:w="220" w:type="pct"/>
            <w:vAlign w:val="center"/>
          </w:tcPr>
          <w:p w14:paraId="61A86959" w14:textId="77777777" w:rsidR="00DB3A40" w:rsidRPr="004E0468" w:rsidRDefault="00DB3A40" w:rsidP="00DB3A40">
            <w:pPr>
              <w:jc w:val="center"/>
              <w:rPr>
                <w:rFonts w:ascii="Times New Roman" w:hAnsi="Times New Roman" w:cs="Times New Roman"/>
              </w:rPr>
            </w:pPr>
          </w:p>
        </w:tc>
        <w:tc>
          <w:tcPr>
            <w:tcW w:w="220" w:type="pct"/>
            <w:vAlign w:val="center"/>
          </w:tcPr>
          <w:p w14:paraId="14DE5ADE" w14:textId="77777777" w:rsidR="00DB3A40" w:rsidRPr="004E0468" w:rsidRDefault="00DB3A40" w:rsidP="00DB3A40">
            <w:pPr>
              <w:jc w:val="center"/>
              <w:rPr>
                <w:rFonts w:ascii="Times New Roman" w:hAnsi="Times New Roman" w:cs="Times New Roman"/>
              </w:rPr>
            </w:pPr>
          </w:p>
        </w:tc>
        <w:tc>
          <w:tcPr>
            <w:tcW w:w="220" w:type="pct"/>
            <w:vAlign w:val="center"/>
          </w:tcPr>
          <w:p w14:paraId="3150C0D4" w14:textId="77777777" w:rsidR="00DB3A40" w:rsidRPr="004E0468" w:rsidRDefault="00DB3A40" w:rsidP="00DB3A40">
            <w:pPr>
              <w:jc w:val="center"/>
              <w:rPr>
                <w:rFonts w:ascii="Times New Roman" w:hAnsi="Times New Roman" w:cs="Times New Roman"/>
              </w:rPr>
            </w:pPr>
          </w:p>
        </w:tc>
        <w:tc>
          <w:tcPr>
            <w:tcW w:w="220" w:type="pct"/>
            <w:vAlign w:val="center"/>
          </w:tcPr>
          <w:p w14:paraId="0202581D"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EFB14DF"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715C7BAA"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r>
      <w:tr w:rsidR="00DB3A40" w:rsidRPr="004E0468" w14:paraId="1F604B70" w14:textId="77777777" w:rsidTr="00DB3A40">
        <w:trPr>
          <w:trHeight w:val="20"/>
        </w:trPr>
        <w:tc>
          <w:tcPr>
            <w:tcW w:w="1480" w:type="pct"/>
            <w:vAlign w:val="center"/>
          </w:tcPr>
          <w:p w14:paraId="38349DA7"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Taking back products from consumers after the end of their functional life</w:t>
            </w:r>
          </w:p>
        </w:tc>
        <w:tc>
          <w:tcPr>
            <w:tcW w:w="220" w:type="pct"/>
            <w:vAlign w:val="center"/>
          </w:tcPr>
          <w:p w14:paraId="5590F079" w14:textId="77777777" w:rsidR="00DB3A40" w:rsidRPr="004E0468" w:rsidRDefault="00DB3A40" w:rsidP="00DB3A40">
            <w:pPr>
              <w:jc w:val="center"/>
              <w:rPr>
                <w:rFonts w:ascii="Times New Roman" w:hAnsi="Times New Roman" w:cs="Times New Roman"/>
              </w:rPr>
            </w:pPr>
          </w:p>
        </w:tc>
        <w:tc>
          <w:tcPr>
            <w:tcW w:w="220" w:type="pct"/>
            <w:vAlign w:val="center"/>
          </w:tcPr>
          <w:p w14:paraId="346645DF" w14:textId="77777777" w:rsidR="00DB3A40" w:rsidRPr="004E0468" w:rsidRDefault="00DB3A40" w:rsidP="00DB3A40">
            <w:pPr>
              <w:jc w:val="center"/>
              <w:rPr>
                <w:rFonts w:ascii="Times New Roman" w:hAnsi="Times New Roman" w:cs="Times New Roman"/>
              </w:rPr>
            </w:pPr>
          </w:p>
        </w:tc>
        <w:tc>
          <w:tcPr>
            <w:tcW w:w="220" w:type="pct"/>
            <w:vAlign w:val="center"/>
          </w:tcPr>
          <w:p w14:paraId="529355C6"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794E7DFE" w14:textId="77777777" w:rsidR="00DB3A40" w:rsidRPr="004E0468" w:rsidRDefault="00DB3A40" w:rsidP="00DB3A40">
            <w:pPr>
              <w:jc w:val="center"/>
              <w:rPr>
                <w:rFonts w:ascii="Times New Roman" w:hAnsi="Times New Roman" w:cs="Times New Roman"/>
              </w:rPr>
            </w:pPr>
          </w:p>
        </w:tc>
        <w:tc>
          <w:tcPr>
            <w:tcW w:w="220" w:type="pct"/>
            <w:vAlign w:val="center"/>
          </w:tcPr>
          <w:p w14:paraId="53447D25" w14:textId="77777777" w:rsidR="00DB3A40" w:rsidRPr="004E0468" w:rsidRDefault="00DB3A40" w:rsidP="00DB3A40">
            <w:pPr>
              <w:jc w:val="center"/>
              <w:rPr>
                <w:rFonts w:ascii="Times New Roman" w:hAnsi="Times New Roman" w:cs="Times New Roman"/>
              </w:rPr>
            </w:pPr>
          </w:p>
        </w:tc>
        <w:tc>
          <w:tcPr>
            <w:tcW w:w="220" w:type="pct"/>
            <w:vAlign w:val="center"/>
          </w:tcPr>
          <w:p w14:paraId="0581E8A9" w14:textId="77777777" w:rsidR="00DB3A40" w:rsidRPr="004E0468" w:rsidRDefault="00DB3A40" w:rsidP="00DB3A40">
            <w:pPr>
              <w:jc w:val="center"/>
              <w:rPr>
                <w:rFonts w:ascii="Times New Roman" w:hAnsi="Times New Roman" w:cs="Times New Roman"/>
              </w:rPr>
            </w:pPr>
          </w:p>
        </w:tc>
        <w:tc>
          <w:tcPr>
            <w:tcW w:w="220" w:type="pct"/>
            <w:vAlign w:val="center"/>
          </w:tcPr>
          <w:p w14:paraId="63C7444E" w14:textId="77777777" w:rsidR="00DB3A40" w:rsidRPr="004E0468" w:rsidRDefault="00DB3A40" w:rsidP="00DB3A40">
            <w:pPr>
              <w:jc w:val="center"/>
              <w:rPr>
                <w:rFonts w:ascii="Times New Roman" w:hAnsi="Times New Roman" w:cs="Times New Roman"/>
              </w:rPr>
            </w:pPr>
          </w:p>
        </w:tc>
        <w:tc>
          <w:tcPr>
            <w:tcW w:w="220" w:type="pct"/>
            <w:vAlign w:val="center"/>
          </w:tcPr>
          <w:p w14:paraId="6E9444EA" w14:textId="77777777" w:rsidR="00DB3A40" w:rsidRPr="004E0468" w:rsidRDefault="00DB3A40" w:rsidP="00DB3A40">
            <w:pPr>
              <w:jc w:val="center"/>
              <w:rPr>
                <w:rFonts w:ascii="Times New Roman" w:hAnsi="Times New Roman" w:cs="Times New Roman"/>
              </w:rPr>
            </w:pPr>
          </w:p>
        </w:tc>
        <w:tc>
          <w:tcPr>
            <w:tcW w:w="220" w:type="pct"/>
            <w:vAlign w:val="center"/>
          </w:tcPr>
          <w:p w14:paraId="4924CA61" w14:textId="77777777" w:rsidR="00DB3A40" w:rsidRPr="004E0468" w:rsidRDefault="00DB3A40" w:rsidP="00DB3A40">
            <w:pPr>
              <w:jc w:val="center"/>
              <w:rPr>
                <w:rFonts w:ascii="Times New Roman" w:hAnsi="Times New Roman" w:cs="Times New Roman"/>
              </w:rPr>
            </w:pPr>
          </w:p>
        </w:tc>
        <w:tc>
          <w:tcPr>
            <w:tcW w:w="220" w:type="pct"/>
            <w:vAlign w:val="center"/>
          </w:tcPr>
          <w:p w14:paraId="2374D15E" w14:textId="77777777" w:rsidR="00DB3A40" w:rsidRPr="004E0468" w:rsidRDefault="00DB3A40" w:rsidP="00DB3A40">
            <w:pPr>
              <w:jc w:val="center"/>
              <w:rPr>
                <w:rFonts w:ascii="Times New Roman" w:hAnsi="Times New Roman" w:cs="Times New Roman"/>
              </w:rPr>
            </w:pPr>
          </w:p>
        </w:tc>
        <w:tc>
          <w:tcPr>
            <w:tcW w:w="220" w:type="pct"/>
            <w:vAlign w:val="center"/>
          </w:tcPr>
          <w:p w14:paraId="5390CCBA" w14:textId="77777777" w:rsidR="00DB3A40" w:rsidRPr="004E0468" w:rsidRDefault="00DB3A40" w:rsidP="00DB3A40">
            <w:pPr>
              <w:jc w:val="center"/>
              <w:rPr>
                <w:rFonts w:ascii="Times New Roman" w:hAnsi="Times New Roman" w:cs="Times New Roman"/>
              </w:rPr>
            </w:pPr>
          </w:p>
        </w:tc>
        <w:tc>
          <w:tcPr>
            <w:tcW w:w="220" w:type="pct"/>
            <w:vAlign w:val="center"/>
          </w:tcPr>
          <w:p w14:paraId="750AE3A5" w14:textId="77777777" w:rsidR="00DB3A40" w:rsidRPr="004E0468" w:rsidRDefault="00DB3A40" w:rsidP="00DB3A40">
            <w:pPr>
              <w:jc w:val="center"/>
              <w:rPr>
                <w:rFonts w:ascii="Times New Roman" w:hAnsi="Times New Roman" w:cs="Times New Roman"/>
              </w:rPr>
            </w:pPr>
          </w:p>
        </w:tc>
        <w:tc>
          <w:tcPr>
            <w:tcW w:w="220" w:type="pct"/>
            <w:vAlign w:val="center"/>
          </w:tcPr>
          <w:p w14:paraId="3DCC163F" w14:textId="77777777" w:rsidR="00DB3A40" w:rsidRPr="004E0468" w:rsidRDefault="00DB3A40" w:rsidP="00DB3A40">
            <w:pPr>
              <w:jc w:val="center"/>
              <w:rPr>
                <w:rFonts w:ascii="Times New Roman" w:hAnsi="Times New Roman" w:cs="Times New Roman"/>
              </w:rPr>
            </w:pPr>
          </w:p>
        </w:tc>
        <w:tc>
          <w:tcPr>
            <w:tcW w:w="220" w:type="pct"/>
            <w:vAlign w:val="center"/>
          </w:tcPr>
          <w:p w14:paraId="597E388A"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5A4BF52D" w14:textId="77777777" w:rsidR="00DB3A40" w:rsidRPr="004E0468" w:rsidRDefault="00DB3A40" w:rsidP="00DB3A40">
            <w:pPr>
              <w:jc w:val="center"/>
              <w:rPr>
                <w:rFonts w:ascii="Times New Roman" w:hAnsi="Times New Roman" w:cs="Times New Roman"/>
              </w:rPr>
            </w:pPr>
          </w:p>
        </w:tc>
        <w:tc>
          <w:tcPr>
            <w:tcW w:w="217" w:type="pct"/>
            <w:vAlign w:val="center"/>
          </w:tcPr>
          <w:p w14:paraId="2F09A088" w14:textId="77777777" w:rsidR="00DB3A40" w:rsidRPr="004E0468" w:rsidRDefault="00DB3A40" w:rsidP="00DB3A40">
            <w:pPr>
              <w:jc w:val="center"/>
              <w:rPr>
                <w:rFonts w:ascii="Times New Roman" w:hAnsi="Times New Roman" w:cs="Times New Roman"/>
              </w:rPr>
            </w:pPr>
          </w:p>
        </w:tc>
      </w:tr>
      <w:tr w:rsidR="00DB3A40" w:rsidRPr="004E0468" w14:paraId="4750CF6D" w14:textId="77777777" w:rsidTr="00DB3A40">
        <w:trPr>
          <w:trHeight w:val="20"/>
        </w:trPr>
        <w:tc>
          <w:tcPr>
            <w:tcW w:w="1480" w:type="pct"/>
            <w:vAlign w:val="center"/>
          </w:tcPr>
          <w:p w14:paraId="4C3ACCD9"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Taking back products from consumers after the end of their usage</w:t>
            </w:r>
          </w:p>
        </w:tc>
        <w:tc>
          <w:tcPr>
            <w:tcW w:w="220" w:type="pct"/>
            <w:vAlign w:val="center"/>
          </w:tcPr>
          <w:p w14:paraId="06D16D6A" w14:textId="77777777" w:rsidR="00DB3A40" w:rsidRPr="004E0468" w:rsidRDefault="00DB3A40" w:rsidP="00DB3A40">
            <w:pPr>
              <w:jc w:val="center"/>
              <w:rPr>
                <w:rFonts w:ascii="Times New Roman" w:hAnsi="Times New Roman" w:cs="Times New Roman"/>
              </w:rPr>
            </w:pPr>
          </w:p>
        </w:tc>
        <w:tc>
          <w:tcPr>
            <w:tcW w:w="220" w:type="pct"/>
            <w:vAlign w:val="center"/>
          </w:tcPr>
          <w:p w14:paraId="2B5F210C" w14:textId="77777777" w:rsidR="00DB3A40" w:rsidRPr="004E0468" w:rsidRDefault="00DB3A40" w:rsidP="00DB3A40">
            <w:pPr>
              <w:jc w:val="center"/>
              <w:rPr>
                <w:rFonts w:ascii="Times New Roman" w:hAnsi="Times New Roman" w:cs="Times New Roman"/>
              </w:rPr>
            </w:pPr>
          </w:p>
        </w:tc>
        <w:tc>
          <w:tcPr>
            <w:tcW w:w="220" w:type="pct"/>
            <w:vAlign w:val="center"/>
          </w:tcPr>
          <w:p w14:paraId="7B83A345"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041B8D13" w14:textId="77777777" w:rsidR="00DB3A40" w:rsidRPr="004E0468" w:rsidRDefault="00DB3A40" w:rsidP="00DB3A40">
            <w:pPr>
              <w:jc w:val="center"/>
              <w:rPr>
                <w:rFonts w:ascii="Times New Roman" w:hAnsi="Times New Roman" w:cs="Times New Roman"/>
              </w:rPr>
            </w:pPr>
          </w:p>
        </w:tc>
        <w:tc>
          <w:tcPr>
            <w:tcW w:w="220" w:type="pct"/>
            <w:vAlign w:val="center"/>
          </w:tcPr>
          <w:p w14:paraId="2FFFC0E2" w14:textId="77777777" w:rsidR="00DB3A40" w:rsidRPr="004E0468" w:rsidRDefault="00DB3A40" w:rsidP="00DB3A40">
            <w:pPr>
              <w:jc w:val="center"/>
              <w:rPr>
                <w:rFonts w:ascii="Times New Roman" w:hAnsi="Times New Roman" w:cs="Times New Roman"/>
              </w:rPr>
            </w:pPr>
          </w:p>
        </w:tc>
        <w:tc>
          <w:tcPr>
            <w:tcW w:w="220" w:type="pct"/>
            <w:vAlign w:val="center"/>
          </w:tcPr>
          <w:p w14:paraId="019773AC" w14:textId="77777777" w:rsidR="00DB3A40" w:rsidRPr="004E0468" w:rsidRDefault="00DB3A40" w:rsidP="00DB3A40">
            <w:pPr>
              <w:jc w:val="center"/>
              <w:rPr>
                <w:rFonts w:ascii="Times New Roman" w:hAnsi="Times New Roman" w:cs="Times New Roman"/>
              </w:rPr>
            </w:pPr>
          </w:p>
        </w:tc>
        <w:tc>
          <w:tcPr>
            <w:tcW w:w="220" w:type="pct"/>
            <w:vAlign w:val="center"/>
          </w:tcPr>
          <w:p w14:paraId="2A3D5199" w14:textId="77777777" w:rsidR="00DB3A40" w:rsidRPr="004E0468" w:rsidRDefault="00DB3A40" w:rsidP="00DB3A40">
            <w:pPr>
              <w:jc w:val="center"/>
              <w:rPr>
                <w:rFonts w:ascii="Times New Roman" w:hAnsi="Times New Roman" w:cs="Times New Roman"/>
              </w:rPr>
            </w:pPr>
          </w:p>
        </w:tc>
        <w:tc>
          <w:tcPr>
            <w:tcW w:w="220" w:type="pct"/>
            <w:vAlign w:val="center"/>
          </w:tcPr>
          <w:p w14:paraId="0D701255" w14:textId="77777777" w:rsidR="00DB3A40" w:rsidRPr="004E0468" w:rsidRDefault="00DB3A40" w:rsidP="00DB3A40">
            <w:pPr>
              <w:jc w:val="center"/>
              <w:rPr>
                <w:rFonts w:ascii="Times New Roman" w:hAnsi="Times New Roman" w:cs="Times New Roman"/>
              </w:rPr>
            </w:pPr>
          </w:p>
        </w:tc>
        <w:tc>
          <w:tcPr>
            <w:tcW w:w="220" w:type="pct"/>
            <w:vAlign w:val="center"/>
          </w:tcPr>
          <w:p w14:paraId="1F7C0B41" w14:textId="77777777" w:rsidR="00DB3A40" w:rsidRPr="004E0468" w:rsidRDefault="00DB3A40" w:rsidP="00DB3A40">
            <w:pPr>
              <w:jc w:val="center"/>
              <w:rPr>
                <w:rFonts w:ascii="Times New Roman" w:hAnsi="Times New Roman" w:cs="Times New Roman"/>
              </w:rPr>
            </w:pPr>
          </w:p>
        </w:tc>
        <w:tc>
          <w:tcPr>
            <w:tcW w:w="220" w:type="pct"/>
            <w:vAlign w:val="center"/>
          </w:tcPr>
          <w:p w14:paraId="74C87991" w14:textId="77777777" w:rsidR="00DB3A40" w:rsidRPr="004E0468" w:rsidRDefault="00DB3A40" w:rsidP="00DB3A40">
            <w:pPr>
              <w:jc w:val="center"/>
              <w:rPr>
                <w:rFonts w:ascii="Times New Roman" w:hAnsi="Times New Roman" w:cs="Times New Roman"/>
              </w:rPr>
            </w:pPr>
          </w:p>
        </w:tc>
        <w:tc>
          <w:tcPr>
            <w:tcW w:w="220" w:type="pct"/>
            <w:vAlign w:val="center"/>
          </w:tcPr>
          <w:p w14:paraId="49EC93AB" w14:textId="77777777" w:rsidR="00DB3A40" w:rsidRPr="004E0468" w:rsidRDefault="00DB3A40" w:rsidP="00DB3A40">
            <w:pPr>
              <w:jc w:val="center"/>
              <w:rPr>
                <w:rFonts w:ascii="Times New Roman" w:hAnsi="Times New Roman" w:cs="Times New Roman"/>
              </w:rPr>
            </w:pPr>
          </w:p>
        </w:tc>
        <w:tc>
          <w:tcPr>
            <w:tcW w:w="220" w:type="pct"/>
            <w:vAlign w:val="center"/>
          </w:tcPr>
          <w:p w14:paraId="13E9DD37" w14:textId="77777777" w:rsidR="00DB3A40" w:rsidRPr="004E0468" w:rsidRDefault="00DB3A40" w:rsidP="00DB3A40">
            <w:pPr>
              <w:jc w:val="center"/>
              <w:rPr>
                <w:rFonts w:ascii="Times New Roman" w:hAnsi="Times New Roman" w:cs="Times New Roman"/>
              </w:rPr>
            </w:pPr>
          </w:p>
        </w:tc>
        <w:tc>
          <w:tcPr>
            <w:tcW w:w="220" w:type="pct"/>
            <w:vAlign w:val="center"/>
          </w:tcPr>
          <w:p w14:paraId="0DD85582" w14:textId="77777777" w:rsidR="00DB3A40" w:rsidRPr="004E0468" w:rsidRDefault="00DB3A40" w:rsidP="00DB3A40">
            <w:pPr>
              <w:jc w:val="center"/>
              <w:rPr>
                <w:rFonts w:ascii="Times New Roman" w:hAnsi="Times New Roman" w:cs="Times New Roman"/>
              </w:rPr>
            </w:pPr>
          </w:p>
        </w:tc>
        <w:tc>
          <w:tcPr>
            <w:tcW w:w="220" w:type="pct"/>
            <w:vAlign w:val="center"/>
          </w:tcPr>
          <w:p w14:paraId="3F551D7D"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F592644" w14:textId="77777777" w:rsidR="00DB3A40" w:rsidRPr="004E0468" w:rsidRDefault="00DB3A40" w:rsidP="00DB3A40">
            <w:pPr>
              <w:jc w:val="center"/>
              <w:rPr>
                <w:rFonts w:ascii="Times New Roman" w:hAnsi="Times New Roman" w:cs="Times New Roman"/>
              </w:rPr>
            </w:pPr>
          </w:p>
        </w:tc>
        <w:tc>
          <w:tcPr>
            <w:tcW w:w="217" w:type="pct"/>
            <w:vAlign w:val="center"/>
          </w:tcPr>
          <w:p w14:paraId="5A1DE115" w14:textId="77777777" w:rsidR="00DB3A40" w:rsidRPr="004E0468" w:rsidRDefault="00DB3A40" w:rsidP="00DB3A40">
            <w:pPr>
              <w:jc w:val="center"/>
              <w:rPr>
                <w:rFonts w:ascii="Times New Roman" w:hAnsi="Times New Roman" w:cs="Times New Roman"/>
              </w:rPr>
            </w:pPr>
          </w:p>
        </w:tc>
      </w:tr>
      <w:tr w:rsidR="00DB3A40" w:rsidRPr="004E0468" w14:paraId="130B73E2" w14:textId="77777777" w:rsidTr="00DB3A40">
        <w:trPr>
          <w:trHeight w:val="20"/>
        </w:trPr>
        <w:tc>
          <w:tcPr>
            <w:tcW w:w="1480" w:type="pct"/>
            <w:vAlign w:val="center"/>
          </w:tcPr>
          <w:p w14:paraId="0232588D"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Remanufacturing products</w:t>
            </w:r>
          </w:p>
        </w:tc>
        <w:tc>
          <w:tcPr>
            <w:tcW w:w="220" w:type="pct"/>
            <w:vAlign w:val="center"/>
          </w:tcPr>
          <w:p w14:paraId="607BC56E" w14:textId="77777777" w:rsidR="00DB3A40" w:rsidRPr="004E0468" w:rsidRDefault="00DB3A40" w:rsidP="00DB3A40">
            <w:pPr>
              <w:jc w:val="center"/>
              <w:rPr>
                <w:rFonts w:ascii="Times New Roman" w:hAnsi="Times New Roman" w:cs="Times New Roman"/>
              </w:rPr>
            </w:pPr>
          </w:p>
        </w:tc>
        <w:tc>
          <w:tcPr>
            <w:tcW w:w="220" w:type="pct"/>
            <w:vAlign w:val="center"/>
          </w:tcPr>
          <w:p w14:paraId="0751ED40" w14:textId="77777777" w:rsidR="00DB3A40" w:rsidRPr="004E0468" w:rsidRDefault="00DB3A40" w:rsidP="00DB3A40">
            <w:pPr>
              <w:jc w:val="center"/>
              <w:rPr>
                <w:rFonts w:ascii="Times New Roman" w:hAnsi="Times New Roman" w:cs="Times New Roman"/>
              </w:rPr>
            </w:pPr>
          </w:p>
        </w:tc>
        <w:tc>
          <w:tcPr>
            <w:tcW w:w="220" w:type="pct"/>
            <w:vAlign w:val="center"/>
          </w:tcPr>
          <w:p w14:paraId="6D076406"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4F9527B9" w14:textId="77777777" w:rsidR="00DB3A40" w:rsidRPr="004E0468" w:rsidRDefault="00DB3A40" w:rsidP="00DB3A40">
            <w:pPr>
              <w:jc w:val="center"/>
              <w:rPr>
                <w:rFonts w:ascii="Times New Roman" w:hAnsi="Times New Roman" w:cs="Times New Roman"/>
              </w:rPr>
            </w:pPr>
          </w:p>
        </w:tc>
        <w:tc>
          <w:tcPr>
            <w:tcW w:w="220" w:type="pct"/>
            <w:vAlign w:val="center"/>
          </w:tcPr>
          <w:p w14:paraId="2821D3A1" w14:textId="77777777" w:rsidR="00DB3A40" w:rsidRPr="004E0468" w:rsidRDefault="00DB3A40" w:rsidP="00DB3A40">
            <w:pPr>
              <w:jc w:val="center"/>
              <w:rPr>
                <w:rFonts w:ascii="Times New Roman" w:hAnsi="Times New Roman" w:cs="Times New Roman"/>
              </w:rPr>
            </w:pPr>
          </w:p>
        </w:tc>
        <w:tc>
          <w:tcPr>
            <w:tcW w:w="220" w:type="pct"/>
            <w:vAlign w:val="center"/>
          </w:tcPr>
          <w:p w14:paraId="34C07EC9" w14:textId="77777777" w:rsidR="00DB3A40" w:rsidRPr="004E0468" w:rsidRDefault="00DB3A40" w:rsidP="00DB3A40">
            <w:pPr>
              <w:jc w:val="center"/>
              <w:rPr>
                <w:rFonts w:ascii="Times New Roman" w:hAnsi="Times New Roman" w:cs="Times New Roman"/>
              </w:rPr>
            </w:pPr>
          </w:p>
        </w:tc>
        <w:tc>
          <w:tcPr>
            <w:tcW w:w="220" w:type="pct"/>
            <w:vAlign w:val="center"/>
          </w:tcPr>
          <w:p w14:paraId="57CCC0CE" w14:textId="77777777" w:rsidR="00DB3A40" w:rsidRPr="004E0468" w:rsidRDefault="00DB3A40" w:rsidP="00DB3A40">
            <w:pPr>
              <w:jc w:val="center"/>
              <w:rPr>
                <w:rFonts w:ascii="Times New Roman" w:hAnsi="Times New Roman" w:cs="Times New Roman"/>
              </w:rPr>
            </w:pPr>
          </w:p>
        </w:tc>
        <w:tc>
          <w:tcPr>
            <w:tcW w:w="220" w:type="pct"/>
            <w:vAlign w:val="center"/>
          </w:tcPr>
          <w:p w14:paraId="650D8C3B" w14:textId="77777777" w:rsidR="00DB3A40" w:rsidRPr="004E0468" w:rsidRDefault="00DB3A40" w:rsidP="00DB3A40">
            <w:pPr>
              <w:jc w:val="center"/>
              <w:rPr>
                <w:rFonts w:ascii="Times New Roman" w:hAnsi="Times New Roman" w:cs="Times New Roman"/>
              </w:rPr>
            </w:pPr>
          </w:p>
        </w:tc>
        <w:tc>
          <w:tcPr>
            <w:tcW w:w="220" w:type="pct"/>
            <w:vAlign w:val="center"/>
          </w:tcPr>
          <w:p w14:paraId="53C994C4" w14:textId="77777777" w:rsidR="00DB3A40" w:rsidRPr="004E0468" w:rsidRDefault="00DB3A40" w:rsidP="00DB3A40">
            <w:pPr>
              <w:jc w:val="center"/>
              <w:rPr>
                <w:rFonts w:ascii="Times New Roman" w:hAnsi="Times New Roman" w:cs="Times New Roman"/>
              </w:rPr>
            </w:pPr>
          </w:p>
        </w:tc>
        <w:tc>
          <w:tcPr>
            <w:tcW w:w="220" w:type="pct"/>
            <w:vAlign w:val="center"/>
          </w:tcPr>
          <w:p w14:paraId="775CFB2A" w14:textId="77777777" w:rsidR="00DB3A40" w:rsidRPr="004E0468" w:rsidRDefault="00DB3A40" w:rsidP="00DB3A40">
            <w:pPr>
              <w:jc w:val="center"/>
              <w:rPr>
                <w:rFonts w:ascii="Times New Roman" w:hAnsi="Times New Roman" w:cs="Times New Roman"/>
              </w:rPr>
            </w:pPr>
          </w:p>
        </w:tc>
        <w:tc>
          <w:tcPr>
            <w:tcW w:w="220" w:type="pct"/>
            <w:vAlign w:val="center"/>
          </w:tcPr>
          <w:p w14:paraId="451C83E7" w14:textId="77777777" w:rsidR="00DB3A40" w:rsidRPr="004E0468" w:rsidRDefault="00DB3A40" w:rsidP="00DB3A40">
            <w:pPr>
              <w:jc w:val="center"/>
              <w:rPr>
                <w:rFonts w:ascii="Times New Roman" w:hAnsi="Times New Roman" w:cs="Times New Roman"/>
              </w:rPr>
            </w:pPr>
          </w:p>
        </w:tc>
        <w:tc>
          <w:tcPr>
            <w:tcW w:w="220" w:type="pct"/>
            <w:vAlign w:val="center"/>
          </w:tcPr>
          <w:p w14:paraId="71FD0251" w14:textId="77777777" w:rsidR="00DB3A40" w:rsidRPr="004E0468" w:rsidRDefault="00DB3A40" w:rsidP="00DB3A40">
            <w:pPr>
              <w:jc w:val="center"/>
              <w:rPr>
                <w:rFonts w:ascii="Times New Roman" w:hAnsi="Times New Roman" w:cs="Times New Roman"/>
              </w:rPr>
            </w:pPr>
          </w:p>
        </w:tc>
        <w:tc>
          <w:tcPr>
            <w:tcW w:w="220" w:type="pct"/>
            <w:vAlign w:val="center"/>
          </w:tcPr>
          <w:p w14:paraId="124ECF9F" w14:textId="77777777" w:rsidR="00DB3A40" w:rsidRPr="004E0468" w:rsidRDefault="00DB3A40" w:rsidP="00DB3A40">
            <w:pPr>
              <w:jc w:val="center"/>
              <w:rPr>
                <w:rFonts w:ascii="Times New Roman" w:hAnsi="Times New Roman" w:cs="Times New Roman"/>
              </w:rPr>
            </w:pPr>
          </w:p>
        </w:tc>
        <w:tc>
          <w:tcPr>
            <w:tcW w:w="220" w:type="pct"/>
            <w:vAlign w:val="center"/>
          </w:tcPr>
          <w:p w14:paraId="747FB357" w14:textId="77777777" w:rsidR="00DB3A40" w:rsidRPr="004E0468" w:rsidRDefault="00DB3A40" w:rsidP="00DB3A40">
            <w:pPr>
              <w:jc w:val="center"/>
              <w:rPr>
                <w:rFonts w:ascii="Times New Roman" w:hAnsi="Times New Roman" w:cs="Times New Roman"/>
              </w:rPr>
            </w:pPr>
          </w:p>
        </w:tc>
        <w:tc>
          <w:tcPr>
            <w:tcW w:w="220" w:type="pct"/>
            <w:vAlign w:val="center"/>
          </w:tcPr>
          <w:p w14:paraId="621013BA" w14:textId="77777777" w:rsidR="00DB3A40" w:rsidRPr="004E0468" w:rsidRDefault="00DB3A40" w:rsidP="00DB3A40">
            <w:pPr>
              <w:jc w:val="center"/>
              <w:rPr>
                <w:rFonts w:ascii="Times New Roman" w:hAnsi="Times New Roman" w:cs="Times New Roman"/>
              </w:rPr>
            </w:pPr>
          </w:p>
        </w:tc>
        <w:tc>
          <w:tcPr>
            <w:tcW w:w="217" w:type="pct"/>
            <w:vAlign w:val="center"/>
          </w:tcPr>
          <w:p w14:paraId="1DD1C1FB" w14:textId="77777777" w:rsidR="00DB3A40" w:rsidRPr="004E0468" w:rsidRDefault="00DB3A40" w:rsidP="00DB3A40">
            <w:pPr>
              <w:jc w:val="center"/>
              <w:rPr>
                <w:rFonts w:ascii="Times New Roman" w:hAnsi="Times New Roman" w:cs="Times New Roman"/>
              </w:rPr>
            </w:pPr>
          </w:p>
        </w:tc>
      </w:tr>
      <w:tr w:rsidR="00DB3A40" w:rsidRPr="004E0468" w14:paraId="5C799B83" w14:textId="77777777" w:rsidTr="00DB3A40">
        <w:trPr>
          <w:trHeight w:val="20"/>
        </w:trPr>
        <w:tc>
          <w:tcPr>
            <w:tcW w:w="1480" w:type="pct"/>
            <w:vAlign w:val="center"/>
          </w:tcPr>
          <w:p w14:paraId="39695355"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Recycling materials</w:t>
            </w:r>
          </w:p>
        </w:tc>
        <w:tc>
          <w:tcPr>
            <w:tcW w:w="220" w:type="pct"/>
            <w:vAlign w:val="center"/>
          </w:tcPr>
          <w:p w14:paraId="18AEC07E" w14:textId="77777777" w:rsidR="00DB3A40" w:rsidRPr="004E0468" w:rsidRDefault="00DB3A40" w:rsidP="00DB3A40">
            <w:pPr>
              <w:jc w:val="center"/>
              <w:rPr>
                <w:rFonts w:ascii="Times New Roman" w:hAnsi="Times New Roman" w:cs="Times New Roman"/>
              </w:rPr>
            </w:pPr>
          </w:p>
        </w:tc>
        <w:tc>
          <w:tcPr>
            <w:tcW w:w="220" w:type="pct"/>
            <w:vAlign w:val="center"/>
          </w:tcPr>
          <w:p w14:paraId="031B68BC" w14:textId="77777777" w:rsidR="00DB3A40" w:rsidRPr="004E0468" w:rsidRDefault="00DB3A40" w:rsidP="00DB3A40">
            <w:pPr>
              <w:jc w:val="center"/>
              <w:rPr>
                <w:rFonts w:ascii="Times New Roman" w:hAnsi="Times New Roman" w:cs="Times New Roman"/>
              </w:rPr>
            </w:pPr>
          </w:p>
        </w:tc>
        <w:tc>
          <w:tcPr>
            <w:tcW w:w="220" w:type="pct"/>
            <w:vAlign w:val="center"/>
          </w:tcPr>
          <w:p w14:paraId="4D8DA84C"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4E7E47B3"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5D917192"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FBEDC2F" w14:textId="77777777" w:rsidR="00DB3A40" w:rsidRPr="004E0468" w:rsidRDefault="00DB3A40" w:rsidP="00DB3A40">
            <w:pPr>
              <w:jc w:val="center"/>
              <w:rPr>
                <w:rFonts w:ascii="Times New Roman" w:hAnsi="Times New Roman" w:cs="Times New Roman"/>
              </w:rPr>
            </w:pPr>
          </w:p>
        </w:tc>
        <w:tc>
          <w:tcPr>
            <w:tcW w:w="220" w:type="pct"/>
            <w:vAlign w:val="center"/>
          </w:tcPr>
          <w:p w14:paraId="4811D15D"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6E99B1E7" w14:textId="77777777" w:rsidR="00DB3A40" w:rsidRPr="004E0468" w:rsidRDefault="00DB3A40" w:rsidP="00DB3A40">
            <w:pPr>
              <w:jc w:val="center"/>
              <w:rPr>
                <w:rFonts w:ascii="Times New Roman" w:hAnsi="Times New Roman" w:cs="Times New Roman"/>
              </w:rPr>
            </w:pPr>
          </w:p>
        </w:tc>
        <w:tc>
          <w:tcPr>
            <w:tcW w:w="220" w:type="pct"/>
            <w:vAlign w:val="center"/>
          </w:tcPr>
          <w:p w14:paraId="194AD1F2" w14:textId="77777777" w:rsidR="00DB3A40" w:rsidRPr="004E0468" w:rsidRDefault="00DB3A40" w:rsidP="00DB3A40">
            <w:pPr>
              <w:jc w:val="center"/>
              <w:rPr>
                <w:rFonts w:ascii="Times New Roman" w:hAnsi="Times New Roman" w:cs="Times New Roman"/>
              </w:rPr>
            </w:pPr>
          </w:p>
        </w:tc>
        <w:tc>
          <w:tcPr>
            <w:tcW w:w="220" w:type="pct"/>
            <w:vAlign w:val="center"/>
          </w:tcPr>
          <w:p w14:paraId="66650176" w14:textId="77777777" w:rsidR="00DB3A40" w:rsidRPr="004E0468" w:rsidRDefault="00DB3A40" w:rsidP="00DB3A40">
            <w:pPr>
              <w:jc w:val="center"/>
              <w:rPr>
                <w:rFonts w:ascii="Times New Roman" w:hAnsi="Times New Roman" w:cs="Times New Roman"/>
              </w:rPr>
            </w:pPr>
          </w:p>
        </w:tc>
        <w:tc>
          <w:tcPr>
            <w:tcW w:w="220" w:type="pct"/>
            <w:vAlign w:val="center"/>
          </w:tcPr>
          <w:p w14:paraId="4BF5EFD2" w14:textId="77777777" w:rsidR="00DB3A40" w:rsidRPr="004E0468" w:rsidRDefault="00DB3A40" w:rsidP="00DB3A40">
            <w:pPr>
              <w:jc w:val="center"/>
              <w:rPr>
                <w:rFonts w:ascii="Times New Roman" w:hAnsi="Times New Roman" w:cs="Times New Roman"/>
              </w:rPr>
            </w:pPr>
          </w:p>
        </w:tc>
        <w:tc>
          <w:tcPr>
            <w:tcW w:w="220" w:type="pct"/>
            <w:vAlign w:val="center"/>
          </w:tcPr>
          <w:p w14:paraId="34FE30F8" w14:textId="77777777" w:rsidR="00DB3A40" w:rsidRPr="004E0468" w:rsidRDefault="00DB3A40" w:rsidP="00DB3A40">
            <w:pPr>
              <w:jc w:val="center"/>
              <w:rPr>
                <w:rFonts w:ascii="Times New Roman" w:hAnsi="Times New Roman" w:cs="Times New Roman"/>
              </w:rPr>
            </w:pPr>
          </w:p>
        </w:tc>
        <w:tc>
          <w:tcPr>
            <w:tcW w:w="220" w:type="pct"/>
            <w:vAlign w:val="center"/>
          </w:tcPr>
          <w:p w14:paraId="16A9603B"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7ADD6B81" w14:textId="77777777" w:rsidR="00DB3A40" w:rsidRPr="004E0468" w:rsidRDefault="00DB3A40" w:rsidP="00DB3A40">
            <w:pPr>
              <w:jc w:val="center"/>
              <w:rPr>
                <w:rFonts w:ascii="Times New Roman" w:hAnsi="Times New Roman" w:cs="Times New Roman"/>
              </w:rPr>
            </w:pPr>
          </w:p>
        </w:tc>
        <w:tc>
          <w:tcPr>
            <w:tcW w:w="220" w:type="pct"/>
            <w:vAlign w:val="center"/>
          </w:tcPr>
          <w:p w14:paraId="1B723D49" w14:textId="77777777" w:rsidR="00DB3A40" w:rsidRPr="004E0468" w:rsidRDefault="00DB3A40" w:rsidP="00DB3A40">
            <w:pPr>
              <w:jc w:val="center"/>
              <w:rPr>
                <w:rFonts w:ascii="Times New Roman" w:hAnsi="Times New Roman" w:cs="Times New Roman"/>
              </w:rPr>
            </w:pPr>
          </w:p>
        </w:tc>
        <w:tc>
          <w:tcPr>
            <w:tcW w:w="217" w:type="pct"/>
            <w:vAlign w:val="center"/>
          </w:tcPr>
          <w:p w14:paraId="08A5D218"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r>
      <w:tr w:rsidR="00DB3A40" w:rsidRPr="004E0468" w14:paraId="53915311" w14:textId="77777777" w:rsidTr="00DB3A40">
        <w:trPr>
          <w:trHeight w:val="20"/>
        </w:trPr>
        <w:tc>
          <w:tcPr>
            <w:tcW w:w="1480" w:type="pct"/>
            <w:vAlign w:val="center"/>
          </w:tcPr>
          <w:p w14:paraId="404FE4A7"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lastRenderedPageBreak/>
              <w:t>Refurbishing products (i.e. returning them to good working condition by replacing or repairing major faulty components)</w:t>
            </w:r>
          </w:p>
        </w:tc>
        <w:tc>
          <w:tcPr>
            <w:tcW w:w="220" w:type="pct"/>
            <w:vAlign w:val="center"/>
          </w:tcPr>
          <w:p w14:paraId="5403C25E" w14:textId="77777777" w:rsidR="00DB3A40" w:rsidRPr="004E0468" w:rsidRDefault="00DB3A40" w:rsidP="00DB3A40">
            <w:pPr>
              <w:jc w:val="center"/>
              <w:rPr>
                <w:rFonts w:ascii="Times New Roman" w:hAnsi="Times New Roman" w:cs="Times New Roman"/>
              </w:rPr>
            </w:pPr>
          </w:p>
        </w:tc>
        <w:tc>
          <w:tcPr>
            <w:tcW w:w="220" w:type="pct"/>
            <w:vAlign w:val="center"/>
          </w:tcPr>
          <w:p w14:paraId="2F4478F9" w14:textId="77777777" w:rsidR="00DB3A40" w:rsidRPr="004E0468" w:rsidRDefault="00DB3A40" w:rsidP="00DB3A40">
            <w:pPr>
              <w:jc w:val="center"/>
              <w:rPr>
                <w:rFonts w:ascii="Times New Roman" w:hAnsi="Times New Roman" w:cs="Times New Roman"/>
              </w:rPr>
            </w:pPr>
          </w:p>
        </w:tc>
        <w:tc>
          <w:tcPr>
            <w:tcW w:w="220" w:type="pct"/>
            <w:vAlign w:val="center"/>
          </w:tcPr>
          <w:p w14:paraId="70E1C6B7"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09147A7" w14:textId="77777777" w:rsidR="00DB3A40" w:rsidRPr="004E0468" w:rsidRDefault="00DB3A40" w:rsidP="00DB3A40">
            <w:pPr>
              <w:jc w:val="center"/>
              <w:rPr>
                <w:rFonts w:ascii="Times New Roman" w:hAnsi="Times New Roman" w:cs="Times New Roman"/>
              </w:rPr>
            </w:pPr>
          </w:p>
        </w:tc>
        <w:tc>
          <w:tcPr>
            <w:tcW w:w="220" w:type="pct"/>
            <w:vAlign w:val="center"/>
          </w:tcPr>
          <w:p w14:paraId="00769E2D" w14:textId="77777777" w:rsidR="00DB3A40" w:rsidRPr="004E0468" w:rsidRDefault="00DB3A40" w:rsidP="00DB3A40">
            <w:pPr>
              <w:jc w:val="center"/>
              <w:rPr>
                <w:rFonts w:ascii="Times New Roman" w:hAnsi="Times New Roman" w:cs="Times New Roman"/>
              </w:rPr>
            </w:pPr>
          </w:p>
        </w:tc>
        <w:tc>
          <w:tcPr>
            <w:tcW w:w="220" w:type="pct"/>
            <w:vAlign w:val="center"/>
          </w:tcPr>
          <w:p w14:paraId="619EC2EB" w14:textId="77777777" w:rsidR="00DB3A40" w:rsidRPr="004E0468" w:rsidRDefault="00DB3A40" w:rsidP="00DB3A40">
            <w:pPr>
              <w:jc w:val="center"/>
              <w:rPr>
                <w:rFonts w:ascii="Times New Roman" w:hAnsi="Times New Roman" w:cs="Times New Roman"/>
              </w:rPr>
            </w:pPr>
          </w:p>
        </w:tc>
        <w:tc>
          <w:tcPr>
            <w:tcW w:w="220" w:type="pct"/>
            <w:vAlign w:val="center"/>
          </w:tcPr>
          <w:p w14:paraId="22A88F69" w14:textId="77777777" w:rsidR="00DB3A40" w:rsidRPr="004E0468" w:rsidRDefault="00DB3A40" w:rsidP="00DB3A40">
            <w:pPr>
              <w:jc w:val="center"/>
              <w:rPr>
                <w:rFonts w:ascii="Times New Roman" w:hAnsi="Times New Roman" w:cs="Times New Roman"/>
              </w:rPr>
            </w:pPr>
          </w:p>
        </w:tc>
        <w:tc>
          <w:tcPr>
            <w:tcW w:w="220" w:type="pct"/>
            <w:vAlign w:val="center"/>
          </w:tcPr>
          <w:p w14:paraId="37926C83" w14:textId="77777777" w:rsidR="00DB3A40" w:rsidRPr="004E0468" w:rsidRDefault="00DB3A40" w:rsidP="00DB3A40">
            <w:pPr>
              <w:jc w:val="center"/>
              <w:rPr>
                <w:rFonts w:ascii="Times New Roman" w:hAnsi="Times New Roman" w:cs="Times New Roman"/>
              </w:rPr>
            </w:pPr>
          </w:p>
        </w:tc>
        <w:tc>
          <w:tcPr>
            <w:tcW w:w="220" w:type="pct"/>
            <w:vAlign w:val="center"/>
          </w:tcPr>
          <w:p w14:paraId="0759AE5E" w14:textId="77777777" w:rsidR="00DB3A40" w:rsidRPr="004E0468" w:rsidRDefault="00DB3A40" w:rsidP="00DB3A40">
            <w:pPr>
              <w:jc w:val="center"/>
              <w:rPr>
                <w:rFonts w:ascii="Times New Roman" w:hAnsi="Times New Roman" w:cs="Times New Roman"/>
              </w:rPr>
            </w:pPr>
          </w:p>
        </w:tc>
        <w:tc>
          <w:tcPr>
            <w:tcW w:w="220" w:type="pct"/>
            <w:vAlign w:val="center"/>
          </w:tcPr>
          <w:p w14:paraId="1682F849" w14:textId="77777777" w:rsidR="00DB3A40" w:rsidRPr="004E0468" w:rsidRDefault="00DB3A40" w:rsidP="00DB3A40">
            <w:pPr>
              <w:jc w:val="center"/>
              <w:rPr>
                <w:rFonts w:ascii="Times New Roman" w:hAnsi="Times New Roman" w:cs="Times New Roman"/>
              </w:rPr>
            </w:pPr>
          </w:p>
        </w:tc>
        <w:tc>
          <w:tcPr>
            <w:tcW w:w="220" w:type="pct"/>
            <w:vAlign w:val="center"/>
          </w:tcPr>
          <w:p w14:paraId="397BBB79" w14:textId="77777777" w:rsidR="00DB3A40" w:rsidRPr="004E0468" w:rsidRDefault="00DB3A40" w:rsidP="00DB3A40">
            <w:pPr>
              <w:jc w:val="center"/>
              <w:rPr>
                <w:rFonts w:ascii="Times New Roman" w:hAnsi="Times New Roman" w:cs="Times New Roman"/>
              </w:rPr>
            </w:pPr>
          </w:p>
        </w:tc>
        <w:tc>
          <w:tcPr>
            <w:tcW w:w="220" w:type="pct"/>
            <w:vAlign w:val="center"/>
          </w:tcPr>
          <w:p w14:paraId="5AD3D836" w14:textId="77777777" w:rsidR="00DB3A40" w:rsidRPr="004E0468" w:rsidRDefault="00DB3A40" w:rsidP="00DB3A40">
            <w:pPr>
              <w:jc w:val="center"/>
              <w:rPr>
                <w:rFonts w:ascii="Times New Roman" w:hAnsi="Times New Roman" w:cs="Times New Roman"/>
              </w:rPr>
            </w:pPr>
          </w:p>
        </w:tc>
        <w:tc>
          <w:tcPr>
            <w:tcW w:w="220" w:type="pct"/>
            <w:vAlign w:val="center"/>
          </w:tcPr>
          <w:p w14:paraId="0C1A85DC" w14:textId="77777777" w:rsidR="00DB3A40" w:rsidRPr="004E0468" w:rsidRDefault="00DB3A40" w:rsidP="00DB3A40">
            <w:pPr>
              <w:jc w:val="center"/>
              <w:rPr>
                <w:rFonts w:ascii="Times New Roman" w:hAnsi="Times New Roman" w:cs="Times New Roman"/>
              </w:rPr>
            </w:pPr>
          </w:p>
        </w:tc>
        <w:tc>
          <w:tcPr>
            <w:tcW w:w="220" w:type="pct"/>
            <w:vAlign w:val="center"/>
          </w:tcPr>
          <w:p w14:paraId="708DEE29" w14:textId="77777777" w:rsidR="00DB3A40" w:rsidRPr="004E0468" w:rsidRDefault="00DB3A40" w:rsidP="00DB3A40">
            <w:pPr>
              <w:jc w:val="center"/>
              <w:rPr>
                <w:rFonts w:ascii="Times New Roman" w:hAnsi="Times New Roman" w:cs="Times New Roman"/>
              </w:rPr>
            </w:pPr>
          </w:p>
        </w:tc>
        <w:tc>
          <w:tcPr>
            <w:tcW w:w="220" w:type="pct"/>
            <w:vAlign w:val="center"/>
          </w:tcPr>
          <w:p w14:paraId="0FF67F4D" w14:textId="77777777" w:rsidR="00DB3A40" w:rsidRPr="004E0468" w:rsidRDefault="00DB3A40" w:rsidP="00DB3A40">
            <w:pPr>
              <w:jc w:val="center"/>
              <w:rPr>
                <w:rFonts w:ascii="Times New Roman" w:hAnsi="Times New Roman" w:cs="Times New Roman"/>
              </w:rPr>
            </w:pPr>
          </w:p>
        </w:tc>
        <w:tc>
          <w:tcPr>
            <w:tcW w:w="217" w:type="pct"/>
            <w:vAlign w:val="center"/>
          </w:tcPr>
          <w:p w14:paraId="7E7E6FBB" w14:textId="77777777" w:rsidR="00DB3A40" w:rsidRPr="004E0468" w:rsidRDefault="00DB3A40" w:rsidP="00DB3A40">
            <w:pPr>
              <w:jc w:val="center"/>
              <w:rPr>
                <w:rFonts w:ascii="Times New Roman" w:hAnsi="Times New Roman" w:cs="Times New Roman"/>
              </w:rPr>
            </w:pPr>
          </w:p>
        </w:tc>
      </w:tr>
      <w:tr w:rsidR="00DB3A40" w:rsidRPr="004E0468" w14:paraId="5F7120D0" w14:textId="77777777" w:rsidTr="00DB3A40">
        <w:trPr>
          <w:trHeight w:val="20"/>
        </w:trPr>
        <w:tc>
          <w:tcPr>
            <w:tcW w:w="1480" w:type="pct"/>
            <w:vAlign w:val="center"/>
          </w:tcPr>
          <w:p w14:paraId="092C9004"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Reusing energy and/or water across the value chain</w:t>
            </w:r>
          </w:p>
        </w:tc>
        <w:tc>
          <w:tcPr>
            <w:tcW w:w="220" w:type="pct"/>
            <w:vAlign w:val="center"/>
          </w:tcPr>
          <w:p w14:paraId="0D9D9EF5" w14:textId="77777777" w:rsidR="00DB3A40" w:rsidRPr="004E0468" w:rsidRDefault="00DB3A40" w:rsidP="00DB3A40">
            <w:pPr>
              <w:jc w:val="center"/>
              <w:rPr>
                <w:rFonts w:ascii="Times New Roman" w:hAnsi="Times New Roman" w:cs="Times New Roman"/>
              </w:rPr>
            </w:pPr>
          </w:p>
        </w:tc>
        <w:tc>
          <w:tcPr>
            <w:tcW w:w="220" w:type="pct"/>
            <w:vAlign w:val="center"/>
          </w:tcPr>
          <w:p w14:paraId="72E7C4A3" w14:textId="77777777" w:rsidR="00DB3A40" w:rsidRPr="004E0468" w:rsidRDefault="00DB3A40" w:rsidP="00DB3A40">
            <w:pPr>
              <w:jc w:val="center"/>
              <w:rPr>
                <w:rFonts w:ascii="Times New Roman" w:hAnsi="Times New Roman" w:cs="Times New Roman"/>
              </w:rPr>
            </w:pPr>
          </w:p>
        </w:tc>
        <w:tc>
          <w:tcPr>
            <w:tcW w:w="220" w:type="pct"/>
            <w:vAlign w:val="center"/>
          </w:tcPr>
          <w:p w14:paraId="406FA4CA"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1611B1BA" w14:textId="77777777" w:rsidR="00DB3A40" w:rsidRPr="004E0468" w:rsidRDefault="00DB3A40" w:rsidP="00DB3A40">
            <w:pPr>
              <w:jc w:val="center"/>
              <w:rPr>
                <w:rFonts w:ascii="Times New Roman" w:hAnsi="Times New Roman" w:cs="Times New Roman"/>
              </w:rPr>
            </w:pPr>
          </w:p>
        </w:tc>
        <w:tc>
          <w:tcPr>
            <w:tcW w:w="220" w:type="pct"/>
            <w:vAlign w:val="center"/>
          </w:tcPr>
          <w:p w14:paraId="3FDBE5F7" w14:textId="77777777" w:rsidR="00DB3A40" w:rsidRPr="004E0468" w:rsidRDefault="00DB3A40" w:rsidP="00DB3A40">
            <w:pPr>
              <w:jc w:val="center"/>
              <w:rPr>
                <w:rFonts w:ascii="Times New Roman" w:hAnsi="Times New Roman" w:cs="Times New Roman"/>
              </w:rPr>
            </w:pPr>
          </w:p>
        </w:tc>
        <w:tc>
          <w:tcPr>
            <w:tcW w:w="220" w:type="pct"/>
            <w:vAlign w:val="center"/>
          </w:tcPr>
          <w:p w14:paraId="721213D0" w14:textId="77777777" w:rsidR="00DB3A40" w:rsidRPr="004E0468" w:rsidRDefault="00DB3A40" w:rsidP="00DB3A40">
            <w:pPr>
              <w:jc w:val="center"/>
              <w:rPr>
                <w:rFonts w:ascii="Times New Roman" w:hAnsi="Times New Roman" w:cs="Times New Roman"/>
              </w:rPr>
            </w:pPr>
          </w:p>
        </w:tc>
        <w:tc>
          <w:tcPr>
            <w:tcW w:w="220" w:type="pct"/>
            <w:vAlign w:val="center"/>
          </w:tcPr>
          <w:p w14:paraId="3A8EFFA9" w14:textId="77777777" w:rsidR="00DB3A40" w:rsidRPr="004E0468" w:rsidRDefault="00DB3A40" w:rsidP="00DB3A40">
            <w:pPr>
              <w:jc w:val="center"/>
              <w:rPr>
                <w:rFonts w:ascii="Times New Roman" w:hAnsi="Times New Roman" w:cs="Times New Roman"/>
              </w:rPr>
            </w:pPr>
          </w:p>
        </w:tc>
        <w:tc>
          <w:tcPr>
            <w:tcW w:w="220" w:type="pct"/>
            <w:vAlign w:val="center"/>
          </w:tcPr>
          <w:p w14:paraId="1AF2BBDB" w14:textId="77777777" w:rsidR="00DB3A40" w:rsidRPr="004E0468" w:rsidRDefault="00DB3A40" w:rsidP="00DB3A40">
            <w:pPr>
              <w:jc w:val="center"/>
              <w:rPr>
                <w:rFonts w:ascii="Times New Roman" w:hAnsi="Times New Roman" w:cs="Times New Roman"/>
              </w:rPr>
            </w:pPr>
          </w:p>
        </w:tc>
        <w:tc>
          <w:tcPr>
            <w:tcW w:w="220" w:type="pct"/>
            <w:vAlign w:val="center"/>
          </w:tcPr>
          <w:p w14:paraId="6D1D82A5" w14:textId="77777777" w:rsidR="00DB3A40" w:rsidRPr="004E0468" w:rsidRDefault="00DB3A40" w:rsidP="00DB3A40">
            <w:pPr>
              <w:jc w:val="center"/>
              <w:rPr>
                <w:rFonts w:ascii="Times New Roman" w:hAnsi="Times New Roman" w:cs="Times New Roman"/>
              </w:rPr>
            </w:pPr>
          </w:p>
        </w:tc>
        <w:tc>
          <w:tcPr>
            <w:tcW w:w="220" w:type="pct"/>
            <w:vAlign w:val="center"/>
          </w:tcPr>
          <w:p w14:paraId="2029D5BA" w14:textId="77777777" w:rsidR="00DB3A40" w:rsidRPr="004E0468" w:rsidRDefault="00DB3A40" w:rsidP="00DB3A40">
            <w:pPr>
              <w:jc w:val="center"/>
              <w:rPr>
                <w:rFonts w:ascii="Times New Roman" w:hAnsi="Times New Roman" w:cs="Times New Roman"/>
              </w:rPr>
            </w:pPr>
          </w:p>
        </w:tc>
        <w:tc>
          <w:tcPr>
            <w:tcW w:w="220" w:type="pct"/>
            <w:vAlign w:val="center"/>
          </w:tcPr>
          <w:p w14:paraId="7FF8F5B1" w14:textId="77777777" w:rsidR="00DB3A40" w:rsidRPr="004E0468" w:rsidRDefault="00DB3A40" w:rsidP="00DB3A40">
            <w:pPr>
              <w:jc w:val="center"/>
              <w:rPr>
                <w:rFonts w:ascii="Times New Roman" w:hAnsi="Times New Roman" w:cs="Times New Roman"/>
              </w:rPr>
            </w:pPr>
          </w:p>
        </w:tc>
        <w:tc>
          <w:tcPr>
            <w:tcW w:w="220" w:type="pct"/>
            <w:vAlign w:val="center"/>
          </w:tcPr>
          <w:p w14:paraId="0CF67F31" w14:textId="77777777" w:rsidR="00DB3A40" w:rsidRPr="004E0468" w:rsidRDefault="00DB3A40" w:rsidP="00DB3A40">
            <w:pPr>
              <w:jc w:val="center"/>
              <w:rPr>
                <w:rFonts w:ascii="Times New Roman" w:hAnsi="Times New Roman" w:cs="Times New Roman"/>
              </w:rPr>
            </w:pPr>
          </w:p>
        </w:tc>
        <w:tc>
          <w:tcPr>
            <w:tcW w:w="220" w:type="pct"/>
            <w:vAlign w:val="center"/>
          </w:tcPr>
          <w:p w14:paraId="677A1FE3"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5326444B" w14:textId="77777777" w:rsidR="00DB3A40" w:rsidRPr="004E0468" w:rsidRDefault="00DB3A40" w:rsidP="00DB3A40">
            <w:pPr>
              <w:jc w:val="center"/>
              <w:rPr>
                <w:rFonts w:ascii="Times New Roman" w:hAnsi="Times New Roman" w:cs="Times New Roman"/>
              </w:rPr>
            </w:pPr>
          </w:p>
        </w:tc>
        <w:tc>
          <w:tcPr>
            <w:tcW w:w="220" w:type="pct"/>
            <w:vAlign w:val="center"/>
          </w:tcPr>
          <w:p w14:paraId="7E16E29C" w14:textId="77777777" w:rsidR="00DB3A40" w:rsidRPr="004E0468" w:rsidRDefault="00DB3A40" w:rsidP="00DB3A40">
            <w:pPr>
              <w:jc w:val="center"/>
              <w:rPr>
                <w:rFonts w:ascii="Times New Roman" w:hAnsi="Times New Roman" w:cs="Times New Roman"/>
              </w:rPr>
            </w:pPr>
          </w:p>
        </w:tc>
        <w:tc>
          <w:tcPr>
            <w:tcW w:w="217" w:type="pct"/>
            <w:vAlign w:val="center"/>
          </w:tcPr>
          <w:p w14:paraId="4F00740E" w14:textId="77777777" w:rsidR="00DB3A40" w:rsidRPr="004E0468" w:rsidRDefault="00DB3A40" w:rsidP="00DB3A40">
            <w:pPr>
              <w:jc w:val="center"/>
              <w:rPr>
                <w:rFonts w:ascii="Times New Roman" w:hAnsi="Times New Roman" w:cs="Times New Roman"/>
              </w:rPr>
            </w:pPr>
          </w:p>
        </w:tc>
      </w:tr>
      <w:tr w:rsidR="00DB3A40" w:rsidRPr="004E0468" w14:paraId="161D0125" w14:textId="77777777" w:rsidTr="00DB3A40">
        <w:trPr>
          <w:trHeight w:val="20"/>
        </w:trPr>
        <w:tc>
          <w:tcPr>
            <w:tcW w:w="1480" w:type="pct"/>
            <w:vAlign w:val="center"/>
          </w:tcPr>
          <w:p w14:paraId="1204C2B4"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Cascading use (i.e. multiple usages/applications) of components and materials</w:t>
            </w:r>
          </w:p>
        </w:tc>
        <w:tc>
          <w:tcPr>
            <w:tcW w:w="220" w:type="pct"/>
            <w:vAlign w:val="center"/>
          </w:tcPr>
          <w:p w14:paraId="5BAE1F86" w14:textId="77777777" w:rsidR="00DB3A40" w:rsidRPr="004E0468" w:rsidRDefault="00DB3A40" w:rsidP="00DB3A40">
            <w:pPr>
              <w:jc w:val="center"/>
              <w:rPr>
                <w:rFonts w:ascii="Times New Roman" w:hAnsi="Times New Roman" w:cs="Times New Roman"/>
              </w:rPr>
            </w:pPr>
          </w:p>
        </w:tc>
        <w:tc>
          <w:tcPr>
            <w:tcW w:w="220" w:type="pct"/>
            <w:vAlign w:val="center"/>
          </w:tcPr>
          <w:p w14:paraId="41FC30FF" w14:textId="77777777" w:rsidR="00DB3A40" w:rsidRPr="004E0468" w:rsidRDefault="00DB3A40" w:rsidP="00DB3A40">
            <w:pPr>
              <w:jc w:val="center"/>
              <w:rPr>
                <w:rFonts w:ascii="Times New Roman" w:hAnsi="Times New Roman" w:cs="Times New Roman"/>
              </w:rPr>
            </w:pPr>
          </w:p>
        </w:tc>
        <w:tc>
          <w:tcPr>
            <w:tcW w:w="220" w:type="pct"/>
            <w:vAlign w:val="center"/>
          </w:tcPr>
          <w:p w14:paraId="02F06DE6"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5CB4BA10" w14:textId="77777777" w:rsidR="00DB3A40" w:rsidRPr="004E0468" w:rsidRDefault="00DB3A40" w:rsidP="00DB3A40">
            <w:pPr>
              <w:jc w:val="center"/>
              <w:rPr>
                <w:rFonts w:ascii="Times New Roman" w:hAnsi="Times New Roman" w:cs="Times New Roman"/>
              </w:rPr>
            </w:pPr>
          </w:p>
        </w:tc>
        <w:tc>
          <w:tcPr>
            <w:tcW w:w="220" w:type="pct"/>
            <w:vAlign w:val="center"/>
          </w:tcPr>
          <w:p w14:paraId="1C52E9C9" w14:textId="77777777" w:rsidR="00DB3A40" w:rsidRPr="004E0468" w:rsidRDefault="00DB3A40" w:rsidP="00DB3A40">
            <w:pPr>
              <w:jc w:val="center"/>
              <w:rPr>
                <w:rFonts w:ascii="Times New Roman" w:hAnsi="Times New Roman" w:cs="Times New Roman"/>
              </w:rPr>
            </w:pPr>
          </w:p>
        </w:tc>
        <w:tc>
          <w:tcPr>
            <w:tcW w:w="220" w:type="pct"/>
            <w:vAlign w:val="center"/>
          </w:tcPr>
          <w:p w14:paraId="33DF72B3" w14:textId="77777777" w:rsidR="00DB3A40" w:rsidRPr="004E0468" w:rsidRDefault="00DB3A40" w:rsidP="00DB3A40">
            <w:pPr>
              <w:jc w:val="center"/>
              <w:rPr>
                <w:rFonts w:ascii="Times New Roman" w:hAnsi="Times New Roman" w:cs="Times New Roman"/>
              </w:rPr>
            </w:pPr>
          </w:p>
        </w:tc>
        <w:tc>
          <w:tcPr>
            <w:tcW w:w="220" w:type="pct"/>
            <w:vAlign w:val="center"/>
          </w:tcPr>
          <w:p w14:paraId="1E401D16" w14:textId="77777777" w:rsidR="00DB3A40" w:rsidRPr="004E0468" w:rsidRDefault="00DB3A40" w:rsidP="00DB3A40">
            <w:pPr>
              <w:jc w:val="center"/>
              <w:rPr>
                <w:rFonts w:ascii="Times New Roman" w:hAnsi="Times New Roman" w:cs="Times New Roman"/>
              </w:rPr>
            </w:pPr>
          </w:p>
        </w:tc>
        <w:tc>
          <w:tcPr>
            <w:tcW w:w="220" w:type="pct"/>
            <w:vAlign w:val="center"/>
          </w:tcPr>
          <w:p w14:paraId="1CA8A997" w14:textId="77777777" w:rsidR="00DB3A40" w:rsidRPr="004E0468" w:rsidRDefault="00DB3A40" w:rsidP="00DB3A40">
            <w:pPr>
              <w:jc w:val="center"/>
              <w:rPr>
                <w:rFonts w:ascii="Times New Roman" w:hAnsi="Times New Roman" w:cs="Times New Roman"/>
              </w:rPr>
            </w:pPr>
          </w:p>
        </w:tc>
        <w:tc>
          <w:tcPr>
            <w:tcW w:w="220" w:type="pct"/>
            <w:vAlign w:val="center"/>
          </w:tcPr>
          <w:p w14:paraId="0D7EBC1B" w14:textId="77777777" w:rsidR="00DB3A40" w:rsidRPr="004E0468" w:rsidRDefault="00DB3A40" w:rsidP="00DB3A40">
            <w:pPr>
              <w:jc w:val="center"/>
              <w:rPr>
                <w:rFonts w:ascii="Times New Roman" w:hAnsi="Times New Roman" w:cs="Times New Roman"/>
              </w:rPr>
            </w:pPr>
          </w:p>
        </w:tc>
        <w:tc>
          <w:tcPr>
            <w:tcW w:w="220" w:type="pct"/>
            <w:vAlign w:val="center"/>
          </w:tcPr>
          <w:p w14:paraId="52031EC4" w14:textId="77777777" w:rsidR="00DB3A40" w:rsidRPr="004E0468" w:rsidRDefault="00DB3A40" w:rsidP="00DB3A40">
            <w:pPr>
              <w:jc w:val="center"/>
              <w:rPr>
                <w:rFonts w:ascii="Times New Roman" w:hAnsi="Times New Roman" w:cs="Times New Roman"/>
              </w:rPr>
            </w:pPr>
          </w:p>
        </w:tc>
        <w:tc>
          <w:tcPr>
            <w:tcW w:w="220" w:type="pct"/>
            <w:vAlign w:val="center"/>
          </w:tcPr>
          <w:p w14:paraId="5CC01F91" w14:textId="77777777" w:rsidR="00DB3A40" w:rsidRPr="004E0468" w:rsidRDefault="00DB3A40" w:rsidP="00DB3A40">
            <w:pPr>
              <w:jc w:val="center"/>
              <w:rPr>
                <w:rFonts w:ascii="Times New Roman" w:hAnsi="Times New Roman" w:cs="Times New Roman"/>
              </w:rPr>
            </w:pPr>
          </w:p>
        </w:tc>
        <w:tc>
          <w:tcPr>
            <w:tcW w:w="220" w:type="pct"/>
            <w:vAlign w:val="center"/>
          </w:tcPr>
          <w:p w14:paraId="5187D9C3" w14:textId="77777777" w:rsidR="00DB3A40" w:rsidRPr="004E0468" w:rsidRDefault="00DB3A40" w:rsidP="00DB3A40">
            <w:pPr>
              <w:jc w:val="center"/>
              <w:rPr>
                <w:rFonts w:ascii="Times New Roman" w:hAnsi="Times New Roman" w:cs="Times New Roman"/>
              </w:rPr>
            </w:pPr>
          </w:p>
        </w:tc>
        <w:tc>
          <w:tcPr>
            <w:tcW w:w="220" w:type="pct"/>
            <w:vAlign w:val="center"/>
          </w:tcPr>
          <w:p w14:paraId="63B9F0BE" w14:textId="77777777" w:rsidR="00DB3A40" w:rsidRPr="004E0468" w:rsidRDefault="00DB3A40" w:rsidP="00DB3A40">
            <w:pPr>
              <w:jc w:val="center"/>
              <w:rPr>
                <w:rFonts w:ascii="Times New Roman" w:hAnsi="Times New Roman" w:cs="Times New Roman"/>
              </w:rPr>
            </w:pPr>
          </w:p>
        </w:tc>
        <w:tc>
          <w:tcPr>
            <w:tcW w:w="220" w:type="pct"/>
            <w:vAlign w:val="center"/>
          </w:tcPr>
          <w:p w14:paraId="6F55A03B" w14:textId="77777777" w:rsidR="00DB3A40" w:rsidRPr="004E0468" w:rsidRDefault="00DB3A40" w:rsidP="00DB3A40">
            <w:pPr>
              <w:jc w:val="center"/>
              <w:rPr>
                <w:rFonts w:ascii="Times New Roman" w:hAnsi="Times New Roman" w:cs="Times New Roman"/>
              </w:rPr>
            </w:pPr>
          </w:p>
        </w:tc>
        <w:tc>
          <w:tcPr>
            <w:tcW w:w="220" w:type="pct"/>
            <w:vAlign w:val="center"/>
          </w:tcPr>
          <w:p w14:paraId="42F0F743" w14:textId="77777777" w:rsidR="00DB3A40" w:rsidRPr="004E0468" w:rsidRDefault="00DB3A40" w:rsidP="00DB3A40">
            <w:pPr>
              <w:jc w:val="center"/>
              <w:rPr>
                <w:rFonts w:ascii="Times New Roman" w:hAnsi="Times New Roman" w:cs="Times New Roman"/>
              </w:rPr>
            </w:pPr>
          </w:p>
        </w:tc>
        <w:tc>
          <w:tcPr>
            <w:tcW w:w="217" w:type="pct"/>
            <w:vAlign w:val="center"/>
          </w:tcPr>
          <w:p w14:paraId="314A9AAF" w14:textId="77777777" w:rsidR="00DB3A40" w:rsidRPr="004E0468" w:rsidRDefault="00DB3A40" w:rsidP="00DB3A40">
            <w:pPr>
              <w:jc w:val="center"/>
              <w:rPr>
                <w:rFonts w:ascii="Times New Roman" w:hAnsi="Times New Roman" w:cs="Times New Roman"/>
              </w:rPr>
            </w:pPr>
          </w:p>
        </w:tc>
      </w:tr>
      <w:tr w:rsidR="00DB3A40" w:rsidRPr="004E0468" w14:paraId="2123B995" w14:textId="77777777" w:rsidTr="00DB3A40">
        <w:trPr>
          <w:trHeight w:val="20"/>
        </w:trPr>
        <w:tc>
          <w:tcPr>
            <w:tcW w:w="1480" w:type="pct"/>
            <w:vAlign w:val="center"/>
          </w:tcPr>
          <w:p w14:paraId="71C1AC8C" w14:textId="77777777" w:rsidR="00DB3A40" w:rsidRPr="004E0468" w:rsidRDefault="00DB3A40" w:rsidP="00DB3A40">
            <w:pPr>
              <w:pStyle w:val="ListParagraph"/>
              <w:numPr>
                <w:ilvl w:val="0"/>
                <w:numId w:val="3"/>
              </w:numPr>
              <w:spacing w:after="0" w:line="240" w:lineRule="auto"/>
              <w:rPr>
                <w:rFonts w:ascii="Times New Roman" w:hAnsi="Times New Roman" w:cs="Times New Roman"/>
                <w:b/>
                <w:sz w:val="16"/>
                <w:szCs w:val="16"/>
              </w:rPr>
            </w:pPr>
            <w:r w:rsidRPr="004E0468">
              <w:rPr>
                <w:rFonts w:ascii="Times New Roman" w:hAnsi="Times New Roman" w:cs="Times New Roman"/>
                <w:b/>
                <w:sz w:val="16"/>
                <w:szCs w:val="16"/>
              </w:rPr>
              <w:t>Eco-design</w:t>
            </w:r>
          </w:p>
        </w:tc>
        <w:tc>
          <w:tcPr>
            <w:tcW w:w="220" w:type="pct"/>
            <w:vAlign w:val="center"/>
          </w:tcPr>
          <w:p w14:paraId="2E057B56" w14:textId="77777777" w:rsidR="00DB3A40" w:rsidRPr="004E0468" w:rsidRDefault="00DB3A40" w:rsidP="00DB3A40">
            <w:pPr>
              <w:jc w:val="center"/>
              <w:rPr>
                <w:rFonts w:ascii="Times New Roman" w:hAnsi="Times New Roman" w:cs="Times New Roman"/>
              </w:rPr>
            </w:pPr>
          </w:p>
        </w:tc>
        <w:tc>
          <w:tcPr>
            <w:tcW w:w="220" w:type="pct"/>
            <w:vAlign w:val="center"/>
          </w:tcPr>
          <w:p w14:paraId="23594B1D"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3A36C35"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1F7AEA79" w14:textId="77777777" w:rsidR="00DB3A40" w:rsidRPr="004E0468" w:rsidRDefault="00DB3A40" w:rsidP="00DB3A40">
            <w:pPr>
              <w:jc w:val="center"/>
              <w:rPr>
                <w:rFonts w:ascii="Times New Roman" w:hAnsi="Times New Roman" w:cs="Times New Roman"/>
              </w:rPr>
            </w:pPr>
          </w:p>
        </w:tc>
        <w:tc>
          <w:tcPr>
            <w:tcW w:w="220" w:type="pct"/>
            <w:vAlign w:val="center"/>
          </w:tcPr>
          <w:p w14:paraId="4981E6CB" w14:textId="77777777" w:rsidR="00DB3A40" w:rsidRPr="004E0468" w:rsidRDefault="00DB3A40" w:rsidP="00DB3A40">
            <w:pPr>
              <w:jc w:val="center"/>
              <w:rPr>
                <w:rFonts w:ascii="Times New Roman" w:hAnsi="Times New Roman" w:cs="Times New Roman"/>
              </w:rPr>
            </w:pPr>
          </w:p>
        </w:tc>
        <w:tc>
          <w:tcPr>
            <w:tcW w:w="220" w:type="pct"/>
            <w:vAlign w:val="center"/>
          </w:tcPr>
          <w:p w14:paraId="177FD47D" w14:textId="77777777" w:rsidR="00DB3A40" w:rsidRPr="004E0468" w:rsidRDefault="00DB3A40" w:rsidP="00DB3A40">
            <w:pPr>
              <w:jc w:val="center"/>
              <w:rPr>
                <w:rFonts w:ascii="Times New Roman" w:hAnsi="Times New Roman" w:cs="Times New Roman"/>
              </w:rPr>
            </w:pPr>
          </w:p>
        </w:tc>
        <w:tc>
          <w:tcPr>
            <w:tcW w:w="220" w:type="pct"/>
            <w:vAlign w:val="center"/>
          </w:tcPr>
          <w:p w14:paraId="1E07719D" w14:textId="77777777" w:rsidR="00DB3A40" w:rsidRPr="004E0468" w:rsidRDefault="00DB3A40" w:rsidP="00DB3A40">
            <w:pPr>
              <w:jc w:val="center"/>
              <w:rPr>
                <w:rFonts w:ascii="Times New Roman" w:hAnsi="Times New Roman" w:cs="Times New Roman"/>
              </w:rPr>
            </w:pPr>
          </w:p>
        </w:tc>
        <w:tc>
          <w:tcPr>
            <w:tcW w:w="220" w:type="pct"/>
            <w:vAlign w:val="center"/>
          </w:tcPr>
          <w:p w14:paraId="1E9E6256" w14:textId="77777777" w:rsidR="00DB3A40" w:rsidRPr="004E0468" w:rsidRDefault="00DB3A40" w:rsidP="00DB3A40">
            <w:pPr>
              <w:jc w:val="center"/>
              <w:rPr>
                <w:rFonts w:ascii="Times New Roman" w:hAnsi="Times New Roman" w:cs="Times New Roman"/>
              </w:rPr>
            </w:pPr>
          </w:p>
        </w:tc>
        <w:tc>
          <w:tcPr>
            <w:tcW w:w="220" w:type="pct"/>
            <w:vAlign w:val="center"/>
          </w:tcPr>
          <w:p w14:paraId="3D2F4FF7"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5B1B7E96"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48D421C0" w14:textId="77777777" w:rsidR="00DB3A40" w:rsidRPr="004E0468" w:rsidRDefault="00DB3A40" w:rsidP="00DB3A40">
            <w:pPr>
              <w:jc w:val="center"/>
              <w:rPr>
                <w:rFonts w:ascii="Times New Roman" w:hAnsi="Times New Roman" w:cs="Times New Roman"/>
              </w:rPr>
            </w:pPr>
          </w:p>
        </w:tc>
        <w:tc>
          <w:tcPr>
            <w:tcW w:w="220" w:type="pct"/>
            <w:vAlign w:val="center"/>
          </w:tcPr>
          <w:p w14:paraId="0D1F93C0" w14:textId="77777777" w:rsidR="00DB3A40" w:rsidRPr="004E0468" w:rsidRDefault="00DB3A40" w:rsidP="00DB3A40">
            <w:pPr>
              <w:jc w:val="center"/>
              <w:rPr>
                <w:rFonts w:ascii="Times New Roman" w:hAnsi="Times New Roman" w:cs="Times New Roman"/>
              </w:rPr>
            </w:pPr>
          </w:p>
        </w:tc>
        <w:tc>
          <w:tcPr>
            <w:tcW w:w="220" w:type="pct"/>
            <w:vAlign w:val="center"/>
          </w:tcPr>
          <w:p w14:paraId="0F73EDCB"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6D762B55"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69694A9F"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0760A196"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r>
      <w:tr w:rsidR="00DB3A40" w:rsidRPr="004E0468" w14:paraId="0A744654" w14:textId="77777777" w:rsidTr="00DB3A40">
        <w:trPr>
          <w:trHeight w:val="20"/>
        </w:trPr>
        <w:tc>
          <w:tcPr>
            <w:tcW w:w="1480" w:type="pct"/>
            <w:vAlign w:val="center"/>
          </w:tcPr>
          <w:p w14:paraId="7293448B"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Designing products for reduced consumption of material/energy</w:t>
            </w:r>
          </w:p>
        </w:tc>
        <w:tc>
          <w:tcPr>
            <w:tcW w:w="220" w:type="pct"/>
            <w:vAlign w:val="center"/>
          </w:tcPr>
          <w:p w14:paraId="16B98A46" w14:textId="77777777" w:rsidR="00DB3A40" w:rsidRPr="004E0468" w:rsidRDefault="00DB3A40" w:rsidP="00DB3A40">
            <w:pPr>
              <w:jc w:val="center"/>
              <w:rPr>
                <w:rFonts w:ascii="Times New Roman" w:hAnsi="Times New Roman" w:cs="Times New Roman"/>
              </w:rPr>
            </w:pPr>
          </w:p>
        </w:tc>
        <w:tc>
          <w:tcPr>
            <w:tcW w:w="220" w:type="pct"/>
            <w:vAlign w:val="center"/>
          </w:tcPr>
          <w:p w14:paraId="66FA69FB" w14:textId="77777777" w:rsidR="00DB3A40" w:rsidRPr="004E0468" w:rsidRDefault="00DB3A40" w:rsidP="00DB3A40">
            <w:pPr>
              <w:jc w:val="center"/>
              <w:rPr>
                <w:rFonts w:ascii="Times New Roman" w:hAnsi="Times New Roman" w:cs="Times New Roman"/>
              </w:rPr>
            </w:pPr>
          </w:p>
        </w:tc>
        <w:tc>
          <w:tcPr>
            <w:tcW w:w="220" w:type="pct"/>
            <w:vAlign w:val="center"/>
          </w:tcPr>
          <w:p w14:paraId="2FC0B81F" w14:textId="77777777" w:rsidR="00DB3A40" w:rsidRPr="004E0468" w:rsidRDefault="00DB3A40" w:rsidP="00DB3A40">
            <w:pPr>
              <w:jc w:val="center"/>
              <w:rPr>
                <w:rFonts w:ascii="Times New Roman" w:hAnsi="Times New Roman" w:cs="Times New Roman"/>
              </w:rPr>
            </w:pPr>
          </w:p>
        </w:tc>
        <w:tc>
          <w:tcPr>
            <w:tcW w:w="220" w:type="pct"/>
            <w:vAlign w:val="center"/>
          </w:tcPr>
          <w:p w14:paraId="0F64535C" w14:textId="77777777" w:rsidR="00DB3A40" w:rsidRPr="004E0468" w:rsidRDefault="00DB3A40" w:rsidP="00DB3A40">
            <w:pPr>
              <w:jc w:val="center"/>
              <w:rPr>
                <w:rFonts w:ascii="Times New Roman" w:hAnsi="Times New Roman" w:cs="Times New Roman"/>
              </w:rPr>
            </w:pPr>
          </w:p>
        </w:tc>
        <w:tc>
          <w:tcPr>
            <w:tcW w:w="220" w:type="pct"/>
            <w:vAlign w:val="center"/>
          </w:tcPr>
          <w:p w14:paraId="16DE9896" w14:textId="77777777" w:rsidR="00DB3A40" w:rsidRPr="004E0468" w:rsidRDefault="00DB3A40" w:rsidP="00DB3A40">
            <w:pPr>
              <w:jc w:val="center"/>
              <w:rPr>
                <w:rFonts w:ascii="Times New Roman" w:hAnsi="Times New Roman" w:cs="Times New Roman"/>
              </w:rPr>
            </w:pPr>
          </w:p>
        </w:tc>
        <w:tc>
          <w:tcPr>
            <w:tcW w:w="220" w:type="pct"/>
            <w:vAlign w:val="center"/>
          </w:tcPr>
          <w:p w14:paraId="749073C0" w14:textId="77777777" w:rsidR="00DB3A40" w:rsidRPr="004E0468" w:rsidRDefault="00DB3A40" w:rsidP="00DB3A40">
            <w:pPr>
              <w:jc w:val="center"/>
              <w:rPr>
                <w:rFonts w:ascii="Times New Roman" w:hAnsi="Times New Roman" w:cs="Times New Roman"/>
              </w:rPr>
            </w:pPr>
          </w:p>
        </w:tc>
        <w:tc>
          <w:tcPr>
            <w:tcW w:w="220" w:type="pct"/>
            <w:vAlign w:val="center"/>
          </w:tcPr>
          <w:p w14:paraId="64B594F8" w14:textId="77777777" w:rsidR="00DB3A40" w:rsidRPr="004E0468" w:rsidRDefault="00DB3A40" w:rsidP="00DB3A40">
            <w:pPr>
              <w:jc w:val="center"/>
              <w:rPr>
                <w:rFonts w:ascii="Times New Roman" w:hAnsi="Times New Roman" w:cs="Times New Roman"/>
              </w:rPr>
            </w:pPr>
          </w:p>
        </w:tc>
        <w:tc>
          <w:tcPr>
            <w:tcW w:w="220" w:type="pct"/>
            <w:vAlign w:val="center"/>
          </w:tcPr>
          <w:p w14:paraId="2520D0A0" w14:textId="77777777" w:rsidR="00DB3A40" w:rsidRPr="004E0468" w:rsidRDefault="00DB3A40" w:rsidP="00DB3A40">
            <w:pPr>
              <w:jc w:val="center"/>
              <w:rPr>
                <w:rFonts w:ascii="Times New Roman" w:hAnsi="Times New Roman" w:cs="Times New Roman"/>
              </w:rPr>
            </w:pPr>
          </w:p>
        </w:tc>
        <w:tc>
          <w:tcPr>
            <w:tcW w:w="220" w:type="pct"/>
            <w:vAlign w:val="center"/>
          </w:tcPr>
          <w:p w14:paraId="76F05E7E" w14:textId="77777777" w:rsidR="00DB3A40" w:rsidRPr="004E0468" w:rsidRDefault="00DB3A40" w:rsidP="00DB3A40">
            <w:pPr>
              <w:jc w:val="center"/>
              <w:rPr>
                <w:rFonts w:ascii="Times New Roman" w:hAnsi="Times New Roman" w:cs="Times New Roman"/>
              </w:rPr>
            </w:pPr>
          </w:p>
        </w:tc>
        <w:tc>
          <w:tcPr>
            <w:tcW w:w="220" w:type="pct"/>
            <w:vAlign w:val="center"/>
          </w:tcPr>
          <w:p w14:paraId="7E65F5D7" w14:textId="77777777" w:rsidR="00DB3A40" w:rsidRPr="004E0468" w:rsidRDefault="00DB3A40" w:rsidP="00DB3A40">
            <w:pPr>
              <w:jc w:val="center"/>
              <w:rPr>
                <w:rFonts w:ascii="Times New Roman" w:hAnsi="Times New Roman" w:cs="Times New Roman"/>
              </w:rPr>
            </w:pPr>
          </w:p>
        </w:tc>
        <w:tc>
          <w:tcPr>
            <w:tcW w:w="220" w:type="pct"/>
            <w:vAlign w:val="center"/>
          </w:tcPr>
          <w:p w14:paraId="289532DE" w14:textId="77777777" w:rsidR="00DB3A40" w:rsidRPr="004E0468" w:rsidRDefault="00DB3A40" w:rsidP="00DB3A40">
            <w:pPr>
              <w:jc w:val="center"/>
              <w:rPr>
                <w:rFonts w:ascii="Times New Roman" w:hAnsi="Times New Roman" w:cs="Times New Roman"/>
              </w:rPr>
            </w:pPr>
          </w:p>
        </w:tc>
        <w:tc>
          <w:tcPr>
            <w:tcW w:w="220" w:type="pct"/>
            <w:vAlign w:val="center"/>
          </w:tcPr>
          <w:p w14:paraId="7ECD2891" w14:textId="77777777" w:rsidR="00DB3A40" w:rsidRPr="004E0468" w:rsidRDefault="00DB3A40" w:rsidP="00DB3A40">
            <w:pPr>
              <w:jc w:val="center"/>
              <w:rPr>
                <w:rFonts w:ascii="Times New Roman" w:hAnsi="Times New Roman" w:cs="Times New Roman"/>
              </w:rPr>
            </w:pPr>
          </w:p>
        </w:tc>
        <w:tc>
          <w:tcPr>
            <w:tcW w:w="220" w:type="pct"/>
            <w:vAlign w:val="center"/>
          </w:tcPr>
          <w:p w14:paraId="1F9A2C2D" w14:textId="77777777" w:rsidR="00DB3A40" w:rsidRPr="004E0468" w:rsidRDefault="00DB3A40" w:rsidP="00DB3A40">
            <w:pPr>
              <w:jc w:val="center"/>
              <w:rPr>
                <w:rFonts w:ascii="Times New Roman" w:hAnsi="Times New Roman" w:cs="Times New Roman"/>
              </w:rPr>
            </w:pPr>
          </w:p>
        </w:tc>
        <w:tc>
          <w:tcPr>
            <w:tcW w:w="220" w:type="pct"/>
            <w:vAlign w:val="center"/>
          </w:tcPr>
          <w:p w14:paraId="789D8A98"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4EDAD7AA"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3C9064B5" w14:textId="77777777" w:rsidR="00DB3A40" w:rsidRPr="004E0468" w:rsidRDefault="00DB3A40" w:rsidP="00DB3A40">
            <w:pPr>
              <w:jc w:val="center"/>
              <w:rPr>
                <w:rFonts w:ascii="Times New Roman" w:hAnsi="Times New Roman" w:cs="Times New Roman"/>
              </w:rPr>
            </w:pPr>
          </w:p>
        </w:tc>
      </w:tr>
      <w:tr w:rsidR="00DB3A40" w:rsidRPr="004E0468" w14:paraId="7F2654A8" w14:textId="77777777" w:rsidTr="00DB3A40">
        <w:trPr>
          <w:trHeight w:val="20"/>
        </w:trPr>
        <w:tc>
          <w:tcPr>
            <w:tcW w:w="1480" w:type="pct"/>
            <w:vAlign w:val="center"/>
          </w:tcPr>
          <w:p w14:paraId="29BABE70"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Designing products for reuse, recycle and/or recovery of material and/or component parts</w:t>
            </w:r>
          </w:p>
        </w:tc>
        <w:tc>
          <w:tcPr>
            <w:tcW w:w="220" w:type="pct"/>
            <w:vAlign w:val="center"/>
          </w:tcPr>
          <w:p w14:paraId="7C2891D2"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B6F1BE7" w14:textId="77777777" w:rsidR="00DB3A40" w:rsidRPr="004E0468" w:rsidRDefault="00DB3A40" w:rsidP="00DB3A40">
            <w:pPr>
              <w:jc w:val="center"/>
              <w:rPr>
                <w:rFonts w:ascii="Times New Roman" w:hAnsi="Times New Roman" w:cs="Times New Roman"/>
              </w:rPr>
            </w:pPr>
          </w:p>
        </w:tc>
        <w:tc>
          <w:tcPr>
            <w:tcW w:w="220" w:type="pct"/>
            <w:vAlign w:val="center"/>
          </w:tcPr>
          <w:p w14:paraId="308E3513" w14:textId="77777777" w:rsidR="00DB3A40" w:rsidRPr="004E0468" w:rsidRDefault="00DB3A40" w:rsidP="00DB3A40">
            <w:pPr>
              <w:jc w:val="center"/>
              <w:rPr>
                <w:rFonts w:ascii="Times New Roman" w:hAnsi="Times New Roman" w:cs="Times New Roman"/>
              </w:rPr>
            </w:pPr>
          </w:p>
        </w:tc>
        <w:tc>
          <w:tcPr>
            <w:tcW w:w="220" w:type="pct"/>
            <w:vAlign w:val="center"/>
          </w:tcPr>
          <w:p w14:paraId="5A96F0AB" w14:textId="77777777" w:rsidR="00DB3A40" w:rsidRPr="004E0468" w:rsidRDefault="00DB3A40" w:rsidP="00DB3A40">
            <w:pPr>
              <w:jc w:val="center"/>
              <w:rPr>
                <w:rFonts w:ascii="Times New Roman" w:hAnsi="Times New Roman" w:cs="Times New Roman"/>
              </w:rPr>
            </w:pPr>
          </w:p>
        </w:tc>
        <w:tc>
          <w:tcPr>
            <w:tcW w:w="220" w:type="pct"/>
            <w:vAlign w:val="center"/>
          </w:tcPr>
          <w:p w14:paraId="6B9BB6FF" w14:textId="77777777" w:rsidR="00DB3A40" w:rsidRPr="004E0468" w:rsidRDefault="00DB3A40" w:rsidP="00DB3A40">
            <w:pPr>
              <w:jc w:val="center"/>
              <w:rPr>
                <w:rFonts w:ascii="Times New Roman" w:hAnsi="Times New Roman" w:cs="Times New Roman"/>
              </w:rPr>
            </w:pPr>
          </w:p>
        </w:tc>
        <w:tc>
          <w:tcPr>
            <w:tcW w:w="220" w:type="pct"/>
            <w:vAlign w:val="center"/>
          </w:tcPr>
          <w:p w14:paraId="4FC83D89" w14:textId="77777777" w:rsidR="00DB3A40" w:rsidRPr="004E0468" w:rsidRDefault="00DB3A40" w:rsidP="00DB3A40">
            <w:pPr>
              <w:jc w:val="center"/>
              <w:rPr>
                <w:rFonts w:ascii="Times New Roman" w:hAnsi="Times New Roman" w:cs="Times New Roman"/>
              </w:rPr>
            </w:pPr>
          </w:p>
        </w:tc>
        <w:tc>
          <w:tcPr>
            <w:tcW w:w="220" w:type="pct"/>
            <w:vAlign w:val="center"/>
          </w:tcPr>
          <w:p w14:paraId="4FED95FF" w14:textId="77777777" w:rsidR="00DB3A40" w:rsidRPr="004E0468" w:rsidRDefault="00DB3A40" w:rsidP="00DB3A40">
            <w:pPr>
              <w:jc w:val="center"/>
              <w:rPr>
                <w:rFonts w:ascii="Times New Roman" w:hAnsi="Times New Roman" w:cs="Times New Roman"/>
              </w:rPr>
            </w:pPr>
          </w:p>
        </w:tc>
        <w:tc>
          <w:tcPr>
            <w:tcW w:w="220" w:type="pct"/>
            <w:vAlign w:val="center"/>
          </w:tcPr>
          <w:p w14:paraId="68A040AF" w14:textId="77777777" w:rsidR="00DB3A40" w:rsidRPr="004E0468" w:rsidRDefault="00DB3A40" w:rsidP="00DB3A40">
            <w:pPr>
              <w:jc w:val="center"/>
              <w:rPr>
                <w:rFonts w:ascii="Times New Roman" w:hAnsi="Times New Roman" w:cs="Times New Roman"/>
              </w:rPr>
            </w:pPr>
          </w:p>
        </w:tc>
        <w:tc>
          <w:tcPr>
            <w:tcW w:w="220" w:type="pct"/>
            <w:vAlign w:val="center"/>
          </w:tcPr>
          <w:p w14:paraId="66DE6CBD" w14:textId="77777777" w:rsidR="00DB3A40" w:rsidRPr="004E0468" w:rsidRDefault="00DB3A40" w:rsidP="00DB3A40">
            <w:pPr>
              <w:jc w:val="center"/>
              <w:rPr>
                <w:rFonts w:ascii="Times New Roman" w:hAnsi="Times New Roman" w:cs="Times New Roman"/>
              </w:rPr>
            </w:pPr>
          </w:p>
        </w:tc>
        <w:tc>
          <w:tcPr>
            <w:tcW w:w="220" w:type="pct"/>
            <w:vAlign w:val="center"/>
          </w:tcPr>
          <w:p w14:paraId="7DFE6F77" w14:textId="77777777" w:rsidR="00DB3A40" w:rsidRPr="004E0468" w:rsidRDefault="00DB3A40" w:rsidP="00DB3A40">
            <w:pPr>
              <w:jc w:val="center"/>
              <w:rPr>
                <w:rFonts w:ascii="Times New Roman" w:hAnsi="Times New Roman" w:cs="Times New Roman"/>
              </w:rPr>
            </w:pPr>
          </w:p>
        </w:tc>
        <w:tc>
          <w:tcPr>
            <w:tcW w:w="220" w:type="pct"/>
            <w:vAlign w:val="center"/>
          </w:tcPr>
          <w:p w14:paraId="25071C26" w14:textId="77777777" w:rsidR="00DB3A40" w:rsidRPr="004E0468" w:rsidRDefault="00DB3A40" w:rsidP="00DB3A40">
            <w:pPr>
              <w:jc w:val="center"/>
              <w:rPr>
                <w:rFonts w:ascii="Times New Roman" w:hAnsi="Times New Roman" w:cs="Times New Roman"/>
              </w:rPr>
            </w:pPr>
          </w:p>
        </w:tc>
        <w:tc>
          <w:tcPr>
            <w:tcW w:w="220" w:type="pct"/>
            <w:vAlign w:val="center"/>
          </w:tcPr>
          <w:p w14:paraId="1CCF9148"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620548D4"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7FC7C667"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E135202"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363DE27B"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r>
      <w:tr w:rsidR="00DB3A40" w:rsidRPr="004E0468" w14:paraId="0064DBC8" w14:textId="77777777" w:rsidTr="00DB3A40">
        <w:trPr>
          <w:trHeight w:val="20"/>
        </w:trPr>
        <w:tc>
          <w:tcPr>
            <w:tcW w:w="1480" w:type="pct"/>
            <w:vAlign w:val="center"/>
          </w:tcPr>
          <w:p w14:paraId="7C8AB846"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Designing process for minimisation of waste</w:t>
            </w:r>
          </w:p>
        </w:tc>
        <w:tc>
          <w:tcPr>
            <w:tcW w:w="220" w:type="pct"/>
            <w:vAlign w:val="center"/>
          </w:tcPr>
          <w:p w14:paraId="70CC5062" w14:textId="77777777" w:rsidR="00DB3A40" w:rsidRPr="004E0468" w:rsidRDefault="00DB3A40" w:rsidP="00DB3A40">
            <w:pPr>
              <w:jc w:val="center"/>
              <w:rPr>
                <w:rFonts w:ascii="Times New Roman" w:hAnsi="Times New Roman" w:cs="Times New Roman"/>
              </w:rPr>
            </w:pPr>
          </w:p>
        </w:tc>
        <w:tc>
          <w:tcPr>
            <w:tcW w:w="220" w:type="pct"/>
            <w:vAlign w:val="center"/>
          </w:tcPr>
          <w:p w14:paraId="6934C2A6" w14:textId="77777777" w:rsidR="00DB3A40" w:rsidRPr="004E0468" w:rsidRDefault="00DB3A40" w:rsidP="00DB3A40">
            <w:pPr>
              <w:jc w:val="center"/>
              <w:rPr>
                <w:rFonts w:ascii="Times New Roman" w:hAnsi="Times New Roman" w:cs="Times New Roman"/>
              </w:rPr>
            </w:pPr>
          </w:p>
        </w:tc>
        <w:tc>
          <w:tcPr>
            <w:tcW w:w="220" w:type="pct"/>
            <w:vAlign w:val="center"/>
          </w:tcPr>
          <w:p w14:paraId="281C4EAC" w14:textId="77777777" w:rsidR="00DB3A40" w:rsidRPr="004E0468" w:rsidRDefault="00DB3A40" w:rsidP="00DB3A40">
            <w:pPr>
              <w:jc w:val="center"/>
              <w:rPr>
                <w:rFonts w:ascii="Times New Roman" w:hAnsi="Times New Roman" w:cs="Times New Roman"/>
              </w:rPr>
            </w:pPr>
          </w:p>
        </w:tc>
        <w:tc>
          <w:tcPr>
            <w:tcW w:w="220" w:type="pct"/>
            <w:vAlign w:val="center"/>
          </w:tcPr>
          <w:p w14:paraId="6102D355" w14:textId="77777777" w:rsidR="00DB3A40" w:rsidRPr="004E0468" w:rsidRDefault="00DB3A40" w:rsidP="00DB3A40">
            <w:pPr>
              <w:jc w:val="center"/>
              <w:rPr>
                <w:rFonts w:ascii="Times New Roman" w:hAnsi="Times New Roman" w:cs="Times New Roman"/>
              </w:rPr>
            </w:pPr>
          </w:p>
        </w:tc>
        <w:tc>
          <w:tcPr>
            <w:tcW w:w="220" w:type="pct"/>
            <w:vAlign w:val="center"/>
          </w:tcPr>
          <w:p w14:paraId="44723C38" w14:textId="77777777" w:rsidR="00DB3A40" w:rsidRPr="004E0468" w:rsidRDefault="00DB3A40" w:rsidP="00DB3A40">
            <w:pPr>
              <w:jc w:val="center"/>
              <w:rPr>
                <w:rFonts w:ascii="Times New Roman" w:hAnsi="Times New Roman" w:cs="Times New Roman"/>
              </w:rPr>
            </w:pPr>
          </w:p>
        </w:tc>
        <w:tc>
          <w:tcPr>
            <w:tcW w:w="220" w:type="pct"/>
            <w:vAlign w:val="center"/>
          </w:tcPr>
          <w:p w14:paraId="6D7D101A" w14:textId="77777777" w:rsidR="00DB3A40" w:rsidRPr="004E0468" w:rsidRDefault="00DB3A40" w:rsidP="00DB3A40">
            <w:pPr>
              <w:jc w:val="center"/>
              <w:rPr>
                <w:rFonts w:ascii="Times New Roman" w:hAnsi="Times New Roman" w:cs="Times New Roman"/>
              </w:rPr>
            </w:pPr>
          </w:p>
        </w:tc>
        <w:tc>
          <w:tcPr>
            <w:tcW w:w="220" w:type="pct"/>
            <w:vAlign w:val="center"/>
          </w:tcPr>
          <w:p w14:paraId="71DF9487" w14:textId="77777777" w:rsidR="00DB3A40" w:rsidRPr="004E0468" w:rsidRDefault="00DB3A40" w:rsidP="00DB3A40">
            <w:pPr>
              <w:jc w:val="center"/>
              <w:rPr>
                <w:rFonts w:ascii="Times New Roman" w:hAnsi="Times New Roman" w:cs="Times New Roman"/>
              </w:rPr>
            </w:pPr>
          </w:p>
        </w:tc>
        <w:tc>
          <w:tcPr>
            <w:tcW w:w="220" w:type="pct"/>
            <w:vAlign w:val="center"/>
          </w:tcPr>
          <w:p w14:paraId="2951EC37" w14:textId="77777777" w:rsidR="00DB3A40" w:rsidRPr="004E0468" w:rsidRDefault="00DB3A40" w:rsidP="00DB3A40">
            <w:pPr>
              <w:jc w:val="center"/>
              <w:rPr>
                <w:rFonts w:ascii="Times New Roman" w:hAnsi="Times New Roman" w:cs="Times New Roman"/>
              </w:rPr>
            </w:pPr>
          </w:p>
        </w:tc>
        <w:tc>
          <w:tcPr>
            <w:tcW w:w="220" w:type="pct"/>
            <w:vAlign w:val="center"/>
          </w:tcPr>
          <w:p w14:paraId="46DFC67B" w14:textId="77777777" w:rsidR="00DB3A40" w:rsidRPr="004E0468" w:rsidRDefault="00DB3A40" w:rsidP="00DB3A40">
            <w:pPr>
              <w:jc w:val="center"/>
              <w:rPr>
                <w:rFonts w:ascii="Times New Roman" w:hAnsi="Times New Roman" w:cs="Times New Roman"/>
              </w:rPr>
            </w:pPr>
          </w:p>
        </w:tc>
        <w:tc>
          <w:tcPr>
            <w:tcW w:w="220" w:type="pct"/>
            <w:vAlign w:val="center"/>
          </w:tcPr>
          <w:p w14:paraId="11CE47FC" w14:textId="77777777" w:rsidR="00DB3A40" w:rsidRPr="004E0468" w:rsidRDefault="00DB3A40" w:rsidP="00DB3A40">
            <w:pPr>
              <w:jc w:val="center"/>
              <w:rPr>
                <w:rFonts w:ascii="Times New Roman" w:hAnsi="Times New Roman" w:cs="Times New Roman"/>
              </w:rPr>
            </w:pPr>
          </w:p>
        </w:tc>
        <w:tc>
          <w:tcPr>
            <w:tcW w:w="220" w:type="pct"/>
            <w:vAlign w:val="center"/>
          </w:tcPr>
          <w:p w14:paraId="31AC4638" w14:textId="77777777" w:rsidR="00DB3A40" w:rsidRPr="004E0468" w:rsidRDefault="00DB3A40" w:rsidP="00DB3A40">
            <w:pPr>
              <w:jc w:val="center"/>
              <w:rPr>
                <w:rFonts w:ascii="Times New Roman" w:hAnsi="Times New Roman" w:cs="Times New Roman"/>
              </w:rPr>
            </w:pPr>
          </w:p>
        </w:tc>
        <w:tc>
          <w:tcPr>
            <w:tcW w:w="220" w:type="pct"/>
            <w:vAlign w:val="center"/>
          </w:tcPr>
          <w:p w14:paraId="390EAA9C" w14:textId="77777777" w:rsidR="00DB3A40" w:rsidRPr="004E0468" w:rsidRDefault="00DB3A40" w:rsidP="00DB3A40">
            <w:pPr>
              <w:jc w:val="center"/>
              <w:rPr>
                <w:rFonts w:ascii="Times New Roman" w:hAnsi="Times New Roman" w:cs="Times New Roman"/>
              </w:rPr>
            </w:pPr>
          </w:p>
        </w:tc>
        <w:tc>
          <w:tcPr>
            <w:tcW w:w="220" w:type="pct"/>
            <w:vAlign w:val="center"/>
          </w:tcPr>
          <w:p w14:paraId="02B3FB77" w14:textId="77777777" w:rsidR="00DB3A40" w:rsidRPr="004E0468" w:rsidRDefault="00DB3A40" w:rsidP="00DB3A40">
            <w:pPr>
              <w:jc w:val="center"/>
              <w:rPr>
                <w:rFonts w:ascii="Times New Roman" w:hAnsi="Times New Roman" w:cs="Times New Roman"/>
              </w:rPr>
            </w:pPr>
          </w:p>
        </w:tc>
        <w:tc>
          <w:tcPr>
            <w:tcW w:w="220" w:type="pct"/>
            <w:vAlign w:val="center"/>
          </w:tcPr>
          <w:p w14:paraId="4DC2C112"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4375BC43"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16C43653" w14:textId="77777777" w:rsidR="00DB3A40" w:rsidRPr="004E0468" w:rsidRDefault="00DB3A40" w:rsidP="00DB3A40">
            <w:pPr>
              <w:jc w:val="center"/>
              <w:rPr>
                <w:rFonts w:ascii="Times New Roman" w:hAnsi="Times New Roman" w:cs="Times New Roman"/>
              </w:rPr>
            </w:pPr>
          </w:p>
        </w:tc>
      </w:tr>
      <w:tr w:rsidR="00DB3A40" w:rsidRPr="004E0468" w14:paraId="75103749" w14:textId="77777777" w:rsidTr="00DB3A40">
        <w:trPr>
          <w:trHeight w:val="20"/>
        </w:trPr>
        <w:tc>
          <w:tcPr>
            <w:tcW w:w="1480" w:type="pct"/>
            <w:vAlign w:val="center"/>
          </w:tcPr>
          <w:p w14:paraId="38504207" w14:textId="77777777" w:rsidR="00DB3A40" w:rsidRPr="004E0468" w:rsidRDefault="00DB3A40" w:rsidP="00DB3A40">
            <w:pPr>
              <w:pStyle w:val="ListParagraph"/>
              <w:numPr>
                <w:ilvl w:val="0"/>
                <w:numId w:val="3"/>
              </w:numPr>
              <w:spacing w:after="0" w:line="240" w:lineRule="auto"/>
              <w:rPr>
                <w:rFonts w:ascii="Times New Roman" w:hAnsi="Times New Roman" w:cs="Times New Roman"/>
                <w:b/>
                <w:sz w:val="16"/>
                <w:szCs w:val="16"/>
              </w:rPr>
            </w:pPr>
            <w:r w:rsidRPr="004E0468">
              <w:rPr>
                <w:rFonts w:ascii="Times New Roman" w:hAnsi="Times New Roman" w:cs="Times New Roman"/>
                <w:b/>
                <w:sz w:val="16"/>
                <w:szCs w:val="16"/>
              </w:rPr>
              <w:t>Green-purchasing</w:t>
            </w:r>
          </w:p>
        </w:tc>
        <w:tc>
          <w:tcPr>
            <w:tcW w:w="220" w:type="pct"/>
            <w:vAlign w:val="center"/>
          </w:tcPr>
          <w:p w14:paraId="7A01CD20"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22730E6" w14:textId="77777777" w:rsidR="00DB3A40" w:rsidRPr="004E0468" w:rsidRDefault="00DB3A40" w:rsidP="00DB3A40">
            <w:pPr>
              <w:jc w:val="center"/>
              <w:rPr>
                <w:rFonts w:ascii="Times New Roman" w:hAnsi="Times New Roman" w:cs="Times New Roman"/>
              </w:rPr>
            </w:pPr>
          </w:p>
        </w:tc>
        <w:tc>
          <w:tcPr>
            <w:tcW w:w="220" w:type="pct"/>
            <w:vAlign w:val="center"/>
          </w:tcPr>
          <w:p w14:paraId="248BAD2A" w14:textId="77777777" w:rsidR="00DB3A40" w:rsidRPr="004E0468" w:rsidRDefault="00DB3A40" w:rsidP="00DB3A40">
            <w:pPr>
              <w:jc w:val="center"/>
              <w:rPr>
                <w:rFonts w:ascii="Times New Roman" w:hAnsi="Times New Roman" w:cs="Times New Roman"/>
              </w:rPr>
            </w:pPr>
          </w:p>
        </w:tc>
        <w:tc>
          <w:tcPr>
            <w:tcW w:w="220" w:type="pct"/>
            <w:vAlign w:val="center"/>
          </w:tcPr>
          <w:p w14:paraId="1D7EF449" w14:textId="77777777" w:rsidR="00DB3A40" w:rsidRPr="004E0468" w:rsidRDefault="00DB3A40" w:rsidP="00DB3A40">
            <w:pPr>
              <w:jc w:val="center"/>
              <w:rPr>
                <w:rFonts w:ascii="Times New Roman" w:hAnsi="Times New Roman" w:cs="Times New Roman"/>
              </w:rPr>
            </w:pPr>
          </w:p>
        </w:tc>
        <w:tc>
          <w:tcPr>
            <w:tcW w:w="220" w:type="pct"/>
            <w:vAlign w:val="center"/>
          </w:tcPr>
          <w:p w14:paraId="2A6E47B2" w14:textId="77777777" w:rsidR="00DB3A40" w:rsidRPr="004E0468" w:rsidRDefault="00DB3A40" w:rsidP="00DB3A40">
            <w:pPr>
              <w:jc w:val="center"/>
              <w:rPr>
                <w:rFonts w:ascii="Times New Roman" w:hAnsi="Times New Roman" w:cs="Times New Roman"/>
              </w:rPr>
            </w:pPr>
          </w:p>
        </w:tc>
        <w:tc>
          <w:tcPr>
            <w:tcW w:w="220" w:type="pct"/>
            <w:vAlign w:val="center"/>
          </w:tcPr>
          <w:p w14:paraId="63C153D3" w14:textId="77777777" w:rsidR="00DB3A40" w:rsidRPr="004E0468" w:rsidRDefault="00DB3A40" w:rsidP="00DB3A40">
            <w:pPr>
              <w:jc w:val="center"/>
              <w:rPr>
                <w:rFonts w:ascii="Times New Roman" w:hAnsi="Times New Roman" w:cs="Times New Roman"/>
              </w:rPr>
            </w:pPr>
          </w:p>
        </w:tc>
        <w:tc>
          <w:tcPr>
            <w:tcW w:w="220" w:type="pct"/>
            <w:vAlign w:val="center"/>
          </w:tcPr>
          <w:p w14:paraId="0AB9AF88"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108F9AC6" w14:textId="77777777" w:rsidR="00DB3A40" w:rsidRPr="004E0468" w:rsidRDefault="00DB3A40" w:rsidP="00DB3A40">
            <w:pPr>
              <w:jc w:val="center"/>
              <w:rPr>
                <w:rFonts w:ascii="Times New Roman" w:hAnsi="Times New Roman" w:cs="Times New Roman"/>
              </w:rPr>
            </w:pPr>
          </w:p>
        </w:tc>
        <w:tc>
          <w:tcPr>
            <w:tcW w:w="220" w:type="pct"/>
            <w:vAlign w:val="center"/>
          </w:tcPr>
          <w:p w14:paraId="70315167" w14:textId="77777777" w:rsidR="00DB3A40" w:rsidRPr="004E0468" w:rsidRDefault="00DB3A40" w:rsidP="00DB3A40">
            <w:pPr>
              <w:jc w:val="center"/>
              <w:rPr>
                <w:rFonts w:ascii="Times New Roman" w:hAnsi="Times New Roman" w:cs="Times New Roman"/>
              </w:rPr>
            </w:pPr>
          </w:p>
        </w:tc>
        <w:tc>
          <w:tcPr>
            <w:tcW w:w="220" w:type="pct"/>
            <w:vAlign w:val="center"/>
          </w:tcPr>
          <w:p w14:paraId="2F0CD474" w14:textId="77777777" w:rsidR="00DB3A40" w:rsidRPr="004E0468" w:rsidRDefault="00DB3A40" w:rsidP="00DB3A40">
            <w:pPr>
              <w:jc w:val="center"/>
              <w:rPr>
                <w:rFonts w:ascii="Times New Roman" w:hAnsi="Times New Roman" w:cs="Times New Roman"/>
              </w:rPr>
            </w:pPr>
          </w:p>
        </w:tc>
        <w:tc>
          <w:tcPr>
            <w:tcW w:w="220" w:type="pct"/>
            <w:vAlign w:val="center"/>
          </w:tcPr>
          <w:p w14:paraId="1A3F3FAF"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077AD260"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0DE57064" w14:textId="77777777" w:rsidR="00DB3A40" w:rsidRPr="004E0468" w:rsidRDefault="00DB3A40" w:rsidP="00DB3A40">
            <w:pPr>
              <w:jc w:val="center"/>
              <w:rPr>
                <w:rFonts w:ascii="Times New Roman" w:hAnsi="Times New Roman" w:cs="Times New Roman"/>
              </w:rPr>
            </w:pPr>
          </w:p>
        </w:tc>
        <w:tc>
          <w:tcPr>
            <w:tcW w:w="220" w:type="pct"/>
            <w:vAlign w:val="center"/>
          </w:tcPr>
          <w:p w14:paraId="361552B1"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6B122A23"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32E778C0" w14:textId="77777777" w:rsidR="00DB3A40" w:rsidRPr="004E0468" w:rsidRDefault="00DB3A40" w:rsidP="00DB3A40">
            <w:pPr>
              <w:jc w:val="center"/>
              <w:rPr>
                <w:rFonts w:ascii="Times New Roman" w:hAnsi="Times New Roman" w:cs="Times New Roman"/>
              </w:rPr>
            </w:pPr>
          </w:p>
        </w:tc>
      </w:tr>
      <w:tr w:rsidR="00DB3A40" w:rsidRPr="004E0468" w14:paraId="34E9153F" w14:textId="77777777" w:rsidTr="00DB3A40">
        <w:trPr>
          <w:trHeight w:val="20"/>
        </w:trPr>
        <w:tc>
          <w:tcPr>
            <w:tcW w:w="1480" w:type="pct"/>
            <w:vAlign w:val="center"/>
          </w:tcPr>
          <w:p w14:paraId="0A25EE0C"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Selecting suppliers using environmental criteria</w:t>
            </w:r>
          </w:p>
        </w:tc>
        <w:tc>
          <w:tcPr>
            <w:tcW w:w="220" w:type="pct"/>
            <w:vAlign w:val="center"/>
          </w:tcPr>
          <w:p w14:paraId="6C2A0604"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335C87B" w14:textId="77777777" w:rsidR="00DB3A40" w:rsidRPr="004E0468" w:rsidRDefault="00DB3A40" w:rsidP="00DB3A40">
            <w:pPr>
              <w:jc w:val="center"/>
              <w:rPr>
                <w:rFonts w:ascii="Times New Roman" w:hAnsi="Times New Roman" w:cs="Times New Roman"/>
              </w:rPr>
            </w:pPr>
          </w:p>
        </w:tc>
        <w:tc>
          <w:tcPr>
            <w:tcW w:w="220" w:type="pct"/>
            <w:vAlign w:val="center"/>
          </w:tcPr>
          <w:p w14:paraId="6158E86E" w14:textId="77777777" w:rsidR="00DB3A40" w:rsidRPr="004E0468" w:rsidRDefault="00DB3A40" w:rsidP="00DB3A40">
            <w:pPr>
              <w:jc w:val="center"/>
              <w:rPr>
                <w:rFonts w:ascii="Times New Roman" w:hAnsi="Times New Roman" w:cs="Times New Roman"/>
              </w:rPr>
            </w:pPr>
          </w:p>
        </w:tc>
        <w:tc>
          <w:tcPr>
            <w:tcW w:w="220" w:type="pct"/>
            <w:vAlign w:val="center"/>
          </w:tcPr>
          <w:p w14:paraId="2AD9A452" w14:textId="77777777" w:rsidR="00DB3A40" w:rsidRPr="004E0468" w:rsidRDefault="00DB3A40" w:rsidP="00DB3A40">
            <w:pPr>
              <w:jc w:val="center"/>
              <w:rPr>
                <w:rFonts w:ascii="Times New Roman" w:hAnsi="Times New Roman" w:cs="Times New Roman"/>
              </w:rPr>
            </w:pPr>
          </w:p>
        </w:tc>
        <w:tc>
          <w:tcPr>
            <w:tcW w:w="220" w:type="pct"/>
            <w:vAlign w:val="center"/>
          </w:tcPr>
          <w:p w14:paraId="7A81A7E4" w14:textId="77777777" w:rsidR="00DB3A40" w:rsidRPr="004E0468" w:rsidRDefault="00DB3A40" w:rsidP="00DB3A40">
            <w:pPr>
              <w:jc w:val="center"/>
              <w:rPr>
                <w:rFonts w:ascii="Times New Roman" w:hAnsi="Times New Roman" w:cs="Times New Roman"/>
              </w:rPr>
            </w:pPr>
          </w:p>
        </w:tc>
        <w:tc>
          <w:tcPr>
            <w:tcW w:w="220" w:type="pct"/>
            <w:vAlign w:val="center"/>
          </w:tcPr>
          <w:p w14:paraId="5B12C851" w14:textId="77777777" w:rsidR="00DB3A40" w:rsidRPr="004E0468" w:rsidRDefault="00DB3A40" w:rsidP="00DB3A40">
            <w:pPr>
              <w:jc w:val="center"/>
              <w:rPr>
                <w:rFonts w:ascii="Times New Roman" w:hAnsi="Times New Roman" w:cs="Times New Roman"/>
              </w:rPr>
            </w:pPr>
          </w:p>
        </w:tc>
        <w:tc>
          <w:tcPr>
            <w:tcW w:w="220" w:type="pct"/>
            <w:vAlign w:val="center"/>
          </w:tcPr>
          <w:p w14:paraId="7A9BBA3E"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4344CF2A" w14:textId="77777777" w:rsidR="00DB3A40" w:rsidRPr="004E0468" w:rsidRDefault="00DB3A40" w:rsidP="00DB3A40">
            <w:pPr>
              <w:jc w:val="center"/>
              <w:rPr>
                <w:rFonts w:ascii="Times New Roman" w:hAnsi="Times New Roman" w:cs="Times New Roman"/>
              </w:rPr>
            </w:pPr>
          </w:p>
        </w:tc>
        <w:tc>
          <w:tcPr>
            <w:tcW w:w="220" w:type="pct"/>
            <w:vAlign w:val="center"/>
          </w:tcPr>
          <w:p w14:paraId="41CC54CD" w14:textId="77777777" w:rsidR="00DB3A40" w:rsidRPr="004E0468" w:rsidRDefault="00DB3A40" w:rsidP="00DB3A40">
            <w:pPr>
              <w:jc w:val="center"/>
              <w:rPr>
                <w:rFonts w:ascii="Times New Roman" w:hAnsi="Times New Roman" w:cs="Times New Roman"/>
              </w:rPr>
            </w:pPr>
          </w:p>
        </w:tc>
        <w:tc>
          <w:tcPr>
            <w:tcW w:w="220" w:type="pct"/>
            <w:vAlign w:val="center"/>
          </w:tcPr>
          <w:p w14:paraId="56DE0E71"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1FDCFA51" w14:textId="77777777" w:rsidR="00DB3A40" w:rsidRPr="004E0468" w:rsidRDefault="00DB3A40" w:rsidP="00DB3A40">
            <w:pPr>
              <w:jc w:val="center"/>
              <w:rPr>
                <w:rFonts w:ascii="Times New Roman" w:hAnsi="Times New Roman" w:cs="Times New Roman"/>
              </w:rPr>
            </w:pPr>
          </w:p>
        </w:tc>
        <w:tc>
          <w:tcPr>
            <w:tcW w:w="220" w:type="pct"/>
            <w:vAlign w:val="center"/>
          </w:tcPr>
          <w:p w14:paraId="7B7BB32A"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539545DF" w14:textId="77777777" w:rsidR="00DB3A40" w:rsidRPr="004E0468" w:rsidRDefault="00DB3A40" w:rsidP="00DB3A40">
            <w:pPr>
              <w:jc w:val="center"/>
              <w:rPr>
                <w:rFonts w:ascii="Times New Roman" w:hAnsi="Times New Roman" w:cs="Times New Roman"/>
              </w:rPr>
            </w:pPr>
          </w:p>
        </w:tc>
        <w:tc>
          <w:tcPr>
            <w:tcW w:w="220" w:type="pct"/>
            <w:vAlign w:val="center"/>
          </w:tcPr>
          <w:p w14:paraId="20A66058"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9CACBC3"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63F7CFBB" w14:textId="77777777" w:rsidR="00DB3A40" w:rsidRPr="004E0468" w:rsidRDefault="00DB3A40" w:rsidP="00DB3A40">
            <w:pPr>
              <w:jc w:val="center"/>
              <w:rPr>
                <w:rFonts w:ascii="Times New Roman" w:hAnsi="Times New Roman" w:cs="Times New Roman"/>
              </w:rPr>
            </w:pPr>
          </w:p>
        </w:tc>
      </w:tr>
      <w:tr w:rsidR="00DB3A40" w:rsidRPr="004E0468" w14:paraId="7409F3C9" w14:textId="77777777" w:rsidTr="00DB3A40">
        <w:trPr>
          <w:trHeight w:val="20"/>
        </w:trPr>
        <w:tc>
          <w:tcPr>
            <w:tcW w:w="1480" w:type="pct"/>
            <w:vAlign w:val="center"/>
          </w:tcPr>
          <w:p w14:paraId="6CE0E355"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Using renewable energy/materials in the production process</w:t>
            </w:r>
          </w:p>
        </w:tc>
        <w:tc>
          <w:tcPr>
            <w:tcW w:w="220" w:type="pct"/>
            <w:vAlign w:val="center"/>
          </w:tcPr>
          <w:p w14:paraId="0A7E1EBB" w14:textId="77777777" w:rsidR="00DB3A40" w:rsidRPr="004E0468" w:rsidRDefault="00DB3A40" w:rsidP="00DB3A40">
            <w:pPr>
              <w:jc w:val="center"/>
              <w:rPr>
                <w:rFonts w:ascii="Times New Roman" w:hAnsi="Times New Roman" w:cs="Times New Roman"/>
              </w:rPr>
            </w:pPr>
          </w:p>
        </w:tc>
        <w:tc>
          <w:tcPr>
            <w:tcW w:w="220" w:type="pct"/>
            <w:vAlign w:val="center"/>
          </w:tcPr>
          <w:p w14:paraId="236DA04F" w14:textId="77777777" w:rsidR="00DB3A40" w:rsidRPr="004E0468" w:rsidRDefault="00DB3A40" w:rsidP="00DB3A40">
            <w:pPr>
              <w:jc w:val="center"/>
              <w:rPr>
                <w:rFonts w:ascii="Times New Roman" w:hAnsi="Times New Roman" w:cs="Times New Roman"/>
              </w:rPr>
            </w:pPr>
          </w:p>
        </w:tc>
        <w:tc>
          <w:tcPr>
            <w:tcW w:w="220" w:type="pct"/>
            <w:vAlign w:val="center"/>
          </w:tcPr>
          <w:p w14:paraId="3FABCF44"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D3B3201" w14:textId="77777777" w:rsidR="00DB3A40" w:rsidRPr="004E0468" w:rsidRDefault="00DB3A40" w:rsidP="00DB3A40">
            <w:pPr>
              <w:jc w:val="center"/>
              <w:rPr>
                <w:rFonts w:ascii="Times New Roman" w:hAnsi="Times New Roman" w:cs="Times New Roman"/>
              </w:rPr>
            </w:pPr>
          </w:p>
        </w:tc>
        <w:tc>
          <w:tcPr>
            <w:tcW w:w="220" w:type="pct"/>
            <w:vAlign w:val="center"/>
          </w:tcPr>
          <w:p w14:paraId="22FA2316" w14:textId="77777777" w:rsidR="00DB3A40" w:rsidRPr="004E0468" w:rsidRDefault="00DB3A40" w:rsidP="00DB3A40">
            <w:pPr>
              <w:jc w:val="center"/>
              <w:rPr>
                <w:rFonts w:ascii="Times New Roman" w:hAnsi="Times New Roman" w:cs="Times New Roman"/>
              </w:rPr>
            </w:pPr>
          </w:p>
        </w:tc>
        <w:tc>
          <w:tcPr>
            <w:tcW w:w="220" w:type="pct"/>
            <w:vAlign w:val="center"/>
          </w:tcPr>
          <w:p w14:paraId="7120CAD9" w14:textId="77777777" w:rsidR="00DB3A40" w:rsidRPr="004E0468" w:rsidRDefault="00DB3A40" w:rsidP="00DB3A40">
            <w:pPr>
              <w:jc w:val="center"/>
              <w:rPr>
                <w:rFonts w:ascii="Times New Roman" w:hAnsi="Times New Roman" w:cs="Times New Roman"/>
              </w:rPr>
            </w:pPr>
          </w:p>
        </w:tc>
        <w:tc>
          <w:tcPr>
            <w:tcW w:w="220" w:type="pct"/>
            <w:vAlign w:val="center"/>
          </w:tcPr>
          <w:p w14:paraId="1212C818" w14:textId="77777777" w:rsidR="00DB3A40" w:rsidRPr="004E0468" w:rsidRDefault="00DB3A40" w:rsidP="00DB3A40">
            <w:pPr>
              <w:jc w:val="center"/>
              <w:rPr>
                <w:rFonts w:ascii="Times New Roman" w:hAnsi="Times New Roman" w:cs="Times New Roman"/>
              </w:rPr>
            </w:pPr>
          </w:p>
        </w:tc>
        <w:tc>
          <w:tcPr>
            <w:tcW w:w="220" w:type="pct"/>
            <w:vAlign w:val="center"/>
          </w:tcPr>
          <w:p w14:paraId="7592EB80" w14:textId="77777777" w:rsidR="00DB3A40" w:rsidRPr="004E0468" w:rsidRDefault="00DB3A40" w:rsidP="00DB3A40">
            <w:pPr>
              <w:jc w:val="center"/>
              <w:rPr>
                <w:rFonts w:ascii="Times New Roman" w:hAnsi="Times New Roman" w:cs="Times New Roman"/>
              </w:rPr>
            </w:pPr>
          </w:p>
        </w:tc>
        <w:tc>
          <w:tcPr>
            <w:tcW w:w="220" w:type="pct"/>
            <w:vAlign w:val="center"/>
          </w:tcPr>
          <w:p w14:paraId="206182D7" w14:textId="77777777" w:rsidR="00DB3A40" w:rsidRPr="004E0468" w:rsidRDefault="00DB3A40" w:rsidP="00DB3A40">
            <w:pPr>
              <w:jc w:val="center"/>
              <w:rPr>
                <w:rFonts w:ascii="Times New Roman" w:hAnsi="Times New Roman" w:cs="Times New Roman"/>
              </w:rPr>
            </w:pPr>
          </w:p>
        </w:tc>
        <w:tc>
          <w:tcPr>
            <w:tcW w:w="220" w:type="pct"/>
            <w:vAlign w:val="center"/>
          </w:tcPr>
          <w:p w14:paraId="57E536F7" w14:textId="77777777" w:rsidR="00DB3A40" w:rsidRPr="004E0468" w:rsidRDefault="00DB3A40" w:rsidP="00DB3A40">
            <w:pPr>
              <w:jc w:val="center"/>
              <w:rPr>
                <w:rFonts w:ascii="Times New Roman" w:hAnsi="Times New Roman" w:cs="Times New Roman"/>
              </w:rPr>
            </w:pPr>
          </w:p>
        </w:tc>
        <w:tc>
          <w:tcPr>
            <w:tcW w:w="220" w:type="pct"/>
            <w:vAlign w:val="center"/>
          </w:tcPr>
          <w:p w14:paraId="0F7A78CD" w14:textId="77777777" w:rsidR="00DB3A40" w:rsidRPr="004E0468" w:rsidRDefault="00DB3A40" w:rsidP="00DB3A40">
            <w:pPr>
              <w:jc w:val="center"/>
              <w:rPr>
                <w:rFonts w:ascii="Times New Roman" w:hAnsi="Times New Roman" w:cs="Times New Roman"/>
              </w:rPr>
            </w:pPr>
          </w:p>
        </w:tc>
        <w:tc>
          <w:tcPr>
            <w:tcW w:w="220" w:type="pct"/>
            <w:vAlign w:val="center"/>
          </w:tcPr>
          <w:p w14:paraId="6879067E" w14:textId="77777777" w:rsidR="00DB3A40" w:rsidRPr="004E0468" w:rsidRDefault="00DB3A40" w:rsidP="00DB3A40">
            <w:pPr>
              <w:jc w:val="center"/>
              <w:rPr>
                <w:rFonts w:ascii="Times New Roman" w:hAnsi="Times New Roman" w:cs="Times New Roman"/>
              </w:rPr>
            </w:pPr>
          </w:p>
        </w:tc>
        <w:tc>
          <w:tcPr>
            <w:tcW w:w="220" w:type="pct"/>
            <w:vAlign w:val="center"/>
          </w:tcPr>
          <w:p w14:paraId="05FB0E8E" w14:textId="77777777" w:rsidR="00DB3A40" w:rsidRPr="004E0468" w:rsidRDefault="00DB3A40" w:rsidP="00DB3A40">
            <w:pPr>
              <w:jc w:val="center"/>
              <w:rPr>
                <w:rFonts w:ascii="Times New Roman" w:hAnsi="Times New Roman" w:cs="Times New Roman"/>
              </w:rPr>
            </w:pPr>
          </w:p>
        </w:tc>
        <w:tc>
          <w:tcPr>
            <w:tcW w:w="220" w:type="pct"/>
            <w:vAlign w:val="center"/>
          </w:tcPr>
          <w:p w14:paraId="0B6A1DF4" w14:textId="77777777" w:rsidR="00DB3A40" w:rsidRPr="004E0468" w:rsidRDefault="00DB3A40" w:rsidP="00DB3A40">
            <w:pPr>
              <w:jc w:val="center"/>
              <w:rPr>
                <w:rFonts w:ascii="Times New Roman" w:hAnsi="Times New Roman" w:cs="Times New Roman"/>
              </w:rPr>
            </w:pPr>
          </w:p>
        </w:tc>
        <w:tc>
          <w:tcPr>
            <w:tcW w:w="220" w:type="pct"/>
            <w:vAlign w:val="center"/>
          </w:tcPr>
          <w:p w14:paraId="010BCE3F" w14:textId="77777777" w:rsidR="00DB3A40" w:rsidRPr="004E0468" w:rsidRDefault="00DB3A40" w:rsidP="00DB3A40">
            <w:pPr>
              <w:jc w:val="center"/>
              <w:rPr>
                <w:rFonts w:ascii="Times New Roman" w:hAnsi="Times New Roman" w:cs="Times New Roman"/>
              </w:rPr>
            </w:pPr>
          </w:p>
        </w:tc>
        <w:tc>
          <w:tcPr>
            <w:tcW w:w="217" w:type="pct"/>
            <w:vAlign w:val="center"/>
          </w:tcPr>
          <w:p w14:paraId="3CF3E7A2" w14:textId="77777777" w:rsidR="00DB3A40" w:rsidRPr="004E0468" w:rsidRDefault="00DB3A40" w:rsidP="00DB3A40">
            <w:pPr>
              <w:jc w:val="center"/>
              <w:rPr>
                <w:rFonts w:ascii="Times New Roman" w:hAnsi="Times New Roman" w:cs="Times New Roman"/>
              </w:rPr>
            </w:pPr>
          </w:p>
        </w:tc>
      </w:tr>
      <w:tr w:rsidR="00DB3A40" w:rsidRPr="004E0468" w14:paraId="32DAA031" w14:textId="77777777" w:rsidTr="00DB3A40">
        <w:trPr>
          <w:trHeight w:val="20"/>
        </w:trPr>
        <w:tc>
          <w:tcPr>
            <w:tcW w:w="1480" w:type="pct"/>
            <w:vAlign w:val="center"/>
          </w:tcPr>
          <w:p w14:paraId="3CDA6BB1"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Cooperating with other firms to establish eco-industrial chains</w:t>
            </w:r>
          </w:p>
        </w:tc>
        <w:tc>
          <w:tcPr>
            <w:tcW w:w="220" w:type="pct"/>
            <w:vAlign w:val="center"/>
          </w:tcPr>
          <w:p w14:paraId="226240F1" w14:textId="77777777" w:rsidR="00DB3A40" w:rsidRPr="004E0468" w:rsidRDefault="00DB3A40" w:rsidP="00DB3A40">
            <w:pPr>
              <w:jc w:val="center"/>
              <w:rPr>
                <w:rFonts w:ascii="Times New Roman" w:hAnsi="Times New Roman" w:cs="Times New Roman"/>
              </w:rPr>
            </w:pPr>
          </w:p>
        </w:tc>
        <w:tc>
          <w:tcPr>
            <w:tcW w:w="220" w:type="pct"/>
            <w:vAlign w:val="center"/>
          </w:tcPr>
          <w:p w14:paraId="2E6216A6" w14:textId="77777777" w:rsidR="00DB3A40" w:rsidRPr="004E0468" w:rsidRDefault="00DB3A40" w:rsidP="00DB3A40">
            <w:pPr>
              <w:jc w:val="center"/>
              <w:rPr>
                <w:rFonts w:ascii="Times New Roman" w:hAnsi="Times New Roman" w:cs="Times New Roman"/>
              </w:rPr>
            </w:pPr>
          </w:p>
        </w:tc>
        <w:tc>
          <w:tcPr>
            <w:tcW w:w="220" w:type="pct"/>
            <w:vAlign w:val="center"/>
          </w:tcPr>
          <w:p w14:paraId="040BA185" w14:textId="77777777" w:rsidR="00DB3A40" w:rsidRPr="004E0468" w:rsidRDefault="00DB3A40" w:rsidP="00DB3A40">
            <w:pPr>
              <w:jc w:val="center"/>
              <w:rPr>
                <w:rFonts w:ascii="Times New Roman" w:hAnsi="Times New Roman" w:cs="Times New Roman"/>
              </w:rPr>
            </w:pPr>
          </w:p>
        </w:tc>
        <w:tc>
          <w:tcPr>
            <w:tcW w:w="220" w:type="pct"/>
            <w:vAlign w:val="center"/>
          </w:tcPr>
          <w:p w14:paraId="4D401C2B" w14:textId="77777777" w:rsidR="00DB3A40" w:rsidRPr="004E0468" w:rsidRDefault="00DB3A40" w:rsidP="00DB3A40">
            <w:pPr>
              <w:jc w:val="center"/>
              <w:rPr>
                <w:rFonts w:ascii="Times New Roman" w:hAnsi="Times New Roman" w:cs="Times New Roman"/>
              </w:rPr>
            </w:pPr>
          </w:p>
        </w:tc>
        <w:tc>
          <w:tcPr>
            <w:tcW w:w="220" w:type="pct"/>
            <w:vAlign w:val="center"/>
          </w:tcPr>
          <w:p w14:paraId="2F8587F2" w14:textId="77777777" w:rsidR="00DB3A40" w:rsidRPr="004E0468" w:rsidRDefault="00DB3A40" w:rsidP="00DB3A40">
            <w:pPr>
              <w:jc w:val="center"/>
              <w:rPr>
                <w:rFonts w:ascii="Times New Roman" w:hAnsi="Times New Roman" w:cs="Times New Roman"/>
              </w:rPr>
            </w:pPr>
          </w:p>
        </w:tc>
        <w:tc>
          <w:tcPr>
            <w:tcW w:w="220" w:type="pct"/>
            <w:vAlign w:val="center"/>
          </w:tcPr>
          <w:p w14:paraId="30BD1F17" w14:textId="77777777" w:rsidR="00DB3A40" w:rsidRPr="004E0468" w:rsidRDefault="00DB3A40" w:rsidP="00DB3A40">
            <w:pPr>
              <w:jc w:val="center"/>
              <w:rPr>
                <w:rFonts w:ascii="Times New Roman" w:hAnsi="Times New Roman" w:cs="Times New Roman"/>
              </w:rPr>
            </w:pPr>
          </w:p>
        </w:tc>
        <w:tc>
          <w:tcPr>
            <w:tcW w:w="220" w:type="pct"/>
            <w:vAlign w:val="center"/>
          </w:tcPr>
          <w:p w14:paraId="625E7677" w14:textId="77777777" w:rsidR="00DB3A40" w:rsidRPr="004E0468" w:rsidRDefault="00DB3A40" w:rsidP="00DB3A40">
            <w:pPr>
              <w:jc w:val="center"/>
              <w:rPr>
                <w:rFonts w:ascii="Times New Roman" w:hAnsi="Times New Roman" w:cs="Times New Roman"/>
              </w:rPr>
            </w:pPr>
          </w:p>
        </w:tc>
        <w:tc>
          <w:tcPr>
            <w:tcW w:w="220" w:type="pct"/>
            <w:vAlign w:val="center"/>
          </w:tcPr>
          <w:p w14:paraId="5CF3AD83"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0B546537" w14:textId="77777777" w:rsidR="00DB3A40" w:rsidRPr="004E0468" w:rsidRDefault="00DB3A40" w:rsidP="00DB3A40">
            <w:pPr>
              <w:jc w:val="center"/>
              <w:rPr>
                <w:rFonts w:ascii="Times New Roman" w:hAnsi="Times New Roman" w:cs="Times New Roman"/>
              </w:rPr>
            </w:pPr>
          </w:p>
        </w:tc>
        <w:tc>
          <w:tcPr>
            <w:tcW w:w="220" w:type="pct"/>
            <w:vAlign w:val="center"/>
          </w:tcPr>
          <w:p w14:paraId="3FBBB4AA" w14:textId="77777777" w:rsidR="00DB3A40" w:rsidRPr="004E0468" w:rsidRDefault="00DB3A40" w:rsidP="00DB3A40">
            <w:pPr>
              <w:jc w:val="center"/>
              <w:rPr>
                <w:rFonts w:ascii="Times New Roman" w:hAnsi="Times New Roman" w:cs="Times New Roman"/>
              </w:rPr>
            </w:pPr>
          </w:p>
        </w:tc>
        <w:tc>
          <w:tcPr>
            <w:tcW w:w="220" w:type="pct"/>
            <w:vAlign w:val="center"/>
          </w:tcPr>
          <w:p w14:paraId="1F0EB4C0" w14:textId="77777777" w:rsidR="00DB3A40" w:rsidRPr="004E0468" w:rsidRDefault="00DB3A40" w:rsidP="00DB3A40">
            <w:pPr>
              <w:jc w:val="center"/>
              <w:rPr>
                <w:rFonts w:ascii="Times New Roman" w:hAnsi="Times New Roman" w:cs="Times New Roman"/>
              </w:rPr>
            </w:pPr>
          </w:p>
        </w:tc>
        <w:tc>
          <w:tcPr>
            <w:tcW w:w="220" w:type="pct"/>
            <w:vAlign w:val="center"/>
          </w:tcPr>
          <w:p w14:paraId="1238FF2C" w14:textId="77777777" w:rsidR="00DB3A40" w:rsidRPr="004E0468" w:rsidRDefault="00DB3A40" w:rsidP="00DB3A40">
            <w:pPr>
              <w:jc w:val="center"/>
              <w:rPr>
                <w:rFonts w:ascii="Times New Roman" w:hAnsi="Times New Roman" w:cs="Times New Roman"/>
              </w:rPr>
            </w:pPr>
          </w:p>
        </w:tc>
        <w:tc>
          <w:tcPr>
            <w:tcW w:w="220" w:type="pct"/>
            <w:vAlign w:val="center"/>
          </w:tcPr>
          <w:p w14:paraId="2FA1F129" w14:textId="77777777" w:rsidR="00DB3A40" w:rsidRPr="004E0468" w:rsidRDefault="00DB3A40" w:rsidP="00DB3A40">
            <w:pPr>
              <w:jc w:val="center"/>
              <w:rPr>
                <w:rFonts w:ascii="Times New Roman" w:hAnsi="Times New Roman" w:cs="Times New Roman"/>
              </w:rPr>
            </w:pPr>
          </w:p>
        </w:tc>
        <w:tc>
          <w:tcPr>
            <w:tcW w:w="220" w:type="pct"/>
            <w:vAlign w:val="center"/>
          </w:tcPr>
          <w:p w14:paraId="72AD71E1"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02F6C997" w14:textId="77777777" w:rsidR="00DB3A40" w:rsidRPr="004E0468" w:rsidRDefault="00DB3A40" w:rsidP="00DB3A40">
            <w:pPr>
              <w:jc w:val="center"/>
              <w:rPr>
                <w:rFonts w:ascii="Times New Roman" w:hAnsi="Times New Roman" w:cs="Times New Roman"/>
              </w:rPr>
            </w:pPr>
          </w:p>
        </w:tc>
        <w:tc>
          <w:tcPr>
            <w:tcW w:w="217" w:type="pct"/>
            <w:vAlign w:val="center"/>
          </w:tcPr>
          <w:p w14:paraId="50A05B47"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r>
      <w:tr w:rsidR="00DB3A40" w:rsidRPr="004E0468" w14:paraId="261C8129" w14:textId="77777777" w:rsidTr="00DB3A40">
        <w:trPr>
          <w:trHeight w:val="20"/>
        </w:trPr>
        <w:tc>
          <w:tcPr>
            <w:tcW w:w="1480" w:type="pct"/>
            <w:vAlign w:val="center"/>
          </w:tcPr>
          <w:p w14:paraId="084049C7" w14:textId="77777777" w:rsidR="00DB3A40" w:rsidRPr="004E0468" w:rsidRDefault="00DB3A40" w:rsidP="00DB3A40">
            <w:pPr>
              <w:pStyle w:val="ListParagraph"/>
              <w:numPr>
                <w:ilvl w:val="0"/>
                <w:numId w:val="3"/>
              </w:numPr>
              <w:spacing w:after="0" w:line="240" w:lineRule="auto"/>
              <w:rPr>
                <w:rFonts w:ascii="Times New Roman" w:hAnsi="Times New Roman" w:cs="Times New Roman"/>
                <w:b/>
                <w:sz w:val="16"/>
                <w:szCs w:val="16"/>
              </w:rPr>
            </w:pPr>
            <w:r w:rsidRPr="004E0468">
              <w:rPr>
                <w:rFonts w:ascii="Times New Roman" w:hAnsi="Times New Roman" w:cs="Times New Roman"/>
                <w:b/>
                <w:sz w:val="16"/>
                <w:szCs w:val="16"/>
              </w:rPr>
              <w:t>Customer cooperation</w:t>
            </w:r>
          </w:p>
        </w:tc>
        <w:tc>
          <w:tcPr>
            <w:tcW w:w="220" w:type="pct"/>
            <w:vAlign w:val="center"/>
          </w:tcPr>
          <w:p w14:paraId="255AFFD5" w14:textId="77777777" w:rsidR="00DB3A40" w:rsidRPr="004E0468" w:rsidRDefault="00DB3A40" w:rsidP="00DB3A40">
            <w:pPr>
              <w:jc w:val="center"/>
              <w:rPr>
                <w:rFonts w:ascii="Times New Roman" w:hAnsi="Times New Roman" w:cs="Times New Roman"/>
              </w:rPr>
            </w:pPr>
          </w:p>
        </w:tc>
        <w:tc>
          <w:tcPr>
            <w:tcW w:w="220" w:type="pct"/>
            <w:vAlign w:val="center"/>
          </w:tcPr>
          <w:p w14:paraId="2F154C1F" w14:textId="77777777" w:rsidR="00DB3A40" w:rsidRPr="004E0468" w:rsidRDefault="00DB3A40" w:rsidP="00DB3A40">
            <w:pPr>
              <w:jc w:val="center"/>
              <w:rPr>
                <w:rFonts w:ascii="Times New Roman" w:hAnsi="Times New Roman" w:cs="Times New Roman"/>
              </w:rPr>
            </w:pPr>
          </w:p>
        </w:tc>
        <w:tc>
          <w:tcPr>
            <w:tcW w:w="220" w:type="pct"/>
            <w:vAlign w:val="center"/>
          </w:tcPr>
          <w:p w14:paraId="5F160E83" w14:textId="77777777" w:rsidR="00DB3A40" w:rsidRPr="004E0468" w:rsidRDefault="00DB3A40" w:rsidP="00DB3A40">
            <w:pPr>
              <w:jc w:val="center"/>
              <w:rPr>
                <w:rFonts w:ascii="Times New Roman" w:hAnsi="Times New Roman" w:cs="Times New Roman"/>
              </w:rPr>
            </w:pPr>
          </w:p>
        </w:tc>
        <w:tc>
          <w:tcPr>
            <w:tcW w:w="220" w:type="pct"/>
            <w:vAlign w:val="center"/>
          </w:tcPr>
          <w:p w14:paraId="6C379BD7" w14:textId="77777777" w:rsidR="00DB3A40" w:rsidRPr="004E0468" w:rsidRDefault="00DB3A40" w:rsidP="00DB3A40">
            <w:pPr>
              <w:jc w:val="center"/>
              <w:rPr>
                <w:rFonts w:ascii="Times New Roman" w:hAnsi="Times New Roman" w:cs="Times New Roman"/>
              </w:rPr>
            </w:pPr>
          </w:p>
        </w:tc>
        <w:tc>
          <w:tcPr>
            <w:tcW w:w="220" w:type="pct"/>
            <w:vAlign w:val="center"/>
          </w:tcPr>
          <w:p w14:paraId="2C6288A8" w14:textId="77777777" w:rsidR="00DB3A40" w:rsidRPr="004E0468" w:rsidRDefault="00DB3A40" w:rsidP="00DB3A40">
            <w:pPr>
              <w:jc w:val="center"/>
              <w:rPr>
                <w:rFonts w:ascii="Times New Roman" w:hAnsi="Times New Roman" w:cs="Times New Roman"/>
              </w:rPr>
            </w:pPr>
          </w:p>
        </w:tc>
        <w:tc>
          <w:tcPr>
            <w:tcW w:w="220" w:type="pct"/>
            <w:vAlign w:val="center"/>
          </w:tcPr>
          <w:p w14:paraId="5B21711E" w14:textId="77777777" w:rsidR="00DB3A40" w:rsidRPr="004E0468" w:rsidRDefault="00DB3A40" w:rsidP="00DB3A40">
            <w:pPr>
              <w:jc w:val="center"/>
              <w:rPr>
                <w:rFonts w:ascii="Times New Roman" w:hAnsi="Times New Roman" w:cs="Times New Roman"/>
              </w:rPr>
            </w:pPr>
          </w:p>
        </w:tc>
        <w:tc>
          <w:tcPr>
            <w:tcW w:w="220" w:type="pct"/>
            <w:vAlign w:val="center"/>
          </w:tcPr>
          <w:p w14:paraId="2CFD6ECE" w14:textId="77777777" w:rsidR="00DB3A40" w:rsidRPr="004E0468" w:rsidRDefault="00DB3A40" w:rsidP="00DB3A40">
            <w:pPr>
              <w:jc w:val="center"/>
              <w:rPr>
                <w:rFonts w:ascii="Times New Roman" w:hAnsi="Times New Roman" w:cs="Times New Roman"/>
              </w:rPr>
            </w:pPr>
          </w:p>
        </w:tc>
        <w:tc>
          <w:tcPr>
            <w:tcW w:w="220" w:type="pct"/>
            <w:vAlign w:val="center"/>
          </w:tcPr>
          <w:p w14:paraId="1190A5B0" w14:textId="77777777" w:rsidR="00DB3A40" w:rsidRPr="004E0468" w:rsidRDefault="00DB3A40" w:rsidP="00DB3A40">
            <w:pPr>
              <w:jc w:val="center"/>
              <w:rPr>
                <w:rFonts w:ascii="Times New Roman" w:hAnsi="Times New Roman" w:cs="Times New Roman"/>
              </w:rPr>
            </w:pPr>
          </w:p>
        </w:tc>
        <w:tc>
          <w:tcPr>
            <w:tcW w:w="220" w:type="pct"/>
            <w:vAlign w:val="center"/>
          </w:tcPr>
          <w:p w14:paraId="75310409" w14:textId="77777777" w:rsidR="00DB3A40" w:rsidRPr="004E0468" w:rsidRDefault="00DB3A40" w:rsidP="00DB3A40">
            <w:pPr>
              <w:jc w:val="center"/>
              <w:rPr>
                <w:rFonts w:ascii="Times New Roman" w:hAnsi="Times New Roman" w:cs="Times New Roman"/>
              </w:rPr>
            </w:pPr>
          </w:p>
        </w:tc>
        <w:tc>
          <w:tcPr>
            <w:tcW w:w="220" w:type="pct"/>
            <w:vAlign w:val="center"/>
          </w:tcPr>
          <w:p w14:paraId="7474C8D3"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F4934B9" w14:textId="77777777" w:rsidR="00DB3A40" w:rsidRPr="004E0468" w:rsidRDefault="00DB3A40" w:rsidP="00DB3A40">
            <w:pPr>
              <w:jc w:val="center"/>
              <w:rPr>
                <w:rFonts w:ascii="Times New Roman" w:hAnsi="Times New Roman" w:cs="Times New Roman"/>
              </w:rPr>
            </w:pPr>
          </w:p>
        </w:tc>
        <w:tc>
          <w:tcPr>
            <w:tcW w:w="220" w:type="pct"/>
            <w:vAlign w:val="center"/>
          </w:tcPr>
          <w:p w14:paraId="76787099" w14:textId="77777777" w:rsidR="00DB3A40" w:rsidRPr="004E0468" w:rsidRDefault="00DB3A40" w:rsidP="00DB3A40">
            <w:pPr>
              <w:jc w:val="center"/>
              <w:rPr>
                <w:rFonts w:ascii="Times New Roman" w:hAnsi="Times New Roman" w:cs="Times New Roman"/>
              </w:rPr>
            </w:pPr>
          </w:p>
        </w:tc>
        <w:tc>
          <w:tcPr>
            <w:tcW w:w="220" w:type="pct"/>
            <w:vAlign w:val="center"/>
          </w:tcPr>
          <w:p w14:paraId="0584A428" w14:textId="77777777" w:rsidR="00DB3A40" w:rsidRPr="004E0468" w:rsidRDefault="00DB3A40" w:rsidP="00DB3A40">
            <w:pPr>
              <w:jc w:val="center"/>
              <w:rPr>
                <w:rFonts w:ascii="Times New Roman" w:hAnsi="Times New Roman" w:cs="Times New Roman"/>
              </w:rPr>
            </w:pPr>
          </w:p>
        </w:tc>
        <w:tc>
          <w:tcPr>
            <w:tcW w:w="220" w:type="pct"/>
            <w:vAlign w:val="center"/>
          </w:tcPr>
          <w:p w14:paraId="4C9A4EB3"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56C9FD65"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1E0AF9C3" w14:textId="77777777" w:rsidR="00DB3A40" w:rsidRPr="004E0468" w:rsidRDefault="00DB3A40" w:rsidP="00DB3A40">
            <w:pPr>
              <w:jc w:val="center"/>
              <w:rPr>
                <w:rFonts w:ascii="Times New Roman" w:hAnsi="Times New Roman" w:cs="Times New Roman"/>
              </w:rPr>
            </w:pPr>
          </w:p>
        </w:tc>
      </w:tr>
      <w:tr w:rsidR="00DB3A40" w:rsidRPr="004E0468" w14:paraId="0AC555FD" w14:textId="77777777" w:rsidTr="00DB3A40">
        <w:trPr>
          <w:trHeight w:val="20"/>
        </w:trPr>
        <w:tc>
          <w:tcPr>
            <w:tcW w:w="1480" w:type="pct"/>
            <w:vAlign w:val="center"/>
          </w:tcPr>
          <w:p w14:paraId="2E93DB23"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Adopting a leasing or service-based marketing strategy</w:t>
            </w:r>
          </w:p>
        </w:tc>
        <w:tc>
          <w:tcPr>
            <w:tcW w:w="220" w:type="pct"/>
            <w:vAlign w:val="center"/>
          </w:tcPr>
          <w:p w14:paraId="794A8E00" w14:textId="77777777" w:rsidR="00DB3A40" w:rsidRPr="004E0468" w:rsidRDefault="00DB3A40" w:rsidP="00DB3A40">
            <w:pPr>
              <w:jc w:val="center"/>
              <w:rPr>
                <w:rFonts w:ascii="Times New Roman" w:hAnsi="Times New Roman" w:cs="Times New Roman"/>
              </w:rPr>
            </w:pPr>
          </w:p>
        </w:tc>
        <w:tc>
          <w:tcPr>
            <w:tcW w:w="220" w:type="pct"/>
            <w:vAlign w:val="center"/>
          </w:tcPr>
          <w:p w14:paraId="3C36905C" w14:textId="77777777" w:rsidR="00DB3A40" w:rsidRPr="004E0468" w:rsidRDefault="00DB3A40" w:rsidP="00DB3A40">
            <w:pPr>
              <w:jc w:val="center"/>
              <w:rPr>
                <w:rFonts w:ascii="Times New Roman" w:hAnsi="Times New Roman" w:cs="Times New Roman"/>
              </w:rPr>
            </w:pPr>
          </w:p>
        </w:tc>
        <w:tc>
          <w:tcPr>
            <w:tcW w:w="220" w:type="pct"/>
            <w:vAlign w:val="center"/>
          </w:tcPr>
          <w:p w14:paraId="144CE4BA" w14:textId="77777777" w:rsidR="00DB3A40" w:rsidRPr="004E0468" w:rsidRDefault="00DB3A40" w:rsidP="00DB3A40">
            <w:pPr>
              <w:jc w:val="center"/>
              <w:rPr>
                <w:rFonts w:ascii="Times New Roman" w:hAnsi="Times New Roman" w:cs="Times New Roman"/>
              </w:rPr>
            </w:pPr>
          </w:p>
        </w:tc>
        <w:tc>
          <w:tcPr>
            <w:tcW w:w="220" w:type="pct"/>
            <w:vAlign w:val="center"/>
          </w:tcPr>
          <w:p w14:paraId="64EF7C19" w14:textId="77777777" w:rsidR="00DB3A40" w:rsidRPr="004E0468" w:rsidRDefault="00DB3A40" w:rsidP="00DB3A40">
            <w:pPr>
              <w:jc w:val="center"/>
              <w:rPr>
                <w:rFonts w:ascii="Times New Roman" w:hAnsi="Times New Roman" w:cs="Times New Roman"/>
              </w:rPr>
            </w:pPr>
          </w:p>
        </w:tc>
        <w:tc>
          <w:tcPr>
            <w:tcW w:w="220" w:type="pct"/>
            <w:vAlign w:val="center"/>
          </w:tcPr>
          <w:p w14:paraId="5278C4B1" w14:textId="77777777" w:rsidR="00DB3A40" w:rsidRPr="004E0468" w:rsidRDefault="00DB3A40" w:rsidP="00DB3A40">
            <w:pPr>
              <w:jc w:val="center"/>
              <w:rPr>
                <w:rFonts w:ascii="Times New Roman" w:hAnsi="Times New Roman" w:cs="Times New Roman"/>
              </w:rPr>
            </w:pPr>
          </w:p>
        </w:tc>
        <w:tc>
          <w:tcPr>
            <w:tcW w:w="220" w:type="pct"/>
            <w:vAlign w:val="center"/>
          </w:tcPr>
          <w:p w14:paraId="7E1E8C92" w14:textId="77777777" w:rsidR="00DB3A40" w:rsidRPr="004E0468" w:rsidRDefault="00DB3A40" w:rsidP="00DB3A40">
            <w:pPr>
              <w:jc w:val="center"/>
              <w:rPr>
                <w:rFonts w:ascii="Times New Roman" w:hAnsi="Times New Roman" w:cs="Times New Roman"/>
              </w:rPr>
            </w:pPr>
          </w:p>
        </w:tc>
        <w:tc>
          <w:tcPr>
            <w:tcW w:w="220" w:type="pct"/>
            <w:vAlign w:val="center"/>
          </w:tcPr>
          <w:p w14:paraId="7503A7CF" w14:textId="77777777" w:rsidR="00DB3A40" w:rsidRPr="004E0468" w:rsidRDefault="00DB3A40" w:rsidP="00DB3A40">
            <w:pPr>
              <w:jc w:val="center"/>
              <w:rPr>
                <w:rFonts w:ascii="Times New Roman" w:hAnsi="Times New Roman" w:cs="Times New Roman"/>
              </w:rPr>
            </w:pPr>
          </w:p>
        </w:tc>
        <w:tc>
          <w:tcPr>
            <w:tcW w:w="220" w:type="pct"/>
            <w:vAlign w:val="center"/>
          </w:tcPr>
          <w:p w14:paraId="2849AA42" w14:textId="77777777" w:rsidR="00DB3A40" w:rsidRPr="004E0468" w:rsidRDefault="00DB3A40" w:rsidP="00DB3A40">
            <w:pPr>
              <w:jc w:val="center"/>
              <w:rPr>
                <w:rFonts w:ascii="Times New Roman" w:hAnsi="Times New Roman" w:cs="Times New Roman"/>
              </w:rPr>
            </w:pPr>
          </w:p>
        </w:tc>
        <w:tc>
          <w:tcPr>
            <w:tcW w:w="220" w:type="pct"/>
            <w:vAlign w:val="center"/>
          </w:tcPr>
          <w:p w14:paraId="2D157BC5" w14:textId="77777777" w:rsidR="00DB3A40" w:rsidRPr="004E0468" w:rsidRDefault="00DB3A40" w:rsidP="00DB3A40">
            <w:pPr>
              <w:jc w:val="center"/>
              <w:rPr>
                <w:rFonts w:ascii="Times New Roman" w:hAnsi="Times New Roman" w:cs="Times New Roman"/>
              </w:rPr>
            </w:pPr>
          </w:p>
        </w:tc>
        <w:tc>
          <w:tcPr>
            <w:tcW w:w="220" w:type="pct"/>
            <w:vAlign w:val="center"/>
          </w:tcPr>
          <w:p w14:paraId="2C3A0D95" w14:textId="77777777" w:rsidR="00DB3A40" w:rsidRPr="004E0468" w:rsidRDefault="00DB3A40" w:rsidP="00DB3A40">
            <w:pPr>
              <w:jc w:val="center"/>
              <w:rPr>
                <w:rFonts w:ascii="Times New Roman" w:hAnsi="Times New Roman" w:cs="Times New Roman"/>
              </w:rPr>
            </w:pPr>
          </w:p>
        </w:tc>
        <w:tc>
          <w:tcPr>
            <w:tcW w:w="220" w:type="pct"/>
            <w:vAlign w:val="center"/>
          </w:tcPr>
          <w:p w14:paraId="4A27DEE0" w14:textId="77777777" w:rsidR="00DB3A40" w:rsidRPr="004E0468" w:rsidRDefault="00DB3A40" w:rsidP="00DB3A40">
            <w:pPr>
              <w:jc w:val="center"/>
              <w:rPr>
                <w:rFonts w:ascii="Times New Roman" w:hAnsi="Times New Roman" w:cs="Times New Roman"/>
              </w:rPr>
            </w:pPr>
          </w:p>
        </w:tc>
        <w:tc>
          <w:tcPr>
            <w:tcW w:w="220" w:type="pct"/>
            <w:vAlign w:val="center"/>
          </w:tcPr>
          <w:p w14:paraId="769E17BB" w14:textId="77777777" w:rsidR="00DB3A40" w:rsidRPr="004E0468" w:rsidRDefault="00DB3A40" w:rsidP="00DB3A40">
            <w:pPr>
              <w:jc w:val="center"/>
              <w:rPr>
                <w:rFonts w:ascii="Times New Roman" w:hAnsi="Times New Roman" w:cs="Times New Roman"/>
              </w:rPr>
            </w:pPr>
          </w:p>
        </w:tc>
        <w:tc>
          <w:tcPr>
            <w:tcW w:w="220" w:type="pct"/>
            <w:vAlign w:val="center"/>
          </w:tcPr>
          <w:p w14:paraId="2A015167" w14:textId="77777777" w:rsidR="00DB3A40" w:rsidRPr="004E0468" w:rsidRDefault="00DB3A40" w:rsidP="00DB3A40">
            <w:pPr>
              <w:jc w:val="center"/>
              <w:rPr>
                <w:rFonts w:ascii="Times New Roman" w:hAnsi="Times New Roman" w:cs="Times New Roman"/>
              </w:rPr>
            </w:pPr>
          </w:p>
        </w:tc>
        <w:tc>
          <w:tcPr>
            <w:tcW w:w="220" w:type="pct"/>
            <w:vAlign w:val="center"/>
          </w:tcPr>
          <w:p w14:paraId="0F9CA8A0"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07FDAB31" w14:textId="77777777" w:rsidR="00DB3A40" w:rsidRPr="004E0468" w:rsidRDefault="00DB3A40" w:rsidP="00DB3A40">
            <w:pPr>
              <w:jc w:val="center"/>
              <w:rPr>
                <w:rFonts w:ascii="Times New Roman" w:hAnsi="Times New Roman" w:cs="Times New Roman"/>
              </w:rPr>
            </w:pPr>
          </w:p>
        </w:tc>
        <w:tc>
          <w:tcPr>
            <w:tcW w:w="217" w:type="pct"/>
            <w:vAlign w:val="center"/>
          </w:tcPr>
          <w:p w14:paraId="299D1898" w14:textId="77777777" w:rsidR="00DB3A40" w:rsidRPr="004E0468" w:rsidRDefault="00DB3A40" w:rsidP="00DB3A40">
            <w:pPr>
              <w:jc w:val="center"/>
              <w:rPr>
                <w:rFonts w:ascii="Times New Roman" w:hAnsi="Times New Roman" w:cs="Times New Roman"/>
              </w:rPr>
            </w:pPr>
          </w:p>
        </w:tc>
      </w:tr>
      <w:tr w:rsidR="00DB3A40" w:rsidRPr="004E0468" w14:paraId="1E289DC0" w14:textId="77777777" w:rsidTr="00DB3A40">
        <w:trPr>
          <w:trHeight w:val="20"/>
        </w:trPr>
        <w:tc>
          <w:tcPr>
            <w:tcW w:w="1480" w:type="pct"/>
            <w:vAlign w:val="center"/>
          </w:tcPr>
          <w:p w14:paraId="4F808B6C"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Targeting “green” segments of the market</w:t>
            </w:r>
          </w:p>
        </w:tc>
        <w:tc>
          <w:tcPr>
            <w:tcW w:w="220" w:type="pct"/>
            <w:vAlign w:val="center"/>
          </w:tcPr>
          <w:p w14:paraId="11719723" w14:textId="77777777" w:rsidR="00DB3A40" w:rsidRPr="004E0468" w:rsidRDefault="00DB3A40" w:rsidP="00DB3A40">
            <w:pPr>
              <w:jc w:val="center"/>
              <w:rPr>
                <w:rFonts w:ascii="Times New Roman" w:hAnsi="Times New Roman" w:cs="Times New Roman"/>
              </w:rPr>
            </w:pPr>
          </w:p>
        </w:tc>
        <w:tc>
          <w:tcPr>
            <w:tcW w:w="220" w:type="pct"/>
            <w:vAlign w:val="center"/>
          </w:tcPr>
          <w:p w14:paraId="4DBFD894" w14:textId="77777777" w:rsidR="00DB3A40" w:rsidRPr="004E0468" w:rsidRDefault="00DB3A40" w:rsidP="00DB3A40">
            <w:pPr>
              <w:jc w:val="center"/>
              <w:rPr>
                <w:rFonts w:ascii="Times New Roman" w:hAnsi="Times New Roman" w:cs="Times New Roman"/>
              </w:rPr>
            </w:pPr>
          </w:p>
        </w:tc>
        <w:tc>
          <w:tcPr>
            <w:tcW w:w="220" w:type="pct"/>
            <w:vAlign w:val="center"/>
          </w:tcPr>
          <w:p w14:paraId="53E48ED0" w14:textId="77777777" w:rsidR="00DB3A40" w:rsidRPr="004E0468" w:rsidRDefault="00DB3A40" w:rsidP="00DB3A40">
            <w:pPr>
              <w:jc w:val="center"/>
              <w:rPr>
                <w:rFonts w:ascii="Times New Roman" w:hAnsi="Times New Roman" w:cs="Times New Roman"/>
              </w:rPr>
            </w:pPr>
          </w:p>
        </w:tc>
        <w:tc>
          <w:tcPr>
            <w:tcW w:w="220" w:type="pct"/>
            <w:vAlign w:val="center"/>
          </w:tcPr>
          <w:p w14:paraId="0247B4BB" w14:textId="77777777" w:rsidR="00DB3A40" w:rsidRPr="004E0468" w:rsidRDefault="00DB3A40" w:rsidP="00DB3A40">
            <w:pPr>
              <w:jc w:val="center"/>
              <w:rPr>
                <w:rFonts w:ascii="Times New Roman" w:hAnsi="Times New Roman" w:cs="Times New Roman"/>
              </w:rPr>
            </w:pPr>
          </w:p>
        </w:tc>
        <w:tc>
          <w:tcPr>
            <w:tcW w:w="220" w:type="pct"/>
            <w:vAlign w:val="center"/>
          </w:tcPr>
          <w:p w14:paraId="13ED2461" w14:textId="77777777" w:rsidR="00DB3A40" w:rsidRPr="004E0468" w:rsidRDefault="00DB3A40" w:rsidP="00DB3A40">
            <w:pPr>
              <w:jc w:val="center"/>
              <w:rPr>
                <w:rFonts w:ascii="Times New Roman" w:hAnsi="Times New Roman" w:cs="Times New Roman"/>
              </w:rPr>
            </w:pPr>
          </w:p>
        </w:tc>
        <w:tc>
          <w:tcPr>
            <w:tcW w:w="220" w:type="pct"/>
            <w:vAlign w:val="center"/>
          </w:tcPr>
          <w:p w14:paraId="0B996ACC" w14:textId="77777777" w:rsidR="00DB3A40" w:rsidRPr="004E0468" w:rsidRDefault="00DB3A40" w:rsidP="00DB3A40">
            <w:pPr>
              <w:jc w:val="center"/>
              <w:rPr>
                <w:rFonts w:ascii="Times New Roman" w:hAnsi="Times New Roman" w:cs="Times New Roman"/>
              </w:rPr>
            </w:pPr>
          </w:p>
        </w:tc>
        <w:tc>
          <w:tcPr>
            <w:tcW w:w="220" w:type="pct"/>
            <w:vAlign w:val="center"/>
          </w:tcPr>
          <w:p w14:paraId="17A2B827" w14:textId="77777777" w:rsidR="00DB3A40" w:rsidRPr="004E0468" w:rsidRDefault="00DB3A40" w:rsidP="00DB3A40">
            <w:pPr>
              <w:jc w:val="center"/>
              <w:rPr>
                <w:rFonts w:ascii="Times New Roman" w:hAnsi="Times New Roman" w:cs="Times New Roman"/>
              </w:rPr>
            </w:pPr>
          </w:p>
        </w:tc>
        <w:tc>
          <w:tcPr>
            <w:tcW w:w="220" w:type="pct"/>
            <w:vAlign w:val="center"/>
          </w:tcPr>
          <w:p w14:paraId="587F71CE" w14:textId="77777777" w:rsidR="00DB3A40" w:rsidRPr="004E0468" w:rsidRDefault="00DB3A40" w:rsidP="00DB3A40">
            <w:pPr>
              <w:jc w:val="center"/>
              <w:rPr>
                <w:rFonts w:ascii="Times New Roman" w:hAnsi="Times New Roman" w:cs="Times New Roman"/>
              </w:rPr>
            </w:pPr>
          </w:p>
        </w:tc>
        <w:tc>
          <w:tcPr>
            <w:tcW w:w="220" w:type="pct"/>
            <w:vAlign w:val="center"/>
          </w:tcPr>
          <w:p w14:paraId="2C3DCA2C" w14:textId="77777777" w:rsidR="00DB3A40" w:rsidRPr="004E0468" w:rsidRDefault="00DB3A40" w:rsidP="00DB3A40">
            <w:pPr>
              <w:jc w:val="center"/>
              <w:rPr>
                <w:rFonts w:ascii="Times New Roman" w:hAnsi="Times New Roman" w:cs="Times New Roman"/>
              </w:rPr>
            </w:pPr>
          </w:p>
        </w:tc>
        <w:tc>
          <w:tcPr>
            <w:tcW w:w="220" w:type="pct"/>
            <w:vAlign w:val="center"/>
          </w:tcPr>
          <w:p w14:paraId="5981C7C2"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62D94C25" w14:textId="77777777" w:rsidR="00DB3A40" w:rsidRPr="004E0468" w:rsidRDefault="00DB3A40" w:rsidP="00DB3A40">
            <w:pPr>
              <w:jc w:val="center"/>
              <w:rPr>
                <w:rFonts w:ascii="Times New Roman" w:hAnsi="Times New Roman" w:cs="Times New Roman"/>
              </w:rPr>
            </w:pPr>
          </w:p>
        </w:tc>
        <w:tc>
          <w:tcPr>
            <w:tcW w:w="220" w:type="pct"/>
            <w:vAlign w:val="center"/>
          </w:tcPr>
          <w:p w14:paraId="454B0C25" w14:textId="77777777" w:rsidR="00DB3A40" w:rsidRPr="004E0468" w:rsidRDefault="00DB3A40" w:rsidP="00DB3A40">
            <w:pPr>
              <w:jc w:val="center"/>
              <w:rPr>
                <w:rFonts w:ascii="Times New Roman" w:hAnsi="Times New Roman" w:cs="Times New Roman"/>
              </w:rPr>
            </w:pPr>
          </w:p>
        </w:tc>
        <w:tc>
          <w:tcPr>
            <w:tcW w:w="220" w:type="pct"/>
            <w:vAlign w:val="center"/>
          </w:tcPr>
          <w:p w14:paraId="6B1DC613" w14:textId="77777777" w:rsidR="00DB3A40" w:rsidRPr="004E0468" w:rsidRDefault="00DB3A40" w:rsidP="00DB3A40">
            <w:pPr>
              <w:jc w:val="center"/>
              <w:rPr>
                <w:rFonts w:ascii="Times New Roman" w:hAnsi="Times New Roman" w:cs="Times New Roman"/>
              </w:rPr>
            </w:pPr>
          </w:p>
        </w:tc>
        <w:tc>
          <w:tcPr>
            <w:tcW w:w="220" w:type="pct"/>
            <w:vAlign w:val="center"/>
          </w:tcPr>
          <w:p w14:paraId="7044B08C" w14:textId="77777777" w:rsidR="00DB3A40" w:rsidRPr="004E0468" w:rsidRDefault="00DB3A40" w:rsidP="00DB3A40">
            <w:pPr>
              <w:jc w:val="center"/>
              <w:rPr>
                <w:rFonts w:ascii="Times New Roman" w:hAnsi="Times New Roman" w:cs="Times New Roman"/>
              </w:rPr>
            </w:pPr>
          </w:p>
        </w:tc>
        <w:tc>
          <w:tcPr>
            <w:tcW w:w="220" w:type="pct"/>
            <w:vAlign w:val="center"/>
          </w:tcPr>
          <w:p w14:paraId="1635EF8F" w14:textId="77777777" w:rsidR="00DB3A40" w:rsidRPr="004E0468" w:rsidRDefault="00DB3A40" w:rsidP="00DB3A40">
            <w:pPr>
              <w:jc w:val="center"/>
              <w:rPr>
                <w:rFonts w:ascii="Times New Roman" w:hAnsi="Times New Roman" w:cs="Times New Roman"/>
              </w:rPr>
            </w:pPr>
          </w:p>
        </w:tc>
        <w:tc>
          <w:tcPr>
            <w:tcW w:w="217" w:type="pct"/>
            <w:vAlign w:val="center"/>
          </w:tcPr>
          <w:p w14:paraId="2E340ECD" w14:textId="77777777" w:rsidR="00DB3A40" w:rsidRPr="004E0468" w:rsidRDefault="00DB3A40" w:rsidP="00DB3A40">
            <w:pPr>
              <w:jc w:val="center"/>
              <w:rPr>
                <w:rFonts w:ascii="Times New Roman" w:hAnsi="Times New Roman" w:cs="Times New Roman"/>
              </w:rPr>
            </w:pPr>
          </w:p>
        </w:tc>
      </w:tr>
      <w:tr w:rsidR="00DB3A40" w:rsidRPr="004E0468" w14:paraId="7F12B2C1" w14:textId="77777777" w:rsidTr="00DB3A40">
        <w:trPr>
          <w:trHeight w:val="20"/>
        </w:trPr>
        <w:tc>
          <w:tcPr>
            <w:tcW w:w="1480" w:type="pct"/>
            <w:vAlign w:val="center"/>
          </w:tcPr>
          <w:p w14:paraId="173888F9"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Green-packaging</w:t>
            </w:r>
          </w:p>
        </w:tc>
        <w:tc>
          <w:tcPr>
            <w:tcW w:w="220" w:type="pct"/>
            <w:vAlign w:val="center"/>
          </w:tcPr>
          <w:p w14:paraId="6EEB711A"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595ED892" w14:textId="77777777" w:rsidR="00DB3A40" w:rsidRPr="004E0468" w:rsidRDefault="00DB3A40" w:rsidP="00DB3A40">
            <w:pPr>
              <w:jc w:val="center"/>
              <w:rPr>
                <w:rFonts w:ascii="Times New Roman" w:hAnsi="Times New Roman" w:cs="Times New Roman"/>
              </w:rPr>
            </w:pPr>
          </w:p>
        </w:tc>
        <w:tc>
          <w:tcPr>
            <w:tcW w:w="220" w:type="pct"/>
            <w:vAlign w:val="center"/>
          </w:tcPr>
          <w:p w14:paraId="26A7490F" w14:textId="77777777" w:rsidR="00DB3A40" w:rsidRPr="004E0468" w:rsidRDefault="00DB3A40" w:rsidP="00DB3A40">
            <w:pPr>
              <w:jc w:val="center"/>
              <w:rPr>
                <w:rFonts w:ascii="Times New Roman" w:hAnsi="Times New Roman" w:cs="Times New Roman"/>
              </w:rPr>
            </w:pPr>
          </w:p>
        </w:tc>
        <w:tc>
          <w:tcPr>
            <w:tcW w:w="220" w:type="pct"/>
            <w:vAlign w:val="center"/>
          </w:tcPr>
          <w:p w14:paraId="7AAA8D20" w14:textId="77777777" w:rsidR="00DB3A40" w:rsidRPr="004E0468" w:rsidRDefault="00DB3A40" w:rsidP="00DB3A40">
            <w:pPr>
              <w:jc w:val="center"/>
              <w:rPr>
                <w:rFonts w:ascii="Times New Roman" w:hAnsi="Times New Roman" w:cs="Times New Roman"/>
              </w:rPr>
            </w:pPr>
          </w:p>
        </w:tc>
        <w:tc>
          <w:tcPr>
            <w:tcW w:w="220" w:type="pct"/>
            <w:vAlign w:val="center"/>
          </w:tcPr>
          <w:p w14:paraId="7BF50C2B" w14:textId="77777777" w:rsidR="00DB3A40" w:rsidRPr="004E0468" w:rsidRDefault="00DB3A40" w:rsidP="00DB3A40">
            <w:pPr>
              <w:jc w:val="center"/>
              <w:rPr>
                <w:rFonts w:ascii="Times New Roman" w:hAnsi="Times New Roman" w:cs="Times New Roman"/>
              </w:rPr>
            </w:pPr>
          </w:p>
        </w:tc>
        <w:tc>
          <w:tcPr>
            <w:tcW w:w="220" w:type="pct"/>
            <w:vAlign w:val="center"/>
          </w:tcPr>
          <w:p w14:paraId="02E0BE18" w14:textId="77777777" w:rsidR="00DB3A40" w:rsidRPr="004E0468" w:rsidRDefault="00DB3A40" w:rsidP="00DB3A40">
            <w:pPr>
              <w:jc w:val="center"/>
              <w:rPr>
                <w:rFonts w:ascii="Times New Roman" w:hAnsi="Times New Roman" w:cs="Times New Roman"/>
              </w:rPr>
            </w:pPr>
          </w:p>
        </w:tc>
        <w:tc>
          <w:tcPr>
            <w:tcW w:w="220" w:type="pct"/>
            <w:vAlign w:val="center"/>
          </w:tcPr>
          <w:p w14:paraId="02E94490" w14:textId="77777777" w:rsidR="00DB3A40" w:rsidRPr="004E0468" w:rsidRDefault="00DB3A40" w:rsidP="00DB3A40">
            <w:pPr>
              <w:jc w:val="center"/>
              <w:rPr>
                <w:rFonts w:ascii="Times New Roman" w:hAnsi="Times New Roman" w:cs="Times New Roman"/>
              </w:rPr>
            </w:pPr>
          </w:p>
        </w:tc>
        <w:tc>
          <w:tcPr>
            <w:tcW w:w="220" w:type="pct"/>
            <w:vAlign w:val="center"/>
          </w:tcPr>
          <w:p w14:paraId="49F7F160" w14:textId="77777777" w:rsidR="00DB3A40" w:rsidRPr="004E0468" w:rsidRDefault="00DB3A40" w:rsidP="00DB3A40">
            <w:pPr>
              <w:jc w:val="center"/>
              <w:rPr>
                <w:rFonts w:ascii="Times New Roman" w:hAnsi="Times New Roman" w:cs="Times New Roman"/>
              </w:rPr>
            </w:pPr>
          </w:p>
        </w:tc>
        <w:tc>
          <w:tcPr>
            <w:tcW w:w="220" w:type="pct"/>
            <w:vAlign w:val="center"/>
          </w:tcPr>
          <w:p w14:paraId="47F3CF07" w14:textId="77777777" w:rsidR="00DB3A40" w:rsidRPr="004E0468" w:rsidRDefault="00DB3A40" w:rsidP="00DB3A40">
            <w:pPr>
              <w:jc w:val="center"/>
              <w:rPr>
                <w:rFonts w:ascii="Times New Roman" w:hAnsi="Times New Roman" w:cs="Times New Roman"/>
              </w:rPr>
            </w:pPr>
          </w:p>
        </w:tc>
        <w:tc>
          <w:tcPr>
            <w:tcW w:w="220" w:type="pct"/>
            <w:vAlign w:val="center"/>
          </w:tcPr>
          <w:p w14:paraId="6F5A2BF6" w14:textId="77777777" w:rsidR="00DB3A40" w:rsidRPr="004E0468" w:rsidRDefault="00DB3A40" w:rsidP="00DB3A40">
            <w:pPr>
              <w:jc w:val="center"/>
              <w:rPr>
                <w:rFonts w:ascii="Times New Roman" w:hAnsi="Times New Roman" w:cs="Times New Roman"/>
              </w:rPr>
            </w:pPr>
          </w:p>
        </w:tc>
        <w:tc>
          <w:tcPr>
            <w:tcW w:w="220" w:type="pct"/>
            <w:vAlign w:val="center"/>
          </w:tcPr>
          <w:p w14:paraId="71557633" w14:textId="77777777" w:rsidR="00DB3A40" w:rsidRPr="004E0468" w:rsidRDefault="00DB3A40" w:rsidP="00DB3A40">
            <w:pPr>
              <w:jc w:val="center"/>
              <w:rPr>
                <w:rFonts w:ascii="Times New Roman" w:hAnsi="Times New Roman" w:cs="Times New Roman"/>
              </w:rPr>
            </w:pPr>
          </w:p>
        </w:tc>
        <w:tc>
          <w:tcPr>
            <w:tcW w:w="220" w:type="pct"/>
            <w:vAlign w:val="center"/>
          </w:tcPr>
          <w:p w14:paraId="76A469DA"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1C7DBC9E" w14:textId="77777777" w:rsidR="00DB3A40" w:rsidRPr="004E0468" w:rsidRDefault="00DB3A40" w:rsidP="00DB3A40">
            <w:pPr>
              <w:jc w:val="center"/>
              <w:rPr>
                <w:rFonts w:ascii="Times New Roman" w:hAnsi="Times New Roman" w:cs="Times New Roman"/>
              </w:rPr>
            </w:pPr>
          </w:p>
        </w:tc>
        <w:tc>
          <w:tcPr>
            <w:tcW w:w="220" w:type="pct"/>
            <w:vAlign w:val="center"/>
          </w:tcPr>
          <w:p w14:paraId="1EB9CCF2"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58F827B2"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4317B1F4" w14:textId="77777777" w:rsidR="00DB3A40" w:rsidRPr="004E0468" w:rsidRDefault="00DB3A40" w:rsidP="00DB3A40">
            <w:pPr>
              <w:jc w:val="center"/>
              <w:rPr>
                <w:rFonts w:ascii="Times New Roman" w:hAnsi="Times New Roman" w:cs="Times New Roman"/>
              </w:rPr>
            </w:pPr>
          </w:p>
        </w:tc>
      </w:tr>
      <w:tr w:rsidR="00DB3A40" w:rsidRPr="004E0468" w14:paraId="7080A86F" w14:textId="77777777" w:rsidTr="00DB3A40">
        <w:trPr>
          <w:trHeight w:val="20"/>
        </w:trPr>
        <w:tc>
          <w:tcPr>
            <w:tcW w:w="1480" w:type="pct"/>
            <w:vAlign w:val="center"/>
          </w:tcPr>
          <w:p w14:paraId="0B60A382" w14:textId="77777777" w:rsidR="00DB3A40" w:rsidRPr="004E0468" w:rsidRDefault="00DB3A40" w:rsidP="00DB3A40">
            <w:pPr>
              <w:pStyle w:val="ListParagraph"/>
              <w:numPr>
                <w:ilvl w:val="0"/>
                <w:numId w:val="3"/>
              </w:numPr>
              <w:spacing w:after="0" w:line="240" w:lineRule="auto"/>
              <w:rPr>
                <w:rFonts w:ascii="Times New Roman" w:hAnsi="Times New Roman" w:cs="Times New Roman"/>
                <w:b/>
                <w:sz w:val="16"/>
                <w:szCs w:val="16"/>
              </w:rPr>
            </w:pPr>
            <w:r w:rsidRPr="004E0468">
              <w:rPr>
                <w:rFonts w:ascii="Times New Roman" w:hAnsi="Times New Roman" w:cs="Times New Roman"/>
                <w:b/>
                <w:sz w:val="16"/>
                <w:szCs w:val="16"/>
              </w:rPr>
              <w:lastRenderedPageBreak/>
              <w:t xml:space="preserve">Internal environmental management </w:t>
            </w:r>
          </w:p>
        </w:tc>
        <w:tc>
          <w:tcPr>
            <w:tcW w:w="220" w:type="pct"/>
            <w:vAlign w:val="center"/>
          </w:tcPr>
          <w:p w14:paraId="156D5C6A" w14:textId="77777777" w:rsidR="00DB3A40" w:rsidRPr="004E0468" w:rsidRDefault="00DB3A40" w:rsidP="00DB3A40">
            <w:pPr>
              <w:jc w:val="center"/>
              <w:rPr>
                <w:rFonts w:ascii="Times New Roman" w:hAnsi="Times New Roman" w:cs="Times New Roman"/>
              </w:rPr>
            </w:pPr>
          </w:p>
        </w:tc>
        <w:tc>
          <w:tcPr>
            <w:tcW w:w="220" w:type="pct"/>
            <w:vAlign w:val="center"/>
          </w:tcPr>
          <w:p w14:paraId="1F7F0C1A" w14:textId="77777777" w:rsidR="00DB3A40" w:rsidRPr="004E0468" w:rsidRDefault="00DB3A40" w:rsidP="00DB3A40">
            <w:pPr>
              <w:jc w:val="center"/>
              <w:rPr>
                <w:rFonts w:ascii="Times New Roman" w:hAnsi="Times New Roman" w:cs="Times New Roman"/>
              </w:rPr>
            </w:pPr>
          </w:p>
        </w:tc>
        <w:tc>
          <w:tcPr>
            <w:tcW w:w="220" w:type="pct"/>
            <w:vAlign w:val="center"/>
          </w:tcPr>
          <w:p w14:paraId="680000C2" w14:textId="77777777" w:rsidR="00DB3A40" w:rsidRPr="004E0468" w:rsidRDefault="00DB3A40" w:rsidP="00DB3A40">
            <w:pPr>
              <w:jc w:val="center"/>
              <w:rPr>
                <w:rFonts w:ascii="Times New Roman" w:hAnsi="Times New Roman" w:cs="Times New Roman"/>
              </w:rPr>
            </w:pPr>
          </w:p>
        </w:tc>
        <w:tc>
          <w:tcPr>
            <w:tcW w:w="220" w:type="pct"/>
            <w:vAlign w:val="center"/>
          </w:tcPr>
          <w:p w14:paraId="6329FEF9" w14:textId="77777777" w:rsidR="00DB3A40" w:rsidRPr="004E0468" w:rsidRDefault="00DB3A40" w:rsidP="00DB3A40">
            <w:pPr>
              <w:jc w:val="center"/>
              <w:rPr>
                <w:rFonts w:ascii="Times New Roman" w:hAnsi="Times New Roman" w:cs="Times New Roman"/>
              </w:rPr>
            </w:pPr>
          </w:p>
        </w:tc>
        <w:tc>
          <w:tcPr>
            <w:tcW w:w="220" w:type="pct"/>
            <w:vAlign w:val="center"/>
          </w:tcPr>
          <w:p w14:paraId="5D2770E5" w14:textId="77777777" w:rsidR="00DB3A40" w:rsidRPr="004E0468" w:rsidRDefault="00DB3A40" w:rsidP="00DB3A40">
            <w:pPr>
              <w:jc w:val="center"/>
              <w:rPr>
                <w:rFonts w:ascii="Times New Roman" w:hAnsi="Times New Roman" w:cs="Times New Roman"/>
              </w:rPr>
            </w:pPr>
          </w:p>
        </w:tc>
        <w:tc>
          <w:tcPr>
            <w:tcW w:w="220" w:type="pct"/>
            <w:vAlign w:val="center"/>
          </w:tcPr>
          <w:p w14:paraId="4D22E43F" w14:textId="77777777" w:rsidR="00DB3A40" w:rsidRPr="004E0468" w:rsidRDefault="00DB3A40" w:rsidP="00DB3A40">
            <w:pPr>
              <w:jc w:val="center"/>
              <w:rPr>
                <w:rFonts w:ascii="Times New Roman" w:hAnsi="Times New Roman" w:cs="Times New Roman"/>
              </w:rPr>
            </w:pPr>
          </w:p>
        </w:tc>
        <w:tc>
          <w:tcPr>
            <w:tcW w:w="220" w:type="pct"/>
            <w:vAlign w:val="center"/>
          </w:tcPr>
          <w:p w14:paraId="4E9B23AC" w14:textId="77777777" w:rsidR="00DB3A40" w:rsidRPr="004E0468" w:rsidRDefault="00DB3A40" w:rsidP="00DB3A40">
            <w:pPr>
              <w:jc w:val="center"/>
              <w:rPr>
                <w:rFonts w:ascii="Times New Roman" w:hAnsi="Times New Roman" w:cs="Times New Roman"/>
              </w:rPr>
            </w:pPr>
          </w:p>
        </w:tc>
        <w:tc>
          <w:tcPr>
            <w:tcW w:w="220" w:type="pct"/>
            <w:vAlign w:val="center"/>
          </w:tcPr>
          <w:p w14:paraId="30B44EB5" w14:textId="77777777" w:rsidR="00DB3A40" w:rsidRPr="004E0468" w:rsidRDefault="00DB3A40" w:rsidP="00DB3A40">
            <w:pPr>
              <w:jc w:val="center"/>
              <w:rPr>
                <w:rFonts w:ascii="Times New Roman" w:hAnsi="Times New Roman" w:cs="Times New Roman"/>
              </w:rPr>
            </w:pPr>
          </w:p>
        </w:tc>
        <w:tc>
          <w:tcPr>
            <w:tcW w:w="220" w:type="pct"/>
            <w:vAlign w:val="center"/>
          </w:tcPr>
          <w:p w14:paraId="103C4BB3" w14:textId="77777777" w:rsidR="00DB3A40" w:rsidRPr="004E0468" w:rsidRDefault="00DB3A40" w:rsidP="00DB3A40">
            <w:pPr>
              <w:jc w:val="center"/>
              <w:rPr>
                <w:rFonts w:ascii="Times New Roman" w:hAnsi="Times New Roman" w:cs="Times New Roman"/>
              </w:rPr>
            </w:pPr>
          </w:p>
        </w:tc>
        <w:tc>
          <w:tcPr>
            <w:tcW w:w="220" w:type="pct"/>
            <w:vAlign w:val="center"/>
          </w:tcPr>
          <w:p w14:paraId="7430D29D" w14:textId="77777777" w:rsidR="00DB3A40" w:rsidRPr="004E0468" w:rsidRDefault="00DB3A40" w:rsidP="00DB3A40">
            <w:pPr>
              <w:jc w:val="center"/>
              <w:rPr>
                <w:rFonts w:ascii="Times New Roman" w:hAnsi="Times New Roman" w:cs="Times New Roman"/>
              </w:rPr>
            </w:pPr>
          </w:p>
        </w:tc>
        <w:tc>
          <w:tcPr>
            <w:tcW w:w="220" w:type="pct"/>
            <w:vAlign w:val="center"/>
          </w:tcPr>
          <w:p w14:paraId="100CC0E8" w14:textId="77777777" w:rsidR="00DB3A40" w:rsidRPr="004E0468" w:rsidRDefault="00DB3A40" w:rsidP="00DB3A40">
            <w:pPr>
              <w:jc w:val="center"/>
              <w:rPr>
                <w:rFonts w:ascii="Times New Roman" w:hAnsi="Times New Roman" w:cs="Times New Roman"/>
              </w:rPr>
            </w:pPr>
          </w:p>
        </w:tc>
        <w:tc>
          <w:tcPr>
            <w:tcW w:w="220" w:type="pct"/>
            <w:vAlign w:val="center"/>
          </w:tcPr>
          <w:p w14:paraId="54513F19" w14:textId="77777777" w:rsidR="00DB3A40" w:rsidRPr="004E0468" w:rsidRDefault="00DB3A40" w:rsidP="00DB3A40">
            <w:pPr>
              <w:jc w:val="center"/>
              <w:rPr>
                <w:rFonts w:ascii="Times New Roman" w:hAnsi="Times New Roman" w:cs="Times New Roman"/>
              </w:rPr>
            </w:pPr>
          </w:p>
        </w:tc>
        <w:tc>
          <w:tcPr>
            <w:tcW w:w="220" w:type="pct"/>
            <w:vAlign w:val="center"/>
          </w:tcPr>
          <w:p w14:paraId="4BEE9279" w14:textId="77777777" w:rsidR="00DB3A40" w:rsidRPr="004E0468" w:rsidRDefault="00DB3A40" w:rsidP="00DB3A40">
            <w:pPr>
              <w:jc w:val="center"/>
              <w:rPr>
                <w:rFonts w:ascii="Times New Roman" w:hAnsi="Times New Roman" w:cs="Times New Roman"/>
              </w:rPr>
            </w:pPr>
          </w:p>
        </w:tc>
        <w:tc>
          <w:tcPr>
            <w:tcW w:w="220" w:type="pct"/>
            <w:vAlign w:val="center"/>
          </w:tcPr>
          <w:p w14:paraId="1A76177B"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F6F9643"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36E4543E" w14:textId="77777777" w:rsidR="00DB3A40" w:rsidRPr="004E0468" w:rsidRDefault="00DB3A40" w:rsidP="00DB3A40">
            <w:pPr>
              <w:jc w:val="center"/>
              <w:rPr>
                <w:rFonts w:ascii="Times New Roman" w:hAnsi="Times New Roman" w:cs="Times New Roman"/>
              </w:rPr>
            </w:pPr>
          </w:p>
        </w:tc>
      </w:tr>
      <w:tr w:rsidR="00DB3A40" w:rsidRPr="004E0468" w14:paraId="45EF6A3C" w14:textId="77777777" w:rsidTr="00DB3A40">
        <w:trPr>
          <w:trHeight w:val="20"/>
        </w:trPr>
        <w:tc>
          <w:tcPr>
            <w:tcW w:w="1480" w:type="pct"/>
            <w:vAlign w:val="center"/>
          </w:tcPr>
          <w:p w14:paraId="12CAA955"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Including environmental factors in the internal performance evaluation system</w:t>
            </w:r>
          </w:p>
        </w:tc>
        <w:tc>
          <w:tcPr>
            <w:tcW w:w="220" w:type="pct"/>
            <w:vAlign w:val="center"/>
          </w:tcPr>
          <w:p w14:paraId="03CED0DD"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02F5D7E" w14:textId="77777777" w:rsidR="00DB3A40" w:rsidRPr="004E0468" w:rsidRDefault="00DB3A40" w:rsidP="00DB3A40">
            <w:pPr>
              <w:jc w:val="center"/>
              <w:rPr>
                <w:rFonts w:ascii="Times New Roman" w:hAnsi="Times New Roman" w:cs="Times New Roman"/>
              </w:rPr>
            </w:pPr>
          </w:p>
        </w:tc>
        <w:tc>
          <w:tcPr>
            <w:tcW w:w="220" w:type="pct"/>
            <w:vAlign w:val="center"/>
          </w:tcPr>
          <w:p w14:paraId="24226EE3" w14:textId="77777777" w:rsidR="00DB3A40" w:rsidRPr="004E0468" w:rsidRDefault="00DB3A40" w:rsidP="00DB3A40">
            <w:pPr>
              <w:jc w:val="center"/>
              <w:rPr>
                <w:rFonts w:ascii="Times New Roman" w:hAnsi="Times New Roman" w:cs="Times New Roman"/>
              </w:rPr>
            </w:pPr>
          </w:p>
        </w:tc>
        <w:tc>
          <w:tcPr>
            <w:tcW w:w="220" w:type="pct"/>
            <w:vAlign w:val="center"/>
          </w:tcPr>
          <w:p w14:paraId="5804B236" w14:textId="77777777" w:rsidR="00DB3A40" w:rsidRPr="004E0468" w:rsidRDefault="00DB3A40" w:rsidP="00DB3A40">
            <w:pPr>
              <w:jc w:val="center"/>
              <w:rPr>
                <w:rFonts w:ascii="Times New Roman" w:hAnsi="Times New Roman" w:cs="Times New Roman"/>
              </w:rPr>
            </w:pPr>
          </w:p>
        </w:tc>
        <w:tc>
          <w:tcPr>
            <w:tcW w:w="220" w:type="pct"/>
            <w:vAlign w:val="center"/>
          </w:tcPr>
          <w:p w14:paraId="4735A0DA" w14:textId="77777777" w:rsidR="00DB3A40" w:rsidRPr="004E0468" w:rsidRDefault="00DB3A40" w:rsidP="00DB3A40">
            <w:pPr>
              <w:jc w:val="center"/>
              <w:rPr>
                <w:rFonts w:ascii="Times New Roman" w:hAnsi="Times New Roman" w:cs="Times New Roman"/>
              </w:rPr>
            </w:pPr>
          </w:p>
        </w:tc>
        <w:tc>
          <w:tcPr>
            <w:tcW w:w="220" w:type="pct"/>
            <w:vAlign w:val="center"/>
          </w:tcPr>
          <w:p w14:paraId="6F689FDD" w14:textId="77777777" w:rsidR="00DB3A40" w:rsidRPr="004E0468" w:rsidRDefault="00DB3A40" w:rsidP="00DB3A40">
            <w:pPr>
              <w:jc w:val="center"/>
              <w:rPr>
                <w:rFonts w:ascii="Times New Roman" w:hAnsi="Times New Roman" w:cs="Times New Roman"/>
              </w:rPr>
            </w:pPr>
          </w:p>
        </w:tc>
        <w:tc>
          <w:tcPr>
            <w:tcW w:w="220" w:type="pct"/>
            <w:vAlign w:val="center"/>
          </w:tcPr>
          <w:p w14:paraId="1BC9C4DE" w14:textId="77777777" w:rsidR="00DB3A40" w:rsidRPr="004E0468" w:rsidRDefault="00DB3A40" w:rsidP="00DB3A40">
            <w:pPr>
              <w:jc w:val="center"/>
              <w:rPr>
                <w:rFonts w:ascii="Times New Roman" w:hAnsi="Times New Roman" w:cs="Times New Roman"/>
              </w:rPr>
            </w:pPr>
          </w:p>
        </w:tc>
        <w:tc>
          <w:tcPr>
            <w:tcW w:w="220" w:type="pct"/>
            <w:vAlign w:val="center"/>
          </w:tcPr>
          <w:p w14:paraId="26923B90" w14:textId="77777777" w:rsidR="00DB3A40" w:rsidRPr="004E0468" w:rsidRDefault="00DB3A40" w:rsidP="00DB3A40">
            <w:pPr>
              <w:jc w:val="center"/>
              <w:rPr>
                <w:rFonts w:ascii="Times New Roman" w:hAnsi="Times New Roman" w:cs="Times New Roman"/>
              </w:rPr>
            </w:pPr>
          </w:p>
        </w:tc>
        <w:tc>
          <w:tcPr>
            <w:tcW w:w="220" w:type="pct"/>
            <w:vAlign w:val="center"/>
          </w:tcPr>
          <w:p w14:paraId="5303BEA8" w14:textId="77777777" w:rsidR="00DB3A40" w:rsidRPr="004E0468" w:rsidRDefault="00DB3A40" w:rsidP="00DB3A40">
            <w:pPr>
              <w:jc w:val="center"/>
              <w:rPr>
                <w:rFonts w:ascii="Times New Roman" w:hAnsi="Times New Roman" w:cs="Times New Roman"/>
              </w:rPr>
            </w:pPr>
          </w:p>
        </w:tc>
        <w:tc>
          <w:tcPr>
            <w:tcW w:w="220" w:type="pct"/>
            <w:vAlign w:val="center"/>
          </w:tcPr>
          <w:p w14:paraId="51B6077A" w14:textId="77777777" w:rsidR="00DB3A40" w:rsidRPr="004E0468" w:rsidRDefault="00DB3A40" w:rsidP="00DB3A40">
            <w:pPr>
              <w:jc w:val="center"/>
              <w:rPr>
                <w:rFonts w:ascii="Times New Roman" w:hAnsi="Times New Roman" w:cs="Times New Roman"/>
              </w:rPr>
            </w:pPr>
          </w:p>
        </w:tc>
        <w:tc>
          <w:tcPr>
            <w:tcW w:w="220" w:type="pct"/>
            <w:vAlign w:val="center"/>
          </w:tcPr>
          <w:p w14:paraId="4F49A1FF" w14:textId="77777777" w:rsidR="00DB3A40" w:rsidRPr="004E0468" w:rsidRDefault="00DB3A40" w:rsidP="00DB3A40">
            <w:pPr>
              <w:jc w:val="center"/>
              <w:rPr>
                <w:rFonts w:ascii="Times New Roman" w:hAnsi="Times New Roman" w:cs="Times New Roman"/>
              </w:rPr>
            </w:pPr>
          </w:p>
        </w:tc>
        <w:tc>
          <w:tcPr>
            <w:tcW w:w="220" w:type="pct"/>
            <w:vAlign w:val="center"/>
          </w:tcPr>
          <w:p w14:paraId="56D882D6" w14:textId="77777777" w:rsidR="00DB3A40" w:rsidRPr="004E0468" w:rsidRDefault="00DB3A40" w:rsidP="00DB3A40">
            <w:pPr>
              <w:jc w:val="center"/>
              <w:rPr>
                <w:rFonts w:ascii="Times New Roman" w:hAnsi="Times New Roman" w:cs="Times New Roman"/>
              </w:rPr>
            </w:pPr>
          </w:p>
        </w:tc>
        <w:tc>
          <w:tcPr>
            <w:tcW w:w="220" w:type="pct"/>
            <w:vAlign w:val="center"/>
          </w:tcPr>
          <w:p w14:paraId="4B20255B" w14:textId="77777777" w:rsidR="00DB3A40" w:rsidRPr="004E0468" w:rsidRDefault="00DB3A40" w:rsidP="00DB3A40">
            <w:pPr>
              <w:jc w:val="center"/>
              <w:rPr>
                <w:rFonts w:ascii="Times New Roman" w:hAnsi="Times New Roman" w:cs="Times New Roman"/>
              </w:rPr>
            </w:pPr>
          </w:p>
        </w:tc>
        <w:tc>
          <w:tcPr>
            <w:tcW w:w="220" w:type="pct"/>
            <w:vAlign w:val="center"/>
          </w:tcPr>
          <w:p w14:paraId="2B45F731"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3628D231" w14:textId="77777777" w:rsidR="00DB3A40" w:rsidRPr="004E0468" w:rsidRDefault="00DB3A40" w:rsidP="00DB3A40">
            <w:pPr>
              <w:jc w:val="center"/>
              <w:rPr>
                <w:rFonts w:ascii="Times New Roman" w:hAnsi="Times New Roman" w:cs="Times New Roman"/>
              </w:rPr>
            </w:pPr>
          </w:p>
        </w:tc>
        <w:tc>
          <w:tcPr>
            <w:tcW w:w="217" w:type="pct"/>
            <w:vAlign w:val="center"/>
          </w:tcPr>
          <w:p w14:paraId="57146EE7" w14:textId="77777777" w:rsidR="00DB3A40" w:rsidRPr="004E0468" w:rsidRDefault="00DB3A40" w:rsidP="00DB3A40">
            <w:pPr>
              <w:jc w:val="center"/>
              <w:rPr>
                <w:rFonts w:ascii="Times New Roman" w:hAnsi="Times New Roman" w:cs="Times New Roman"/>
              </w:rPr>
            </w:pPr>
          </w:p>
        </w:tc>
      </w:tr>
      <w:tr w:rsidR="00DB3A40" w:rsidRPr="004E0468" w14:paraId="31F520C4" w14:textId="77777777" w:rsidTr="00DB3A40">
        <w:trPr>
          <w:trHeight w:val="20"/>
        </w:trPr>
        <w:tc>
          <w:tcPr>
            <w:tcW w:w="1480" w:type="pct"/>
            <w:vAlign w:val="center"/>
          </w:tcPr>
          <w:p w14:paraId="0CCB633B"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Environmental auditing programs such as ISO 14000 certification</w:t>
            </w:r>
          </w:p>
        </w:tc>
        <w:tc>
          <w:tcPr>
            <w:tcW w:w="220" w:type="pct"/>
            <w:vAlign w:val="center"/>
          </w:tcPr>
          <w:p w14:paraId="71AA8355" w14:textId="77777777" w:rsidR="00DB3A40" w:rsidRPr="004E0468" w:rsidRDefault="00DB3A40" w:rsidP="00DB3A40">
            <w:pPr>
              <w:jc w:val="center"/>
              <w:rPr>
                <w:rFonts w:ascii="Times New Roman" w:hAnsi="Times New Roman" w:cs="Times New Roman"/>
              </w:rPr>
            </w:pPr>
          </w:p>
        </w:tc>
        <w:tc>
          <w:tcPr>
            <w:tcW w:w="220" w:type="pct"/>
            <w:vAlign w:val="center"/>
          </w:tcPr>
          <w:p w14:paraId="357D36DC" w14:textId="77777777" w:rsidR="00DB3A40" w:rsidRPr="004E0468" w:rsidRDefault="00DB3A40" w:rsidP="00DB3A40">
            <w:pPr>
              <w:jc w:val="center"/>
              <w:rPr>
                <w:rFonts w:ascii="Times New Roman" w:hAnsi="Times New Roman" w:cs="Times New Roman"/>
              </w:rPr>
            </w:pPr>
          </w:p>
        </w:tc>
        <w:tc>
          <w:tcPr>
            <w:tcW w:w="220" w:type="pct"/>
            <w:vAlign w:val="center"/>
          </w:tcPr>
          <w:p w14:paraId="1FAE6DD1" w14:textId="77777777" w:rsidR="00DB3A40" w:rsidRPr="004E0468" w:rsidRDefault="00DB3A40" w:rsidP="00DB3A40">
            <w:pPr>
              <w:jc w:val="center"/>
              <w:rPr>
                <w:rFonts w:ascii="Times New Roman" w:hAnsi="Times New Roman" w:cs="Times New Roman"/>
              </w:rPr>
            </w:pPr>
          </w:p>
        </w:tc>
        <w:tc>
          <w:tcPr>
            <w:tcW w:w="220" w:type="pct"/>
            <w:vAlign w:val="center"/>
          </w:tcPr>
          <w:p w14:paraId="01B7A0E1" w14:textId="77777777" w:rsidR="00DB3A40" w:rsidRPr="004E0468" w:rsidRDefault="00DB3A40" w:rsidP="00DB3A40">
            <w:pPr>
              <w:jc w:val="center"/>
              <w:rPr>
                <w:rFonts w:ascii="Times New Roman" w:hAnsi="Times New Roman" w:cs="Times New Roman"/>
              </w:rPr>
            </w:pPr>
          </w:p>
        </w:tc>
        <w:tc>
          <w:tcPr>
            <w:tcW w:w="220" w:type="pct"/>
            <w:vAlign w:val="center"/>
          </w:tcPr>
          <w:p w14:paraId="7CA382D2" w14:textId="77777777" w:rsidR="00DB3A40" w:rsidRPr="004E0468" w:rsidRDefault="00DB3A40" w:rsidP="00DB3A40">
            <w:pPr>
              <w:jc w:val="center"/>
              <w:rPr>
                <w:rFonts w:ascii="Times New Roman" w:hAnsi="Times New Roman" w:cs="Times New Roman"/>
              </w:rPr>
            </w:pPr>
          </w:p>
        </w:tc>
        <w:tc>
          <w:tcPr>
            <w:tcW w:w="220" w:type="pct"/>
            <w:vAlign w:val="center"/>
          </w:tcPr>
          <w:p w14:paraId="27DE9D24" w14:textId="77777777" w:rsidR="00DB3A40" w:rsidRPr="004E0468" w:rsidRDefault="00DB3A40" w:rsidP="00DB3A40">
            <w:pPr>
              <w:jc w:val="center"/>
              <w:rPr>
                <w:rFonts w:ascii="Times New Roman" w:hAnsi="Times New Roman" w:cs="Times New Roman"/>
              </w:rPr>
            </w:pPr>
          </w:p>
        </w:tc>
        <w:tc>
          <w:tcPr>
            <w:tcW w:w="220" w:type="pct"/>
            <w:vAlign w:val="center"/>
          </w:tcPr>
          <w:p w14:paraId="223F3962"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6E892D21" w14:textId="77777777" w:rsidR="00DB3A40" w:rsidRPr="004E0468" w:rsidRDefault="00DB3A40" w:rsidP="00DB3A40">
            <w:pPr>
              <w:jc w:val="center"/>
              <w:rPr>
                <w:rFonts w:ascii="Times New Roman" w:hAnsi="Times New Roman" w:cs="Times New Roman"/>
              </w:rPr>
            </w:pPr>
          </w:p>
        </w:tc>
        <w:tc>
          <w:tcPr>
            <w:tcW w:w="220" w:type="pct"/>
            <w:vAlign w:val="center"/>
          </w:tcPr>
          <w:p w14:paraId="1F954499" w14:textId="77777777" w:rsidR="00DB3A40" w:rsidRPr="004E0468" w:rsidRDefault="00DB3A40" w:rsidP="00DB3A40">
            <w:pPr>
              <w:jc w:val="center"/>
              <w:rPr>
                <w:rFonts w:ascii="Times New Roman" w:hAnsi="Times New Roman" w:cs="Times New Roman"/>
              </w:rPr>
            </w:pPr>
          </w:p>
        </w:tc>
        <w:tc>
          <w:tcPr>
            <w:tcW w:w="220" w:type="pct"/>
            <w:vAlign w:val="center"/>
          </w:tcPr>
          <w:p w14:paraId="3C7573EE" w14:textId="77777777" w:rsidR="00DB3A40" w:rsidRPr="004E0468" w:rsidRDefault="00DB3A40" w:rsidP="00DB3A40">
            <w:pPr>
              <w:jc w:val="center"/>
              <w:rPr>
                <w:rFonts w:ascii="Times New Roman" w:hAnsi="Times New Roman" w:cs="Times New Roman"/>
              </w:rPr>
            </w:pPr>
          </w:p>
        </w:tc>
        <w:tc>
          <w:tcPr>
            <w:tcW w:w="220" w:type="pct"/>
            <w:vAlign w:val="center"/>
          </w:tcPr>
          <w:p w14:paraId="00ED3CD8" w14:textId="77777777" w:rsidR="00DB3A40" w:rsidRPr="004E0468" w:rsidRDefault="00DB3A40" w:rsidP="00DB3A40">
            <w:pPr>
              <w:jc w:val="center"/>
              <w:rPr>
                <w:rFonts w:ascii="Times New Roman" w:hAnsi="Times New Roman" w:cs="Times New Roman"/>
              </w:rPr>
            </w:pPr>
          </w:p>
        </w:tc>
        <w:tc>
          <w:tcPr>
            <w:tcW w:w="220" w:type="pct"/>
            <w:vAlign w:val="center"/>
          </w:tcPr>
          <w:p w14:paraId="2843D39B" w14:textId="77777777" w:rsidR="00DB3A40" w:rsidRPr="004E0468" w:rsidRDefault="00DB3A40" w:rsidP="00DB3A40">
            <w:pPr>
              <w:jc w:val="center"/>
              <w:rPr>
                <w:rFonts w:ascii="Times New Roman" w:hAnsi="Times New Roman" w:cs="Times New Roman"/>
              </w:rPr>
            </w:pPr>
          </w:p>
        </w:tc>
        <w:tc>
          <w:tcPr>
            <w:tcW w:w="220" w:type="pct"/>
            <w:vAlign w:val="center"/>
          </w:tcPr>
          <w:p w14:paraId="4D19B06F" w14:textId="77777777" w:rsidR="00DB3A40" w:rsidRPr="004E0468" w:rsidRDefault="00DB3A40" w:rsidP="00DB3A40">
            <w:pPr>
              <w:jc w:val="center"/>
              <w:rPr>
                <w:rFonts w:ascii="Times New Roman" w:hAnsi="Times New Roman" w:cs="Times New Roman"/>
              </w:rPr>
            </w:pPr>
          </w:p>
        </w:tc>
        <w:tc>
          <w:tcPr>
            <w:tcW w:w="220" w:type="pct"/>
            <w:vAlign w:val="center"/>
          </w:tcPr>
          <w:p w14:paraId="6D927078"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25F1A188" w14:textId="77777777" w:rsidR="00DB3A40" w:rsidRPr="004E0468" w:rsidRDefault="00DB3A40" w:rsidP="00DB3A40">
            <w:pPr>
              <w:jc w:val="center"/>
              <w:rPr>
                <w:rFonts w:ascii="Times New Roman" w:hAnsi="Times New Roman" w:cs="Times New Roman"/>
              </w:rPr>
            </w:pPr>
          </w:p>
        </w:tc>
        <w:tc>
          <w:tcPr>
            <w:tcW w:w="217" w:type="pct"/>
            <w:vAlign w:val="center"/>
          </w:tcPr>
          <w:p w14:paraId="41CEB4A6"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r>
      <w:tr w:rsidR="00DB3A40" w:rsidRPr="004E0468" w14:paraId="4DC5F939" w14:textId="77777777" w:rsidTr="00DB3A40">
        <w:trPr>
          <w:trHeight w:val="20"/>
        </w:trPr>
        <w:tc>
          <w:tcPr>
            <w:tcW w:w="1480" w:type="pct"/>
            <w:vAlign w:val="center"/>
          </w:tcPr>
          <w:p w14:paraId="23F6DE97"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Cross-functional cooperation for environmental improvements</w:t>
            </w:r>
          </w:p>
        </w:tc>
        <w:tc>
          <w:tcPr>
            <w:tcW w:w="220" w:type="pct"/>
            <w:vAlign w:val="center"/>
          </w:tcPr>
          <w:p w14:paraId="50C60319" w14:textId="77777777" w:rsidR="00DB3A40" w:rsidRPr="004E0468" w:rsidRDefault="00DB3A40" w:rsidP="00DB3A40">
            <w:pPr>
              <w:jc w:val="center"/>
              <w:rPr>
                <w:rFonts w:ascii="Times New Roman" w:hAnsi="Times New Roman" w:cs="Times New Roman"/>
              </w:rPr>
            </w:pPr>
          </w:p>
        </w:tc>
        <w:tc>
          <w:tcPr>
            <w:tcW w:w="220" w:type="pct"/>
            <w:vAlign w:val="center"/>
          </w:tcPr>
          <w:p w14:paraId="5771B16B" w14:textId="77777777" w:rsidR="00DB3A40" w:rsidRPr="004E0468" w:rsidRDefault="00DB3A40" w:rsidP="00DB3A40">
            <w:pPr>
              <w:jc w:val="center"/>
              <w:rPr>
                <w:rFonts w:ascii="Times New Roman" w:hAnsi="Times New Roman" w:cs="Times New Roman"/>
              </w:rPr>
            </w:pPr>
          </w:p>
        </w:tc>
        <w:tc>
          <w:tcPr>
            <w:tcW w:w="220" w:type="pct"/>
            <w:vAlign w:val="center"/>
          </w:tcPr>
          <w:p w14:paraId="3FB03FD2" w14:textId="77777777" w:rsidR="00DB3A40" w:rsidRPr="004E0468" w:rsidRDefault="00DB3A40" w:rsidP="00DB3A40">
            <w:pPr>
              <w:jc w:val="center"/>
              <w:rPr>
                <w:rFonts w:ascii="Times New Roman" w:hAnsi="Times New Roman" w:cs="Times New Roman"/>
              </w:rPr>
            </w:pPr>
          </w:p>
        </w:tc>
        <w:tc>
          <w:tcPr>
            <w:tcW w:w="220" w:type="pct"/>
            <w:vAlign w:val="center"/>
          </w:tcPr>
          <w:p w14:paraId="678D2EFB" w14:textId="77777777" w:rsidR="00DB3A40" w:rsidRPr="004E0468" w:rsidRDefault="00DB3A40" w:rsidP="00DB3A40">
            <w:pPr>
              <w:jc w:val="center"/>
              <w:rPr>
                <w:rFonts w:ascii="Times New Roman" w:hAnsi="Times New Roman" w:cs="Times New Roman"/>
              </w:rPr>
            </w:pPr>
          </w:p>
        </w:tc>
        <w:tc>
          <w:tcPr>
            <w:tcW w:w="220" w:type="pct"/>
            <w:vAlign w:val="center"/>
          </w:tcPr>
          <w:p w14:paraId="2E504F44" w14:textId="77777777" w:rsidR="00DB3A40" w:rsidRPr="004E0468" w:rsidRDefault="00DB3A40" w:rsidP="00DB3A40">
            <w:pPr>
              <w:jc w:val="center"/>
              <w:rPr>
                <w:rFonts w:ascii="Times New Roman" w:hAnsi="Times New Roman" w:cs="Times New Roman"/>
              </w:rPr>
            </w:pPr>
          </w:p>
        </w:tc>
        <w:tc>
          <w:tcPr>
            <w:tcW w:w="220" w:type="pct"/>
            <w:vAlign w:val="center"/>
          </w:tcPr>
          <w:p w14:paraId="59FDB5C0" w14:textId="77777777" w:rsidR="00DB3A40" w:rsidRPr="004E0468" w:rsidRDefault="00DB3A40" w:rsidP="00DB3A40">
            <w:pPr>
              <w:jc w:val="center"/>
              <w:rPr>
                <w:rFonts w:ascii="Times New Roman" w:hAnsi="Times New Roman" w:cs="Times New Roman"/>
              </w:rPr>
            </w:pPr>
          </w:p>
        </w:tc>
        <w:tc>
          <w:tcPr>
            <w:tcW w:w="220" w:type="pct"/>
            <w:vAlign w:val="center"/>
          </w:tcPr>
          <w:p w14:paraId="75325C9D" w14:textId="77777777" w:rsidR="00DB3A40" w:rsidRPr="004E0468" w:rsidRDefault="00DB3A40" w:rsidP="00DB3A40">
            <w:pPr>
              <w:jc w:val="center"/>
              <w:rPr>
                <w:rFonts w:ascii="Times New Roman" w:hAnsi="Times New Roman" w:cs="Times New Roman"/>
              </w:rPr>
            </w:pPr>
          </w:p>
        </w:tc>
        <w:tc>
          <w:tcPr>
            <w:tcW w:w="220" w:type="pct"/>
            <w:vAlign w:val="center"/>
          </w:tcPr>
          <w:p w14:paraId="2817F962" w14:textId="77777777" w:rsidR="00DB3A40" w:rsidRPr="004E0468" w:rsidRDefault="00DB3A40" w:rsidP="00DB3A40">
            <w:pPr>
              <w:jc w:val="center"/>
              <w:rPr>
                <w:rFonts w:ascii="Times New Roman" w:hAnsi="Times New Roman" w:cs="Times New Roman"/>
              </w:rPr>
            </w:pPr>
          </w:p>
        </w:tc>
        <w:tc>
          <w:tcPr>
            <w:tcW w:w="220" w:type="pct"/>
            <w:vAlign w:val="center"/>
          </w:tcPr>
          <w:p w14:paraId="3AC6F24E" w14:textId="77777777" w:rsidR="00DB3A40" w:rsidRPr="004E0468" w:rsidRDefault="00DB3A40" w:rsidP="00DB3A40">
            <w:pPr>
              <w:jc w:val="center"/>
              <w:rPr>
                <w:rFonts w:ascii="Times New Roman" w:hAnsi="Times New Roman" w:cs="Times New Roman"/>
              </w:rPr>
            </w:pPr>
          </w:p>
        </w:tc>
        <w:tc>
          <w:tcPr>
            <w:tcW w:w="220" w:type="pct"/>
            <w:vAlign w:val="center"/>
          </w:tcPr>
          <w:p w14:paraId="7D4A5BAC" w14:textId="77777777" w:rsidR="00DB3A40" w:rsidRPr="004E0468" w:rsidRDefault="00DB3A40" w:rsidP="00DB3A40">
            <w:pPr>
              <w:jc w:val="center"/>
              <w:rPr>
                <w:rFonts w:ascii="Times New Roman" w:hAnsi="Times New Roman" w:cs="Times New Roman"/>
              </w:rPr>
            </w:pPr>
          </w:p>
        </w:tc>
        <w:tc>
          <w:tcPr>
            <w:tcW w:w="220" w:type="pct"/>
            <w:vAlign w:val="center"/>
          </w:tcPr>
          <w:p w14:paraId="28ABBE50" w14:textId="77777777" w:rsidR="00DB3A40" w:rsidRPr="004E0468" w:rsidRDefault="00DB3A40" w:rsidP="00DB3A40">
            <w:pPr>
              <w:jc w:val="center"/>
              <w:rPr>
                <w:rFonts w:ascii="Times New Roman" w:hAnsi="Times New Roman" w:cs="Times New Roman"/>
              </w:rPr>
            </w:pPr>
          </w:p>
        </w:tc>
        <w:tc>
          <w:tcPr>
            <w:tcW w:w="220" w:type="pct"/>
            <w:vAlign w:val="center"/>
          </w:tcPr>
          <w:p w14:paraId="5FB0BB08" w14:textId="77777777" w:rsidR="00DB3A40" w:rsidRPr="004E0468" w:rsidRDefault="00DB3A40" w:rsidP="00DB3A40">
            <w:pPr>
              <w:jc w:val="center"/>
              <w:rPr>
                <w:rFonts w:ascii="Times New Roman" w:hAnsi="Times New Roman" w:cs="Times New Roman"/>
              </w:rPr>
            </w:pPr>
          </w:p>
        </w:tc>
        <w:tc>
          <w:tcPr>
            <w:tcW w:w="220" w:type="pct"/>
            <w:vAlign w:val="center"/>
          </w:tcPr>
          <w:p w14:paraId="1A04160C" w14:textId="77777777" w:rsidR="00DB3A40" w:rsidRPr="004E0468" w:rsidRDefault="00DB3A40" w:rsidP="00DB3A40">
            <w:pPr>
              <w:jc w:val="center"/>
              <w:rPr>
                <w:rFonts w:ascii="Times New Roman" w:hAnsi="Times New Roman" w:cs="Times New Roman"/>
              </w:rPr>
            </w:pPr>
          </w:p>
        </w:tc>
        <w:tc>
          <w:tcPr>
            <w:tcW w:w="220" w:type="pct"/>
            <w:vAlign w:val="center"/>
          </w:tcPr>
          <w:p w14:paraId="29CE92AB"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74DD6875"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6CFD5580" w14:textId="77777777" w:rsidR="00DB3A40" w:rsidRPr="004E0468" w:rsidRDefault="00DB3A40" w:rsidP="00DB3A40">
            <w:pPr>
              <w:jc w:val="center"/>
              <w:rPr>
                <w:rFonts w:ascii="Times New Roman" w:hAnsi="Times New Roman" w:cs="Times New Roman"/>
              </w:rPr>
            </w:pPr>
          </w:p>
        </w:tc>
      </w:tr>
      <w:tr w:rsidR="00DB3A40" w:rsidRPr="004E0468" w14:paraId="31C1BC2D" w14:textId="77777777" w:rsidTr="00DB3A40">
        <w:trPr>
          <w:trHeight w:val="20"/>
        </w:trPr>
        <w:tc>
          <w:tcPr>
            <w:tcW w:w="1480" w:type="pct"/>
            <w:vAlign w:val="center"/>
          </w:tcPr>
          <w:p w14:paraId="3EF6E4EF"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Eco-labelling of products</w:t>
            </w:r>
          </w:p>
        </w:tc>
        <w:tc>
          <w:tcPr>
            <w:tcW w:w="220" w:type="pct"/>
            <w:vAlign w:val="center"/>
          </w:tcPr>
          <w:p w14:paraId="20B98DE0" w14:textId="77777777" w:rsidR="00DB3A40" w:rsidRPr="004E0468" w:rsidRDefault="00DB3A40" w:rsidP="00DB3A40">
            <w:pPr>
              <w:jc w:val="center"/>
              <w:rPr>
                <w:rFonts w:ascii="Times New Roman" w:hAnsi="Times New Roman" w:cs="Times New Roman"/>
              </w:rPr>
            </w:pPr>
          </w:p>
        </w:tc>
        <w:tc>
          <w:tcPr>
            <w:tcW w:w="220" w:type="pct"/>
            <w:vAlign w:val="center"/>
          </w:tcPr>
          <w:p w14:paraId="0984972E" w14:textId="77777777" w:rsidR="00DB3A40" w:rsidRPr="004E0468" w:rsidRDefault="00DB3A40" w:rsidP="00DB3A40">
            <w:pPr>
              <w:jc w:val="center"/>
              <w:rPr>
                <w:rFonts w:ascii="Times New Roman" w:hAnsi="Times New Roman" w:cs="Times New Roman"/>
              </w:rPr>
            </w:pPr>
          </w:p>
        </w:tc>
        <w:tc>
          <w:tcPr>
            <w:tcW w:w="220" w:type="pct"/>
            <w:vAlign w:val="center"/>
          </w:tcPr>
          <w:p w14:paraId="3EA87A28" w14:textId="77777777" w:rsidR="00DB3A40" w:rsidRPr="004E0468" w:rsidRDefault="00DB3A40" w:rsidP="00DB3A40">
            <w:pPr>
              <w:jc w:val="center"/>
              <w:rPr>
                <w:rFonts w:ascii="Times New Roman" w:hAnsi="Times New Roman" w:cs="Times New Roman"/>
              </w:rPr>
            </w:pPr>
          </w:p>
        </w:tc>
        <w:tc>
          <w:tcPr>
            <w:tcW w:w="220" w:type="pct"/>
            <w:vAlign w:val="center"/>
          </w:tcPr>
          <w:p w14:paraId="60631E15" w14:textId="77777777" w:rsidR="00DB3A40" w:rsidRPr="004E0468" w:rsidRDefault="00DB3A40" w:rsidP="00DB3A40">
            <w:pPr>
              <w:jc w:val="center"/>
              <w:rPr>
                <w:rFonts w:ascii="Times New Roman" w:hAnsi="Times New Roman" w:cs="Times New Roman"/>
              </w:rPr>
            </w:pPr>
          </w:p>
        </w:tc>
        <w:tc>
          <w:tcPr>
            <w:tcW w:w="220" w:type="pct"/>
            <w:vAlign w:val="center"/>
          </w:tcPr>
          <w:p w14:paraId="5585E564" w14:textId="77777777" w:rsidR="00DB3A40" w:rsidRPr="004E0468" w:rsidRDefault="00DB3A40" w:rsidP="00DB3A40">
            <w:pPr>
              <w:jc w:val="center"/>
              <w:rPr>
                <w:rFonts w:ascii="Times New Roman" w:hAnsi="Times New Roman" w:cs="Times New Roman"/>
              </w:rPr>
            </w:pPr>
          </w:p>
        </w:tc>
        <w:tc>
          <w:tcPr>
            <w:tcW w:w="220" w:type="pct"/>
            <w:vAlign w:val="center"/>
          </w:tcPr>
          <w:p w14:paraId="0CBE1E66" w14:textId="77777777" w:rsidR="00DB3A40" w:rsidRPr="004E0468" w:rsidRDefault="00DB3A40" w:rsidP="00DB3A40">
            <w:pPr>
              <w:jc w:val="center"/>
              <w:rPr>
                <w:rFonts w:ascii="Times New Roman" w:hAnsi="Times New Roman" w:cs="Times New Roman"/>
              </w:rPr>
            </w:pPr>
          </w:p>
        </w:tc>
        <w:tc>
          <w:tcPr>
            <w:tcW w:w="220" w:type="pct"/>
            <w:vAlign w:val="center"/>
          </w:tcPr>
          <w:p w14:paraId="74A0E633" w14:textId="77777777" w:rsidR="00DB3A40" w:rsidRPr="004E0468" w:rsidRDefault="00DB3A40" w:rsidP="00DB3A40">
            <w:pPr>
              <w:jc w:val="center"/>
              <w:rPr>
                <w:rFonts w:ascii="Times New Roman" w:hAnsi="Times New Roman" w:cs="Times New Roman"/>
              </w:rPr>
            </w:pPr>
          </w:p>
        </w:tc>
        <w:tc>
          <w:tcPr>
            <w:tcW w:w="220" w:type="pct"/>
            <w:vAlign w:val="center"/>
          </w:tcPr>
          <w:p w14:paraId="5BAC26BD" w14:textId="77777777" w:rsidR="00DB3A40" w:rsidRPr="004E0468" w:rsidRDefault="00DB3A40" w:rsidP="00DB3A40">
            <w:pPr>
              <w:jc w:val="center"/>
              <w:rPr>
                <w:rFonts w:ascii="Times New Roman" w:hAnsi="Times New Roman" w:cs="Times New Roman"/>
              </w:rPr>
            </w:pPr>
          </w:p>
        </w:tc>
        <w:tc>
          <w:tcPr>
            <w:tcW w:w="220" w:type="pct"/>
            <w:vAlign w:val="center"/>
          </w:tcPr>
          <w:p w14:paraId="7657165F" w14:textId="77777777" w:rsidR="00DB3A40" w:rsidRPr="004E0468" w:rsidRDefault="00DB3A40" w:rsidP="00DB3A40">
            <w:pPr>
              <w:jc w:val="center"/>
              <w:rPr>
                <w:rFonts w:ascii="Times New Roman" w:hAnsi="Times New Roman" w:cs="Times New Roman"/>
              </w:rPr>
            </w:pPr>
          </w:p>
        </w:tc>
        <w:tc>
          <w:tcPr>
            <w:tcW w:w="220" w:type="pct"/>
            <w:vAlign w:val="center"/>
          </w:tcPr>
          <w:p w14:paraId="06022211" w14:textId="77777777" w:rsidR="00DB3A40" w:rsidRPr="004E0468" w:rsidRDefault="00DB3A40" w:rsidP="00DB3A40">
            <w:pPr>
              <w:jc w:val="center"/>
              <w:rPr>
                <w:rFonts w:ascii="Times New Roman" w:hAnsi="Times New Roman" w:cs="Times New Roman"/>
              </w:rPr>
            </w:pPr>
          </w:p>
        </w:tc>
        <w:tc>
          <w:tcPr>
            <w:tcW w:w="220" w:type="pct"/>
            <w:vAlign w:val="center"/>
          </w:tcPr>
          <w:p w14:paraId="1AE19ADA" w14:textId="77777777" w:rsidR="00DB3A40" w:rsidRPr="004E0468" w:rsidRDefault="00DB3A40" w:rsidP="00DB3A40">
            <w:pPr>
              <w:jc w:val="center"/>
              <w:rPr>
                <w:rFonts w:ascii="Times New Roman" w:hAnsi="Times New Roman" w:cs="Times New Roman"/>
              </w:rPr>
            </w:pPr>
          </w:p>
        </w:tc>
        <w:tc>
          <w:tcPr>
            <w:tcW w:w="220" w:type="pct"/>
            <w:vAlign w:val="center"/>
          </w:tcPr>
          <w:p w14:paraId="5BFE6B45"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4A661A3F" w14:textId="77777777" w:rsidR="00DB3A40" w:rsidRPr="004E0468" w:rsidRDefault="00DB3A40" w:rsidP="00DB3A40">
            <w:pPr>
              <w:jc w:val="center"/>
              <w:rPr>
                <w:rFonts w:ascii="Times New Roman" w:hAnsi="Times New Roman" w:cs="Times New Roman"/>
              </w:rPr>
            </w:pPr>
          </w:p>
        </w:tc>
        <w:tc>
          <w:tcPr>
            <w:tcW w:w="220" w:type="pct"/>
            <w:vAlign w:val="center"/>
          </w:tcPr>
          <w:p w14:paraId="4A09B71B"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71C266F0"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17" w:type="pct"/>
            <w:vAlign w:val="center"/>
          </w:tcPr>
          <w:p w14:paraId="49F4071D" w14:textId="77777777" w:rsidR="00DB3A40" w:rsidRPr="004E0468" w:rsidRDefault="00DB3A40" w:rsidP="00DB3A40">
            <w:pPr>
              <w:jc w:val="center"/>
              <w:rPr>
                <w:rFonts w:ascii="Times New Roman" w:hAnsi="Times New Roman" w:cs="Times New Roman"/>
              </w:rPr>
            </w:pPr>
          </w:p>
        </w:tc>
      </w:tr>
      <w:tr w:rsidR="00DB3A40" w:rsidRPr="00061663" w14:paraId="280370A1" w14:textId="77777777" w:rsidTr="00DB3A40">
        <w:trPr>
          <w:trHeight w:val="20"/>
        </w:trPr>
        <w:tc>
          <w:tcPr>
            <w:tcW w:w="1480" w:type="pct"/>
          </w:tcPr>
          <w:p w14:paraId="705CDF9D" w14:textId="77777777" w:rsidR="00DB3A40" w:rsidRPr="004E0468" w:rsidRDefault="00DB3A40" w:rsidP="00DB3A40">
            <w:pPr>
              <w:pStyle w:val="ListParagraph"/>
              <w:numPr>
                <w:ilvl w:val="0"/>
                <w:numId w:val="4"/>
              </w:numPr>
              <w:spacing w:after="0" w:line="240" w:lineRule="auto"/>
              <w:rPr>
                <w:rFonts w:ascii="Times New Roman" w:hAnsi="Times New Roman" w:cs="Times New Roman"/>
                <w:sz w:val="16"/>
                <w:szCs w:val="16"/>
              </w:rPr>
            </w:pPr>
            <w:r w:rsidRPr="004E0468">
              <w:rPr>
                <w:rFonts w:ascii="Times New Roman" w:hAnsi="Times New Roman" w:cs="Times New Roman"/>
                <w:sz w:val="16"/>
                <w:szCs w:val="16"/>
              </w:rPr>
              <w:t>Special training for workers on environmental issues</w:t>
            </w:r>
          </w:p>
        </w:tc>
        <w:tc>
          <w:tcPr>
            <w:tcW w:w="220" w:type="pct"/>
            <w:vAlign w:val="center"/>
          </w:tcPr>
          <w:p w14:paraId="35FB7F00"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0C43EB4F" w14:textId="77777777" w:rsidR="00DB3A40" w:rsidRPr="004E0468" w:rsidRDefault="00DB3A40" w:rsidP="00DB3A40">
            <w:pPr>
              <w:jc w:val="center"/>
              <w:rPr>
                <w:rFonts w:ascii="Times New Roman" w:hAnsi="Times New Roman" w:cs="Times New Roman"/>
              </w:rPr>
            </w:pPr>
          </w:p>
        </w:tc>
        <w:tc>
          <w:tcPr>
            <w:tcW w:w="220" w:type="pct"/>
            <w:vAlign w:val="center"/>
          </w:tcPr>
          <w:p w14:paraId="24A6F40B" w14:textId="77777777" w:rsidR="00DB3A40" w:rsidRPr="004E0468" w:rsidRDefault="00DB3A40" w:rsidP="00DB3A40">
            <w:pPr>
              <w:jc w:val="center"/>
              <w:rPr>
                <w:rFonts w:ascii="Times New Roman" w:hAnsi="Times New Roman" w:cs="Times New Roman"/>
              </w:rPr>
            </w:pPr>
          </w:p>
        </w:tc>
        <w:tc>
          <w:tcPr>
            <w:tcW w:w="220" w:type="pct"/>
            <w:vAlign w:val="center"/>
          </w:tcPr>
          <w:p w14:paraId="33ED0245" w14:textId="77777777" w:rsidR="00DB3A40" w:rsidRPr="004E0468" w:rsidRDefault="00DB3A40" w:rsidP="00DB3A40">
            <w:pPr>
              <w:jc w:val="center"/>
              <w:rPr>
                <w:rFonts w:ascii="Times New Roman" w:hAnsi="Times New Roman" w:cs="Times New Roman"/>
              </w:rPr>
            </w:pPr>
          </w:p>
        </w:tc>
        <w:tc>
          <w:tcPr>
            <w:tcW w:w="220" w:type="pct"/>
            <w:vAlign w:val="center"/>
          </w:tcPr>
          <w:p w14:paraId="267CD45B" w14:textId="77777777" w:rsidR="00DB3A40" w:rsidRPr="004E0468" w:rsidRDefault="00DB3A40" w:rsidP="00DB3A40">
            <w:pPr>
              <w:jc w:val="center"/>
              <w:rPr>
                <w:rFonts w:ascii="Times New Roman" w:hAnsi="Times New Roman" w:cs="Times New Roman"/>
              </w:rPr>
            </w:pPr>
          </w:p>
        </w:tc>
        <w:tc>
          <w:tcPr>
            <w:tcW w:w="220" w:type="pct"/>
            <w:vAlign w:val="center"/>
          </w:tcPr>
          <w:p w14:paraId="1DEB5EE2" w14:textId="77777777" w:rsidR="00DB3A40" w:rsidRPr="004E0468" w:rsidRDefault="00DB3A40" w:rsidP="00DB3A40">
            <w:pPr>
              <w:jc w:val="center"/>
              <w:rPr>
                <w:rFonts w:ascii="Times New Roman" w:hAnsi="Times New Roman" w:cs="Times New Roman"/>
              </w:rPr>
            </w:pPr>
          </w:p>
        </w:tc>
        <w:tc>
          <w:tcPr>
            <w:tcW w:w="220" w:type="pct"/>
            <w:vAlign w:val="center"/>
          </w:tcPr>
          <w:p w14:paraId="69A3C3F0"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4AA0C519" w14:textId="77777777" w:rsidR="00DB3A40" w:rsidRPr="004E0468" w:rsidRDefault="00DB3A40" w:rsidP="00DB3A40">
            <w:pPr>
              <w:jc w:val="center"/>
              <w:rPr>
                <w:rFonts w:ascii="Times New Roman" w:hAnsi="Times New Roman" w:cs="Times New Roman"/>
              </w:rPr>
            </w:pPr>
          </w:p>
        </w:tc>
        <w:tc>
          <w:tcPr>
            <w:tcW w:w="220" w:type="pct"/>
            <w:vAlign w:val="center"/>
          </w:tcPr>
          <w:p w14:paraId="14B6340A" w14:textId="77777777" w:rsidR="00DB3A40" w:rsidRPr="004E0468" w:rsidRDefault="00DB3A40" w:rsidP="00DB3A40">
            <w:pPr>
              <w:jc w:val="center"/>
              <w:rPr>
                <w:rFonts w:ascii="Times New Roman" w:hAnsi="Times New Roman" w:cs="Times New Roman"/>
              </w:rPr>
            </w:pPr>
          </w:p>
        </w:tc>
        <w:tc>
          <w:tcPr>
            <w:tcW w:w="220" w:type="pct"/>
            <w:vAlign w:val="center"/>
          </w:tcPr>
          <w:p w14:paraId="2CF722F3" w14:textId="77777777" w:rsidR="00DB3A40" w:rsidRPr="004E0468" w:rsidRDefault="00DB3A40" w:rsidP="00DB3A40">
            <w:pPr>
              <w:jc w:val="center"/>
              <w:rPr>
                <w:rFonts w:ascii="Times New Roman" w:hAnsi="Times New Roman" w:cs="Times New Roman"/>
              </w:rPr>
            </w:pPr>
          </w:p>
        </w:tc>
        <w:tc>
          <w:tcPr>
            <w:tcW w:w="220" w:type="pct"/>
            <w:vAlign w:val="center"/>
          </w:tcPr>
          <w:p w14:paraId="20048A6A" w14:textId="77777777" w:rsidR="00DB3A40" w:rsidRPr="004E0468" w:rsidRDefault="00DB3A40" w:rsidP="00DB3A40">
            <w:pPr>
              <w:jc w:val="center"/>
              <w:rPr>
                <w:rFonts w:ascii="Times New Roman" w:hAnsi="Times New Roman" w:cs="Times New Roman"/>
              </w:rPr>
            </w:pPr>
          </w:p>
        </w:tc>
        <w:tc>
          <w:tcPr>
            <w:tcW w:w="220" w:type="pct"/>
            <w:vAlign w:val="center"/>
          </w:tcPr>
          <w:p w14:paraId="693EB895" w14:textId="77777777" w:rsidR="00DB3A40" w:rsidRPr="004E0468" w:rsidRDefault="00DB3A40" w:rsidP="00DB3A40">
            <w:pPr>
              <w:jc w:val="center"/>
              <w:rPr>
                <w:rFonts w:ascii="Times New Roman" w:hAnsi="Times New Roman" w:cs="Times New Roman"/>
              </w:rPr>
            </w:pPr>
          </w:p>
        </w:tc>
        <w:tc>
          <w:tcPr>
            <w:tcW w:w="220" w:type="pct"/>
            <w:vAlign w:val="center"/>
          </w:tcPr>
          <w:p w14:paraId="263C0F30" w14:textId="77777777" w:rsidR="00DB3A40" w:rsidRPr="004E0468" w:rsidRDefault="00DB3A40" w:rsidP="00DB3A40">
            <w:pPr>
              <w:jc w:val="center"/>
              <w:rPr>
                <w:rFonts w:ascii="Times New Roman" w:hAnsi="Times New Roman" w:cs="Times New Roman"/>
              </w:rPr>
            </w:pPr>
          </w:p>
        </w:tc>
        <w:tc>
          <w:tcPr>
            <w:tcW w:w="220" w:type="pct"/>
            <w:vAlign w:val="center"/>
          </w:tcPr>
          <w:p w14:paraId="691F5CDB" w14:textId="77777777" w:rsidR="00DB3A40" w:rsidRPr="004E0468" w:rsidRDefault="00DB3A40" w:rsidP="00DB3A40">
            <w:pPr>
              <w:jc w:val="center"/>
              <w:rPr>
                <w:rFonts w:ascii="Times New Roman" w:hAnsi="Times New Roman" w:cs="Times New Roman"/>
              </w:rPr>
            </w:pPr>
            <w:r w:rsidRPr="004E0468">
              <w:rPr>
                <w:rFonts w:ascii="Times New Roman" w:hAnsi="Times New Roman" w:cs="Times New Roman"/>
              </w:rPr>
              <w:t>x</w:t>
            </w:r>
          </w:p>
        </w:tc>
        <w:tc>
          <w:tcPr>
            <w:tcW w:w="220" w:type="pct"/>
            <w:vAlign w:val="center"/>
          </w:tcPr>
          <w:p w14:paraId="733A3524" w14:textId="77777777" w:rsidR="00DB3A40" w:rsidRPr="00061663" w:rsidRDefault="00DB3A40" w:rsidP="00DB3A40">
            <w:pPr>
              <w:jc w:val="center"/>
              <w:rPr>
                <w:rFonts w:ascii="Times New Roman" w:hAnsi="Times New Roman" w:cs="Times New Roman"/>
              </w:rPr>
            </w:pPr>
            <w:r w:rsidRPr="004E0468">
              <w:rPr>
                <w:rFonts w:ascii="Times New Roman" w:hAnsi="Times New Roman" w:cs="Times New Roman"/>
              </w:rPr>
              <w:t>x</w:t>
            </w:r>
            <w:bookmarkStart w:id="0" w:name="_GoBack"/>
            <w:bookmarkEnd w:id="0"/>
          </w:p>
        </w:tc>
        <w:tc>
          <w:tcPr>
            <w:tcW w:w="217" w:type="pct"/>
            <w:vAlign w:val="center"/>
          </w:tcPr>
          <w:p w14:paraId="1B15A263" w14:textId="77777777" w:rsidR="00DB3A40" w:rsidRPr="00061663" w:rsidRDefault="00DB3A40" w:rsidP="00DB3A40">
            <w:pPr>
              <w:jc w:val="center"/>
              <w:rPr>
                <w:rFonts w:ascii="Times New Roman" w:hAnsi="Times New Roman" w:cs="Times New Roman"/>
              </w:rPr>
            </w:pPr>
          </w:p>
        </w:tc>
      </w:tr>
    </w:tbl>
    <w:p w14:paraId="5AB1E779" w14:textId="18BCDCD1" w:rsidR="00A32003" w:rsidRPr="00A32003" w:rsidRDefault="00A32003" w:rsidP="00A32003">
      <w:pPr>
        <w:pStyle w:val="Paragraph"/>
      </w:pPr>
    </w:p>
    <w:sectPr w:rsidR="00A32003" w:rsidRPr="00A32003" w:rsidSect="00DB3A40">
      <w:footerReference w:type="default" r:id="rId10"/>
      <w:pgSz w:w="16840" w:h="11901"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AEC7B" w14:textId="77777777" w:rsidR="0082365F" w:rsidRDefault="0082365F" w:rsidP="00AF2C92">
      <w:r>
        <w:separator/>
      </w:r>
    </w:p>
  </w:endnote>
  <w:endnote w:type="continuationSeparator" w:id="0">
    <w:p w14:paraId="16F4DBDA" w14:textId="77777777" w:rsidR="0082365F" w:rsidRDefault="0082365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536273"/>
      <w:docPartObj>
        <w:docPartGallery w:val="Page Numbers (Bottom of Page)"/>
        <w:docPartUnique/>
      </w:docPartObj>
    </w:sdtPr>
    <w:sdtEndPr>
      <w:rPr>
        <w:noProof/>
      </w:rPr>
    </w:sdtEndPr>
    <w:sdtContent>
      <w:p w14:paraId="42A03244" w14:textId="76719F5C" w:rsidR="00A97683" w:rsidRDefault="00A97683" w:rsidP="00B5087C">
        <w:pPr>
          <w:pStyle w:val="Footer"/>
          <w:jc w:val="right"/>
        </w:pPr>
        <w:r>
          <w:fldChar w:fldCharType="begin"/>
        </w:r>
        <w:r w:rsidRPr="00B710A0">
          <w:instrText xml:space="preserve"> PAGE   \* MERGEFORMAT </w:instrText>
        </w:r>
        <w:r>
          <w:fldChar w:fldCharType="separate"/>
        </w:r>
        <w:r w:rsidR="004E0468">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018535"/>
      <w:docPartObj>
        <w:docPartGallery w:val="Page Numbers (Bottom of Page)"/>
        <w:docPartUnique/>
      </w:docPartObj>
    </w:sdtPr>
    <w:sdtEndPr>
      <w:rPr>
        <w:noProof/>
      </w:rPr>
    </w:sdtEndPr>
    <w:sdtContent>
      <w:p w14:paraId="1A33D6F6" w14:textId="7747BBAD" w:rsidR="00A97683" w:rsidRDefault="00A97683" w:rsidP="00B5087C">
        <w:pPr>
          <w:pStyle w:val="Footer"/>
          <w:jc w:val="right"/>
        </w:pPr>
        <w:r>
          <w:fldChar w:fldCharType="begin"/>
        </w:r>
        <w:r w:rsidRPr="00B710A0">
          <w:instrText xml:space="preserve"> PAGE   \* MERGEFORMAT </w:instrText>
        </w:r>
        <w:r>
          <w:fldChar w:fldCharType="separate"/>
        </w:r>
        <w:r w:rsidR="004E0468">
          <w:rPr>
            <w:noProof/>
          </w:rPr>
          <w:t>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4DFAA" w14:textId="77777777" w:rsidR="0082365F" w:rsidRDefault="0082365F" w:rsidP="00AF2C92">
      <w:r>
        <w:separator/>
      </w:r>
    </w:p>
  </w:footnote>
  <w:footnote w:type="continuationSeparator" w:id="0">
    <w:p w14:paraId="77D8AB4A" w14:textId="77777777" w:rsidR="0082365F" w:rsidRDefault="0082365F"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497"/>
    <w:multiLevelType w:val="hybridMultilevel"/>
    <w:tmpl w:val="B62C2928"/>
    <w:lvl w:ilvl="0" w:tplc="0576F67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A6A2C4A"/>
    <w:multiLevelType w:val="hybridMultilevel"/>
    <w:tmpl w:val="AEE2B1E2"/>
    <w:lvl w:ilvl="0" w:tplc="C7EC5BE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720107A"/>
    <w:multiLevelType w:val="hybridMultilevel"/>
    <w:tmpl w:val="BD26CBE8"/>
    <w:lvl w:ilvl="0" w:tplc="C7EC5BE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2A19FE"/>
    <w:multiLevelType w:val="hybridMultilevel"/>
    <w:tmpl w:val="B7CCB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BF6821"/>
    <w:multiLevelType w:val="hybridMultilevel"/>
    <w:tmpl w:val="2AE6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052E4D"/>
    <w:multiLevelType w:val="hybridMultilevel"/>
    <w:tmpl w:val="DAFCAD4A"/>
    <w:lvl w:ilvl="0" w:tplc="C7EC5BE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D1D1436"/>
    <w:multiLevelType w:val="hybridMultilevel"/>
    <w:tmpl w:val="17E28E98"/>
    <w:lvl w:ilvl="0" w:tplc="C7EC5BE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519788E"/>
    <w:multiLevelType w:val="hybridMultilevel"/>
    <w:tmpl w:val="629C683C"/>
    <w:lvl w:ilvl="0" w:tplc="08090011">
      <w:start w:val="1"/>
      <w:numFmt w:val="decimal"/>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D43862"/>
    <w:multiLevelType w:val="hybridMultilevel"/>
    <w:tmpl w:val="747C4EE6"/>
    <w:lvl w:ilvl="0" w:tplc="C7EC5B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8"/>
  </w:num>
  <w:num w:numId="5">
    <w:abstractNumId w:val="4"/>
  </w:num>
  <w:num w:numId="6">
    <w:abstractNumId w:val="6"/>
  </w:num>
  <w:num w:numId="7">
    <w:abstractNumId w:val="7"/>
  </w:num>
  <w:num w:numId="8">
    <w:abstractNumId w:val="1"/>
  </w:num>
  <w:num w:numId="9">
    <w:abstractNumId w:val="2"/>
  </w:num>
  <w:num w:numId="10">
    <w:abstractNumId w:val="5"/>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D1"/>
    <w:rsid w:val="000017A2"/>
    <w:rsid w:val="00001899"/>
    <w:rsid w:val="0000233B"/>
    <w:rsid w:val="000032E7"/>
    <w:rsid w:val="000049AD"/>
    <w:rsid w:val="0000681B"/>
    <w:rsid w:val="00006DB2"/>
    <w:rsid w:val="000133C0"/>
    <w:rsid w:val="00014597"/>
    <w:rsid w:val="00014C4E"/>
    <w:rsid w:val="0001624C"/>
    <w:rsid w:val="00017107"/>
    <w:rsid w:val="000202E2"/>
    <w:rsid w:val="000203EB"/>
    <w:rsid w:val="000210C3"/>
    <w:rsid w:val="000221B9"/>
    <w:rsid w:val="00022441"/>
    <w:rsid w:val="0002261E"/>
    <w:rsid w:val="00024839"/>
    <w:rsid w:val="000249FF"/>
    <w:rsid w:val="000252DB"/>
    <w:rsid w:val="00026871"/>
    <w:rsid w:val="0003054E"/>
    <w:rsid w:val="000315DC"/>
    <w:rsid w:val="00033D17"/>
    <w:rsid w:val="00034F86"/>
    <w:rsid w:val="00037A98"/>
    <w:rsid w:val="000405A1"/>
    <w:rsid w:val="000427FB"/>
    <w:rsid w:val="00043B03"/>
    <w:rsid w:val="0004455E"/>
    <w:rsid w:val="00046A76"/>
    <w:rsid w:val="00047CB5"/>
    <w:rsid w:val="00051FAA"/>
    <w:rsid w:val="00053F59"/>
    <w:rsid w:val="00055230"/>
    <w:rsid w:val="00055D70"/>
    <w:rsid w:val="000572A9"/>
    <w:rsid w:val="00061325"/>
    <w:rsid w:val="00061663"/>
    <w:rsid w:val="00062355"/>
    <w:rsid w:val="00063E4E"/>
    <w:rsid w:val="0006765D"/>
    <w:rsid w:val="0007078A"/>
    <w:rsid w:val="000733AC"/>
    <w:rsid w:val="00074B01"/>
    <w:rsid w:val="00074B81"/>
    <w:rsid w:val="00074D22"/>
    <w:rsid w:val="00075081"/>
    <w:rsid w:val="0007528A"/>
    <w:rsid w:val="00077B01"/>
    <w:rsid w:val="000811AB"/>
    <w:rsid w:val="000814BE"/>
    <w:rsid w:val="00081F72"/>
    <w:rsid w:val="00082739"/>
    <w:rsid w:val="00083C5F"/>
    <w:rsid w:val="0008403C"/>
    <w:rsid w:val="000861E7"/>
    <w:rsid w:val="000862A0"/>
    <w:rsid w:val="00086AB7"/>
    <w:rsid w:val="0009172C"/>
    <w:rsid w:val="000930EC"/>
    <w:rsid w:val="00094BDE"/>
    <w:rsid w:val="00095E61"/>
    <w:rsid w:val="000966C1"/>
    <w:rsid w:val="00096DE5"/>
    <w:rsid w:val="000970AC"/>
    <w:rsid w:val="000A0467"/>
    <w:rsid w:val="000A1167"/>
    <w:rsid w:val="000A1D70"/>
    <w:rsid w:val="000A2900"/>
    <w:rsid w:val="000A4428"/>
    <w:rsid w:val="000A4BDB"/>
    <w:rsid w:val="000A6D40"/>
    <w:rsid w:val="000A7BC3"/>
    <w:rsid w:val="000B1661"/>
    <w:rsid w:val="000B1F0B"/>
    <w:rsid w:val="000B2E88"/>
    <w:rsid w:val="000B38DE"/>
    <w:rsid w:val="000B4603"/>
    <w:rsid w:val="000C09BE"/>
    <w:rsid w:val="000C1380"/>
    <w:rsid w:val="000C4C7F"/>
    <w:rsid w:val="000C554F"/>
    <w:rsid w:val="000C74AB"/>
    <w:rsid w:val="000D0DC5"/>
    <w:rsid w:val="000D15FF"/>
    <w:rsid w:val="000D269D"/>
    <w:rsid w:val="000D28DF"/>
    <w:rsid w:val="000D39E4"/>
    <w:rsid w:val="000D488B"/>
    <w:rsid w:val="000D68DF"/>
    <w:rsid w:val="000D6B0B"/>
    <w:rsid w:val="000E138D"/>
    <w:rsid w:val="000E187A"/>
    <w:rsid w:val="000E2D61"/>
    <w:rsid w:val="000E2E8B"/>
    <w:rsid w:val="000E3DBC"/>
    <w:rsid w:val="000E450E"/>
    <w:rsid w:val="000E6259"/>
    <w:rsid w:val="000F3AC8"/>
    <w:rsid w:val="000F4677"/>
    <w:rsid w:val="000F49F4"/>
    <w:rsid w:val="000F5BE0"/>
    <w:rsid w:val="000F7754"/>
    <w:rsid w:val="000F7C50"/>
    <w:rsid w:val="00100587"/>
    <w:rsid w:val="0010284E"/>
    <w:rsid w:val="00103122"/>
    <w:rsid w:val="0010336A"/>
    <w:rsid w:val="001050F1"/>
    <w:rsid w:val="00105343"/>
    <w:rsid w:val="00105AEA"/>
    <w:rsid w:val="00105C0E"/>
    <w:rsid w:val="00106DAF"/>
    <w:rsid w:val="0010700C"/>
    <w:rsid w:val="00114ABE"/>
    <w:rsid w:val="00115672"/>
    <w:rsid w:val="00116023"/>
    <w:rsid w:val="001175F6"/>
    <w:rsid w:val="001209D1"/>
    <w:rsid w:val="001233CD"/>
    <w:rsid w:val="00124706"/>
    <w:rsid w:val="001349F6"/>
    <w:rsid w:val="00134A51"/>
    <w:rsid w:val="001350E6"/>
    <w:rsid w:val="00140092"/>
    <w:rsid w:val="00140727"/>
    <w:rsid w:val="001408F5"/>
    <w:rsid w:val="001428B6"/>
    <w:rsid w:val="00145B6D"/>
    <w:rsid w:val="001478D5"/>
    <w:rsid w:val="00150C00"/>
    <w:rsid w:val="0015630C"/>
    <w:rsid w:val="00160628"/>
    <w:rsid w:val="00161344"/>
    <w:rsid w:val="00162195"/>
    <w:rsid w:val="0016322A"/>
    <w:rsid w:val="00163446"/>
    <w:rsid w:val="00165A21"/>
    <w:rsid w:val="00167B1D"/>
    <w:rsid w:val="001705CE"/>
    <w:rsid w:val="00171D80"/>
    <w:rsid w:val="001738DA"/>
    <w:rsid w:val="0017714B"/>
    <w:rsid w:val="00177F66"/>
    <w:rsid w:val="001803BE"/>
    <w:rsid w:val="001804DF"/>
    <w:rsid w:val="00181BDC"/>
    <w:rsid w:val="00181DB0"/>
    <w:rsid w:val="001829E3"/>
    <w:rsid w:val="0018381E"/>
    <w:rsid w:val="00187E75"/>
    <w:rsid w:val="001924C0"/>
    <w:rsid w:val="00192C0D"/>
    <w:rsid w:val="00192EA3"/>
    <w:rsid w:val="00193C50"/>
    <w:rsid w:val="001944A5"/>
    <w:rsid w:val="00195057"/>
    <w:rsid w:val="00197044"/>
    <w:rsid w:val="001972B6"/>
    <w:rsid w:val="0019731E"/>
    <w:rsid w:val="001A006F"/>
    <w:rsid w:val="001A09FE"/>
    <w:rsid w:val="001A291B"/>
    <w:rsid w:val="001A5540"/>
    <w:rsid w:val="001A5A1E"/>
    <w:rsid w:val="001A6750"/>
    <w:rsid w:val="001A67C9"/>
    <w:rsid w:val="001A69DE"/>
    <w:rsid w:val="001A713C"/>
    <w:rsid w:val="001B1C7C"/>
    <w:rsid w:val="001B3160"/>
    <w:rsid w:val="001B398F"/>
    <w:rsid w:val="001B46C6"/>
    <w:rsid w:val="001B4B48"/>
    <w:rsid w:val="001B4D1F"/>
    <w:rsid w:val="001B7681"/>
    <w:rsid w:val="001B7CAE"/>
    <w:rsid w:val="001C0772"/>
    <w:rsid w:val="001C0D4F"/>
    <w:rsid w:val="001C1BA3"/>
    <w:rsid w:val="001C1DEC"/>
    <w:rsid w:val="001C2396"/>
    <w:rsid w:val="001C5736"/>
    <w:rsid w:val="001C7A02"/>
    <w:rsid w:val="001D647F"/>
    <w:rsid w:val="001D6857"/>
    <w:rsid w:val="001E0572"/>
    <w:rsid w:val="001E0A67"/>
    <w:rsid w:val="001E1028"/>
    <w:rsid w:val="001E14E2"/>
    <w:rsid w:val="001E6302"/>
    <w:rsid w:val="001E7682"/>
    <w:rsid w:val="001E7DCB"/>
    <w:rsid w:val="001F167A"/>
    <w:rsid w:val="001F3411"/>
    <w:rsid w:val="001F3A27"/>
    <w:rsid w:val="001F4287"/>
    <w:rsid w:val="001F4DBA"/>
    <w:rsid w:val="0020415E"/>
    <w:rsid w:val="00204FF4"/>
    <w:rsid w:val="00205F00"/>
    <w:rsid w:val="0021056E"/>
    <w:rsid w:val="0021075D"/>
    <w:rsid w:val="0021165A"/>
    <w:rsid w:val="00211BC9"/>
    <w:rsid w:val="002136C2"/>
    <w:rsid w:val="00213D83"/>
    <w:rsid w:val="002142F2"/>
    <w:rsid w:val="0021511F"/>
    <w:rsid w:val="0021620C"/>
    <w:rsid w:val="00216E78"/>
    <w:rsid w:val="00217275"/>
    <w:rsid w:val="0022507E"/>
    <w:rsid w:val="00227CDC"/>
    <w:rsid w:val="0023153A"/>
    <w:rsid w:val="00235D96"/>
    <w:rsid w:val="00236004"/>
    <w:rsid w:val="00236F4B"/>
    <w:rsid w:val="0023714C"/>
    <w:rsid w:val="00237D8E"/>
    <w:rsid w:val="00242B0D"/>
    <w:rsid w:val="00245A6D"/>
    <w:rsid w:val="002467C6"/>
    <w:rsid w:val="0024692A"/>
    <w:rsid w:val="00252BBA"/>
    <w:rsid w:val="00253123"/>
    <w:rsid w:val="002542BB"/>
    <w:rsid w:val="00264001"/>
    <w:rsid w:val="00265618"/>
    <w:rsid w:val="00266354"/>
    <w:rsid w:val="00266547"/>
    <w:rsid w:val="00267A18"/>
    <w:rsid w:val="00270539"/>
    <w:rsid w:val="002714F6"/>
    <w:rsid w:val="0027271C"/>
    <w:rsid w:val="00273462"/>
    <w:rsid w:val="0027395B"/>
    <w:rsid w:val="00274EE3"/>
    <w:rsid w:val="00275854"/>
    <w:rsid w:val="002834B7"/>
    <w:rsid w:val="00283B41"/>
    <w:rsid w:val="00284814"/>
    <w:rsid w:val="00284BC8"/>
    <w:rsid w:val="00285F28"/>
    <w:rsid w:val="00286398"/>
    <w:rsid w:val="00286F8A"/>
    <w:rsid w:val="00290776"/>
    <w:rsid w:val="00295B1A"/>
    <w:rsid w:val="00295B98"/>
    <w:rsid w:val="002A0780"/>
    <w:rsid w:val="002A0E30"/>
    <w:rsid w:val="002A2EB3"/>
    <w:rsid w:val="002A3853"/>
    <w:rsid w:val="002A3C42"/>
    <w:rsid w:val="002A4329"/>
    <w:rsid w:val="002A5D75"/>
    <w:rsid w:val="002A70F9"/>
    <w:rsid w:val="002A7C9C"/>
    <w:rsid w:val="002B1848"/>
    <w:rsid w:val="002B1A2D"/>
    <w:rsid w:val="002B1B1A"/>
    <w:rsid w:val="002B6762"/>
    <w:rsid w:val="002B6CE4"/>
    <w:rsid w:val="002B7228"/>
    <w:rsid w:val="002C079F"/>
    <w:rsid w:val="002C083D"/>
    <w:rsid w:val="002C1165"/>
    <w:rsid w:val="002C1858"/>
    <w:rsid w:val="002C488C"/>
    <w:rsid w:val="002C53EE"/>
    <w:rsid w:val="002D0DA3"/>
    <w:rsid w:val="002D17B9"/>
    <w:rsid w:val="002D24F7"/>
    <w:rsid w:val="002D2799"/>
    <w:rsid w:val="002D2CD7"/>
    <w:rsid w:val="002D4DDC"/>
    <w:rsid w:val="002D4F75"/>
    <w:rsid w:val="002D58C6"/>
    <w:rsid w:val="002D6493"/>
    <w:rsid w:val="002D73A5"/>
    <w:rsid w:val="002D7AB6"/>
    <w:rsid w:val="002E06D0"/>
    <w:rsid w:val="002E085C"/>
    <w:rsid w:val="002E3C27"/>
    <w:rsid w:val="002E403A"/>
    <w:rsid w:val="002E59D8"/>
    <w:rsid w:val="002E7F3A"/>
    <w:rsid w:val="002F1D8D"/>
    <w:rsid w:val="002F3708"/>
    <w:rsid w:val="002F4EDB"/>
    <w:rsid w:val="002F5CF4"/>
    <w:rsid w:val="002F6054"/>
    <w:rsid w:val="002F709A"/>
    <w:rsid w:val="003030F3"/>
    <w:rsid w:val="00303B08"/>
    <w:rsid w:val="00303B84"/>
    <w:rsid w:val="00304638"/>
    <w:rsid w:val="00307B34"/>
    <w:rsid w:val="00310E13"/>
    <w:rsid w:val="00311CA4"/>
    <w:rsid w:val="00313AB0"/>
    <w:rsid w:val="00315713"/>
    <w:rsid w:val="0031686C"/>
    <w:rsid w:val="00316FE0"/>
    <w:rsid w:val="003204D2"/>
    <w:rsid w:val="00322B02"/>
    <w:rsid w:val="00322B3F"/>
    <w:rsid w:val="003231E5"/>
    <w:rsid w:val="00324CD5"/>
    <w:rsid w:val="0032605E"/>
    <w:rsid w:val="003275D1"/>
    <w:rsid w:val="00330B2A"/>
    <w:rsid w:val="00331D08"/>
    <w:rsid w:val="00331E17"/>
    <w:rsid w:val="00333063"/>
    <w:rsid w:val="00333689"/>
    <w:rsid w:val="00333F05"/>
    <w:rsid w:val="0033651F"/>
    <w:rsid w:val="00337DE7"/>
    <w:rsid w:val="0034080F"/>
    <w:rsid w:val="003408E3"/>
    <w:rsid w:val="00343480"/>
    <w:rsid w:val="003458E6"/>
    <w:rsid w:val="00345E89"/>
    <w:rsid w:val="00347ADF"/>
    <w:rsid w:val="003522A1"/>
    <w:rsid w:val="00352327"/>
    <w:rsid w:val="0035254B"/>
    <w:rsid w:val="0035258C"/>
    <w:rsid w:val="00352ED1"/>
    <w:rsid w:val="00353555"/>
    <w:rsid w:val="00355D0B"/>
    <w:rsid w:val="003565D4"/>
    <w:rsid w:val="00360489"/>
    <w:rsid w:val="003607FB"/>
    <w:rsid w:val="00360FD5"/>
    <w:rsid w:val="003632F2"/>
    <w:rsid w:val="0036340D"/>
    <w:rsid w:val="003634A5"/>
    <w:rsid w:val="00366868"/>
    <w:rsid w:val="00367506"/>
    <w:rsid w:val="00370085"/>
    <w:rsid w:val="00371263"/>
    <w:rsid w:val="0037218B"/>
    <w:rsid w:val="003744A7"/>
    <w:rsid w:val="00376235"/>
    <w:rsid w:val="00376C2B"/>
    <w:rsid w:val="00381FB6"/>
    <w:rsid w:val="003836D3"/>
    <w:rsid w:val="00383A52"/>
    <w:rsid w:val="00391652"/>
    <w:rsid w:val="00394A2D"/>
    <w:rsid w:val="0039507F"/>
    <w:rsid w:val="00395689"/>
    <w:rsid w:val="00396717"/>
    <w:rsid w:val="00396DDD"/>
    <w:rsid w:val="00397D1C"/>
    <w:rsid w:val="003A02AC"/>
    <w:rsid w:val="003A1260"/>
    <w:rsid w:val="003A16F1"/>
    <w:rsid w:val="003A211B"/>
    <w:rsid w:val="003A295F"/>
    <w:rsid w:val="003A3FDA"/>
    <w:rsid w:val="003A41DD"/>
    <w:rsid w:val="003A7033"/>
    <w:rsid w:val="003B13FF"/>
    <w:rsid w:val="003B33EC"/>
    <w:rsid w:val="003B47FE"/>
    <w:rsid w:val="003B5673"/>
    <w:rsid w:val="003B6287"/>
    <w:rsid w:val="003B62C9"/>
    <w:rsid w:val="003B68E4"/>
    <w:rsid w:val="003B7FA4"/>
    <w:rsid w:val="003C09FC"/>
    <w:rsid w:val="003C2BBD"/>
    <w:rsid w:val="003C2C00"/>
    <w:rsid w:val="003C7176"/>
    <w:rsid w:val="003D0929"/>
    <w:rsid w:val="003D1A3F"/>
    <w:rsid w:val="003D1F80"/>
    <w:rsid w:val="003D4729"/>
    <w:rsid w:val="003D5811"/>
    <w:rsid w:val="003D63C6"/>
    <w:rsid w:val="003D7BDB"/>
    <w:rsid w:val="003D7DD6"/>
    <w:rsid w:val="003E0FE7"/>
    <w:rsid w:val="003E1B81"/>
    <w:rsid w:val="003E5AAF"/>
    <w:rsid w:val="003E600D"/>
    <w:rsid w:val="003E64DF"/>
    <w:rsid w:val="003E6A5D"/>
    <w:rsid w:val="003F0685"/>
    <w:rsid w:val="003F193A"/>
    <w:rsid w:val="003F4025"/>
    <w:rsid w:val="003F4207"/>
    <w:rsid w:val="003F51FE"/>
    <w:rsid w:val="003F5C46"/>
    <w:rsid w:val="003F716C"/>
    <w:rsid w:val="003F7CBB"/>
    <w:rsid w:val="003F7D34"/>
    <w:rsid w:val="00411F9D"/>
    <w:rsid w:val="00412C8E"/>
    <w:rsid w:val="00413773"/>
    <w:rsid w:val="0041518D"/>
    <w:rsid w:val="00415627"/>
    <w:rsid w:val="004167AF"/>
    <w:rsid w:val="00421A1F"/>
    <w:rsid w:val="0042221D"/>
    <w:rsid w:val="00423938"/>
    <w:rsid w:val="00424068"/>
    <w:rsid w:val="00424DD3"/>
    <w:rsid w:val="00425D80"/>
    <w:rsid w:val="004269C5"/>
    <w:rsid w:val="00435939"/>
    <w:rsid w:val="004373D4"/>
    <w:rsid w:val="00437A13"/>
    <w:rsid w:val="00437CC7"/>
    <w:rsid w:val="00440657"/>
    <w:rsid w:val="00441021"/>
    <w:rsid w:val="00442B9C"/>
    <w:rsid w:val="004440FD"/>
    <w:rsid w:val="00445E0B"/>
    <w:rsid w:val="00445EFA"/>
    <w:rsid w:val="00446881"/>
    <w:rsid w:val="0044738A"/>
    <w:rsid w:val="004473D3"/>
    <w:rsid w:val="00447892"/>
    <w:rsid w:val="0044796F"/>
    <w:rsid w:val="00447F68"/>
    <w:rsid w:val="004506B5"/>
    <w:rsid w:val="004506B7"/>
    <w:rsid w:val="00451C27"/>
    <w:rsid w:val="00452231"/>
    <w:rsid w:val="0045369A"/>
    <w:rsid w:val="00454209"/>
    <w:rsid w:val="004555B4"/>
    <w:rsid w:val="00456826"/>
    <w:rsid w:val="00457CED"/>
    <w:rsid w:val="00460C13"/>
    <w:rsid w:val="00463228"/>
    <w:rsid w:val="00463342"/>
    <w:rsid w:val="00463782"/>
    <w:rsid w:val="004667E0"/>
    <w:rsid w:val="0046760E"/>
    <w:rsid w:val="00470E10"/>
    <w:rsid w:val="00471175"/>
    <w:rsid w:val="00473539"/>
    <w:rsid w:val="00473EF6"/>
    <w:rsid w:val="0047435A"/>
    <w:rsid w:val="00477A97"/>
    <w:rsid w:val="00481343"/>
    <w:rsid w:val="00481493"/>
    <w:rsid w:val="00483FD2"/>
    <w:rsid w:val="0048549E"/>
    <w:rsid w:val="004858AF"/>
    <w:rsid w:val="004866C1"/>
    <w:rsid w:val="00490217"/>
    <w:rsid w:val="0049215D"/>
    <w:rsid w:val="00493347"/>
    <w:rsid w:val="00496092"/>
    <w:rsid w:val="00496B31"/>
    <w:rsid w:val="00496F10"/>
    <w:rsid w:val="004A08DB"/>
    <w:rsid w:val="004A25D0"/>
    <w:rsid w:val="004A37E8"/>
    <w:rsid w:val="004A4DD0"/>
    <w:rsid w:val="004A7549"/>
    <w:rsid w:val="004B09D4"/>
    <w:rsid w:val="004B0DDB"/>
    <w:rsid w:val="004B309D"/>
    <w:rsid w:val="004B330A"/>
    <w:rsid w:val="004B4B50"/>
    <w:rsid w:val="004B7C8E"/>
    <w:rsid w:val="004B7F02"/>
    <w:rsid w:val="004C0C08"/>
    <w:rsid w:val="004C2A7A"/>
    <w:rsid w:val="004C3D3C"/>
    <w:rsid w:val="004C7A88"/>
    <w:rsid w:val="004D0EDC"/>
    <w:rsid w:val="004D1220"/>
    <w:rsid w:val="004D14B3"/>
    <w:rsid w:val="004D1529"/>
    <w:rsid w:val="004D2253"/>
    <w:rsid w:val="004D5514"/>
    <w:rsid w:val="004D56C3"/>
    <w:rsid w:val="004E0338"/>
    <w:rsid w:val="004E0468"/>
    <w:rsid w:val="004E08B9"/>
    <w:rsid w:val="004E4E0D"/>
    <w:rsid w:val="004E4FF3"/>
    <w:rsid w:val="004E56A8"/>
    <w:rsid w:val="004E5937"/>
    <w:rsid w:val="004E5ECD"/>
    <w:rsid w:val="004F2CC7"/>
    <w:rsid w:val="004F3B55"/>
    <w:rsid w:val="004F4E46"/>
    <w:rsid w:val="004F6B7D"/>
    <w:rsid w:val="005015F6"/>
    <w:rsid w:val="00501B84"/>
    <w:rsid w:val="005030C4"/>
    <w:rsid w:val="005031C5"/>
    <w:rsid w:val="00504133"/>
    <w:rsid w:val="00504FDC"/>
    <w:rsid w:val="0050534D"/>
    <w:rsid w:val="00510920"/>
    <w:rsid w:val="005120CC"/>
    <w:rsid w:val="00512B7B"/>
    <w:rsid w:val="00513B04"/>
    <w:rsid w:val="00514EA1"/>
    <w:rsid w:val="0051623D"/>
    <w:rsid w:val="0051798B"/>
    <w:rsid w:val="00521AC6"/>
    <w:rsid w:val="00521F5A"/>
    <w:rsid w:val="0052515B"/>
    <w:rsid w:val="00525E06"/>
    <w:rsid w:val="00526454"/>
    <w:rsid w:val="0052756F"/>
    <w:rsid w:val="00530A1A"/>
    <w:rsid w:val="00531823"/>
    <w:rsid w:val="00534ECC"/>
    <w:rsid w:val="0053720D"/>
    <w:rsid w:val="0053721B"/>
    <w:rsid w:val="00540E4C"/>
    <w:rsid w:val="00540EF5"/>
    <w:rsid w:val="00541BF3"/>
    <w:rsid w:val="00541CD3"/>
    <w:rsid w:val="005424F3"/>
    <w:rsid w:val="00542F13"/>
    <w:rsid w:val="005476FA"/>
    <w:rsid w:val="00551C14"/>
    <w:rsid w:val="00553DE8"/>
    <w:rsid w:val="0055595E"/>
    <w:rsid w:val="0055638F"/>
    <w:rsid w:val="00556A30"/>
    <w:rsid w:val="00556A6E"/>
    <w:rsid w:val="00557988"/>
    <w:rsid w:val="00557C4F"/>
    <w:rsid w:val="00560A41"/>
    <w:rsid w:val="00561BFD"/>
    <w:rsid w:val="00562C49"/>
    <w:rsid w:val="00562DEF"/>
    <w:rsid w:val="0056321A"/>
    <w:rsid w:val="00563A35"/>
    <w:rsid w:val="00564EA0"/>
    <w:rsid w:val="00565B5A"/>
    <w:rsid w:val="00566596"/>
    <w:rsid w:val="005706AA"/>
    <w:rsid w:val="00572426"/>
    <w:rsid w:val="005741E9"/>
    <w:rsid w:val="005748CF"/>
    <w:rsid w:val="0057622B"/>
    <w:rsid w:val="0058102A"/>
    <w:rsid w:val="00584270"/>
    <w:rsid w:val="00584738"/>
    <w:rsid w:val="0058733C"/>
    <w:rsid w:val="005920B0"/>
    <w:rsid w:val="00592E91"/>
    <w:rsid w:val="0059380D"/>
    <w:rsid w:val="005939B8"/>
    <w:rsid w:val="00594949"/>
    <w:rsid w:val="00595A8F"/>
    <w:rsid w:val="005977C2"/>
    <w:rsid w:val="00597BF2"/>
    <w:rsid w:val="005A0556"/>
    <w:rsid w:val="005A0712"/>
    <w:rsid w:val="005A5838"/>
    <w:rsid w:val="005B134E"/>
    <w:rsid w:val="005B2039"/>
    <w:rsid w:val="005B2D04"/>
    <w:rsid w:val="005B344F"/>
    <w:rsid w:val="005B3FBA"/>
    <w:rsid w:val="005B4A1D"/>
    <w:rsid w:val="005B4EE0"/>
    <w:rsid w:val="005B674D"/>
    <w:rsid w:val="005C0261"/>
    <w:rsid w:val="005C0B96"/>
    <w:rsid w:val="005C0C24"/>
    <w:rsid w:val="005C0CBE"/>
    <w:rsid w:val="005C1718"/>
    <w:rsid w:val="005C1FCF"/>
    <w:rsid w:val="005C2743"/>
    <w:rsid w:val="005C2D56"/>
    <w:rsid w:val="005C777D"/>
    <w:rsid w:val="005D0F8A"/>
    <w:rsid w:val="005D1885"/>
    <w:rsid w:val="005D4A38"/>
    <w:rsid w:val="005D6DFB"/>
    <w:rsid w:val="005E037D"/>
    <w:rsid w:val="005E2EEA"/>
    <w:rsid w:val="005E3708"/>
    <w:rsid w:val="005E3CCD"/>
    <w:rsid w:val="005E3D6B"/>
    <w:rsid w:val="005E55C2"/>
    <w:rsid w:val="005E57C6"/>
    <w:rsid w:val="005E5B55"/>
    <w:rsid w:val="005E5E4A"/>
    <w:rsid w:val="005E693D"/>
    <w:rsid w:val="005E75BF"/>
    <w:rsid w:val="005F2014"/>
    <w:rsid w:val="005F331E"/>
    <w:rsid w:val="005F57BA"/>
    <w:rsid w:val="005F61E6"/>
    <w:rsid w:val="005F6C45"/>
    <w:rsid w:val="006002F0"/>
    <w:rsid w:val="00601144"/>
    <w:rsid w:val="00602062"/>
    <w:rsid w:val="00602BA0"/>
    <w:rsid w:val="00605A69"/>
    <w:rsid w:val="00606C54"/>
    <w:rsid w:val="006105B7"/>
    <w:rsid w:val="006107A2"/>
    <w:rsid w:val="006113F0"/>
    <w:rsid w:val="00614375"/>
    <w:rsid w:val="0061479E"/>
    <w:rsid w:val="0061485F"/>
    <w:rsid w:val="00615472"/>
    <w:rsid w:val="00615B0A"/>
    <w:rsid w:val="0061649A"/>
    <w:rsid w:val="006168CF"/>
    <w:rsid w:val="0062011B"/>
    <w:rsid w:val="0062135A"/>
    <w:rsid w:val="00626DE0"/>
    <w:rsid w:val="00626EE4"/>
    <w:rsid w:val="00630901"/>
    <w:rsid w:val="006312E0"/>
    <w:rsid w:val="00631F8E"/>
    <w:rsid w:val="00634306"/>
    <w:rsid w:val="00635BA7"/>
    <w:rsid w:val="00636EE9"/>
    <w:rsid w:val="00637BFF"/>
    <w:rsid w:val="00640950"/>
    <w:rsid w:val="00641AE7"/>
    <w:rsid w:val="006425F4"/>
    <w:rsid w:val="00642629"/>
    <w:rsid w:val="006445AB"/>
    <w:rsid w:val="00646080"/>
    <w:rsid w:val="0065293D"/>
    <w:rsid w:val="00653EFC"/>
    <w:rsid w:val="00654021"/>
    <w:rsid w:val="00661045"/>
    <w:rsid w:val="00666DA8"/>
    <w:rsid w:val="00671057"/>
    <w:rsid w:val="00671C13"/>
    <w:rsid w:val="00674ABA"/>
    <w:rsid w:val="00675AAF"/>
    <w:rsid w:val="0068031A"/>
    <w:rsid w:val="00681B2F"/>
    <w:rsid w:val="0068335F"/>
    <w:rsid w:val="0068412D"/>
    <w:rsid w:val="0068690F"/>
    <w:rsid w:val="0068711E"/>
    <w:rsid w:val="00687217"/>
    <w:rsid w:val="0069208F"/>
    <w:rsid w:val="00693302"/>
    <w:rsid w:val="00695EC5"/>
    <w:rsid w:val="0069640B"/>
    <w:rsid w:val="006A18F2"/>
    <w:rsid w:val="006A1B83"/>
    <w:rsid w:val="006A21CD"/>
    <w:rsid w:val="006A2605"/>
    <w:rsid w:val="006A43F6"/>
    <w:rsid w:val="006A5918"/>
    <w:rsid w:val="006B21B2"/>
    <w:rsid w:val="006B252C"/>
    <w:rsid w:val="006B4A4A"/>
    <w:rsid w:val="006B5E6F"/>
    <w:rsid w:val="006C0D8A"/>
    <w:rsid w:val="006C19B2"/>
    <w:rsid w:val="006C4409"/>
    <w:rsid w:val="006C4F5E"/>
    <w:rsid w:val="006C5BB8"/>
    <w:rsid w:val="006C6582"/>
    <w:rsid w:val="006C6936"/>
    <w:rsid w:val="006C7B01"/>
    <w:rsid w:val="006C7CAF"/>
    <w:rsid w:val="006C7F1E"/>
    <w:rsid w:val="006D0FE8"/>
    <w:rsid w:val="006D1D34"/>
    <w:rsid w:val="006D22E6"/>
    <w:rsid w:val="006D4B2B"/>
    <w:rsid w:val="006D4F3C"/>
    <w:rsid w:val="006D5C66"/>
    <w:rsid w:val="006D7ED2"/>
    <w:rsid w:val="006E1B3C"/>
    <w:rsid w:val="006E1F6C"/>
    <w:rsid w:val="006E23FB"/>
    <w:rsid w:val="006E325A"/>
    <w:rsid w:val="006E33EC"/>
    <w:rsid w:val="006E3802"/>
    <w:rsid w:val="006E5B00"/>
    <w:rsid w:val="006E658D"/>
    <w:rsid w:val="006E6C02"/>
    <w:rsid w:val="006E7A87"/>
    <w:rsid w:val="006F1D79"/>
    <w:rsid w:val="006F231A"/>
    <w:rsid w:val="006F3182"/>
    <w:rsid w:val="006F6527"/>
    <w:rsid w:val="006F6B55"/>
    <w:rsid w:val="006F788D"/>
    <w:rsid w:val="006F78E1"/>
    <w:rsid w:val="00700650"/>
    <w:rsid w:val="00700E98"/>
    <w:rsid w:val="00701072"/>
    <w:rsid w:val="00702054"/>
    <w:rsid w:val="00703492"/>
    <w:rsid w:val="007035A4"/>
    <w:rsid w:val="00710290"/>
    <w:rsid w:val="00711799"/>
    <w:rsid w:val="00712B78"/>
    <w:rsid w:val="0071393B"/>
    <w:rsid w:val="00713EE2"/>
    <w:rsid w:val="00715853"/>
    <w:rsid w:val="007177FC"/>
    <w:rsid w:val="00720AE5"/>
    <w:rsid w:val="00720C5E"/>
    <w:rsid w:val="00720F9F"/>
    <w:rsid w:val="00721701"/>
    <w:rsid w:val="007221A3"/>
    <w:rsid w:val="0072712E"/>
    <w:rsid w:val="00731835"/>
    <w:rsid w:val="007341F8"/>
    <w:rsid w:val="00734372"/>
    <w:rsid w:val="00734EB8"/>
    <w:rsid w:val="00735107"/>
    <w:rsid w:val="00735F8B"/>
    <w:rsid w:val="00737D4A"/>
    <w:rsid w:val="00742D1F"/>
    <w:rsid w:val="00743EBA"/>
    <w:rsid w:val="00744C8E"/>
    <w:rsid w:val="00746952"/>
    <w:rsid w:val="0074707E"/>
    <w:rsid w:val="0075020D"/>
    <w:rsid w:val="007516DC"/>
    <w:rsid w:val="007520DB"/>
    <w:rsid w:val="00752650"/>
    <w:rsid w:val="00752E58"/>
    <w:rsid w:val="00754B80"/>
    <w:rsid w:val="00761918"/>
    <w:rsid w:val="00762554"/>
    <w:rsid w:val="00762F03"/>
    <w:rsid w:val="00763ACA"/>
    <w:rsid w:val="0076413B"/>
    <w:rsid w:val="007648AE"/>
    <w:rsid w:val="00764BF8"/>
    <w:rsid w:val="0076514D"/>
    <w:rsid w:val="007669BD"/>
    <w:rsid w:val="00773038"/>
    <w:rsid w:val="00773D59"/>
    <w:rsid w:val="007741F9"/>
    <w:rsid w:val="0077596D"/>
    <w:rsid w:val="00776758"/>
    <w:rsid w:val="00780BD9"/>
    <w:rsid w:val="00781003"/>
    <w:rsid w:val="00784F90"/>
    <w:rsid w:val="00787A87"/>
    <w:rsid w:val="007911FD"/>
    <w:rsid w:val="00791C80"/>
    <w:rsid w:val="00792935"/>
    <w:rsid w:val="00792AC9"/>
    <w:rsid w:val="00793930"/>
    <w:rsid w:val="00793DD1"/>
    <w:rsid w:val="00794FEC"/>
    <w:rsid w:val="00795800"/>
    <w:rsid w:val="007976F8"/>
    <w:rsid w:val="007A003E"/>
    <w:rsid w:val="007A0E69"/>
    <w:rsid w:val="007A101C"/>
    <w:rsid w:val="007A1965"/>
    <w:rsid w:val="007A1B6B"/>
    <w:rsid w:val="007A2ED1"/>
    <w:rsid w:val="007A4BE6"/>
    <w:rsid w:val="007A52FC"/>
    <w:rsid w:val="007B04A8"/>
    <w:rsid w:val="007B0865"/>
    <w:rsid w:val="007B0DC6"/>
    <w:rsid w:val="007B1094"/>
    <w:rsid w:val="007B1382"/>
    <w:rsid w:val="007B1762"/>
    <w:rsid w:val="007B3320"/>
    <w:rsid w:val="007B7ABF"/>
    <w:rsid w:val="007C301F"/>
    <w:rsid w:val="007C37B6"/>
    <w:rsid w:val="007C4540"/>
    <w:rsid w:val="007C65AF"/>
    <w:rsid w:val="007C7CA8"/>
    <w:rsid w:val="007D135D"/>
    <w:rsid w:val="007D4106"/>
    <w:rsid w:val="007D6052"/>
    <w:rsid w:val="007D730F"/>
    <w:rsid w:val="007D7CD8"/>
    <w:rsid w:val="007E2F8E"/>
    <w:rsid w:val="007E3AA7"/>
    <w:rsid w:val="007F304B"/>
    <w:rsid w:val="007F3268"/>
    <w:rsid w:val="007F676F"/>
    <w:rsid w:val="007F737D"/>
    <w:rsid w:val="0080308E"/>
    <w:rsid w:val="008035D9"/>
    <w:rsid w:val="00805303"/>
    <w:rsid w:val="00806705"/>
    <w:rsid w:val="00806738"/>
    <w:rsid w:val="0082077A"/>
    <w:rsid w:val="0082089C"/>
    <w:rsid w:val="008216D5"/>
    <w:rsid w:val="00822F50"/>
    <w:rsid w:val="0082365F"/>
    <w:rsid w:val="00823B88"/>
    <w:rsid w:val="008249CE"/>
    <w:rsid w:val="00825CEB"/>
    <w:rsid w:val="00831A50"/>
    <w:rsid w:val="00831B3C"/>
    <w:rsid w:val="00831C89"/>
    <w:rsid w:val="00832114"/>
    <w:rsid w:val="00832BB5"/>
    <w:rsid w:val="00834C46"/>
    <w:rsid w:val="00837FE8"/>
    <w:rsid w:val="00840256"/>
    <w:rsid w:val="0084093E"/>
    <w:rsid w:val="00841CE1"/>
    <w:rsid w:val="008445CA"/>
    <w:rsid w:val="0084643A"/>
    <w:rsid w:val="008472B0"/>
    <w:rsid w:val="008473D8"/>
    <w:rsid w:val="00850E64"/>
    <w:rsid w:val="00851AA5"/>
    <w:rsid w:val="00851C03"/>
    <w:rsid w:val="008528DC"/>
    <w:rsid w:val="00852B8C"/>
    <w:rsid w:val="00852DD9"/>
    <w:rsid w:val="00852EDE"/>
    <w:rsid w:val="00854981"/>
    <w:rsid w:val="00860FAA"/>
    <w:rsid w:val="00863160"/>
    <w:rsid w:val="0086339E"/>
    <w:rsid w:val="00864B2E"/>
    <w:rsid w:val="00865963"/>
    <w:rsid w:val="0086651B"/>
    <w:rsid w:val="00870956"/>
    <w:rsid w:val="00871C1D"/>
    <w:rsid w:val="00872BE6"/>
    <w:rsid w:val="008730C2"/>
    <w:rsid w:val="00873355"/>
    <w:rsid w:val="0087450E"/>
    <w:rsid w:val="00875A4A"/>
    <w:rsid w:val="00875A82"/>
    <w:rsid w:val="00876CA3"/>
    <w:rsid w:val="008772FE"/>
    <w:rsid w:val="008775F1"/>
    <w:rsid w:val="00877AA3"/>
    <w:rsid w:val="00880F30"/>
    <w:rsid w:val="0088122E"/>
    <w:rsid w:val="008819DC"/>
    <w:rsid w:val="008821AE"/>
    <w:rsid w:val="00883D3A"/>
    <w:rsid w:val="008854F7"/>
    <w:rsid w:val="008859A9"/>
    <w:rsid w:val="00885A9D"/>
    <w:rsid w:val="008860CF"/>
    <w:rsid w:val="008929D2"/>
    <w:rsid w:val="00893636"/>
    <w:rsid w:val="00893B94"/>
    <w:rsid w:val="00896E9D"/>
    <w:rsid w:val="00896F11"/>
    <w:rsid w:val="008A1049"/>
    <w:rsid w:val="008A1C98"/>
    <w:rsid w:val="008A322D"/>
    <w:rsid w:val="008A32A4"/>
    <w:rsid w:val="008A443E"/>
    <w:rsid w:val="008A4D72"/>
    <w:rsid w:val="008A5139"/>
    <w:rsid w:val="008A6285"/>
    <w:rsid w:val="008A63B2"/>
    <w:rsid w:val="008B345D"/>
    <w:rsid w:val="008B40E6"/>
    <w:rsid w:val="008C1FC2"/>
    <w:rsid w:val="008C2980"/>
    <w:rsid w:val="008C37FE"/>
    <w:rsid w:val="008C4DD6"/>
    <w:rsid w:val="008C5AFB"/>
    <w:rsid w:val="008C6B85"/>
    <w:rsid w:val="008D0049"/>
    <w:rsid w:val="008D07FB"/>
    <w:rsid w:val="008D0C02"/>
    <w:rsid w:val="008D357D"/>
    <w:rsid w:val="008D3723"/>
    <w:rsid w:val="008D435A"/>
    <w:rsid w:val="008D4560"/>
    <w:rsid w:val="008D7849"/>
    <w:rsid w:val="008E13B3"/>
    <w:rsid w:val="008E1699"/>
    <w:rsid w:val="008E387B"/>
    <w:rsid w:val="008E4B03"/>
    <w:rsid w:val="008E6087"/>
    <w:rsid w:val="008E758D"/>
    <w:rsid w:val="008F10A7"/>
    <w:rsid w:val="008F2678"/>
    <w:rsid w:val="008F4938"/>
    <w:rsid w:val="008F54D0"/>
    <w:rsid w:val="008F623B"/>
    <w:rsid w:val="008F755D"/>
    <w:rsid w:val="008F7A39"/>
    <w:rsid w:val="008F7A9F"/>
    <w:rsid w:val="00900B60"/>
    <w:rsid w:val="009021E8"/>
    <w:rsid w:val="00904677"/>
    <w:rsid w:val="00905EE2"/>
    <w:rsid w:val="00911440"/>
    <w:rsid w:val="00911712"/>
    <w:rsid w:val="00911B27"/>
    <w:rsid w:val="00912154"/>
    <w:rsid w:val="009154A3"/>
    <w:rsid w:val="009170BE"/>
    <w:rsid w:val="00920B55"/>
    <w:rsid w:val="009262C9"/>
    <w:rsid w:val="00926E14"/>
    <w:rsid w:val="00930D0E"/>
    <w:rsid w:val="00930EB9"/>
    <w:rsid w:val="00933DC7"/>
    <w:rsid w:val="00935DF3"/>
    <w:rsid w:val="009363FC"/>
    <w:rsid w:val="0093675C"/>
    <w:rsid w:val="009418F4"/>
    <w:rsid w:val="00942BBC"/>
    <w:rsid w:val="00944180"/>
    <w:rsid w:val="00944AA0"/>
    <w:rsid w:val="00946305"/>
    <w:rsid w:val="00947DA2"/>
    <w:rsid w:val="00950F6B"/>
    <w:rsid w:val="00951177"/>
    <w:rsid w:val="00952DE7"/>
    <w:rsid w:val="00955B4C"/>
    <w:rsid w:val="00955F7D"/>
    <w:rsid w:val="0095729E"/>
    <w:rsid w:val="009579D2"/>
    <w:rsid w:val="009630DE"/>
    <w:rsid w:val="00964F09"/>
    <w:rsid w:val="009673E8"/>
    <w:rsid w:val="00967783"/>
    <w:rsid w:val="009678BC"/>
    <w:rsid w:val="0097072E"/>
    <w:rsid w:val="00972312"/>
    <w:rsid w:val="0097344E"/>
    <w:rsid w:val="00974DB8"/>
    <w:rsid w:val="00980661"/>
    <w:rsid w:val="0098093B"/>
    <w:rsid w:val="009847CD"/>
    <w:rsid w:val="009852D9"/>
    <w:rsid w:val="00985FF0"/>
    <w:rsid w:val="00986135"/>
    <w:rsid w:val="009876D4"/>
    <w:rsid w:val="00987778"/>
    <w:rsid w:val="00987C1C"/>
    <w:rsid w:val="009914A5"/>
    <w:rsid w:val="0099392C"/>
    <w:rsid w:val="0099548E"/>
    <w:rsid w:val="00996456"/>
    <w:rsid w:val="00996A12"/>
    <w:rsid w:val="00997B0F"/>
    <w:rsid w:val="009A0CC3"/>
    <w:rsid w:val="009A0EF7"/>
    <w:rsid w:val="009A1CAD"/>
    <w:rsid w:val="009A3440"/>
    <w:rsid w:val="009A35C3"/>
    <w:rsid w:val="009A45F9"/>
    <w:rsid w:val="009A4EC9"/>
    <w:rsid w:val="009A5832"/>
    <w:rsid w:val="009A6134"/>
    <w:rsid w:val="009A6838"/>
    <w:rsid w:val="009B24B5"/>
    <w:rsid w:val="009B3E4F"/>
    <w:rsid w:val="009B4EBC"/>
    <w:rsid w:val="009B5ABB"/>
    <w:rsid w:val="009B6332"/>
    <w:rsid w:val="009B73CE"/>
    <w:rsid w:val="009C0C84"/>
    <w:rsid w:val="009C2461"/>
    <w:rsid w:val="009C2503"/>
    <w:rsid w:val="009C2827"/>
    <w:rsid w:val="009C2D64"/>
    <w:rsid w:val="009C6FE2"/>
    <w:rsid w:val="009C7674"/>
    <w:rsid w:val="009D004A"/>
    <w:rsid w:val="009D0F43"/>
    <w:rsid w:val="009D48A7"/>
    <w:rsid w:val="009D5880"/>
    <w:rsid w:val="009D6A08"/>
    <w:rsid w:val="009E1FD4"/>
    <w:rsid w:val="009E3587"/>
    <w:rsid w:val="009E3B07"/>
    <w:rsid w:val="009E3E66"/>
    <w:rsid w:val="009E51D1"/>
    <w:rsid w:val="009E5531"/>
    <w:rsid w:val="009F171E"/>
    <w:rsid w:val="009F3CE3"/>
    <w:rsid w:val="009F3D2F"/>
    <w:rsid w:val="009F611C"/>
    <w:rsid w:val="009F6496"/>
    <w:rsid w:val="009F67F6"/>
    <w:rsid w:val="009F7052"/>
    <w:rsid w:val="00A00B81"/>
    <w:rsid w:val="00A01C2A"/>
    <w:rsid w:val="00A02668"/>
    <w:rsid w:val="00A02801"/>
    <w:rsid w:val="00A03AC3"/>
    <w:rsid w:val="00A04806"/>
    <w:rsid w:val="00A06A39"/>
    <w:rsid w:val="00A06D18"/>
    <w:rsid w:val="00A07F58"/>
    <w:rsid w:val="00A11F9A"/>
    <w:rsid w:val="00A1200F"/>
    <w:rsid w:val="00A131CB"/>
    <w:rsid w:val="00A14847"/>
    <w:rsid w:val="00A16D6D"/>
    <w:rsid w:val="00A20518"/>
    <w:rsid w:val="00A21383"/>
    <w:rsid w:val="00A2199F"/>
    <w:rsid w:val="00A21B31"/>
    <w:rsid w:val="00A2360E"/>
    <w:rsid w:val="00A24F74"/>
    <w:rsid w:val="00A26E0C"/>
    <w:rsid w:val="00A30E03"/>
    <w:rsid w:val="00A32003"/>
    <w:rsid w:val="00A32FCB"/>
    <w:rsid w:val="00A34C25"/>
    <w:rsid w:val="00A3507D"/>
    <w:rsid w:val="00A36121"/>
    <w:rsid w:val="00A36774"/>
    <w:rsid w:val="00A3717A"/>
    <w:rsid w:val="00A4088C"/>
    <w:rsid w:val="00A4456B"/>
    <w:rsid w:val="00A445BA"/>
    <w:rsid w:val="00A448D4"/>
    <w:rsid w:val="00A452E0"/>
    <w:rsid w:val="00A45512"/>
    <w:rsid w:val="00A4576B"/>
    <w:rsid w:val="00A45FCC"/>
    <w:rsid w:val="00A511D1"/>
    <w:rsid w:val="00A51EA5"/>
    <w:rsid w:val="00A52268"/>
    <w:rsid w:val="00A53742"/>
    <w:rsid w:val="00A54342"/>
    <w:rsid w:val="00A557A1"/>
    <w:rsid w:val="00A55851"/>
    <w:rsid w:val="00A63059"/>
    <w:rsid w:val="00A63AE3"/>
    <w:rsid w:val="00A64BA4"/>
    <w:rsid w:val="00A651A4"/>
    <w:rsid w:val="00A675C4"/>
    <w:rsid w:val="00A71361"/>
    <w:rsid w:val="00A746E2"/>
    <w:rsid w:val="00A76EAC"/>
    <w:rsid w:val="00A81474"/>
    <w:rsid w:val="00A81714"/>
    <w:rsid w:val="00A81FF2"/>
    <w:rsid w:val="00A8233D"/>
    <w:rsid w:val="00A83904"/>
    <w:rsid w:val="00A849AF"/>
    <w:rsid w:val="00A84B2C"/>
    <w:rsid w:val="00A8746E"/>
    <w:rsid w:val="00A90A79"/>
    <w:rsid w:val="00A94AA6"/>
    <w:rsid w:val="00A96B30"/>
    <w:rsid w:val="00A97683"/>
    <w:rsid w:val="00AA016A"/>
    <w:rsid w:val="00AA404A"/>
    <w:rsid w:val="00AA4C33"/>
    <w:rsid w:val="00AA59B5"/>
    <w:rsid w:val="00AA5A70"/>
    <w:rsid w:val="00AA606A"/>
    <w:rsid w:val="00AA7777"/>
    <w:rsid w:val="00AA7B84"/>
    <w:rsid w:val="00AB0247"/>
    <w:rsid w:val="00AB6298"/>
    <w:rsid w:val="00AB6E36"/>
    <w:rsid w:val="00AB7497"/>
    <w:rsid w:val="00AC0B4C"/>
    <w:rsid w:val="00AC1164"/>
    <w:rsid w:val="00AC2296"/>
    <w:rsid w:val="00AC247A"/>
    <w:rsid w:val="00AC2754"/>
    <w:rsid w:val="00AC48B0"/>
    <w:rsid w:val="00AC4ACD"/>
    <w:rsid w:val="00AC5679"/>
    <w:rsid w:val="00AC5DFB"/>
    <w:rsid w:val="00AC7038"/>
    <w:rsid w:val="00AD13DC"/>
    <w:rsid w:val="00AD451D"/>
    <w:rsid w:val="00AD691B"/>
    <w:rsid w:val="00AD6DE2"/>
    <w:rsid w:val="00AE0A40"/>
    <w:rsid w:val="00AE1ED4"/>
    <w:rsid w:val="00AE21E1"/>
    <w:rsid w:val="00AE2F8D"/>
    <w:rsid w:val="00AE3BAE"/>
    <w:rsid w:val="00AE4393"/>
    <w:rsid w:val="00AE6A21"/>
    <w:rsid w:val="00AF1C8F"/>
    <w:rsid w:val="00AF2B68"/>
    <w:rsid w:val="00AF2C92"/>
    <w:rsid w:val="00AF3A49"/>
    <w:rsid w:val="00AF3EC1"/>
    <w:rsid w:val="00AF5025"/>
    <w:rsid w:val="00AF519F"/>
    <w:rsid w:val="00AF5387"/>
    <w:rsid w:val="00AF55F5"/>
    <w:rsid w:val="00AF6907"/>
    <w:rsid w:val="00AF70AB"/>
    <w:rsid w:val="00AF7E86"/>
    <w:rsid w:val="00B024B9"/>
    <w:rsid w:val="00B03EB2"/>
    <w:rsid w:val="00B05E85"/>
    <w:rsid w:val="00B077FA"/>
    <w:rsid w:val="00B127D7"/>
    <w:rsid w:val="00B133F7"/>
    <w:rsid w:val="00B13B0C"/>
    <w:rsid w:val="00B1453A"/>
    <w:rsid w:val="00B20B3A"/>
    <w:rsid w:val="00B20F82"/>
    <w:rsid w:val="00B20F88"/>
    <w:rsid w:val="00B22012"/>
    <w:rsid w:val="00B23F5E"/>
    <w:rsid w:val="00B25BD5"/>
    <w:rsid w:val="00B2698F"/>
    <w:rsid w:val="00B313F2"/>
    <w:rsid w:val="00B317AB"/>
    <w:rsid w:val="00B32CD7"/>
    <w:rsid w:val="00B34079"/>
    <w:rsid w:val="00B3793A"/>
    <w:rsid w:val="00B401BA"/>
    <w:rsid w:val="00B407E4"/>
    <w:rsid w:val="00B425B6"/>
    <w:rsid w:val="00B42A72"/>
    <w:rsid w:val="00B441AE"/>
    <w:rsid w:val="00B4500D"/>
    <w:rsid w:val="00B45A65"/>
    <w:rsid w:val="00B45F33"/>
    <w:rsid w:val="00B46D50"/>
    <w:rsid w:val="00B50410"/>
    <w:rsid w:val="00B5087C"/>
    <w:rsid w:val="00B5155E"/>
    <w:rsid w:val="00B53170"/>
    <w:rsid w:val="00B548B9"/>
    <w:rsid w:val="00B56DBE"/>
    <w:rsid w:val="00B60DAA"/>
    <w:rsid w:val="00B6287C"/>
    <w:rsid w:val="00B62999"/>
    <w:rsid w:val="00B62AC8"/>
    <w:rsid w:val="00B63BE3"/>
    <w:rsid w:val="00B64885"/>
    <w:rsid w:val="00B6672F"/>
    <w:rsid w:val="00B66810"/>
    <w:rsid w:val="00B704BC"/>
    <w:rsid w:val="00B710A0"/>
    <w:rsid w:val="00B71698"/>
    <w:rsid w:val="00B72BE3"/>
    <w:rsid w:val="00B73AC7"/>
    <w:rsid w:val="00B73B80"/>
    <w:rsid w:val="00B770C7"/>
    <w:rsid w:val="00B80F26"/>
    <w:rsid w:val="00B822BD"/>
    <w:rsid w:val="00B842F4"/>
    <w:rsid w:val="00B90072"/>
    <w:rsid w:val="00B91A7B"/>
    <w:rsid w:val="00B922B5"/>
    <w:rsid w:val="00B9253D"/>
    <w:rsid w:val="00B929DD"/>
    <w:rsid w:val="00B93AF6"/>
    <w:rsid w:val="00B9450E"/>
    <w:rsid w:val="00B95405"/>
    <w:rsid w:val="00B963F1"/>
    <w:rsid w:val="00B96717"/>
    <w:rsid w:val="00B968F1"/>
    <w:rsid w:val="00B96EE1"/>
    <w:rsid w:val="00BA0115"/>
    <w:rsid w:val="00BA020A"/>
    <w:rsid w:val="00BA191C"/>
    <w:rsid w:val="00BA1E3B"/>
    <w:rsid w:val="00BB025A"/>
    <w:rsid w:val="00BB02A4"/>
    <w:rsid w:val="00BB1270"/>
    <w:rsid w:val="00BB1D71"/>
    <w:rsid w:val="00BB1E44"/>
    <w:rsid w:val="00BB325B"/>
    <w:rsid w:val="00BB3FE7"/>
    <w:rsid w:val="00BB41D8"/>
    <w:rsid w:val="00BB5267"/>
    <w:rsid w:val="00BB52B8"/>
    <w:rsid w:val="00BB59D8"/>
    <w:rsid w:val="00BB59E7"/>
    <w:rsid w:val="00BB5C85"/>
    <w:rsid w:val="00BB64AA"/>
    <w:rsid w:val="00BB7E69"/>
    <w:rsid w:val="00BC0E51"/>
    <w:rsid w:val="00BC0EFA"/>
    <w:rsid w:val="00BC2621"/>
    <w:rsid w:val="00BC2AA4"/>
    <w:rsid w:val="00BC3C1F"/>
    <w:rsid w:val="00BC50F8"/>
    <w:rsid w:val="00BC61BB"/>
    <w:rsid w:val="00BC7CE7"/>
    <w:rsid w:val="00BD295E"/>
    <w:rsid w:val="00BD3484"/>
    <w:rsid w:val="00BD4664"/>
    <w:rsid w:val="00BD71D7"/>
    <w:rsid w:val="00BE1193"/>
    <w:rsid w:val="00BF4776"/>
    <w:rsid w:val="00BF4849"/>
    <w:rsid w:val="00BF4EA7"/>
    <w:rsid w:val="00BF5811"/>
    <w:rsid w:val="00BF59A8"/>
    <w:rsid w:val="00BF6BA9"/>
    <w:rsid w:val="00C00EDB"/>
    <w:rsid w:val="00C01BB6"/>
    <w:rsid w:val="00C02863"/>
    <w:rsid w:val="00C0383A"/>
    <w:rsid w:val="00C03EE6"/>
    <w:rsid w:val="00C04AC7"/>
    <w:rsid w:val="00C067FF"/>
    <w:rsid w:val="00C12862"/>
    <w:rsid w:val="00C128FB"/>
    <w:rsid w:val="00C13D28"/>
    <w:rsid w:val="00C14585"/>
    <w:rsid w:val="00C165A0"/>
    <w:rsid w:val="00C216CE"/>
    <w:rsid w:val="00C2184F"/>
    <w:rsid w:val="00C22A78"/>
    <w:rsid w:val="00C2338E"/>
    <w:rsid w:val="00C23C7E"/>
    <w:rsid w:val="00C246C5"/>
    <w:rsid w:val="00C25A82"/>
    <w:rsid w:val="00C25F07"/>
    <w:rsid w:val="00C27A9B"/>
    <w:rsid w:val="00C30A2A"/>
    <w:rsid w:val="00C33993"/>
    <w:rsid w:val="00C3407E"/>
    <w:rsid w:val="00C3653E"/>
    <w:rsid w:val="00C4069E"/>
    <w:rsid w:val="00C41ADC"/>
    <w:rsid w:val="00C44149"/>
    <w:rsid w:val="00C44410"/>
    <w:rsid w:val="00C44A15"/>
    <w:rsid w:val="00C4630A"/>
    <w:rsid w:val="00C5063B"/>
    <w:rsid w:val="00C523F0"/>
    <w:rsid w:val="00C526D2"/>
    <w:rsid w:val="00C53A91"/>
    <w:rsid w:val="00C53F9A"/>
    <w:rsid w:val="00C54DD6"/>
    <w:rsid w:val="00C5794E"/>
    <w:rsid w:val="00C60968"/>
    <w:rsid w:val="00C624F8"/>
    <w:rsid w:val="00C63D39"/>
    <w:rsid w:val="00C63EDD"/>
    <w:rsid w:val="00C648A9"/>
    <w:rsid w:val="00C65B36"/>
    <w:rsid w:val="00C66C77"/>
    <w:rsid w:val="00C70514"/>
    <w:rsid w:val="00C70D72"/>
    <w:rsid w:val="00C722E0"/>
    <w:rsid w:val="00C7292E"/>
    <w:rsid w:val="00C74E88"/>
    <w:rsid w:val="00C80924"/>
    <w:rsid w:val="00C813EA"/>
    <w:rsid w:val="00C81990"/>
    <w:rsid w:val="00C81BE6"/>
    <w:rsid w:val="00C8286B"/>
    <w:rsid w:val="00C82B3F"/>
    <w:rsid w:val="00C83C7E"/>
    <w:rsid w:val="00C843BF"/>
    <w:rsid w:val="00C87712"/>
    <w:rsid w:val="00C87F75"/>
    <w:rsid w:val="00C94420"/>
    <w:rsid w:val="00C947F8"/>
    <w:rsid w:val="00C9515F"/>
    <w:rsid w:val="00C963C5"/>
    <w:rsid w:val="00CA030C"/>
    <w:rsid w:val="00CA1F41"/>
    <w:rsid w:val="00CA20F1"/>
    <w:rsid w:val="00CA32EE"/>
    <w:rsid w:val="00CA5771"/>
    <w:rsid w:val="00CA6A1A"/>
    <w:rsid w:val="00CB0AD4"/>
    <w:rsid w:val="00CB0D3B"/>
    <w:rsid w:val="00CB6381"/>
    <w:rsid w:val="00CC193A"/>
    <w:rsid w:val="00CC1E75"/>
    <w:rsid w:val="00CC2E0E"/>
    <w:rsid w:val="00CC361C"/>
    <w:rsid w:val="00CC4072"/>
    <w:rsid w:val="00CC474B"/>
    <w:rsid w:val="00CC49EB"/>
    <w:rsid w:val="00CC4AC9"/>
    <w:rsid w:val="00CC4C1E"/>
    <w:rsid w:val="00CC566F"/>
    <w:rsid w:val="00CC658C"/>
    <w:rsid w:val="00CC67BF"/>
    <w:rsid w:val="00CD0843"/>
    <w:rsid w:val="00CD4D1D"/>
    <w:rsid w:val="00CD4E31"/>
    <w:rsid w:val="00CD5A78"/>
    <w:rsid w:val="00CD7345"/>
    <w:rsid w:val="00CE0233"/>
    <w:rsid w:val="00CE0B69"/>
    <w:rsid w:val="00CE372E"/>
    <w:rsid w:val="00CE6293"/>
    <w:rsid w:val="00CF0A1B"/>
    <w:rsid w:val="00CF1870"/>
    <w:rsid w:val="00CF19F6"/>
    <w:rsid w:val="00CF2F4F"/>
    <w:rsid w:val="00CF536D"/>
    <w:rsid w:val="00D02E9D"/>
    <w:rsid w:val="00D053A9"/>
    <w:rsid w:val="00D05FCF"/>
    <w:rsid w:val="00D079AC"/>
    <w:rsid w:val="00D10CB8"/>
    <w:rsid w:val="00D12806"/>
    <w:rsid w:val="00D129C9"/>
    <w:rsid w:val="00D12D44"/>
    <w:rsid w:val="00D15018"/>
    <w:rsid w:val="00D158AC"/>
    <w:rsid w:val="00D1694C"/>
    <w:rsid w:val="00D20F5E"/>
    <w:rsid w:val="00D21806"/>
    <w:rsid w:val="00D23056"/>
    <w:rsid w:val="00D23B76"/>
    <w:rsid w:val="00D2468B"/>
    <w:rsid w:val="00D24B4A"/>
    <w:rsid w:val="00D304CE"/>
    <w:rsid w:val="00D3145B"/>
    <w:rsid w:val="00D336BB"/>
    <w:rsid w:val="00D33803"/>
    <w:rsid w:val="00D352BE"/>
    <w:rsid w:val="00D35C7F"/>
    <w:rsid w:val="00D379A3"/>
    <w:rsid w:val="00D41C65"/>
    <w:rsid w:val="00D42D83"/>
    <w:rsid w:val="00D43C89"/>
    <w:rsid w:val="00D45451"/>
    <w:rsid w:val="00D45DDA"/>
    <w:rsid w:val="00D45FF3"/>
    <w:rsid w:val="00D46BCA"/>
    <w:rsid w:val="00D46FB0"/>
    <w:rsid w:val="00D512CF"/>
    <w:rsid w:val="00D528B9"/>
    <w:rsid w:val="00D53186"/>
    <w:rsid w:val="00D5487D"/>
    <w:rsid w:val="00D57891"/>
    <w:rsid w:val="00D60140"/>
    <w:rsid w:val="00D6024A"/>
    <w:rsid w:val="00D608B5"/>
    <w:rsid w:val="00D60A05"/>
    <w:rsid w:val="00D63CE5"/>
    <w:rsid w:val="00D64739"/>
    <w:rsid w:val="00D71F99"/>
    <w:rsid w:val="00D732EF"/>
    <w:rsid w:val="00D73CA4"/>
    <w:rsid w:val="00D73D71"/>
    <w:rsid w:val="00D74396"/>
    <w:rsid w:val="00D749C3"/>
    <w:rsid w:val="00D76C74"/>
    <w:rsid w:val="00D80284"/>
    <w:rsid w:val="00D80B93"/>
    <w:rsid w:val="00D81F71"/>
    <w:rsid w:val="00D84909"/>
    <w:rsid w:val="00D8642D"/>
    <w:rsid w:val="00D867CD"/>
    <w:rsid w:val="00D90A5E"/>
    <w:rsid w:val="00D91A68"/>
    <w:rsid w:val="00D94AD6"/>
    <w:rsid w:val="00D95A68"/>
    <w:rsid w:val="00D97B08"/>
    <w:rsid w:val="00DA0E5F"/>
    <w:rsid w:val="00DA17C7"/>
    <w:rsid w:val="00DA6A9A"/>
    <w:rsid w:val="00DA7C2E"/>
    <w:rsid w:val="00DB1EFD"/>
    <w:rsid w:val="00DB3A40"/>
    <w:rsid w:val="00DB3EAF"/>
    <w:rsid w:val="00DB46C6"/>
    <w:rsid w:val="00DB5DB0"/>
    <w:rsid w:val="00DC1704"/>
    <w:rsid w:val="00DC1FEC"/>
    <w:rsid w:val="00DC3203"/>
    <w:rsid w:val="00DC3C99"/>
    <w:rsid w:val="00DC51B8"/>
    <w:rsid w:val="00DC52F5"/>
    <w:rsid w:val="00DC5FD0"/>
    <w:rsid w:val="00DC6EB8"/>
    <w:rsid w:val="00DD0354"/>
    <w:rsid w:val="00DD27D7"/>
    <w:rsid w:val="00DD30A5"/>
    <w:rsid w:val="00DD338A"/>
    <w:rsid w:val="00DD456E"/>
    <w:rsid w:val="00DD458C"/>
    <w:rsid w:val="00DD4B2C"/>
    <w:rsid w:val="00DD72E9"/>
    <w:rsid w:val="00DD7605"/>
    <w:rsid w:val="00DE0AD9"/>
    <w:rsid w:val="00DE2020"/>
    <w:rsid w:val="00DE3476"/>
    <w:rsid w:val="00DE4A2D"/>
    <w:rsid w:val="00DE6480"/>
    <w:rsid w:val="00DE7BEA"/>
    <w:rsid w:val="00DF0CEA"/>
    <w:rsid w:val="00DF1FC9"/>
    <w:rsid w:val="00DF5B84"/>
    <w:rsid w:val="00DF6D5B"/>
    <w:rsid w:val="00DF771B"/>
    <w:rsid w:val="00DF7EE2"/>
    <w:rsid w:val="00DF7F15"/>
    <w:rsid w:val="00E00404"/>
    <w:rsid w:val="00E01090"/>
    <w:rsid w:val="00E01BAA"/>
    <w:rsid w:val="00E0282A"/>
    <w:rsid w:val="00E02F9B"/>
    <w:rsid w:val="00E03FF6"/>
    <w:rsid w:val="00E05CF3"/>
    <w:rsid w:val="00E07739"/>
    <w:rsid w:val="00E07E14"/>
    <w:rsid w:val="00E14F94"/>
    <w:rsid w:val="00E17336"/>
    <w:rsid w:val="00E17D15"/>
    <w:rsid w:val="00E22B95"/>
    <w:rsid w:val="00E24349"/>
    <w:rsid w:val="00E2471A"/>
    <w:rsid w:val="00E27A77"/>
    <w:rsid w:val="00E30331"/>
    <w:rsid w:val="00E30BB8"/>
    <w:rsid w:val="00E31F9C"/>
    <w:rsid w:val="00E32000"/>
    <w:rsid w:val="00E331DE"/>
    <w:rsid w:val="00E3410A"/>
    <w:rsid w:val="00E36604"/>
    <w:rsid w:val="00E40488"/>
    <w:rsid w:val="00E43F95"/>
    <w:rsid w:val="00E45BB8"/>
    <w:rsid w:val="00E4798A"/>
    <w:rsid w:val="00E50367"/>
    <w:rsid w:val="00E51ABA"/>
    <w:rsid w:val="00E520B1"/>
    <w:rsid w:val="00E524CB"/>
    <w:rsid w:val="00E60C7F"/>
    <w:rsid w:val="00E64663"/>
    <w:rsid w:val="00E64D55"/>
    <w:rsid w:val="00E65456"/>
    <w:rsid w:val="00E65A91"/>
    <w:rsid w:val="00E66188"/>
    <w:rsid w:val="00E664FB"/>
    <w:rsid w:val="00E6690E"/>
    <w:rsid w:val="00E66C91"/>
    <w:rsid w:val="00E672F0"/>
    <w:rsid w:val="00E67C70"/>
    <w:rsid w:val="00E70373"/>
    <w:rsid w:val="00E72E40"/>
    <w:rsid w:val="00E73665"/>
    <w:rsid w:val="00E73999"/>
    <w:rsid w:val="00E73BDC"/>
    <w:rsid w:val="00E73E9E"/>
    <w:rsid w:val="00E74325"/>
    <w:rsid w:val="00E75312"/>
    <w:rsid w:val="00E76F8C"/>
    <w:rsid w:val="00E812BC"/>
    <w:rsid w:val="00E81660"/>
    <w:rsid w:val="00E8179E"/>
    <w:rsid w:val="00E832AA"/>
    <w:rsid w:val="00E84D70"/>
    <w:rsid w:val="00E84E3E"/>
    <w:rsid w:val="00E854FE"/>
    <w:rsid w:val="00E859A1"/>
    <w:rsid w:val="00E906CC"/>
    <w:rsid w:val="00E939A0"/>
    <w:rsid w:val="00E97E4E"/>
    <w:rsid w:val="00EA1CC2"/>
    <w:rsid w:val="00EA20C0"/>
    <w:rsid w:val="00EA242C"/>
    <w:rsid w:val="00EA28F1"/>
    <w:rsid w:val="00EA2D76"/>
    <w:rsid w:val="00EA4644"/>
    <w:rsid w:val="00EA6E72"/>
    <w:rsid w:val="00EA758A"/>
    <w:rsid w:val="00EB002C"/>
    <w:rsid w:val="00EB096F"/>
    <w:rsid w:val="00EB1098"/>
    <w:rsid w:val="00EB199F"/>
    <w:rsid w:val="00EB27C4"/>
    <w:rsid w:val="00EB28FC"/>
    <w:rsid w:val="00EB4A6C"/>
    <w:rsid w:val="00EB5387"/>
    <w:rsid w:val="00EB5C10"/>
    <w:rsid w:val="00EB6A32"/>
    <w:rsid w:val="00EB7322"/>
    <w:rsid w:val="00EC03C4"/>
    <w:rsid w:val="00EC0FE9"/>
    <w:rsid w:val="00EC198B"/>
    <w:rsid w:val="00EC1F01"/>
    <w:rsid w:val="00EC426D"/>
    <w:rsid w:val="00EC571B"/>
    <w:rsid w:val="00EC57D7"/>
    <w:rsid w:val="00EC6385"/>
    <w:rsid w:val="00EC6DB7"/>
    <w:rsid w:val="00ED1DE9"/>
    <w:rsid w:val="00ED23D4"/>
    <w:rsid w:val="00ED45B1"/>
    <w:rsid w:val="00ED5E0B"/>
    <w:rsid w:val="00ED6ED3"/>
    <w:rsid w:val="00EE2A67"/>
    <w:rsid w:val="00EE3387"/>
    <w:rsid w:val="00EE37B6"/>
    <w:rsid w:val="00EE4377"/>
    <w:rsid w:val="00EE6948"/>
    <w:rsid w:val="00EE6AC1"/>
    <w:rsid w:val="00EF0F45"/>
    <w:rsid w:val="00EF2AE3"/>
    <w:rsid w:val="00EF490B"/>
    <w:rsid w:val="00EF7463"/>
    <w:rsid w:val="00EF7971"/>
    <w:rsid w:val="00EF7DEF"/>
    <w:rsid w:val="00F002EF"/>
    <w:rsid w:val="00F01EE9"/>
    <w:rsid w:val="00F03C0D"/>
    <w:rsid w:val="00F04900"/>
    <w:rsid w:val="00F065A4"/>
    <w:rsid w:val="00F11A43"/>
    <w:rsid w:val="00F126B9"/>
    <w:rsid w:val="00F12715"/>
    <w:rsid w:val="00F144D5"/>
    <w:rsid w:val="00F146F0"/>
    <w:rsid w:val="00F15039"/>
    <w:rsid w:val="00F16C9D"/>
    <w:rsid w:val="00F203AB"/>
    <w:rsid w:val="00F20429"/>
    <w:rsid w:val="00F20FF3"/>
    <w:rsid w:val="00F2190B"/>
    <w:rsid w:val="00F22429"/>
    <w:rsid w:val="00F228B5"/>
    <w:rsid w:val="00F232E9"/>
    <w:rsid w:val="00F2389C"/>
    <w:rsid w:val="00F25C67"/>
    <w:rsid w:val="00F2613D"/>
    <w:rsid w:val="00F30DFF"/>
    <w:rsid w:val="00F32B80"/>
    <w:rsid w:val="00F33FA4"/>
    <w:rsid w:val="00F340EB"/>
    <w:rsid w:val="00F35285"/>
    <w:rsid w:val="00F35F01"/>
    <w:rsid w:val="00F371C1"/>
    <w:rsid w:val="00F40F6E"/>
    <w:rsid w:val="00F41111"/>
    <w:rsid w:val="00F42C56"/>
    <w:rsid w:val="00F43208"/>
    <w:rsid w:val="00F43B9D"/>
    <w:rsid w:val="00F43D3E"/>
    <w:rsid w:val="00F44D5E"/>
    <w:rsid w:val="00F53A35"/>
    <w:rsid w:val="00F5443D"/>
    <w:rsid w:val="00F5578F"/>
    <w:rsid w:val="00F559E8"/>
    <w:rsid w:val="00F55A3D"/>
    <w:rsid w:val="00F57257"/>
    <w:rsid w:val="00F5744B"/>
    <w:rsid w:val="00F6095F"/>
    <w:rsid w:val="00F61209"/>
    <w:rsid w:val="00F6259E"/>
    <w:rsid w:val="00F65DD4"/>
    <w:rsid w:val="00F6659C"/>
    <w:rsid w:val="00F672B2"/>
    <w:rsid w:val="00F677B5"/>
    <w:rsid w:val="00F740BB"/>
    <w:rsid w:val="00F81D6E"/>
    <w:rsid w:val="00F82F10"/>
    <w:rsid w:val="00F83973"/>
    <w:rsid w:val="00F83D7C"/>
    <w:rsid w:val="00F85EB3"/>
    <w:rsid w:val="00F863F6"/>
    <w:rsid w:val="00F87FA3"/>
    <w:rsid w:val="00F90AF7"/>
    <w:rsid w:val="00F93D8C"/>
    <w:rsid w:val="00F93EAB"/>
    <w:rsid w:val="00F957EB"/>
    <w:rsid w:val="00F97E28"/>
    <w:rsid w:val="00FA2845"/>
    <w:rsid w:val="00FA3102"/>
    <w:rsid w:val="00FA48D4"/>
    <w:rsid w:val="00FA54FA"/>
    <w:rsid w:val="00FA6789"/>
    <w:rsid w:val="00FA6D39"/>
    <w:rsid w:val="00FA73D1"/>
    <w:rsid w:val="00FB10A1"/>
    <w:rsid w:val="00FB1C40"/>
    <w:rsid w:val="00FB227E"/>
    <w:rsid w:val="00FB3D61"/>
    <w:rsid w:val="00FB44CE"/>
    <w:rsid w:val="00FB5009"/>
    <w:rsid w:val="00FB76AB"/>
    <w:rsid w:val="00FC5E70"/>
    <w:rsid w:val="00FC6EAC"/>
    <w:rsid w:val="00FD03FE"/>
    <w:rsid w:val="00FD126E"/>
    <w:rsid w:val="00FD357C"/>
    <w:rsid w:val="00FD3C36"/>
    <w:rsid w:val="00FD4C62"/>
    <w:rsid w:val="00FD4D81"/>
    <w:rsid w:val="00FD7498"/>
    <w:rsid w:val="00FD7FB3"/>
    <w:rsid w:val="00FE2AC5"/>
    <w:rsid w:val="00FE4713"/>
    <w:rsid w:val="00FF1F44"/>
    <w:rsid w:val="00FF225E"/>
    <w:rsid w:val="00FF530C"/>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B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annotation text"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34"/>
    <w:qFormat/>
    <w:rsid w:val="006312E0"/>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6312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12E0"/>
    <w:rPr>
      <w:sz w:val="16"/>
      <w:szCs w:val="16"/>
    </w:rPr>
  </w:style>
  <w:style w:type="paragraph" w:styleId="CommentText">
    <w:name w:val="annotation text"/>
    <w:basedOn w:val="Normal"/>
    <w:link w:val="CommentTextChar"/>
    <w:uiPriority w:val="99"/>
    <w:semiHidden/>
    <w:unhideWhenUsed/>
    <w:rsid w:val="006312E0"/>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12E0"/>
    <w:rPr>
      <w:rFonts w:asciiTheme="minorHAnsi" w:eastAsiaTheme="minorHAnsi" w:hAnsiTheme="minorHAnsi" w:cstheme="minorBidi"/>
      <w:lang w:eastAsia="en-US"/>
    </w:rPr>
  </w:style>
  <w:style w:type="character" w:styleId="Hyperlink">
    <w:name w:val="Hyperlink"/>
    <w:basedOn w:val="DefaultParagraphFont"/>
    <w:uiPriority w:val="99"/>
    <w:unhideWhenUsed/>
    <w:rsid w:val="006312E0"/>
    <w:rPr>
      <w:color w:val="0000FF" w:themeColor="hyperlink"/>
      <w:u w:val="single"/>
    </w:rPr>
  </w:style>
  <w:style w:type="paragraph" w:styleId="BalloonText">
    <w:name w:val="Balloon Text"/>
    <w:basedOn w:val="Normal"/>
    <w:link w:val="BalloonTextChar"/>
    <w:uiPriority w:val="99"/>
    <w:semiHidden/>
    <w:unhideWhenUsed/>
    <w:rsid w:val="006312E0"/>
    <w:pPr>
      <w:spacing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6312E0"/>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6312E0"/>
    <w:rPr>
      <w:b/>
      <w:bCs/>
    </w:rPr>
  </w:style>
  <w:style w:type="character" w:customStyle="1" w:styleId="CommentSubjectChar">
    <w:name w:val="Comment Subject Char"/>
    <w:basedOn w:val="CommentTextChar"/>
    <w:link w:val="CommentSubject"/>
    <w:uiPriority w:val="99"/>
    <w:semiHidden/>
    <w:rsid w:val="006312E0"/>
    <w:rPr>
      <w:rFonts w:asciiTheme="minorHAnsi" w:eastAsiaTheme="minorHAnsi" w:hAnsiTheme="minorHAnsi" w:cstheme="minorBidi"/>
      <w:b/>
      <w:bCs/>
      <w:lang w:eastAsia="en-US"/>
    </w:rPr>
  </w:style>
  <w:style w:type="paragraph" w:styleId="NormalWeb">
    <w:name w:val="Normal (Web)"/>
    <w:basedOn w:val="Normal"/>
    <w:uiPriority w:val="99"/>
    <w:unhideWhenUsed/>
    <w:rsid w:val="006312E0"/>
    <w:pPr>
      <w:spacing w:before="100" w:beforeAutospacing="1" w:after="100" w:afterAutospacing="1" w:line="240" w:lineRule="auto"/>
    </w:pPr>
  </w:style>
  <w:style w:type="paragraph" w:styleId="Revision">
    <w:name w:val="Revision"/>
    <w:hidden/>
    <w:semiHidden/>
    <w:rsid w:val="00556A6E"/>
    <w:rPr>
      <w:sz w:val="24"/>
      <w:szCs w:val="24"/>
    </w:rPr>
  </w:style>
  <w:style w:type="table" w:styleId="MediumGrid1">
    <w:name w:val="Medium Grid 1"/>
    <w:basedOn w:val="TableNormal"/>
    <w:rsid w:val="0051092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apple-converted-space">
    <w:name w:val="apple-converted-space"/>
    <w:basedOn w:val="DefaultParagraphFont"/>
    <w:rsid w:val="004E4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annotation text"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34"/>
    <w:qFormat/>
    <w:rsid w:val="006312E0"/>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6312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12E0"/>
    <w:rPr>
      <w:sz w:val="16"/>
      <w:szCs w:val="16"/>
    </w:rPr>
  </w:style>
  <w:style w:type="paragraph" w:styleId="CommentText">
    <w:name w:val="annotation text"/>
    <w:basedOn w:val="Normal"/>
    <w:link w:val="CommentTextChar"/>
    <w:uiPriority w:val="99"/>
    <w:semiHidden/>
    <w:unhideWhenUsed/>
    <w:rsid w:val="006312E0"/>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12E0"/>
    <w:rPr>
      <w:rFonts w:asciiTheme="minorHAnsi" w:eastAsiaTheme="minorHAnsi" w:hAnsiTheme="minorHAnsi" w:cstheme="minorBidi"/>
      <w:lang w:eastAsia="en-US"/>
    </w:rPr>
  </w:style>
  <w:style w:type="character" w:styleId="Hyperlink">
    <w:name w:val="Hyperlink"/>
    <w:basedOn w:val="DefaultParagraphFont"/>
    <w:uiPriority w:val="99"/>
    <w:unhideWhenUsed/>
    <w:rsid w:val="006312E0"/>
    <w:rPr>
      <w:color w:val="0000FF" w:themeColor="hyperlink"/>
      <w:u w:val="single"/>
    </w:rPr>
  </w:style>
  <w:style w:type="paragraph" w:styleId="BalloonText">
    <w:name w:val="Balloon Text"/>
    <w:basedOn w:val="Normal"/>
    <w:link w:val="BalloonTextChar"/>
    <w:uiPriority w:val="99"/>
    <w:semiHidden/>
    <w:unhideWhenUsed/>
    <w:rsid w:val="006312E0"/>
    <w:pPr>
      <w:spacing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6312E0"/>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6312E0"/>
    <w:rPr>
      <w:b/>
      <w:bCs/>
    </w:rPr>
  </w:style>
  <w:style w:type="character" w:customStyle="1" w:styleId="CommentSubjectChar">
    <w:name w:val="Comment Subject Char"/>
    <w:basedOn w:val="CommentTextChar"/>
    <w:link w:val="CommentSubject"/>
    <w:uiPriority w:val="99"/>
    <w:semiHidden/>
    <w:rsid w:val="006312E0"/>
    <w:rPr>
      <w:rFonts w:asciiTheme="minorHAnsi" w:eastAsiaTheme="minorHAnsi" w:hAnsiTheme="minorHAnsi" w:cstheme="minorBidi"/>
      <w:b/>
      <w:bCs/>
      <w:lang w:eastAsia="en-US"/>
    </w:rPr>
  </w:style>
  <w:style w:type="paragraph" w:styleId="NormalWeb">
    <w:name w:val="Normal (Web)"/>
    <w:basedOn w:val="Normal"/>
    <w:uiPriority w:val="99"/>
    <w:unhideWhenUsed/>
    <w:rsid w:val="006312E0"/>
    <w:pPr>
      <w:spacing w:before="100" w:beforeAutospacing="1" w:after="100" w:afterAutospacing="1" w:line="240" w:lineRule="auto"/>
    </w:pPr>
  </w:style>
  <w:style w:type="paragraph" w:styleId="Revision">
    <w:name w:val="Revision"/>
    <w:hidden/>
    <w:semiHidden/>
    <w:rsid w:val="00556A6E"/>
    <w:rPr>
      <w:sz w:val="24"/>
      <w:szCs w:val="24"/>
    </w:rPr>
  </w:style>
  <w:style w:type="table" w:styleId="MediumGrid1">
    <w:name w:val="Medium Grid 1"/>
    <w:basedOn w:val="TableNormal"/>
    <w:rsid w:val="0051092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apple-converted-space">
    <w:name w:val="apple-converted-space"/>
    <w:basedOn w:val="DefaultParagraphFont"/>
    <w:rsid w:val="004E4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7528">
      <w:bodyDiv w:val="1"/>
      <w:marLeft w:val="0"/>
      <w:marRight w:val="0"/>
      <w:marTop w:val="0"/>
      <w:marBottom w:val="0"/>
      <w:divBdr>
        <w:top w:val="none" w:sz="0" w:space="0" w:color="auto"/>
        <w:left w:val="none" w:sz="0" w:space="0" w:color="auto"/>
        <w:bottom w:val="none" w:sz="0" w:space="0" w:color="auto"/>
        <w:right w:val="none" w:sz="0" w:space="0" w:color="auto"/>
      </w:divBdr>
    </w:div>
    <w:div w:id="91554746">
      <w:bodyDiv w:val="1"/>
      <w:marLeft w:val="0"/>
      <w:marRight w:val="0"/>
      <w:marTop w:val="0"/>
      <w:marBottom w:val="0"/>
      <w:divBdr>
        <w:top w:val="none" w:sz="0" w:space="0" w:color="auto"/>
        <w:left w:val="none" w:sz="0" w:space="0" w:color="auto"/>
        <w:bottom w:val="none" w:sz="0" w:space="0" w:color="auto"/>
        <w:right w:val="none" w:sz="0" w:space="0" w:color="auto"/>
      </w:divBdr>
    </w:div>
    <w:div w:id="100152493">
      <w:bodyDiv w:val="1"/>
      <w:marLeft w:val="0"/>
      <w:marRight w:val="0"/>
      <w:marTop w:val="0"/>
      <w:marBottom w:val="0"/>
      <w:divBdr>
        <w:top w:val="none" w:sz="0" w:space="0" w:color="auto"/>
        <w:left w:val="none" w:sz="0" w:space="0" w:color="auto"/>
        <w:bottom w:val="none" w:sz="0" w:space="0" w:color="auto"/>
        <w:right w:val="none" w:sz="0" w:space="0" w:color="auto"/>
      </w:divBdr>
    </w:div>
    <w:div w:id="144013626">
      <w:bodyDiv w:val="1"/>
      <w:marLeft w:val="0"/>
      <w:marRight w:val="0"/>
      <w:marTop w:val="0"/>
      <w:marBottom w:val="0"/>
      <w:divBdr>
        <w:top w:val="none" w:sz="0" w:space="0" w:color="auto"/>
        <w:left w:val="none" w:sz="0" w:space="0" w:color="auto"/>
        <w:bottom w:val="none" w:sz="0" w:space="0" w:color="auto"/>
        <w:right w:val="none" w:sz="0" w:space="0" w:color="auto"/>
      </w:divBdr>
      <w:divsChild>
        <w:div w:id="1326861334">
          <w:marLeft w:val="547"/>
          <w:marRight w:val="0"/>
          <w:marTop w:val="0"/>
          <w:marBottom w:val="0"/>
          <w:divBdr>
            <w:top w:val="none" w:sz="0" w:space="0" w:color="auto"/>
            <w:left w:val="none" w:sz="0" w:space="0" w:color="auto"/>
            <w:bottom w:val="none" w:sz="0" w:space="0" w:color="auto"/>
            <w:right w:val="none" w:sz="0" w:space="0" w:color="auto"/>
          </w:divBdr>
        </w:div>
      </w:divsChild>
    </w:div>
    <w:div w:id="157161052">
      <w:bodyDiv w:val="1"/>
      <w:marLeft w:val="0"/>
      <w:marRight w:val="0"/>
      <w:marTop w:val="0"/>
      <w:marBottom w:val="0"/>
      <w:divBdr>
        <w:top w:val="none" w:sz="0" w:space="0" w:color="auto"/>
        <w:left w:val="none" w:sz="0" w:space="0" w:color="auto"/>
        <w:bottom w:val="none" w:sz="0" w:space="0" w:color="auto"/>
        <w:right w:val="none" w:sz="0" w:space="0" w:color="auto"/>
      </w:divBdr>
    </w:div>
    <w:div w:id="212430246">
      <w:bodyDiv w:val="1"/>
      <w:marLeft w:val="0"/>
      <w:marRight w:val="0"/>
      <w:marTop w:val="0"/>
      <w:marBottom w:val="0"/>
      <w:divBdr>
        <w:top w:val="none" w:sz="0" w:space="0" w:color="auto"/>
        <w:left w:val="none" w:sz="0" w:space="0" w:color="auto"/>
        <w:bottom w:val="none" w:sz="0" w:space="0" w:color="auto"/>
        <w:right w:val="none" w:sz="0" w:space="0" w:color="auto"/>
      </w:divBdr>
    </w:div>
    <w:div w:id="226575057">
      <w:bodyDiv w:val="1"/>
      <w:marLeft w:val="0"/>
      <w:marRight w:val="0"/>
      <w:marTop w:val="0"/>
      <w:marBottom w:val="0"/>
      <w:divBdr>
        <w:top w:val="none" w:sz="0" w:space="0" w:color="auto"/>
        <w:left w:val="none" w:sz="0" w:space="0" w:color="auto"/>
        <w:bottom w:val="none" w:sz="0" w:space="0" w:color="auto"/>
        <w:right w:val="none" w:sz="0" w:space="0" w:color="auto"/>
      </w:divBdr>
    </w:div>
    <w:div w:id="375130514">
      <w:bodyDiv w:val="1"/>
      <w:marLeft w:val="0"/>
      <w:marRight w:val="0"/>
      <w:marTop w:val="0"/>
      <w:marBottom w:val="0"/>
      <w:divBdr>
        <w:top w:val="none" w:sz="0" w:space="0" w:color="auto"/>
        <w:left w:val="none" w:sz="0" w:space="0" w:color="auto"/>
        <w:bottom w:val="none" w:sz="0" w:space="0" w:color="auto"/>
        <w:right w:val="none" w:sz="0" w:space="0" w:color="auto"/>
      </w:divBdr>
    </w:div>
    <w:div w:id="482744437">
      <w:bodyDiv w:val="1"/>
      <w:marLeft w:val="0"/>
      <w:marRight w:val="0"/>
      <w:marTop w:val="0"/>
      <w:marBottom w:val="0"/>
      <w:divBdr>
        <w:top w:val="none" w:sz="0" w:space="0" w:color="auto"/>
        <w:left w:val="none" w:sz="0" w:space="0" w:color="auto"/>
        <w:bottom w:val="none" w:sz="0" w:space="0" w:color="auto"/>
        <w:right w:val="none" w:sz="0" w:space="0" w:color="auto"/>
      </w:divBdr>
    </w:div>
    <w:div w:id="504973624">
      <w:bodyDiv w:val="1"/>
      <w:marLeft w:val="0"/>
      <w:marRight w:val="0"/>
      <w:marTop w:val="0"/>
      <w:marBottom w:val="0"/>
      <w:divBdr>
        <w:top w:val="none" w:sz="0" w:space="0" w:color="auto"/>
        <w:left w:val="none" w:sz="0" w:space="0" w:color="auto"/>
        <w:bottom w:val="none" w:sz="0" w:space="0" w:color="auto"/>
        <w:right w:val="none" w:sz="0" w:space="0" w:color="auto"/>
      </w:divBdr>
    </w:div>
    <w:div w:id="705566687">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52653106">
      <w:bodyDiv w:val="1"/>
      <w:marLeft w:val="0"/>
      <w:marRight w:val="0"/>
      <w:marTop w:val="0"/>
      <w:marBottom w:val="0"/>
      <w:divBdr>
        <w:top w:val="none" w:sz="0" w:space="0" w:color="auto"/>
        <w:left w:val="none" w:sz="0" w:space="0" w:color="auto"/>
        <w:bottom w:val="none" w:sz="0" w:space="0" w:color="auto"/>
        <w:right w:val="none" w:sz="0" w:space="0" w:color="auto"/>
      </w:divBdr>
    </w:div>
    <w:div w:id="1283147257">
      <w:bodyDiv w:val="1"/>
      <w:marLeft w:val="0"/>
      <w:marRight w:val="0"/>
      <w:marTop w:val="0"/>
      <w:marBottom w:val="0"/>
      <w:divBdr>
        <w:top w:val="none" w:sz="0" w:space="0" w:color="auto"/>
        <w:left w:val="none" w:sz="0" w:space="0" w:color="auto"/>
        <w:bottom w:val="none" w:sz="0" w:space="0" w:color="auto"/>
        <w:right w:val="none" w:sz="0" w:space="0" w:color="auto"/>
      </w:divBdr>
    </w:div>
    <w:div w:id="1320964951">
      <w:bodyDiv w:val="1"/>
      <w:marLeft w:val="0"/>
      <w:marRight w:val="0"/>
      <w:marTop w:val="0"/>
      <w:marBottom w:val="0"/>
      <w:divBdr>
        <w:top w:val="none" w:sz="0" w:space="0" w:color="auto"/>
        <w:left w:val="none" w:sz="0" w:space="0" w:color="auto"/>
        <w:bottom w:val="none" w:sz="0" w:space="0" w:color="auto"/>
        <w:right w:val="none" w:sz="0" w:space="0" w:color="auto"/>
      </w:divBdr>
    </w:div>
    <w:div w:id="1501654629">
      <w:bodyDiv w:val="1"/>
      <w:marLeft w:val="0"/>
      <w:marRight w:val="0"/>
      <w:marTop w:val="0"/>
      <w:marBottom w:val="0"/>
      <w:divBdr>
        <w:top w:val="none" w:sz="0" w:space="0" w:color="auto"/>
        <w:left w:val="none" w:sz="0" w:space="0" w:color="auto"/>
        <w:bottom w:val="none" w:sz="0" w:space="0" w:color="auto"/>
        <w:right w:val="none" w:sz="0" w:space="0" w:color="auto"/>
      </w:divBdr>
    </w:div>
    <w:div w:id="1676376389">
      <w:bodyDiv w:val="1"/>
      <w:marLeft w:val="0"/>
      <w:marRight w:val="0"/>
      <w:marTop w:val="0"/>
      <w:marBottom w:val="0"/>
      <w:divBdr>
        <w:top w:val="none" w:sz="0" w:space="0" w:color="auto"/>
        <w:left w:val="none" w:sz="0" w:space="0" w:color="auto"/>
        <w:bottom w:val="none" w:sz="0" w:space="0" w:color="auto"/>
        <w:right w:val="none" w:sz="0" w:space="0" w:color="auto"/>
      </w:divBdr>
    </w:div>
    <w:div w:id="1724871043">
      <w:bodyDiv w:val="1"/>
      <w:marLeft w:val="0"/>
      <w:marRight w:val="0"/>
      <w:marTop w:val="0"/>
      <w:marBottom w:val="0"/>
      <w:divBdr>
        <w:top w:val="none" w:sz="0" w:space="0" w:color="auto"/>
        <w:left w:val="none" w:sz="0" w:space="0" w:color="auto"/>
        <w:bottom w:val="none" w:sz="0" w:space="0" w:color="auto"/>
        <w:right w:val="none" w:sz="0" w:space="0" w:color="auto"/>
      </w:divBdr>
    </w:div>
    <w:div w:id="1871993635">
      <w:bodyDiv w:val="1"/>
      <w:marLeft w:val="0"/>
      <w:marRight w:val="0"/>
      <w:marTop w:val="0"/>
      <w:marBottom w:val="0"/>
      <w:divBdr>
        <w:top w:val="none" w:sz="0" w:space="0" w:color="auto"/>
        <w:left w:val="none" w:sz="0" w:space="0" w:color="auto"/>
        <w:bottom w:val="none" w:sz="0" w:space="0" w:color="auto"/>
        <w:right w:val="none" w:sz="0" w:space="0" w:color="auto"/>
      </w:divBdr>
    </w:div>
    <w:div w:id="21241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LNI_M\AppData\Local\Temp\Rar$DIa0.680\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1244-F3C4-4ED0-AA14-289560A0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0</TotalTime>
  <Pages>33</Pages>
  <Words>9135</Words>
  <Characters>52071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61084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Maille Saulnier</dc:creator>
  <cp:lastModifiedBy>Vikas</cp:lastModifiedBy>
  <cp:revision>2</cp:revision>
  <cp:lastPrinted>2016-08-04T15:19:00Z</cp:lastPrinted>
  <dcterms:created xsi:type="dcterms:W3CDTF">2017-04-26T23:23:00Z</dcterms:created>
  <dcterms:modified xsi:type="dcterms:W3CDTF">2017-04-26T23:23:00Z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http://csl.mendeley.com/styles/175637291/apa</vt:lpwstr>
  </property>
  <property fmtid="{D5CDD505-2E9C-101B-9397-08002B2CF9AE}" pid="9" name="Mendeley Recent Style Name 2_1">
    <vt:lpwstr>American Psychological Association 6th edition - Deniz Hazir</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http://www.zotero.org/styles/harvard-cranfield-university</vt:lpwstr>
  </property>
  <property fmtid="{D5CDD505-2E9C-101B-9397-08002B2CF9AE}" pid="15" name="Mendeley Recent Style Name 5_1">
    <vt:lpwstr>Harvard - Cranfield University</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(author-date)</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7th edition</vt:lpwstr>
  </property>
  <property fmtid="{D5CDD505-2E9C-101B-9397-08002B2CF9AE}" pid="24" name="Mendeley Unique User Id_1">
    <vt:lpwstr>4be8e8f5-86c7-3844-a3fb-b622a76b0471</vt:lpwstr>
  </property>
</Properties>
</file>