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97" w:rsidRPr="00090B97" w:rsidRDefault="00090B97" w:rsidP="00090B97">
      <w:pPr>
        <w:autoSpaceDE w:val="0"/>
        <w:autoSpaceDN w:val="0"/>
        <w:adjustRightInd w:val="0"/>
        <w:spacing w:line="360" w:lineRule="auto"/>
        <w:rPr>
          <w:rFonts w:cs="AdvOTc9c0ed35.B"/>
          <w:b/>
        </w:rPr>
      </w:pPr>
      <w:proofErr w:type="gramStart"/>
      <w:r w:rsidRPr="00090B97">
        <w:rPr>
          <w:rFonts w:cs="AdvOTc9c0ed35.B"/>
          <w:b/>
        </w:rPr>
        <w:t>Paediatric traumatic cardiac arrest - a Delphi study to establish consensus on management.</w:t>
      </w:r>
      <w:proofErr w:type="gramEnd"/>
      <w:r w:rsidRPr="00090B97">
        <w:rPr>
          <w:rFonts w:cs="AdvOTc9c0ed35.B"/>
          <w:b/>
        </w:rPr>
        <w:t xml:space="preserve"> A PERUKI study</w:t>
      </w:r>
    </w:p>
    <w:p w:rsidR="00090B97" w:rsidRPr="00090B97" w:rsidRDefault="00090B97" w:rsidP="00090B97">
      <w:pPr>
        <w:autoSpaceDE w:val="0"/>
        <w:autoSpaceDN w:val="0"/>
        <w:adjustRightInd w:val="0"/>
        <w:spacing w:after="0" w:line="360" w:lineRule="auto"/>
        <w:rPr>
          <w:rFonts w:cs="AdvTTd5f80974.B"/>
          <w:b/>
        </w:rPr>
      </w:pPr>
      <w:r w:rsidRPr="00090B97">
        <w:rPr>
          <w:rFonts w:cs="AdvTTd5f80974.B"/>
          <w:b/>
        </w:rPr>
        <w:t xml:space="preserve">Background </w:t>
      </w:r>
    </w:p>
    <w:p w:rsidR="00090B97" w:rsidRPr="00090B97" w:rsidRDefault="00090B97" w:rsidP="00090B97">
      <w:pPr>
        <w:autoSpaceDE w:val="0"/>
        <w:autoSpaceDN w:val="0"/>
        <w:adjustRightInd w:val="0"/>
        <w:spacing w:line="360" w:lineRule="auto"/>
        <w:rPr>
          <w:rFonts w:cs="AdvTTb20e5d60"/>
        </w:rPr>
      </w:pPr>
      <w:r w:rsidRPr="00090B97">
        <w:rPr>
          <w:rFonts w:cs="AdvTTb20e5d60"/>
        </w:rPr>
        <w:t>Paediatric traumatic cardiac arrest (TCA) is associated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with low survival and poor outcomes. The mechanisms that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underlie TCA are different from medical cardiac arrest; the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approach to treatment of TCA may therefore also need to differ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to optimise outcomes. The aim of this study was to explore the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opinion of subject matter experts (SMEs) regarding the diagnosis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and treatment of paediatric TCA, and to reach consensus on how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best to manage this group of patients.</w:t>
      </w:r>
    </w:p>
    <w:p w:rsidR="00090B97" w:rsidRPr="00090B97" w:rsidRDefault="00090B97" w:rsidP="00090B97">
      <w:pPr>
        <w:autoSpaceDE w:val="0"/>
        <w:autoSpaceDN w:val="0"/>
        <w:adjustRightInd w:val="0"/>
        <w:spacing w:after="0" w:line="360" w:lineRule="auto"/>
        <w:rPr>
          <w:rFonts w:cs="AdvTTd5f80974.B"/>
          <w:b/>
        </w:rPr>
      </w:pPr>
      <w:r w:rsidRPr="00090B97">
        <w:rPr>
          <w:rFonts w:cs="AdvTTd5f80974.B"/>
          <w:b/>
        </w:rPr>
        <w:t xml:space="preserve">Methods </w:t>
      </w:r>
    </w:p>
    <w:p w:rsidR="00090B97" w:rsidRPr="00090B97" w:rsidRDefault="00090B97" w:rsidP="00090B97">
      <w:pPr>
        <w:autoSpaceDE w:val="0"/>
        <w:autoSpaceDN w:val="0"/>
        <w:adjustRightInd w:val="0"/>
        <w:spacing w:line="360" w:lineRule="auto"/>
        <w:rPr>
          <w:rFonts w:cs="AdvTTb20e5d60"/>
        </w:rPr>
      </w:pPr>
      <w:r w:rsidRPr="00090B97">
        <w:rPr>
          <w:rFonts w:cs="AdvTTb20e5d60"/>
        </w:rPr>
        <w:t>Following topic-specific literature reviews which demonstrated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a lack of evidence, an online Delphi study was conducted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over three rounds, with the aim of achieving consensus</w:t>
      </w:r>
      <w:r>
        <w:rPr>
          <w:rFonts w:cs="AdvTTb20e5d60"/>
        </w:rPr>
        <w:t xml:space="preserve"> (defined as 70% </w:t>
      </w:r>
      <w:r w:rsidRPr="00090B97">
        <w:rPr>
          <w:rFonts w:cs="AdvTTb20e5d60"/>
        </w:rPr>
        <w:t>agreement) on statements related to the diagnosis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and management of paediatric TCA. SMEs were invited from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PERUKI, (Paediatric Emergency Research in the UK and Ireland),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paediatric major trauma centre leads, paediatric anaesthetists,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paediatric ICU clinicians, paediatric surgeons, and representatives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from the Resuscitation Council UK. Statements were informed by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the literature reviews and were based on elements of Advanced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Paediatric Life Support resuscitation algorithms as well as some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concepts used in the management of adult TCA; they ranged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from confirmation of cardiac arrest to the indications for</w:t>
      </w:r>
      <w:r>
        <w:rPr>
          <w:rFonts w:cs="AdvTTb20e5d60"/>
        </w:rPr>
        <w:t xml:space="preserve"> </w:t>
      </w:r>
      <w:proofErr w:type="spellStart"/>
      <w:r w:rsidRPr="00090B97">
        <w:rPr>
          <w:rFonts w:cs="AdvTTb20e5d60"/>
        </w:rPr>
        <w:t>thoracotomy</w:t>
      </w:r>
      <w:proofErr w:type="spellEnd"/>
      <w:r w:rsidRPr="00090B97">
        <w:rPr>
          <w:rFonts w:cs="AdvTTb20e5d60"/>
        </w:rPr>
        <w:t>.</w:t>
      </w:r>
    </w:p>
    <w:p w:rsidR="00090B97" w:rsidRPr="00090B97" w:rsidRDefault="00090B97" w:rsidP="00090B97">
      <w:pPr>
        <w:autoSpaceDE w:val="0"/>
        <w:autoSpaceDN w:val="0"/>
        <w:adjustRightInd w:val="0"/>
        <w:spacing w:after="0" w:line="360" w:lineRule="auto"/>
        <w:rPr>
          <w:rFonts w:cs="AdvTTd5f80974.B"/>
          <w:b/>
        </w:rPr>
      </w:pPr>
      <w:r w:rsidRPr="00090B97">
        <w:rPr>
          <w:rFonts w:cs="AdvTTd5f80974.B"/>
          <w:b/>
        </w:rPr>
        <w:t xml:space="preserve">Results </w:t>
      </w:r>
    </w:p>
    <w:p w:rsidR="00090B97" w:rsidRPr="00090B97" w:rsidRDefault="00090B97" w:rsidP="00090B97">
      <w:pPr>
        <w:autoSpaceDE w:val="0"/>
        <w:autoSpaceDN w:val="0"/>
        <w:adjustRightInd w:val="0"/>
        <w:spacing w:line="360" w:lineRule="auto"/>
        <w:rPr>
          <w:rFonts w:cs="AdvTTb20e5d60"/>
        </w:rPr>
      </w:pPr>
      <w:r w:rsidRPr="00090B97">
        <w:rPr>
          <w:rFonts w:cs="AdvTTb20e5d60"/>
        </w:rPr>
        <w:t>73 SMEs completed all three rounds between June and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November 2016. Consensus has been reached on 14 statements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regarding the diagnosis and management of paediatric TCA.</w:t>
      </w:r>
    </w:p>
    <w:p w:rsidR="00090B97" w:rsidRPr="00090B97" w:rsidRDefault="00090B97" w:rsidP="00090B97">
      <w:pPr>
        <w:autoSpaceDE w:val="0"/>
        <w:autoSpaceDN w:val="0"/>
        <w:adjustRightInd w:val="0"/>
        <w:spacing w:after="0" w:line="360" w:lineRule="auto"/>
        <w:rPr>
          <w:rFonts w:cs="AdvTTd5f80974.B"/>
          <w:b/>
        </w:rPr>
      </w:pPr>
      <w:r w:rsidRPr="00090B97">
        <w:rPr>
          <w:rFonts w:cs="AdvTTd5f80974.B"/>
          <w:b/>
        </w:rPr>
        <w:t xml:space="preserve">Conclusion </w:t>
      </w:r>
    </w:p>
    <w:p w:rsidR="003B600C" w:rsidRPr="00090B97" w:rsidRDefault="00090B97" w:rsidP="00090B97">
      <w:pPr>
        <w:autoSpaceDE w:val="0"/>
        <w:autoSpaceDN w:val="0"/>
        <w:adjustRightInd w:val="0"/>
        <w:spacing w:after="0" w:line="360" w:lineRule="auto"/>
      </w:pPr>
      <w:r w:rsidRPr="00090B97">
        <w:rPr>
          <w:rFonts w:cs="AdvTTb20e5d60"/>
        </w:rPr>
        <w:t>Paediatric TCA is one of the most challenging presentations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that we face in paediatric emergency medicine. This study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has given a consensus-based framework to guide protocol development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in the management of paediatric TCA, though further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work is required in other key areas including its acceptability to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clinicians. A consensus dissemination meeting will be held in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March 2017 where those statements which came close to consensus</w:t>
      </w:r>
      <w:r>
        <w:rPr>
          <w:rFonts w:cs="AdvTTb20e5d60"/>
        </w:rPr>
        <w:t xml:space="preserve"> </w:t>
      </w:r>
      <w:r w:rsidRPr="00090B97">
        <w:rPr>
          <w:rFonts w:cs="AdvTTb20e5d60"/>
        </w:rPr>
        <w:t>will also be discussed.</w:t>
      </w:r>
    </w:p>
    <w:sectPr w:rsidR="003B600C" w:rsidRPr="00090B97" w:rsidSect="00EB4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OTc9c0ed35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d5f80974.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b20e5d6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090B97"/>
    <w:rsid w:val="00090B97"/>
    <w:rsid w:val="000F4EE9"/>
    <w:rsid w:val="00260325"/>
    <w:rsid w:val="003B51F3"/>
    <w:rsid w:val="003B600C"/>
    <w:rsid w:val="003C73A9"/>
    <w:rsid w:val="00441B2D"/>
    <w:rsid w:val="004C4E9E"/>
    <w:rsid w:val="0076079C"/>
    <w:rsid w:val="00794C2C"/>
    <w:rsid w:val="007A0171"/>
    <w:rsid w:val="00BF0CE5"/>
    <w:rsid w:val="00BF4791"/>
    <w:rsid w:val="00C1005C"/>
    <w:rsid w:val="00CE53A4"/>
    <w:rsid w:val="00DE2E62"/>
    <w:rsid w:val="00EB4F3B"/>
    <w:rsid w:val="00F7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Burgle</dc:creator>
  <cp:lastModifiedBy>Burgle</cp:lastModifiedBy>
  <cp:revision>1</cp:revision>
  <dcterms:created xsi:type="dcterms:W3CDTF">2017-05-30T23:04:00Z</dcterms:created>
  <dcterms:modified xsi:type="dcterms:W3CDTF">2017-05-30T23:15:00Z</dcterms:modified>
</cp:coreProperties>
</file>