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6F99" w14:textId="231D9B45" w:rsidR="00401C98" w:rsidRPr="00401C98" w:rsidRDefault="00D35BCC" w:rsidP="006E7D07">
      <w:pPr>
        <w:pStyle w:val="Title"/>
        <w:rPr>
          <w:rFonts w:eastAsiaTheme="minorEastAsia"/>
        </w:rPr>
      </w:pPr>
      <w:r w:rsidRPr="006D55BE">
        <w:rPr>
          <w:rFonts w:eastAsiaTheme="minorEastAsia"/>
        </w:rPr>
        <w:t xml:space="preserve">A framework to evaluate the accessibility, visibility, and intelligibility of green-blue spaces (GBSs) </w:t>
      </w:r>
      <w:r w:rsidR="006035C7" w:rsidRPr="006D55BE">
        <w:rPr>
          <w:rFonts w:eastAsiaTheme="minorEastAsia"/>
        </w:rPr>
        <w:t>related to pedestrian movement</w:t>
      </w:r>
    </w:p>
    <w:p w14:paraId="4B8DB107" w14:textId="77777777" w:rsidR="00F23EF5" w:rsidRPr="006D55BE" w:rsidRDefault="00F23EF5" w:rsidP="00B80161">
      <w:pPr>
        <w:spacing w:after="163"/>
        <w:rPr>
          <w:rFonts w:eastAsiaTheme="minorEastAsia"/>
        </w:rPr>
      </w:pPr>
    </w:p>
    <w:p w14:paraId="3BB0F0ED" w14:textId="05BD55AB" w:rsidR="00D35BCC" w:rsidRPr="006D55BE" w:rsidRDefault="00D35BCC" w:rsidP="00B80161">
      <w:pPr>
        <w:spacing w:after="163"/>
        <w:rPr>
          <w:rFonts w:eastAsiaTheme="minorEastAsia"/>
        </w:rPr>
      </w:pPr>
      <w:r w:rsidRPr="006D55BE">
        <w:rPr>
          <w:rFonts w:eastAsiaTheme="minorEastAsia"/>
        </w:rPr>
        <w:t>Abstract</w:t>
      </w:r>
    </w:p>
    <w:p w14:paraId="68D25ECF" w14:textId="229E5729" w:rsidR="009A53CD" w:rsidRPr="006D55BE" w:rsidRDefault="009A53CD" w:rsidP="009A53CD">
      <w:pPr>
        <w:spacing w:after="163"/>
        <w:rPr>
          <w:rFonts w:eastAsiaTheme="minorEastAsia"/>
        </w:rPr>
      </w:pPr>
      <w:r w:rsidRPr="006D55BE">
        <w:rPr>
          <w:rFonts w:eastAsiaTheme="minorEastAsia"/>
        </w:rPr>
        <w:t>The planning of green-blue spaces (GBSs) requires consider</w:t>
      </w:r>
      <w:r w:rsidR="00C33602">
        <w:rPr>
          <w:rFonts w:eastAsiaTheme="minorEastAsia" w:hint="eastAsia"/>
        </w:rPr>
        <w:t>ing</w:t>
      </w:r>
      <w:r w:rsidRPr="006D55BE">
        <w:rPr>
          <w:rFonts w:eastAsiaTheme="minorEastAsia"/>
        </w:rPr>
        <w:t xml:space="preserve"> the pedestrian needs in their walking routes </w:t>
      </w:r>
      <w:r w:rsidR="00794ED8" w:rsidRPr="006D55BE">
        <w:rPr>
          <w:rFonts w:eastAsiaTheme="minorEastAsia"/>
        </w:rPr>
        <w:t>for improv</w:t>
      </w:r>
      <w:r w:rsidR="00E122F5" w:rsidRPr="006D55BE">
        <w:rPr>
          <w:rFonts w:eastAsiaTheme="minorEastAsia"/>
        </w:rPr>
        <w:t>ing</w:t>
      </w:r>
      <w:r w:rsidR="00794ED8" w:rsidRPr="006D55BE">
        <w:rPr>
          <w:rFonts w:eastAsiaTheme="minorEastAsia"/>
        </w:rPr>
        <w:t xml:space="preserve"> </w:t>
      </w:r>
      <w:r w:rsidR="004B0E51">
        <w:rPr>
          <w:rFonts w:eastAsiaTheme="minorEastAsia"/>
        </w:rPr>
        <w:t xml:space="preserve">the </w:t>
      </w:r>
      <w:r w:rsidR="00794ED8" w:rsidRPr="006D55BE">
        <w:rPr>
          <w:rFonts w:eastAsiaTheme="minorEastAsia"/>
        </w:rPr>
        <w:t>walking experience.</w:t>
      </w:r>
      <w:r w:rsidRPr="006D55BE">
        <w:rPr>
          <w:rFonts w:eastAsiaTheme="minorEastAsia"/>
        </w:rPr>
        <w:t xml:space="preserve"> </w:t>
      </w:r>
      <w:r w:rsidR="00B4352F" w:rsidRPr="006D55BE">
        <w:rPr>
          <w:rFonts w:eastAsiaTheme="minorEastAsia"/>
        </w:rPr>
        <w:t>Incorporating the quantitative spatial characteristics of pedestrian movement</w:t>
      </w:r>
      <w:r w:rsidR="00281E68" w:rsidRPr="006D55BE">
        <w:rPr>
          <w:rFonts w:eastAsiaTheme="minorEastAsia"/>
        </w:rPr>
        <w:t xml:space="preserve"> is essential for</w:t>
      </w:r>
      <w:r w:rsidR="00B4352F" w:rsidRPr="006D55BE">
        <w:rPr>
          <w:rFonts w:eastAsiaTheme="minorEastAsia"/>
        </w:rPr>
        <w:t xml:space="preserve"> </w:t>
      </w:r>
      <w:r w:rsidR="00281E68" w:rsidRPr="006D55BE">
        <w:rPr>
          <w:rFonts w:eastAsiaTheme="minorEastAsia"/>
        </w:rPr>
        <w:t>t</w:t>
      </w:r>
      <w:r w:rsidR="00794ED8" w:rsidRPr="006D55BE">
        <w:rPr>
          <w:rFonts w:eastAsiaTheme="minorEastAsia"/>
        </w:rPr>
        <w:t xml:space="preserve">he pedestrian-friendly </w:t>
      </w:r>
      <w:r w:rsidR="00281E68" w:rsidRPr="006D55BE">
        <w:rPr>
          <w:rFonts w:eastAsiaTheme="minorEastAsia"/>
        </w:rPr>
        <w:t>urban planning</w:t>
      </w:r>
      <w:r w:rsidR="003B35E0" w:rsidRPr="006D55BE">
        <w:rPr>
          <w:rFonts w:eastAsiaTheme="minorEastAsia"/>
        </w:rPr>
        <w:t>, which however receive</w:t>
      </w:r>
      <w:r w:rsidR="00FB300A" w:rsidRPr="006D55BE">
        <w:rPr>
          <w:rFonts w:eastAsiaTheme="minorEastAsia"/>
        </w:rPr>
        <w:t>d</w:t>
      </w:r>
      <w:r w:rsidR="00E122F5" w:rsidRPr="006D55BE">
        <w:rPr>
          <w:rFonts w:eastAsiaTheme="minorEastAsia"/>
        </w:rPr>
        <w:t xml:space="preserve"> </w:t>
      </w:r>
      <w:r w:rsidR="00FB300A" w:rsidRPr="006D55BE">
        <w:rPr>
          <w:rFonts w:eastAsiaTheme="minorEastAsia"/>
        </w:rPr>
        <w:t>in</w:t>
      </w:r>
      <w:r w:rsidR="003B35E0" w:rsidRPr="006D55BE">
        <w:rPr>
          <w:rFonts w:eastAsiaTheme="minorEastAsia"/>
        </w:rPr>
        <w:t>sufficient attention</w:t>
      </w:r>
      <w:r w:rsidR="00281E68" w:rsidRPr="006D55BE">
        <w:rPr>
          <w:rFonts w:eastAsiaTheme="minorEastAsia"/>
        </w:rPr>
        <w:t xml:space="preserve">. </w:t>
      </w:r>
      <w:r w:rsidR="00F141FC" w:rsidRPr="006D55BE">
        <w:rPr>
          <w:rFonts w:eastAsiaTheme="minorEastAsia"/>
        </w:rPr>
        <w:t xml:space="preserve">Based on </w:t>
      </w:r>
      <w:r w:rsidR="00E122F5" w:rsidRPr="006D55BE">
        <w:rPr>
          <w:rFonts w:eastAsiaTheme="minorEastAsia"/>
        </w:rPr>
        <w:t xml:space="preserve">the </w:t>
      </w:r>
      <w:r w:rsidR="00472461" w:rsidRPr="006D55BE">
        <w:rPr>
          <w:rFonts w:eastAsiaTheme="minorEastAsia"/>
        </w:rPr>
        <w:t>space syntax theory</w:t>
      </w:r>
      <w:r w:rsidR="00717ED7" w:rsidRPr="006D55BE">
        <w:rPr>
          <w:rFonts w:eastAsiaTheme="minorEastAsia"/>
        </w:rPr>
        <w:t xml:space="preserve">, </w:t>
      </w:r>
      <w:r w:rsidR="00F141FC" w:rsidRPr="006D55BE">
        <w:rPr>
          <w:rFonts w:eastAsiaTheme="minorEastAsia"/>
        </w:rPr>
        <w:t>t</w:t>
      </w:r>
      <w:r w:rsidRPr="006D55BE">
        <w:rPr>
          <w:rFonts w:eastAsiaTheme="minorEastAsia"/>
        </w:rPr>
        <w:t xml:space="preserve">his study </w:t>
      </w:r>
      <w:r w:rsidR="00AC7E29" w:rsidRPr="006D55BE">
        <w:rPr>
          <w:rFonts w:eastAsiaTheme="minorEastAsia"/>
        </w:rPr>
        <w:t xml:space="preserve">provided </w:t>
      </w:r>
      <w:r w:rsidRPr="006D55BE">
        <w:rPr>
          <w:rFonts w:eastAsiaTheme="minorEastAsia"/>
        </w:rPr>
        <w:t>three indicators – accessibility, visibility,</w:t>
      </w:r>
      <w:r w:rsidR="0032171F" w:rsidRPr="006D55BE">
        <w:rPr>
          <w:rFonts w:eastAsiaTheme="minorEastAsia"/>
        </w:rPr>
        <w:t xml:space="preserve"> and</w:t>
      </w:r>
      <w:r w:rsidRPr="006D55BE">
        <w:rPr>
          <w:rFonts w:eastAsiaTheme="minorEastAsia"/>
        </w:rPr>
        <w:t xml:space="preserve"> intelligibility – to demonstrate the needs of physical access, visual access, and spatial cognition</w:t>
      </w:r>
      <w:r w:rsidR="00E122F5" w:rsidRPr="006D55BE">
        <w:rPr>
          <w:rFonts w:eastAsiaTheme="minorEastAsia"/>
        </w:rPr>
        <w:t>, respectively,</w:t>
      </w:r>
      <w:r w:rsidRPr="006D55BE">
        <w:rPr>
          <w:rFonts w:eastAsiaTheme="minorEastAsia"/>
        </w:rPr>
        <w:t xml:space="preserve"> in pedestrian movement. </w:t>
      </w:r>
      <w:r w:rsidR="00E064BD" w:rsidRPr="006D55BE">
        <w:rPr>
          <w:rFonts w:eastAsiaTheme="minorEastAsia"/>
        </w:rPr>
        <w:t xml:space="preserve">Measuring these three indicators, this study </w:t>
      </w:r>
      <w:r w:rsidRPr="006D55BE">
        <w:rPr>
          <w:rFonts w:eastAsiaTheme="minorEastAsia"/>
        </w:rPr>
        <w:t>exemplif</w:t>
      </w:r>
      <w:r w:rsidR="00E064BD" w:rsidRPr="006D55BE">
        <w:rPr>
          <w:rFonts w:eastAsiaTheme="minorEastAsia"/>
        </w:rPr>
        <w:t>ied</w:t>
      </w:r>
      <w:r w:rsidRPr="006D55BE">
        <w:rPr>
          <w:rFonts w:eastAsiaTheme="minorEastAsia"/>
        </w:rPr>
        <w:t xml:space="preserve"> the planning of </w:t>
      </w:r>
      <w:proofErr w:type="gramStart"/>
      <w:r w:rsidRPr="006D55BE">
        <w:rPr>
          <w:rFonts w:eastAsiaTheme="minorEastAsia"/>
        </w:rPr>
        <w:t>pedestrian-friendly</w:t>
      </w:r>
      <w:proofErr w:type="gramEnd"/>
      <w:r w:rsidRPr="006D55BE">
        <w:rPr>
          <w:rFonts w:eastAsiaTheme="minorEastAsia"/>
        </w:rPr>
        <w:t xml:space="preserve"> GBSs using Guangzhou, China as a case study. </w:t>
      </w:r>
      <w:r w:rsidR="00472461" w:rsidRPr="006D55BE">
        <w:rPr>
          <w:rFonts w:eastAsiaTheme="minorEastAsia"/>
        </w:rPr>
        <w:t>Spatial design network analysis was used to quantify heterogen</w:t>
      </w:r>
      <w:r w:rsidR="004B0E51">
        <w:rPr>
          <w:rFonts w:eastAsiaTheme="minorEastAsia"/>
        </w:rPr>
        <w:t>e</w:t>
      </w:r>
      <w:r w:rsidR="00472461" w:rsidRPr="006D55BE">
        <w:rPr>
          <w:rFonts w:eastAsiaTheme="minorEastAsia"/>
        </w:rPr>
        <w:t xml:space="preserve">ous values of accessibility, visibility, and intelligibility </w:t>
      </w:r>
      <w:r w:rsidR="005E6477">
        <w:rPr>
          <w:rFonts w:eastAsiaTheme="minorEastAsia" w:hint="eastAsia"/>
        </w:rPr>
        <w:t>of</w:t>
      </w:r>
      <w:r w:rsidR="005E6477">
        <w:rPr>
          <w:rFonts w:eastAsiaTheme="minorEastAsia"/>
        </w:rPr>
        <w:t xml:space="preserve"> each GBS throughout </w:t>
      </w:r>
      <w:r w:rsidR="00472461" w:rsidRPr="006D55BE">
        <w:rPr>
          <w:rFonts w:eastAsiaTheme="minorEastAsia"/>
        </w:rPr>
        <w:t xml:space="preserve">the city. </w:t>
      </w:r>
      <w:r w:rsidR="00A44902" w:rsidRPr="006D55BE">
        <w:rPr>
          <w:rFonts w:eastAsiaTheme="minorEastAsia"/>
        </w:rPr>
        <w:t xml:space="preserve">Moreover, we used principal component analysis </w:t>
      </w:r>
      <w:r w:rsidR="00C118E3" w:rsidRPr="006D55BE">
        <w:rPr>
          <w:rFonts w:eastAsiaTheme="minorEastAsia"/>
        </w:rPr>
        <w:t xml:space="preserve">to identify the leading </w:t>
      </w:r>
      <w:r w:rsidR="00A44902" w:rsidRPr="006D55BE">
        <w:rPr>
          <w:rFonts w:eastAsiaTheme="minorEastAsia"/>
        </w:rPr>
        <w:t>indic</w:t>
      </w:r>
      <w:r w:rsidR="00741B01" w:rsidRPr="006D55BE">
        <w:rPr>
          <w:rFonts w:eastAsiaTheme="minorEastAsia"/>
        </w:rPr>
        <w:t>a</w:t>
      </w:r>
      <w:r w:rsidR="00A44902" w:rsidRPr="006D55BE">
        <w:rPr>
          <w:rFonts w:eastAsiaTheme="minorEastAsia"/>
        </w:rPr>
        <w:t>tors</w:t>
      </w:r>
      <w:r w:rsidR="00100F67" w:rsidRPr="006D55BE">
        <w:rPr>
          <w:rFonts w:eastAsiaTheme="minorEastAsia"/>
        </w:rPr>
        <w:t xml:space="preserve"> based on their weightings</w:t>
      </w:r>
      <w:r w:rsidR="004225DE" w:rsidRPr="006D55BE">
        <w:rPr>
          <w:rFonts w:eastAsiaTheme="minorEastAsia"/>
        </w:rPr>
        <w:t xml:space="preserve"> and then to</w:t>
      </w:r>
      <w:r w:rsidRPr="006D55BE">
        <w:rPr>
          <w:rFonts w:eastAsiaTheme="minorEastAsia"/>
        </w:rPr>
        <w:t xml:space="preserve"> calculate the scores </w:t>
      </w:r>
      <w:r w:rsidR="00485A59" w:rsidRPr="006D55BE">
        <w:rPr>
          <w:rFonts w:eastAsiaTheme="minorEastAsia"/>
        </w:rPr>
        <w:t>to compare the</w:t>
      </w:r>
      <w:r w:rsidR="004225DE" w:rsidRPr="006D55BE">
        <w:rPr>
          <w:rFonts w:eastAsiaTheme="minorEastAsia"/>
        </w:rPr>
        <w:t>se three aspects</w:t>
      </w:r>
      <w:r w:rsidR="00485A59" w:rsidRPr="006D55BE">
        <w:rPr>
          <w:rFonts w:eastAsiaTheme="minorEastAsia"/>
        </w:rPr>
        <w:t xml:space="preserve"> of GBSs</w:t>
      </w:r>
      <w:r w:rsidRPr="006D55BE">
        <w:rPr>
          <w:rFonts w:eastAsiaTheme="minorEastAsia"/>
        </w:rPr>
        <w:t xml:space="preserve">. </w:t>
      </w:r>
      <w:bookmarkStart w:id="0" w:name="_Hlk94281775"/>
      <w:r w:rsidR="005E6477">
        <w:rPr>
          <w:rFonts w:eastAsiaTheme="minorEastAsia"/>
        </w:rPr>
        <w:t>The measur</w:t>
      </w:r>
      <w:r w:rsidR="00120938">
        <w:rPr>
          <w:rFonts w:eastAsiaTheme="minorEastAsia"/>
        </w:rPr>
        <w:t>e</w:t>
      </w:r>
      <w:r w:rsidR="005E6477">
        <w:rPr>
          <w:rFonts w:eastAsiaTheme="minorEastAsia"/>
        </w:rPr>
        <w:t>ments of accessibility,</w:t>
      </w:r>
      <w:r w:rsidR="005E6477" w:rsidRPr="005E6477">
        <w:rPr>
          <w:rFonts w:eastAsiaTheme="minorEastAsia"/>
        </w:rPr>
        <w:t xml:space="preserve"> </w:t>
      </w:r>
      <w:r w:rsidR="005E6477" w:rsidRPr="006D55BE">
        <w:rPr>
          <w:rFonts w:eastAsiaTheme="minorEastAsia"/>
        </w:rPr>
        <w:t>visibility, and intelligibility</w:t>
      </w:r>
      <w:r w:rsidR="005E6477">
        <w:rPr>
          <w:rFonts w:eastAsiaTheme="minorEastAsia"/>
        </w:rPr>
        <w:t xml:space="preserve"> of each GBS were then averaged </w:t>
      </w:r>
      <w:r w:rsidR="00120938" w:rsidRPr="00120938">
        <w:rPr>
          <w:rFonts w:eastAsiaTheme="minorEastAsia"/>
        </w:rPr>
        <w:t xml:space="preserve">across </w:t>
      </w:r>
      <w:r w:rsidR="003A3CBF">
        <w:rPr>
          <w:rFonts w:eastAsiaTheme="minorEastAsia"/>
        </w:rPr>
        <w:t xml:space="preserve">urban </w:t>
      </w:r>
      <w:r w:rsidR="00120938" w:rsidRPr="00120938">
        <w:rPr>
          <w:rFonts w:eastAsiaTheme="minorEastAsia"/>
        </w:rPr>
        <w:t xml:space="preserve">administrative districts </w:t>
      </w:r>
      <w:r w:rsidR="00120938">
        <w:rPr>
          <w:rFonts w:eastAsiaTheme="minorEastAsia"/>
        </w:rPr>
        <w:t xml:space="preserve">for </w:t>
      </w:r>
      <w:r w:rsidR="00364F75">
        <w:rPr>
          <w:rFonts w:eastAsiaTheme="minorEastAsia"/>
        </w:rPr>
        <w:t xml:space="preserve">evaluating city-scale </w:t>
      </w:r>
      <w:r w:rsidR="00120938" w:rsidRPr="00120938">
        <w:rPr>
          <w:rFonts w:eastAsiaTheme="minorEastAsia"/>
        </w:rPr>
        <w:t>GBS</w:t>
      </w:r>
      <w:r w:rsidR="00364F75">
        <w:rPr>
          <w:rFonts w:eastAsiaTheme="minorEastAsia"/>
        </w:rPr>
        <w:t>s</w:t>
      </w:r>
      <w:r w:rsidR="00120938">
        <w:rPr>
          <w:rFonts w:eastAsiaTheme="minorEastAsia"/>
        </w:rPr>
        <w:t>.</w:t>
      </w:r>
      <w:bookmarkEnd w:id="0"/>
      <w:r w:rsidR="005E6477">
        <w:rPr>
          <w:rFonts w:eastAsiaTheme="minorEastAsia"/>
        </w:rPr>
        <w:t xml:space="preserve"> </w:t>
      </w:r>
      <w:r w:rsidRPr="006D55BE">
        <w:rPr>
          <w:rFonts w:eastAsiaTheme="minorEastAsia"/>
        </w:rPr>
        <w:t>The findings showed that</w:t>
      </w:r>
      <w:r w:rsidR="004C5679" w:rsidRPr="006D55BE">
        <w:rPr>
          <w:rFonts w:eastAsiaTheme="minorEastAsia"/>
        </w:rPr>
        <w:t xml:space="preserve"> GBSs in central districts </w:t>
      </w:r>
      <w:r w:rsidR="00686481" w:rsidRPr="006D55BE">
        <w:rPr>
          <w:rFonts w:eastAsiaTheme="minorEastAsia"/>
        </w:rPr>
        <w:t xml:space="preserve">were most accessible and visible but least intelligible. </w:t>
      </w:r>
      <w:r w:rsidR="00F5128A" w:rsidRPr="006D55BE">
        <w:rPr>
          <w:rFonts w:eastAsiaTheme="minorEastAsia"/>
        </w:rPr>
        <w:t>In contrast</w:t>
      </w:r>
      <w:r w:rsidR="0056375F" w:rsidRPr="006D55BE">
        <w:rPr>
          <w:rFonts w:eastAsiaTheme="minorEastAsia"/>
        </w:rPr>
        <w:t>,</w:t>
      </w:r>
      <w:r w:rsidR="004C1C49" w:rsidRPr="006D55BE">
        <w:rPr>
          <w:rFonts w:eastAsiaTheme="minorEastAsia"/>
        </w:rPr>
        <w:t xml:space="preserve"> </w:t>
      </w:r>
      <w:r w:rsidR="0056375F" w:rsidRPr="006D55BE">
        <w:rPr>
          <w:rFonts w:eastAsiaTheme="minorEastAsia"/>
        </w:rPr>
        <w:t xml:space="preserve">the overall intelligibility of GBSs </w:t>
      </w:r>
      <w:r w:rsidR="004C1C49" w:rsidRPr="006D55BE">
        <w:rPr>
          <w:rFonts w:eastAsiaTheme="minorEastAsia"/>
        </w:rPr>
        <w:t xml:space="preserve">throughout the city </w:t>
      </w:r>
      <w:r w:rsidR="0056375F" w:rsidRPr="006D55BE">
        <w:rPr>
          <w:rFonts w:eastAsiaTheme="minorEastAsia"/>
        </w:rPr>
        <w:t xml:space="preserve">was the greatest but the visibility was the least. </w:t>
      </w:r>
      <w:r w:rsidR="009E2BA7" w:rsidRPr="006D55BE">
        <w:rPr>
          <w:rFonts w:eastAsiaTheme="minorEastAsia"/>
        </w:rPr>
        <w:t>Furthermore, i</w:t>
      </w:r>
      <w:r w:rsidRPr="006D55BE">
        <w:rPr>
          <w:rFonts w:eastAsiaTheme="minorEastAsia"/>
        </w:rPr>
        <w:t>ntelligibility</w:t>
      </w:r>
      <w:r w:rsidR="00C0049A" w:rsidRPr="006D55BE">
        <w:rPr>
          <w:rFonts w:eastAsiaTheme="minorEastAsia"/>
        </w:rPr>
        <w:t xml:space="preserve">, as a more important factor than accessibility and visibility, </w:t>
      </w:r>
      <w:r w:rsidR="004C5679" w:rsidRPr="006D55BE">
        <w:rPr>
          <w:rFonts w:eastAsiaTheme="minorEastAsia"/>
        </w:rPr>
        <w:t xml:space="preserve">should be </w:t>
      </w:r>
      <w:r w:rsidR="000040E5" w:rsidRPr="006D55BE">
        <w:rPr>
          <w:rFonts w:eastAsiaTheme="minorEastAsia"/>
        </w:rPr>
        <w:t xml:space="preserve">particularly emphasized </w:t>
      </w:r>
      <w:r w:rsidR="004C5679" w:rsidRPr="006D55BE">
        <w:rPr>
          <w:rFonts w:eastAsiaTheme="minorEastAsia"/>
        </w:rPr>
        <w:t xml:space="preserve">in future planning of </w:t>
      </w:r>
      <w:proofErr w:type="gramStart"/>
      <w:r w:rsidR="004C5679" w:rsidRPr="006D55BE">
        <w:rPr>
          <w:rFonts w:eastAsiaTheme="minorEastAsia"/>
        </w:rPr>
        <w:t>pedestrian-friendly</w:t>
      </w:r>
      <w:proofErr w:type="gramEnd"/>
      <w:r w:rsidR="004C5679" w:rsidRPr="006D55BE">
        <w:rPr>
          <w:rFonts w:eastAsiaTheme="minorEastAsia"/>
        </w:rPr>
        <w:t xml:space="preserve"> GBSs</w:t>
      </w:r>
      <w:r w:rsidRPr="006D55BE">
        <w:rPr>
          <w:rFonts w:eastAsiaTheme="minorEastAsia"/>
        </w:rPr>
        <w:t xml:space="preserve">. </w:t>
      </w:r>
      <w:r w:rsidR="00741B01" w:rsidRPr="006D55BE">
        <w:rPr>
          <w:rFonts w:eastAsiaTheme="minorEastAsia"/>
        </w:rPr>
        <w:t>Pedestrians from the central districts of Guangzhou city were most satisfied with</w:t>
      </w:r>
      <w:r w:rsidR="00E710BA">
        <w:rPr>
          <w:rFonts w:eastAsiaTheme="minorEastAsia"/>
        </w:rPr>
        <w:t xml:space="preserve"> the</w:t>
      </w:r>
      <w:r w:rsidR="00741B01" w:rsidRPr="006D55BE">
        <w:rPr>
          <w:rFonts w:eastAsiaTheme="minorEastAsia"/>
        </w:rPr>
        <w:t xml:space="preserve"> walking experience, in terms of accessing to, viewing, and cognizing the GBSs.</w:t>
      </w:r>
      <w:r w:rsidR="00DD17FC" w:rsidRPr="006D55BE">
        <w:rPr>
          <w:rFonts w:eastAsiaTheme="minorEastAsia"/>
        </w:rPr>
        <w:t xml:space="preserve"> </w:t>
      </w:r>
      <w:r w:rsidRPr="006D55BE">
        <w:rPr>
          <w:rFonts w:eastAsiaTheme="minorEastAsia"/>
        </w:rPr>
        <w:t>‘Yuexiu’, ‘</w:t>
      </w:r>
      <w:proofErr w:type="spellStart"/>
      <w:r w:rsidRPr="006D55BE">
        <w:rPr>
          <w:rFonts w:eastAsiaTheme="minorEastAsia"/>
        </w:rPr>
        <w:t>Huadu</w:t>
      </w:r>
      <w:proofErr w:type="spellEnd"/>
      <w:r w:rsidRPr="006D55BE">
        <w:rPr>
          <w:rFonts w:eastAsiaTheme="minorEastAsia"/>
        </w:rPr>
        <w:t>’, and ‘</w:t>
      </w:r>
      <w:proofErr w:type="spellStart"/>
      <w:r w:rsidRPr="006D55BE">
        <w:rPr>
          <w:rFonts w:eastAsiaTheme="minorEastAsia"/>
        </w:rPr>
        <w:t>Nansha</w:t>
      </w:r>
      <w:proofErr w:type="spellEnd"/>
      <w:r w:rsidRPr="006D55BE">
        <w:rPr>
          <w:rFonts w:eastAsiaTheme="minorEastAsia"/>
        </w:rPr>
        <w:t xml:space="preserve">’ districts were </w:t>
      </w:r>
      <w:r w:rsidR="00E00052" w:rsidRPr="006D55BE">
        <w:rPr>
          <w:rFonts w:eastAsiaTheme="minorEastAsia"/>
        </w:rPr>
        <w:t>found</w:t>
      </w:r>
      <w:r w:rsidR="00561113" w:rsidRPr="006D55BE">
        <w:rPr>
          <w:rFonts w:eastAsiaTheme="minorEastAsia"/>
        </w:rPr>
        <w:t xml:space="preserve"> as </w:t>
      </w:r>
      <w:r w:rsidRPr="006D55BE">
        <w:rPr>
          <w:rFonts w:eastAsiaTheme="minorEastAsia"/>
        </w:rPr>
        <w:t xml:space="preserve">the key places where </w:t>
      </w:r>
      <w:r w:rsidR="007C400A">
        <w:rPr>
          <w:rFonts w:eastAsiaTheme="minorEastAsia"/>
        </w:rPr>
        <w:t xml:space="preserve">improved </w:t>
      </w:r>
      <w:r w:rsidR="00561113" w:rsidRPr="006D55BE">
        <w:rPr>
          <w:rFonts w:eastAsiaTheme="minorEastAsia"/>
        </w:rPr>
        <w:t xml:space="preserve">accessibility, visibility, and intelligibility </w:t>
      </w:r>
      <w:r w:rsidR="00326EDD" w:rsidRPr="006D55BE">
        <w:rPr>
          <w:rFonts w:eastAsiaTheme="minorEastAsia"/>
        </w:rPr>
        <w:t>were particularly needed</w:t>
      </w:r>
      <w:r w:rsidRPr="006D55BE">
        <w:rPr>
          <w:rFonts w:eastAsiaTheme="minorEastAsia"/>
        </w:rPr>
        <w:t xml:space="preserve"> to </w:t>
      </w:r>
      <w:r w:rsidR="00432AAE" w:rsidRPr="006D55BE">
        <w:rPr>
          <w:rFonts w:eastAsiaTheme="minorEastAsia"/>
        </w:rPr>
        <w:t>improv</w:t>
      </w:r>
      <w:r w:rsidR="00326EDD" w:rsidRPr="006D55BE">
        <w:rPr>
          <w:rFonts w:eastAsiaTheme="minorEastAsia"/>
        </w:rPr>
        <w:t>e</w:t>
      </w:r>
      <w:r w:rsidR="00432AAE" w:rsidRPr="006D55BE">
        <w:rPr>
          <w:rFonts w:eastAsiaTheme="minorEastAsia"/>
        </w:rPr>
        <w:t xml:space="preserve"> the </w:t>
      </w:r>
      <w:r w:rsidR="003A3CBF">
        <w:rPr>
          <w:rFonts w:eastAsiaTheme="minorEastAsia"/>
        </w:rPr>
        <w:t xml:space="preserve">GBS </w:t>
      </w:r>
      <w:r w:rsidR="00F15244" w:rsidRPr="00F15244">
        <w:rPr>
          <w:rFonts w:eastAsiaTheme="minorEastAsia"/>
        </w:rPr>
        <w:t>pedestrian-friendliness</w:t>
      </w:r>
      <w:r w:rsidR="003A3CBF">
        <w:rPr>
          <w:rFonts w:eastAsiaTheme="minorEastAsia"/>
        </w:rPr>
        <w:t xml:space="preserve"> </w:t>
      </w:r>
      <w:proofErr w:type="spellStart"/>
      <w:r w:rsidR="007C400A">
        <w:rPr>
          <w:rFonts w:eastAsiaTheme="minorEastAsia"/>
        </w:rPr>
        <w:t>throught</w:t>
      </w:r>
      <w:proofErr w:type="spellEnd"/>
      <w:r w:rsidR="007C400A">
        <w:rPr>
          <w:rFonts w:eastAsiaTheme="minorEastAsia"/>
        </w:rPr>
        <w:t xml:space="preserve"> the </w:t>
      </w:r>
      <w:r w:rsidR="003A3CBF">
        <w:rPr>
          <w:rFonts w:eastAsiaTheme="minorEastAsia"/>
        </w:rPr>
        <w:t>city</w:t>
      </w:r>
      <w:r w:rsidRPr="006D55BE">
        <w:rPr>
          <w:rFonts w:eastAsiaTheme="minorEastAsia"/>
        </w:rPr>
        <w:t xml:space="preserve">. </w:t>
      </w:r>
      <w:bookmarkStart w:id="1" w:name="_Hlk94281939"/>
      <w:r w:rsidR="00040902" w:rsidRPr="006D55BE">
        <w:rPr>
          <w:rFonts w:eastAsiaTheme="minorEastAsia"/>
        </w:rPr>
        <w:t>In summary, t</w:t>
      </w:r>
      <w:r w:rsidRPr="006D55BE">
        <w:rPr>
          <w:rFonts w:eastAsiaTheme="minorEastAsia"/>
        </w:rPr>
        <w:t xml:space="preserve">his </w:t>
      </w:r>
      <w:r w:rsidR="0067411C" w:rsidRPr="006D55BE">
        <w:t xml:space="preserve">study </w:t>
      </w:r>
      <w:r w:rsidR="00CD094E">
        <w:t xml:space="preserve">not only </w:t>
      </w:r>
      <w:r w:rsidR="0067411C" w:rsidRPr="006D55BE">
        <w:rPr>
          <w:rFonts w:eastAsiaTheme="minorEastAsia"/>
        </w:rPr>
        <w:t>demonstrated a human-scale</w:t>
      </w:r>
      <w:r w:rsidR="00CD094E">
        <w:rPr>
          <w:rFonts w:eastAsiaTheme="minorEastAsia"/>
        </w:rPr>
        <w:t xml:space="preserve"> GBS</w:t>
      </w:r>
      <w:r w:rsidR="0067411C" w:rsidRPr="006D55BE">
        <w:rPr>
          <w:rFonts w:eastAsiaTheme="minorEastAsia"/>
        </w:rPr>
        <w:t xml:space="preserve"> evaluation framework for improving </w:t>
      </w:r>
      <w:r w:rsidR="00CD094E">
        <w:rPr>
          <w:rFonts w:eastAsiaTheme="minorEastAsia"/>
        </w:rPr>
        <w:t xml:space="preserve">human </w:t>
      </w:r>
      <w:r w:rsidR="0067411C" w:rsidRPr="006D55BE">
        <w:rPr>
          <w:rFonts w:eastAsiaTheme="minorEastAsia"/>
        </w:rPr>
        <w:t>walking experience</w:t>
      </w:r>
      <w:r w:rsidR="00CD094E">
        <w:rPr>
          <w:rFonts w:eastAsiaTheme="minorEastAsia"/>
        </w:rPr>
        <w:t xml:space="preserve"> but also</w:t>
      </w:r>
      <w:r w:rsidR="0067411C" w:rsidRPr="006D55BE">
        <w:rPr>
          <w:rFonts w:eastAsiaTheme="minorEastAsia"/>
        </w:rPr>
        <w:t xml:space="preserve"> provid</w:t>
      </w:r>
      <w:r w:rsidR="00CD094E">
        <w:rPr>
          <w:rFonts w:eastAsiaTheme="minorEastAsia"/>
        </w:rPr>
        <w:t>ed</w:t>
      </w:r>
      <w:r w:rsidR="0067411C" w:rsidRPr="006D55BE">
        <w:rPr>
          <w:rFonts w:eastAsiaTheme="minorEastAsia"/>
        </w:rPr>
        <w:t xml:space="preserve"> empirical evidence for building</w:t>
      </w:r>
      <w:r w:rsidR="00CD094E">
        <w:rPr>
          <w:rFonts w:eastAsiaTheme="minorEastAsia"/>
        </w:rPr>
        <w:t xml:space="preserve"> </w:t>
      </w:r>
      <w:r w:rsidR="0067411C" w:rsidRPr="006D55BE">
        <w:rPr>
          <w:rFonts w:eastAsiaTheme="minorEastAsia"/>
        </w:rPr>
        <w:t>pedestrian-friendly green-blue spaces</w:t>
      </w:r>
      <w:r w:rsidR="00896EF5">
        <w:rPr>
          <w:rFonts w:eastAsiaTheme="minorEastAsia"/>
        </w:rPr>
        <w:t xml:space="preserve"> at the city scale</w:t>
      </w:r>
      <w:r w:rsidR="0067411C" w:rsidRPr="006D55BE">
        <w:rPr>
          <w:rFonts w:eastAsiaTheme="minorEastAsia"/>
        </w:rPr>
        <w:t>.</w:t>
      </w:r>
      <w:bookmarkEnd w:id="1"/>
    </w:p>
    <w:p w14:paraId="2043B0F4" w14:textId="5FE83B28" w:rsidR="00D35BCC" w:rsidRPr="006D55BE" w:rsidRDefault="00D35BCC" w:rsidP="00B80161">
      <w:pPr>
        <w:spacing w:after="163"/>
        <w:rPr>
          <w:rFonts w:eastAsiaTheme="minorEastAsia"/>
        </w:rPr>
      </w:pPr>
    </w:p>
    <w:p w14:paraId="312D2353" w14:textId="2A8F33EA" w:rsidR="00D35BCC" w:rsidRPr="006D55BE" w:rsidRDefault="00D35BCC" w:rsidP="00B80161">
      <w:pPr>
        <w:spacing w:after="163"/>
        <w:rPr>
          <w:rFonts w:eastAsiaTheme="minorEastAsia"/>
        </w:rPr>
      </w:pPr>
      <w:r w:rsidRPr="006D55BE">
        <w:rPr>
          <w:rFonts w:eastAsiaTheme="minorEastAsia"/>
        </w:rPr>
        <w:t xml:space="preserve">Keywords: </w:t>
      </w:r>
      <w:r w:rsidR="00073DF2" w:rsidRPr="006D55BE">
        <w:rPr>
          <w:rFonts w:eastAsiaTheme="minorEastAsia"/>
        </w:rPr>
        <w:t>Accessibility; Visibility; Intelligibility; Space syntax; Green-blue spaces</w:t>
      </w:r>
    </w:p>
    <w:p w14:paraId="119C3924" w14:textId="14749052" w:rsidR="00D35BCC" w:rsidRPr="006D55BE" w:rsidRDefault="00D35BCC" w:rsidP="00B80161">
      <w:pPr>
        <w:spacing w:after="163"/>
        <w:rPr>
          <w:rFonts w:eastAsiaTheme="minorEastAsia"/>
        </w:rPr>
      </w:pPr>
    </w:p>
    <w:p w14:paraId="293AD61A" w14:textId="77777777" w:rsidR="0037345F" w:rsidRPr="006D55BE" w:rsidRDefault="0037345F" w:rsidP="0037345F">
      <w:pPr>
        <w:spacing w:after="163"/>
        <w:rPr>
          <w:shd w:val="clear" w:color="auto" w:fill="FFFFFF"/>
        </w:rPr>
      </w:pPr>
      <w:r w:rsidRPr="006D55BE">
        <w:rPr>
          <w:shd w:val="clear" w:color="auto" w:fill="FFFFFF"/>
        </w:rPr>
        <w:t>AVI: Accessibility, visibility, and intelligibility</w:t>
      </w:r>
    </w:p>
    <w:p w14:paraId="1005C12F" w14:textId="7823CA64" w:rsidR="00C22817" w:rsidRPr="006D55BE" w:rsidRDefault="00C22817" w:rsidP="00C22817">
      <w:pPr>
        <w:spacing w:after="163"/>
        <w:rPr>
          <w:shd w:val="clear" w:color="auto" w:fill="FFFFFF"/>
        </w:rPr>
      </w:pPr>
      <w:r w:rsidRPr="006D55BE">
        <w:rPr>
          <w:shd w:val="clear" w:color="auto" w:fill="FFFFFF"/>
        </w:rPr>
        <w:t xml:space="preserve">GBSs: </w:t>
      </w:r>
      <w:r w:rsidR="003357A8" w:rsidRPr="006D55BE">
        <w:rPr>
          <w:shd w:val="clear" w:color="auto" w:fill="FFFFFF"/>
        </w:rPr>
        <w:t>G</w:t>
      </w:r>
      <w:r w:rsidRPr="006D55BE">
        <w:rPr>
          <w:shd w:val="clear" w:color="auto" w:fill="FFFFFF"/>
        </w:rPr>
        <w:t xml:space="preserve">reen-blue </w:t>
      </w:r>
      <w:r w:rsidR="00015656" w:rsidRPr="006D55BE">
        <w:rPr>
          <w:shd w:val="clear" w:color="auto" w:fill="FFFFFF"/>
        </w:rPr>
        <w:t>spaces</w:t>
      </w:r>
    </w:p>
    <w:p w14:paraId="116E0020" w14:textId="77777777" w:rsidR="005A64FE" w:rsidRPr="006D55BE" w:rsidRDefault="005A64FE" w:rsidP="005A64FE">
      <w:pPr>
        <w:spacing w:after="163"/>
        <w:rPr>
          <w:rFonts w:eastAsiaTheme="minorEastAsia"/>
        </w:rPr>
      </w:pPr>
      <w:proofErr w:type="spellStart"/>
      <w:r w:rsidRPr="005A64FE">
        <w:rPr>
          <w:rFonts w:eastAsiaTheme="minorEastAsia"/>
        </w:rPr>
        <w:t>LConn</w:t>
      </w:r>
      <w:proofErr w:type="spellEnd"/>
      <w:r>
        <w:rPr>
          <w:rFonts w:eastAsiaTheme="minorEastAsia"/>
        </w:rPr>
        <w:t xml:space="preserve">: </w:t>
      </w:r>
      <w:r w:rsidRPr="005A64FE">
        <w:rPr>
          <w:rFonts w:eastAsiaTheme="minorEastAsia"/>
        </w:rPr>
        <w:t>Line Connectivity</w:t>
      </w:r>
    </w:p>
    <w:p w14:paraId="0EE4A1CD" w14:textId="77777777" w:rsidR="005A64FE" w:rsidRPr="005A64FE" w:rsidRDefault="005A64FE" w:rsidP="005A64FE">
      <w:pPr>
        <w:spacing w:after="163"/>
        <w:rPr>
          <w:rFonts w:eastAsiaTheme="minorEastAsia"/>
        </w:rPr>
      </w:pPr>
      <w:r w:rsidRPr="005A64FE">
        <w:rPr>
          <w:rFonts w:eastAsiaTheme="minorEastAsia"/>
        </w:rPr>
        <w:lastRenderedPageBreak/>
        <w:t>NQPDA</w:t>
      </w:r>
      <w:r>
        <w:rPr>
          <w:rFonts w:eastAsiaTheme="minorEastAsia"/>
        </w:rPr>
        <w:t xml:space="preserve">: </w:t>
      </w:r>
      <w:r w:rsidRPr="005A64FE">
        <w:rPr>
          <w:rFonts w:eastAsiaTheme="minorEastAsia"/>
        </w:rPr>
        <w:t>Network Quantity Penalized by Distance in Radius Angular</w:t>
      </w:r>
    </w:p>
    <w:p w14:paraId="47E69C8C" w14:textId="77777777" w:rsidR="005A64FE" w:rsidRPr="005A64FE" w:rsidRDefault="005A64FE" w:rsidP="005A64FE">
      <w:pPr>
        <w:spacing w:after="163"/>
        <w:rPr>
          <w:rFonts w:eastAsiaTheme="minorEastAsia"/>
        </w:rPr>
      </w:pPr>
      <w:r w:rsidRPr="005A64FE">
        <w:rPr>
          <w:rFonts w:eastAsiaTheme="minorEastAsia"/>
        </w:rPr>
        <w:t>OSM</w:t>
      </w:r>
      <w:r>
        <w:rPr>
          <w:rFonts w:eastAsiaTheme="minorEastAsia" w:hint="eastAsia"/>
        </w:rPr>
        <w:t>:</w:t>
      </w:r>
      <w:r>
        <w:rPr>
          <w:rFonts w:eastAsiaTheme="minorEastAsia"/>
        </w:rPr>
        <w:t xml:space="preserve"> </w:t>
      </w:r>
      <w:r w:rsidRPr="005A64FE">
        <w:rPr>
          <w:rFonts w:eastAsiaTheme="minorEastAsia"/>
        </w:rPr>
        <w:t>Open Street Map</w:t>
      </w:r>
    </w:p>
    <w:p w14:paraId="69F808D1" w14:textId="332CE399" w:rsidR="00FD423C" w:rsidRPr="006D55BE" w:rsidRDefault="00FD423C" w:rsidP="00C22817">
      <w:pPr>
        <w:spacing w:after="163"/>
        <w:rPr>
          <w:shd w:val="clear" w:color="auto" w:fill="FFFFFF"/>
        </w:rPr>
      </w:pPr>
      <w:r w:rsidRPr="006D55BE">
        <w:rPr>
          <w:shd w:val="clear" w:color="auto" w:fill="FFFFFF"/>
        </w:rPr>
        <w:t>PCA: Principal component analysis</w:t>
      </w:r>
    </w:p>
    <w:p w14:paraId="56D1440C" w14:textId="60657BD4" w:rsidR="00C22817" w:rsidRPr="006D55BE" w:rsidRDefault="00C22817" w:rsidP="00B80161">
      <w:pPr>
        <w:spacing w:after="163"/>
        <w:rPr>
          <w:rFonts w:eastAsiaTheme="minorEastAsia"/>
        </w:rPr>
      </w:pPr>
      <w:r w:rsidRPr="006D55BE">
        <w:rPr>
          <w:shd w:val="clear" w:color="auto" w:fill="FFFFFF"/>
        </w:rPr>
        <w:t xml:space="preserve">PC: </w:t>
      </w:r>
      <w:r w:rsidR="003357A8" w:rsidRPr="006D55BE">
        <w:rPr>
          <w:shd w:val="clear" w:color="auto" w:fill="FFFFFF"/>
        </w:rPr>
        <w:t>P</w:t>
      </w:r>
      <w:r w:rsidRPr="006D55BE">
        <w:rPr>
          <w:shd w:val="clear" w:color="auto" w:fill="FFFFFF"/>
        </w:rPr>
        <w:t>rincipal component</w:t>
      </w:r>
    </w:p>
    <w:p w14:paraId="4E5244B6" w14:textId="3388BE76" w:rsidR="00C22817" w:rsidRPr="006D55BE" w:rsidRDefault="003357A8" w:rsidP="00B80161">
      <w:pPr>
        <w:spacing w:after="163"/>
        <w:rPr>
          <w:rFonts w:eastAsiaTheme="minorEastAsia"/>
        </w:rPr>
      </w:pPr>
      <w:bookmarkStart w:id="2" w:name="_Hlk89088780"/>
      <w:proofErr w:type="spellStart"/>
      <w:r w:rsidRPr="006D55BE">
        <w:rPr>
          <w:rFonts w:eastAsiaTheme="minorEastAsia"/>
        </w:rPr>
        <w:t>sDNA</w:t>
      </w:r>
      <w:proofErr w:type="spellEnd"/>
      <w:r w:rsidRPr="006D55BE">
        <w:rPr>
          <w:rFonts w:eastAsiaTheme="minorEastAsia"/>
        </w:rPr>
        <w:t>: Spatial design network analysis</w:t>
      </w:r>
      <w:bookmarkEnd w:id="2"/>
      <w:r w:rsidRPr="006D55BE">
        <w:rPr>
          <w:rFonts w:eastAsiaTheme="minorEastAsia"/>
        </w:rPr>
        <w:t xml:space="preserve"> </w:t>
      </w:r>
    </w:p>
    <w:p w14:paraId="6F096057" w14:textId="4E74DEB3" w:rsidR="005A64FE" w:rsidRPr="005A64FE" w:rsidRDefault="005A64FE" w:rsidP="005A64FE">
      <w:pPr>
        <w:spacing w:after="163"/>
        <w:rPr>
          <w:rFonts w:eastAsiaTheme="minorEastAsia"/>
        </w:rPr>
      </w:pPr>
      <w:proofErr w:type="spellStart"/>
      <w:r w:rsidRPr="005A64FE">
        <w:rPr>
          <w:rFonts w:eastAsiaTheme="minorEastAsia"/>
        </w:rPr>
        <w:t>TPBtA</w:t>
      </w:r>
      <w:proofErr w:type="spellEnd"/>
      <w:r>
        <w:rPr>
          <w:rFonts w:eastAsiaTheme="minorEastAsia"/>
        </w:rPr>
        <w:t xml:space="preserve">: </w:t>
      </w:r>
      <w:r w:rsidRPr="005A64FE">
        <w:rPr>
          <w:rFonts w:eastAsiaTheme="minorEastAsia"/>
        </w:rPr>
        <w:t>Two Phase Betweenness Angular</w:t>
      </w:r>
    </w:p>
    <w:p w14:paraId="2CDD27FA" w14:textId="77777777" w:rsidR="00A72DAD" w:rsidRPr="006D55BE" w:rsidRDefault="00A72DAD" w:rsidP="005A64FE">
      <w:pPr>
        <w:spacing w:after="163"/>
        <w:rPr>
          <w:rFonts w:eastAsiaTheme="minorEastAsia"/>
        </w:rPr>
      </w:pPr>
    </w:p>
    <w:p w14:paraId="274C84FC" w14:textId="3AED0AC7" w:rsidR="00B80161" w:rsidRPr="006D55BE" w:rsidRDefault="00B80161" w:rsidP="007E7A9A">
      <w:pPr>
        <w:pStyle w:val="Heading1"/>
        <w:spacing w:before="326" w:after="326"/>
        <w:rPr>
          <w:rFonts w:eastAsiaTheme="minorEastAsia"/>
        </w:rPr>
      </w:pPr>
      <w:r w:rsidRPr="006D55BE">
        <w:rPr>
          <w:rFonts w:eastAsiaTheme="minorEastAsia"/>
        </w:rPr>
        <w:t>1. Introduction</w:t>
      </w:r>
    </w:p>
    <w:p w14:paraId="6DB6F17F" w14:textId="4F2DD0DB" w:rsidR="00985337" w:rsidRPr="006D55BE" w:rsidRDefault="00F05CE0" w:rsidP="00B80161">
      <w:pPr>
        <w:spacing w:after="163"/>
      </w:pPr>
      <w:r w:rsidRPr="006D55BE">
        <w:rPr>
          <w:rFonts w:eastAsiaTheme="minorEastAsia"/>
        </w:rPr>
        <w:tab/>
      </w:r>
      <w:r w:rsidR="002819AE" w:rsidRPr="006D55BE">
        <w:rPr>
          <w:rFonts w:eastAsiaTheme="minorEastAsia"/>
        </w:rPr>
        <w:t xml:space="preserve">The </w:t>
      </w:r>
      <w:r w:rsidR="00A856F7" w:rsidRPr="006D55BE">
        <w:rPr>
          <w:rFonts w:eastAsiaTheme="minorEastAsia"/>
        </w:rPr>
        <w:t>planning of urban green and blue spaces</w:t>
      </w:r>
      <w:r w:rsidR="002819AE" w:rsidRPr="006D55BE">
        <w:rPr>
          <w:rFonts w:eastAsiaTheme="minorEastAsia"/>
        </w:rPr>
        <w:t xml:space="preserve"> </w:t>
      </w:r>
      <w:r w:rsidR="00DE4CE7" w:rsidRPr="006D55BE">
        <w:rPr>
          <w:rFonts w:eastAsiaTheme="minorEastAsia"/>
        </w:rPr>
        <w:t xml:space="preserve">should take the pedestrian demands into account for enhancing the walking experience and thereby human well-being. </w:t>
      </w:r>
      <w:r w:rsidR="001C5E38" w:rsidRPr="006D55BE">
        <w:rPr>
          <w:rFonts w:eastAsiaTheme="minorEastAsia"/>
        </w:rPr>
        <w:t>Inco</w:t>
      </w:r>
      <w:r w:rsidR="00343AB9" w:rsidRPr="006D55BE">
        <w:rPr>
          <w:rFonts w:eastAsiaTheme="minorEastAsia"/>
        </w:rPr>
        <w:t>r</w:t>
      </w:r>
      <w:r w:rsidR="001C5E38" w:rsidRPr="006D55BE">
        <w:rPr>
          <w:rFonts w:eastAsiaTheme="minorEastAsia"/>
        </w:rPr>
        <w:t>porating the spatial patterns of pedestrian movements</w:t>
      </w:r>
      <w:r w:rsidR="00C35888" w:rsidRPr="006D55BE">
        <w:rPr>
          <w:rFonts w:eastAsiaTheme="minorEastAsia"/>
        </w:rPr>
        <w:t xml:space="preserve"> contributes to </w:t>
      </w:r>
      <w:r w:rsidR="00836BD2" w:rsidRPr="006D55BE">
        <w:rPr>
          <w:rFonts w:eastAsiaTheme="minorEastAsia"/>
        </w:rPr>
        <w:t xml:space="preserve">building </w:t>
      </w:r>
      <w:r w:rsidR="00F7340A" w:rsidRPr="006D55BE">
        <w:rPr>
          <w:rFonts w:eastAsiaTheme="minorEastAsia"/>
        </w:rPr>
        <w:t xml:space="preserve">more </w:t>
      </w:r>
      <w:r w:rsidR="002819AE" w:rsidRPr="006D55BE">
        <w:rPr>
          <w:rFonts w:eastAsiaTheme="minorEastAsia"/>
        </w:rPr>
        <w:t xml:space="preserve">pedestrian-friendly </w:t>
      </w:r>
      <w:r w:rsidR="00751225" w:rsidRPr="006D55BE">
        <w:rPr>
          <w:rFonts w:eastAsiaTheme="minorEastAsia"/>
        </w:rPr>
        <w:t>urban green and blue spaces</w:t>
      </w:r>
      <w:r w:rsidR="002819AE" w:rsidRPr="006D55BE">
        <w:rPr>
          <w:rFonts w:eastAsiaTheme="minorEastAsia"/>
        </w:rPr>
        <w:t xml:space="preserve">. </w:t>
      </w:r>
      <w:r w:rsidR="00E43DD6" w:rsidRPr="006D55BE">
        <w:rPr>
          <w:rFonts w:eastAsiaTheme="minorEastAsia"/>
        </w:rPr>
        <w:t>Green and blue spaces can provide significant ecological and social benefits</w:t>
      </w:r>
      <w:r w:rsidR="007B7FA2" w:rsidRPr="006D55BE">
        <w:rPr>
          <w:rFonts w:eastAsiaTheme="minorEastAsia"/>
        </w:rPr>
        <w:t xml:space="preserve">, </w:t>
      </w:r>
      <w:r w:rsidR="00467681" w:rsidRPr="006D55BE">
        <w:rPr>
          <w:rFonts w:eastAsiaTheme="minorEastAsia"/>
        </w:rPr>
        <w:t xml:space="preserve">including </w:t>
      </w:r>
      <w:r w:rsidR="007B7FA2" w:rsidRPr="006D55BE">
        <w:rPr>
          <w:rFonts w:eastAsiaTheme="minorEastAsia"/>
        </w:rPr>
        <w:t xml:space="preserve">climate regulation </w:t>
      </w:r>
      <w:r w:rsidR="007B7FA2" w:rsidRPr="006D55BE">
        <w:fldChar w:fldCharType="begin" w:fldLock="1"/>
      </w:r>
      <w:r w:rsidR="003A11FE" w:rsidRPr="006D55BE">
        <w:instrText>ADDIN CSL_CITATION {"citationItems":[{"id":"ITEM-1","itemData":{"DOI":"10.1016/j.landurbplan.2015.02.006","ISSN":"01692046","abstract":"Many inhabitants of cities throughout the world suffer from health problems and discomfort that are caused by overheating of urban areas, and there is compelling evidence that these problems will be exacerbated by global climate change. Most cities are not designed to ameliorate these effects although it is well-known that this is possible, especially through evidence-based climate-responsive design of urban open spaces. Urban parks and green spaces have the potential to provide thermally comfortable environments and help reduce vulnerability to heat stress. However, in order for them to provide this function, parks must be designed within the context of the prevailing climate and predicted future climates. To analyze the effects of elements that alter microclimate in parks, we used human energy budget simulations. We modelled the outdoor human energy budget in a range of warm to hot climate zones and interpreted the results in terms of thermal comfort and health vulnerability. Reduction of solar radiant input with trees had the greatest effect in all test cities. Reduction in air temperature was the second-most important component, and in some climates was nearly as important as incorporating shade. We then conducted similar modelling using predicted climates for the middle of the century, emphasizing the importance of city-level efforts for park design to assist in minimizing future climate-related urban health risks. These simulations suggested that heat waves in many climates will produce outdoor environments where people will be in extreme danger of heat stress, but that appropriately designed parks can reduce the threat.","author":[{"dropping-particle":"","family":"Brown","given":"Robert D.","non-dropping-particle":"","parse-names":false,"suffix":""},{"dropping-particle":"","family":"Vanos","given":"Jennifer","non-dropping-particle":"","parse-names":false,"suffix":""},{"dropping-particle":"","family":"Kenny","given":"Natasha","non-dropping-particle":"","parse-names":false,"suffix":""},{"dropping-particle":"","family":"Lenzholzer","given":"Sanda","non-dropping-particle":"","parse-names":false,"suffix":""}],"container-title":"Landscape and Urban Planning","id":"ITEM-1","issued":{"date-parts":[["2015"]]},"page":"118-131","publisher":"Elsevier B.V.","title":"Designing urban parks that ameliorate the effects of climate change","type":"article-journal","volume":"138"},"uris":["http://www.mendeley.com/documents/?uuid=a7f2be5b-c284-4675-b869-73915069c44d"]}],"mendeley":{"formattedCitation":"(Brown, Vanos, Kenny, &amp; Lenzholzer, 2015)","manualFormatting":"(Brown et al., 2015)","plainTextFormattedCitation":"(Brown, Vanos, Kenny, &amp; Lenzholzer, 2015)","previouslyFormattedCitation":"(Brown, Vanos, Kenny, &amp; Lenzholzer, 2015)"},"properties":{"noteIndex":0},"schema":"https://github.com/citation-style-language/schema/raw/master/csl-citation.json"}</w:instrText>
      </w:r>
      <w:r w:rsidR="007B7FA2" w:rsidRPr="006D55BE">
        <w:fldChar w:fldCharType="separate"/>
      </w:r>
      <w:r w:rsidR="007B7FA2" w:rsidRPr="006D55BE">
        <w:rPr>
          <w:noProof/>
        </w:rPr>
        <w:t>(Brown</w:t>
      </w:r>
      <w:r w:rsidR="003A11FE" w:rsidRPr="006D55BE">
        <w:rPr>
          <w:noProof/>
        </w:rPr>
        <w:t xml:space="preserve"> et al., </w:t>
      </w:r>
      <w:r w:rsidR="007B7FA2" w:rsidRPr="006D55BE">
        <w:rPr>
          <w:noProof/>
        </w:rPr>
        <w:t>2015)</w:t>
      </w:r>
      <w:r w:rsidR="007B7FA2" w:rsidRPr="006D55BE">
        <w:fldChar w:fldCharType="end"/>
      </w:r>
      <w:r w:rsidR="007B7FA2" w:rsidRPr="006D55BE">
        <w:t xml:space="preserve"> and mental </w:t>
      </w:r>
      <w:r w:rsidR="00656397" w:rsidRPr="00656397">
        <w:t xml:space="preserve">relaxation </w:t>
      </w:r>
      <w:r w:rsidR="007B7FA2" w:rsidRPr="006D55BE">
        <w:fldChar w:fldCharType="begin" w:fldLock="1"/>
      </w:r>
      <w:r w:rsidR="007B7FA2" w:rsidRPr="006D55BE">
        <w:instrText>ADDIN CSL_CITATION {"citationItems":[{"id":"ITEM-1","itemData":{"DOI":"10.3390/ijerph110303453","ISSN":"16604601","PMID":"24662966","abstract":"Green space is now widely viewed as a health-promoting characteristic of residential environments, and has been linked to mental health benefits such as recovery from mental fatigue and reduced stress, particularly through experimental work in environmental psychology. Few population level studies have examined the relationships between green space and mental health. Further, few studies have considered the role of green space in non-urban settings. This study contributes a population-level perspective from the United States to examine the relationship between environmental green space and mental health outcomes in a study area that includes a spectrum of urban to rural environments. Multivariate survey regression analyses examine the association between green space and mental health using the unique, population-based Survey of the Health of Wisconsin database. Analyses were adjusted for length of residence in the neighborhood to reduce the impact of neighborhood selection bias. Higher levels of neighborhood green space were associated with significantly lower levels of symptomology for depression, anxiety and stress, after controlling for a wide range of confounding factors. Results suggest that \"greening\" could be a potential population mental health improvement strategy in the United States. © 2014 by the authors; licensee MDPI, Basel, Switzerland.","author":[{"dropping-particle":"","family":"Beyer","given":"Kirsten M.M.","non-dropping-particle":"","parse-names":false,"suffix":""},{"dropping-particle":"","family":"Kaltenbach","given":"Andrea","non-dropping-particle":"","parse-names":false,"suffix":""},{"dropping-particle":"","family":"Szabo","given":"Aniko","non-dropping-particle":"","parse-names":false,"suffix":""},{"dropping-particle":"","family":"Bogar","given":"Sandra","non-dropping-particle":"","parse-names":false,"suffix":""},{"dropping-particle":"","family":"Javier Nieto","given":"F.","non-dropping-particle":"","parse-names":false,"suffix":""},{"dropping-particle":"","family":"Malecki","given":"Kristen M.","non-dropping-particle":"","parse-names":false,"suffix":""}],"container-title":"International Journal of Environmental Research and Public Health","id":"ITEM-1","issue":"3","issued":{"date-parts":[["2014","3","21"]]},"page":"3453-3472","publisher":"MDPI AG","title":"Exposure to neighborhood green space and mental health: Evidence from the survey of the health of wisconsin","type":"article-journal","volume":"11"},"uris":["http://www.mendeley.com/documents/?uuid=99496827-36f5-3414-b04c-64a47993ce5c"]}],"mendeley":{"formattedCitation":"(Beyer et al., 2014)","plainTextFormattedCitation":"(Beyer et al., 2014)","previouslyFormattedCitation":"(Beyer et al., 2014)"},"properties":{"noteIndex":0},"schema":"https://github.com/citation-style-language/schema/raw/master/csl-citation.json"}</w:instrText>
      </w:r>
      <w:r w:rsidR="007B7FA2" w:rsidRPr="006D55BE">
        <w:fldChar w:fldCharType="separate"/>
      </w:r>
      <w:r w:rsidR="007B7FA2" w:rsidRPr="006D55BE">
        <w:rPr>
          <w:noProof/>
        </w:rPr>
        <w:t>(Beyer et al., 2014)</w:t>
      </w:r>
      <w:r w:rsidR="007B7FA2" w:rsidRPr="006D55BE">
        <w:fldChar w:fldCharType="end"/>
      </w:r>
      <w:r w:rsidR="005621B1" w:rsidRPr="006D55BE">
        <w:t xml:space="preserve">, </w:t>
      </w:r>
      <w:r w:rsidR="001F2EF7" w:rsidRPr="006D55BE">
        <w:t>therefore conservation</w:t>
      </w:r>
      <w:r w:rsidR="005621B1" w:rsidRPr="006D55BE">
        <w:t xml:space="preserve"> of GBSs </w:t>
      </w:r>
      <w:r w:rsidR="009F1D67" w:rsidRPr="006D55BE">
        <w:t>has been</w:t>
      </w:r>
      <w:r w:rsidR="005621B1" w:rsidRPr="006D55BE">
        <w:t xml:space="preserve"> encouraged by the</w:t>
      </w:r>
      <w:r w:rsidR="00B13AE8" w:rsidRPr="006D55BE">
        <w:t xml:space="preserve"> governments. For example, the Chinese Government </w:t>
      </w:r>
      <w:r w:rsidR="0037345F" w:rsidRPr="006D55BE">
        <w:t xml:space="preserve">established </w:t>
      </w:r>
      <w:r w:rsidR="00B13AE8" w:rsidRPr="006D55BE">
        <w:t xml:space="preserve">a ‘minimum standard’ for the areas of green spaces in urban residential areas, </w:t>
      </w:r>
      <w:bookmarkStart w:id="3" w:name="_Hlk89243491"/>
      <w:r w:rsidR="0037345F" w:rsidRPr="006D55BE">
        <w:t xml:space="preserve">requiring </w:t>
      </w:r>
      <w:bookmarkEnd w:id="3"/>
      <w:r w:rsidR="00B13AE8" w:rsidRPr="006D55BE">
        <w:t xml:space="preserve">at least </w:t>
      </w:r>
      <w:r w:rsidR="0037345F" w:rsidRPr="006D55BE">
        <w:t xml:space="preserve">a </w:t>
      </w:r>
      <w:r w:rsidR="00B13AE8" w:rsidRPr="006D55BE">
        <w:t>30% greening ratio and 0.5m</w:t>
      </w:r>
      <w:r w:rsidR="00B13AE8" w:rsidRPr="006D55BE">
        <w:rPr>
          <w:vertAlign w:val="superscript"/>
        </w:rPr>
        <w:t>2</w:t>
      </w:r>
      <w:r w:rsidR="00B13AE8" w:rsidRPr="006D55BE">
        <w:t xml:space="preserve"> green</w:t>
      </w:r>
      <w:r w:rsidR="00D46CD3" w:rsidRPr="006D55BE">
        <w:t xml:space="preserve"> </w:t>
      </w:r>
      <w:r w:rsidR="00B13AE8" w:rsidRPr="006D55BE">
        <w:t>spaces</w:t>
      </w:r>
      <w:r w:rsidR="0037345F" w:rsidRPr="006D55BE">
        <w:t xml:space="preserve"> per capita</w:t>
      </w:r>
      <w:r w:rsidR="00B13AE8" w:rsidRPr="006D55BE">
        <w:t xml:space="preserve"> in residences (</w:t>
      </w:r>
      <w:hyperlink r:id="rId8" w:history="1">
        <w:r w:rsidR="00007BB4" w:rsidRPr="006D55BE">
          <w:rPr>
            <w:rStyle w:val="Hyperlink"/>
            <w:color w:val="auto"/>
            <w:u w:val="none"/>
          </w:rPr>
          <w:t>http://www.mohurd.gov.cn/</w:t>
        </w:r>
      </w:hyperlink>
      <w:r w:rsidR="00B13AE8" w:rsidRPr="006D55BE">
        <w:t>).</w:t>
      </w:r>
      <w:r w:rsidR="00007BB4" w:rsidRPr="006D55BE">
        <w:t xml:space="preserve"> </w:t>
      </w:r>
      <w:r w:rsidR="004C66EA" w:rsidRPr="006D55BE">
        <w:t>However, with the increased areas of green and blue spaces, a</w:t>
      </w:r>
      <w:r w:rsidR="002B7651" w:rsidRPr="006D55BE">
        <w:t>n</w:t>
      </w:r>
      <w:r w:rsidR="004C66EA" w:rsidRPr="006D55BE">
        <w:t xml:space="preserve"> </w:t>
      </w:r>
      <w:r w:rsidR="001C59DB" w:rsidRPr="006D55BE">
        <w:t xml:space="preserve">underappreciated </w:t>
      </w:r>
      <w:r w:rsidR="002B7651" w:rsidRPr="006D55BE">
        <w:t>concern is whether these planned green and blue spaces can meet the human demands in their movement</w:t>
      </w:r>
      <w:r w:rsidR="00A0195E" w:rsidRPr="006D55BE">
        <w:t xml:space="preserve">. </w:t>
      </w:r>
      <w:bookmarkStart w:id="4" w:name="_Hlk89796982"/>
      <w:r w:rsidR="00D921FF" w:rsidRPr="006D55BE">
        <w:t xml:space="preserve">Because of no </w:t>
      </w:r>
      <w:r w:rsidR="00D921FF" w:rsidRPr="006D55BE">
        <w:rPr>
          <w:rFonts w:eastAsiaTheme="minorEastAsia"/>
        </w:rPr>
        <w:t xml:space="preserve">universally accepted definition of green and blue spaces in academia </w:t>
      </w:r>
      <w:r w:rsidR="00D921FF" w:rsidRPr="006D55BE">
        <w:rPr>
          <w:rFonts w:eastAsiaTheme="minorEastAsia"/>
        </w:rPr>
        <w:fldChar w:fldCharType="begin" w:fldLock="1"/>
      </w:r>
      <w:r w:rsidR="00D921FF" w:rsidRPr="006D55BE">
        <w:rPr>
          <w:rFonts w:eastAsiaTheme="minorEastAsia"/>
        </w:rPr>
        <w:instrText>ADDIN CSL_CITATION {"citationItems":[{"id":"ITEM-1","itemData":{"author":[{"dropping-particle":"","family":"WHO","given":"","non-dropping-particle":"","parse-names":false,"suffix":""}],"id":"ITEM-1","issued":{"date-parts":[["2016"]]},"title":"Urban green spaces and health: A review of evidence","type":"report"},"uris":["http://www.mendeley.com/documents/?uuid=df2a4f23-1b71-358a-a4f6-479e9bd4352b"]}],"mendeley":{"formattedCitation":"(WHO, 2016)","manualFormatting":"(WHO, 2016","plainTextFormattedCitation":"(WHO, 2016)","previouslyFormattedCitation":"(WHO, 2016)"},"properties":{"noteIndex":0},"schema":"https://github.com/citation-style-language/schema/raw/master/csl-citation.json"}</w:instrText>
      </w:r>
      <w:r w:rsidR="00D921FF" w:rsidRPr="006D55BE">
        <w:rPr>
          <w:rFonts w:eastAsiaTheme="minorEastAsia"/>
        </w:rPr>
        <w:fldChar w:fldCharType="separate"/>
      </w:r>
      <w:r w:rsidR="00D921FF" w:rsidRPr="006D55BE">
        <w:rPr>
          <w:rFonts w:eastAsiaTheme="minorEastAsia"/>
          <w:noProof/>
        </w:rPr>
        <w:t>(WHO, 2016</w:t>
      </w:r>
      <w:r w:rsidR="00D921FF" w:rsidRPr="006D55BE">
        <w:rPr>
          <w:rFonts w:eastAsiaTheme="minorEastAsia"/>
        </w:rPr>
        <w:fldChar w:fldCharType="end"/>
      </w:r>
      <w:r w:rsidR="00D921FF" w:rsidRPr="006D55BE">
        <w:rPr>
          <w:rFonts w:eastAsiaTheme="minorEastAsia"/>
        </w:rPr>
        <w:t xml:space="preserve">; </w:t>
      </w:r>
      <w:r w:rsidR="00D921FF" w:rsidRPr="006D55BE">
        <w:rPr>
          <w:rFonts w:eastAsiaTheme="minorEastAsia"/>
        </w:rPr>
        <w:fldChar w:fldCharType="begin" w:fldLock="1"/>
      </w:r>
      <w:r w:rsidR="00D921FF" w:rsidRPr="006D55BE">
        <w:rPr>
          <w:rFonts w:eastAsiaTheme="minorEastAsia"/>
        </w:rPr>
        <w:instrText>ADDIN CSL_CITATION {"citationItems":[{"id":"ITEM-1","itemData":{"DOI":"10.1016/j.ufug.2012.06.006","abstract":"Urban trees can potentially mitigate environmental degradation accompanying rapid urbanisation via a range of tree benefits and services. But uncertainty exists about the extent of tree benefits and services because urban trees also impose costs (e.g. asthma) and may create hazards (e.g. windthrow). Few researchers have systematically assessed how urban tree benefits and costs vary across different cities, geographic scales and climates. This paper provides a quantitative review of 115 original urban tree studies, examining: (i) research locations, (ii) research methods, and (iii) assessment techniques for tree services and disservices. Researchers published findings in 33 journals from diverse disciplines including: forestry, land use planning, ecology, and economics. Research has been geographically concentrated (64% of studies were conducted in North America). Nearly all studies (91.3%) used quantitative research, and most studies (60%) employed natural science methods. Demonstrated tree benefits include: economic, social, health, visual and aesthetic benefits; identified ecosystem services include: carbon sequestration, air quality improvement, storm water attenuation, and energy conservation. Disservices include: maintenance costs, light attenuation, infrastructure damage and health problems, among others. Additional research is required to better inform public policy, including comparative assessment of tree services and disservices, and assessment of urban residents and land managers' understanding of tree benefits and costs.","author":[{"dropping-particle":"","family":"Roy","given":"Sudipto","non-dropping-particle":"","parse-names":false,"suffix":""},{"dropping-particle":"","family":"Byrne","given":"Jason","non-dropping-particle":"","parse-names":false,"suffix":""},{"dropping-particle":"","family":"Pickering","given":"Catherine","non-dropping-particle":"","parse-names":false,"suffix":""}],"container-title":"Urban Forestry &amp; Urban Greening","id":"ITEM-1","issued":{"date-parts":[["2012"]]},"page":"351-363","title":"A systematic quantitative review of urban tree benefits, costs, and assessment methods across cities in different climatic zones","type":"article-journal","volume":"11"},"uris":["http://www.mendeley.com/documents/?uuid=7eda8c35-71c3-37a9-89ff-f71484562a28"]}],"mendeley":{"formattedCitation":"(Roy, Byrne, &amp; Pickering, 2012)","manualFormatting":"Roy et al., 2012)","plainTextFormattedCitation":"(Roy, Byrne, &amp; Pickering, 2012)","previouslyFormattedCitation":"(Roy, Byrne, &amp; Pickering, 2012)"},"properties":{"noteIndex":0},"schema":"https://github.com/citation-style-language/schema/raw/master/csl-citation.json"}</w:instrText>
      </w:r>
      <w:r w:rsidR="00D921FF" w:rsidRPr="006D55BE">
        <w:rPr>
          <w:rFonts w:eastAsiaTheme="minorEastAsia"/>
        </w:rPr>
        <w:fldChar w:fldCharType="separate"/>
      </w:r>
      <w:r w:rsidR="00D921FF" w:rsidRPr="006D55BE">
        <w:rPr>
          <w:rFonts w:eastAsiaTheme="minorEastAsia"/>
          <w:noProof/>
        </w:rPr>
        <w:t>Roy et al., 2012)</w:t>
      </w:r>
      <w:r w:rsidR="00D921FF" w:rsidRPr="006D55BE">
        <w:rPr>
          <w:rFonts w:eastAsiaTheme="minorEastAsia"/>
        </w:rPr>
        <w:fldChar w:fldCharType="end"/>
      </w:r>
      <w:r w:rsidR="00072499" w:rsidRPr="006D55BE">
        <w:rPr>
          <w:rFonts w:eastAsiaTheme="minorEastAsia"/>
        </w:rPr>
        <w:t xml:space="preserve">, this study uses </w:t>
      </w:r>
      <w:r w:rsidR="00EF630B">
        <w:rPr>
          <w:rFonts w:eastAsiaTheme="minorEastAsia"/>
        </w:rPr>
        <w:t>the</w:t>
      </w:r>
      <w:r w:rsidR="00072499" w:rsidRPr="006D55BE">
        <w:rPr>
          <w:rFonts w:eastAsiaTheme="minorEastAsia"/>
        </w:rPr>
        <w:t xml:space="preserve"> term ‘green-blue spaces (GBSs)’ to </w:t>
      </w:r>
      <w:r w:rsidR="00EF630B">
        <w:rPr>
          <w:rFonts w:eastAsiaTheme="minorEastAsia"/>
        </w:rPr>
        <w:t>define</w:t>
      </w:r>
      <w:r w:rsidR="00072499" w:rsidRPr="006D55BE">
        <w:rPr>
          <w:rFonts w:eastAsiaTheme="minorEastAsia"/>
        </w:rPr>
        <w:t xml:space="preserve"> all green and blue natural elements</w:t>
      </w:r>
      <w:r w:rsidR="00EF630B" w:rsidRPr="00EF630B">
        <w:t xml:space="preserve"> </w:t>
      </w:r>
      <w:r w:rsidR="00EF630B" w:rsidRPr="00EF630B">
        <w:rPr>
          <w:rFonts w:eastAsiaTheme="minorEastAsia"/>
        </w:rPr>
        <w:t>within a city</w:t>
      </w:r>
      <w:r w:rsidR="004D4550" w:rsidRPr="006D55BE">
        <w:rPr>
          <w:rFonts w:eastAsiaTheme="minorEastAsia"/>
        </w:rPr>
        <w:t>.</w:t>
      </w:r>
      <w:bookmarkEnd w:id="4"/>
      <w:r w:rsidR="004D4550" w:rsidRPr="006D55BE">
        <w:rPr>
          <w:rFonts w:eastAsiaTheme="minorEastAsia"/>
        </w:rPr>
        <w:t xml:space="preserve"> </w:t>
      </w:r>
      <w:r w:rsidR="00A0195E" w:rsidRPr="006D55BE">
        <w:t xml:space="preserve">Quantifications of the spatial characteristics of pedestrian movement are </w:t>
      </w:r>
      <w:r w:rsidR="00A0195E" w:rsidRPr="006D55BE">
        <w:rPr>
          <w:rFonts w:eastAsiaTheme="minorEastAsia"/>
        </w:rPr>
        <w:t xml:space="preserve">necessary </w:t>
      </w:r>
      <w:r w:rsidR="00A0195E" w:rsidRPr="006D55BE">
        <w:t xml:space="preserve">for planning the proper locations of GBSs, in such a human-centered urban planning context. </w:t>
      </w:r>
    </w:p>
    <w:p w14:paraId="118981C2" w14:textId="1A2DAA00" w:rsidR="002E472E" w:rsidRPr="006D55BE" w:rsidRDefault="00A562A0" w:rsidP="00985337">
      <w:pPr>
        <w:spacing w:after="163"/>
        <w:ind w:firstLine="420"/>
        <w:rPr>
          <w:rFonts w:eastAsiaTheme="minorEastAsia"/>
        </w:rPr>
      </w:pPr>
      <w:r w:rsidRPr="006D55BE">
        <w:rPr>
          <w:rFonts w:eastAsiaTheme="minorEastAsia"/>
        </w:rPr>
        <w:t xml:space="preserve">The pedestrian movement </w:t>
      </w:r>
      <w:r w:rsidR="00D0496A" w:rsidRPr="006D55BE">
        <w:rPr>
          <w:rFonts w:eastAsiaTheme="minorEastAsia"/>
        </w:rPr>
        <w:t>is</w:t>
      </w:r>
      <w:r w:rsidRPr="006D55BE">
        <w:rPr>
          <w:rFonts w:eastAsiaTheme="minorEastAsia"/>
        </w:rPr>
        <w:t xml:space="preserve"> the social response to the existing urban spatial configurations, based on the interactions between </w:t>
      </w:r>
      <w:r w:rsidR="006E0641" w:rsidRPr="006D55BE">
        <w:rPr>
          <w:rFonts w:eastAsiaTheme="minorEastAsia"/>
        </w:rPr>
        <w:t xml:space="preserve">the </w:t>
      </w:r>
      <w:r w:rsidRPr="006D55BE">
        <w:rPr>
          <w:rFonts w:eastAsiaTheme="minorEastAsia"/>
        </w:rPr>
        <w:t>physical built environment and human moving behaviors</w:t>
      </w:r>
      <w:r w:rsidR="00995CA8" w:rsidRPr="006D55BE">
        <w:rPr>
          <w:rFonts w:eastAsiaTheme="minorEastAsia"/>
        </w:rPr>
        <w:t xml:space="preserve"> </w:t>
      </w:r>
      <w:r w:rsidR="00B36C98" w:rsidRPr="006D55BE">
        <w:rPr>
          <w:rFonts w:eastAsiaTheme="minorEastAsia"/>
        </w:rPr>
        <w:fldChar w:fldCharType="begin" w:fldLock="1"/>
      </w:r>
      <w:r w:rsidR="00BD5EB4" w:rsidRPr="006D55BE">
        <w:rPr>
          <w:rFonts w:eastAsiaTheme="minorEastAsia"/>
        </w:rPr>
        <w:instrText>ADDIN CSL_CITATION {"citationItems":[{"id":"ITEM-1","itemData":{"DOI":"10.1007/s10669-015-9547-4","ISSN":"21945411","abstract":"Cities are complex entities, and their studies are interdisciplinary. Some hunt for finding urban variables; others say a few variables can little capture the essence of urbanization. The reason is urbanization is not only a global phenomenon of physical and cultural restructuring; it has itself become a spatial effect of the distributed networks of communication, resources, finance, and migration that characterize contemporary city life. In this fight, the key question of urbanization has remained unanswered: Are there scientific reasons behind the development of a human city that well exists within its physical form? This paper develops a discussion explaining how a human city interacts with its physical form by revisiting the meaning of city configurations with the help of a newly developed syntax-based accessibility analysis model known as unit-segment model. The discussion also points out that, with current increases in computational power, the unit-segment model can contribute to the field further by answering a fascinating question that syntax configurational studies have helped to frame: What makes a city complex entity while dealing with its behavior and, therefore, the reasoning of its formation?","author":[{"dropping-particle":"","family":"Paul","given":"Abhijit","non-dropping-particle":"","parse-names":false,"suffix":""}],"container-title":"Environment Systems and Decisions","id":"ITEM-1","issue":"3","issued":{"date-parts":[["2015"]]},"page":"317-322","publisher":"Springer US","title":"Human city and physical city: connecting the two by generating syntax-based urban configurations","type":"article-journal","volume":"35"},"uris":["http://www.mendeley.com/documents/?uuid=13edf940-12e4-48bf-987b-864ccfc26766"]}],"mendeley":{"formattedCitation":"(Paul, 2015)","manualFormatting":"(Paul, 2015","plainTextFormattedCitation":"(Paul, 2015)","previouslyFormattedCitation":"(Paul, 2015)"},"properties":{"noteIndex":0},"schema":"https://github.com/citation-style-language/schema/raw/master/csl-citation.json"}</w:instrText>
      </w:r>
      <w:r w:rsidR="00B36C98" w:rsidRPr="006D55BE">
        <w:rPr>
          <w:rFonts w:eastAsiaTheme="minorEastAsia"/>
        </w:rPr>
        <w:fldChar w:fldCharType="separate"/>
      </w:r>
      <w:r w:rsidR="00B36C98" w:rsidRPr="006D55BE">
        <w:rPr>
          <w:rFonts w:eastAsiaTheme="minorEastAsia"/>
          <w:noProof/>
        </w:rPr>
        <w:t>(Paul, 2015</w:t>
      </w:r>
      <w:r w:rsidR="00B36C98" w:rsidRPr="006D55BE">
        <w:rPr>
          <w:rFonts w:eastAsiaTheme="minorEastAsia"/>
        </w:rPr>
        <w:fldChar w:fldCharType="end"/>
      </w:r>
      <w:r w:rsidR="00C9280D" w:rsidRPr="006D55BE">
        <w:rPr>
          <w:rFonts w:eastAsiaTheme="minorEastAsia"/>
        </w:rPr>
        <w:t>;</w:t>
      </w:r>
      <w:r w:rsidR="00B36C98" w:rsidRPr="006D55BE">
        <w:rPr>
          <w:rFonts w:eastAsiaTheme="minorEastAsia"/>
        </w:rPr>
        <w:t xml:space="preserve"> </w:t>
      </w:r>
      <w:r w:rsidR="00B36C98" w:rsidRPr="006D55BE">
        <w:fldChar w:fldCharType="begin" w:fldLock="1"/>
      </w:r>
      <w:r w:rsidR="00C9280D" w:rsidRPr="006D55BE">
        <w:instrText>ADDIN CSL_CITATION {"citationItems":[{"id":"ITEM-1","itemData":{"DOI":"10.1016/j.tra.2011.09.001","abstract":"The objective of this study is to explore whether changes in neighbourhood characteristics bring about changes in travel choice. Residential self-selection is a concern in the connections between land-use and travel behaviour. The recent literature suggests that a longitudinal structural equations modelling (SEM) approach can be a powerful tool to assess the importance of neighbourhood characteristics on travel behaviour as opposed to the attitude induced residential self-selection. However, the evidence to date is limited to particular geographical areas and evidence from one country might not be transferrable to another because of differences in land-use patterns and land-use policies. The paper is to address the gap by extending the evidence using British data. The case study is based on the metropolitan area of Tyne and Wear, North East of England, UK. A SEM is applied to 219 respondents who reported residential relocation. The results identify that neighbourhood characteristics do influence travel behaviour after controlling for self-selection. For instance, the more people are exposed to public transport access, the more likely they drive less. Neighbourhood characteristics also impact through their influence on car ownership. A social environment with vitality also reduces the amount of private car travel. These findings suggest that land-use policies at neighbourhood level can play an important role in reducing driving.","author":[{"dropping-particle":"","family":"Aditjandra","given":"Paulus Teguh","non-dropping-particle":"","parse-names":false,"suffix":""},{"dropping-particle":"","family":"Cao","given":"Xinyu (Jason)","non-dropping-particle":"","parse-names":false,"suffix":""},{"dropping-particle":"","family":"Mulley","given":"Corinne","non-dropping-particle":"","parse-names":false,"suffix":""}],"container-title":"Transportation research part A: policy and practice","id":"ITEM-1","issue":"1","issued":{"date-parts":[["2012"]]},"page":"22-32","title":"Understanding neighbourhood design impact on travel behaviour: An application of structural equations model to a British metropolitan data","type":"article-journal","volume":"46"},"uris":["http://www.mendeley.com/documents/?uuid=6e61151e-50d3-35b8-bd24-40021434ada9"]}],"mendeley":{"formattedCitation":"(Aditjandra, Cao, &amp; Mulley, 2012)","manualFormatting":"Aditjandra et al., 2012","plainTextFormattedCitation":"(Aditjandra, Cao, &amp; Mulley, 2012)","previouslyFormattedCitation":"(Aditjandra, Cao, &amp; Mulley, 2012)"},"properties":{"noteIndex":0},"schema":"https://github.com/citation-style-language/schema/raw/master/csl-citation.json"}</w:instrText>
      </w:r>
      <w:r w:rsidR="00B36C98" w:rsidRPr="006D55BE">
        <w:fldChar w:fldCharType="separate"/>
      </w:r>
      <w:r w:rsidR="00B36C98" w:rsidRPr="006D55BE">
        <w:rPr>
          <w:noProof/>
        </w:rPr>
        <w:t>Aditjandra et al., 2012</w:t>
      </w:r>
      <w:r w:rsidR="00B36C98" w:rsidRPr="006D55BE">
        <w:fldChar w:fldCharType="end"/>
      </w:r>
      <w:r w:rsidR="00C9280D" w:rsidRPr="006D55BE">
        <w:t>;</w:t>
      </w:r>
      <w:r w:rsidR="00B36C98" w:rsidRPr="006D55BE">
        <w:t xml:space="preserve"> </w:t>
      </w:r>
      <w:r w:rsidR="00B36C98" w:rsidRPr="006D55BE">
        <w:rPr>
          <w:rFonts w:eastAsiaTheme="minorEastAsia"/>
        </w:rPr>
        <w:fldChar w:fldCharType="begin" w:fldLock="1"/>
      </w:r>
      <w:r w:rsidR="007562F5" w:rsidRPr="006D55BE">
        <w:rPr>
          <w:rFonts w:eastAsiaTheme="minorEastAsia"/>
        </w:rPr>
        <w:instrText>ADDIN CSL_CITATION {"citationItems":[{"id":"ITEM-1","itemData":{"DOI":"10.1016/j.jtrangeo.2021.102991","ISSN":"09666923","abstract":"Many studies have evaluated the influence of the built environment on public transport. Some studies assign subjective weights to environmental factors, which could oversimplify spatial heterogeneity and overlook the temporal dimension. On the other hand, the spatial-interaction network of public transport system is seldom considered. In this paper, we propose an improved framework to explore how individual factors unevenly affect public transport demand over space and time using a geographically and temporally weighted regression (GTWR) model. The proposed framework extends the local built environmental factors by including two network factors extracted from the spatial-interaction network of the public transport system. We conduct a case study in Beijing, China using 686 traffic analysis zones (TAZs). The actual usage of public transport, namely the public transport index (PTI), is estimated by passenger flow divided by the total amount of human flow in a given TAZ. The daily patterns of the spatial heterogeneity in some selected places in the study area is identified and analyzed. It is also found that the estimated coefficient of the variables of the spatial-interaction network is significantly larger than other static environmental factors, indicating that spatial-interaction network can more effectively reflect spatiotemporal heterogeneity in public transport demand. This study provides a better decision-making support for more accurately identifying which factors are most worthy of development, and when and where they can be implemented to improve public transit services.","author":[{"dropping-particle":"","family":"Liu","given":"Xintao","non-dropping-particle":"","parse-names":false,"suffix":""},{"dropping-particle":"","family":"Wu","given":"Jiawei","non-dropping-particle":"","parse-names":false,"suffix":""},{"dropping-particle":"","family":"Huang","given":"Jianwei","non-dropping-particle":"","parse-names":false,"suffix":""},{"dropping-particle":"","family":"Zhang","given":"Junwei","non-dropping-particle":"","parse-names":false,"suffix":""},{"dropping-particle":"","family":"Chen","given":"Bi Yu","non-dropping-particle":"","parse-names":false,"suffix":""},{"dropping-particle":"","family":"Chen","given":"Anthony","non-dropping-particle":"","parse-names":false,"suffix":""}],"container-title":"Journal of Transport Geography","id":"ITEM-1","issued":{"date-parts":[["2021"]]},"page":"102991","publisher":"Elsevier Ltd","title":"Spatial-interaction network analysis of built environmental influence on daily public transport demand","type":"article-journal","volume":"92"},"uris":["http://www.mendeley.com/documents/?uuid=0834fd2b-0d97-448f-9ac6-38097e7150de"]}],"mendeley":{"formattedCitation":"(Xintao Liu et al., 2021)","manualFormatting":"Liu et al., 2021)","plainTextFormattedCitation":"(Xintao Liu et al., 2021)","previouslyFormattedCitation":"(Xintao Liu et al., 2021)"},"properties":{"noteIndex":0},"schema":"https://github.com/citation-style-language/schema/raw/master/csl-citation.json"}</w:instrText>
      </w:r>
      <w:r w:rsidR="00B36C98" w:rsidRPr="006D55BE">
        <w:rPr>
          <w:rFonts w:eastAsiaTheme="minorEastAsia"/>
        </w:rPr>
        <w:fldChar w:fldCharType="separate"/>
      </w:r>
      <w:r w:rsidR="00B36C98" w:rsidRPr="006D55BE">
        <w:rPr>
          <w:rFonts w:eastAsiaTheme="minorEastAsia"/>
          <w:noProof/>
        </w:rPr>
        <w:t>Liu et al., 2021)</w:t>
      </w:r>
      <w:r w:rsidR="00B36C98" w:rsidRPr="006D55BE">
        <w:rPr>
          <w:rFonts w:eastAsiaTheme="minorEastAsia"/>
        </w:rPr>
        <w:fldChar w:fldCharType="end"/>
      </w:r>
      <w:r w:rsidRPr="006D55BE">
        <w:rPr>
          <w:rFonts w:eastAsiaTheme="minorEastAsia"/>
        </w:rPr>
        <w:t xml:space="preserve">. </w:t>
      </w:r>
      <w:r w:rsidR="00556A15" w:rsidRPr="006D55BE">
        <w:rPr>
          <w:rFonts w:eastAsiaTheme="minorEastAsia"/>
        </w:rPr>
        <w:t>Therefore, the spatial pattern of pedestrian movement can be explained by the configurational properties of spaces</w:t>
      </w:r>
      <w:r w:rsidR="0010248F" w:rsidRPr="006D55BE">
        <w:rPr>
          <w:rFonts w:eastAsiaTheme="minorEastAsia"/>
        </w:rPr>
        <w:t xml:space="preserve"> </w:t>
      </w:r>
      <w:r w:rsidR="0010248F" w:rsidRPr="006D55BE">
        <w:rPr>
          <w:rFonts w:eastAsiaTheme="minorEastAsia"/>
        </w:rPr>
        <w:fldChar w:fldCharType="begin" w:fldLock="1"/>
      </w:r>
      <w:r w:rsidR="00C9280D" w:rsidRPr="006D55BE">
        <w:rPr>
          <w:rFonts w:eastAsiaTheme="minorEastAsia"/>
        </w:rPr>
        <w:instrText>ADDIN CSL_CITATION {"citationItems":[{"id":"ITEM-1","itemData":{"author":[{"dropping-particle":"","family":"Hillier","given":"Bill","non-dropping-particle":"","parse-names":false,"suffix":""},{"dropping-particle":"","family":"Hanson","given":"Julienne","non-dropping-particle":"","parse-names":false,"suffix":""}],"id":"ITEM-1","issued":{"date-parts":[["1984"]]},"publisher":"Cambridge University Press","title":"The Social Logic of Space","type":"book"},"uris":["http://www.mendeley.com/documents/?uuid=799ec82a-db57-3a07-ba0e-8831bb27023c"]}],"mendeley":{"formattedCitation":"(Bill Hillier &amp; Hanson, 1984)","manualFormatting":"(Hillier &amp; Hanson, 1984","plainTextFormattedCitation":"(Bill Hillier &amp; Hanson, 1984)","previouslyFormattedCitation":"(Bill Hillier &amp; Hanson, 1984)"},"properties":{"noteIndex":0},"schema":"https://github.com/citation-style-language/schema/raw/master/csl-citation.json"}</w:instrText>
      </w:r>
      <w:r w:rsidR="0010248F" w:rsidRPr="006D55BE">
        <w:rPr>
          <w:rFonts w:eastAsiaTheme="minorEastAsia"/>
        </w:rPr>
        <w:fldChar w:fldCharType="separate"/>
      </w:r>
      <w:r w:rsidR="0010248F" w:rsidRPr="006D55BE">
        <w:rPr>
          <w:rFonts w:eastAsiaTheme="minorEastAsia"/>
          <w:noProof/>
        </w:rPr>
        <w:t>(Hillier &amp; Hanson, 1984</w:t>
      </w:r>
      <w:r w:rsidR="0010248F" w:rsidRPr="006D55BE">
        <w:rPr>
          <w:rFonts w:eastAsiaTheme="minorEastAsia"/>
        </w:rPr>
        <w:fldChar w:fldCharType="end"/>
      </w:r>
      <w:r w:rsidR="00C9280D" w:rsidRPr="006D55BE">
        <w:rPr>
          <w:rFonts w:eastAsiaTheme="minorEastAsia"/>
        </w:rPr>
        <w:t>;</w:t>
      </w:r>
      <w:r w:rsidR="0010248F" w:rsidRPr="006D55BE">
        <w:rPr>
          <w:rFonts w:eastAsiaTheme="minorEastAsia"/>
        </w:rPr>
        <w:t xml:space="preserve"> </w:t>
      </w:r>
      <w:r w:rsidR="0010248F" w:rsidRPr="006D55BE">
        <w:rPr>
          <w:rFonts w:eastAsiaTheme="minorEastAsia"/>
        </w:rPr>
        <w:fldChar w:fldCharType="begin" w:fldLock="1"/>
      </w:r>
      <w:r w:rsidR="00C9280D" w:rsidRPr="006D55BE">
        <w:rPr>
          <w:rFonts w:eastAsiaTheme="minorEastAsia"/>
        </w:rPr>
        <w:instrText>ADDIN CSL_CITATION {"citationItems":[{"id":"ITEM-1","itemData":{"DOI":"10.1080/01490400.2013.856722","ISSN":"1521-0588","author":[{"dropping-particle":"","family":"Koohsari","given":"Mohammad Javad","non-dropping-particle":"","parse-names":false,"suffix":""},{"dropping-particle":"","family":"Kaczynski","given":"Andrew T","non-dropping-particle":"","parse-names":false,"suffix":""},{"dropping-particle":"","family":"Mcormack","given":"Gavin R","non-dropping-particle":"","parse-names":false,"suffix":""},{"dropping-particle":"","family":"Sugiyama","given":"Takemi","non-dropping-particle":"","parse-names":false,"suffix":""}],"container-title":"Leisure Sciences","id":"ITEM-1","issue":"2","issued":{"date-parts":[["2014"]]},"page":"206-216","title":"Using Space Syntax to Assess the Built Environment for Physical Activity: Applications to Research on Parks and Public Open Spaces","type":"article-journal","volume":"36"},"uris":["http://www.mendeley.com/documents/?uuid=4fa920b4-2fda-387b-b32a-b159c40f4dbc"]}],"mendeley":{"formattedCitation":"(Koohsari, Kaczynski, Mcormack, &amp; Sugiyama, 2014)","manualFormatting":"Koohsari et al., 2014)","plainTextFormattedCitation":"(Koohsari, Kaczynski, Mcormack, &amp; Sugiyama, 2014)","previouslyFormattedCitation":"(Koohsari, Kaczynski, Mcormack, &amp; Sugiyama, 2014)"},"properties":{"noteIndex":0},"schema":"https://github.com/citation-style-language/schema/raw/master/csl-citation.json"}</w:instrText>
      </w:r>
      <w:r w:rsidR="0010248F" w:rsidRPr="006D55BE">
        <w:rPr>
          <w:rFonts w:eastAsiaTheme="minorEastAsia"/>
        </w:rPr>
        <w:fldChar w:fldCharType="separate"/>
      </w:r>
      <w:r w:rsidR="0010248F" w:rsidRPr="006D55BE">
        <w:rPr>
          <w:rFonts w:eastAsiaTheme="minorEastAsia"/>
          <w:noProof/>
        </w:rPr>
        <w:t>Koohsari et al., 2014)</w:t>
      </w:r>
      <w:r w:rsidR="0010248F" w:rsidRPr="006D55BE">
        <w:rPr>
          <w:rFonts w:eastAsiaTheme="minorEastAsia"/>
        </w:rPr>
        <w:fldChar w:fldCharType="end"/>
      </w:r>
      <w:r w:rsidR="00556A15" w:rsidRPr="006D55BE">
        <w:rPr>
          <w:rFonts w:eastAsiaTheme="minorEastAsia"/>
        </w:rPr>
        <w:t>.</w:t>
      </w:r>
      <w:r w:rsidR="002F2201" w:rsidRPr="006D55BE">
        <w:rPr>
          <w:rFonts w:eastAsiaTheme="minorEastAsia"/>
        </w:rPr>
        <w:t xml:space="preserve"> </w:t>
      </w:r>
      <w:r w:rsidR="00BC6F7A" w:rsidRPr="006D55BE">
        <w:rPr>
          <w:rFonts w:eastAsiaTheme="minorEastAsia"/>
        </w:rPr>
        <w:t xml:space="preserve">The predictions of spatial configuration about pedestrian movement </w:t>
      </w:r>
      <w:r w:rsidR="00D672E8" w:rsidRPr="006D55BE">
        <w:rPr>
          <w:rFonts w:eastAsiaTheme="minorEastAsia"/>
        </w:rPr>
        <w:t xml:space="preserve">flows can reach </w:t>
      </w:r>
      <w:r w:rsidR="00C86A18" w:rsidRPr="006D55BE">
        <w:rPr>
          <w:rFonts w:eastAsiaTheme="minorEastAsia"/>
        </w:rPr>
        <w:t xml:space="preserve">over 60% </w:t>
      </w:r>
      <w:r w:rsidR="00C86A18" w:rsidRPr="006D55BE">
        <w:rPr>
          <w:rFonts w:eastAsiaTheme="minorEastAsia"/>
        </w:rPr>
        <w:fldChar w:fldCharType="begin" w:fldLock="1"/>
      </w:r>
      <w:r w:rsidR="0066400F" w:rsidRPr="006D55BE">
        <w:rPr>
          <w:rFonts w:eastAsiaTheme="minorEastAsia"/>
        </w:rPr>
        <w:instrText>ADDIN CSL_CITATION {"citationItems":[{"id":"ITEM-1","itemData":{"DOI":"10.1080/13658810802022822","ISSN":"1362-3087","abstract":"A city can be topologically represented as a connectivity graph, consisting of nodes representing individual spaces and links if the corresponding spaces are intersected. It turns out in the space syntax literature that some defined topological metrics can capture human movement rates in individual spaces. In other words, the topological metrics are significantly correlated to human movement rates, and individual spaces can be ranked by the metrics for predicting human movement. However, this correlation has never been well justified. In this paper, we study the same issue by applying the weighted PageRank algorithm to the connectivity graph or space-space topology for ranking the individual spaces, and find surprisingly that: (1) the PageRank scores are better correlated to human movement rates than the space syntax metrics, and (2) the underlying space-space topology demonstrates small world and scale free properties. The findings provide a novel justification as to why space syntax, or topological analysis in general, can be used to predict human movement. We further conjecture that this kind of analysis is no more than predicting a drunkard's walking on a small world and scale free network.","author":[{"dropping-particle":"","family":"Jiang","given":"Bin","non-dropping-particle":"","parse-names":false,"suffix":""}],"container-title":"International Journal of Geographical Information Science","id":"ITEM-1","issue":"7","issued":{"date-parts":[["2009"]]},"page":"823-837","title":"Ranking spaces for predicting human movement in an urban environment","type":"article-journal","volume":"23"},"uris":["http://www.mendeley.com/documents/?uuid=86b0f439-3128-35f0-ad7f-084100816968"]}],"mendeley":{"formattedCitation":"(Jiang, 2009)","plainTextFormattedCitation":"(Jiang, 2009)","previouslyFormattedCitation":"(Jiang, 2009)"},"properties":{"noteIndex":0},"schema":"https://github.com/citation-style-language/schema/raw/master/csl-citation.json"}</w:instrText>
      </w:r>
      <w:r w:rsidR="00C86A18" w:rsidRPr="006D55BE">
        <w:rPr>
          <w:rFonts w:eastAsiaTheme="minorEastAsia"/>
        </w:rPr>
        <w:fldChar w:fldCharType="separate"/>
      </w:r>
      <w:r w:rsidR="00C86A18" w:rsidRPr="006D55BE">
        <w:rPr>
          <w:rFonts w:eastAsiaTheme="minorEastAsia"/>
          <w:noProof/>
        </w:rPr>
        <w:t>(Jiang, 2009)</w:t>
      </w:r>
      <w:r w:rsidR="00C86A18" w:rsidRPr="006D55BE">
        <w:rPr>
          <w:rFonts w:eastAsiaTheme="minorEastAsia"/>
        </w:rPr>
        <w:fldChar w:fldCharType="end"/>
      </w:r>
      <w:r w:rsidR="00E32CF5" w:rsidRPr="006D55BE">
        <w:rPr>
          <w:rFonts w:eastAsiaTheme="minorEastAsia"/>
        </w:rPr>
        <w:t xml:space="preserve">. </w:t>
      </w:r>
      <w:r w:rsidR="00E32CF5" w:rsidRPr="006D55BE">
        <w:rPr>
          <w:rFonts w:eastAsiaTheme="minorEastAsia"/>
        </w:rPr>
        <w:fldChar w:fldCharType="begin" w:fldLock="1"/>
      </w:r>
      <w:r w:rsidR="00900246" w:rsidRPr="006D55BE">
        <w:rPr>
          <w:rFonts w:eastAsiaTheme="minorEastAsia"/>
        </w:rPr>
        <w:instrText>ADDIN CSL_CITATION {"citationItems":[{"id":"ITEM-1","itemData":{"abstract":"Relying on random and purposive moving agents, we simulated human movement in large street networks. We found that aggregate flow, assigned to individual streets, is mainly shaped by the underlying street structure, and that human moving behavior (either random or purposive) has little effect on the aggregate flow. This finding implies that given a street network, the movement patterns generated by purposive walkers (mostly human beings) and by random walkers are the same. Based on the simulation and correlation analysis, we further found that the closeness centrality is not a good indicator for human movement, in contrast to a long standing view held by space syntax researchers. Instead we suggest that Google's PageRank, and its modified version-weighted PageRank, betweenness and degree centralities are all better indicators for predicting aggregate flow.","author":[{"dropping-particle":"","family":"Jiang","given":"Bin","non-dropping-particle":"","parse-names":false,"suffix":""},{"dropping-particle":"","family":"Jia","given":"Tao","non-dropping-particle":"","parse-names":false,"suffix":""}],"container-title":"International Journal of Geographical Information Science","id":"ITEM-1","issue":"1","issued":{"date-parts":[["2011"]]},"page":"51-64","title":"Agent-based Simulation of Human Movement Shaped by the Underlying Street Structure","type":"article-journal","volume":"25"},"uris":["http://www.mendeley.com/documents/?uuid=a70513cf-38d7-3756-bdb1-e4e50376a453"]}],"mendeley":{"formattedCitation":"(Jiang &amp; Jia, 2011)","manualFormatting":"Jiang and Jia (2011)","plainTextFormattedCitation":"(Jiang &amp; Jia, 2011)","previouslyFormattedCitation":"(Jiang &amp; Jia, 2011)"},"properties":{"noteIndex":0},"schema":"https://github.com/citation-style-language/schema/raw/master/csl-citation.json"}</w:instrText>
      </w:r>
      <w:r w:rsidR="00E32CF5" w:rsidRPr="006D55BE">
        <w:rPr>
          <w:rFonts w:eastAsiaTheme="minorEastAsia"/>
        </w:rPr>
        <w:fldChar w:fldCharType="separate"/>
      </w:r>
      <w:r w:rsidR="00E32CF5" w:rsidRPr="006D55BE">
        <w:rPr>
          <w:rFonts w:eastAsiaTheme="minorEastAsia"/>
          <w:noProof/>
        </w:rPr>
        <w:t xml:space="preserve">Jiang </w:t>
      </w:r>
      <w:r w:rsidR="0066400F" w:rsidRPr="006D55BE">
        <w:rPr>
          <w:rFonts w:eastAsiaTheme="minorEastAsia"/>
          <w:noProof/>
        </w:rPr>
        <w:t>and</w:t>
      </w:r>
      <w:r w:rsidR="00E32CF5" w:rsidRPr="006D55BE">
        <w:rPr>
          <w:rFonts w:eastAsiaTheme="minorEastAsia"/>
          <w:noProof/>
        </w:rPr>
        <w:t xml:space="preserve"> Jia </w:t>
      </w:r>
      <w:r w:rsidR="0066400F" w:rsidRPr="006D55BE">
        <w:rPr>
          <w:rFonts w:eastAsiaTheme="minorEastAsia"/>
          <w:noProof/>
        </w:rPr>
        <w:t>(</w:t>
      </w:r>
      <w:r w:rsidR="00E32CF5" w:rsidRPr="006D55BE">
        <w:rPr>
          <w:rFonts w:eastAsiaTheme="minorEastAsia"/>
          <w:noProof/>
        </w:rPr>
        <w:t>2011)</w:t>
      </w:r>
      <w:r w:rsidR="00E32CF5" w:rsidRPr="006D55BE">
        <w:rPr>
          <w:rFonts w:eastAsiaTheme="minorEastAsia"/>
        </w:rPr>
        <w:fldChar w:fldCharType="end"/>
      </w:r>
      <w:r w:rsidR="00E32CF5" w:rsidRPr="006D55BE">
        <w:rPr>
          <w:rFonts w:eastAsiaTheme="minorEastAsia"/>
        </w:rPr>
        <w:t xml:space="preserve"> even found that the movement flow can be directly shaped by the spatial configuration, with little effect of subjective choice in individual movement behavior. </w:t>
      </w:r>
      <w:r w:rsidR="00123AEE" w:rsidRPr="006D55BE">
        <w:rPr>
          <w:rFonts w:eastAsiaTheme="minorEastAsia"/>
        </w:rPr>
        <w:t xml:space="preserve">In other words, it is reliable to indicate pedestrian movement using configurational measures. The GBSs planning considering </w:t>
      </w:r>
      <w:r w:rsidR="00C66B46" w:rsidRPr="006D55BE">
        <w:rPr>
          <w:rFonts w:eastAsiaTheme="minorEastAsia"/>
        </w:rPr>
        <w:t xml:space="preserve">the </w:t>
      </w:r>
      <w:r w:rsidR="00123AEE" w:rsidRPr="006D55BE">
        <w:rPr>
          <w:rFonts w:eastAsiaTheme="minorEastAsia"/>
        </w:rPr>
        <w:t>needs in pedestrian movement is thereby translated to the issue of identifying spatial configuration</w:t>
      </w:r>
      <w:r w:rsidR="008846E9" w:rsidRPr="006D55BE">
        <w:rPr>
          <w:rFonts w:eastAsiaTheme="minorEastAsia"/>
        </w:rPr>
        <w:t>s</w:t>
      </w:r>
      <w:r w:rsidR="00123AEE" w:rsidRPr="006D55BE">
        <w:rPr>
          <w:rFonts w:eastAsiaTheme="minorEastAsia"/>
        </w:rPr>
        <w:t xml:space="preserve"> </w:t>
      </w:r>
      <w:r w:rsidR="008846E9" w:rsidRPr="006D55BE">
        <w:rPr>
          <w:rFonts w:eastAsiaTheme="minorEastAsia"/>
        </w:rPr>
        <w:t xml:space="preserve">of the GBSs in the urban networks </w:t>
      </w:r>
      <w:r w:rsidR="00123AEE" w:rsidRPr="006D55BE">
        <w:rPr>
          <w:rFonts w:eastAsiaTheme="minorEastAsia"/>
        </w:rPr>
        <w:t>quantitatively</w:t>
      </w:r>
      <w:r w:rsidR="008846E9" w:rsidRPr="006D55BE">
        <w:rPr>
          <w:rFonts w:eastAsiaTheme="minorEastAsia"/>
        </w:rPr>
        <w:t xml:space="preserve">. </w:t>
      </w:r>
    </w:p>
    <w:p w14:paraId="3C7D8C83" w14:textId="32921031" w:rsidR="00792542" w:rsidRPr="006D55BE" w:rsidRDefault="00C27421" w:rsidP="00792542">
      <w:pPr>
        <w:spacing w:after="163"/>
        <w:rPr>
          <w:rFonts w:eastAsiaTheme="minorEastAsia"/>
        </w:rPr>
      </w:pPr>
      <w:r w:rsidRPr="006D55BE">
        <w:rPr>
          <w:rFonts w:eastAsiaTheme="minorEastAsia"/>
        </w:rPr>
        <w:lastRenderedPageBreak/>
        <w:tab/>
        <w:t>To characterize spatial configuration, space syntax has been a well-developed theory</w:t>
      </w:r>
      <w:r w:rsidR="00647279" w:rsidRPr="006D55BE">
        <w:rPr>
          <w:rFonts w:eastAsiaTheme="minorEastAsia"/>
        </w:rPr>
        <w:t>, allowing us</w:t>
      </w:r>
      <w:r w:rsidR="006E0641" w:rsidRPr="006D55BE">
        <w:rPr>
          <w:rFonts w:eastAsiaTheme="minorEastAsia"/>
        </w:rPr>
        <w:t xml:space="preserve"> to</w:t>
      </w:r>
      <w:r w:rsidR="00647279" w:rsidRPr="006D55BE">
        <w:rPr>
          <w:rFonts w:eastAsiaTheme="minorEastAsia"/>
        </w:rPr>
        <w:t xml:space="preserve"> understand urban configuration from physical and social dimensions</w:t>
      </w:r>
      <w:r w:rsidR="00C3163E" w:rsidRPr="006D55BE">
        <w:rPr>
          <w:rFonts w:eastAsiaTheme="minorEastAsia"/>
        </w:rPr>
        <w:t xml:space="preserve"> </w:t>
      </w:r>
      <w:r w:rsidR="00C3163E" w:rsidRPr="006D55BE">
        <w:rPr>
          <w:rFonts w:eastAsiaTheme="minorEastAsia"/>
        </w:rPr>
        <w:fldChar w:fldCharType="begin" w:fldLock="1"/>
      </w:r>
      <w:r w:rsidR="00C9280D" w:rsidRPr="006D55BE">
        <w:rPr>
          <w:rFonts w:eastAsiaTheme="minorEastAsia"/>
        </w:rPr>
        <w:instrText>ADDIN CSL_CITATION {"citationItems":[{"id":"ITEM-1","itemData":{"DOI":"10.1111/gean.12063","abstract":"Transportation planning is changing. What used to be a concern with motorized vehicles only is evolving into a discipline dealing with multimodal systems where priority is given to transit and nonmotorized means of transport, chief among them being walking. The city of Bat Yam in Israel has chosen to pioneer planning for pedestrians as an integral component of its transportation master plan. This article presents a novel use of pedestrian movement modeling within urban transportation planning, by means of pedestrian movement volume prediction maps for the city, both at its current state today and at its future state planned for the year 2030. The study shows that a pedestrian movement distribution can be explained mainly by the spatial variables that represent properties of a street network. Changes to this network structure are relatively rare, and, therefore, pedestrian movement will not change in a fundamental way in the future. Furthermore, by overlaying the models for pedestrian movement and motorized traffic, as well as the underlying public transit and bicycle networks, focus can be on those streets and places where conflicts among the various road users (i.e., pedestrians, bicycles, transit vehicles, and private cars) are expected.","author":[{"dropping-particle":"","family":"Lerman","given":"Yoav","non-dropping-particle":"","parse-names":false,"suffix":""},{"dropping-particle":"","family":"Rofè","given":"Yodan","non-dropping-particle":"","parse-names":false,"suffix":""},{"dropping-particle":"","family":"Omer","given":"Itzhak","non-dropping-particle":"","parse-names":false,"suffix":""}],"container-title":"Geographical Analysis","id":"ITEM-1","issue":"4","issued":{"date-parts":[["2014"]]},"page":"392-410","title":"Using Space Syntax to Model Pedestrian Movement in Urban Transportation Planning","type":"article-journal","volume":"46"},"uris":["http://www.mendeley.com/documents/?uuid=24ed1231-e558-350c-81d1-d72a88f5ce5e"]}],"mendeley":{"formattedCitation":"(Lerman, Rofè, &amp; Omer, 2014)","manualFormatting":"(Lerman et al., 2014","plainTextFormattedCitation":"(Lerman, Rofè, &amp; Omer, 2014)","previouslyFormattedCitation":"(Lerman, Rofè, &amp; Omer, 2014)"},"properties":{"noteIndex":0},"schema":"https://github.com/citation-style-language/schema/raw/master/csl-citation.json"}</w:instrText>
      </w:r>
      <w:r w:rsidR="00C3163E" w:rsidRPr="006D55BE">
        <w:rPr>
          <w:rFonts w:eastAsiaTheme="minorEastAsia"/>
        </w:rPr>
        <w:fldChar w:fldCharType="separate"/>
      </w:r>
      <w:r w:rsidR="0066400F" w:rsidRPr="006D55BE">
        <w:rPr>
          <w:rFonts w:eastAsiaTheme="minorEastAsia"/>
          <w:noProof/>
        </w:rPr>
        <w:t>(Lerman et al., 2014</w:t>
      </w:r>
      <w:r w:rsidR="00C3163E" w:rsidRPr="006D55BE">
        <w:rPr>
          <w:rFonts w:eastAsiaTheme="minorEastAsia"/>
        </w:rPr>
        <w:fldChar w:fldCharType="end"/>
      </w:r>
      <w:r w:rsidR="00C9280D" w:rsidRPr="006D55BE">
        <w:rPr>
          <w:rFonts w:eastAsiaTheme="minorEastAsia"/>
        </w:rPr>
        <w:t>;</w:t>
      </w:r>
      <w:r w:rsidR="008B4D02" w:rsidRPr="006D55BE">
        <w:rPr>
          <w:rFonts w:eastAsiaTheme="minorEastAsia"/>
        </w:rPr>
        <w:t xml:space="preserve"> </w:t>
      </w:r>
      <w:r w:rsidR="008B4D02" w:rsidRPr="006D55BE">
        <w:rPr>
          <w:rFonts w:eastAsiaTheme="minorEastAsia"/>
        </w:rPr>
        <w:fldChar w:fldCharType="begin" w:fldLock="1"/>
      </w:r>
      <w:r w:rsidR="00214A71" w:rsidRPr="006D55BE">
        <w:rPr>
          <w:rFonts w:eastAsiaTheme="minorEastAsia"/>
        </w:rPr>
        <w:instrText>ADDIN CSL_CITATION {"citationItems":[{"id":"ITEM-1","itemData":{"author":[{"dropping-particle":"","family":"Hillier","given":"Bill","non-dropping-particle":"","parse-names":false,"suffix":""}],"id":"ITEM-1","issued":{"date-parts":[["1996"]]},"publisher":"Cambridge: Cambridge University Press","title":"Space is the machine: a configurational theory of architecture","type":"book"},"uris":["http://www.mendeley.com/documents/?uuid=379c7e8a-252c-3591-a919-ba2bbd457f26"]}],"mendeley":{"formattedCitation":"(Bill Hillier, 1996)","manualFormatting":"Hillier, 1996)","plainTextFormattedCitation":"(Bill Hillier, 1996)","previouslyFormattedCitation":"(Bill Hillier, 1996)"},"properties":{"noteIndex":0},"schema":"https://github.com/citation-style-language/schema/raw/master/csl-citation.json"}</w:instrText>
      </w:r>
      <w:r w:rsidR="008B4D02" w:rsidRPr="006D55BE">
        <w:rPr>
          <w:rFonts w:eastAsiaTheme="minorEastAsia"/>
        </w:rPr>
        <w:fldChar w:fldCharType="separate"/>
      </w:r>
      <w:r w:rsidR="008B4D02" w:rsidRPr="006D55BE">
        <w:rPr>
          <w:rFonts w:eastAsiaTheme="minorEastAsia"/>
          <w:noProof/>
        </w:rPr>
        <w:t>Hillier, 1996)</w:t>
      </w:r>
      <w:r w:rsidR="008B4D02" w:rsidRPr="006D55BE">
        <w:rPr>
          <w:rFonts w:eastAsiaTheme="minorEastAsia"/>
        </w:rPr>
        <w:fldChar w:fldCharType="end"/>
      </w:r>
      <w:r w:rsidR="00FB2E8A" w:rsidRPr="006D55BE">
        <w:rPr>
          <w:rFonts w:eastAsiaTheme="minorEastAsia"/>
        </w:rPr>
        <w:t xml:space="preserve">. Specifically, space syntax explores the </w:t>
      </w:r>
      <w:r w:rsidR="00FB2E8A" w:rsidRPr="006D55BE">
        <w:t xml:space="preserve">relationships between people and spaces </w:t>
      </w:r>
      <w:r w:rsidR="00FB2E8A" w:rsidRPr="006D55BE">
        <w:fldChar w:fldCharType="begin" w:fldLock="1"/>
      </w:r>
      <w:r w:rsidR="00FB2E8A" w:rsidRPr="006D55BE">
        <w:instrText>ADDIN CSL_CITATION {"citationItems":[{"id":"ITEM-1","itemData":{"DOI":"10.1177/0013916502238863","ISSN":"00139165","abstract":"The purpose of this article is to provide a background to the analytical techniques and related terminology used commonly in space syntax studies. The basic premises of space syntax are presented, its methodological procedures described, and certain key terms defined. Finally, issues relating space syntax studies to questions of spatial cognition are discussed.","author":[{"dropping-particle":"","family":"Bafna","given":"Sonit","non-dropping-particle":"","parse-names":false,"suffix":""}],"container-title":"Environment and Behavior","id":"ITEM-1","issue":"1","issued":{"date-parts":[["2003"]]},"page":"17-29","title":"Space syntax: A brief introduction to its logic and analytical techniques","type":"article-journal","volume":"35"},"uris":["http://www.mendeley.com/documents/?uuid=242fe0d8-326d-415d-8f2a-ce878bee7373"]}],"mendeley":{"formattedCitation":"(Bafna, 2003)","plainTextFormattedCitation":"(Bafna, 2003)","previouslyFormattedCitation":"(Bafna, 2003)"},"properties":{"noteIndex":0},"schema":"https://github.com/citation-style-language/schema/raw/master/csl-citation.json"}</w:instrText>
      </w:r>
      <w:r w:rsidR="00FB2E8A" w:rsidRPr="006D55BE">
        <w:fldChar w:fldCharType="separate"/>
      </w:r>
      <w:r w:rsidR="00FB2E8A" w:rsidRPr="006D55BE">
        <w:rPr>
          <w:noProof/>
        </w:rPr>
        <w:t>(Bafna, 2003)</w:t>
      </w:r>
      <w:r w:rsidR="00FB2E8A" w:rsidRPr="006D55BE">
        <w:fldChar w:fldCharType="end"/>
      </w:r>
      <w:r w:rsidR="00FB2E8A" w:rsidRPr="006D55BE">
        <w:t xml:space="preserve">, that is, </w:t>
      </w:r>
      <w:r w:rsidR="00FB2E8A" w:rsidRPr="006D55BE">
        <w:rPr>
          <w:rFonts w:eastAsiaTheme="minorEastAsia"/>
        </w:rPr>
        <w:t xml:space="preserve">the relationships of spatially-linked urban systems and socially-interacted human activities </w:t>
      </w:r>
      <w:r w:rsidR="00FB2E8A" w:rsidRPr="006D55BE">
        <w:rPr>
          <w:rFonts w:eastAsiaTheme="minorEastAsia"/>
        </w:rPr>
        <w:fldChar w:fldCharType="begin" w:fldLock="1"/>
      </w:r>
      <w:r w:rsidR="00FB2E8A" w:rsidRPr="006D55BE">
        <w:rPr>
          <w:rFonts w:eastAsiaTheme="minorEastAsia"/>
        </w:rPr>
        <w:instrText>ADDIN CSL_CITATION {"citationItems":[{"id":"ITEM-1","itemData":{"abstract":"This paper summarises the latest theories in the field of space syntax. It opens with a discussion of the relationship between the form of urban grids and the process of how cities are formed by human activity; this is done by a comprehensive review of space syntax theory from its starting point in the 1970s. The paper goes on to present research into how cities balance the micro-economic factors which shape the spatial structure of cities with the cultural factors that shape the underlying form of residential areas. It goes on to discuss the relationship between activity and space and how this relationship is formed by the way different activities make different demands on movement and co-presence. The paper ends with a discussion regarding the manner in which patterns of spatial integration influence the location of different classes and social groups in the city and contribute to the pathology of housing estates. The paper concludes that spatial form needs to be understood as a contributing factor in forming the patterns of integration and segregation in cities. Is The City One Thing Or Two? On the face of it, the city is two things: a large collection of buildings linked by space, and a complex system of human activity linked by interaction. We can call them the physical city and the social city. Urban practice and theory must connect one to the other. But the reflective disciplines which support and nourish both-roughly the morphological disciplines on one side and the social sciences on the other-in their nature take an asymmetric view, foregrounding one city and backgrounding the other, in effect seeing the 'other' city through the foregrounded one, and so at best as a shadowy set of patterns and forces. It is no surprise then that, at the start of the twenty first century, we have many partial theories about the city, but no theory of the city as both of the things that it seems to be. But is the city in any case two things or one? It will be one to the degree that the physical and social cities act conjointly to produce significant outcomes. There are good reasons why in principle we might expect it to be one thing. The social city is either side of the physical city: it brings it into existence, and then acts within the constraints it imposes. It seems unlikely that either is a wholly contingent process. But both relations raise uncomfortable issues of determinism: how can a physical process in the material world relate to a social process in …","author":[{"dropping-particle":"","family":"Hillier","given":"Bill","non-dropping-particle":"","parse-names":false,"suffix":""},{"dropping-particle":"","family":"Vaughan","given":"Laura","non-dropping-particle":"","parse-names":false,"suffix":""}],"container-title":"Progress in planning","id":"ITEM-1","issue":"3","issued":{"date-parts":[["2007"]]},"page":"205-230","title":"The City as One Thing","type":"article-journal","volume":"67"},"uris":["http://www.mendeley.com/documents/?uuid=309e742a-1c62-3caf-a5be-f4792b70771c"]}],"mendeley":{"formattedCitation":"(Bill Hillier &amp; Vaughan, 2007)","manualFormatting":"(Hillier &amp; Vaughan, 2007)","plainTextFormattedCitation":"(Bill Hillier &amp; Vaughan, 2007)","previouslyFormattedCitation":"(Bill Hillier &amp; Vaughan, 2007)"},"properties":{"noteIndex":0},"schema":"https://github.com/citation-style-language/schema/raw/master/csl-citation.json"}</w:instrText>
      </w:r>
      <w:r w:rsidR="00FB2E8A" w:rsidRPr="006D55BE">
        <w:rPr>
          <w:rFonts w:eastAsiaTheme="minorEastAsia"/>
        </w:rPr>
        <w:fldChar w:fldCharType="separate"/>
      </w:r>
      <w:r w:rsidR="00FB2E8A" w:rsidRPr="006D55BE">
        <w:rPr>
          <w:rFonts w:eastAsiaTheme="minorEastAsia"/>
          <w:noProof/>
        </w:rPr>
        <w:t>(Hillier &amp; Vaughan, 2007)</w:t>
      </w:r>
      <w:r w:rsidR="00FB2E8A" w:rsidRPr="006D55BE">
        <w:rPr>
          <w:rFonts w:eastAsiaTheme="minorEastAsia"/>
        </w:rPr>
        <w:fldChar w:fldCharType="end"/>
      </w:r>
      <w:r w:rsidR="00FB2E8A" w:rsidRPr="006D55BE">
        <w:rPr>
          <w:rFonts w:eastAsiaTheme="minorEastAsia"/>
        </w:rPr>
        <w:t xml:space="preserve">. </w:t>
      </w:r>
      <w:r w:rsidR="007B72BA" w:rsidRPr="006D55BE">
        <w:rPr>
          <w:rFonts w:eastAsiaTheme="minorEastAsia"/>
        </w:rPr>
        <w:t>In space syntax context, the interaction between physical spatial configuration and movement flow is</w:t>
      </w:r>
      <w:r w:rsidR="0066400F" w:rsidRPr="006D55BE">
        <w:rPr>
          <w:rFonts w:eastAsiaTheme="minorEastAsia"/>
        </w:rPr>
        <w:t xml:space="preserve"> generalized and identified by a term of ‘natural movement’, which demonstrates the extent to which the pedestrian movement is determined by the spatial configuration </w:t>
      </w:r>
      <w:r w:rsidR="0066400F" w:rsidRPr="006D55BE">
        <w:rPr>
          <w:rFonts w:eastAsiaTheme="minorEastAsia"/>
        </w:rPr>
        <w:fldChar w:fldCharType="begin" w:fldLock="1"/>
      </w:r>
      <w:r w:rsidR="00900246" w:rsidRPr="006D55BE">
        <w:rPr>
          <w:rFonts w:eastAsiaTheme="minorEastAsia"/>
        </w:rPr>
        <w:instrText>ADDIN CSL_CITATION {"citationItems":[{"id":"ITEM-1","itemData":{"DOI":"10.1068/b200029","ISSN":"0265-8135","abstract":"Existing theories relating patterns of pedestrian and vehicular movement to urban form characterise the problem in terms of flows to and from \"attractor' land uses. This paper contains evidence in support of a new \"configurational' paradigm in which a primary property of the form of the urban grid is to privilege certain spaces over others for through movement. It is suggested that the configuration of the urban grid itself is the main generator of patterns of movement. Retail land uses are then located to take advantage of the opportunities offered by the passing trade and may well act as multipliers on the basic pattern of \"natural movement' generated by the grid configuration. The configurational correlates of movement patterns are found to be measures of global properties of the grid with the \"space syntax' measure of \"integration' consistently found to be the most important. If we wish to design for well used urban space, then it is not the local properties of a space that are important in the main but its configurational relations to the larger urban system. -from Authors","author":[{"dropping-particle":"","family":"Hillier","given":"B.","non-dropping-particle":"","parse-names":false,"suffix":""},{"dropping-particle":"","family":"Penn","given":"A.","non-dropping-particle":"","parse-names":false,"suffix":""},{"dropping-particle":"","family":"Hanson","given":"J.","non-dropping-particle":"","parse-names":false,"suffix":""},{"dropping-particle":"","family":"Grajewski","given":"T.","non-dropping-particle":"","parse-names":false,"suffix":""},{"dropping-particle":"","family":"Xu","given":"J.","non-dropping-particle":"","parse-names":false,"suffix":""}],"container-title":"Environment &amp; Planning B: Planning &amp; Design","id":"ITEM-1","issue":"1","issued":{"date-parts":[["1993"]]},"page":"29-66","title":"Natural movement: or, configuration and attraction in urban pedestrian movement","type":"article-journal","volume":"20"},"uris":["http://www.mendeley.com/documents/?uuid=73020bb2-80ce-3835-93d2-79ffe42e6d0f"]}],"mendeley":{"formattedCitation":"(B. Hillier, Penn, Hanson, Grajewski, &amp; Xu, 1993)","manualFormatting":"(Hillier et al., 1993)","plainTextFormattedCitation":"(B. Hillier, Penn, Hanson, Grajewski, &amp; Xu, 1993)","previouslyFormattedCitation":"(B. Hillier, Penn, Hanson, Grajewski, &amp; Xu, 1993)"},"properties":{"noteIndex":0},"schema":"https://github.com/citation-style-language/schema/raw/master/csl-citation.json"}</w:instrText>
      </w:r>
      <w:r w:rsidR="0066400F" w:rsidRPr="006D55BE">
        <w:rPr>
          <w:rFonts w:eastAsiaTheme="minorEastAsia"/>
        </w:rPr>
        <w:fldChar w:fldCharType="separate"/>
      </w:r>
      <w:r w:rsidR="0066400F" w:rsidRPr="006D55BE">
        <w:rPr>
          <w:rFonts w:eastAsiaTheme="minorEastAsia"/>
          <w:noProof/>
        </w:rPr>
        <w:t>(Hillier et al., 1993)</w:t>
      </w:r>
      <w:r w:rsidR="0066400F" w:rsidRPr="006D55BE">
        <w:rPr>
          <w:rFonts w:eastAsiaTheme="minorEastAsia"/>
        </w:rPr>
        <w:fldChar w:fldCharType="end"/>
      </w:r>
      <w:r w:rsidR="0066400F" w:rsidRPr="006D55BE">
        <w:rPr>
          <w:rFonts w:eastAsiaTheme="minorEastAsia"/>
        </w:rPr>
        <w:t>.</w:t>
      </w:r>
      <w:r w:rsidR="00900246" w:rsidRPr="006D55BE">
        <w:rPr>
          <w:rFonts w:eastAsiaTheme="minorEastAsia"/>
        </w:rPr>
        <w:t xml:space="preserve"> Urban configuration affect</w:t>
      </w:r>
      <w:r w:rsidR="005B6962" w:rsidRPr="006D55BE">
        <w:rPr>
          <w:rFonts w:eastAsiaTheme="minorEastAsia"/>
        </w:rPr>
        <w:t>s</w:t>
      </w:r>
      <w:r w:rsidR="00900246" w:rsidRPr="006D55BE">
        <w:rPr>
          <w:rFonts w:eastAsiaTheme="minorEastAsia"/>
        </w:rPr>
        <w:t xml:space="preserve"> land use patterns </w:t>
      </w:r>
      <w:r w:rsidR="006E0641" w:rsidRPr="006D55BE">
        <w:rPr>
          <w:rFonts w:eastAsiaTheme="minorEastAsia"/>
        </w:rPr>
        <w:t>by</w:t>
      </w:r>
      <w:r w:rsidR="00900246" w:rsidRPr="006D55BE">
        <w:rPr>
          <w:rFonts w:eastAsiaTheme="minorEastAsia"/>
        </w:rPr>
        <w:t xml:space="preserve"> affecting natural movement </w:t>
      </w:r>
      <w:r w:rsidR="00900246" w:rsidRPr="006D55BE">
        <w:rPr>
          <w:rFonts w:eastAsiaTheme="minorEastAsia"/>
        </w:rPr>
        <w:fldChar w:fldCharType="begin" w:fldLock="1"/>
      </w:r>
      <w:r w:rsidR="008A42AF" w:rsidRPr="006D55BE">
        <w:rPr>
          <w:rFonts w:eastAsiaTheme="minorEastAsia"/>
        </w:rPr>
        <w:instrText>ADDIN CSL_CITATION {"citationItems":[{"id":"ITEM-1","itemData":{"DOI":"10.1016/j.healthplace.2019.01.002","ISSN":"18732054","PMID":"30639202","abstract":"Walking to get to and from local destinations including shops, services, and transit stops is a major source of adults’ health-related physical activity. Research has been using space syntax measures in examining how urban form is related to such routine walking for transport. This paper proposes to apply a theory of space syntax, natural movement, which posits street layout as a primary factor influencing pedestrian movement. Discussing how this theory can link urban form (street layout) and function (land use) with walking for transport, we propose a research agenda to produce new insights and advance methods in active living research.","author":[{"dropping-particle":"","family":"Koohsari","given":"Mohammad Javad","non-dropping-particle":"","parse-names":false,"suffix":""},{"dropping-particle":"","family":"Oka","given":"Koichiro","non-dropping-particle":"","parse-names":false,"suffix":""},{"dropping-particle":"","family":"Owen","given":"Neville","non-dropping-particle":"","parse-names":false,"suffix":""},{"dropping-particle":"","family":"Sugiyama","given":"Takemi","non-dropping-particle":"","parse-names":false,"suffix":""}],"container-title":"Health and Place","id":"ITEM-1","issue":"January","issued":{"date-parts":[["2019"]]},"page":"102072","publisher":"Elsevier Ltd","title":"Natural movement: A space syntax theory linking urban form and function with walking for transport","type":"article-journal","volume":"58"},"uris":["http://www.mendeley.com/documents/?uuid=56f96353-804b-4a31-8d89-9b11b03e9aa0"]}],"mendeley":{"formattedCitation":"(Koohsari, Oka, Owen, &amp; Sugiyama, 2019)","manualFormatting":"(Koohsari et al., 2019)","plainTextFormattedCitation":"(Koohsari, Oka, Owen, &amp; Sugiyama, 2019)","previouslyFormattedCitation":"(Koohsari, Oka, Owen, &amp; Sugiyama, 2019)"},"properties":{"noteIndex":0},"schema":"https://github.com/citation-style-language/schema/raw/master/csl-citation.json"}</w:instrText>
      </w:r>
      <w:r w:rsidR="00900246" w:rsidRPr="006D55BE">
        <w:rPr>
          <w:rFonts w:eastAsiaTheme="minorEastAsia"/>
        </w:rPr>
        <w:fldChar w:fldCharType="separate"/>
      </w:r>
      <w:r w:rsidR="00900246" w:rsidRPr="006D55BE">
        <w:rPr>
          <w:rFonts w:eastAsiaTheme="minorEastAsia"/>
          <w:noProof/>
        </w:rPr>
        <w:t>(Koohsari et al., 2019)</w:t>
      </w:r>
      <w:r w:rsidR="00900246" w:rsidRPr="006D55BE">
        <w:rPr>
          <w:rFonts w:eastAsiaTheme="minorEastAsia"/>
        </w:rPr>
        <w:fldChar w:fldCharType="end"/>
      </w:r>
      <w:r w:rsidR="005B6962" w:rsidRPr="006D55BE">
        <w:rPr>
          <w:rFonts w:eastAsiaTheme="minorEastAsia"/>
        </w:rPr>
        <w:t xml:space="preserve">, which means that the GBSs should have desirable locations in the given spatial configuration and natural movement pattern. </w:t>
      </w:r>
      <w:r w:rsidR="006B6F07" w:rsidRPr="006D55BE">
        <w:rPr>
          <w:rFonts w:eastAsiaTheme="minorEastAsia"/>
        </w:rPr>
        <w:t xml:space="preserve">The placement of GBSs is identified by two aspects of natural movement – </w:t>
      </w:r>
      <w:r w:rsidR="006B6F07" w:rsidRPr="006D55BE">
        <w:rPr>
          <w:rFonts w:eastAsiaTheme="minorEastAsia"/>
          <w:i/>
          <w:iCs/>
        </w:rPr>
        <w:t>to-movement</w:t>
      </w:r>
      <w:r w:rsidR="006B6F07" w:rsidRPr="006D55BE">
        <w:rPr>
          <w:rFonts w:eastAsiaTheme="minorEastAsia"/>
        </w:rPr>
        <w:t xml:space="preserve"> and </w:t>
      </w:r>
      <w:r w:rsidR="006B6F07" w:rsidRPr="006D55BE">
        <w:rPr>
          <w:rFonts w:eastAsiaTheme="minorEastAsia"/>
          <w:i/>
          <w:iCs/>
        </w:rPr>
        <w:t>th</w:t>
      </w:r>
      <w:r w:rsidR="00BB35A2" w:rsidRPr="006D55BE">
        <w:rPr>
          <w:rFonts w:eastAsiaTheme="minorEastAsia"/>
          <w:i/>
          <w:iCs/>
        </w:rPr>
        <w:t>r</w:t>
      </w:r>
      <w:r w:rsidR="006B6F07" w:rsidRPr="006D55BE">
        <w:rPr>
          <w:rFonts w:eastAsiaTheme="minorEastAsia"/>
          <w:i/>
          <w:iCs/>
        </w:rPr>
        <w:t>ough-movement</w:t>
      </w:r>
      <w:r w:rsidR="006B6F07" w:rsidRPr="006D55BE">
        <w:rPr>
          <w:rFonts w:eastAsiaTheme="minorEastAsia"/>
        </w:rPr>
        <w:t xml:space="preserve">. </w:t>
      </w:r>
      <w:r w:rsidR="00663860" w:rsidRPr="006D55BE">
        <w:rPr>
          <w:rFonts w:eastAsiaTheme="minorEastAsia"/>
          <w:i/>
          <w:iCs/>
        </w:rPr>
        <w:t>To-movement</w:t>
      </w:r>
      <w:r w:rsidR="00663860" w:rsidRPr="006D55BE">
        <w:rPr>
          <w:rFonts w:eastAsiaTheme="minorEastAsia"/>
        </w:rPr>
        <w:t xml:space="preserve"> relates to the selection of GBSs in pedestrian walking. </w:t>
      </w:r>
      <w:r w:rsidR="00663860" w:rsidRPr="006D55BE">
        <w:rPr>
          <w:rFonts w:eastAsiaTheme="minorEastAsia"/>
          <w:i/>
          <w:iCs/>
        </w:rPr>
        <w:t>Through-movement</w:t>
      </w:r>
      <w:r w:rsidR="00663860" w:rsidRPr="006D55BE">
        <w:rPr>
          <w:rFonts w:eastAsiaTheme="minorEastAsia"/>
        </w:rPr>
        <w:t xml:space="preserve"> is related to the selection of routes passed through for reaching GBSs </w:t>
      </w:r>
      <w:r w:rsidR="00663860" w:rsidRPr="006D55BE">
        <w:rPr>
          <w:rFonts w:eastAsiaTheme="minorEastAsia"/>
        </w:rPr>
        <w:fldChar w:fldCharType="begin" w:fldLock="1"/>
      </w:r>
      <w:r w:rsidR="00663860" w:rsidRPr="006D55BE">
        <w:rPr>
          <w:rFonts w:eastAsiaTheme="minorEastAsia"/>
        </w:rPr>
        <w:instrText>ADDIN CSL_CITATION {"citationItems":[{"id":"ITEM-1","itemData":{"abstract":"Between social physics and phenomenology","author":[{"dropping-particle":"","family":"Hillier","given":"Bill","non-dropping-particle":"","parse-names":false,"suffix":""},{"dropping-particle":"","family":"Iida","given":"Shinichi","non-dropping-particle":"","parse-names":false,"suffix":""}],"container-title":"International Conference on Spatial Information Theory","id":"ITEM-1","issued":{"date-parts":[["2005"]]},"page":"475-490","title":"Network and psychological effects in urban movement","type":"article-journal"},"uris":["http://www.mendeley.com/documents/?uuid=45b25d94-c95e-4ec8-96dd-d62735c3545b"]}],"mendeley":{"formattedCitation":"(Bill Hillier &amp; Iida, 2005)","manualFormatting":"(Hillier &amp; Iida, 2005)","plainTextFormattedCitation":"(Bill Hillier &amp; Iida, 2005)","previouslyFormattedCitation":"(Bill Hillier &amp; Iida, 2005)"},"properties":{"noteIndex":0},"schema":"https://github.com/citation-style-language/schema/raw/master/csl-citation.json"}</w:instrText>
      </w:r>
      <w:r w:rsidR="00663860" w:rsidRPr="006D55BE">
        <w:rPr>
          <w:rFonts w:eastAsiaTheme="minorEastAsia"/>
        </w:rPr>
        <w:fldChar w:fldCharType="separate"/>
      </w:r>
      <w:r w:rsidR="00663860" w:rsidRPr="006D55BE">
        <w:rPr>
          <w:rFonts w:eastAsiaTheme="minorEastAsia"/>
          <w:noProof/>
        </w:rPr>
        <w:t>(Hillier &amp; Iida, 2005)</w:t>
      </w:r>
      <w:r w:rsidR="00663860" w:rsidRPr="006D55BE">
        <w:rPr>
          <w:rFonts w:eastAsiaTheme="minorEastAsia"/>
        </w:rPr>
        <w:fldChar w:fldCharType="end"/>
      </w:r>
      <w:r w:rsidR="00663860" w:rsidRPr="006D55BE">
        <w:rPr>
          <w:rFonts w:eastAsiaTheme="minorEastAsia"/>
        </w:rPr>
        <w:t xml:space="preserve">. </w:t>
      </w:r>
      <w:r w:rsidR="00EC5946" w:rsidRPr="006D55BE">
        <w:rPr>
          <w:rFonts w:eastAsiaTheme="minorEastAsia"/>
        </w:rPr>
        <w:t xml:space="preserve">Accessibility is a </w:t>
      </w:r>
      <w:r w:rsidR="00EA4C39" w:rsidRPr="006D55BE">
        <w:rPr>
          <w:rFonts w:eastAsiaTheme="minorEastAsia"/>
        </w:rPr>
        <w:t xml:space="preserve">pedestrian </w:t>
      </w:r>
      <w:r w:rsidR="00EC5946" w:rsidRPr="006D55BE">
        <w:rPr>
          <w:rFonts w:eastAsiaTheme="minorEastAsia"/>
        </w:rPr>
        <w:t xml:space="preserve">need in the </w:t>
      </w:r>
      <w:r w:rsidR="00EC5946" w:rsidRPr="006D55BE">
        <w:rPr>
          <w:rFonts w:eastAsiaTheme="minorEastAsia"/>
          <w:i/>
          <w:iCs/>
        </w:rPr>
        <w:t>to-movement</w:t>
      </w:r>
      <w:r w:rsidR="009E3D63" w:rsidRPr="006D55BE">
        <w:rPr>
          <w:rFonts w:eastAsiaTheme="minorEastAsia"/>
        </w:rPr>
        <w:t xml:space="preserve"> </w:t>
      </w:r>
      <w:r w:rsidR="009E3D63" w:rsidRPr="006D55BE">
        <w:rPr>
          <w:rFonts w:eastAsiaTheme="minorEastAsia"/>
        </w:rPr>
        <w:fldChar w:fldCharType="begin" w:fldLock="1"/>
      </w:r>
      <w:r w:rsidR="00BB35A2" w:rsidRPr="006D55BE">
        <w:rPr>
          <w:rFonts w:eastAsiaTheme="minorEastAsia"/>
        </w:rPr>
        <w:instrText>ADDIN CSL_CITATION {"citationItems":[{"id":"ITEM-1","itemData":{"DOI":"10.1080/13658816.2015.1018834","ISSN":"1362-3087","abstract":"Closeness and betweenness are forms of spatial network analysis grounded in a long-standing tradition of measuring accessibility and flow potential. More recently, these measures have been enhanced by the concept of spatial localization, producing effective models for the prediction of pedestrian and vehicle driver behaviour. A contradiction arises where the distance metric used to define locality does not match the distance metric used to define shortest paths for closeness and betweenness. A typical case is the use of angular shortest paths within a Euclidean buffer as a pedestrian flow model. Such a model assumes that people make a mode choice based on distance, but a route choice based on least angular change-even when this results in an excessively long 'problem route', which conflicts with their criterion for mode choice. This study examines the prevalence of problem routes and the magnitude of their effect on some pedestrian and vehicle models. We show that while in a weighted analysis, pathological cases could invalidate an entire model, in the models presented the effect of this contradiction is minor. We do this by comparing model predictions to real flow data, using four strategies for handling problem routes: ignore, discard, reroute and strict locality. Strict locality is justified on the grounds of bounded rationality. We find all strategies to give broadly similar results, although the reroute and strict strategies give marginally better simulation accuracy. We also present a discussion of the characteristics of each strategy, and findings on computational efficiency. We conclude that it is prudent in any computation of localized closeness and betweenness to consider the impact of problem routes; however, they do not necessarily invalidate these forms of analysis, which remain useful.","author":[{"dropping-particle":"V","family":"Cooper","given":"Crispin H","non-dropping-particle":"","parse-names":false,"suffix":""}],"container-title":"International Journal of Geographical Information Science","id":"ITEM-1","issue":"8","issued":{"date-parts":[["2015"]]},"page":"1293-1309","title":"Spatial localization of closeness and betweenness measures: a self-contradictory but useful form of network analysis","type":"article-journal","volume":"29"},"uris":["http://www.mendeley.com/documents/?uuid=2fcdd8ad-c3d7-33f4-b601-8c07b58be05f"]}],"mendeley":{"formattedCitation":"(C. H. V Cooper, 2015)","manualFormatting":"(Cooper, 2015)","plainTextFormattedCitation":"(C. H. V Cooper, 2015)","previouslyFormattedCitation":"(C. H. V Cooper, 2015)"},"properties":{"noteIndex":0},"schema":"https://github.com/citation-style-language/schema/raw/master/csl-citation.json"}</w:instrText>
      </w:r>
      <w:r w:rsidR="009E3D63" w:rsidRPr="006D55BE">
        <w:rPr>
          <w:rFonts w:eastAsiaTheme="minorEastAsia"/>
        </w:rPr>
        <w:fldChar w:fldCharType="separate"/>
      </w:r>
      <w:r w:rsidR="009E3D63" w:rsidRPr="006D55BE">
        <w:rPr>
          <w:rFonts w:eastAsiaTheme="minorEastAsia"/>
          <w:noProof/>
        </w:rPr>
        <w:t>(Cooper, 2015)</w:t>
      </w:r>
      <w:r w:rsidR="009E3D63" w:rsidRPr="006D55BE">
        <w:rPr>
          <w:rFonts w:eastAsiaTheme="minorEastAsia"/>
        </w:rPr>
        <w:fldChar w:fldCharType="end"/>
      </w:r>
      <w:r w:rsidR="00EA4C39" w:rsidRPr="006D55BE">
        <w:rPr>
          <w:rFonts w:eastAsiaTheme="minorEastAsia"/>
        </w:rPr>
        <w:t xml:space="preserve">. The more accessible GBSs are preferred as the destination </w:t>
      </w:r>
      <w:r w:rsidR="009A6EE4" w:rsidRPr="006D55BE">
        <w:rPr>
          <w:rFonts w:eastAsiaTheme="minorEastAsia"/>
        </w:rPr>
        <w:t xml:space="preserve">due to the ease of using GBSs. </w:t>
      </w:r>
      <w:r w:rsidR="00647F61" w:rsidRPr="006D55BE">
        <w:rPr>
          <w:rFonts w:eastAsiaTheme="minorEastAsia"/>
        </w:rPr>
        <w:t xml:space="preserve">Also, visual accessibility is another pedestrian need in the </w:t>
      </w:r>
      <w:r w:rsidR="00647F61" w:rsidRPr="006D55BE">
        <w:rPr>
          <w:rFonts w:eastAsiaTheme="minorEastAsia"/>
          <w:i/>
          <w:iCs/>
        </w:rPr>
        <w:t>th</w:t>
      </w:r>
      <w:r w:rsidR="00BB35A2" w:rsidRPr="006D55BE">
        <w:rPr>
          <w:rFonts w:eastAsiaTheme="minorEastAsia"/>
          <w:i/>
          <w:iCs/>
        </w:rPr>
        <w:t>r</w:t>
      </w:r>
      <w:r w:rsidR="00647F61" w:rsidRPr="006D55BE">
        <w:rPr>
          <w:rFonts w:eastAsiaTheme="minorEastAsia"/>
          <w:i/>
          <w:iCs/>
        </w:rPr>
        <w:t>ough-movement</w:t>
      </w:r>
      <w:r w:rsidR="00647F61" w:rsidRPr="006D55BE">
        <w:rPr>
          <w:rFonts w:eastAsiaTheme="minorEastAsia"/>
        </w:rPr>
        <w:t xml:space="preserve">. </w:t>
      </w:r>
      <w:r w:rsidR="00BB35A2" w:rsidRPr="006D55BE">
        <w:rPr>
          <w:rFonts w:eastAsiaTheme="minorEastAsia"/>
        </w:rPr>
        <w:t xml:space="preserve">The spaces with high </w:t>
      </w:r>
      <w:r w:rsidR="00BB35A2" w:rsidRPr="006D55BE">
        <w:rPr>
          <w:rFonts w:eastAsiaTheme="minorEastAsia"/>
          <w:i/>
          <w:iCs/>
        </w:rPr>
        <w:t>through-movement</w:t>
      </w:r>
      <w:r w:rsidR="00BB35A2" w:rsidRPr="006D55BE">
        <w:rPr>
          <w:rFonts w:eastAsiaTheme="minorEastAsia"/>
        </w:rPr>
        <w:t xml:space="preserve"> potentials have more movement flows</w:t>
      </w:r>
      <w:r w:rsidR="008B7C53" w:rsidRPr="006D55BE">
        <w:rPr>
          <w:rFonts w:eastAsiaTheme="minorEastAsia"/>
        </w:rPr>
        <w:t xml:space="preserve"> </w:t>
      </w:r>
      <w:r w:rsidR="008B7C53" w:rsidRPr="006D55BE">
        <w:rPr>
          <w:rFonts w:eastAsiaTheme="minorEastAsia"/>
        </w:rPr>
        <w:fldChar w:fldCharType="begin" w:fldLock="1"/>
      </w:r>
      <w:r w:rsidR="00C07A19" w:rsidRPr="006D55BE">
        <w:rPr>
          <w:rFonts w:eastAsiaTheme="minorEastAsia"/>
        </w:rPr>
        <w:instrText>ADDIN CSL_CITATION {"citationItems":[{"id":"ITEM-1","itemData":{"ISSN":"2044-7507","author":[{"dropping-particle":"","family":"Hillier","given":"Bill","non-dropping-particle":"","parse-names":false,"suffix":""},{"dropping-particle":"","family":"Yang","given":"Tao","non-dropping-particle":"","parse-names":false,"suffix":""},{"dropping-particle":"","family":"Turner","given":"Alasdair","non-dropping-particle":"","parse-names":false,"suffix":""}],"container-title":"The Journal of Space Syntax","id":"ITEM-1","issue":"2","issued":{"date-parts":[["2012"]]},"page":"155-193","title":"Normalising least angle choice in Depthmap and how it opens up new perspectives on the global and local analysis of city space","type":"article-journal","volume":"3"},"uris":["http://www.mendeley.com/documents/?uuid=aee53982-582a-3486-867a-b8ecc9406372"]}],"mendeley":{"formattedCitation":"(Bill Hillier, Yang, &amp; Turner, 2012)","manualFormatting":"(Hillier et al.,  2012)","plainTextFormattedCitation":"(Bill Hillier, Yang, &amp; Turner, 2012)","previouslyFormattedCitation":"(Bill Hillier, Yang, &amp; Turner, 2012)"},"properties":{"noteIndex":0},"schema":"https://github.com/citation-style-language/schema/raw/master/csl-citation.json"}</w:instrText>
      </w:r>
      <w:r w:rsidR="008B7C53" w:rsidRPr="006D55BE">
        <w:rPr>
          <w:rFonts w:eastAsiaTheme="minorEastAsia"/>
        </w:rPr>
        <w:fldChar w:fldCharType="separate"/>
      </w:r>
      <w:r w:rsidR="008B7C53" w:rsidRPr="006D55BE">
        <w:rPr>
          <w:rFonts w:eastAsiaTheme="minorEastAsia"/>
          <w:noProof/>
        </w:rPr>
        <w:t>(Hillier et al.,  2012)</w:t>
      </w:r>
      <w:r w:rsidR="008B7C53" w:rsidRPr="006D55BE">
        <w:rPr>
          <w:rFonts w:eastAsiaTheme="minorEastAsia"/>
        </w:rPr>
        <w:fldChar w:fldCharType="end"/>
      </w:r>
      <w:r w:rsidR="00BB35A2" w:rsidRPr="006D55BE">
        <w:rPr>
          <w:rFonts w:eastAsiaTheme="minorEastAsia"/>
        </w:rPr>
        <w:t xml:space="preserve">, so that the </w:t>
      </w:r>
      <w:r w:rsidR="00407245" w:rsidRPr="006D55BE">
        <w:rPr>
          <w:rFonts w:eastAsiaTheme="minorEastAsia"/>
        </w:rPr>
        <w:t xml:space="preserve">GBSs located in the frequently traversed spaces provide more benefits of visual accessibility. </w:t>
      </w:r>
      <w:r w:rsidR="00451DC4" w:rsidRPr="006D55BE">
        <w:rPr>
          <w:rFonts w:eastAsiaTheme="minorEastAsia"/>
        </w:rPr>
        <w:t xml:space="preserve">A cognitive aspect in pedestrian movement, however, is still limited investigated. </w:t>
      </w:r>
      <w:r w:rsidR="00BF7732" w:rsidRPr="006D55BE">
        <w:rPr>
          <w:rFonts w:eastAsiaTheme="minorEastAsia"/>
        </w:rPr>
        <w:t>Interpreted by the space syntax, t</w:t>
      </w:r>
      <w:r w:rsidR="007A1FB0" w:rsidRPr="006D55BE">
        <w:rPr>
          <w:rFonts w:eastAsiaTheme="minorEastAsia"/>
        </w:rPr>
        <w:t xml:space="preserve">he spatial cognition of GBSs </w:t>
      </w:r>
      <w:r w:rsidR="00117A8C" w:rsidRPr="006D55BE">
        <w:rPr>
          <w:rFonts w:eastAsiaTheme="minorEastAsia"/>
        </w:rPr>
        <w:t>is</w:t>
      </w:r>
      <w:r w:rsidR="007A1FB0" w:rsidRPr="006D55BE">
        <w:rPr>
          <w:rFonts w:eastAsiaTheme="minorEastAsia"/>
        </w:rPr>
        <w:t xml:space="preserve"> not directly determined by </w:t>
      </w:r>
      <w:r w:rsidR="007A1FB0" w:rsidRPr="006D55BE">
        <w:rPr>
          <w:rFonts w:eastAsiaTheme="minorEastAsia"/>
          <w:i/>
          <w:iCs/>
        </w:rPr>
        <w:t>to-</w:t>
      </w:r>
      <w:r w:rsidR="007A1FB0" w:rsidRPr="006D55BE">
        <w:rPr>
          <w:rFonts w:eastAsiaTheme="minorEastAsia"/>
        </w:rPr>
        <w:t xml:space="preserve"> and </w:t>
      </w:r>
      <w:r w:rsidR="007A1FB0" w:rsidRPr="006D55BE">
        <w:rPr>
          <w:rFonts w:eastAsiaTheme="minorEastAsia"/>
          <w:i/>
          <w:iCs/>
        </w:rPr>
        <w:t>through-movement</w:t>
      </w:r>
      <w:r w:rsidR="00AF3A8F" w:rsidRPr="006D55BE">
        <w:rPr>
          <w:rFonts w:eastAsiaTheme="minorEastAsia"/>
        </w:rPr>
        <w:t xml:space="preserve">. </w:t>
      </w:r>
      <w:r w:rsidR="00117A8C" w:rsidRPr="006D55BE">
        <w:rPr>
          <w:rFonts w:eastAsiaTheme="minorEastAsia"/>
        </w:rPr>
        <w:t>It is a mental need in pedestrian</w:t>
      </w:r>
      <w:r w:rsidR="00AF3A8F" w:rsidRPr="006D55BE">
        <w:rPr>
          <w:rFonts w:eastAsiaTheme="minorEastAsia"/>
        </w:rPr>
        <w:t xml:space="preserve"> walking</w:t>
      </w:r>
      <w:r w:rsidR="00117A8C" w:rsidRPr="006D55BE">
        <w:rPr>
          <w:rFonts w:eastAsiaTheme="minorEastAsia"/>
        </w:rPr>
        <w:t xml:space="preserve"> </w:t>
      </w:r>
      <w:r w:rsidR="00D81792" w:rsidRPr="006D55BE">
        <w:rPr>
          <w:rFonts w:eastAsiaTheme="minorEastAsia"/>
        </w:rPr>
        <w:t>affected by the overall impressions under the patterns of natural movement.</w:t>
      </w:r>
    </w:p>
    <w:p w14:paraId="10D9F5F3" w14:textId="72F78C43" w:rsidR="00962E84" w:rsidRPr="006D55BE" w:rsidRDefault="00962E84" w:rsidP="00792542">
      <w:pPr>
        <w:spacing w:after="163"/>
        <w:ind w:firstLine="420"/>
        <w:rPr>
          <w:rFonts w:eastAsiaTheme="minorEastAsia"/>
        </w:rPr>
      </w:pPr>
      <w:r w:rsidRPr="006D55BE">
        <w:rPr>
          <w:rFonts w:eastAsiaTheme="minorEastAsia"/>
        </w:rPr>
        <w:t xml:space="preserve">To plan and design the GBSs for accommodating the needs of pedestrian movement, we develop a multi-indicator framework to evaluate the current GBSs through integrating the investigations of physical access, visual access, and spatial cognition. </w:t>
      </w:r>
      <w:r w:rsidR="007B6C5B">
        <w:rPr>
          <w:rFonts w:eastAsiaTheme="minorEastAsia"/>
        </w:rPr>
        <w:t>T</w:t>
      </w:r>
      <w:r w:rsidR="00EE5222" w:rsidRPr="006D55BE">
        <w:rPr>
          <w:rFonts w:eastAsiaTheme="minorEastAsia"/>
        </w:rPr>
        <w:t xml:space="preserve">hree indicators of accessibility, visibility, and intelligibility </w:t>
      </w:r>
      <w:r w:rsidR="00E02CCE" w:rsidRPr="006D55BE">
        <w:rPr>
          <w:rFonts w:eastAsiaTheme="minorEastAsia"/>
        </w:rPr>
        <w:t>are emphasized and quantified as empirical values to demonstrate</w:t>
      </w:r>
      <w:r w:rsidR="00506B57" w:rsidRPr="006D55BE">
        <w:rPr>
          <w:rFonts w:eastAsiaTheme="minorEastAsia"/>
        </w:rPr>
        <w:t xml:space="preserve"> three aspects of GBSs’ pedestrian-friendliness.</w:t>
      </w:r>
      <w:r w:rsidR="00E02CCE" w:rsidRPr="006D55BE">
        <w:rPr>
          <w:rFonts w:eastAsiaTheme="minorEastAsia"/>
        </w:rPr>
        <w:t xml:space="preserve"> </w:t>
      </w:r>
      <w:r w:rsidR="002C3DA7">
        <w:rPr>
          <w:rFonts w:eastAsiaTheme="minorEastAsia"/>
        </w:rPr>
        <w:t xml:space="preserve">Furthermore, these three indicators are then upscaled to district and city levels for ease of guidance statements in urban GBS planning </w:t>
      </w:r>
      <w:r w:rsidR="002C3DA7">
        <w:rPr>
          <w:color w:val="222222"/>
          <w:shd w:val="clear" w:color="auto" w:fill="FFFFFF"/>
        </w:rPr>
        <w:fldChar w:fldCharType="begin" w:fldLock="1"/>
      </w:r>
      <w:r w:rsidR="002C3DA7">
        <w:rPr>
          <w:color w:val="222222"/>
          <w:shd w:val="clear" w:color="auto" w:fill="FFFFFF"/>
        </w:rPr>
        <w:instrText>ADDIN CSL_CITATION {"citationItems":[{"id":"ITEM-1","itemData":{"abstract":"The value of environmental indicators largely depends upon the spatial and temporal scale that they represent. Environmental indicators are dependent upon data availability and also upon the scale for which statements are required. As these may not match, changes in scales may be necessary. In this paper a geostatistical approach to analyse quantitative environmental indicators has been used. Scales, defined in terms of resolution and procedures, are presented to translate data from one scale to another: upscaling to change from high resolution data towards a low resolution, and downscaling for the inverse process. The study is illustrated with three environmental indicators. The first concerns heavy metals in the environment, where the zinc content is used as the indicator. Initially, data were present at a 1 km 2 resolution, and were downscaled to 1 m 2 resolution. High resolution data collected later showed a reasonable correspondence with the downscaled data. Available covariates were also used. The second example is from the Rothamsted's long-term experiments. Changes in scale are illustrated by simulating reduced data sets from the full dataset on grass cuts. A simple regression model related the yield from the second cut to that of the first cut in the cropping season. Reducing data availability (upscaling) resulted in poor estimates of the regression coefficients. The final example is on nitrate surpluses on Danish farms. Data at the field level are upscaled to the farm level, and the dispersion variance indicates differences between different farms. Geostatistical methods were useful to define, change and determine the most appropriate scales for environmental variables in space and in time.","author":[{"dropping-particle":"","family":"Stein","given":"A","non-dropping-particle":"","parse-names":false,"suffix":""},{"dropping-particle":"","family":"Riley","given":"J","non-dropping-particle":"","parse-names":false,"suffix":""},{"dropping-particle":"","family":"Halberg","given":"N","non-dropping-particle":"","parse-names":false,"suffix":""}],"container-title":"Agriculture, Ecosystems and Environment","id":"ITEM-1","issued":{"date-parts":[["2001"]]},"page":"215-232","title":"Issues of scale for environmental indicators","type":"article-journal","volume":"87"},"uris":["http://www.mendeley.com/documents/?uuid=d0e555ec-0da2-3bcf-86f9-3ce1b48fce5e"]}],"mendeley":{"formattedCitation":"(Stein, Riley, &amp; Halberg, 2001)","manualFormatting":"(Stein et al., 2001)","plainTextFormattedCitation":"(Stein, Riley, &amp; Halberg, 2001)","previouslyFormattedCitation":"(Stein, Riley, &amp; Halberg, 2001)"},"properties":{"noteIndex":0},"schema":"https://github.com/citation-style-language/schema/raw/master/csl-citation.json"}</w:instrText>
      </w:r>
      <w:r w:rsidR="002C3DA7">
        <w:rPr>
          <w:color w:val="222222"/>
          <w:shd w:val="clear" w:color="auto" w:fill="FFFFFF"/>
        </w:rPr>
        <w:fldChar w:fldCharType="separate"/>
      </w:r>
      <w:r w:rsidR="002C3DA7" w:rsidRPr="009B7F70">
        <w:rPr>
          <w:noProof/>
          <w:color w:val="222222"/>
          <w:shd w:val="clear" w:color="auto" w:fill="FFFFFF"/>
        </w:rPr>
        <w:t>(Stein</w:t>
      </w:r>
      <w:r w:rsidR="002C3DA7">
        <w:rPr>
          <w:noProof/>
          <w:color w:val="222222"/>
          <w:shd w:val="clear" w:color="auto" w:fill="FFFFFF"/>
        </w:rPr>
        <w:t xml:space="preserve"> et al., </w:t>
      </w:r>
      <w:r w:rsidR="002C3DA7" w:rsidRPr="009B7F70">
        <w:rPr>
          <w:noProof/>
          <w:color w:val="222222"/>
          <w:shd w:val="clear" w:color="auto" w:fill="FFFFFF"/>
        </w:rPr>
        <w:t>2001)</w:t>
      </w:r>
      <w:r w:rsidR="002C3DA7">
        <w:rPr>
          <w:color w:val="222222"/>
          <w:shd w:val="clear" w:color="auto" w:fill="FFFFFF"/>
        </w:rPr>
        <w:fldChar w:fldCharType="end"/>
      </w:r>
      <w:r w:rsidR="002C3DA7">
        <w:rPr>
          <w:rFonts w:eastAsiaTheme="minorEastAsia"/>
        </w:rPr>
        <w:t>.</w:t>
      </w:r>
      <w:r w:rsidR="000869F8">
        <w:rPr>
          <w:rFonts w:eastAsiaTheme="minorEastAsia"/>
        </w:rPr>
        <w:t xml:space="preserve"> This upscaling has been adopted</w:t>
      </w:r>
      <w:r w:rsidR="000869F8" w:rsidRPr="000869F8">
        <w:rPr>
          <w:rFonts w:eastAsiaTheme="minorEastAsia"/>
        </w:rPr>
        <w:t xml:space="preserve"> </w:t>
      </w:r>
      <w:r w:rsidR="000869F8">
        <w:rPr>
          <w:rFonts w:eastAsiaTheme="minorEastAsia"/>
        </w:rPr>
        <w:t xml:space="preserve">in GBS evaluations. For example, </w:t>
      </w:r>
      <w:r w:rsidR="001D6661" w:rsidRPr="001D6661">
        <w:rPr>
          <w:rFonts w:eastAsiaTheme="minorEastAsia"/>
        </w:rPr>
        <w:fldChar w:fldCharType="begin" w:fldLock="1"/>
      </w:r>
      <w:r w:rsidR="002530BB">
        <w:rPr>
          <w:rFonts w:eastAsiaTheme="minorEastAsia"/>
        </w:rPr>
        <w:instrText>ADDIN CSL_CITATION {"citationItems":[{"id":"ITEM-1","itemData":{"DOI":"10.3390/s19132929","abstract":"To measure the equity of urban park green space, spatial matching between service supply and user group demand should be taken into consideration. However, if the demographic data, with the administrative division as the basic unit, are directly applied to characterize the spatial distribution of a user group, it may introduce inevitable deviation into the evaluation results due to the low-resolution nature and modifiable areal unit problem of such data. Taking the central area of Wuhan as an example, the population data spatialization method based on land use modeling was used to build a geographically weighted regression (GWR) model of land cover type and demographic data, and the spatial distribution of the population of the 150 m grid was obtained by inversion. Then, the equity of park green space in Wuhan central city was evaluated by population spatial data and network accessibility. The results showed that (1) the range of park green space in the central urban area of Wuhan was within a walking distance of 15 min, accounting for 25.8% of the total study area and covering 54.2% of the population in the study area; (2) the equity of park green space in Hongshan District was the worst; (3) and the use of population spatial data can measure equity on a more precise scale.","author":[{"dropping-particle":"","family":"Tan","given":"Chuandong","non-dropping-particle":"","parse-names":false,"suffix":""},{"dropping-particle":"","family":"Tang","given":"Yuhan","non-dropping-particle":"","parse-names":false,"suffix":""},{"dropping-particle":"","family":"Wu","given":"Xuefei","non-dropping-particle":"","parse-names":false,"suffix":""}],"container-title":"Sensors","id":"ITEM-1","issue":"13","issued":{"date-parts":[["2019"]]},"page":"2929","title":"Evaluation of the Equity of Urban Park Green Space Based on Population Data Spatialization: A Case Study of a Central Area of Wuhan, China","type":"article-journal","volume":"19"},"uris":["http://www.mendeley.com/documents/?uuid=e6079d1b-a1d8-384a-bab4-a7e8967e650c"]}],"mendeley":{"formattedCitation":"(Tan, Tang, &amp; Wu, 2019)","manualFormatting":"Tan et al. (2019)","plainTextFormattedCitation":"(Tan, Tang, &amp; Wu, 2019)","previouslyFormattedCitation":"(Tan, Tang, &amp; Wu, 2019)"},"properties":{"noteIndex":0},"schema":"https://github.com/citation-style-language/schema/raw/master/csl-citation.json"}</w:instrText>
      </w:r>
      <w:r w:rsidR="001D6661" w:rsidRPr="001D6661">
        <w:rPr>
          <w:rFonts w:eastAsiaTheme="minorEastAsia"/>
        </w:rPr>
        <w:fldChar w:fldCharType="separate"/>
      </w:r>
      <w:r w:rsidR="001D6661" w:rsidRPr="001D6661">
        <w:rPr>
          <w:rFonts w:eastAsiaTheme="minorEastAsia"/>
          <w:noProof/>
        </w:rPr>
        <w:t xml:space="preserve">Tan et al. </w:t>
      </w:r>
      <w:r w:rsidR="002530BB">
        <w:rPr>
          <w:rFonts w:eastAsiaTheme="minorEastAsia"/>
          <w:noProof/>
        </w:rPr>
        <w:t>(</w:t>
      </w:r>
      <w:r w:rsidR="001D6661" w:rsidRPr="001D6661">
        <w:rPr>
          <w:rFonts w:eastAsiaTheme="minorEastAsia"/>
          <w:noProof/>
        </w:rPr>
        <w:t>2019)</w:t>
      </w:r>
      <w:r w:rsidR="001D6661" w:rsidRPr="001D6661">
        <w:rPr>
          <w:rFonts w:eastAsiaTheme="minorEastAsia"/>
        </w:rPr>
        <w:fldChar w:fldCharType="end"/>
      </w:r>
      <w:r w:rsidR="001D6661" w:rsidRPr="001D6661">
        <w:rPr>
          <w:rFonts w:eastAsiaTheme="minorEastAsia"/>
        </w:rPr>
        <w:t xml:space="preserve"> assessed the equity of urban green spaces and then upscaled the results from 150 m spatial resolution to block scale </w:t>
      </w:r>
      <w:r w:rsidR="006A35CE">
        <w:rPr>
          <w:rFonts w:eastAsiaTheme="minorEastAsia"/>
        </w:rPr>
        <w:t>to</w:t>
      </w:r>
      <w:r w:rsidR="001D6661" w:rsidRPr="001D6661">
        <w:rPr>
          <w:rFonts w:eastAsiaTheme="minorEastAsia"/>
        </w:rPr>
        <w:t xml:space="preserve"> provid</w:t>
      </w:r>
      <w:r w:rsidR="006A35CE">
        <w:rPr>
          <w:rFonts w:eastAsiaTheme="minorEastAsia"/>
        </w:rPr>
        <w:t>e</w:t>
      </w:r>
      <w:r w:rsidR="001D6661" w:rsidRPr="001D6661">
        <w:rPr>
          <w:rFonts w:eastAsiaTheme="minorEastAsia"/>
        </w:rPr>
        <w:t xml:space="preserve"> planners with the geospatial information on GBS locations. </w:t>
      </w:r>
      <w:r w:rsidR="001D6661" w:rsidRPr="001D6661">
        <w:rPr>
          <w:rFonts w:eastAsiaTheme="minorEastAsia"/>
        </w:rPr>
        <w:fldChar w:fldCharType="begin" w:fldLock="1"/>
      </w:r>
      <w:r w:rsidR="00926392">
        <w:rPr>
          <w:rFonts w:eastAsiaTheme="minorEastAsia"/>
        </w:rPr>
        <w:instrText>ADDIN CSL_CITATION {"citationItems":[{"id":"ITEM-1","itemData":{"DOI":"10.1080/17538947.2016.1252434","ISSN":"1753-8955","abstract":"Cities often have a substantial green infrastructure, which provides local ecosystem services that improve the quality of life of urban residents. These services should be explicitly addressed in urban development policies, and areas with insufficient vegetation and limited access to public green spaces should be identified. This paper presents two spatially explicit urban green indicators that are derived using remote sensing imagery, freely available map data and spatial analysis tools from open source geospatial libraries and commercial software. The first indicator represents proportional green cover (public as well as private) in the vicinity of each building within a city. The second indicator quantifies the proximity of public green spaces as walking distances from buildings to actual park entrances. A dasymetric mapping approach was used to take spatial variations in population density into account. This allows representing the indicators from the perspective of citizens instead of buildings, which may be more meaningful for deriving statistics at city level or at the level of neighbourhoods or administrative zones. The potential use of these indicators in a planning context is discussed on a case study carried out for the city of Brussels, Belgium. ARTICLE HISTORY","author":[{"dropping-particle":"","family":"Voorde","given":"Tim","non-dropping-particle":"Van De","parse-names":false,"suffix":""}],"container-title":"International Journal of Digital Earth","id":"ITEM-1","issue":"8","issued":{"date-parts":[["2017"]]},"page":"798-813","title":"Spatially explicit urban green indicators for characterizing vegetation cover and public green space proximity: a case study on Brussels, Belgium","type":"article-journal","volume":"10"},"uris":["http://www.mendeley.com/documents/?uuid=55de4dfe-578a-3d79-be5d-3ca391a64541"]}],"mendeley":{"formattedCitation":"(Van De Voorde, 2017)","manualFormatting":"Van De Voorde (2017)","plainTextFormattedCitation":"(Van De Voorde, 2017)","previouslyFormattedCitation":"(Van De Voorde, 2017)"},"properties":{"noteIndex":0},"schema":"https://github.com/citation-style-language/schema/raw/master/csl-citation.json"}</w:instrText>
      </w:r>
      <w:r w:rsidR="001D6661" w:rsidRPr="001D6661">
        <w:rPr>
          <w:rFonts w:eastAsiaTheme="minorEastAsia"/>
        </w:rPr>
        <w:fldChar w:fldCharType="separate"/>
      </w:r>
      <w:r w:rsidR="001D6661" w:rsidRPr="001D6661">
        <w:rPr>
          <w:rFonts w:eastAsiaTheme="minorEastAsia"/>
          <w:noProof/>
        </w:rPr>
        <w:t xml:space="preserve">Van De Voorde </w:t>
      </w:r>
      <w:r w:rsidR="002530BB">
        <w:rPr>
          <w:rFonts w:eastAsiaTheme="minorEastAsia"/>
          <w:noProof/>
        </w:rPr>
        <w:t>(</w:t>
      </w:r>
      <w:r w:rsidR="001D6661" w:rsidRPr="001D6661">
        <w:rPr>
          <w:rFonts w:eastAsiaTheme="minorEastAsia"/>
          <w:noProof/>
        </w:rPr>
        <w:t>2017)</w:t>
      </w:r>
      <w:r w:rsidR="001D6661" w:rsidRPr="001D6661">
        <w:rPr>
          <w:rFonts w:eastAsiaTheme="minorEastAsia"/>
        </w:rPr>
        <w:fldChar w:fldCharType="end"/>
      </w:r>
      <w:r w:rsidR="001D6661" w:rsidRPr="001D6661">
        <w:rPr>
          <w:rFonts w:eastAsiaTheme="minorEastAsia"/>
        </w:rPr>
        <w:t xml:space="preserve"> characterized the urban green space proximity from building scale to city scale for city-level planning target.</w:t>
      </w:r>
      <w:r w:rsidR="002530BB">
        <w:rPr>
          <w:rFonts w:eastAsiaTheme="minorEastAsia"/>
        </w:rPr>
        <w:t xml:space="preserve"> </w:t>
      </w:r>
      <w:r w:rsidRPr="006D55BE">
        <w:rPr>
          <w:rFonts w:eastAsiaTheme="minorEastAsia"/>
        </w:rPr>
        <w:t xml:space="preserve">Guangzhou, a well-developed city in southern China, is used as an example, to exemplify the </w:t>
      </w:r>
      <w:r w:rsidR="00D67F96" w:rsidRPr="006D55BE">
        <w:rPr>
          <w:rFonts w:eastAsiaTheme="minorEastAsia"/>
        </w:rPr>
        <w:t xml:space="preserve">planning </w:t>
      </w:r>
      <w:r w:rsidRPr="006D55BE">
        <w:rPr>
          <w:rFonts w:eastAsiaTheme="minorEastAsia"/>
        </w:rPr>
        <w:t xml:space="preserve">of </w:t>
      </w:r>
      <w:r w:rsidR="00D67F96" w:rsidRPr="006D55BE">
        <w:rPr>
          <w:rFonts w:eastAsiaTheme="minorEastAsia"/>
        </w:rPr>
        <w:t xml:space="preserve">accessible, visible, and cognizable GBSs. Overall, </w:t>
      </w:r>
      <w:r w:rsidR="003A3F1D" w:rsidRPr="006D55BE">
        <w:rPr>
          <w:rFonts w:eastAsiaTheme="minorEastAsia"/>
        </w:rPr>
        <w:t xml:space="preserve">based on </w:t>
      </w:r>
      <w:r w:rsidR="002E6200" w:rsidRPr="006D55BE">
        <w:rPr>
          <w:rFonts w:eastAsiaTheme="minorEastAsia"/>
        </w:rPr>
        <w:t xml:space="preserve">the </w:t>
      </w:r>
      <w:r w:rsidR="003A3F1D" w:rsidRPr="006D55BE">
        <w:rPr>
          <w:rFonts w:eastAsiaTheme="minorEastAsia"/>
        </w:rPr>
        <w:t>Guangzhou</w:t>
      </w:r>
      <w:r w:rsidR="00495C9F" w:rsidRPr="006D55BE">
        <w:rPr>
          <w:rFonts w:eastAsiaTheme="minorEastAsia"/>
        </w:rPr>
        <w:t xml:space="preserve"> case</w:t>
      </w:r>
      <w:r w:rsidR="003A3F1D" w:rsidRPr="006D55BE">
        <w:rPr>
          <w:rFonts w:eastAsiaTheme="minorEastAsia"/>
        </w:rPr>
        <w:t xml:space="preserve">, </w:t>
      </w:r>
      <w:r w:rsidR="00D67F96" w:rsidRPr="006D55BE">
        <w:rPr>
          <w:rFonts w:eastAsiaTheme="minorEastAsia"/>
        </w:rPr>
        <w:t xml:space="preserve">this study aims to </w:t>
      </w:r>
      <w:r w:rsidR="003A3F1D" w:rsidRPr="006D55BE">
        <w:rPr>
          <w:rFonts w:eastAsiaTheme="minorEastAsia"/>
        </w:rPr>
        <w:t xml:space="preserve">show the AVI framework to </w:t>
      </w:r>
      <w:r w:rsidR="00D67F96" w:rsidRPr="006D55BE">
        <w:rPr>
          <w:rFonts w:eastAsiaTheme="minorEastAsia"/>
        </w:rPr>
        <w:t xml:space="preserve">1) measure the </w:t>
      </w:r>
      <w:r w:rsidR="006F2E96" w:rsidRPr="006D55BE">
        <w:rPr>
          <w:rFonts w:eastAsiaTheme="minorEastAsia"/>
        </w:rPr>
        <w:t xml:space="preserve">multi-indicators of </w:t>
      </w:r>
      <w:r w:rsidR="00D67F96" w:rsidRPr="006D55BE">
        <w:rPr>
          <w:rFonts w:eastAsiaTheme="minorEastAsia"/>
        </w:rPr>
        <w:t>physical access, visual access, and spatial cognition of GBSs</w:t>
      </w:r>
      <w:r w:rsidR="00744365">
        <w:rPr>
          <w:rFonts w:eastAsiaTheme="minorEastAsia"/>
        </w:rPr>
        <w:t xml:space="preserve"> as well as those in urban districts</w:t>
      </w:r>
      <w:r w:rsidR="00D67F96" w:rsidRPr="006D55BE">
        <w:rPr>
          <w:rFonts w:eastAsiaTheme="minorEastAsia"/>
        </w:rPr>
        <w:t>; 2) identify the most important factor in our evaluation framework of GBSs; 3) recommend the principles for</w:t>
      </w:r>
      <w:r w:rsidR="006F2E96" w:rsidRPr="006D55BE">
        <w:rPr>
          <w:rFonts w:eastAsiaTheme="minorEastAsia"/>
        </w:rPr>
        <w:t xml:space="preserve"> the </w:t>
      </w:r>
      <w:r w:rsidR="00D67F96" w:rsidRPr="006D55BE">
        <w:rPr>
          <w:rFonts w:eastAsiaTheme="minorEastAsia"/>
        </w:rPr>
        <w:t>GBSs planning</w:t>
      </w:r>
      <w:r w:rsidR="006F2E96" w:rsidRPr="006D55BE">
        <w:rPr>
          <w:rFonts w:eastAsiaTheme="minorEastAsia"/>
        </w:rPr>
        <w:t xml:space="preserve"> associated with pedestrian needs</w:t>
      </w:r>
      <w:r w:rsidR="00D67F96" w:rsidRPr="006D55BE">
        <w:rPr>
          <w:rFonts w:eastAsiaTheme="minorEastAsia"/>
        </w:rPr>
        <w:t xml:space="preserve">. </w:t>
      </w:r>
    </w:p>
    <w:p w14:paraId="05271BE3" w14:textId="77777777" w:rsidR="007301D6" w:rsidRPr="006D55BE" w:rsidRDefault="007E7A9A" w:rsidP="007301D6">
      <w:pPr>
        <w:pStyle w:val="Heading1"/>
        <w:spacing w:before="326" w:after="326"/>
        <w:rPr>
          <w:rFonts w:eastAsiaTheme="minorEastAsia"/>
        </w:rPr>
      </w:pPr>
      <w:r w:rsidRPr="006D55BE">
        <w:rPr>
          <w:rFonts w:eastAsiaTheme="minorEastAsia"/>
        </w:rPr>
        <w:lastRenderedPageBreak/>
        <w:t xml:space="preserve">2. </w:t>
      </w:r>
      <w:r w:rsidR="000F4663" w:rsidRPr="006D55BE">
        <w:rPr>
          <w:rFonts w:eastAsiaTheme="minorEastAsia"/>
        </w:rPr>
        <w:t>Accessibility, visibility, and intelligibility of GBSs: an AVI evaluation framework</w:t>
      </w:r>
    </w:p>
    <w:p w14:paraId="65423ADF" w14:textId="14463A34" w:rsidR="00CF4714" w:rsidRPr="006D55BE" w:rsidRDefault="00E2458B" w:rsidP="007301D6">
      <w:pPr>
        <w:spacing w:after="163"/>
      </w:pPr>
      <w:r w:rsidRPr="006D55BE">
        <w:rPr>
          <w:rFonts w:eastAsiaTheme="minorEastAsia"/>
        </w:rPr>
        <w:tab/>
        <w:t xml:space="preserve">Based on the space syntax and natural movement theories, we proposed a conceptual framework to examine whether the existing GBSs planning </w:t>
      </w:r>
      <w:r w:rsidR="008B736B" w:rsidRPr="006D55BE">
        <w:rPr>
          <w:rFonts w:eastAsiaTheme="minorEastAsia"/>
        </w:rPr>
        <w:t>has considered the pedestrian needs</w:t>
      </w:r>
      <w:r w:rsidR="00FA0BF2" w:rsidRPr="006D55BE">
        <w:rPr>
          <w:rFonts w:eastAsiaTheme="minorEastAsia"/>
        </w:rPr>
        <w:t xml:space="preserve"> </w:t>
      </w:r>
      <w:r w:rsidR="000B5583" w:rsidRPr="006D55BE">
        <w:rPr>
          <w:rFonts w:eastAsiaTheme="minorEastAsia"/>
        </w:rPr>
        <w:t>(Figure 1)</w:t>
      </w:r>
      <w:r w:rsidR="00FA0BF2" w:rsidRPr="006D55BE">
        <w:rPr>
          <w:rFonts w:eastAsiaTheme="minorEastAsia"/>
        </w:rPr>
        <w:t xml:space="preserve">. </w:t>
      </w:r>
      <w:r w:rsidR="00E4408C" w:rsidRPr="006D55BE">
        <w:rPr>
          <w:rFonts w:eastAsiaTheme="minorEastAsia"/>
        </w:rPr>
        <w:t>A core premise of our framework is the interactions between urban configuration in a physical space and pedestrian movement in a social space.</w:t>
      </w:r>
      <w:r w:rsidR="009A07CE" w:rsidRPr="006D55BE">
        <w:rPr>
          <w:rFonts w:eastAsiaTheme="minorEastAsia"/>
        </w:rPr>
        <w:t xml:space="preserve"> Corresponding to the needs of physical access, visual access, and spatial cognition</w:t>
      </w:r>
      <w:r w:rsidR="009402D2" w:rsidRPr="006D55BE">
        <w:rPr>
          <w:rFonts w:eastAsiaTheme="minorEastAsia"/>
        </w:rPr>
        <w:t xml:space="preserve"> i</w:t>
      </w:r>
      <w:r w:rsidR="00936DA8" w:rsidRPr="006D55BE">
        <w:rPr>
          <w:rFonts w:eastAsiaTheme="minorEastAsia"/>
        </w:rPr>
        <w:t>n pedestrian movement,</w:t>
      </w:r>
      <w:r w:rsidR="009402D2" w:rsidRPr="006D55BE">
        <w:rPr>
          <w:rFonts w:eastAsiaTheme="minorEastAsia"/>
        </w:rPr>
        <w:t xml:space="preserve"> </w:t>
      </w:r>
      <w:r w:rsidR="009A07CE" w:rsidRPr="006D55BE">
        <w:rPr>
          <w:rFonts w:eastAsiaTheme="minorEastAsia"/>
        </w:rPr>
        <w:t xml:space="preserve">three indicators are included in the GBSs evaluation, including accessibility (A), visibility (V), and intelligibility (I). </w:t>
      </w:r>
      <w:r w:rsidR="00936DA8" w:rsidRPr="006D55BE">
        <w:rPr>
          <w:rFonts w:eastAsiaTheme="minorEastAsia"/>
        </w:rPr>
        <w:t xml:space="preserve">Space syntax provides theoretical supports for GBSs planning with a perspective of pedestrian movement. </w:t>
      </w:r>
      <w:r w:rsidR="002205DF" w:rsidRPr="006D55BE">
        <w:rPr>
          <w:rFonts w:eastAsiaTheme="minorEastAsia"/>
        </w:rPr>
        <w:t xml:space="preserve">At the same time, space syntax also provides a set of techniques to measure the properties of spatial structures </w:t>
      </w:r>
      <w:r w:rsidR="002205DF" w:rsidRPr="006D55BE">
        <w:rPr>
          <w:rFonts w:eastAsiaTheme="minorEastAsia"/>
        </w:rPr>
        <w:fldChar w:fldCharType="begin" w:fldLock="1"/>
      </w:r>
      <w:r w:rsidR="00C94067" w:rsidRPr="006D55BE">
        <w:rPr>
          <w:rFonts w:eastAsiaTheme="minorEastAsia"/>
        </w:rPr>
        <w:instrText>ADDIN CSL_CITATION {"citationItems":[{"id":"ITEM-1","itemData":{"author":[{"dropping-particle":"","family":"Hillier","given":"Bi11","non-dropping-particle":"","parse-names":false,"suffix":""},{"dropping-particle":"","family":"Hanson","given":"Julienne","non-dropping-particle":"","parse-names":false,"suffix":""},{"dropping-particle":"","family":"Peponis","given":"John","non-dropping-particle":"","parse-names":false,"suffix":""}],"container-title":"Designing for building utilisation","id":"ITEM-1","issued":{"date-parts":[["1984"]]},"page":"61-72","publisher":"E &amp; F.N. Spon Ltd: London, UK","title":"What do we mean by building function?","type":"chapter"},"uris":["http://www.mendeley.com/documents/?uuid=634e1c7a-f77a-364c-8caa-1c021f42fb82"]}],"mendeley":{"formattedCitation":"(Bi11 Hillier, Hanson, &amp; Peponis, 1984)","manualFormatting":"(Hillier et al., 1984","plainTextFormattedCitation":"(Bi11 Hillier, Hanson, &amp; Peponis, 1984)","previouslyFormattedCitation":"(Bi11 Hillier, Hanson, &amp; Peponis, 1984)"},"properties":{"noteIndex":0},"schema":"https://github.com/citation-style-language/schema/raw/master/csl-citation.json"}</w:instrText>
      </w:r>
      <w:r w:rsidR="002205DF" w:rsidRPr="006D55BE">
        <w:rPr>
          <w:rFonts w:eastAsiaTheme="minorEastAsia"/>
        </w:rPr>
        <w:fldChar w:fldCharType="separate"/>
      </w:r>
      <w:r w:rsidR="002205DF" w:rsidRPr="006D55BE">
        <w:rPr>
          <w:rFonts w:eastAsiaTheme="minorEastAsia"/>
          <w:noProof/>
        </w:rPr>
        <w:t>(Hillier et al., 1984</w:t>
      </w:r>
      <w:r w:rsidR="002205DF" w:rsidRPr="006D55BE">
        <w:rPr>
          <w:rFonts w:eastAsiaTheme="minorEastAsia"/>
        </w:rPr>
        <w:fldChar w:fldCharType="end"/>
      </w:r>
      <w:r w:rsidR="002205DF" w:rsidRPr="006D55BE">
        <w:rPr>
          <w:rFonts w:eastAsiaTheme="minorEastAsia"/>
        </w:rPr>
        <w:t xml:space="preserve">; </w:t>
      </w:r>
      <w:r w:rsidR="002205DF" w:rsidRPr="006D55BE">
        <w:rPr>
          <w:rFonts w:eastAsiaTheme="minorEastAsia"/>
        </w:rPr>
        <w:fldChar w:fldCharType="begin" w:fldLock="1"/>
      </w:r>
      <w:r w:rsidR="002205DF" w:rsidRPr="006D55BE">
        <w:rPr>
          <w:rFonts w:eastAsiaTheme="minorEastAsia"/>
        </w:rPr>
        <w:instrText>ADDIN CSL_CITATION {"citationItems":[{"id":"ITEM-1","itemData":{"author":[{"dropping-particle":"","family":"Hillier","given":"Bill","non-dropping-particle":"","parse-names":false,"suffix":""},{"dropping-particle":"","family":"Hanson","given":"Julienne","non-dropping-particle":"","parse-names":false,"suffix":""}],"id":"ITEM-1","issued":{"date-parts":[["1984"]]},"publisher":"Cambridge University Press","title":"The Social Logic of Space","type":"book"},"uris":["http://www.mendeley.com/documents/?uuid=799ec82a-db57-3a07-ba0e-8831bb27023c"]}],"mendeley":{"formattedCitation":"(Bill Hillier &amp; Hanson, 1984)","manualFormatting":"Hillier &amp; Hanson, 1984)","plainTextFormattedCitation":"(Bill Hillier &amp; Hanson, 1984)","previouslyFormattedCitation":"(Bill Hillier &amp; Hanson, 1984)"},"properties":{"noteIndex":0},"schema":"https://github.com/citation-style-language/schema/raw/master/csl-citation.json"}</w:instrText>
      </w:r>
      <w:r w:rsidR="002205DF" w:rsidRPr="006D55BE">
        <w:rPr>
          <w:rFonts w:eastAsiaTheme="minorEastAsia"/>
        </w:rPr>
        <w:fldChar w:fldCharType="separate"/>
      </w:r>
      <w:r w:rsidR="002205DF" w:rsidRPr="006D55BE">
        <w:rPr>
          <w:rFonts w:eastAsiaTheme="minorEastAsia"/>
          <w:noProof/>
        </w:rPr>
        <w:t>Hillier &amp; Hanson, 1984)</w:t>
      </w:r>
      <w:r w:rsidR="002205DF" w:rsidRPr="006D55BE">
        <w:rPr>
          <w:rFonts w:eastAsiaTheme="minorEastAsia"/>
        </w:rPr>
        <w:fldChar w:fldCharType="end"/>
      </w:r>
      <w:r w:rsidR="002205DF" w:rsidRPr="006D55BE">
        <w:rPr>
          <w:rFonts w:eastAsiaTheme="minorEastAsia"/>
        </w:rPr>
        <w:t xml:space="preserve">. Three basic syntactical measures in space syntax are </w:t>
      </w:r>
      <w:r w:rsidR="002205DF" w:rsidRPr="006D55BE">
        <w:rPr>
          <w:rFonts w:eastAsiaTheme="minorEastAsia"/>
          <w:i/>
          <w:iCs/>
        </w:rPr>
        <w:t>integration, choice,</w:t>
      </w:r>
      <w:r w:rsidR="002205DF" w:rsidRPr="006D55BE">
        <w:rPr>
          <w:rFonts w:eastAsiaTheme="minorEastAsia"/>
        </w:rPr>
        <w:t xml:space="preserve"> and </w:t>
      </w:r>
      <w:r w:rsidR="002205DF" w:rsidRPr="006D55BE">
        <w:rPr>
          <w:rFonts w:eastAsiaTheme="minorEastAsia"/>
          <w:i/>
          <w:iCs/>
        </w:rPr>
        <w:t>connectivity</w:t>
      </w:r>
      <w:r w:rsidR="002205DF" w:rsidRPr="006D55BE">
        <w:rPr>
          <w:rFonts w:eastAsiaTheme="minorEastAsia"/>
        </w:rPr>
        <w:t>,</w:t>
      </w:r>
      <w:r w:rsidR="00980FFA" w:rsidRPr="006D55BE">
        <w:rPr>
          <w:rFonts w:eastAsiaTheme="minorEastAsia"/>
        </w:rPr>
        <w:t xml:space="preserve"> which can be used to frame AVI indicators</w:t>
      </w:r>
      <w:r w:rsidR="002205DF" w:rsidRPr="006D55BE">
        <w:rPr>
          <w:rFonts w:eastAsiaTheme="minorEastAsia"/>
        </w:rPr>
        <w:t xml:space="preserve"> associated with physical access, visual access, and spatial cognition r</w:t>
      </w:r>
      <w:r w:rsidR="00980FFA" w:rsidRPr="006D55BE">
        <w:rPr>
          <w:rFonts w:eastAsiaTheme="minorEastAsia"/>
        </w:rPr>
        <w:t xml:space="preserve">espectively </w:t>
      </w:r>
      <w:r w:rsidR="002205DF" w:rsidRPr="006D55BE">
        <w:fldChar w:fldCharType="begin" w:fldLock="1"/>
      </w:r>
      <w:r w:rsidR="002205DF" w:rsidRPr="006D55BE">
        <w:instrText>ADDIN CSL_CITATION {"citationItems":[{"id":"ITEM-1","itemData":{"DOI":"10.1177/2399808318786512","ISSN":"23998091","abstract":"Space syntax analysis of the city as a movement economy has made major contributions to our understanding of the spatial structure of cities, particularly the importance of a mapping of network integration in relation to density, functional mix and streetlife vitality. It has focused attention of urban researchers onto the importance of the relations between the sociality and spatiality of the city. The primary methods of syntactic analysis involve a reduction of urban morphology to a set of spatial axes; here, we explore some limits to such analysis for urban design. Topological analysis of axial models has long recognized problems in accounting for distance, scale and sinuous streetscapes. Existing adaptations to axial methods that address such problems are modelled and shown to produce a broad range of results for the same urban morphology. In each case, we also compare different capacities for to-movement and through-movement – the distinction between ‘closeness centrality’ and ‘betweenness centrality’ that shows that network integration is multiple. We argue that axial analyses privilege visibility over accessibility and can produce distorted mapping at walkable scales; only one of the methods tested measures permeability and walkable access. Space syntax analysis is a powerful tool that will be more useful the better such limits are understood.","author":[{"dropping-particle":"","family":"Pafka","given":"Elek","non-dropping-particle":"","parse-names":false,"suffix":""},{"dropping-particle":"","family":"Dovey","given":"Kim","non-dropping-particle":"","parse-names":false,"suffix":""},{"dropping-particle":"","family":"Aschwanden","given":"Gideon D.P.A.","non-dropping-particle":"","parse-names":false,"suffix":""}],"container-title":"Environment and Planning B: Urban Analytics and City Science","id":"ITEM-1","issue":"3","issued":{"date-parts":[["2020"]]},"page":"508-522","title":"Limits of space syntax for urban design: Axiality, scale and sinuosity","type":"article-journal","volume":"47"},"uris":["http://www.mendeley.com/documents/?uuid=bd33844a-10e6-4cc7-930d-ff0142d9d34e"]}],"mendeley":{"formattedCitation":"(Pafka, Dovey, &amp; Aschwanden, 2020)","manualFormatting":"(Pafka et al., 2020)","plainTextFormattedCitation":"(Pafka, Dovey, &amp; Aschwanden, 2020)","previouslyFormattedCitation":"(Pafka, Dovey, &amp; Aschwanden, 2020)"},"properties":{"noteIndex":0},"schema":"https://github.com/citation-style-language/schema/raw/master/csl-citation.json"}</w:instrText>
      </w:r>
      <w:r w:rsidR="002205DF" w:rsidRPr="006D55BE">
        <w:fldChar w:fldCharType="separate"/>
      </w:r>
      <w:r w:rsidR="002205DF" w:rsidRPr="006D55BE">
        <w:rPr>
          <w:noProof/>
        </w:rPr>
        <w:t>(Pafka et al., 2020)</w:t>
      </w:r>
      <w:r w:rsidR="002205DF" w:rsidRPr="006D55BE">
        <w:fldChar w:fldCharType="end"/>
      </w:r>
      <w:r w:rsidR="002205DF" w:rsidRPr="006D55BE">
        <w:t xml:space="preserve">. </w:t>
      </w:r>
      <w:r w:rsidR="00CF4714" w:rsidRPr="006D55BE">
        <w:rPr>
          <w:rFonts w:eastAsiaTheme="minorEastAsia"/>
        </w:rPr>
        <w:t xml:space="preserve">Pedestrian-friendly GBSs are </w:t>
      </w:r>
      <w:r w:rsidR="002E6200" w:rsidRPr="006D55BE">
        <w:rPr>
          <w:rFonts w:eastAsiaTheme="minorEastAsia"/>
        </w:rPr>
        <w:t xml:space="preserve">the </w:t>
      </w:r>
      <w:r w:rsidR="00CF4714" w:rsidRPr="006D55BE">
        <w:rPr>
          <w:rFonts w:eastAsiaTheme="minorEastAsia"/>
        </w:rPr>
        <w:t>ones that have greater accessibility, visibility, and intelligibility, which address more pedestrian access, vision, and cognition demands for a better walking experience in GBSs.</w:t>
      </w:r>
    </w:p>
    <w:p w14:paraId="06B49A2B" w14:textId="05D622A1" w:rsidR="00A14766" w:rsidRPr="006D55BE" w:rsidRDefault="00A14766" w:rsidP="00120881">
      <w:pPr>
        <w:pStyle w:val="Heading2"/>
        <w:spacing w:before="163" w:after="163"/>
        <w:rPr>
          <w:rFonts w:eastAsiaTheme="minorEastAsia"/>
        </w:rPr>
      </w:pPr>
      <w:r w:rsidRPr="006D55BE">
        <w:rPr>
          <w:rFonts w:eastAsiaTheme="minorEastAsia"/>
        </w:rPr>
        <w:t>2.1 Accessibility</w:t>
      </w:r>
    </w:p>
    <w:p w14:paraId="6FAAE45D" w14:textId="6FE08926" w:rsidR="00292318" w:rsidRPr="006D55BE" w:rsidRDefault="00E363D6" w:rsidP="002205DF">
      <w:pPr>
        <w:spacing w:after="163"/>
        <w:rPr>
          <w:rFonts w:eastAsiaTheme="minorEastAsia"/>
        </w:rPr>
      </w:pPr>
      <w:r w:rsidRPr="006D55BE">
        <w:rPr>
          <w:rFonts w:eastAsiaTheme="minorEastAsia"/>
        </w:rPr>
        <w:tab/>
      </w:r>
      <w:r w:rsidR="00ED1A74" w:rsidRPr="006D55BE">
        <w:rPr>
          <w:rFonts w:eastAsiaTheme="minorEastAsia"/>
        </w:rPr>
        <w:t>Accessibility is a basic walking need for pedestrian</w:t>
      </w:r>
      <w:r w:rsidR="00C43380" w:rsidRPr="006D55BE">
        <w:rPr>
          <w:rFonts w:eastAsiaTheme="minorEastAsia"/>
        </w:rPr>
        <w:t>s</w:t>
      </w:r>
      <w:r w:rsidR="00ED1A74" w:rsidRPr="006D55BE">
        <w:rPr>
          <w:rFonts w:eastAsiaTheme="minorEastAsia"/>
        </w:rPr>
        <w:t xml:space="preserve"> showing the relationships between urban configuration, moving behavior, and GBSs planning </w:t>
      </w:r>
      <w:r w:rsidR="00ED1A74" w:rsidRPr="006D55BE">
        <w:fldChar w:fldCharType="begin" w:fldLock="1"/>
      </w:r>
      <w:r w:rsidR="00ED1A74" w:rsidRPr="006D55BE">
        <w:instrText>ADDIN CSL_CITATION {"citationItems":[{"id":"ITEM-1","itemData":{"DOI":"10.1016/j.cities.2015.03.003","abstract":"The Level of Service (LOS) is a measure to evaluate the degree of accommodation of different transport modes in a given infrastructure (road, railway, street, etc.). While the last decades have seen a growing interest regarding the use of level of service for managing and planning private and public transport infrastructures, shortcomings appear when it is used in the context of pedestrian mobility (i.e. the complexity of pedestrian mobility in terms of behaviour and the consideration of urban design factors associated with pedestrianisation). This paper aims to gain insight into the abovementioned issues by developing an alternative walking index, the Quality of Pedestrian Level of Service (Q-PLOS) method. This novel method is based on the quality of urban design for pedestrian and its relationship with walking needs. The city of Granada (Spain) provided the empirical focus. The paper found that the Q-PLOS was a more accurate measurement of pedestrian mobility characteristics. This was based on the relevance of specific factors linked to urban design together with public preferences about them. Finally, the obtained high-detailed outputs provide a platform to increment the effectiveness of level of service specifically for pedestrians that want to access to a public transport stop.","author":[{"dropping-particle":"","family":"Ruben","given":"Talavera-Garcia","non-dropping-particle":"","parse-names":false,"suffix":""},{"dropping-particle":"","family":"Julio","given":"A.Soria-Lara","non-dropping-particle":"","parse-names":false,"suffix":""}],"container-title":"Cities","id":"ITEM-1","issued":{"date-parts":[["2015"]]},"page":"7-17","title":"Q-PLOS, developing an alternative walking index. A method based on urban design quality","type":"article-journal","volume":"45"},"uris":["http://www.mendeley.com/documents/?uuid=7f5b9e19-2d42-3255-9de4-4fe4a53cb991"]}],"mendeley":{"formattedCitation":"(Ruben &amp; Julio, 2015)","plainTextFormattedCitation":"(Ruben &amp; Julio, 2015)","previouslyFormattedCitation":"(Ruben &amp; Julio, 2015)"},"properties":{"noteIndex":0},"schema":"https://github.com/citation-style-language/schema/raw/master/csl-citation.json"}</w:instrText>
      </w:r>
      <w:r w:rsidR="00ED1A74" w:rsidRPr="006D55BE">
        <w:fldChar w:fldCharType="separate"/>
      </w:r>
      <w:r w:rsidR="00ED1A74" w:rsidRPr="006D55BE">
        <w:rPr>
          <w:noProof/>
        </w:rPr>
        <w:t>(Ruben &amp; Julio, 2015)</w:t>
      </w:r>
      <w:r w:rsidR="00ED1A74" w:rsidRPr="006D55BE">
        <w:fldChar w:fldCharType="end"/>
      </w:r>
      <w:r w:rsidR="00ED1A74" w:rsidRPr="006D55BE">
        <w:t xml:space="preserve">. </w:t>
      </w:r>
      <w:r w:rsidR="008A097C" w:rsidRPr="006D55BE">
        <w:rPr>
          <w:rFonts w:eastAsiaTheme="minorEastAsia"/>
        </w:rPr>
        <w:t>Accessibility demonstrates the need</w:t>
      </w:r>
      <w:r w:rsidR="002E6200" w:rsidRPr="006D55BE">
        <w:rPr>
          <w:rFonts w:eastAsiaTheme="minorEastAsia"/>
        </w:rPr>
        <w:t xml:space="preserve"> for</w:t>
      </w:r>
      <w:r w:rsidR="008A097C" w:rsidRPr="006D55BE">
        <w:rPr>
          <w:rFonts w:eastAsiaTheme="minorEastAsia"/>
        </w:rPr>
        <w:t xml:space="preserve"> easy access to GBSs in </w:t>
      </w:r>
      <w:r w:rsidR="008A097C" w:rsidRPr="006D55BE">
        <w:rPr>
          <w:rFonts w:eastAsiaTheme="minorEastAsia"/>
          <w:i/>
          <w:iCs/>
        </w:rPr>
        <w:t>to-movement</w:t>
      </w:r>
      <w:r w:rsidR="008A097C" w:rsidRPr="006D55BE">
        <w:rPr>
          <w:rFonts w:eastAsiaTheme="minorEastAsia"/>
        </w:rPr>
        <w:t>, by defining the ability of people</w:t>
      </w:r>
      <w:r w:rsidR="002E6200" w:rsidRPr="006D55BE">
        <w:rPr>
          <w:rFonts w:eastAsiaTheme="minorEastAsia"/>
        </w:rPr>
        <w:t xml:space="preserve"> to</w:t>
      </w:r>
      <w:r w:rsidR="008A097C" w:rsidRPr="006D55BE">
        <w:rPr>
          <w:rFonts w:eastAsiaTheme="minorEastAsia"/>
        </w:rPr>
        <w:t xml:space="preserve"> reach their targeted GBSs </w:t>
      </w:r>
      <w:r w:rsidR="003F020B" w:rsidRPr="006D55BE">
        <w:rPr>
          <w:rFonts w:eastAsiaTheme="minorEastAsia"/>
        </w:rPr>
        <w:fldChar w:fldCharType="begin" w:fldLock="1"/>
      </w:r>
      <w:r w:rsidR="003F020B" w:rsidRPr="006D55BE">
        <w:rPr>
          <w:rFonts w:eastAsiaTheme="minorEastAsia"/>
        </w:rPr>
        <w:instrText>ADDIN CSL_CITATION {"citationItems":[{"id":"ITEM-1","itemData":{"abstract":"The aim of this paper is to clarify the validity of a fairly broad range of numerical indicators of accessibility. To this purpose a measurement-theoretic framework is presented, where accessibility is considered as a property of configurations of opportunities for spatial interaction. Within this framework a few established indicators of accessibility are discussed and notions of separable, additive, and maxitive indicators are introduced. An analysis is given of the validity of numerical indicators in general and of separable, additive, and maxitive indicators in particular. Introduction Accessibility concerns physical and temporal constraints on behaviour and thus is an aspect of the freedom of action of individuals.","author":[{"dropping-particle":"","family":"Weibull","given":"J.W.","non-dropping-particle":"","parse-names":false,"suffix":""}],"container-title":"Environment and Planning A","id":"ITEM-1","issue":"1","issued":{"date-parts":[["1980"]]},"page":"53-67","title":"On the numerical measurement of accessibility","type":"article-journal","volume":"12"},"uris":["http://www.mendeley.com/documents/?uuid=aee6c4f1-4c95-302f-ad75-9b3f393ea2ec"]}],"mendeley":{"formattedCitation":"(Weibull, 1980)","manualFormatting":"(Weibull, 1980","plainTextFormattedCitation":"(Weibull, 1980)","previouslyFormattedCitation":"(Weibull, 1980)"},"properties":{"noteIndex":0},"schema":"https://github.com/citation-style-language/schema/raw/master/csl-citation.json"}</w:instrText>
      </w:r>
      <w:r w:rsidR="003F020B" w:rsidRPr="006D55BE">
        <w:rPr>
          <w:rFonts w:eastAsiaTheme="minorEastAsia"/>
        </w:rPr>
        <w:fldChar w:fldCharType="separate"/>
      </w:r>
      <w:r w:rsidR="003F020B" w:rsidRPr="006D55BE">
        <w:rPr>
          <w:rFonts w:eastAsiaTheme="minorEastAsia"/>
          <w:noProof/>
        </w:rPr>
        <w:t>(Weibull, 1980</w:t>
      </w:r>
      <w:r w:rsidR="003F020B" w:rsidRPr="006D55BE">
        <w:rPr>
          <w:rFonts w:eastAsiaTheme="minorEastAsia"/>
        </w:rPr>
        <w:fldChar w:fldCharType="end"/>
      </w:r>
      <w:r w:rsidR="003F020B" w:rsidRPr="006D55BE">
        <w:rPr>
          <w:rFonts w:eastAsiaTheme="minorEastAsia"/>
        </w:rPr>
        <w:t xml:space="preserve">; </w:t>
      </w:r>
      <w:r w:rsidR="003F020B" w:rsidRPr="006D55BE">
        <w:rPr>
          <w:rFonts w:eastAsiaTheme="minorEastAsia"/>
        </w:rPr>
        <w:fldChar w:fldCharType="begin" w:fldLock="1"/>
      </w:r>
      <w:r w:rsidR="003F020B" w:rsidRPr="006D55BE">
        <w:rPr>
          <w:rFonts w:eastAsiaTheme="minorEastAsia"/>
        </w:rPr>
        <w:instrText>ADDIN CSL_CITATION {"citationItems":[{"id":"ITEM-1","itemData":{"DOI":"10.1108/9780080460550-004","ISBN":"9780080460550","abstract":"This paper argues that traditional place-based measures of accessibility should be enhanced and complemented with people-based measures that are more sensitive to individual activity patterns and accessibility in space and time. The next section of the paper reviews place-based measures, including major methods and implementation issues. The following section highlights the relationships between new technologies and accessibility, both with respect to the impacts of transportation and information and communication technologies (ICTs) on activity participation and accessibility as well as the capability for collecting and analyzing fine-grained spatio-temporal data that can support people-based approaches. The fourth section of the paper discusses people-based accessibility; this includes time geography as the major theoretical framework, as well as existing and evolving approaches to people-based accessibility that use time geography and geospatial technologies as a basis and the final section concludes with some brief comments.","author":[{"dropping-particle":"","family":"Miller","given":"Harvey J.","non-dropping-particle":"","parse-names":false,"suffix":""}],"container-title":"Access to Destinations","id":"ITEM-1","issued":{"date-parts":[["2005"]]},"page":"63-89","title":"Place-Based Versus People-Based Accessibility","type":"chapter"},"uris":["http://www.mendeley.com/documents/?uuid=8ce47022-cdbb-4f30-88e3-ba09f74400ea"]}],"mendeley":{"formattedCitation":"(Miller, 2005)","manualFormatting":"Miller, 2005)","plainTextFormattedCitation":"(Miller, 2005)","previouslyFormattedCitation":"(Miller, 2005)"},"properties":{"noteIndex":0},"schema":"https://github.com/citation-style-language/schema/raw/master/csl-citation.json"}</w:instrText>
      </w:r>
      <w:r w:rsidR="003F020B" w:rsidRPr="006D55BE">
        <w:rPr>
          <w:rFonts w:eastAsiaTheme="minorEastAsia"/>
        </w:rPr>
        <w:fldChar w:fldCharType="separate"/>
      </w:r>
      <w:r w:rsidR="003F020B" w:rsidRPr="006D55BE">
        <w:rPr>
          <w:rFonts w:eastAsiaTheme="minorEastAsia"/>
          <w:noProof/>
        </w:rPr>
        <w:t>Miller, 2005)</w:t>
      </w:r>
      <w:r w:rsidR="003F020B" w:rsidRPr="006D55BE">
        <w:rPr>
          <w:rFonts w:eastAsiaTheme="minorEastAsia"/>
        </w:rPr>
        <w:fldChar w:fldCharType="end"/>
      </w:r>
      <w:r w:rsidR="003F020B" w:rsidRPr="006D55BE">
        <w:rPr>
          <w:rFonts w:eastAsiaTheme="minorEastAsia"/>
        </w:rPr>
        <w:t xml:space="preserve">. </w:t>
      </w:r>
      <w:r w:rsidR="00292318" w:rsidRPr="006D55BE">
        <w:rPr>
          <w:rFonts w:eastAsiaTheme="minorEastAsia"/>
        </w:rPr>
        <w:t xml:space="preserve">In more integrated spaces, the GBSs are spatially closer to other areas in the urban system, resulting in a higher possibility of people presence because people feel easy to access with fewer turns in their walking path </w:t>
      </w:r>
      <w:r w:rsidR="00292318" w:rsidRPr="006D55BE">
        <w:rPr>
          <w:rFonts w:eastAsiaTheme="minorEastAsia"/>
        </w:rPr>
        <w:fldChar w:fldCharType="begin" w:fldLock="1"/>
      </w:r>
      <w:r w:rsidR="00292318" w:rsidRPr="006D55BE">
        <w:rPr>
          <w:rFonts w:eastAsiaTheme="minorEastAsia"/>
        </w:rPr>
        <w:instrText>ADDIN CSL_CITATION {"citationItems":[{"id":"ITEM-1","itemData":{"author":[{"dropping-particle":"","family":"Peponis","given":"John","non-dropping-particle":"","parse-names":false,"suffix":""},{"dropping-particle":"","family":"Wineman","given":"Jean","non-dropping-particle":"","parse-names":false,"suffix":""}],"container-title":"Handbook of enviromental phycology","id":"ITEM-1","issued":{"date-parts":[["2002"]]},"page":"271-291","title":"Spatial structucture of envrionment behavior","type":"chapter"},"uris":["http://www.mendeley.com/documents/?uuid=1caa1318-3500-44a6-b9fd-1c97ccd44db9"]}],"mendeley":{"formattedCitation":"(Peponis &amp; Wineman, 2002)","plainTextFormattedCitation":"(Peponis &amp; Wineman, 2002)","previouslyFormattedCitation":"(Peponis &amp; Wineman, 2002)"},"properties":{"noteIndex":0},"schema":"https://github.com/citation-style-language/schema/raw/master/csl-citation.json"}</w:instrText>
      </w:r>
      <w:r w:rsidR="00292318" w:rsidRPr="006D55BE">
        <w:rPr>
          <w:rFonts w:eastAsiaTheme="minorEastAsia"/>
        </w:rPr>
        <w:fldChar w:fldCharType="separate"/>
      </w:r>
      <w:r w:rsidR="00292318" w:rsidRPr="006D55BE">
        <w:rPr>
          <w:rFonts w:eastAsiaTheme="minorEastAsia"/>
          <w:noProof/>
        </w:rPr>
        <w:t>(Peponis &amp; Wineman, 2002)</w:t>
      </w:r>
      <w:r w:rsidR="00292318" w:rsidRPr="006D55BE">
        <w:rPr>
          <w:rFonts w:eastAsiaTheme="minorEastAsia"/>
        </w:rPr>
        <w:fldChar w:fldCharType="end"/>
      </w:r>
      <w:r w:rsidR="00292318" w:rsidRPr="006D55BE">
        <w:rPr>
          <w:rFonts w:eastAsiaTheme="minorEastAsia"/>
        </w:rPr>
        <w:t xml:space="preserve">. Therefore, </w:t>
      </w:r>
      <w:r w:rsidR="00E32D43" w:rsidRPr="006D55BE">
        <w:rPr>
          <w:rFonts w:eastAsiaTheme="minorEastAsia"/>
        </w:rPr>
        <w:t xml:space="preserve">the </w:t>
      </w:r>
      <w:r w:rsidR="00E32D43" w:rsidRPr="006D55BE">
        <w:rPr>
          <w:rFonts w:eastAsiaTheme="minorEastAsia"/>
          <w:i/>
          <w:iCs/>
        </w:rPr>
        <w:t>integration</w:t>
      </w:r>
      <w:r w:rsidR="00E32D43" w:rsidRPr="006D55BE">
        <w:rPr>
          <w:rFonts w:eastAsiaTheme="minorEastAsia"/>
        </w:rPr>
        <w:t xml:space="preserve"> in space syntax is a commonly proxy of spatial accessibility, indicating </w:t>
      </w:r>
      <w:r w:rsidR="00E32D43" w:rsidRPr="006D55BE">
        <w:t xml:space="preserve">the degree of one space close to others </w:t>
      </w:r>
      <w:r w:rsidR="00E32D43" w:rsidRPr="006D55BE">
        <w:fldChar w:fldCharType="begin" w:fldLock="1"/>
      </w:r>
      <w:r w:rsidR="00E32D43" w:rsidRPr="006D55BE">
        <w:instrText>ADDIN CSL_CITATION {"citationItems":[{"id":"ITEM-1","itemData":{"abstract":"On the face of it, cities as complex systems are made of (at least) two subsystems: a physical subsystem , made up of buildings linked by streets, roads and infrastructure; and a human subsystem made up of movement, interaction and activity. As such, cities can be thought of as socio-technical systems. Any reasonable theory of urban complexity would need to link the social and technical subsystems to each other. Historically, most urban models have sought to make the link through the concept of distance in the physical system as a cost in the social system, defining the physical subsystem as a set of discrete zones. Such models have proved practical tools, but over the years have contributed relatively little to the development of a more general theory of the city. Here we propose a more complex and, we believe, true-to-life model based on the definition of the physical subsystem of the city as a network of spaces-streets and roads-linking buildings, rather than as a system of discrete zones. This allows us to approach urban complexity in a new way. Two key issues-theoretically perhaps the two key issues-in the study of complexity in general are the levels problem: how organised complexity at one level becomes elementary the next level up; and the parallel problem: how systems with different internal dynamics interact with each other. In (Cohen &amp; Stewart 1993) a general framework for conceptualising these two problems is outlined: complex phenomena at one level commonly produce lawful (though rarely mathematically describable) emergent simplicities one level up which then have their own emergent dynamic, independent of the complex processes that created them. They call such emergent simplicities, in which 'chaos collapses', 'simplexities'. Simplexities of different kinds then interact and modify each other to create 'complicities', or complexes of simplexities, to construct the complexity of the real world. Here it is argued that this formulation captures the problem of complexity in cities as socio-technical systems, and that we need vertical theories to capture the relations across levels, and lateral theories to capture the relations of parallel systems. We outline a vertical and a lateral theory to account for generic aspects of the emergent complexity of cities. However, both theories require an account of the linking mechanism, and here we show that since all actions that create cities are taken by human agents, the vertical and lateral linking me…","author":[{"dropping-particle":"","family":"Hillier","given":"Bill","non-dropping-particle":"","parse-names":false,"suffix":""}],"container-title":"Digital Urban Modeling and Simulation","id":"ITEM-1","issued":{"date-parts":[["2012"]]},"page":"24-48","title":"The city as a socio-technical system: A spatial reformulation in the light of the levels problem and the parallel problem","type":"chapter"},"uris":["http://www.mendeley.com/documents/?uuid=2ade4a72-d1d5-3a96-a981-19b7708534a3"]}],"mendeley":{"formattedCitation":"(Bill Hillier, 2012)","manualFormatting":"(Hillier, 2012)","plainTextFormattedCitation":"(Bill Hillier, 2012)","previouslyFormattedCitation":"(Bill Hillier, 2012)"},"properties":{"noteIndex":0},"schema":"https://github.com/citation-style-language/schema/raw/master/csl-citation.json"}</w:instrText>
      </w:r>
      <w:r w:rsidR="00E32D43" w:rsidRPr="006D55BE">
        <w:fldChar w:fldCharType="separate"/>
      </w:r>
      <w:r w:rsidR="00E32D43" w:rsidRPr="006D55BE">
        <w:rPr>
          <w:noProof/>
        </w:rPr>
        <w:t>(Hillier, 2012)</w:t>
      </w:r>
      <w:r w:rsidR="00E32D43" w:rsidRPr="006D55BE">
        <w:fldChar w:fldCharType="end"/>
      </w:r>
      <w:r w:rsidR="00E32D43" w:rsidRPr="006D55BE">
        <w:t xml:space="preserve">. </w:t>
      </w:r>
      <w:r w:rsidR="00E32D43" w:rsidRPr="006D55BE">
        <w:rPr>
          <w:rFonts w:eastAsiaTheme="minorEastAsia"/>
        </w:rPr>
        <w:t xml:space="preserve">According to the positive relationships between spatial integration and movement flows </w:t>
      </w:r>
      <w:r w:rsidR="00E32D43" w:rsidRPr="006D55BE">
        <w:rPr>
          <w:rFonts w:eastAsiaTheme="minorEastAsia"/>
        </w:rPr>
        <w:fldChar w:fldCharType="begin" w:fldLock="1"/>
      </w:r>
      <w:r w:rsidR="00E32D43" w:rsidRPr="006D55BE">
        <w:rPr>
          <w:rFonts w:eastAsiaTheme="minorEastAsia"/>
        </w:rPr>
        <w:instrText>ADDIN CSL_CITATION {"citationItems":[{"id":"ITEM-1","itemData":{"DOI":"10.3390/SU13115785","abstract":"This contribution demonstrates how space syntax methods on various scale levels can be used to identify and describe the spatial features of a compact city. Firstly, the term urban compactness is discussed. A short discussion of some writings on the compact city are elaborated. As it transpired, urban compactness can best be approached from a spatial topological point of view, since compactness is a topological property. Secondly, urban compactness will be reconsidered in spatial configurative terms through the use of space syntax and urban micro scale tools. Examples from car-, pedestrian-, and public transport-based centres in Oslo and Bergen will be used throughout this contribution. Discussions of the examples in this contribution are discussed with references to other space syntax research results. As the case studies show, enhancing compact neighbourhoods with good walkability potential from a spatial perspective relies on spatial interaccessibility on all scale levels. Accessibility depends on spatial configurative compactness. Seemingly, it depends on the following complex set of sufficient conditions: a spatially integrated street network on all scale levels, short urban blocks and streets with building entrances with windows and doors on the ground floor level.","author":[{"dropping-particle":"van","family":"Nes","given":"Akkelies","non-dropping-particle":"","parse-names":false,"suffix":""}],"container-title":"Sustainability","id":"ITEM-1","issue":"11","issued":{"date-parts":[["2021"]]},"page":"5785","title":"Spatial configurations and walkability potentials. Measuring urban compactness with space syntax","type":"article-journal","volume":"13"},"uris":["http://www.mendeley.com/documents/?uuid=3345c476-e8e5-3f05-b72a-185fb924e8fe"]}],"mendeley":{"formattedCitation":"(Nes, 2021)","plainTextFormattedCitation":"(Nes, 2021)","previouslyFormattedCitation":"(Nes, 2021)"},"properties":{"noteIndex":0},"schema":"https://github.com/citation-style-language/schema/raw/master/csl-citation.json"}</w:instrText>
      </w:r>
      <w:r w:rsidR="00E32D43" w:rsidRPr="006D55BE">
        <w:rPr>
          <w:rFonts w:eastAsiaTheme="minorEastAsia"/>
        </w:rPr>
        <w:fldChar w:fldCharType="separate"/>
      </w:r>
      <w:r w:rsidR="00E32D43" w:rsidRPr="006D55BE">
        <w:rPr>
          <w:rFonts w:eastAsiaTheme="minorEastAsia"/>
          <w:noProof/>
        </w:rPr>
        <w:t>(Nes, 2021)</w:t>
      </w:r>
      <w:r w:rsidR="00E32D43" w:rsidRPr="006D55BE">
        <w:rPr>
          <w:rFonts w:eastAsiaTheme="minorEastAsia"/>
        </w:rPr>
        <w:fldChar w:fldCharType="end"/>
      </w:r>
      <w:r w:rsidR="00E32D43" w:rsidRPr="006D55BE">
        <w:rPr>
          <w:rFonts w:eastAsiaTheme="minorEastAsia"/>
        </w:rPr>
        <w:t xml:space="preserve">, accessibility analysis based on the </w:t>
      </w:r>
      <w:r w:rsidR="00E32D43" w:rsidRPr="006D55BE">
        <w:rPr>
          <w:rFonts w:eastAsiaTheme="minorEastAsia"/>
          <w:i/>
          <w:iCs/>
        </w:rPr>
        <w:t>integration</w:t>
      </w:r>
      <w:r w:rsidR="00E32D43" w:rsidRPr="006D55BE">
        <w:rPr>
          <w:rFonts w:eastAsiaTheme="minorEastAsia"/>
        </w:rPr>
        <w:t xml:space="preserve"> in space syntax </w:t>
      </w:r>
      <w:r w:rsidR="00E32D43" w:rsidRPr="006D55BE">
        <w:fldChar w:fldCharType="begin" w:fldLock="1"/>
      </w:r>
      <w:r w:rsidR="00E32D43" w:rsidRPr="006D55BE">
        <w:instrText>ADDIN CSL_CITATION {"citationItems":[{"id":"ITEM-1","itemData":{"DOI":"10.1016/j.ufug.2020.126892","ISSN":"16108167","abstract":"Accessibility indicates the ease of reaching many destinations from many origins in the urban network at various scales of space. It plays an important role in determining the location of public facilities to maximize usability for a large population or limit use to a smaller community. The absence of urban green spaces is a notable consequence of rapid urbanization in many cities around the world. Doha in the State of Qatar is no different, where rapid urban expansion and globalization has a significant impact on the quality and quantity of green spaces available. This paper analyzes the location and size of public parks, promenades, and other green spaces in Doha in terms of their accessibility. Do they follow a discernible spatial logic in terms of their size and accessibility linked to the design intent of public planning policies? The research shows there is spatial and social logic to the physical and spatial characteristics of open green spaces in Doha above a certain size. In contrast, those characteristics in smaller examples tend to be more random, mainly due to issues of land availability and amenity provision in private developments.","author":[{"dropping-particle":"","family":"Tannous","given":"Heba O.","non-dropping-particle":"","parse-names":false,"suffix":""},{"dropping-particle":"","family":"Major","given":"Mark David","non-dropping-particle":"","parse-names":false,"suffix":""},{"dropping-particle":"","family":"Furlan","given":"Raffaello","non-dropping-particle":"","parse-names":false,"suffix":""}],"container-title":"Urban Forestry and Urban Greening","id":"ITEM-1","issue":"October","issued":{"date-parts":[["2020"]]},"page":"126892","publisher":"Elsevier GmbH","title":"Accessibility of green spaces in a metropolitan network using space syntax to objectively evaluate the spatial locations of parks and promenades in Doha, State of Qatar","type":"article-journal"},"uris":["http://www.mendeley.com/documents/?uuid=9044fe08-4c13-4a06-9089-61ecd67a9c04"]}],"mendeley":{"formattedCitation":"(Tannous, Major, &amp; Furlan, 2020)","manualFormatting":"(Tannous et al., 2020","plainTextFormattedCitation":"(Tannous, Major, &amp; Furlan, 2020)","previouslyFormattedCitation":"(Tannous, Major, &amp; Furlan, 2020)"},"properties":{"noteIndex":0},"schema":"https://github.com/citation-style-language/schema/raw/master/csl-citation.json"}</w:instrText>
      </w:r>
      <w:r w:rsidR="00E32D43" w:rsidRPr="006D55BE">
        <w:fldChar w:fldCharType="separate"/>
      </w:r>
      <w:r w:rsidR="00E32D43" w:rsidRPr="006D55BE">
        <w:rPr>
          <w:noProof/>
        </w:rPr>
        <w:t>(Tannous et al., 2020</w:t>
      </w:r>
      <w:r w:rsidR="00E32D43" w:rsidRPr="006D55BE">
        <w:fldChar w:fldCharType="end"/>
      </w:r>
      <w:r w:rsidR="00E32D43" w:rsidRPr="006D55BE">
        <w:t xml:space="preserve">; </w:t>
      </w:r>
      <w:r w:rsidR="00E32D43" w:rsidRPr="006D55BE">
        <w:fldChar w:fldCharType="begin" w:fldLock="1"/>
      </w:r>
      <w:r w:rsidR="00926392">
        <w:instrText>ADDIN CSL_CITATION {"citationItems":[{"id":"ITEM-1","itemData":{"DOI":"10.1016/j.landurbplan.2018.08.028","ISSN":"01692046","abstract":"The public benefits of visible street greenery have been well recognised in a growing literature. Nevertheless, this issue was rare to be included into urban greenery and planning practices. As a response to this situation, we proposed an actionable approach for quantifying the daily exposure of urban residents to eye-level street greenery by integrating high resolution measurements on both greenery and accessibility. Google Street View (GSV) images in Singapore were collected and extracted through machine learning algorithms to achieve an accurate measurement on visible greenery. Street networks collected from Open Street Map (OSM) were analysed through spatial design network analysis (sDNA) to quantify the accessibility value of each street. The integration of street greenery and accessibility helps to measure greenery from a human-centred perspective, and it provides a decision-support tool for urban planners to highlight areas with prioritisation for planning interventions. Moreover, the performance between GSV-based street greenery and the urban green cover mapped by remote sensing was compared to justify the contribution of this new measurement. It suggested there was a mismatch between these two measurements, i.e., existing top-down viewpoint through satellites might not be equivalent to the benefits enjoyed by city residents. In short, this analytical approach contributes to a growing trend in integrating large, freely-available datasets with machine learning to inform planners, and it makes a step forward for urban planning practices through focusing on the human-scale measurement of accessed street greenery.","author":[{"dropping-particle":"","family":"Ye","given":"Yu","non-dropping-particle":"","parse-names":false,"suffix":""},{"dropping-particle":"","family":"Richards","given":"Daniel","non-dropping-particle":"","parse-names":false,"suffix":""},{"dropping-particle":"","family":"Lu","given":"Yi","non-dropping-particle":"","parse-names":false,"suffix":""},{"dropping-particle":"","family":"Song","given":"Xiaoping","non-dropping-particle":"","parse-names":false,"suffix":""},{"dropping-particle":"","family":"Zhuang","given":"Yu","non-dropping-particle":"","parse-names":false,"suffix":""},{"dropping-particle":"","family":"Zeng","given":"Wei","non-dropping-particle":"","parse-names":false,"suffix":""},{"dropping-particle":"","family":"Zhong","given":"Teng","non-dropping-particle":"","parse-names":false,"suffix":""}],"container-title":"Landscape and Urban Planning","id":"ITEM-1","issue":"July 2017","issued":{"date-parts":[["2019"]]},"title":"Measuring daily accessed street greenery: A human-scale approach for informing better urban planning practices","type":"article-journal","volume":"191"},"uris":["http://www.mendeley.com/documents/?uuid=0c558022-f704-4191-a903-ba8a621a57a3"]}],"mendeley":{"formattedCitation":"(Yu Ye et al., 2019)","manualFormatting":"Ye et al., 2019","plainTextFormattedCitation":"(Yu Ye et al., 2019)","previouslyFormattedCitation":"(Yu Ye et al., 2019)"},"properties":{"noteIndex":0},"schema":"https://github.com/citation-style-language/schema/raw/master/csl-citation.json"}</w:instrText>
      </w:r>
      <w:r w:rsidR="00E32D43" w:rsidRPr="006D55BE">
        <w:fldChar w:fldCharType="separate"/>
      </w:r>
      <w:r w:rsidR="00E32D43" w:rsidRPr="006D55BE">
        <w:rPr>
          <w:noProof/>
        </w:rPr>
        <w:t>Ye et al., 2019</w:t>
      </w:r>
      <w:r w:rsidR="00E32D43" w:rsidRPr="006D55BE">
        <w:fldChar w:fldCharType="end"/>
      </w:r>
      <w:r w:rsidR="00E32D43" w:rsidRPr="006D55BE">
        <w:t xml:space="preserve">; </w:t>
      </w:r>
      <w:r w:rsidR="00E32D43" w:rsidRPr="006D55BE">
        <w:rPr>
          <w:rFonts w:eastAsiaTheme="minorEastAsia"/>
        </w:rPr>
        <w:fldChar w:fldCharType="begin" w:fldLock="1"/>
      </w:r>
      <w:r w:rsidR="00E32D43" w:rsidRPr="006D55BE">
        <w:rPr>
          <w:rFonts w:eastAsiaTheme="minorEastAsia"/>
        </w:rPr>
        <w:instrText>ADDIN CSL_CITATION {"citationItems":[{"id":"ITEM-1","itemData":{"abstract":"Between social physics and phenomenology","author":[{"dropping-particle":"","family":"Hillier","given":"Bill","non-dropping-particle":"","parse-names":false,"suffix":""},{"dropping-particle":"","family":"Iida","given":"Shinichi","non-dropping-particle":"","parse-names":false,"suffix":""}],"container-title":"International Conference on Spatial Information Theory","id":"ITEM-1","issued":{"date-parts":[["2005"]]},"page":"475-490","title":"Network and psychological effects in urban movement","type":"article-journal"},"uris":["http://www.mendeley.com/documents/?uuid=45b25d94-c95e-4ec8-96dd-d62735c3545b"]}],"mendeley":{"formattedCitation":"(Bill Hillier &amp; Iida, 2005)","manualFormatting":"Hillier &amp; Iida, 2005)","plainTextFormattedCitation":"(Bill Hillier &amp; Iida, 2005)","previouslyFormattedCitation":"(Bill Hillier &amp; Iida, 2005)"},"properties":{"noteIndex":0},"schema":"https://github.com/citation-style-language/schema/raw/master/csl-citation.json"}</w:instrText>
      </w:r>
      <w:r w:rsidR="00E32D43" w:rsidRPr="006D55BE">
        <w:rPr>
          <w:rFonts w:eastAsiaTheme="minorEastAsia"/>
        </w:rPr>
        <w:fldChar w:fldCharType="separate"/>
      </w:r>
      <w:r w:rsidR="00E32D43" w:rsidRPr="006D55BE">
        <w:rPr>
          <w:rFonts w:eastAsiaTheme="minorEastAsia"/>
          <w:noProof/>
        </w:rPr>
        <w:t>Hillier &amp; Iida, 2005)</w:t>
      </w:r>
      <w:r w:rsidR="00E32D43" w:rsidRPr="006D55BE">
        <w:rPr>
          <w:rFonts w:eastAsiaTheme="minorEastAsia"/>
        </w:rPr>
        <w:fldChar w:fldCharType="end"/>
      </w:r>
      <w:r w:rsidR="00E32D43" w:rsidRPr="006D55BE">
        <w:rPr>
          <w:rFonts w:eastAsiaTheme="minorEastAsia"/>
        </w:rPr>
        <w:t xml:space="preserve"> has been </w:t>
      </w:r>
      <w:r w:rsidR="00E32D43" w:rsidRPr="006D55BE">
        <w:t xml:space="preserve">widely conducted to elucidate how </w:t>
      </w:r>
      <w:r w:rsidR="00E32D43" w:rsidRPr="006D55BE">
        <w:rPr>
          <w:rFonts w:eastAsiaTheme="minorEastAsia"/>
        </w:rPr>
        <w:t>people select their destination in their movement and thereby the use efficiency of GBSs.</w:t>
      </w:r>
    </w:p>
    <w:p w14:paraId="512DC219" w14:textId="11C07E40" w:rsidR="00087D04" w:rsidRPr="006D55BE" w:rsidRDefault="00087D04" w:rsidP="00120881">
      <w:pPr>
        <w:pStyle w:val="Heading2"/>
        <w:spacing w:before="163" w:after="163"/>
        <w:rPr>
          <w:rFonts w:eastAsiaTheme="minorEastAsia"/>
        </w:rPr>
      </w:pPr>
      <w:r w:rsidRPr="006D55BE">
        <w:rPr>
          <w:rFonts w:eastAsiaTheme="minorEastAsia"/>
        </w:rPr>
        <w:t xml:space="preserve">2.2 </w:t>
      </w:r>
      <w:r w:rsidR="00C64992" w:rsidRPr="006D55BE">
        <w:rPr>
          <w:rFonts w:eastAsiaTheme="minorEastAsia"/>
        </w:rPr>
        <w:t>Visibility</w:t>
      </w:r>
    </w:p>
    <w:p w14:paraId="578E5AD3" w14:textId="08FB32A8" w:rsidR="003F232C" w:rsidRPr="006D55BE" w:rsidRDefault="00376FF3" w:rsidP="003F232C">
      <w:pPr>
        <w:spacing w:after="163"/>
        <w:rPr>
          <w:rFonts w:eastAsiaTheme="minorEastAsia"/>
        </w:rPr>
      </w:pPr>
      <w:r w:rsidRPr="006D55BE">
        <w:rPr>
          <w:rFonts w:eastAsiaTheme="minorEastAsia"/>
        </w:rPr>
        <w:tab/>
        <w:t xml:space="preserve">Visibility, here, is regarded as an indication </w:t>
      </w:r>
      <w:r w:rsidR="002E6200" w:rsidRPr="006D55BE">
        <w:rPr>
          <w:rFonts w:eastAsiaTheme="minorEastAsia"/>
        </w:rPr>
        <w:t>of</w:t>
      </w:r>
      <w:r w:rsidRPr="006D55BE">
        <w:rPr>
          <w:rFonts w:eastAsiaTheme="minorEastAsia"/>
        </w:rPr>
        <w:t xml:space="preserve"> the need</w:t>
      </w:r>
      <w:r w:rsidR="002E6200" w:rsidRPr="006D55BE">
        <w:rPr>
          <w:rFonts w:eastAsiaTheme="minorEastAsia"/>
        </w:rPr>
        <w:t xml:space="preserve"> for</w:t>
      </w:r>
      <w:r w:rsidRPr="006D55BE">
        <w:rPr>
          <w:rFonts w:eastAsiaTheme="minorEastAsia"/>
        </w:rPr>
        <w:t xml:space="preserve"> visual access to GBSs in </w:t>
      </w:r>
      <w:r w:rsidRPr="006D55BE">
        <w:rPr>
          <w:rFonts w:eastAsiaTheme="minorEastAsia"/>
          <w:i/>
          <w:iCs/>
        </w:rPr>
        <w:t>through-movement</w:t>
      </w:r>
      <w:r w:rsidRPr="006D55BE">
        <w:rPr>
          <w:rFonts w:eastAsiaTheme="minorEastAsia"/>
        </w:rPr>
        <w:t>. Visual integration is another</w:t>
      </w:r>
      <w:r w:rsidR="00C63D1D" w:rsidRPr="006D55BE">
        <w:rPr>
          <w:rFonts w:eastAsiaTheme="minorEastAsia"/>
        </w:rPr>
        <w:t xml:space="preserve"> </w:t>
      </w:r>
      <w:r w:rsidRPr="006D55BE">
        <w:rPr>
          <w:rFonts w:eastAsiaTheme="minorEastAsia"/>
        </w:rPr>
        <w:t xml:space="preserve">impact on the patterns of  pedestrian movement </w:t>
      </w:r>
      <w:r w:rsidRPr="006D55BE">
        <w:rPr>
          <w:rFonts w:eastAsiaTheme="minorEastAsia"/>
        </w:rPr>
        <w:fldChar w:fldCharType="begin" w:fldLock="1"/>
      </w:r>
      <w:r w:rsidRPr="006D55BE">
        <w:rPr>
          <w:rFonts w:eastAsiaTheme="minorEastAsia"/>
        </w:rPr>
        <w:instrText>ADDIN CSL_CITATION {"citationItems":[{"id":"ITEM-1","itemData":{"DOI":"10.1177/0042098014544763","abstract":"This paper investigates the impact of street network connectivity on pedestrian volume. Street network connectivity measured in most current studies captures only the metric characteristics of streets or physical connectivity. A whole different type of connectivity, visual connectivity, is largely ignored. Described in basic terms, higher physical connectivity means shorter travel time to reach the same number of destinations while higher visual connectivity means fewer turns to see the same number of destinations. Despite the correlation of these two connectivity constructs , studying both physical and visual connectivity is essential to better understand the role of street network on pedestrian activity. Using pedestrian counts of 302 street segments in Buffalo, New York, structural equation modelling highlights the multiple relationships between street network connectivity, built environment characteristics, and pedestrian volumes. Our findings suggest that both the conventional metric-based measure of physical connectivity and geometric-based measure of visual connectivity have significant positive impacts on pedestrian volumes, together with job density and land use mix. This outcome can encourage practitioners to pay attention to both the geometry of street network and its metric characteristics in order to create a pedestrian-friendly environment.","author":[{"dropping-particle":"","family":"Hajrasouliha","given":"Amir","non-dropping-particle":"","parse-names":false,"suffix":""},{"dropping-particle":"","family":"Yin","given":"Li","non-dropping-particle":"","parse-names":false,"suffix":""}],"container-title":"Urban Studies","id":"ITEM-1","issue":"13","issued":{"date-parts":[["2015"]]},"page":"2483-2497","title":"The impact of street network connectivity on pedestrian volume","type":"article-journal","volume":"52"},"uris":["http://www.mendeley.com/documents/?uuid=c6c3a829-b9ec-3daf-a7c0-291ae8775078"]}],"mendeley":{"formattedCitation":"(Hajrasouliha &amp; Yin, 2015)","plainTextFormattedCitation":"(Hajrasouliha &amp; Yin, 2015)","previouslyFormattedCitation":"(Hajrasouliha &amp; Yin, 2015)"},"properties":{"noteIndex":0},"schema":"https://github.com/citation-style-language/schema/raw/master/csl-citation.json"}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(Hajrasouliha &amp; Yin, 2015)</w:t>
      </w:r>
      <w:r w:rsidRPr="006D55BE">
        <w:rPr>
          <w:rFonts w:eastAsiaTheme="minorEastAsia"/>
        </w:rPr>
        <w:fldChar w:fldCharType="end"/>
      </w:r>
      <w:r w:rsidR="004A6620" w:rsidRPr="006D55BE">
        <w:rPr>
          <w:rFonts w:eastAsiaTheme="minorEastAsia"/>
        </w:rPr>
        <w:t xml:space="preserve">. </w:t>
      </w:r>
      <w:r w:rsidR="003F232C" w:rsidRPr="006D55BE">
        <w:rPr>
          <w:rFonts w:eastAsiaTheme="minorEastAsia"/>
          <w:i/>
          <w:iCs/>
        </w:rPr>
        <w:t>Choice</w:t>
      </w:r>
      <w:r w:rsidR="003F232C" w:rsidRPr="006D55BE">
        <w:rPr>
          <w:rFonts w:eastAsiaTheme="minorEastAsia"/>
        </w:rPr>
        <w:t xml:space="preserve"> measure of space syntax is used as the proxy of visibility, indicating </w:t>
      </w:r>
      <w:r w:rsidR="003F232C" w:rsidRPr="006D55BE">
        <w:t>the possibility of a space to be passed through within the connected spatial networks</w:t>
      </w:r>
      <w:r w:rsidR="00A03FAD" w:rsidRPr="006D55BE">
        <w:t xml:space="preserve"> </w:t>
      </w:r>
      <w:r w:rsidR="00A03FAD" w:rsidRPr="006D55BE">
        <w:fldChar w:fldCharType="begin" w:fldLock="1"/>
      </w:r>
      <w:r w:rsidR="00853057" w:rsidRPr="006D55BE">
        <w:instrText>ADDIN CSL_CITATION {"citationItems":[{"id":"ITEM-1","itemData":{"author":[{"dropping-particle":"","family":"Hillier","given":"Bill","non-dropping-particle":"","parse-names":false,"suffix":""},{"dropping-particle":"","family":"Burdeau","given":"Richard","non-dropping-particle":"","parse-names":false,"suffix":""},{"dropping-particle":"","family":"Peponis","given":"John","non-dropping-particle":"","parse-names":false,"suffix":""},{"dropping-particle":"","family":"Penn","given":"Alan","non-dropping-particle":"","parse-names":false,"suffix":""}],"container-title":"Architecture et Comportement/Architecture and Behaviour","id":"ITEM-1","issue":"3","issued":{"date-parts":[["1987"]]},"page":"233-250","title":"Creating life: or, does architecture determine anything?","type":"article-journal","volume":"3"},"uris":["http://www.mendeley.com/documents/?uuid=8898c4a4-0d1f-4173-adc9-34f6f0cdf65b"]}],"mendeley":{"formattedCitation":"(Bill Hillier, Burdeau, Peponis, &amp; Penn, 1987)","manualFormatting":"(Hillier et al., 1987)","plainTextFormattedCitation":"(Bill Hillier, Burdeau, Peponis, &amp; Penn, 1987)","previouslyFormattedCitation":"(Bill Hillier, Burdeau, Peponis, &amp; Penn, 1987)"},"properties":{"noteIndex":0},"schema":"https://github.com/citation-style-language/schema/raw/master/csl-citation.json"}</w:instrText>
      </w:r>
      <w:r w:rsidR="00A03FAD" w:rsidRPr="006D55BE">
        <w:fldChar w:fldCharType="separate"/>
      </w:r>
      <w:r w:rsidR="00A03FAD" w:rsidRPr="006D55BE">
        <w:rPr>
          <w:noProof/>
        </w:rPr>
        <w:t>(Hillier et al., 1987)</w:t>
      </w:r>
      <w:r w:rsidR="00A03FAD" w:rsidRPr="006D55BE">
        <w:fldChar w:fldCharType="end"/>
      </w:r>
      <w:r w:rsidR="003F232C" w:rsidRPr="006D55BE">
        <w:t xml:space="preserve">. </w:t>
      </w:r>
      <w:r w:rsidR="003F232C" w:rsidRPr="006D55BE">
        <w:rPr>
          <w:rFonts w:eastAsiaTheme="minorEastAsia"/>
        </w:rPr>
        <w:t>Spaces with</w:t>
      </w:r>
      <w:r w:rsidR="002E6200" w:rsidRPr="006D55BE">
        <w:rPr>
          <w:rFonts w:eastAsiaTheme="minorEastAsia"/>
        </w:rPr>
        <w:t xml:space="preserve"> a</w:t>
      </w:r>
      <w:r w:rsidR="003F232C" w:rsidRPr="006D55BE">
        <w:rPr>
          <w:rFonts w:eastAsiaTheme="minorEastAsia"/>
        </w:rPr>
        <w:t xml:space="preserve"> high </w:t>
      </w:r>
      <w:r w:rsidR="003F232C" w:rsidRPr="006D55BE">
        <w:rPr>
          <w:rFonts w:eastAsiaTheme="minorEastAsia"/>
          <w:i/>
          <w:iCs/>
        </w:rPr>
        <w:t>choice</w:t>
      </w:r>
      <w:r w:rsidR="003F232C" w:rsidRPr="006D55BE">
        <w:rPr>
          <w:rFonts w:eastAsiaTheme="minorEastAsia"/>
        </w:rPr>
        <w:t xml:space="preserve"> value play important roles in the urban system with more </w:t>
      </w:r>
      <w:r w:rsidR="003F232C" w:rsidRPr="006D55BE">
        <w:t xml:space="preserve">traversable transportation, in </w:t>
      </w:r>
      <w:r w:rsidR="003F232C" w:rsidRPr="006D55BE">
        <w:lastRenderedPageBreak/>
        <w:t xml:space="preserve">which more pedestrians are passed through in their daily movement </w:t>
      </w:r>
      <w:r w:rsidR="003F232C" w:rsidRPr="006D55BE">
        <w:rPr>
          <w:rFonts w:eastAsiaTheme="minorEastAsia"/>
        </w:rPr>
        <w:fldChar w:fldCharType="begin" w:fldLock="1"/>
      </w:r>
      <w:r w:rsidR="003F232C" w:rsidRPr="006D55BE">
        <w:rPr>
          <w:rFonts w:eastAsiaTheme="minorEastAsia"/>
        </w:rPr>
        <w:instrText>ADDIN CSL_CITATION {"citationItems":[{"id":"ITEM-1","itemData":{"abstract":"Between social physics and phenomenology","author":[{"dropping-particle":"","family":"Hillier","given":"Bill","non-dropping-particle":"","parse-names":false,"suffix":""},{"dropping-particle":"","family":"Iida","given":"Shinichi","non-dropping-particle":"","parse-names":false,"suffix":""}],"container-title":"International Conference on Spatial Information Theory","id":"ITEM-1","issued":{"date-parts":[["2005"]]},"page":"475-490","title":"Network and psychological effects in urban movement","type":"article-journal"},"uris":["http://www.mendeley.com/documents/?uuid=45b25d94-c95e-4ec8-96dd-d62735c3545b"]}],"mendeley":{"formattedCitation":"(Bill Hillier &amp; Iida, 2005)","manualFormatting":"(Hillier &amp; Iida, 2005)","plainTextFormattedCitation":"(Bill Hillier &amp; Iida, 2005)","previouslyFormattedCitation":"(Bill Hillier &amp; Iida, 2005)"},"properties":{"noteIndex":0},"schema":"https://github.com/citation-style-language/schema/raw/master/csl-citation.json"}</w:instrText>
      </w:r>
      <w:r w:rsidR="003F232C" w:rsidRPr="006D55BE">
        <w:rPr>
          <w:rFonts w:eastAsiaTheme="minorEastAsia"/>
        </w:rPr>
        <w:fldChar w:fldCharType="separate"/>
      </w:r>
      <w:r w:rsidR="003F232C" w:rsidRPr="006D55BE">
        <w:rPr>
          <w:rFonts w:eastAsiaTheme="minorEastAsia"/>
          <w:noProof/>
        </w:rPr>
        <w:t>(Hillier &amp; Iida, 2005)</w:t>
      </w:r>
      <w:r w:rsidR="003F232C" w:rsidRPr="006D55BE">
        <w:rPr>
          <w:rFonts w:eastAsiaTheme="minorEastAsia"/>
        </w:rPr>
        <w:fldChar w:fldCharType="end"/>
      </w:r>
      <w:r w:rsidR="003F232C" w:rsidRPr="006D55BE">
        <w:rPr>
          <w:rFonts w:eastAsiaTheme="minorEastAsia"/>
        </w:rPr>
        <w:t xml:space="preserve">. Hence, the visibility indicator is developed based on an assumption that the GBSs in frequently passed-through places provide pedestrians with additional visual functions. </w:t>
      </w:r>
    </w:p>
    <w:p w14:paraId="74548AD6" w14:textId="0B6BB8E8" w:rsidR="00087D04" w:rsidRPr="006D55BE" w:rsidRDefault="00087D04" w:rsidP="00120881">
      <w:pPr>
        <w:pStyle w:val="Heading2"/>
        <w:spacing w:before="163" w:after="163"/>
        <w:rPr>
          <w:rFonts w:eastAsiaTheme="minorEastAsia"/>
        </w:rPr>
      </w:pPr>
      <w:r w:rsidRPr="006D55BE">
        <w:rPr>
          <w:rFonts w:eastAsiaTheme="minorEastAsia"/>
        </w:rPr>
        <w:t xml:space="preserve">2.3 </w:t>
      </w:r>
      <w:r w:rsidR="00C64992" w:rsidRPr="006D55BE">
        <w:rPr>
          <w:rFonts w:eastAsiaTheme="minorEastAsia"/>
        </w:rPr>
        <w:t>Intelligibility</w:t>
      </w:r>
    </w:p>
    <w:p w14:paraId="5D3B24B9" w14:textId="24F488EC" w:rsidR="00FE3002" w:rsidRPr="006D55BE" w:rsidRDefault="005E05E5" w:rsidP="00A14766">
      <w:pPr>
        <w:spacing w:after="163"/>
        <w:rPr>
          <w:rFonts w:eastAsiaTheme="minorEastAsia"/>
        </w:rPr>
      </w:pPr>
      <w:r w:rsidRPr="006D55BE">
        <w:rPr>
          <w:rFonts w:eastAsiaTheme="minorEastAsia"/>
        </w:rPr>
        <w:tab/>
        <w:t>Intelligibility is proposed to address the need for spatial cognition in pedestrian movement, which is linked to mental perception</w:t>
      </w:r>
      <w:r w:rsidR="009D0E04" w:rsidRPr="006D55BE">
        <w:rPr>
          <w:rFonts w:eastAsiaTheme="minorEastAsia"/>
        </w:rPr>
        <w:t xml:space="preserve"> in both </w:t>
      </w:r>
      <w:r w:rsidR="009D0E04" w:rsidRPr="006D55BE">
        <w:rPr>
          <w:rFonts w:eastAsiaTheme="minorEastAsia"/>
          <w:i/>
          <w:iCs/>
        </w:rPr>
        <w:t>to-</w:t>
      </w:r>
      <w:r w:rsidR="009D0E04" w:rsidRPr="006D55BE">
        <w:rPr>
          <w:rFonts w:eastAsiaTheme="minorEastAsia"/>
        </w:rPr>
        <w:t xml:space="preserve"> and </w:t>
      </w:r>
      <w:r w:rsidR="009D0E04" w:rsidRPr="006D55BE">
        <w:rPr>
          <w:rFonts w:eastAsiaTheme="minorEastAsia"/>
          <w:i/>
          <w:iCs/>
        </w:rPr>
        <w:t>through-movement</w:t>
      </w:r>
      <w:r w:rsidRPr="006D55BE">
        <w:rPr>
          <w:rFonts w:eastAsiaTheme="minorEastAsia"/>
        </w:rPr>
        <w:t>.</w:t>
      </w:r>
      <w:r w:rsidR="00EA3971" w:rsidRPr="006D55BE">
        <w:rPr>
          <w:rFonts w:eastAsiaTheme="minorEastAsia"/>
        </w:rPr>
        <w:t xml:space="preserve"> </w:t>
      </w:r>
      <w:r w:rsidR="00EA3971" w:rsidRPr="006D55BE">
        <w:t>An intelligible space should be easily understandable, well connected, and highly integrated, in which people can perceive large-scale spaces outside their view</w:t>
      </w:r>
      <w:r w:rsidR="00257137" w:rsidRPr="006D55BE">
        <w:t>-</w:t>
      </w:r>
      <w:r w:rsidR="00EA3971" w:rsidRPr="006D55BE">
        <w:t xml:space="preserve">shed through cognizing GBSs in their visibility field </w:t>
      </w:r>
      <w:r w:rsidR="00EA3971" w:rsidRPr="006D55BE">
        <w:fldChar w:fldCharType="begin" w:fldLock="1"/>
      </w:r>
      <w:r w:rsidR="00EA3971" w:rsidRPr="006D55BE">
        <w:instrText>ADDIN CSL_CITATION {"citationItems":[{"id":"ITEM-1","itemData":{"author":[{"dropping-particle":"","family":"Peponis","given":"John","non-dropping-particle":"","parse-names":false,"suffix":""},{"dropping-particle":"","family":"Wineman","given":"Jean","non-dropping-particle":"","parse-names":false,"suffix":""}],"container-title":"Handbook of enviromental phycology","id":"ITEM-1","issued":{"date-parts":[["2002"]]},"page":"271-291","title":"Spatial structucture of envrionment behavior","type":"chapter"},"uris":["http://www.mendeley.com/documents/?uuid=1caa1318-3500-44a6-b9fd-1c97ccd44db9"]}],"mendeley":{"formattedCitation":"(Peponis &amp; Wineman, 2002)","manualFormatting":"(Peponis &amp; Wineman, 2002","plainTextFormattedCitation":"(Peponis &amp; Wineman, 2002)","previouslyFormattedCitation":"(Peponis &amp; Wineman, 2002)"},"properties":{"noteIndex":0},"schema":"https://github.com/citation-style-language/schema/raw/master/csl-citation.json"}</w:instrText>
      </w:r>
      <w:r w:rsidR="00EA3971" w:rsidRPr="006D55BE">
        <w:fldChar w:fldCharType="separate"/>
      </w:r>
      <w:r w:rsidR="00EA3971" w:rsidRPr="006D55BE">
        <w:rPr>
          <w:noProof/>
        </w:rPr>
        <w:t>(Peponis &amp; Wineman, 2002</w:t>
      </w:r>
      <w:r w:rsidR="00EA3971" w:rsidRPr="006D55BE">
        <w:fldChar w:fldCharType="end"/>
      </w:r>
      <w:r w:rsidR="00EA3971" w:rsidRPr="006D55BE">
        <w:t xml:space="preserve">; </w:t>
      </w:r>
      <w:r w:rsidR="00EA3971" w:rsidRPr="006D55BE">
        <w:fldChar w:fldCharType="begin" w:fldLock="1"/>
      </w:r>
      <w:r w:rsidR="00D5129A" w:rsidRPr="006D55BE">
        <w:instrText>ADDIN CSL_CITATION {"citationItems":[{"id":"ITEM-1","itemData":{"abstract":"Due to its geographic size and long cultural history of fluctuating borders, China has a large number of historic settlements; each with their own unique geometric, cultural, social, and spatial characteristics. Despite the various studies that have attempted to qualitatively describe the spatial properties of historic towns, there are limited attempts to understand the spatial qualities of these towns through a quantitative approach, such as space syntax. This paper proposes and demonstrates a computational approach based on space syntax to map spatial properties of these towns. Four spatial features are examined and evaluated to capture the spatial patterns of Chinese historic towns: (1) axiality, (2) curvature, (3) intelligibility, and (4) synergy. The approach has been applied to four typical towns in China: Pingyao, Lijiang, Kulangsu, and Wuzhen. This computational approach provides a new way to complement existing qualitative measures of understanding the urban form and use of historic towns, providing a powerful tool to support the development of policy affecting historic town design/planning, heritage conservation, and heritage tourism.","author":[{"dropping-particle":"","family":"Liao","given":"Pan","non-dropping-particle":"","parse-names":false,"suffix":""},{"dropping-particle":"","family":"Gu","given":"Ning","non-dropping-particle":"","parse-names":false,"suffix":""},{"dropping-particle":"","family":"Brisbin","given":"Chris","non-dropping-particle":"","parse-names":false,"suffix":""},{"dropping-particle":"","family":"Rofe","given":"Matthew","non-dropping-particle":"","parse-names":false,"suffix":""},{"dropping-particle":"","family":"Soltani","given":"Sahar","non-dropping-particle":"","parse-names":false,"suffix":""}],"container-title":"Proceedings of CAADRIA 2019","id":"ITEM-1","issued":{"date-parts":[["2019"]]},"page":"361-370","title":"Computationally Mapping Spatial Properties of Chinese Historic Towns using Space Syntax","type":"paper-conference"},"uris":["http://www.mendeley.com/documents/?uuid=236fa72a-cca8-3b26-8cfc-dabde090dae0"]}],"mendeley":{"formattedCitation":"(Liao, Gu, Brisbin, Rofe, &amp; Soltani, 2019)","manualFormatting":"Liao et al., 2019)","plainTextFormattedCitation":"(Liao, Gu, Brisbin, Rofe, &amp; Soltani, 2019)","previouslyFormattedCitation":"(Liao, Gu, Brisbin, Rofe, &amp; Soltani, 2019)"},"properties":{"noteIndex":0},"schema":"https://github.com/citation-style-language/schema/raw/master/csl-citation.json"}</w:instrText>
      </w:r>
      <w:r w:rsidR="00EA3971" w:rsidRPr="006D55BE">
        <w:fldChar w:fldCharType="separate"/>
      </w:r>
      <w:r w:rsidR="00EA3971" w:rsidRPr="006D55BE">
        <w:rPr>
          <w:noProof/>
        </w:rPr>
        <w:t>Liao et al., 2019)</w:t>
      </w:r>
      <w:r w:rsidR="00EA3971" w:rsidRPr="006D55BE">
        <w:fldChar w:fldCharType="end"/>
      </w:r>
      <w:r w:rsidR="00EA3971" w:rsidRPr="006D55BE">
        <w:t xml:space="preserve">. </w:t>
      </w:r>
      <w:r w:rsidR="008A42AF" w:rsidRPr="006D55BE">
        <w:t xml:space="preserve">Intelligibility is </w:t>
      </w:r>
      <w:r w:rsidR="00A97E2A" w:rsidRPr="006D55BE">
        <w:t xml:space="preserve">identified by the shape of the scatter diagram between </w:t>
      </w:r>
      <w:r w:rsidR="00A97E2A" w:rsidRPr="006D55BE">
        <w:rPr>
          <w:rFonts w:eastAsiaTheme="minorEastAsia"/>
          <w:i/>
          <w:iCs/>
        </w:rPr>
        <w:t>integration</w:t>
      </w:r>
      <w:r w:rsidR="00A97E2A" w:rsidRPr="006D55BE">
        <w:rPr>
          <w:rFonts w:eastAsiaTheme="minorEastAsia"/>
        </w:rPr>
        <w:t xml:space="preserve"> and </w:t>
      </w:r>
      <w:r w:rsidR="00A97E2A" w:rsidRPr="006D55BE">
        <w:rPr>
          <w:rFonts w:eastAsiaTheme="minorEastAsia"/>
          <w:i/>
          <w:iCs/>
        </w:rPr>
        <w:t>connectivity</w:t>
      </w:r>
      <w:r w:rsidR="00A97E2A" w:rsidRPr="006D55BE">
        <w:rPr>
          <w:rFonts w:eastAsiaTheme="minorEastAsia"/>
        </w:rPr>
        <w:t xml:space="preserve"> of space syntax.</w:t>
      </w:r>
      <w:r w:rsidR="00FE3002" w:rsidRPr="006D55BE">
        <w:rPr>
          <w:i/>
          <w:iCs/>
        </w:rPr>
        <w:t xml:space="preserve"> Connectivity</w:t>
      </w:r>
      <w:r w:rsidR="00FE3002" w:rsidRPr="006D55BE">
        <w:t xml:space="preserve"> is quantified by the number of neighboring spaces directly connecting to a given space </w:t>
      </w:r>
      <w:r w:rsidR="00FE3002" w:rsidRPr="006D55BE">
        <w:fldChar w:fldCharType="begin" w:fldLock="1"/>
      </w:r>
      <w:r w:rsidR="00FE3002" w:rsidRPr="006D55BE">
        <w:instrText>ADDIN CSL_CITATION {"citationItems":[{"id":"ITEM-1","itemData":{"author":[{"dropping-particle":"","family":"Hillier","given":"Bill","non-dropping-particle":"","parse-names":false,"suffix":""},{"dropping-particle":"","family":"Hanson","given":"Julienne","non-dropping-particle":"","parse-names":false,"suffix":""}],"id":"ITEM-1","issued":{"date-parts":[["1984"]]},"publisher":"Cambridge University Press","title":"The Social Logic of Space","type":"book"},"uris":["http://www.mendeley.com/documents/?uuid=799ec82a-db57-3a07-ba0e-8831bb27023c"]}],"mendeley":{"formattedCitation":"(Bill Hillier &amp; Hanson, 1984)","manualFormatting":"(Hillier &amp; Hanson, 1984)","plainTextFormattedCitation":"(Bill Hillier &amp; Hanson, 1984)","previouslyFormattedCitation":"(Bill Hillier &amp; Hanson, 1984)"},"properties":{"noteIndex":0},"schema":"https://github.com/citation-style-language/schema/raw/master/csl-citation.json"}</w:instrText>
      </w:r>
      <w:r w:rsidR="00FE3002" w:rsidRPr="006D55BE">
        <w:fldChar w:fldCharType="separate"/>
      </w:r>
      <w:r w:rsidR="00FE3002" w:rsidRPr="006D55BE">
        <w:rPr>
          <w:noProof/>
        </w:rPr>
        <w:t>(Hillier &amp; Hanson, 1984)</w:t>
      </w:r>
      <w:r w:rsidR="00FE3002" w:rsidRPr="006D55BE">
        <w:fldChar w:fldCharType="end"/>
      </w:r>
      <w:r w:rsidR="00FE3002" w:rsidRPr="006D55BE">
        <w:t xml:space="preserve">, which captures the spatial configurations within a neighboring distance instead of the whole urban system. </w:t>
      </w:r>
      <w:r w:rsidR="00393BD3" w:rsidRPr="006D55BE">
        <w:t xml:space="preserve">Spaces with </w:t>
      </w:r>
      <w:r w:rsidR="002828DE" w:rsidRPr="006D55BE">
        <w:t xml:space="preserve">highly </w:t>
      </w:r>
      <w:r w:rsidR="00393BD3" w:rsidRPr="006D55BE">
        <w:t xml:space="preserve">synchronous </w:t>
      </w:r>
      <w:r w:rsidR="00393BD3" w:rsidRPr="006D55BE">
        <w:rPr>
          <w:i/>
          <w:iCs/>
        </w:rPr>
        <w:t>connectivity</w:t>
      </w:r>
      <w:r w:rsidR="00393BD3" w:rsidRPr="006D55BE">
        <w:t xml:space="preserve"> and </w:t>
      </w:r>
      <w:r w:rsidR="00393BD3" w:rsidRPr="006D55BE">
        <w:rPr>
          <w:i/>
          <w:iCs/>
        </w:rPr>
        <w:t>integration</w:t>
      </w:r>
      <w:r w:rsidR="00393BD3" w:rsidRPr="006D55BE">
        <w:t xml:space="preserve"> </w:t>
      </w:r>
      <w:r w:rsidR="002828DE" w:rsidRPr="006D55BE">
        <w:t xml:space="preserve">are more intelligible due to </w:t>
      </w:r>
      <w:r w:rsidR="002828DE" w:rsidRPr="006D55BE">
        <w:rPr>
          <w:rFonts w:eastAsiaTheme="minorEastAsia"/>
        </w:rPr>
        <w:t xml:space="preserve">stronger correlations between what we can perceive and what we cannot perceive, which </w:t>
      </w:r>
      <w:r w:rsidR="002828DE" w:rsidRPr="006D55BE">
        <w:t xml:space="preserve">provide more cognitive images for people. </w:t>
      </w:r>
      <w:r w:rsidR="00515484" w:rsidRPr="006D55BE">
        <w:rPr>
          <w:rFonts w:eastAsiaTheme="minorEastAsia"/>
        </w:rPr>
        <w:t xml:space="preserve">Improving the intelligibility of the GBSs can facilitate the pedestrians who are unfamiliar with the urban spaces forming mental ‘big picture’ of GBSs </w:t>
      </w:r>
      <w:r w:rsidR="00515484" w:rsidRPr="006D55BE">
        <w:t xml:space="preserve">based on a succession of visibility fields in their navigation </w:t>
      </w:r>
      <w:r w:rsidR="00515484" w:rsidRPr="006D55BE">
        <w:fldChar w:fldCharType="begin" w:fldLock="1"/>
      </w:r>
      <w:r w:rsidR="00515484" w:rsidRPr="006D55BE">
        <w:instrText>ADDIN CSL_CITATION {"citationItems":[{"id":"ITEM-1","itemData":{"abstract":"On the face of it, cities as complex systems are made of (at least) two subsystems: a physical subsystem , made up of buildings linked by streets, roads and infrastructure; and a human subsystem made up of movement, interaction and activity. As such, cities can be thought of as socio-technical systems. Any reasonable theory of urban complexity would need to link the social and technical subsystems to each other. Historically, most urban models have sought to make the link through the concept of distance in the physical system as a cost in the social system, defining the physical subsystem as a set of discrete zones. Such models have proved practical tools, but over the years have contributed relatively little to the development of a more general theory of the city. Here we propose a more complex and, we believe, true-to-life model based on the definition of the physical subsystem of the city as a network of spaces-streets and roads-linking buildings, rather than as a system of discrete zones. This allows us to approach urban complexity in a new way. Two key issues-theoretically perhaps the two key issues-in the study of complexity in general are the levels problem: how organised complexity at one level becomes elementary the next level up; and the parallel problem: how systems with different internal dynamics interact with each other. In (Cohen &amp; Stewart 1993) a general framework for conceptualising these two problems is outlined: complex phenomena at one level commonly produce lawful (though rarely mathematically describable) emergent simplicities one level up which then have their own emergent dynamic, independent of the complex processes that created them. They call such emergent simplicities, in which 'chaos collapses', 'simplexities'. Simplexities of different kinds then interact and modify each other to create 'complicities', or complexes of simplexities, to construct the complexity of the real world. Here it is argued that this formulation captures the problem of complexity in cities as socio-technical systems, and that we need vertical theories to capture the relations across levels, and lateral theories to capture the relations of parallel systems. We outline a vertical and a lateral theory to account for generic aspects of the emergent complexity of cities. However, both theories require an account of the linking mechanism, and here we show that since all actions that create cities are taken by human agents, the vertical and lateral linking me…","author":[{"dropping-particle":"","family":"Hillier","given":"Bill","non-dropping-particle":"","parse-names":false,"suffix":""}],"container-title":"Digital Urban Modeling and Simulation","id":"ITEM-1","issued":{"date-parts":[["2012"]]},"page":"24-48","title":"The city as a socio-technical system: A spatial reformulation in the light of the levels problem and the parallel problem","type":"chapter"},"uris":["http://www.mendeley.com/documents/?uuid=2ade4a72-d1d5-3a96-a981-19b7708534a3"]}],"mendeley":{"formattedCitation":"(Bill Hillier, 2012)","manualFormatting":"(Hillier, 2012)","plainTextFormattedCitation":"(Bill Hillier, 2012)","previouslyFormattedCitation":"(Bill Hillier, 2012)"},"properties":{"noteIndex":0},"schema":"https://github.com/citation-style-language/schema/raw/master/csl-citation.json"}</w:instrText>
      </w:r>
      <w:r w:rsidR="00515484" w:rsidRPr="006D55BE">
        <w:fldChar w:fldCharType="separate"/>
      </w:r>
      <w:r w:rsidR="00515484" w:rsidRPr="006D55BE">
        <w:rPr>
          <w:noProof/>
        </w:rPr>
        <w:t>(Hillier, 2012)</w:t>
      </w:r>
      <w:r w:rsidR="00515484" w:rsidRPr="006D55BE">
        <w:fldChar w:fldCharType="end"/>
      </w:r>
      <w:r w:rsidR="00515484" w:rsidRPr="006D55BE">
        <w:t>.</w:t>
      </w:r>
    </w:p>
    <w:p w14:paraId="01DDBC96" w14:textId="77777777" w:rsidR="00B6346D" w:rsidRPr="006D55BE" w:rsidRDefault="00B6346D" w:rsidP="00B6346D">
      <w:pPr>
        <w:pStyle w:val="Heading1"/>
        <w:spacing w:before="326" w:after="326"/>
        <w:rPr>
          <w:rFonts w:eastAsiaTheme="minorEastAsia"/>
        </w:rPr>
      </w:pPr>
      <w:r w:rsidRPr="006D55BE">
        <w:rPr>
          <w:rFonts w:eastAsiaTheme="minorEastAsia"/>
        </w:rPr>
        <w:t>3. Data and methods</w:t>
      </w:r>
    </w:p>
    <w:p w14:paraId="32987E04" w14:textId="77777777" w:rsidR="00B6346D" w:rsidRPr="006D55BE" w:rsidRDefault="00B6346D" w:rsidP="00B6346D">
      <w:pPr>
        <w:pStyle w:val="Heading2"/>
        <w:spacing w:before="163" w:after="163"/>
        <w:rPr>
          <w:rFonts w:eastAsiaTheme="minorEastAsia"/>
        </w:rPr>
      </w:pPr>
      <w:r w:rsidRPr="006D55BE">
        <w:rPr>
          <w:rFonts w:eastAsiaTheme="minorEastAsia"/>
        </w:rPr>
        <w:t>3.1 Study areas</w:t>
      </w:r>
    </w:p>
    <w:p w14:paraId="44CBF788" w14:textId="11A833C8" w:rsidR="00317D4A" w:rsidRPr="006D55BE" w:rsidRDefault="008208E2" w:rsidP="00B43941">
      <w:pPr>
        <w:spacing w:after="163"/>
        <w:ind w:firstLine="480"/>
      </w:pPr>
      <w:r w:rsidRPr="006D55BE">
        <w:t xml:space="preserve">Guangzhou is a </w:t>
      </w:r>
      <w:r w:rsidR="00C61A8D" w:rsidRPr="006D55BE">
        <w:t xml:space="preserve">well-developed </w:t>
      </w:r>
      <w:r w:rsidRPr="006D55BE">
        <w:t xml:space="preserve">city </w:t>
      </w:r>
      <w:r w:rsidR="00C61A8D" w:rsidRPr="006D55BE">
        <w:t>of Guangdong Province in South China (Figure 2(a)) with</w:t>
      </w:r>
      <w:r w:rsidR="00E710BA">
        <w:t xml:space="preserve"> </w:t>
      </w:r>
      <w:r w:rsidR="00C61A8D" w:rsidRPr="006D55BE">
        <w:t xml:space="preserve">strong socioeconomic </w:t>
      </w:r>
      <w:r w:rsidR="00EB223F">
        <w:t>development</w:t>
      </w:r>
      <w:r w:rsidR="007333B2">
        <w:t xml:space="preserve"> and a</w:t>
      </w:r>
      <w:r w:rsidR="00EB223F">
        <w:t xml:space="preserve"> </w:t>
      </w:r>
      <w:r w:rsidR="00C61A8D" w:rsidRPr="006D55BE">
        <w:t xml:space="preserve">dense population. </w:t>
      </w:r>
      <w:r w:rsidR="005B3896" w:rsidRPr="006D55BE">
        <w:t xml:space="preserve">Rapid urbanization </w:t>
      </w:r>
      <w:r w:rsidR="003B74CB">
        <w:t xml:space="preserve">has </w:t>
      </w:r>
      <w:r w:rsidR="005B3896" w:rsidRPr="006D55BE">
        <w:t>result</w:t>
      </w:r>
      <w:r w:rsidR="003B74CB">
        <w:t>ed</w:t>
      </w:r>
      <w:r w:rsidR="005B3896" w:rsidRPr="006D55BE">
        <w:t xml:space="preserve"> in </w:t>
      </w:r>
      <w:r w:rsidR="00E710BA">
        <w:t>a</w:t>
      </w:r>
      <w:r w:rsidR="005B3896" w:rsidRPr="006D55BE">
        <w:t xml:space="preserve"> compact urban structure and limited physical spaces for natural </w:t>
      </w:r>
      <w:r w:rsidR="0032171F" w:rsidRPr="006D55BE">
        <w:t>environment</w:t>
      </w:r>
      <w:r w:rsidR="005B3896" w:rsidRPr="006D55BE">
        <w:t xml:space="preserve"> planning. </w:t>
      </w:r>
      <w:r w:rsidR="00E45B4E" w:rsidRPr="006D55BE">
        <w:t>Guangdong is regarded as the first-tier province</w:t>
      </w:r>
      <w:r w:rsidR="00CC5D81" w:rsidRPr="006D55BE">
        <w:t xml:space="preserve"> to focus on the ecological improvement by constructing various forms of green spaces </w:t>
      </w:r>
      <w:r w:rsidR="00CC5D81" w:rsidRPr="006D55BE">
        <w:fldChar w:fldCharType="begin" w:fldLock="1"/>
      </w:r>
      <w:r w:rsidR="00214A71" w:rsidRPr="006D55BE">
        <w:instrText>ADDIN CSL_CITATION {"citationItems":[{"id":"ITEM-1","itemData":{"DOI":"10.1016/j.chnaes.2016.12.002","abstract":"An ecological corridor, with both ecological and cultural functions, is a symbol of urban ecological or green civilization , and has therefore become one of the major topics in the fields of landscape ecology, urban ecology, and ecological planning. On the one hand, along with the prominent contradiction between regional ecological protection and economic development, as well as between the growing ecological demands of urban residents and the destruction of natural ecosystems, the construction of urban ecological corridors is very challenging. On the other hand, with contemporary urbanization and ecological civilization development, the standards and requirements for the construction of urban ecological corridors are set higher and higher. Constructing an urban ecological corridor is therefore particularly important, and must adopt a spatial approach that balances the relationship between ecological protection and economic development. In this study, the classification of urban ecological corridors was firstly conducted according to the structural or functional differences. Secondly, research progress on the construction of urban ecological corridors was systematically summarized and the main inadequacies were indicated. Following the analysis of the main methods employed in the construction of urban ecological corridors , existing methods were classified into three kinds, i.e. qualitative analysis, quantitative analysis, and spatial analysis. In addition, the advantages and disadvantages of the methods of subjective judgment, suitability and sensitivity analysis, network analysis, and minimum cost path analysis were compared. To provide theoretical support for the construction and management of urban ecological corridors, four key research directions were also pointed out, i.e. the identification of key nodes of urban ecological corridor, the determination of the width of urban ecological corridor, the measurement of integrated effect of urban ecological corridor, and the multi-scale integration of urban ecological corridor. The present study will aid in accelerating and improving the process of ecological corridors construction in China's new-type urbanization.","author":[{"dropping-particle":"","family":"Peng","given":"Jian","non-dropping-particle":"","parse-names":false,"suffix":""},{"dropping-particle":"","family":"Zhao","given":"Huijuan","non-dropping-particle":"","parse-names":false,"suffix":""},{"dropping-particle":"","family":"Liu","given":"Yan xu","non-dropping-particle":"","parse-names":false,"suffix":""}],"container-title":"Acta Ecologica Sinica","id":"ITEM-1","issue":"1","issued":{"date-parts":[["2017"]]},"page":"23-30","title":"Urban ecological corridors construction: A review","type":"article-journal","volume":"37"},"uris":["http://www.mendeley.com/documents/?uuid=9a647b63-4549-31da-8c7d-3b04a529fd1a"]}],"mendeley":{"formattedCitation":"(Peng, Zhao, &amp; Liu, 2017)","manualFormatting":"(Peng et al., 2017)","plainTextFormattedCitation":"(Peng, Zhao, &amp; Liu, 2017)","previouslyFormattedCitation":"(Peng, Zhao, &amp; Liu, 2017)"},"properties":{"noteIndex":0},"schema":"https://github.com/citation-style-language/schema/raw/master/csl-citation.json"}</w:instrText>
      </w:r>
      <w:r w:rsidR="00CC5D81" w:rsidRPr="006D55BE">
        <w:fldChar w:fldCharType="separate"/>
      </w:r>
      <w:r w:rsidR="00CC5D81" w:rsidRPr="006D55BE">
        <w:rPr>
          <w:noProof/>
        </w:rPr>
        <w:t>(Peng et al., 2017)</w:t>
      </w:r>
      <w:r w:rsidR="00CC5D81" w:rsidRPr="006D55BE">
        <w:fldChar w:fldCharType="end"/>
      </w:r>
      <w:r w:rsidR="00CC5D81" w:rsidRPr="006D55BE">
        <w:t xml:space="preserve">. </w:t>
      </w:r>
      <w:r w:rsidR="00451E05" w:rsidRPr="006D55BE">
        <w:t xml:space="preserve">However, with </w:t>
      </w:r>
      <w:r w:rsidR="00351625" w:rsidRPr="006D55BE">
        <w:t xml:space="preserve">ongoing extensive </w:t>
      </w:r>
      <w:r w:rsidR="00451E05" w:rsidRPr="006D55BE">
        <w:t xml:space="preserve">urban development, better planning of </w:t>
      </w:r>
      <w:r w:rsidR="00351625" w:rsidRPr="006D55BE">
        <w:t xml:space="preserve">urban </w:t>
      </w:r>
      <w:r w:rsidR="00451E05" w:rsidRPr="006D55BE">
        <w:t xml:space="preserve">natural </w:t>
      </w:r>
      <w:r w:rsidR="00351625" w:rsidRPr="006D55BE">
        <w:t>components</w:t>
      </w:r>
      <w:r w:rsidR="002244CE" w:rsidRPr="006D55BE">
        <w:t>,</w:t>
      </w:r>
      <w:r w:rsidR="00451E05" w:rsidRPr="006D55BE">
        <w:t xml:space="preserve"> such as GBSs</w:t>
      </w:r>
      <w:r w:rsidR="002244CE" w:rsidRPr="006D55BE">
        <w:t>,</w:t>
      </w:r>
      <w:r w:rsidR="00451E05" w:rsidRPr="006D55BE">
        <w:t xml:space="preserve"> </w:t>
      </w:r>
      <w:r w:rsidR="00351625" w:rsidRPr="006D55BE">
        <w:t>has</w:t>
      </w:r>
      <w:r w:rsidR="00451E05" w:rsidRPr="006D55BE">
        <w:t xml:space="preserve"> emerged as a new challenge, </w:t>
      </w:r>
      <w:r w:rsidR="00351625" w:rsidRPr="006D55BE">
        <w:t>particularly as human-centered urban planning is being prioritized.</w:t>
      </w:r>
      <w:r w:rsidR="005955F7" w:rsidRPr="006D55BE">
        <w:t xml:space="preserve"> Apart from quantity, the quality of GBSs for people usage is put on the agenda. </w:t>
      </w:r>
      <w:r w:rsidR="00E26203" w:rsidRPr="006D55BE">
        <w:t>Since 2009, Guangzhou and other 8 cities of Guangdong Provinc</w:t>
      </w:r>
      <w:r w:rsidR="000955A0" w:rsidRPr="006D55BE">
        <w:t>e, as well as the Hong Kong and Macau have been included in</w:t>
      </w:r>
      <w:r w:rsidRPr="006D55BE">
        <w:t xml:space="preserve"> the Guangdong-Hong Kong-Macau Greater Bay Area (GBA)</w:t>
      </w:r>
      <w:r w:rsidR="00140104" w:rsidRPr="006D55BE">
        <w:t xml:space="preserve"> </w:t>
      </w:r>
      <w:r w:rsidR="00D52BBA" w:rsidRPr="006D55BE">
        <w:t>which was a</w:t>
      </w:r>
      <w:r w:rsidR="00122FA6" w:rsidRPr="006D55BE">
        <w:t>n</w:t>
      </w:r>
      <w:r w:rsidRPr="006D55BE">
        <w:t xml:space="preserve"> initiative issued by the Chinese Government </w:t>
      </w:r>
      <w:r w:rsidRPr="006D55BE">
        <w:fldChar w:fldCharType="begin" w:fldLock="1"/>
      </w:r>
      <w:r w:rsidRPr="006D55BE">
        <w:instrText>ADDIN CSL_CITATION {"citationItems":[{"id":"ITEM-1","itemData":{"author":[{"dropping-particle":"","family":"The State Council of the PRC","given":"","non-dropping-particle":"","parse-names":false,"suffix":""}],"id":"ITEM-1","issued":{"date-parts":[["2019"]]},"title":"Outline Development Plan for the Guangdong-Hong Kong-Macao Greater Bay Area","type":"report"},"uris":["http://www.mendeley.com/documents/?uuid=fff9de15-94a4-4f73-8710-c40ec9ce0401"]}],"mendeley":{"formattedCitation":"(The State Council of the PRC, 2019)","plainTextFormattedCitation":"(The State Council of the PRC, 2019)","previouslyFormattedCitation":"(The State Council of the PRC, 2019)"},"properties":{"noteIndex":0},"schema":"https://github.com/citation-style-language/schema/raw/master/csl-citation.json"}</w:instrText>
      </w:r>
      <w:r w:rsidRPr="006D55BE">
        <w:fldChar w:fldCharType="separate"/>
      </w:r>
      <w:r w:rsidRPr="006D55BE">
        <w:rPr>
          <w:noProof/>
        </w:rPr>
        <w:t>(The State Council of the PRC, 2019)</w:t>
      </w:r>
      <w:r w:rsidRPr="006D55BE">
        <w:fldChar w:fldCharType="end"/>
      </w:r>
      <w:r w:rsidR="00D9528D" w:rsidRPr="006D55BE">
        <w:t>.</w:t>
      </w:r>
      <w:r w:rsidRPr="006D55BE">
        <w:t xml:space="preserve"> </w:t>
      </w:r>
      <w:r w:rsidR="00D9528D" w:rsidRPr="006D55BE">
        <w:t>A</w:t>
      </w:r>
      <w:r w:rsidRPr="006D55BE">
        <w:t>iming to intensify the regional integration and socio-economic co-development</w:t>
      </w:r>
      <w:r w:rsidR="00F258A7" w:rsidRPr="006D55BE">
        <w:t xml:space="preserve"> in the GBA</w:t>
      </w:r>
      <w:r w:rsidRPr="006D55BE">
        <w:t xml:space="preserve">, Guangzhou is </w:t>
      </w:r>
      <w:r w:rsidR="00091741" w:rsidRPr="006D55BE">
        <w:t>expect</w:t>
      </w:r>
      <w:r w:rsidR="000334F9" w:rsidRPr="006D55BE">
        <w:t>ed</w:t>
      </w:r>
      <w:r w:rsidR="00091741" w:rsidRPr="006D55BE">
        <w:t xml:space="preserve"> to </w:t>
      </w:r>
      <w:r w:rsidRPr="006D55BE">
        <w:t>experienc</w:t>
      </w:r>
      <w:r w:rsidR="00091741" w:rsidRPr="006D55BE">
        <w:t>e</w:t>
      </w:r>
      <w:r w:rsidRPr="006D55BE">
        <w:t xml:space="preserve"> great</w:t>
      </w:r>
      <w:r w:rsidR="00E6200E" w:rsidRPr="006D55BE">
        <w:t>er</w:t>
      </w:r>
      <w:r w:rsidRPr="006D55BE">
        <w:t xml:space="preserve"> variations in urban spatial structure. </w:t>
      </w:r>
      <w:r w:rsidR="001F20D3" w:rsidRPr="006D55BE">
        <w:t xml:space="preserve">The perspective of pedestrian walking is necessary </w:t>
      </w:r>
      <w:r w:rsidR="005B6141">
        <w:t>for</w:t>
      </w:r>
      <w:r w:rsidR="001F20D3" w:rsidRPr="006D55BE">
        <w:t xml:space="preserve"> GBSs planning for the city and even regional well-being. </w:t>
      </w:r>
      <w:r w:rsidRPr="006D55BE">
        <w:t xml:space="preserve">Guangzhou contains 11 administrative districts having uneven socio-economic conditions. </w:t>
      </w:r>
      <w:r w:rsidR="00E15055">
        <w:t>The c</w:t>
      </w:r>
      <w:r w:rsidR="008F5D7A" w:rsidRPr="006D55BE">
        <w:rPr>
          <w:rFonts w:eastAsiaTheme="minorEastAsia"/>
        </w:rPr>
        <w:t>ity centers are old urban districts including ‘</w:t>
      </w:r>
      <w:proofErr w:type="spellStart"/>
      <w:r w:rsidR="008F5D7A" w:rsidRPr="006D55BE">
        <w:rPr>
          <w:rFonts w:eastAsiaTheme="minorEastAsia"/>
        </w:rPr>
        <w:t>Baiyun</w:t>
      </w:r>
      <w:proofErr w:type="spellEnd"/>
      <w:r w:rsidR="008F5D7A" w:rsidRPr="006D55BE">
        <w:rPr>
          <w:rFonts w:eastAsiaTheme="minorEastAsia"/>
        </w:rPr>
        <w:t xml:space="preserve">’, </w:t>
      </w:r>
      <w:r w:rsidR="008F5D7A" w:rsidRPr="006D55BE">
        <w:rPr>
          <w:rFonts w:eastAsiaTheme="minorEastAsia"/>
        </w:rPr>
        <w:lastRenderedPageBreak/>
        <w:t>‘Huangpu’, ‘</w:t>
      </w:r>
      <w:proofErr w:type="spellStart"/>
      <w:r w:rsidR="008F5D7A" w:rsidRPr="006D55BE">
        <w:rPr>
          <w:rFonts w:eastAsiaTheme="minorEastAsia"/>
        </w:rPr>
        <w:t>Panyu</w:t>
      </w:r>
      <w:proofErr w:type="spellEnd"/>
      <w:r w:rsidR="008F5D7A" w:rsidRPr="006D55BE">
        <w:rPr>
          <w:rFonts w:eastAsiaTheme="minorEastAsia"/>
        </w:rPr>
        <w:t>’, ‘Yuexiu’, ‘Tianhe’, ‘</w:t>
      </w:r>
      <w:proofErr w:type="spellStart"/>
      <w:r w:rsidR="008F5D7A" w:rsidRPr="006D55BE">
        <w:rPr>
          <w:rFonts w:eastAsiaTheme="minorEastAsia"/>
        </w:rPr>
        <w:t>Haizhu</w:t>
      </w:r>
      <w:proofErr w:type="spellEnd"/>
      <w:r w:rsidR="008F5D7A" w:rsidRPr="006D55BE">
        <w:rPr>
          <w:rFonts w:eastAsiaTheme="minorEastAsia"/>
        </w:rPr>
        <w:t>’, and ‘</w:t>
      </w:r>
      <w:proofErr w:type="spellStart"/>
      <w:r w:rsidR="008F5D7A" w:rsidRPr="006D55BE">
        <w:rPr>
          <w:rFonts w:eastAsiaTheme="minorEastAsia"/>
        </w:rPr>
        <w:t>Liwan</w:t>
      </w:r>
      <w:proofErr w:type="spellEnd"/>
      <w:r w:rsidR="008F5D7A" w:rsidRPr="006D55BE">
        <w:rPr>
          <w:rFonts w:eastAsiaTheme="minorEastAsia"/>
        </w:rPr>
        <w:t>’ districts</w:t>
      </w:r>
      <w:r w:rsidR="005E2864" w:rsidRPr="006D55BE">
        <w:rPr>
          <w:rFonts w:eastAsiaTheme="minorEastAsia"/>
        </w:rPr>
        <w:t xml:space="preserve">. They are evolved from long-term variations in spatial configurations and </w:t>
      </w:r>
      <w:r w:rsidR="004B0C43">
        <w:rPr>
          <w:rFonts w:eastAsiaTheme="minorEastAsia"/>
        </w:rPr>
        <w:t xml:space="preserve">urban </w:t>
      </w:r>
      <w:r w:rsidR="005E2864" w:rsidRPr="006D55BE">
        <w:rPr>
          <w:rFonts w:eastAsiaTheme="minorEastAsia"/>
        </w:rPr>
        <w:t>functions, which are greatly influenced by and at the same time shape pedestrian moving behaviors.</w:t>
      </w:r>
      <w:r w:rsidR="00917A4D" w:rsidRPr="006D55BE">
        <w:rPr>
          <w:rFonts w:eastAsiaTheme="minorEastAsia"/>
        </w:rPr>
        <w:t xml:space="preserve"> In detail,</w:t>
      </w:r>
      <w:r w:rsidRPr="006D55BE">
        <w:t xml:space="preserve"> ‘Yuexiu’, ‘</w:t>
      </w:r>
      <w:proofErr w:type="spellStart"/>
      <w:r w:rsidRPr="006D55BE">
        <w:t>Liwan</w:t>
      </w:r>
      <w:proofErr w:type="spellEnd"/>
      <w:r w:rsidRPr="006D55BE">
        <w:t>’, ‘</w:t>
      </w:r>
      <w:proofErr w:type="spellStart"/>
      <w:r w:rsidRPr="006D55BE">
        <w:t>Haizhu</w:t>
      </w:r>
      <w:proofErr w:type="spellEnd"/>
      <w:r w:rsidRPr="006D55BE">
        <w:t>’, and ‘Tianhe’ districts</w:t>
      </w:r>
      <w:r w:rsidR="00917A4D" w:rsidRPr="006D55BE">
        <w:t xml:space="preserve"> </w:t>
      </w:r>
      <w:r w:rsidR="002244CE" w:rsidRPr="006D55BE">
        <w:t>are regarded as</w:t>
      </w:r>
      <w:r w:rsidRPr="006D55BE">
        <w:t xml:space="preserve"> the economic cores of the city. </w:t>
      </w:r>
      <w:r w:rsidR="00917A4D" w:rsidRPr="006D55BE">
        <w:rPr>
          <w:rFonts w:eastAsiaTheme="minorEastAsia"/>
        </w:rPr>
        <w:t>Outer districts are new</w:t>
      </w:r>
      <w:r w:rsidR="003D475B" w:rsidRPr="006D55BE">
        <w:rPr>
          <w:rFonts w:eastAsiaTheme="minorEastAsia"/>
        </w:rPr>
        <w:t xml:space="preserve">, </w:t>
      </w:r>
      <w:r w:rsidR="00917A4D" w:rsidRPr="006D55BE">
        <w:rPr>
          <w:rFonts w:eastAsiaTheme="minorEastAsia"/>
        </w:rPr>
        <w:t>including ‘</w:t>
      </w:r>
      <w:proofErr w:type="spellStart"/>
      <w:r w:rsidR="00917A4D" w:rsidRPr="006D55BE">
        <w:rPr>
          <w:rFonts w:eastAsiaTheme="minorEastAsia"/>
        </w:rPr>
        <w:t>Conghua</w:t>
      </w:r>
      <w:proofErr w:type="spellEnd"/>
      <w:r w:rsidR="00917A4D" w:rsidRPr="006D55BE">
        <w:rPr>
          <w:rFonts w:eastAsiaTheme="minorEastAsia"/>
        </w:rPr>
        <w:t>’, ‘</w:t>
      </w:r>
      <w:proofErr w:type="spellStart"/>
      <w:r w:rsidR="00917A4D" w:rsidRPr="006D55BE">
        <w:rPr>
          <w:rFonts w:eastAsiaTheme="minorEastAsia"/>
        </w:rPr>
        <w:t>Huadu</w:t>
      </w:r>
      <w:proofErr w:type="spellEnd"/>
      <w:r w:rsidR="00917A4D" w:rsidRPr="006D55BE">
        <w:rPr>
          <w:rFonts w:eastAsiaTheme="minorEastAsia"/>
        </w:rPr>
        <w:t>’, ‘</w:t>
      </w:r>
      <w:proofErr w:type="spellStart"/>
      <w:r w:rsidR="00917A4D" w:rsidRPr="006D55BE">
        <w:rPr>
          <w:rFonts w:eastAsiaTheme="minorEastAsia"/>
        </w:rPr>
        <w:t>Zengcheng</w:t>
      </w:r>
      <w:proofErr w:type="spellEnd"/>
      <w:r w:rsidR="00917A4D" w:rsidRPr="006D55BE">
        <w:rPr>
          <w:rFonts w:eastAsiaTheme="minorEastAsia"/>
        </w:rPr>
        <w:t>’ and ‘</w:t>
      </w:r>
      <w:proofErr w:type="spellStart"/>
      <w:r w:rsidR="00917A4D" w:rsidRPr="006D55BE">
        <w:rPr>
          <w:rFonts w:eastAsiaTheme="minorEastAsia"/>
        </w:rPr>
        <w:t>Nansha</w:t>
      </w:r>
      <w:proofErr w:type="spellEnd"/>
      <w:r w:rsidR="00917A4D" w:rsidRPr="006D55BE">
        <w:rPr>
          <w:rFonts w:eastAsiaTheme="minorEastAsia"/>
        </w:rPr>
        <w:t>’ districts</w:t>
      </w:r>
      <w:r w:rsidR="00917A4D" w:rsidRPr="006D55BE">
        <w:rPr>
          <w:rFonts w:eastAsiaTheme="minorEastAsia"/>
        </w:rPr>
        <w:t>，</w:t>
      </w:r>
      <w:r w:rsidR="00917A4D" w:rsidRPr="006D55BE">
        <w:rPr>
          <w:rFonts w:eastAsiaTheme="minorEastAsia"/>
        </w:rPr>
        <w:t>which are</w:t>
      </w:r>
      <w:r w:rsidR="007140B5" w:rsidRPr="006D55BE">
        <w:rPr>
          <w:rFonts w:eastAsiaTheme="minorEastAsia"/>
        </w:rPr>
        <w:t xml:space="preserve"> not</w:t>
      </w:r>
      <w:r w:rsidR="00917A4D" w:rsidRPr="006D55BE">
        <w:rPr>
          <w:rFonts w:eastAsiaTheme="minorEastAsia"/>
        </w:rPr>
        <w:t xml:space="preserve"> merged into the Guangzhou city until 2000. </w:t>
      </w:r>
      <w:r w:rsidRPr="006D55BE">
        <w:t xml:space="preserve">Changed urban structure in the city and heterogeneous urban configuration among districts influence the patterns of human movement in the urban system. Moreover, unevenly distributed </w:t>
      </w:r>
      <w:proofErr w:type="gramStart"/>
      <w:r w:rsidRPr="006D55BE">
        <w:t>green-spaces</w:t>
      </w:r>
      <w:proofErr w:type="gramEnd"/>
      <w:r w:rsidRPr="006D55BE">
        <w:t xml:space="preserve"> (Figure 2(b)) and blue-spaces (Figure 2(c)) can be observed. Particularly, the distribution of </w:t>
      </w:r>
      <w:proofErr w:type="gramStart"/>
      <w:r w:rsidR="005823A9" w:rsidRPr="006D55BE">
        <w:t>green-spaces</w:t>
      </w:r>
      <w:proofErr w:type="gramEnd"/>
      <w:r w:rsidR="005823A9" w:rsidRPr="006D55BE" w:rsidDel="005823A9">
        <w:t xml:space="preserve"> </w:t>
      </w:r>
      <w:r w:rsidRPr="006D55BE">
        <w:t>has distinct spatial clusters in some administrative districts, which implies different relationships between GBSs and human movement among districts. Thus, a challenge in Guangzhou is how to adjust GBSs planning to better fit the human daily movement for social benefit delivery.</w:t>
      </w:r>
      <w:r w:rsidR="007140B5" w:rsidRPr="006D55BE">
        <w:t xml:space="preserve"> To have</w:t>
      </w:r>
      <w:r w:rsidR="00675F50">
        <w:t xml:space="preserve"> a</w:t>
      </w:r>
      <w:r w:rsidR="007140B5" w:rsidRPr="006D55BE">
        <w:t xml:space="preserve"> more</w:t>
      </w:r>
      <w:r w:rsidR="00675F50">
        <w:t xml:space="preserve"> </w:t>
      </w:r>
      <w:r w:rsidR="007140B5" w:rsidRPr="006D55BE">
        <w:t>intuitive understand</w:t>
      </w:r>
      <w:r w:rsidR="000A05FC" w:rsidRPr="006D55BE">
        <w:t>ing</w:t>
      </w:r>
      <w:r w:rsidR="007140B5" w:rsidRPr="006D55BE">
        <w:t xml:space="preserve"> of GBSs in various urban spatial networks, a more detailed table has been provided</w:t>
      </w:r>
      <w:r w:rsidR="00317D4A" w:rsidRPr="006D55BE">
        <w:t xml:space="preserve"> (Table 1). </w:t>
      </w:r>
      <w:r w:rsidR="008E01BF" w:rsidRPr="006D55BE">
        <w:t xml:space="preserve">The GBSs in Guangzhou city are characterized as five categories based on different urban </w:t>
      </w:r>
      <w:r w:rsidR="00CE4EA5">
        <w:t>components</w:t>
      </w:r>
      <w:r w:rsidR="0030087D" w:rsidRPr="006D55BE">
        <w:t xml:space="preserve"> </w:t>
      </w:r>
      <w:r w:rsidR="0030087D" w:rsidRPr="006D55BE">
        <w:fldChar w:fldCharType="begin" w:fldLock="1"/>
      </w:r>
      <w:r w:rsidR="00E4783A" w:rsidRPr="006D55BE">
        <w:instrText>ADDIN CSL_CITATION {"citationItems":[{"id":"ITEM-1","itemData":{"abstract":"Este curso tem por objetivos oferecer uma visão geral da área de métodos formais para especificação de sistemas e dar uma introdução ao método de gramáticas de grafos. Este método de especificação pode ser utilizado para especificar uma grande variedade de sis- temas complexos, incluindo sistemas concorrentes e distrubuídos. A descrição utilizando grafos para representar estados e transformações de grafos para representar mudanças de estados é bastante intuitiva e ao mesmo tempo poderosa. Neste curso serao discutidas várias aplicações de gramáticas de grafos. Atenção especial será dada à especificação de sistemas concorrentes e distribuídos, que podem ser modelados de forma simples e elegante usando gramática de grafos.","author":[{"dropping-particle":"","family":"Lynch","given":"Kevin","non-dropping-particle":"","parse-names":false,"suffix":""}],"id":"ITEM-1","issued":{"date-parts":[["1960"]]},"publisher":"MIT press","title":"The image of the city","type":"book"},"uris":["http://www.mendeley.com/documents/?uuid=c38b2dda-e743-4a8d-b59e-4b031647e373"]}],"mendeley":{"formattedCitation":"(Lynch, 1960)","plainTextFormattedCitation":"(Lynch, 1960)","previouslyFormattedCitation":"(Lynch, 1960)"},"properties":{"noteIndex":0},"schema":"https://github.com/citation-style-language/schema/raw/master/csl-citation.json"}</w:instrText>
      </w:r>
      <w:r w:rsidR="0030087D" w:rsidRPr="006D55BE">
        <w:fldChar w:fldCharType="separate"/>
      </w:r>
      <w:r w:rsidR="0030087D" w:rsidRPr="006D55BE">
        <w:rPr>
          <w:noProof/>
        </w:rPr>
        <w:t>(Lynch, 1960)</w:t>
      </w:r>
      <w:r w:rsidR="0030087D" w:rsidRPr="006D55BE">
        <w:fldChar w:fldCharType="end"/>
      </w:r>
      <w:r w:rsidR="008E01BF" w:rsidRPr="006D55BE">
        <w:t>, including GBSs close to streets, GBSs as spatial edge</w:t>
      </w:r>
      <w:r w:rsidR="005354B0">
        <w:t>s</w:t>
      </w:r>
      <w:r w:rsidR="008E01BF" w:rsidRPr="006D55BE">
        <w:t xml:space="preserve"> (e.g., rivers), GBSs as district</w:t>
      </w:r>
      <w:r w:rsidR="005354B0">
        <w:t>s</w:t>
      </w:r>
      <w:r w:rsidR="008E01BF" w:rsidRPr="006D55BE">
        <w:t xml:space="preserve"> (e.g., large-scale wetland), GBSs close to urban node</w:t>
      </w:r>
      <w:r w:rsidR="005354B0">
        <w:t>s</w:t>
      </w:r>
      <w:r w:rsidR="008E01BF" w:rsidRPr="006D55BE">
        <w:t xml:space="preserve"> (e.g., green spaces attached to </w:t>
      </w:r>
      <w:r w:rsidR="00391ED8">
        <w:t>commercial</w:t>
      </w:r>
      <w:r w:rsidR="008E01BF" w:rsidRPr="006D55BE">
        <w:t xml:space="preserve"> areas), and GBSs close to landmark</w:t>
      </w:r>
      <w:r w:rsidR="005354B0">
        <w:t>s</w:t>
      </w:r>
      <w:r w:rsidR="008E01BF" w:rsidRPr="006D55BE">
        <w:t xml:space="preserve"> (e.g., green spaces around the tower). The functions of various categories of GBSs and their potential accessibility, visibility, and intelligibility are also described in Table 1.</w:t>
      </w:r>
    </w:p>
    <w:p w14:paraId="07E830E2" w14:textId="26D528E6" w:rsidR="00464F5B" w:rsidRPr="006D55BE" w:rsidRDefault="00464F5B" w:rsidP="00B43941">
      <w:pPr>
        <w:pStyle w:val="Heading2"/>
        <w:spacing w:before="163" w:after="163"/>
        <w:rPr>
          <w:rFonts w:eastAsiaTheme="minorEastAsia"/>
        </w:rPr>
      </w:pPr>
      <w:r w:rsidRPr="006D55BE">
        <w:rPr>
          <w:rFonts w:eastAsiaTheme="minorEastAsia"/>
        </w:rPr>
        <w:t>3.2 Analyzing AVI indicators of GBSs</w:t>
      </w:r>
    </w:p>
    <w:p w14:paraId="71A7FEE1" w14:textId="77777777" w:rsidR="00464F5B" w:rsidRPr="006D55BE" w:rsidRDefault="00464F5B" w:rsidP="00464F5B">
      <w:pPr>
        <w:pStyle w:val="Heading3"/>
        <w:spacing w:before="163" w:after="163"/>
        <w:rPr>
          <w:rFonts w:eastAsiaTheme="minorEastAsia"/>
        </w:rPr>
      </w:pPr>
      <w:r w:rsidRPr="006D55BE">
        <w:rPr>
          <w:rFonts w:eastAsiaTheme="minorEastAsia"/>
        </w:rPr>
        <w:t>3.2.1 AVI Measurements using spatial design network analysis</w:t>
      </w:r>
    </w:p>
    <w:p w14:paraId="16DBCB93" w14:textId="21A34DAA" w:rsidR="00650572" w:rsidRPr="006D55BE" w:rsidRDefault="002E4450" w:rsidP="00E213A2">
      <w:pPr>
        <w:spacing w:after="163"/>
        <w:ind w:firstLine="420"/>
      </w:pPr>
      <w:r w:rsidRPr="006D55BE">
        <w:rPr>
          <w:rFonts w:eastAsiaTheme="minorEastAsia"/>
        </w:rPr>
        <w:t>Spatial design network analysis (</w:t>
      </w:r>
      <w:proofErr w:type="spellStart"/>
      <w:r w:rsidRPr="006D55BE">
        <w:rPr>
          <w:rFonts w:eastAsiaTheme="minorEastAsia"/>
        </w:rPr>
        <w:t>sDNA</w:t>
      </w:r>
      <w:proofErr w:type="spellEnd"/>
      <w:r w:rsidRPr="006D55BE">
        <w:rPr>
          <w:rFonts w:eastAsiaTheme="minorEastAsia"/>
        </w:rPr>
        <w:t>) (</w:t>
      </w:r>
      <w:hyperlink r:id="rId9" w:history="1">
        <w:r w:rsidRPr="006D55BE">
          <w:rPr>
            <w:rStyle w:val="Hyperlink"/>
            <w:rFonts w:eastAsiaTheme="minorEastAsia"/>
            <w:color w:val="auto"/>
            <w:u w:val="none"/>
          </w:rPr>
          <w:t>https://sdna.cardiff.ac.uk/sdna/</w:t>
        </w:r>
      </w:hyperlink>
      <w:r w:rsidRPr="006D55BE">
        <w:rPr>
          <w:rFonts w:eastAsiaTheme="minorEastAsia"/>
        </w:rPr>
        <w:t xml:space="preserve">) was used for spatial network analysis in terms of </w:t>
      </w:r>
      <w:r w:rsidR="004B1C1B" w:rsidRPr="006D55BE">
        <w:rPr>
          <w:rFonts w:eastAsiaTheme="minorEastAsia"/>
        </w:rPr>
        <w:t>accessibility, visibility, and intelligibility (AVI)</w:t>
      </w:r>
      <w:r w:rsidRPr="006D55BE">
        <w:rPr>
          <w:rFonts w:eastAsiaTheme="minorEastAsia"/>
        </w:rPr>
        <w:t xml:space="preserve"> in urban spaces. </w:t>
      </w:r>
      <w:proofErr w:type="spellStart"/>
      <w:r w:rsidR="009343A5" w:rsidRPr="006D55BE">
        <w:rPr>
          <w:rFonts w:eastAsiaTheme="minorEastAsia"/>
        </w:rPr>
        <w:t>sDNA</w:t>
      </w:r>
      <w:proofErr w:type="spellEnd"/>
      <w:r w:rsidR="009343A5" w:rsidRPr="006D55BE">
        <w:rPr>
          <w:rFonts w:eastAsiaTheme="minorEastAsia"/>
        </w:rPr>
        <w:t xml:space="preserve"> and space syntax share </w:t>
      </w:r>
      <w:r w:rsidR="001D00B1" w:rsidRPr="006D55BE">
        <w:rPr>
          <w:rFonts w:eastAsiaTheme="minorEastAsia"/>
        </w:rPr>
        <w:t>a</w:t>
      </w:r>
      <w:r w:rsidR="009343A5" w:rsidRPr="006D55BE">
        <w:rPr>
          <w:rFonts w:eastAsiaTheme="minorEastAsia"/>
        </w:rPr>
        <w:t xml:space="preserve"> similar principle through characterizing spatial configurations into the graphs consisting of points and linear features </w:t>
      </w:r>
      <w:r w:rsidR="009343A5" w:rsidRPr="006D55BE">
        <w:rPr>
          <w:rFonts w:eastAsiaTheme="minorEastAsia"/>
        </w:rPr>
        <w:fldChar w:fldCharType="begin" w:fldLock="1"/>
      </w:r>
      <w:r w:rsidR="009F06FB" w:rsidRPr="006D55BE">
        <w:rPr>
          <w:rFonts w:eastAsiaTheme="minorEastAsia"/>
        </w:rPr>
        <w:instrText>ADDIN CSL_CITATION {"citationItems":[{"id":"ITEM-1","itemData":{"abstract":"The encoding of cities into non-planar dual graphs reveals their complex structure. We investigate the statistics of the typical space syntax measures for the five different compact urban patterns. Universal statistical behavior of space syntax measures uncovers the universality of the city creation mechanism.","author":[{"dropping-particle":"","family":"Volchenkov","given":"D","non-dropping-particle":"","parse-names":false,"suffix":""},{"dropping-particle":"","family":"Blanchard","given":"Ph","non-dropping-particle":"","parse-names":false,"suffix":""}],"container-title":"Phys Soc, ArXiv","id":"ITEM-1","issued":{"date-parts":[["2007"]]},"page":"1-24","title":"City Space Syntax as a Complex Network","type":"article-journal"},"uris":["http://www.mendeley.com/documents/?uuid=e5f0f8b6-99f8-38de-a7f0-36bd93c851d5"]}],"mendeley":{"formattedCitation":"(Volchenkov &amp; Blanchard, 2007)","plainTextFormattedCitation":"(Volchenkov &amp; Blanchard, 2007)","previouslyFormattedCitation":"(Volchenkov &amp; Blanchard, 2007)"},"properties":{"noteIndex":0},"schema":"https://github.com/citation-style-language/schema/raw/master/csl-citation.json"}</w:instrText>
      </w:r>
      <w:r w:rsidR="009343A5" w:rsidRPr="006D55BE">
        <w:rPr>
          <w:rFonts w:eastAsiaTheme="minorEastAsia"/>
        </w:rPr>
        <w:fldChar w:fldCharType="separate"/>
      </w:r>
      <w:r w:rsidR="009343A5" w:rsidRPr="006D55BE">
        <w:rPr>
          <w:rFonts w:eastAsiaTheme="minorEastAsia"/>
          <w:noProof/>
        </w:rPr>
        <w:t>(Volchenkov &amp; Blanchard, 2007)</w:t>
      </w:r>
      <w:r w:rsidR="009343A5" w:rsidRPr="006D55BE">
        <w:rPr>
          <w:rFonts w:eastAsiaTheme="minorEastAsia"/>
        </w:rPr>
        <w:fldChar w:fldCharType="end"/>
      </w:r>
      <w:r w:rsidR="009343A5" w:rsidRPr="006D55BE">
        <w:rPr>
          <w:rFonts w:eastAsiaTheme="minorEastAsia"/>
        </w:rPr>
        <w:t xml:space="preserve">. </w:t>
      </w:r>
      <w:r w:rsidR="001A5E6D" w:rsidRPr="006D55BE">
        <w:rPr>
          <w:rFonts w:eastAsiaTheme="minorEastAsia"/>
        </w:rPr>
        <w:t>In other words,</w:t>
      </w:r>
      <w:r w:rsidR="00F05DA6" w:rsidRPr="006D55BE">
        <w:rPr>
          <w:rFonts w:eastAsiaTheme="minorEastAsia"/>
        </w:rPr>
        <w:t xml:space="preserve"> </w:t>
      </w:r>
      <w:proofErr w:type="spellStart"/>
      <w:r w:rsidR="00F05DA6" w:rsidRPr="006D55BE">
        <w:rPr>
          <w:rFonts w:eastAsiaTheme="minorEastAsia"/>
        </w:rPr>
        <w:t>sDNA</w:t>
      </w:r>
      <w:proofErr w:type="spellEnd"/>
      <w:r w:rsidR="00F05DA6" w:rsidRPr="006D55BE">
        <w:rPr>
          <w:rFonts w:eastAsiaTheme="minorEastAsia"/>
        </w:rPr>
        <w:t xml:space="preserve"> can measure</w:t>
      </w:r>
      <w:r w:rsidR="001A5E6D" w:rsidRPr="006D55BE">
        <w:rPr>
          <w:rFonts w:eastAsiaTheme="minorEastAsia"/>
        </w:rPr>
        <w:t xml:space="preserve"> the </w:t>
      </w:r>
      <w:r w:rsidR="00F05DA6" w:rsidRPr="006D55BE">
        <w:rPr>
          <w:rFonts w:eastAsiaTheme="minorEastAsia"/>
        </w:rPr>
        <w:t xml:space="preserve">AVI framework developed based on space syntax theory. </w:t>
      </w:r>
      <w:r w:rsidR="004B1C1B" w:rsidRPr="006D55BE">
        <w:rPr>
          <w:rFonts w:eastAsiaTheme="minorEastAsia"/>
        </w:rPr>
        <w:t xml:space="preserve">Moreover, one of the distinctions of </w:t>
      </w:r>
      <w:proofErr w:type="spellStart"/>
      <w:r w:rsidR="004B1C1B" w:rsidRPr="006D55BE">
        <w:rPr>
          <w:rFonts w:eastAsiaTheme="minorEastAsia"/>
        </w:rPr>
        <w:t>sDNA</w:t>
      </w:r>
      <w:proofErr w:type="spellEnd"/>
      <w:r w:rsidR="004B1C1B" w:rsidRPr="006D55BE">
        <w:rPr>
          <w:rFonts w:eastAsiaTheme="minorEastAsia"/>
        </w:rPr>
        <w:t xml:space="preserve"> is that it can </w:t>
      </w:r>
      <w:r w:rsidR="00C96B3E" w:rsidRPr="006D55BE">
        <w:rPr>
          <w:rFonts w:eastAsiaTheme="minorEastAsia"/>
        </w:rPr>
        <w:t xml:space="preserve">model localized configurational characteristics within the user-specified radius </w:t>
      </w:r>
      <w:r w:rsidR="00C96B3E" w:rsidRPr="006D55BE">
        <w:fldChar w:fldCharType="begin" w:fldLock="1"/>
      </w:r>
      <w:r w:rsidR="00853057" w:rsidRPr="006D55BE">
        <w:instrText>ADDIN CSL_CITATION {"citationItems":[{"id":"ITEM-1","itemData":{"DOI":"10.1016/j.landurbplan.2015.06.013","ISSN":"01692046","abstract":"In recent years, a series of studies have highlighted the positive effects of urban green on individual activity behaviour and health. In this paper, we examine salutogenic environment effects of urban green upon walking behaviour and how such effects are mediated by built environment configuration and street-level physical accessibility. The dwelling locations of N=. 15,354 respondents of the London Travel Demand Survey were geocoded and individual walking behaviour was extracted from the travel diary. A 0.5-m resolution normalized difference vegetation (NDVI) index derived from spectral reflectance measurements in remotely sensed colour infrared data was employed as an objective measure of greenness, while density of street trees acted as proxy of perceived environmental quality in street corridors. A network model of street-level physical accessibility was developed using spatial Design Network Analysis (sDNA). Logistic regression models reported a significant association of odds of walking with density of street trees and street-level betweenness (a measure of street network connectivity), while sensitivity analyses with continuous regression models for participants doing some walking indicated beneficial associations of distance walked with NDVI greenness and street trees. The results illustrate the necessity for targeted intervention strategies in activity-friendly planning via greening and optimized physical design of urban built environments.","author":[{"dropping-particle":"","family":"Sarkar","given":"Chinmoy","non-dropping-particle":"","parse-names":false,"suffix":""},{"dropping-particle":"","family":"Webster","given":"Chris","non-dropping-particle":"","parse-names":false,"suffix":""},{"dropping-particle":"","family":"Pryor","given":"Matthew","non-dropping-particle":"","parse-names":false,"suffix":""},{"dropping-particle":"","family":"Tang","given":"Dorothy","non-dropping-particle":"","parse-names":false,"suffix":""},{"dropping-particle":"","family":"Melbourne","given":"Scott","non-dropping-particle":"","parse-names":false,"suffix":""},{"dropping-particle":"","family":"Zhang","given":"Xiaohu","non-dropping-particle":"","parse-names":false,"suffix":""},{"dropping-particle":"","family":"Jianzheng","given":"Liu","non-dropping-particle":"","parse-names":false,"suffix":""}],"container-title":"Landscape and Urban Planning","id":"ITEM-1","issued":{"date-parts":[["2015"]]},"page":"112-125","publisher":"Elsevier","title":"Exploring associations between urban green, street design and walking: Results from the Greater London boroughs","type":"article-journal","volume":"143"},"uris":["http://www.mendeley.com/documents/?uuid=60fb2762-8d66-3414-a3b0-7708f5218367"]}],"mendeley":{"formattedCitation":"(Sarkar et al., 2015)","plainTextFormattedCitation":"(Sarkar et al., 2015)","previouslyFormattedCitation":"(Sarkar et al., 2015)"},"properties":{"noteIndex":0},"schema":"https://github.com/citation-style-language/schema/raw/master/csl-citation.json"}</w:instrText>
      </w:r>
      <w:r w:rsidR="00C96B3E" w:rsidRPr="006D55BE">
        <w:fldChar w:fldCharType="separate"/>
      </w:r>
      <w:r w:rsidR="00C96B3E" w:rsidRPr="006D55BE">
        <w:rPr>
          <w:noProof/>
        </w:rPr>
        <w:t>(Sarkar et al., 2015)</w:t>
      </w:r>
      <w:r w:rsidR="00C96B3E" w:rsidRPr="006D55BE">
        <w:fldChar w:fldCharType="end"/>
      </w:r>
      <w:r w:rsidR="008E7CDA" w:rsidRPr="006D55BE">
        <w:t xml:space="preserve">, in the platforms of </w:t>
      </w:r>
      <w:r w:rsidR="008E7CDA" w:rsidRPr="006D55BE">
        <w:rPr>
          <w:rFonts w:eastAsiaTheme="minorEastAsia"/>
        </w:rPr>
        <w:t xml:space="preserve">ArcGIS/QGIS/AutoCAD as well as Python/command line </w:t>
      </w:r>
      <w:r w:rsidR="008E7CDA" w:rsidRPr="006D55BE">
        <w:rPr>
          <w:rFonts w:eastAsiaTheme="minorEastAsia"/>
        </w:rPr>
        <w:fldChar w:fldCharType="begin" w:fldLock="1"/>
      </w:r>
      <w:r w:rsidR="00C07A19" w:rsidRPr="006D55BE">
        <w:rPr>
          <w:rFonts w:eastAsiaTheme="minorEastAsia"/>
        </w:rPr>
        <w:instrText>ADDIN CSL_CITATION {"citationItems":[{"id":"ITEM-1","itemData":{"DOI":"10.1016/j.softx.2020.100525","ISSN":"23527110","abstract":"Spatial Design Network Analysis (sDNA) is a toolbox for 3-d spatial network analysis, especially street/path/urban network analysis, motivated by a need to use network links as the principal unit of analysis in order to analyse existing network data. sDNA is usable from QGIS &amp; ArcGIS geographic information systems, AutoCAD, the command line, and via its own Python API. It computes measures of accessibility (reach, mean distance/closeness centrality, gravity), flows (bidirectional betweenness centrality) and efficiency (circuity) as well as convex hull properties, localised within lower- and upper-bounded radial bands. Weighting is flexible and can make use of geometric properties, data attached to links, zones, matrices or combinations of the above. Motivated by a desire to base network analysis on route choice and spatial cognition, the definition of distance can be network-Euclidean, angular, a mixture of both, custom, or specific to cyclists (avoiding slope and motorised traffic). In addition to statistics on network links, the following outputs can be computed: geodesics, network buffers, accessibility maps, convex hulls, flow bundles and skim matrices. Further tools assist with network preparation and calibration of network models to observed data. To date, sDNA has been used mainly for urban network analysis both by academics and city planners/engineers, for tasks including prediction of pedestrian, cyclist, vehicle and metro flows and mode choice; also quantification of the built environment for epidemiology and urban planning &amp; design.","author":[{"dropping-particle":"","family":"Cooper","given":"Crispin H.V.","non-dropping-particle":"","parse-names":false,"suffix":""},{"dropping-particle":"","family":"Chiaradia","given":"Alain J.F.","non-dropping-particle":"","parse-names":false,"suffix":""}],"container-title":"SoftwareX","id":"ITEM-1","issued":{"date-parts":[["2020"]]},"page":"100525","publisher":"Elsevier B.V.","title":"sDNA: 3-d spatial network analysis for GIS, CAD, Command Line &amp; Python","type":"article-journal","volume":"12"},"uris":["http://www.mendeley.com/documents/?uuid=2e4ef951-28a2-4532-9f6a-1849eb586af5"]}],"mendeley":{"formattedCitation":"(C. H. V. Cooper &amp; Chiaradia, 2020)","manualFormatting":"(Cooper &amp; Chiaradia, 2020)","plainTextFormattedCitation":"(C. H. V. Cooper &amp; Chiaradia, 2020)","previouslyFormattedCitation":"(C. H. V. Cooper &amp; Chiaradia, 2020)"},"properties":{"noteIndex":0},"schema":"https://github.com/citation-style-language/schema/raw/master/csl-citation.json"}</w:instrText>
      </w:r>
      <w:r w:rsidR="008E7CDA" w:rsidRPr="006D55BE">
        <w:rPr>
          <w:rFonts w:eastAsiaTheme="minorEastAsia"/>
        </w:rPr>
        <w:fldChar w:fldCharType="separate"/>
      </w:r>
      <w:r w:rsidR="009E3D63" w:rsidRPr="006D55BE">
        <w:rPr>
          <w:rFonts w:eastAsiaTheme="minorEastAsia"/>
          <w:noProof/>
        </w:rPr>
        <w:t>(Cooper &amp; Chiaradia, 2020)</w:t>
      </w:r>
      <w:r w:rsidR="008E7CDA" w:rsidRPr="006D55BE">
        <w:rPr>
          <w:rFonts w:eastAsiaTheme="minorEastAsia"/>
        </w:rPr>
        <w:fldChar w:fldCharType="end"/>
      </w:r>
      <w:r w:rsidR="008E7CDA" w:rsidRPr="006D55BE">
        <w:rPr>
          <w:rFonts w:eastAsiaTheme="minorEastAsia"/>
        </w:rPr>
        <w:t xml:space="preserve">. </w:t>
      </w:r>
      <w:r w:rsidR="00636A2F" w:rsidRPr="006D55BE">
        <w:rPr>
          <w:rFonts w:eastAsiaTheme="minorEastAsia"/>
        </w:rPr>
        <w:t xml:space="preserve">Using different </w:t>
      </w:r>
      <w:r w:rsidR="00753A55" w:rsidRPr="006D55BE">
        <w:rPr>
          <w:rFonts w:eastAsiaTheme="minorEastAsia"/>
        </w:rPr>
        <w:t>radii</w:t>
      </w:r>
      <w:r w:rsidR="00636A2F" w:rsidRPr="006D55BE">
        <w:rPr>
          <w:rFonts w:eastAsiaTheme="minorEastAsia"/>
        </w:rPr>
        <w:t xml:space="preserve">, </w:t>
      </w:r>
      <w:r w:rsidR="00753A55" w:rsidRPr="006D55BE">
        <w:t>t</w:t>
      </w:r>
      <w:r w:rsidR="00636A2F" w:rsidRPr="006D55BE">
        <w:t xml:space="preserve">wo-scale measurements can be achieved in </w:t>
      </w:r>
      <w:proofErr w:type="spellStart"/>
      <w:r w:rsidR="00636A2F" w:rsidRPr="006D55BE">
        <w:t>sDNA</w:t>
      </w:r>
      <w:proofErr w:type="spellEnd"/>
      <w:r w:rsidR="00636A2F" w:rsidRPr="006D55BE">
        <w:t xml:space="preserve">, including local and city scales. City-scale analyses identified spatial configurations over the urban system in </w:t>
      </w:r>
      <w:r w:rsidR="00A47979" w:rsidRPr="006D55BE">
        <w:t xml:space="preserve">the </w:t>
      </w:r>
      <w:r w:rsidR="00636A2F" w:rsidRPr="006D55BE">
        <w:t xml:space="preserve">whole city, while local-scale analyses focused on the sub-areas with a given radius </w:t>
      </w:r>
      <w:r w:rsidR="00636A2F" w:rsidRPr="006D55BE">
        <w:fldChar w:fldCharType="begin" w:fldLock="1"/>
      </w:r>
      <w:r w:rsidR="00636A2F" w:rsidRPr="006D55BE">
        <w:instrText>ADDIN CSL_CITATION {"citationItems":[{"id":"ITEM-1","itemData":{"DOI":"10.1016/j.cities.2009.12.006","abstract":"Cities are like living organisms going through constant change and transformations. This condition has demanded the development of suitable and adaptive design solutions that require the full consideration of the spatial continuity of the city, its physical and social peculiarities, user needs, and desire for safe and healthy communities. In addition, architects and designers need to be familiar with the developmental stages of the city, including components that may have disappeared over time. It is therefore necessary to read different segments that constitute the city to reveal its historical, cultural, social, physical and symbolic features. The aim of this study was to implement a methodology: (1) to determine the social and physical problems of a historical urban space and subsequently (2) to offer recommendations that attempt to improve the identified problems. The South Haliç Area in Istanbul was chosen as the case study because of its historical and cultural significance and the importance that should be placed on its preservation for future generations. We relied on the space-syntax methodology to analyze the area and offer a number of design interventions. These recommendations were evaluated using the same methodology to illustrate the degree to which they would improve upon the current conditions. Introduction-reading the city Cities are like living organisms going through constant change and transformations. This condition has demanded the development of suitable and adaptive design solutions that require the full consideration of the spatial continuity of the city, its physical and social peculiarities, user needs, and desire for safe and healthy communities. In addition, architects and designers need to be familiar with the developmental stages of the city, including components that may have disappeared over time. It is therefore necessary to read different segments that constitute the city to reveal its historical, cultural, social, physical and symbolic features. Yücel (1979) emphasises that it is necessary to make some abstractions in order to handle the space conceptually and theoretically , addressing architectural theories on this subject in three categories. The first one is the functional approach which means that the realities of economic, cultural, historical, technological, ecological and social practices are sufficiently understood, in order to provide reasonable explanation of the spatial environment. The second involves pla…","author":[{"dropping-particle":"","family":"Önder","given":"Deniz Erinsel","non-dropping-particle":"","parse-names":false,"suffix":""},{"dropping-particle":"","family":"Gigi","given":"Yıldırım","non-dropping-particle":"","parse-names":false,"suffix":""}],"container-title":"Cities","id":"ITEM-1","issue":"4","issued":{"date-parts":[["2010"]]},"page":"260-271","publisher":"Abu-Obeid","title":"Reading urban spaces by the space-syntax method: A proposal for the South Haliç Region","type":"article-journal","volume":"27"},"uris":["http://www.mendeley.com/documents/?uuid=cc82eb89-86e8-333c-b8e4-30a0d3779612"]}],"mendeley":{"formattedCitation":"(Önder &amp; Gigi, 2010)","plainTextFormattedCitation":"(Önder &amp; Gigi, 2010)","previouslyFormattedCitation":"(Önder &amp; Gigi, 2010)"},"properties":{"noteIndex":0},"schema":"https://github.com/citation-style-language/schema/raw/master/csl-citation.json"}</w:instrText>
      </w:r>
      <w:r w:rsidR="00636A2F" w:rsidRPr="006D55BE">
        <w:fldChar w:fldCharType="separate"/>
      </w:r>
      <w:r w:rsidR="00636A2F" w:rsidRPr="006D55BE">
        <w:rPr>
          <w:noProof/>
        </w:rPr>
        <w:t>(Önder &amp; Gigi, 2010)</w:t>
      </w:r>
      <w:r w:rsidR="00636A2F" w:rsidRPr="006D55BE">
        <w:fldChar w:fldCharType="end"/>
      </w:r>
      <w:r w:rsidR="00636A2F" w:rsidRPr="006D55BE">
        <w:t xml:space="preserve">. For this study, we defined local scale based on an initiative of the ‘15-min walkable neighborhoods’ advocated by </w:t>
      </w:r>
      <w:r w:rsidR="003E5D93" w:rsidRPr="006D55BE">
        <w:t xml:space="preserve">a </w:t>
      </w:r>
      <w:r w:rsidR="00636A2F" w:rsidRPr="006D55BE">
        <w:t xml:space="preserve">Chinese </w:t>
      </w:r>
      <w:r w:rsidR="003E5D93" w:rsidRPr="006D55BE">
        <w:t>national standard (The Standard for urban residential area planning and design (GB 50180–2018))</w:t>
      </w:r>
      <w:r w:rsidR="00636A2F" w:rsidRPr="006D55BE">
        <w:t xml:space="preserve">. This initiative aims to improve community GBSs for human usage. Based on average walking speed, an empirical value corresponding to 15-min walking distance is 1200 meters </w:t>
      </w:r>
      <w:r w:rsidR="00636A2F" w:rsidRPr="006D55BE">
        <w:fldChar w:fldCharType="begin" w:fldLock="1"/>
      </w:r>
      <w:r w:rsidR="00FA2C2A" w:rsidRPr="006D55BE">
        <w:instrText>ADDIN CSL_CITATION {"citationItems":[{"id":"ITEM-1","itemData":{"DOI":"10.3390/su10113879","ISSN":"20711050","abstract":"In the age of rapid motorization, walking, as both a green travelling mode and the most common form of daily physical activity, has been given increasing attention in Chinese metropolises. Walkability describes the extent to which a neighborhood environment is walking-friendly and recently has been regarded as a potential impetus for inflated housing prices. In this paper, we develop a walkability measurement model considering residents' usage characteristics of the amenity, which incorporates three key factors: (1) amenity usage frequency; (2) amenity selection diversity; (3) the distance decay effect. Accordingly, we employ the proposed method to the case of Nanjing City and identify a clear spatial pattern of spatial heterogeneity in walkability among the 4143 dwelling areas within it. The experimental results suggest that the distribution of the residential walkability score varied greatly within Nanjing. It can be seen that dwelling areas with a high walkability score were clustered in the urban central regions and most dwelling areas showed a low walkability. Then, we utilized the hedonic price model to explore the correlation between neighborhood walkability and housing prices. The results show that the effects of community walkability on housing prices were statistically significant in Nanjing. Thus, we can infer that high walkability communities generally have concentrated rich amenity resources, and consequently have high property values.","author":[{"dropping-particle":"","family":"Xia","given":"Zelong","non-dropping-particle":"","parse-names":false,"suffix":""},{"dropping-particle":"","family":"Li","given":"Hao","non-dropping-particle":"","parse-names":false,"suffix":""},{"dropping-particle":"","family":"Chen","given":"Yuehong","non-dropping-particle":"","parse-names":false,"suffix":""}],"container-title":"Sustainability (Switzerland)","id":"ITEM-1","issue":"11","issued":{"date-parts":[["2018","10","25"]]},"page":"3879","publisher":"MDPI AG","title":"Assessing neighborhood walkability based on usage characteristics of Amenities under Chinese metropolises context","type":"article-journal","volume":"10"},"uris":["http://www.mendeley.com/documents/?uuid=747c2bc4-eca2-33f2-a774-d85c6cb2943a"]}],"mendeley":{"formattedCitation":"(Xia, Li, &amp; Chen, 2018)","manualFormatting":"(Xia et al., 2018)","plainTextFormattedCitation":"(Xia, Li, &amp; Chen, 2018)","previouslyFormattedCitation":"(Xia, Li, &amp; Chen, 2018)"},"properties":{"noteIndex":0},"schema":"https://github.com/citation-style-language/schema/raw/master/csl-citation.json"}</w:instrText>
      </w:r>
      <w:r w:rsidR="00636A2F" w:rsidRPr="006D55BE">
        <w:fldChar w:fldCharType="separate"/>
      </w:r>
      <w:r w:rsidR="00636A2F" w:rsidRPr="006D55BE">
        <w:rPr>
          <w:noProof/>
        </w:rPr>
        <w:t>(Xia et al., 2018)</w:t>
      </w:r>
      <w:r w:rsidR="00636A2F" w:rsidRPr="006D55BE">
        <w:fldChar w:fldCharType="end"/>
      </w:r>
      <w:r w:rsidR="00636A2F" w:rsidRPr="006D55BE">
        <w:t xml:space="preserve">. Hence, </w:t>
      </w:r>
      <w:r w:rsidR="0082252D" w:rsidRPr="006D55BE">
        <w:t xml:space="preserve">the </w:t>
      </w:r>
      <w:r w:rsidR="00636A2F" w:rsidRPr="006D55BE">
        <w:t xml:space="preserve">1200-meter distance was decided as the radius for local-scale </w:t>
      </w:r>
      <w:r w:rsidR="00636A2F" w:rsidRPr="006D55BE">
        <w:lastRenderedPageBreak/>
        <w:t>measurements.</w:t>
      </w:r>
      <w:r w:rsidR="00B81726" w:rsidRPr="006D55BE">
        <w:t xml:space="preserve"> </w:t>
      </w:r>
    </w:p>
    <w:p w14:paraId="3E21B7FE" w14:textId="22364FC2" w:rsidR="00A01E81" w:rsidRPr="006D55BE" w:rsidRDefault="00BC0ACB" w:rsidP="00650572">
      <w:pPr>
        <w:spacing w:after="163"/>
        <w:ind w:firstLine="420"/>
      </w:pPr>
      <w:r w:rsidRPr="006D55BE">
        <w:rPr>
          <w:rFonts w:eastAsiaTheme="minorEastAsia"/>
        </w:rPr>
        <w:t xml:space="preserve">To perform the </w:t>
      </w:r>
      <w:proofErr w:type="spellStart"/>
      <w:r w:rsidRPr="006D55BE">
        <w:rPr>
          <w:rFonts w:eastAsiaTheme="minorEastAsia"/>
        </w:rPr>
        <w:t>sDNA</w:t>
      </w:r>
      <w:proofErr w:type="spellEnd"/>
      <w:r w:rsidRPr="006D55BE">
        <w:rPr>
          <w:rFonts w:eastAsiaTheme="minorEastAsia"/>
        </w:rPr>
        <w:t xml:space="preserve">, vector data of GBSs and street networks representing urban spatial configurations were extracted from </w:t>
      </w:r>
      <w:bookmarkStart w:id="5" w:name="_Hlk93422047"/>
      <w:r w:rsidRPr="006D55BE">
        <w:rPr>
          <w:rFonts w:eastAsiaTheme="minorEastAsia"/>
        </w:rPr>
        <w:t xml:space="preserve">Open Street Map (OSM) </w:t>
      </w:r>
      <w:bookmarkEnd w:id="5"/>
      <w:r w:rsidRPr="006D55BE">
        <w:rPr>
          <w:rFonts w:eastAsiaTheme="minorEastAsia"/>
        </w:rPr>
        <w:t xml:space="preserve">in Quantum GIS (QGIS). OSM is a crowdsourced platform providing </w:t>
      </w:r>
      <w:r w:rsidRPr="006D55BE">
        <w:t xml:space="preserve">geo-referenced information of </w:t>
      </w:r>
      <w:r w:rsidRPr="006D55BE">
        <w:rPr>
          <w:rFonts w:eastAsiaTheme="minorEastAsia"/>
        </w:rPr>
        <w:t xml:space="preserve">pedestrian data </w:t>
      </w:r>
      <w:r w:rsidRPr="006D55BE">
        <w:rPr>
          <w:rFonts w:eastAsiaTheme="minorEastAsia"/>
        </w:rPr>
        <w:fldChar w:fldCharType="begin" w:fldLock="1"/>
      </w:r>
      <w:r w:rsidRPr="006D55BE">
        <w:rPr>
          <w:rFonts w:eastAsiaTheme="minorEastAsia"/>
        </w:rPr>
        <w:instrText>ADDIN CSL_CITATION {"citationItems":[{"id":"ITEM-1","itemData":{"DOI":"10.1147/JRD.2017.2736279","ISSN":"21518556","abstract":"Crucial for a barrier-free city, equitable pedestrian access allows people with different abilities to independently access streets and services using relevant information. Pedestrians require both static and transient information regarding the street environment. Government stakeholders-such as municipalities, transportation agencies, and city planners-require accurate descriptions of the urban pedestrian environment to equitably carry out their mandates. However, pedestrian-centric data are generally unavailable in a standardized format, making it challenging to maintain and disseminate relevant information. In this paper, we describe these challenges in the context of AccessMap, a customizable routing solution for pedestrians with limited mobility. Because existing routing solutions do not account for most barriers to accessibility, the information needs of these users are largely unmet. Using AccessMap as a case study, we demonstrate that a data model for equitable access to pedestrian information should: (1) include an annotated pedestrian transportation network, (2) be openly accessible, and (3) allow for the selective sharing of information to address the needs of all stakeholders. Finally, we generalize our experience to showcase a model of a community-mediated data commons that can contribute to better public sector functioning.","author":[{"dropping-particle":"","family":"Bolten","given":"N.","non-dropping-particle":"","parse-names":false,"suffix":""},{"dropping-particle":"","family":"Mukherjee","given":"S.","non-dropping-particle":"","parse-names":false,"suffix":""},{"dropping-particle":"","family":"Sipeeva","given":"V.","non-dropping-particle":"","parse-names":false,"suffix":""},{"dropping-particle":"","family":"Tanweer","given":"A.","non-dropping-particle":"","parse-names":false,"suffix":""},{"dropping-particle":"","family":"Caspi","given":"A.","non-dropping-particle":"","parse-names":false,"suffix":""}],"container-title":"IBM Journal of Research and Development","id":"ITEM-1","issue":"6","issued":{"date-parts":[["2017"]]},"page":"10:1-10:12","title":"A pedestrian-centered data approach for equitable access to urban infrastructure environments","type":"article-journal","volume":"61"},"uris":["http://www.mendeley.com/documents/?uuid=4860ebd2-7904-49bf-bbb4-343753c0683f"]}],"mendeley":{"formattedCitation":"(Bolten, Mukherjee, Sipeeva, Tanweer, &amp; Caspi, 2017)","manualFormatting":"(Bolten et al., 2017)","plainTextFormattedCitation":"(Bolten, Mukherjee, Sipeeva, Tanweer, &amp; Caspi, 2017)","previouslyFormattedCitation":"(Bolten, Mukherjee, Sipeeva, Tanweer, &amp; Caspi, 2017)"},"properties":{"noteIndex":0},"schema":"https://github.com/citation-style-language/schema/raw/master/csl-citation.json"}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(Bolten et al., 2017)</w:t>
      </w:r>
      <w:r w:rsidRPr="006D55BE">
        <w:rPr>
          <w:rFonts w:eastAsiaTheme="minorEastAsia"/>
        </w:rPr>
        <w:fldChar w:fldCharType="end"/>
      </w:r>
      <w:r w:rsidRPr="006D55BE">
        <w:rPr>
          <w:rFonts w:eastAsiaTheme="minorEastAsia"/>
        </w:rPr>
        <w:t xml:space="preserve">. </w:t>
      </w:r>
      <w:bookmarkStart w:id="6" w:name="_Hlk89786472"/>
      <w:r w:rsidR="00425CE1" w:rsidRPr="006D55BE">
        <w:rPr>
          <w:rFonts w:eastAsiaTheme="minorEastAsia"/>
        </w:rPr>
        <w:t xml:space="preserve">Each street segment was defined as the origin </w:t>
      </w:r>
      <w:r w:rsidR="00282D85" w:rsidRPr="006D55BE">
        <w:rPr>
          <w:rFonts w:eastAsiaTheme="minorEastAsia"/>
        </w:rPr>
        <w:t>of</w:t>
      </w:r>
      <w:r w:rsidR="00425CE1" w:rsidRPr="006D55BE">
        <w:rPr>
          <w:rFonts w:eastAsiaTheme="minorEastAsia"/>
        </w:rPr>
        <w:t xml:space="preserve"> human movement, </w:t>
      </w:r>
      <w:r w:rsidR="008B0F98">
        <w:rPr>
          <w:rFonts w:eastAsiaTheme="minorEastAsia"/>
        </w:rPr>
        <w:t>represented as</w:t>
      </w:r>
      <w:r w:rsidR="00425CE1" w:rsidRPr="006D55BE">
        <w:rPr>
          <w:rFonts w:eastAsiaTheme="minorEastAsia"/>
        </w:rPr>
        <w:t xml:space="preserve"> a road centerline between two road turns in this study. </w:t>
      </w:r>
      <w:r w:rsidR="00282D85" w:rsidRPr="006D55BE">
        <w:rPr>
          <w:rFonts w:eastAsiaTheme="minorEastAsia"/>
        </w:rPr>
        <w:t xml:space="preserve">The destinations </w:t>
      </w:r>
      <w:bookmarkStart w:id="7" w:name="_Hlk89786283"/>
      <w:r w:rsidR="00282D85" w:rsidRPr="006D55BE">
        <w:rPr>
          <w:rFonts w:eastAsiaTheme="minorEastAsia"/>
        </w:rPr>
        <w:t>a</w:t>
      </w:r>
      <w:r w:rsidR="00425CE1" w:rsidRPr="006D55BE">
        <w:rPr>
          <w:rFonts w:eastAsiaTheme="minorEastAsia"/>
        </w:rPr>
        <w:t xml:space="preserve">t </w:t>
      </w:r>
      <w:r w:rsidR="00282D85" w:rsidRPr="006D55BE">
        <w:rPr>
          <w:rFonts w:eastAsiaTheme="minorEastAsia"/>
        </w:rPr>
        <w:t xml:space="preserve">the </w:t>
      </w:r>
      <w:r w:rsidR="00425CE1" w:rsidRPr="006D55BE">
        <w:rPr>
          <w:rFonts w:eastAsiaTheme="minorEastAsia"/>
        </w:rPr>
        <w:t xml:space="preserve">city level </w:t>
      </w:r>
      <w:r w:rsidR="00282D85" w:rsidRPr="006D55BE">
        <w:rPr>
          <w:rFonts w:eastAsiaTheme="minorEastAsia"/>
        </w:rPr>
        <w:t>were</w:t>
      </w:r>
      <w:r w:rsidR="00425CE1" w:rsidRPr="006D55BE">
        <w:rPr>
          <w:rFonts w:eastAsiaTheme="minorEastAsia"/>
        </w:rPr>
        <w:t xml:space="preserve"> all street segments in the city </w:t>
      </w:r>
      <w:r w:rsidR="00282D85" w:rsidRPr="006D55BE">
        <w:rPr>
          <w:rFonts w:eastAsiaTheme="minorEastAsia"/>
        </w:rPr>
        <w:t xml:space="preserve">excluding those that were not connected. </w:t>
      </w:r>
      <w:bookmarkEnd w:id="7"/>
      <w:r w:rsidR="00282D85" w:rsidRPr="006D55BE">
        <w:rPr>
          <w:rFonts w:eastAsiaTheme="minorEastAsia"/>
        </w:rPr>
        <w:t>While, at the local level, the destinations were all street segments within a radial distance of 1.2 km from the origin.</w:t>
      </w:r>
      <w:bookmarkEnd w:id="6"/>
      <w:r w:rsidR="00282D85" w:rsidRPr="006D55BE">
        <w:rPr>
          <w:rFonts w:eastAsiaTheme="minorEastAsia"/>
        </w:rPr>
        <w:t xml:space="preserve"> </w:t>
      </w:r>
      <w:r w:rsidR="00753A55" w:rsidRPr="006D55BE">
        <w:rPr>
          <w:rFonts w:eastAsiaTheme="minorEastAsia"/>
        </w:rPr>
        <w:t xml:space="preserve">In </w:t>
      </w:r>
      <w:proofErr w:type="spellStart"/>
      <w:r w:rsidR="00753A55" w:rsidRPr="006D55BE">
        <w:rPr>
          <w:rFonts w:eastAsiaTheme="minorEastAsia"/>
        </w:rPr>
        <w:t>sDNA</w:t>
      </w:r>
      <w:proofErr w:type="spellEnd"/>
      <w:r w:rsidR="00753A55" w:rsidRPr="006D55BE">
        <w:rPr>
          <w:rFonts w:eastAsiaTheme="minorEastAsia"/>
        </w:rPr>
        <w:t xml:space="preserve"> technique, </w:t>
      </w:r>
      <w:r w:rsidR="00753A55" w:rsidRPr="006D55BE">
        <w:rPr>
          <w:rFonts w:eastAsiaTheme="minorEastAsia"/>
          <w:i/>
          <w:iCs/>
        </w:rPr>
        <w:t>integration</w:t>
      </w:r>
      <w:r w:rsidR="00753A55" w:rsidRPr="006D55BE">
        <w:rPr>
          <w:rFonts w:eastAsiaTheme="minorEastAsia"/>
        </w:rPr>
        <w:t xml:space="preserve"> is </w:t>
      </w:r>
      <w:r w:rsidR="00753A55" w:rsidRPr="006D55BE">
        <w:t xml:space="preserve">commonly quantified by </w:t>
      </w:r>
      <w:bookmarkStart w:id="8" w:name="_Hlk93422056"/>
      <w:r w:rsidR="00753A55" w:rsidRPr="006D55BE">
        <w:t>Network Quantity Penalized by Distance in Radius Angular (NQPDA)</w:t>
      </w:r>
      <w:bookmarkEnd w:id="8"/>
      <w:r w:rsidR="00753A55" w:rsidRPr="006D55BE">
        <w:t xml:space="preserve">, and </w:t>
      </w:r>
      <w:r w:rsidR="00753A55" w:rsidRPr="006D55BE">
        <w:rPr>
          <w:i/>
          <w:iCs/>
        </w:rPr>
        <w:t>choice</w:t>
      </w:r>
      <w:r w:rsidR="00753A55" w:rsidRPr="006D55BE">
        <w:t xml:space="preserve"> is mostly defined by </w:t>
      </w:r>
      <w:bookmarkStart w:id="9" w:name="_Hlk93422062"/>
      <w:r w:rsidR="00753A55" w:rsidRPr="006D55BE">
        <w:t>Two Phase Betweenness Angular (</w:t>
      </w:r>
      <w:proofErr w:type="spellStart"/>
      <w:r w:rsidR="00753A55" w:rsidRPr="006D55BE">
        <w:t>TPBtA</w:t>
      </w:r>
      <w:proofErr w:type="spellEnd"/>
      <w:r w:rsidR="00753A55" w:rsidRPr="006D55BE">
        <w:t>)</w:t>
      </w:r>
      <w:bookmarkEnd w:id="9"/>
      <w:r w:rsidR="00753A55" w:rsidRPr="006D55BE">
        <w:t xml:space="preserve">. Angular distance, instead of only metric Euclidean distance, was used in this study to accounts for directional changes in human movement. Additionally, </w:t>
      </w:r>
      <w:bookmarkStart w:id="10" w:name="_Hlk93422072"/>
      <w:r w:rsidR="00753A55" w:rsidRPr="006D55BE">
        <w:t>Line Connectivity (</w:t>
      </w:r>
      <w:proofErr w:type="spellStart"/>
      <w:r w:rsidR="00753A55" w:rsidRPr="006D55BE">
        <w:t>LConn</w:t>
      </w:r>
      <w:proofErr w:type="spellEnd"/>
      <w:r w:rsidR="00753A55" w:rsidRPr="006D55BE">
        <w:t>)</w:t>
      </w:r>
      <w:bookmarkEnd w:id="10"/>
      <w:r w:rsidR="00753A55" w:rsidRPr="006D55BE">
        <w:t xml:space="preserve"> was used to indicate </w:t>
      </w:r>
      <w:r w:rsidR="00753A55" w:rsidRPr="006D55BE">
        <w:rPr>
          <w:i/>
          <w:iCs/>
        </w:rPr>
        <w:t>connectivity</w:t>
      </w:r>
      <w:r w:rsidR="00753A55" w:rsidRPr="006D55BE">
        <w:t xml:space="preserve">. Based on the measures of </w:t>
      </w:r>
      <w:r w:rsidR="00753A55" w:rsidRPr="006D55BE">
        <w:rPr>
          <w:rFonts w:eastAsiaTheme="minorEastAsia"/>
          <w:i/>
          <w:iCs/>
        </w:rPr>
        <w:t>integration</w:t>
      </w:r>
      <w:r w:rsidR="00753A55" w:rsidRPr="006D55BE">
        <w:rPr>
          <w:rFonts w:eastAsiaTheme="minorEastAsia"/>
        </w:rPr>
        <w:t xml:space="preserve">, </w:t>
      </w:r>
      <w:r w:rsidR="00753A55" w:rsidRPr="006D55BE">
        <w:rPr>
          <w:i/>
          <w:iCs/>
        </w:rPr>
        <w:t>choice</w:t>
      </w:r>
      <w:r w:rsidR="00753A55" w:rsidRPr="006D55BE">
        <w:t xml:space="preserve">, and </w:t>
      </w:r>
      <w:r w:rsidR="00753A55" w:rsidRPr="006D55BE">
        <w:rPr>
          <w:i/>
          <w:iCs/>
        </w:rPr>
        <w:t>connectivity</w:t>
      </w:r>
      <w:r w:rsidR="00753A55" w:rsidRPr="006D55BE">
        <w:t xml:space="preserve">, accessibility (A) and visibility (V) indicators were described by the values of local NQPDA and local </w:t>
      </w:r>
      <w:proofErr w:type="spellStart"/>
      <w:r w:rsidR="00753A55" w:rsidRPr="006D55BE">
        <w:t>TPBtA</w:t>
      </w:r>
      <w:proofErr w:type="spellEnd"/>
      <w:r w:rsidR="00753A55" w:rsidRPr="006D55BE">
        <w:t xml:space="preserve"> within</w:t>
      </w:r>
      <w:r w:rsidR="00A777FF" w:rsidRPr="006D55BE">
        <w:t xml:space="preserve"> a</w:t>
      </w:r>
      <w:r w:rsidR="00753A55" w:rsidRPr="006D55BE">
        <w:t xml:space="preserve"> 1200 m radius, respectively. Moreover, intelligibility (I) values were the </w:t>
      </w:r>
      <w:r w:rsidR="00C07CBE" w:rsidRPr="006D55BE">
        <w:t xml:space="preserve">Pearson </w:t>
      </w:r>
      <w:r w:rsidR="00753A55" w:rsidRPr="006D55BE">
        <w:t>correlations (R</w:t>
      </w:r>
      <w:r w:rsidR="00753A55" w:rsidRPr="006D55BE">
        <w:rPr>
          <w:vertAlign w:val="superscript"/>
        </w:rPr>
        <w:t>2</w:t>
      </w:r>
      <w:r w:rsidR="00753A55" w:rsidRPr="006D55BE">
        <w:t xml:space="preserve">) of </w:t>
      </w:r>
      <w:proofErr w:type="spellStart"/>
      <w:r w:rsidR="00753A55" w:rsidRPr="006D55BE">
        <w:t>LConn</w:t>
      </w:r>
      <w:proofErr w:type="spellEnd"/>
      <w:r w:rsidR="00753A55" w:rsidRPr="006D55BE">
        <w:t xml:space="preserve"> and NQPDA values over the whole city. A perfect correlation (R</w:t>
      </w:r>
      <w:r w:rsidR="00753A55" w:rsidRPr="006D55BE">
        <w:rPr>
          <w:vertAlign w:val="superscript"/>
        </w:rPr>
        <w:t>2</w:t>
      </w:r>
      <w:r w:rsidR="00753A55" w:rsidRPr="006D55BE">
        <w:t xml:space="preserve"> =1) will be shown as a 45</w:t>
      </w:r>
      <w:r w:rsidR="00753A55" w:rsidRPr="006D55BE">
        <w:rPr>
          <w:rFonts w:eastAsiaTheme="minorEastAsia"/>
        </w:rPr>
        <w:t xml:space="preserve">° straight line in the correlation diagram, which, for example, can be interpreted as the exactly </w:t>
      </w:r>
      <w:r w:rsidR="00C07CBE" w:rsidRPr="006D55BE">
        <w:rPr>
          <w:rFonts w:eastAsiaTheme="minorEastAsia"/>
        </w:rPr>
        <w:t xml:space="preserve">synchronous </w:t>
      </w:r>
      <w:r w:rsidR="00753A55" w:rsidRPr="006D55BE">
        <w:rPr>
          <w:rFonts w:eastAsiaTheme="minorEastAsia"/>
        </w:rPr>
        <w:t xml:space="preserve">changes between </w:t>
      </w:r>
      <w:proofErr w:type="spellStart"/>
      <w:r w:rsidR="00753A55" w:rsidRPr="006D55BE">
        <w:t>LConn</w:t>
      </w:r>
      <w:proofErr w:type="spellEnd"/>
      <w:r w:rsidR="00753A55" w:rsidRPr="006D55BE">
        <w:t xml:space="preserve"> and city NQPDA. Higher correlation (R</w:t>
      </w:r>
      <w:r w:rsidR="00753A55" w:rsidRPr="006D55BE">
        <w:rPr>
          <w:vertAlign w:val="superscript"/>
        </w:rPr>
        <w:t>2</w:t>
      </w:r>
      <w:r w:rsidR="00753A55" w:rsidRPr="006D55BE">
        <w:t xml:space="preserve">) indicates higher levels of intelligibility. The measurements of AVI indicators were summarized in Table </w:t>
      </w:r>
      <w:r w:rsidR="0030087D" w:rsidRPr="006D55BE">
        <w:t>2</w:t>
      </w:r>
      <w:r w:rsidR="00753A55" w:rsidRPr="006D55BE">
        <w:t xml:space="preserve">. </w:t>
      </w:r>
      <w:bookmarkStart w:id="11" w:name="_Hlk89787082"/>
      <w:bookmarkStart w:id="12" w:name="_Hlk89793968"/>
      <w:bookmarkStart w:id="13" w:name="_Hlk89091489"/>
      <w:r w:rsidR="00DC62C0" w:rsidRPr="006D55BE">
        <w:t>Consequently, each street segment had a set of AVI values.</w:t>
      </w:r>
      <w:r w:rsidR="00E014B2" w:rsidRPr="006D55BE">
        <w:t xml:space="preserve"> </w:t>
      </w:r>
      <w:r w:rsidR="006D7461" w:rsidRPr="006D55BE">
        <w:t xml:space="preserve">The polygon data of GBSs were then combined with the street network data. The AVI values of street segments were affixed to the GBSs in the </w:t>
      </w:r>
      <w:r w:rsidR="007811CA" w:rsidRPr="006D55BE">
        <w:t>closest</w:t>
      </w:r>
      <w:r w:rsidR="006D7461" w:rsidRPr="006D55BE">
        <w:t xml:space="preserve"> geographical locations. </w:t>
      </w:r>
      <w:r w:rsidR="007811CA" w:rsidRPr="006D55BE">
        <w:t>It means that t</w:t>
      </w:r>
      <w:r w:rsidR="001C133D" w:rsidRPr="006D55BE">
        <w:t>he AVI measurements of the street segment closest to the GBS’s boundary were used to assess the pedestrian-friendliness of each GBS.</w:t>
      </w:r>
      <w:bookmarkEnd w:id="11"/>
      <w:r w:rsidR="005B5910" w:rsidRPr="006D55BE">
        <w:t xml:space="preserve"> </w:t>
      </w:r>
      <w:bookmarkStart w:id="14" w:name="_Hlk93929111"/>
      <w:bookmarkStart w:id="15" w:name="_Hlk89790890"/>
      <w:r w:rsidR="008828BA">
        <w:t>T</w:t>
      </w:r>
      <w:r w:rsidR="008828BA" w:rsidRPr="008828BA">
        <w:t xml:space="preserve">hese AVI measurements of each GBS polygon </w:t>
      </w:r>
      <w:r w:rsidR="00F11FA6">
        <w:t xml:space="preserve">were </w:t>
      </w:r>
      <w:r w:rsidR="008F489E">
        <w:t>taken</w:t>
      </w:r>
      <w:r w:rsidR="00F11FA6">
        <w:t xml:space="preserve"> on a</w:t>
      </w:r>
      <w:r w:rsidR="00D078FF">
        <w:t xml:space="preserve"> </w:t>
      </w:r>
      <w:r w:rsidR="008828BA" w:rsidRPr="008828BA">
        <w:t>pedestrian movement</w:t>
      </w:r>
      <w:r w:rsidR="00F11FA6">
        <w:t xml:space="preserve"> scale</w:t>
      </w:r>
      <w:r w:rsidR="008828BA" w:rsidRPr="008828BA">
        <w:t xml:space="preserve">, </w:t>
      </w:r>
      <w:r w:rsidR="00891AFA">
        <w:t xml:space="preserve">which were suggested to be </w:t>
      </w:r>
      <w:r w:rsidR="008828BA" w:rsidRPr="008828BA">
        <w:t>upscal</w:t>
      </w:r>
      <w:r w:rsidR="00891AFA">
        <w:t>ed</w:t>
      </w:r>
      <w:r w:rsidR="008828BA" w:rsidRPr="008828BA">
        <w:t xml:space="preserve"> to city level</w:t>
      </w:r>
      <w:r w:rsidR="00E9113D">
        <w:t xml:space="preserve"> </w:t>
      </w:r>
      <w:r w:rsidR="00E9113D" w:rsidRPr="00E9113D">
        <w:t>by averaging local measurements</w:t>
      </w:r>
      <w:r w:rsidR="008828BA" w:rsidRPr="008828BA">
        <w:t xml:space="preserve"> for urban planning and GBS management</w:t>
      </w:r>
      <w:r w:rsidR="00926392">
        <w:t xml:space="preserve"> </w:t>
      </w:r>
      <w:r w:rsidR="00926392">
        <w:fldChar w:fldCharType="begin" w:fldLock="1"/>
      </w:r>
      <w:r w:rsidR="00926392">
        <w:instrText>ADDIN CSL_CITATION {"citationItems":[{"id":"ITEM-1","itemData":{"DOI":"10.1016/J.UFUG.2021.127435","ISSN":"1618-8667","abstract":"One focus of those responsible for making urban policies has been the improvement of green space effectiveness, including environmental plans and eco-city initiatives. In the evaluation of policy effectiveness, residents’ needs, values and preferences are critical but often overlooked. This study proposes an agent-based model (ABM) for simulating the effectiveness of policy measures on residents’ decision making with regard to the use of green space. Using a residential questionnaire survey conducted in Shanghai, China, we model individual decision making with artificial neural networks that account for the heterogeneous characteristics and imperfect rationality in the decision-making process, and compare three policy scenarios in local green space provision. The results of the model illustrate the unequal effectiveness of green space policies among different social groups and different types of green space (i.e., urban parks, neighborhood parks, and community gardens), and the sensitivity analysis suggests the key factors in different stages of green space provision. Based on the results, we argue that tailored policies are needed in order to meet residents’ heterogeneous needs; in fact, relatively “soft” policies, particularly those that promote social interaction and participation, play a significant role in the appeal of green space use. Finally, policy suggestions are provided for the optimization of green space provision.","author":[{"dropping-particle":"","family":"Liang","given":"Xin","non-dropping-particle":"","parse-names":false,"suffix":""},{"dropping-particle":"","family":"Lu","given":"Tingting","non-dropping-particle":"","parse-names":false,"suffix":""},{"dropping-particle":"","family":"Yishake","given":"Gulinigaer","non-dropping-particle":"","parse-names":false,"suffix":""}],"container-title":"Urban Forestry &amp; Urban Greening","id":"ITEM-1","issued":{"date-parts":[["2022"]]},"page":"127435","title":"How to promote residents’ use of green space: An empirically grounded agent-based modeling approach","type":"article-journal","volume":"67"},"uris":["http://www.mendeley.com/documents/?uuid=5a17e545-f816-385d-9390-af59d3833f36"]}],"mendeley":{"formattedCitation":"(Liang, Lu, &amp; Yishake, 2022)","manualFormatting":"(Liang et al., 2022","plainTextFormattedCitation":"(Liang, Lu, &amp; Yishake, 2022)","previouslyFormattedCitation":"(Liang, Lu, &amp; Yishake, 2022)"},"properties":{"noteIndex":0},"schema":"https://github.com/citation-style-language/schema/raw/master/csl-citation.json"}</w:instrText>
      </w:r>
      <w:r w:rsidR="00926392">
        <w:fldChar w:fldCharType="separate"/>
      </w:r>
      <w:r w:rsidR="00926392" w:rsidRPr="00926392">
        <w:rPr>
          <w:noProof/>
        </w:rPr>
        <w:t>(Liang</w:t>
      </w:r>
      <w:r w:rsidR="00926392">
        <w:rPr>
          <w:noProof/>
        </w:rPr>
        <w:t xml:space="preserve"> et al., </w:t>
      </w:r>
      <w:r w:rsidR="00926392" w:rsidRPr="00926392">
        <w:rPr>
          <w:noProof/>
        </w:rPr>
        <w:t>2022</w:t>
      </w:r>
      <w:r w:rsidR="00926392">
        <w:fldChar w:fldCharType="end"/>
      </w:r>
      <w:r w:rsidR="00926392">
        <w:t xml:space="preserve">; </w:t>
      </w:r>
      <w:r w:rsidR="00926392">
        <w:fldChar w:fldCharType="begin" w:fldLock="1"/>
      </w:r>
      <w:r w:rsidR="00926392">
        <w:instrText>ADDIN CSL_CITATION {"citationItems":[{"id":"ITEM-1","itemData":{"DOI":"10.1016/J.LANDURBPLAN.2021.104233","ISSN":"0169-2046","abstract":"Greenspace in urban areas may have greater protective health effects than elsewhere. Urban dwellers experience more environmental harmful exposures, attentional demands, and stressors than their suburban/rural counterparts. In this systematic review, we synthesize the results of studies that examined how the greenspace and health relationship varies by urbanicity. We searched for articles in April 2019 that found positive associations between greenspace and physical health. Included articles tested for effect modification by urbanicity among one or more (of eight total) outcomes relevant to health and environmental equity. We coded results as 1 = stronger association in more urban areas, −1 = stronger association in less urban areas, or 0 = no difference. We found 57 analyses in 37 articles that met our inclusion criteria. Among these analyses, 50.9% showed no difference, 38.6% showed a stronger association for more urban areas, and 10.5% showed a stronger association for less urban areas. More urban areas had stronger associations for cardiovascular-related, birth, and mortality outcomes and for greenspace measured within 500 m. Stronger greenspace-health associations in more urban areas might be explained in part by the mechanistic pathways underlying these associations. Greenspace can reduce harms from environmental exposures (i.e., air pollution, noise, heat, and artificial light at night) in addition to alleviating attentional demands, reducing chronic stressors, and promoting healthy behavior - factors which might be more necessary, prevalent, or stronger in urban areas. These potential explanations warrant further investigation. The findings of this review inform public health policy and planning professionals who are attempting to make cities livable for all residents.","author":[{"dropping-particle":"","family":"Browning","given":"Matthew H.E.M.","non-dropping-particle":"","parse-names":false,"suffix":""},{"dropping-particle":"","family":"Rigolon","given":"Alessandro","non-dropping-particle":"","parse-names":false,"suffix":""},{"dropping-particle":"","family":"McAnirlin","given":"Olivia","non-dropping-particle":"","parse-names":false,"suffix":""},{"dropping-particle":"","family":"Yoon","given":"Hyunseo (Violet)","non-dropping-particle":"","parse-names":false,"suffix":""}],"container-title":"Landscape and Urban Planning","id":"ITEM-1","issued":{"date-parts":[["2022"]]},"page":"104233","publisher":"Elsevier","title":"Where greenspace matters most: A systematic review of urbanicity, greenspace, and physical health","type":"article-journal","volume":"217"},"uris":["http://www.mendeley.com/documents/?uuid=4a82be96-0e7a-3c01-830e-0ec403b8cfc1"]}],"mendeley":{"formattedCitation":"(Browning, Rigolon, McAnirlin, &amp; Yoon, 2022)","manualFormatting":"Browning et al., 2022)","plainTextFormattedCitation":"(Browning, Rigolon, McAnirlin, &amp; Yoon, 2022)","previouslyFormattedCitation":"(Browning, Rigolon, McAnirlin, &amp; Yoon, 2022)"},"properties":{"noteIndex":0},"schema":"https://github.com/citation-style-language/schema/raw/master/csl-citation.json"}</w:instrText>
      </w:r>
      <w:r w:rsidR="00926392">
        <w:fldChar w:fldCharType="separate"/>
      </w:r>
      <w:r w:rsidR="00926392" w:rsidRPr="00926392">
        <w:rPr>
          <w:noProof/>
        </w:rPr>
        <w:t>Browning</w:t>
      </w:r>
      <w:r w:rsidR="00926392">
        <w:rPr>
          <w:noProof/>
        </w:rPr>
        <w:t xml:space="preserve"> et al., </w:t>
      </w:r>
      <w:r w:rsidR="00926392" w:rsidRPr="00926392">
        <w:rPr>
          <w:noProof/>
        </w:rPr>
        <w:t>2022)</w:t>
      </w:r>
      <w:r w:rsidR="00926392">
        <w:fldChar w:fldCharType="end"/>
      </w:r>
      <w:r w:rsidR="00700D7E">
        <w:rPr>
          <w:color w:val="222222"/>
          <w:shd w:val="clear" w:color="auto" w:fill="FFFFFF"/>
        </w:rPr>
        <w:t>.</w:t>
      </w:r>
      <w:bookmarkEnd w:id="14"/>
      <w:r w:rsidR="003D0805">
        <w:rPr>
          <w:color w:val="222222"/>
          <w:shd w:val="clear" w:color="auto" w:fill="FFFFFF"/>
        </w:rPr>
        <w:t xml:space="preserve"> Therefore, this study </w:t>
      </w:r>
      <w:proofErr w:type="gramStart"/>
      <w:r w:rsidR="00F255C8">
        <w:rPr>
          <w:color w:val="222222"/>
          <w:shd w:val="clear" w:color="auto" w:fill="FFFFFF"/>
        </w:rPr>
        <w:t xml:space="preserve">averaged </w:t>
      </w:r>
      <w:r w:rsidR="008828BA" w:rsidRPr="008828BA">
        <w:t xml:space="preserve"> </w:t>
      </w:r>
      <w:bookmarkStart w:id="16" w:name="_Hlk89793707"/>
      <w:r w:rsidR="005B5910" w:rsidRPr="006D55BE">
        <w:t>AVI</w:t>
      </w:r>
      <w:proofErr w:type="gramEnd"/>
      <w:r w:rsidR="005B5910" w:rsidRPr="006D55BE">
        <w:t xml:space="preserve"> results of each GBS according to the administrative districts across the city </w:t>
      </w:r>
      <w:bookmarkEnd w:id="16"/>
      <w:r w:rsidR="005B5910" w:rsidRPr="006D55BE">
        <w:t>to assess the heterogeneous pedestrian-friendliness of GBSs.</w:t>
      </w:r>
      <w:r w:rsidR="005C6CF4" w:rsidRPr="006D55BE">
        <w:t xml:space="preserve"> These approaches </w:t>
      </w:r>
      <w:r w:rsidR="00D021F1" w:rsidRPr="00D021F1">
        <w:t>allowed for</w:t>
      </w:r>
      <w:r w:rsidR="005C6CF4" w:rsidRPr="006D55BE">
        <w:t xml:space="preserve"> convert</w:t>
      </w:r>
      <w:r w:rsidR="00D021F1">
        <w:t>ing</w:t>
      </w:r>
      <w:r w:rsidR="005C6CF4" w:rsidRPr="006D55BE">
        <w:t xml:space="preserve"> the spatial configurations of street networks to the evaluations of GBSs by quantifying the accessibility, visibility, and intelligibility aspects of </w:t>
      </w:r>
      <w:proofErr w:type="gramStart"/>
      <w:r w:rsidR="005C6CF4" w:rsidRPr="006D55BE">
        <w:t>pedestrian-friendly</w:t>
      </w:r>
      <w:proofErr w:type="gramEnd"/>
      <w:r w:rsidR="005C6CF4" w:rsidRPr="006D55BE">
        <w:t xml:space="preserve"> GBSs for people walking</w:t>
      </w:r>
      <w:r w:rsidR="00A01E81" w:rsidRPr="006D55BE">
        <w:t xml:space="preserve"> experiences.</w:t>
      </w:r>
      <w:bookmarkEnd w:id="12"/>
      <w:bookmarkEnd w:id="15"/>
      <w:r w:rsidR="003D0805">
        <w:t xml:space="preserve"> </w:t>
      </w:r>
      <w:r w:rsidR="00F255C8">
        <w:t>Also</w:t>
      </w:r>
      <w:r w:rsidR="003D0805">
        <w:t xml:space="preserve">, </w:t>
      </w:r>
      <w:bookmarkStart w:id="17" w:name="_Hlk94275493"/>
      <w:r w:rsidR="003D0805">
        <w:t xml:space="preserve">AVI-based GBS evaluations can be </w:t>
      </w:r>
      <w:r w:rsidR="00DF28D1">
        <w:t xml:space="preserve">a </w:t>
      </w:r>
      <w:r w:rsidR="003D0805">
        <w:t>potential</w:t>
      </w:r>
      <w:r w:rsidR="00DF28D1">
        <w:t xml:space="preserve"> tool</w:t>
      </w:r>
      <w:r w:rsidR="003D0805">
        <w:t xml:space="preserve"> </w:t>
      </w:r>
      <w:r w:rsidR="00DF28D1">
        <w:t>for</w:t>
      </w:r>
      <w:r w:rsidR="003D0805">
        <w:t xml:space="preserve"> </w:t>
      </w:r>
      <w:r w:rsidR="003D0805" w:rsidRPr="003D0805">
        <w:t>pedestrian-friendly urban planning</w:t>
      </w:r>
      <w:bookmarkEnd w:id="17"/>
      <w:r w:rsidR="003D0805">
        <w:t xml:space="preserve">. </w:t>
      </w:r>
    </w:p>
    <w:bookmarkEnd w:id="13"/>
    <w:p w14:paraId="28F4C3E5" w14:textId="0911870E" w:rsidR="004A1A72" w:rsidRPr="006D55BE" w:rsidRDefault="004A1A72" w:rsidP="00ED6A39">
      <w:pPr>
        <w:pStyle w:val="Heading3"/>
        <w:spacing w:before="163" w:after="163"/>
      </w:pPr>
      <w:r w:rsidRPr="006D55BE">
        <w:rPr>
          <w:rFonts w:eastAsiaTheme="minorEastAsia"/>
        </w:rPr>
        <w:t>3.2.2 AVI characterization using principal component analysis</w:t>
      </w:r>
    </w:p>
    <w:p w14:paraId="40063A1D" w14:textId="4CBF3EB3" w:rsidR="008D7C1D" w:rsidRPr="006D55BE" w:rsidRDefault="00CF035E" w:rsidP="00591F6B">
      <w:pPr>
        <w:spacing w:after="163"/>
        <w:ind w:firstLine="420"/>
        <w:rPr>
          <w:rFonts w:eastAsiaTheme="minorEastAsia"/>
        </w:rPr>
      </w:pPr>
      <w:r w:rsidRPr="006D55BE">
        <w:rPr>
          <w:rFonts w:eastAsiaTheme="minorEastAsia"/>
        </w:rPr>
        <w:t xml:space="preserve">To examine whether there is a redundant indicator in </w:t>
      </w:r>
      <w:r w:rsidR="00FC37F6" w:rsidRPr="006D55BE">
        <w:rPr>
          <w:rFonts w:eastAsiaTheme="minorEastAsia"/>
        </w:rPr>
        <w:t xml:space="preserve">the </w:t>
      </w:r>
      <w:r w:rsidRPr="006D55BE">
        <w:rPr>
          <w:rFonts w:eastAsiaTheme="minorEastAsia"/>
        </w:rPr>
        <w:t>AVI framework, the correlations between accessibility, visibility, and intelligibility were analyzed. The results (Appendix A, Figure A) show that these three indicators were statistically correlated with each other in ‘</w:t>
      </w:r>
      <w:proofErr w:type="spellStart"/>
      <w:r w:rsidRPr="006D55BE">
        <w:rPr>
          <w:rFonts w:eastAsiaTheme="minorEastAsia"/>
        </w:rPr>
        <w:t>Nansha</w:t>
      </w:r>
      <w:proofErr w:type="spellEnd"/>
      <w:r w:rsidRPr="006D55BE">
        <w:rPr>
          <w:rFonts w:eastAsiaTheme="minorEastAsia"/>
        </w:rPr>
        <w:t xml:space="preserve">’, the southern district of the city, which </w:t>
      </w:r>
      <w:r w:rsidRPr="006D55BE">
        <w:rPr>
          <w:rFonts w:eastAsiaTheme="minorEastAsia"/>
        </w:rPr>
        <w:lastRenderedPageBreak/>
        <w:t xml:space="preserve">demonstrated the </w:t>
      </w:r>
      <w:r w:rsidR="0086181F" w:rsidRPr="006D55BE">
        <w:rPr>
          <w:rFonts w:eastAsiaTheme="minorEastAsia"/>
        </w:rPr>
        <w:t xml:space="preserve">data </w:t>
      </w:r>
      <w:r w:rsidR="00B177A1" w:rsidRPr="006D55BE">
        <w:rPr>
          <w:rFonts w:eastAsiaTheme="minorEastAsia"/>
        </w:rPr>
        <w:t>redundancy</w:t>
      </w:r>
      <w:r w:rsidR="00B177A1" w:rsidRPr="006D55BE" w:rsidDel="00B177A1">
        <w:rPr>
          <w:rFonts w:eastAsiaTheme="minorEastAsia"/>
        </w:rPr>
        <w:t xml:space="preserve"> </w:t>
      </w:r>
      <w:r w:rsidRPr="006D55BE">
        <w:rPr>
          <w:rFonts w:eastAsiaTheme="minorEastAsia"/>
        </w:rPr>
        <w:t>in</w:t>
      </w:r>
      <w:r w:rsidR="00FC37F6" w:rsidRPr="006D55BE">
        <w:rPr>
          <w:rFonts w:eastAsiaTheme="minorEastAsia"/>
        </w:rPr>
        <w:t xml:space="preserve"> the</w:t>
      </w:r>
      <w:r w:rsidRPr="006D55BE">
        <w:rPr>
          <w:rFonts w:eastAsiaTheme="minorEastAsia"/>
        </w:rPr>
        <w:t xml:space="preserve"> AVI framework. Hence, </w:t>
      </w:r>
      <w:r w:rsidR="00E4783A" w:rsidRPr="006D55BE">
        <w:rPr>
          <w:rFonts w:eastAsiaTheme="minorEastAsia"/>
        </w:rPr>
        <w:t xml:space="preserve">principal component analysis (PCA) </w:t>
      </w:r>
      <w:r w:rsidR="00E4783A" w:rsidRPr="006D55BE">
        <w:rPr>
          <w:rFonts w:eastAsiaTheme="minorEastAsia"/>
        </w:rPr>
        <w:fldChar w:fldCharType="begin" w:fldLock="1"/>
      </w:r>
      <w:r w:rsidR="00E4783A" w:rsidRPr="006D55BE">
        <w:rPr>
          <w:rFonts w:eastAsiaTheme="minorEastAsia"/>
        </w:rPr>
        <w:instrText>ADDIN CSL_CITATION {"citationItems":[{"id":"ITEM-1","itemData":{"ISBN":"0387954422","ISSN":"00401706","PMID":"21435900","abstract":"Principal component analysis is central to the study of multivariate data. Although one of the earliest multivariate techniques it continues to be the subject of much research, ranging from new model- based approaches to algorithmic ideas from neural networks. It is extremely versatile with applications in many disciplines. The first edition of this book was the first comprehensive text written solely on principal component analysis. The second edition updates and substantially expands the original version, and is once again the definitive text on the subject. It includes core material, current research and a wide range of applications. Its length is nearly double that of the first edition. Researchers in statistics, or in other fields that use principal component analysis, will find that the book gives an authoritative yet accessible account of the subject. It is also a valuable resource for graduate courses in multivariate analysis. The book requires some knowledge of matrix algebra. Ian Jolliffe is Professor of Statistics at the University of Aberdeen. He is author or co-author of over 60 research papers and three other books. His research interests are broad, but aspects of principal component analysis have fascinated him and kept him busy for over 30 years.","author":[{"dropping-particle":"","family":"Jolliffe","given":"I.T.","non-dropping-particle":"","parse-names":false,"suffix":""}],"id":"ITEM-1","issued":{"date-parts":[["2002"]]},"publisher":"Springer","title":"Principal Component Analysis","type":"book"},"uris":["http://www.mendeley.com/documents/?uuid=d4c35bae-0853-41f1-aef8-2a008ab24586"]}],"mendeley":{"formattedCitation":"(Jolliffe, 2002)","plainTextFormattedCitation":"(Jolliffe, 2002)","previouslyFormattedCitation":"(Jolliffe, 2002)"},"properties":{"noteIndex":0},"schema":"https://github.com/citation-style-language/schema/raw/master/csl-citation.json"}</w:instrText>
      </w:r>
      <w:r w:rsidR="00E4783A" w:rsidRPr="006D55BE">
        <w:rPr>
          <w:rFonts w:eastAsiaTheme="minorEastAsia"/>
        </w:rPr>
        <w:fldChar w:fldCharType="separate"/>
      </w:r>
      <w:r w:rsidR="00E4783A" w:rsidRPr="006D55BE">
        <w:rPr>
          <w:rFonts w:eastAsiaTheme="minorEastAsia"/>
          <w:noProof/>
        </w:rPr>
        <w:t>(Jolliffe, 2002)</w:t>
      </w:r>
      <w:r w:rsidR="00E4783A" w:rsidRPr="006D55BE">
        <w:rPr>
          <w:rFonts w:eastAsiaTheme="minorEastAsia"/>
        </w:rPr>
        <w:fldChar w:fldCharType="end"/>
      </w:r>
      <w:r w:rsidR="00E4783A" w:rsidRPr="006D55BE">
        <w:rPr>
          <w:rFonts w:eastAsiaTheme="minorEastAsia"/>
        </w:rPr>
        <w:t xml:space="preserve"> was used here, which has been a common tool to remove the redundant information and identify the most representative one in multi-indicator evaluations (e.g., </w:t>
      </w:r>
      <w:r w:rsidR="00E4783A" w:rsidRPr="006D55BE">
        <w:rPr>
          <w:rFonts w:eastAsiaTheme="minorEastAsia"/>
        </w:rPr>
        <w:fldChar w:fldCharType="begin" w:fldLock="1"/>
      </w:r>
      <w:r w:rsidR="00926392">
        <w:rPr>
          <w:rFonts w:eastAsiaTheme="minorEastAsia"/>
        </w:rPr>
        <w:instrText>ADDIN CSL_CITATION {"citationItems":[{"id":"ITEM-1","itemData":{"DOI":"10.1016/J.UFUG.2021.127126","ISSN":"1618-8667","abstract":"COVID-19 case numbers in 161 sub-districts of Wuhan were investigated based on landscape epidemiology, and their landscape metrics were calculated based on land use/land cover (LULC). Initially, a mediation model verified a partially mediated population role in the relationship between landscape pattern and infection number. Adjusted incidence rate (AIR) and community safety index (CSI), two indicators for infection risk in sub-districts, were 25.82</w:instrText>
      </w:r>
      <w:r w:rsidR="00926392">
        <w:rPr>
          <w:rFonts w:ascii="Cambria Math" w:eastAsiaTheme="minorEastAsia" w:hAnsi="Cambria Math" w:cs="Cambria Math"/>
        </w:rPr>
        <w:instrText>∼</w:instrText>
      </w:r>
      <w:r w:rsidR="00926392">
        <w:rPr>
          <w:rFonts w:eastAsiaTheme="minorEastAsia"/>
        </w:rPr>
        <w:instrText>63.56 ‱ and 3.00</w:instrText>
      </w:r>
      <w:r w:rsidR="00926392">
        <w:rPr>
          <w:rFonts w:ascii="Cambria Math" w:eastAsiaTheme="minorEastAsia" w:hAnsi="Cambria Math" w:cs="Cambria Math"/>
        </w:rPr>
        <w:instrText>∼</w:instrText>
      </w:r>
      <w:r w:rsidR="00926392">
        <w:rPr>
          <w:rFonts w:eastAsiaTheme="minorEastAsia"/>
        </w:rPr>
        <w:instrText>15.87 respectively, and central urban sub-districts were at higher infection risk. Geographically weighted regression (GWR) performed better than OLS regression with AICc differences of 7.951</w:instrText>
      </w:r>
      <w:r w:rsidR="00926392">
        <w:rPr>
          <w:rFonts w:ascii="Cambria Math" w:eastAsiaTheme="minorEastAsia" w:hAnsi="Cambria Math" w:cs="Cambria Math"/>
        </w:rPr>
        <w:instrText>∼</w:instrText>
      </w:r>
      <w:r w:rsidR="00926392">
        <w:rPr>
          <w:rFonts w:eastAsiaTheme="minorEastAsia"/>
        </w:rPr>
        <w:instrText>181.261. The adjusted R2 in GWR models of class-level index and infection risk were 0.697 to 0.817, while for the landscape-level index they were 0.668 to 0.835. Secondly, 16 key landscape metrics were identified based on GWR, and then a prediction model for infection risk in sub-districts and communities was developed. Using principal component analysis (PCA), development intensity, landscape level, and urban blue-green space were considered to be principal components affecting disease infection risk, explaining 73.1 % of the total variance. Cropland (PLAND and LSI), urban land (NP, LPI, and LSI) and unused land (NP) represent development intensity, greatly affecting infection risk in urban areas. Landscape level CONTAG, DIVISION, SHDI, and SHEI represent mobility and connectivity, having a profound impact on infection risk in both urban and suburban areas. Water (PLAND, NP, LPI, and LSI) and woodland (NP, and LSI) represent urban blue-green spaces, and were particularly important for infection risk in suburban areas. Based on urban landscape pattern, we proposed a framework to understand and evaluate infection risk. These findings provide a basis for risk evaluation and policy-making of urban infectious disease, which is significant for community management and urban planning for infectious disease worldwide.","author":[{"dropping-particle":"","family":"Ye","given":"Yang","non-dropping-particle":"","parse-names":false,"suffix":""},{"dropping-particle":"","family":"Qiu","given":"Hongfei","non-dropping-particle":"","parse-names":false,"suffix":""}],"container-title":"Urban Forestry &amp; Urban Greening","id":"ITEM-1","issued":{"date-parts":[["2021"]]},"page":"127126","publisher":"Urban &amp; Fischer","title":"Using urban landscape pattern to understand and evaluate infectious disease risk","type":"article-journal","volume":"62"},"uris":["http://www.mendeley.com/documents/?uuid=9ab3c4cf-8b23-3743-bae6-88f6dcf17a0a"]}],"mendeley":{"formattedCitation":"(Yang Ye &amp; Qiu, 2021)","manualFormatting":"Ye &amp; Qiu, 2021","plainTextFormattedCitation":"(Yang Ye &amp; Qiu, 2021)","previouslyFormattedCitation":"(Yang Ye &amp; Qiu, 2021)"},"properties":{"noteIndex":0},"schema":"https://github.com/citation-style-language/schema/raw/master/csl-citation.json"}</w:instrText>
      </w:r>
      <w:r w:rsidR="00E4783A" w:rsidRPr="006D55BE">
        <w:rPr>
          <w:rFonts w:eastAsiaTheme="minorEastAsia"/>
        </w:rPr>
        <w:fldChar w:fldCharType="separate"/>
      </w:r>
      <w:r w:rsidR="00E4783A" w:rsidRPr="006D55BE">
        <w:rPr>
          <w:rFonts w:eastAsiaTheme="minorEastAsia"/>
          <w:noProof/>
        </w:rPr>
        <w:t>Ye &amp; Qiu, 2021</w:t>
      </w:r>
      <w:r w:rsidR="00E4783A" w:rsidRPr="006D55BE">
        <w:rPr>
          <w:rFonts w:eastAsiaTheme="minorEastAsia"/>
        </w:rPr>
        <w:fldChar w:fldCharType="end"/>
      </w:r>
      <w:r w:rsidR="00E4783A" w:rsidRPr="006D55BE">
        <w:rPr>
          <w:rFonts w:eastAsiaTheme="minorEastAsia"/>
        </w:rPr>
        <w:t>).</w:t>
      </w:r>
      <w:r w:rsidR="00572E0B" w:rsidRPr="006D55BE">
        <w:rPr>
          <w:rFonts w:eastAsiaTheme="minorEastAsia"/>
        </w:rPr>
        <w:t xml:space="preserve"> </w:t>
      </w:r>
      <w:r w:rsidRPr="006D55BE">
        <w:rPr>
          <w:rFonts w:eastAsiaTheme="minorEastAsia"/>
        </w:rPr>
        <w:t xml:space="preserve">The data characteristics of AVI of GBSs were extracted and stored in several uncorrelated principal components (PCs). The first PC generally stores the most distinct information. For each PC, a property is the ‘loading’ that refers to the contribution of each variable on overall data characteristics in </w:t>
      </w:r>
      <w:r w:rsidR="00BC740C" w:rsidRPr="006D55BE">
        <w:rPr>
          <w:rFonts w:eastAsiaTheme="minorEastAsia"/>
        </w:rPr>
        <w:t>that</w:t>
      </w:r>
      <w:r w:rsidRPr="006D55BE">
        <w:rPr>
          <w:rFonts w:eastAsiaTheme="minorEastAsia"/>
        </w:rPr>
        <w:t xml:space="preserve"> PC. In other words, </w:t>
      </w:r>
      <w:r w:rsidR="00E9159D" w:rsidRPr="006D55BE">
        <w:rPr>
          <w:rFonts w:eastAsiaTheme="minorEastAsia"/>
        </w:rPr>
        <w:t xml:space="preserve">the </w:t>
      </w:r>
      <w:r w:rsidRPr="006D55BE">
        <w:rPr>
          <w:rFonts w:eastAsiaTheme="minorEastAsia"/>
        </w:rPr>
        <w:t xml:space="preserve">indicators of </w:t>
      </w:r>
      <w:r w:rsidR="00E9159D" w:rsidRPr="006D55BE">
        <w:rPr>
          <w:rFonts w:eastAsiaTheme="minorEastAsia"/>
        </w:rPr>
        <w:t xml:space="preserve">the </w:t>
      </w:r>
      <w:r w:rsidRPr="006D55BE">
        <w:rPr>
          <w:rFonts w:eastAsiaTheme="minorEastAsia"/>
        </w:rPr>
        <w:t>AVI framework with higher absolute loading values (either positive or negative) should be assigned greater weightings in GBSs evaluation. The indicator having the largest absolute loading value is defined as the ‘winning variable’</w:t>
      </w:r>
      <w:r w:rsidR="004750D0" w:rsidRPr="006D55BE">
        <w:rPr>
          <w:rFonts w:eastAsiaTheme="minorEastAsia"/>
        </w:rPr>
        <w:t xml:space="preserve"> </w:t>
      </w:r>
      <w:r w:rsidRPr="006D55BE">
        <w:rPr>
          <w:rFonts w:eastAsiaTheme="minorEastAsia"/>
        </w:rPr>
        <w:t>that play</w:t>
      </w:r>
      <w:r w:rsidR="0035625B" w:rsidRPr="006D55BE">
        <w:rPr>
          <w:rFonts w:eastAsiaTheme="minorEastAsia"/>
        </w:rPr>
        <w:t>s</w:t>
      </w:r>
      <w:r w:rsidRPr="006D55BE">
        <w:rPr>
          <w:rFonts w:eastAsiaTheme="minorEastAsia"/>
        </w:rPr>
        <w:t xml:space="preserve"> a leading role in GBSs evaluation</w:t>
      </w:r>
      <w:r w:rsidR="00F71DF0" w:rsidRPr="006D55BE">
        <w:rPr>
          <w:rFonts w:eastAsiaTheme="minorEastAsia"/>
        </w:rPr>
        <w:t xml:space="preserve"> in that PC</w:t>
      </w:r>
      <w:r w:rsidRPr="006D55BE">
        <w:rPr>
          <w:rFonts w:eastAsiaTheme="minorEastAsia"/>
        </w:rPr>
        <w:t xml:space="preserve">. </w:t>
      </w:r>
      <w:r w:rsidR="008D7C1D" w:rsidRPr="006D55BE">
        <w:rPr>
          <w:rFonts w:eastAsiaTheme="minorEastAsia"/>
        </w:rPr>
        <w:t>Furthermore,</w:t>
      </w:r>
      <w:r w:rsidR="003F684D">
        <w:rPr>
          <w:rFonts w:eastAsiaTheme="minorEastAsia"/>
        </w:rPr>
        <w:t xml:space="preserve"> </w:t>
      </w:r>
      <w:r w:rsidR="00A833EC" w:rsidRPr="006D55BE">
        <w:rPr>
          <w:rFonts w:eastAsiaTheme="minorEastAsia"/>
        </w:rPr>
        <w:t>apart from ‘loading’, ‘</w:t>
      </w:r>
      <w:r w:rsidR="00F71DF0" w:rsidRPr="006D55BE">
        <w:rPr>
          <w:rFonts w:eastAsiaTheme="minorEastAsia"/>
        </w:rPr>
        <w:t>contribution</w:t>
      </w:r>
      <w:r w:rsidR="00A833EC" w:rsidRPr="006D55BE">
        <w:rPr>
          <w:rFonts w:eastAsiaTheme="minorEastAsia"/>
        </w:rPr>
        <w:t>’</w:t>
      </w:r>
      <w:r w:rsidR="00F71DF0" w:rsidRPr="006D55BE">
        <w:rPr>
          <w:rFonts w:eastAsiaTheme="minorEastAsia"/>
        </w:rPr>
        <w:t xml:space="preserve"> is further used to </w:t>
      </w:r>
      <w:r w:rsidR="00212A34" w:rsidRPr="006D55BE">
        <w:rPr>
          <w:rFonts w:eastAsiaTheme="minorEastAsia"/>
        </w:rPr>
        <w:t xml:space="preserve">provide more comprehensive quantifications in terms of </w:t>
      </w:r>
      <w:r w:rsidR="00F71DF0" w:rsidRPr="006D55BE">
        <w:rPr>
          <w:rFonts w:eastAsiaTheme="minorEastAsia"/>
        </w:rPr>
        <w:t xml:space="preserve">the </w:t>
      </w:r>
      <w:r w:rsidR="00212A34" w:rsidRPr="006D55BE">
        <w:rPr>
          <w:rFonts w:eastAsiaTheme="minorEastAsia"/>
        </w:rPr>
        <w:t xml:space="preserve">importance of each variable in GBSs evaluation in the combined PC1 and PC2, </w:t>
      </w:r>
      <w:r w:rsidR="00D30E59" w:rsidRPr="006D55BE">
        <w:rPr>
          <w:rFonts w:eastAsiaTheme="minorEastAsia"/>
        </w:rPr>
        <w:t xml:space="preserve">which is measured by </w:t>
      </w:r>
      <w:r w:rsidR="00853057" w:rsidRPr="006D55BE">
        <w:rPr>
          <w:rFonts w:eastAsiaTheme="minorEastAsia"/>
        </w:rPr>
        <w:fldChar w:fldCharType="begin" w:fldLock="1"/>
      </w:r>
      <w:r w:rsidR="00CC5D81" w:rsidRPr="006D55BE">
        <w:rPr>
          <w:rFonts w:eastAsiaTheme="minorEastAsia"/>
        </w:rPr>
        <w:instrText>ADDIN CSL_CITATION {"citationItems":[{"id":"ITEM-1","itemData":{"ISBN":"9781975721138","author":[{"dropping-particle":"","family":"Kassambara","given":"Alboukadel","non-dropping-particle":"","parse-names":false,"suffix":""}],"id":"ITEM-1","issued":{"date-parts":[["2017"]]},"title":"Multivariate analysis II: Practical Guide To Principal Component Methods in R: PCA, M (CA), FAMD, MFA, HCPC, factoextra","type":"book"},"uris":["http://www.mendeley.com/documents/?uuid=3af1f988-d8f7-422a-a6cd-3d82deac9e22"]}],"mendeley":{"formattedCitation":"(Kassambara, 2017)","plainTextFormattedCitation":"(Kassambara, 2017)","previouslyFormattedCitation":"(Kassambara, 2017)"},"properties":{"noteIndex":0},"schema":"https://github.com/citation-style-language/schema/raw/master/csl-citation.json"}</w:instrText>
      </w:r>
      <w:r w:rsidR="00853057" w:rsidRPr="006D55BE">
        <w:rPr>
          <w:rFonts w:eastAsiaTheme="minorEastAsia"/>
        </w:rPr>
        <w:fldChar w:fldCharType="separate"/>
      </w:r>
      <w:r w:rsidR="00853057" w:rsidRPr="006D55BE">
        <w:rPr>
          <w:rFonts w:eastAsiaTheme="minorEastAsia"/>
          <w:noProof/>
        </w:rPr>
        <w:t>(Kassambara, 2017)</w:t>
      </w:r>
      <w:r w:rsidR="00853057" w:rsidRPr="006D55BE">
        <w:rPr>
          <w:rFonts w:eastAsiaTheme="minorEastAsia"/>
        </w:rPr>
        <w:fldChar w:fldCharType="end"/>
      </w:r>
      <w:r w:rsidR="00D30E59" w:rsidRPr="006D55BE">
        <w:rPr>
          <w:rFonts w:eastAsiaTheme="minorEastAsia"/>
        </w:rPr>
        <w:t>:</w:t>
      </w:r>
    </w:p>
    <w:p w14:paraId="68FE7526" w14:textId="14213B7D" w:rsidR="00D30E59" w:rsidRPr="006D55BE" w:rsidRDefault="0084421C" w:rsidP="00295AB4">
      <w:pPr>
        <w:spacing w:after="163"/>
        <w:jc w:val="left"/>
        <w:rPr>
          <w:rFonts w:eastAsiaTheme="minorEastAsia"/>
        </w:rPr>
      </w:pPr>
      <w:r w:rsidRPr="006D55BE">
        <w:rPr>
          <w:rFonts w:eastAsiaTheme="minorEastAsia"/>
        </w:rPr>
        <w:t>Contributions =</w:t>
      </w:r>
      <w:r w:rsidR="008D1A2C" w:rsidRPr="006D55BE">
        <w:rPr>
          <w:rFonts w:eastAsiaTheme="minorEastAsia"/>
        </w:rPr>
        <w:t xml:space="preserve"> </w:t>
      </w:r>
      <m:oMath>
        <m:f>
          <m:fPr>
            <m:type m:val="skw"/>
            <m:ctrlPr>
              <w:rPr>
                <w:rFonts w:ascii="Cambria Math" w:eastAsiaTheme="minorEastAsia" w:hAnsi="Cambria Math"/>
              </w:rPr>
            </m:ctrlPr>
          </m:fPr>
          <m:num>
            <m:d>
              <m:dPr>
                <m:begChr m:val="["/>
                <m:endChr m:val="]"/>
                <m:ctrlPr>
                  <w:rPr>
                    <w:rFonts w:ascii="Cambria Math" w:eastAsiaTheme="minorEastAsia" w:hAnsi="Cambria Math"/>
                    <w:i/>
                  </w:rPr>
                </m:ctrlPr>
              </m:dPr>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Weightings (i1)</m:t>
                            </m:r>
                          </m:e>
                          <m:sup>
                            <m:r>
                              <w:rPr>
                                <w:rFonts w:ascii="Cambria Math" w:eastAsiaTheme="minorEastAsia" w:hAnsi="Cambria Math"/>
                              </w:rPr>
                              <m:t>2</m:t>
                            </m:r>
                          </m:sup>
                        </m:sSup>
                        <m:r>
                          <w:rPr>
                            <w:rFonts w:ascii="Cambria Math" w:eastAsiaTheme="minorEastAsia" w:hAnsi="Cambria Math"/>
                          </w:rPr>
                          <m:t xml:space="preserve"> ×100</m:t>
                        </m:r>
                      </m:num>
                      <m:den>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Weightings (j1)</m:t>
                                </m:r>
                              </m:e>
                              <m:sup>
                                <m:r>
                                  <w:rPr>
                                    <w:rFonts w:ascii="Cambria Math" w:eastAsiaTheme="minorEastAsia" w:hAnsi="Cambria Math"/>
                                  </w:rPr>
                                  <m:t>2</m:t>
                                </m:r>
                              </m:sup>
                            </m:sSup>
                          </m:e>
                        </m:nary>
                      </m:den>
                    </m:f>
                    <m:r>
                      <w:rPr>
                        <w:rFonts w:ascii="Cambria Math" w:eastAsiaTheme="minorEastAsia" w:hAnsi="Cambria Math"/>
                      </w:rPr>
                      <m:t>×Eig 1</m:t>
                    </m:r>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Weightings (i2)</m:t>
                            </m:r>
                          </m:e>
                          <m:sup>
                            <m:r>
                              <w:rPr>
                                <w:rFonts w:ascii="Cambria Math" w:eastAsiaTheme="minorEastAsia" w:hAnsi="Cambria Math"/>
                              </w:rPr>
                              <m:t>2</m:t>
                            </m:r>
                          </m:sup>
                        </m:sSup>
                        <m:r>
                          <w:rPr>
                            <w:rFonts w:ascii="Cambria Math" w:eastAsiaTheme="minorEastAsia" w:hAnsi="Cambria Math"/>
                          </w:rPr>
                          <m:t xml:space="preserve"> ×100</m:t>
                        </m:r>
                      </m:num>
                      <m:den>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Weightings (j2)</m:t>
                                </m:r>
                              </m:e>
                              <m:sup>
                                <m:r>
                                  <w:rPr>
                                    <w:rFonts w:ascii="Cambria Math" w:eastAsiaTheme="minorEastAsia" w:hAnsi="Cambria Math"/>
                                  </w:rPr>
                                  <m:t>2</m:t>
                                </m:r>
                              </m:sup>
                            </m:sSup>
                          </m:e>
                        </m:nary>
                      </m:den>
                    </m:f>
                    <m:r>
                      <w:rPr>
                        <w:rFonts w:ascii="Cambria Math" w:eastAsiaTheme="minorEastAsia" w:hAnsi="Cambria Math"/>
                      </w:rPr>
                      <m:t>×Eig 2</m:t>
                    </m:r>
                  </m:e>
                </m:d>
              </m:e>
            </m:d>
          </m:num>
          <m:den>
            <m:d>
              <m:dPr>
                <m:ctrlPr>
                  <w:rPr>
                    <w:rFonts w:ascii="Cambria Math" w:eastAsiaTheme="minorEastAsia" w:hAnsi="Cambria Math"/>
                    <w:i/>
                  </w:rPr>
                </m:ctrlPr>
              </m:dPr>
              <m:e>
                <m:r>
                  <w:rPr>
                    <w:rFonts w:ascii="Cambria Math" w:eastAsiaTheme="minorEastAsia" w:hAnsi="Cambria Math"/>
                  </w:rPr>
                  <m:t>Eig 1+Eig 2</m:t>
                </m:r>
              </m:e>
            </m:d>
          </m:den>
        </m:f>
      </m:oMath>
    </w:p>
    <w:p w14:paraId="46534E89" w14:textId="3D84ECAD" w:rsidR="00503CF1" w:rsidRPr="006D55BE" w:rsidRDefault="00503CF1" w:rsidP="00503CF1">
      <w:pPr>
        <w:spacing w:after="163"/>
        <w:rPr>
          <w:rFonts w:eastAsiaTheme="minorEastAsia"/>
        </w:rPr>
      </w:pPr>
      <w:r w:rsidRPr="006D55BE">
        <w:rPr>
          <w:rFonts w:eastAsiaTheme="minorEastAsia"/>
        </w:rPr>
        <w:t xml:space="preserve">where </w:t>
      </w:r>
      <m:oMath>
        <m:r>
          <w:rPr>
            <w:rFonts w:ascii="Cambria Math" w:eastAsiaTheme="minorEastAsia" w:hAnsi="Cambria Math"/>
          </w:rPr>
          <m:t>Weightings (i1)</m:t>
        </m:r>
      </m:oMath>
      <w:r w:rsidR="00431B34" w:rsidRPr="006D55BE">
        <w:rPr>
          <w:rFonts w:eastAsiaTheme="minorEastAsia"/>
        </w:rPr>
        <w:t xml:space="preserve"> is the loading value of </w:t>
      </w:r>
      <m:oMath>
        <m:r>
          <w:rPr>
            <w:rFonts w:ascii="Cambria Math" w:eastAsiaTheme="minorEastAsia" w:hAnsi="Cambria Math"/>
          </w:rPr>
          <m:t>i</m:t>
        </m:r>
      </m:oMath>
      <w:r w:rsidR="00431B34" w:rsidRPr="006D55BE">
        <w:rPr>
          <w:rFonts w:eastAsiaTheme="minorEastAsia"/>
        </w:rPr>
        <w:t xml:space="preserve"> indicator in PC1 and </w:t>
      </w:r>
      <m:oMath>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Weightings (j1)</m:t>
                </m:r>
              </m:e>
              <m:sup>
                <m:r>
                  <w:rPr>
                    <w:rFonts w:ascii="Cambria Math" w:eastAsiaTheme="minorEastAsia" w:hAnsi="Cambria Math"/>
                  </w:rPr>
                  <m:t>2</m:t>
                </m:r>
              </m:sup>
            </m:sSup>
          </m:e>
        </m:nary>
      </m:oMath>
      <w:r w:rsidR="00431B34" w:rsidRPr="006D55BE">
        <w:rPr>
          <w:rFonts w:eastAsiaTheme="minorEastAsia"/>
        </w:rPr>
        <w:t xml:space="preserve"> means the sum of loading values of all indicators in PC1</w:t>
      </w:r>
      <w:r w:rsidR="00A4502E" w:rsidRPr="006D55BE">
        <w:rPr>
          <w:rFonts w:eastAsiaTheme="minorEastAsia"/>
        </w:rPr>
        <w:t>;</w:t>
      </w:r>
      <w:r w:rsidR="00842093" w:rsidRPr="006D55BE">
        <w:rPr>
          <w:rFonts w:eastAsiaTheme="minorEastAsia"/>
        </w:rPr>
        <w:t xml:space="preserve"> </w:t>
      </w:r>
      <m:oMath>
        <m:r>
          <w:rPr>
            <w:rFonts w:ascii="Cambria Math" w:eastAsiaTheme="minorEastAsia" w:hAnsi="Cambria Math"/>
          </w:rPr>
          <m:t>Weightings (i2)</m:t>
        </m:r>
      </m:oMath>
      <w:r w:rsidR="00842093" w:rsidRPr="006D55BE">
        <w:rPr>
          <w:rFonts w:eastAsiaTheme="minorEastAsia"/>
        </w:rPr>
        <w:t xml:space="preserve"> </w:t>
      </w:r>
      <w:r w:rsidR="00A4502E" w:rsidRPr="006D55BE">
        <w:rPr>
          <w:rFonts w:eastAsiaTheme="minorEastAsia"/>
        </w:rPr>
        <w:t>and</w:t>
      </w:r>
      <w:r w:rsidR="00842093" w:rsidRPr="006D55BE">
        <w:rPr>
          <w:rFonts w:eastAsiaTheme="minorEastAsia"/>
        </w:rPr>
        <w:t xml:space="preserve"> </w:t>
      </w:r>
      <m:oMath>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Weightings (j2)</m:t>
                </m:r>
              </m:e>
              <m:sup>
                <m:r>
                  <w:rPr>
                    <w:rFonts w:ascii="Cambria Math" w:eastAsiaTheme="minorEastAsia" w:hAnsi="Cambria Math"/>
                  </w:rPr>
                  <m:t>2</m:t>
                </m:r>
              </m:sup>
            </m:sSup>
          </m:e>
        </m:nary>
      </m:oMath>
      <w:r w:rsidR="00842093" w:rsidRPr="006D55BE">
        <w:rPr>
          <w:rFonts w:eastAsiaTheme="minorEastAsia"/>
        </w:rPr>
        <w:t xml:space="preserve"> </w:t>
      </w:r>
      <w:r w:rsidR="00A4502E" w:rsidRPr="006D55BE">
        <w:rPr>
          <w:rFonts w:eastAsiaTheme="minorEastAsia"/>
        </w:rPr>
        <w:t>indicate the corresponding results in PC2</w:t>
      </w:r>
      <w:r w:rsidR="00A309DE" w:rsidRPr="006D55BE">
        <w:rPr>
          <w:rFonts w:eastAsiaTheme="minorEastAsia"/>
        </w:rPr>
        <w:t xml:space="preserve">; </w:t>
      </w:r>
      <m:oMath>
        <m:r>
          <w:rPr>
            <w:rFonts w:ascii="Cambria Math" w:eastAsiaTheme="minorEastAsia" w:hAnsi="Cambria Math"/>
          </w:rPr>
          <m:t>Eig 1</m:t>
        </m:r>
      </m:oMath>
      <w:r w:rsidR="00A309DE" w:rsidRPr="006D55BE">
        <w:rPr>
          <w:rFonts w:eastAsiaTheme="minorEastAsia"/>
        </w:rPr>
        <w:t xml:space="preserve"> and </w:t>
      </w:r>
      <m:oMath>
        <m:r>
          <w:rPr>
            <w:rFonts w:ascii="Cambria Math" w:eastAsiaTheme="minorEastAsia" w:hAnsi="Cambria Math"/>
          </w:rPr>
          <m:t>Eig 2</m:t>
        </m:r>
      </m:oMath>
      <w:r w:rsidR="00A309DE" w:rsidRPr="006D55BE">
        <w:rPr>
          <w:rFonts w:eastAsiaTheme="minorEastAsia"/>
        </w:rPr>
        <w:t xml:space="preserve"> refer to the </w:t>
      </w:r>
      <w:r w:rsidR="004034FC" w:rsidRPr="006D55BE">
        <w:rPr>
          <w:rFonts w:eastAsiaTheme="minorEastAsia"/>
        </w:rPr>
        <w:t xml:space="preserve">proportion of variance explained </w:t>
      </w:r>
      <w:r w:rsidR="00E64BC4" w:rsidRPr="006D55BE">
        <w:rPr>
          <w:rFonts w:eastAsiaTheme="minorEastAsia"/>
        </w:rPr>
        <w:t>by</w:t>
      </w:r>
      <w:r w:rsidR="004034FC" w:rsidRPr="006D55BE">
        <w:rPr>
          <w:rFonts w:eastAsiaTheme="minorEastAsia"/>
        </w:rPr>
        <w:t xml:space="preserve"> PC1 and PC2</w:t>
      </w:r>
      <w:r w:rsidR="00053EC3" w:rsidRPr="006D55BE">
        <w:rPr>
          <w:rFonts w:eastAsiaTheme="minorEastAsia"/>
        </w:rPr>
        <w:t xml:space="preserve">, respectively. </w:t>
      </w:r>
    </w:p>
    <w:p w14:paraId="6A0EA68E" w14:textId="3ED32C32" w:rsidR="00CF035E" w:rsidRPr="006D55BE" w:rsidRDefault="00CF035E" w:rsidP="00CF035E">
      <w:pPr>
        <w:spacing w:after="163"/>
        <w:ind w:firstLine="420"/>
        <w:rPr>
          <w:rFonts w:eastAsiaTheme="minorEastAsia"/>
        </w:rPr>
      </w:pPr>
      <w:r w:rsidRPr="006D55BE">
        <w:rPr>
          <w:rFonts w:eastAsiaTheme="minorEastAsia"/>
        </w:rPr>
        <w:t>Moreover, another output of PCA is the ‘score’ that is, in essence, a new measurement projected into PC dimensions combining all features of original data. The score in this study can be representations to compare the accessibility, visibility, and intelligibility of GBSs. It is measured by:</w:t>
      </w:r>
    </w:p>
    <w:p w14:paraId="4F18969D" w14:textId="77777777" w:rsidR="00CF035E" w:rsidRPr="006D55BE" w:rsidRDefault="00CF035E" w:rsidP="00CF035E">
      <w:pPr>
        <w:spacing w:after="163"/>
        <w:jc w:val="center"/>
        <w:rPr>
          <w:rFonts w:eastAsiaTheme="minorEastAsia"/>
        </w:rPr>
      </w:pPr>
      <w:r w:rsidRPr="006D55BE">
        <w:rPr>
          <w:rFonts w:eastAsiaTheme="minorEastAsia"/>
        </w:rPr>
        <w:t xml:space="preserve">Score = </w:t>
      </w:r>
      <m:oMath>
        <m:f>
          <m:fPr>
            <m:type m:val="lin"/>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Xi-Mean (Xi)</m:t>
                </m:r>
              </m:e>
            </m:d>
          </m:num>
          <m:den>
            <m:r>
              <w:rPr>
                <w:rFonts w:ascii="Cambria Math" w:eastAsiaTheme="minorEastAsia" w:hAnsi="Cambria Math"/>
              </w:rPr>
              <m:t xml:space="preserve">SD </m:t>
            </m:r>
            <m:d>
              <m:dPr>
                <m:ctrlPr>
                  <w:rPr>
                    <w:rFonts w:ascii="Cambria Math" w:eastAsiaTheme="minorEastAsia" w:hAnsi="Cambria Math"/>
                    <w:i/>
                  </w:rPr>
                </m:ctrlPr>
              </m:dPr>
              <m:e>
                <m:r>
                  <w:rPr>
                    <w:rFonts w:ascii="Cambria Math" w:eastAsiaTheme="minorEastAsia" w:hAnsi="Cambria Math"/>
                  </w:rPr>
                  <m:t>Xi</m:t>
                </m:r>
              </m:e>
            </m:d>
            <m:r>
              <w:rPr>
                <w:rFonts w:ascii="Cambria Math" w:eastAsiaTheme="minorEastAsia" w:hAnsi="Cambria Math"/>
              </w:rPr>
              <m:t>*weightings (i)</m:t>
            </m:r>
          </m:den>
        </m:f>
      </m:oMath>
    </w:p>
    <w:p w14:paraId="73380142" w14:textId="1378DF4A" w:rsidR="008F600D" w:rsidRPr="006D55BE" w:rsidRDefault="00CF035E" w:rsidP="00E058FD">
      <w:pPr>
        <w:spacing w:after="163"/>
        <w:rPr>
          <w:rFonts w:eastAsiaTheme="minorEastAsia"/>
        </w:rPr>
      </w:pPr>
      <w:r w:rsidRPr="006D55BE">
        <w:rPr>
          <w:rFonts w:eastAsiaTheme="minorEastAsia"/>
        </w:rPr>
        <w:t xml:space="preserve">where </w:t>
      </w:r>
      <m:oMath>
        <m:r>
          <w:rPr>
            <w:rFonts w:ascii="Cambria Math" w:eastAsiaTheme="minorEastAsia" w:hAnsi="Cambria Math"/>
          </w:rPr>
          <m:t>i</m:t>
        </m:r>
      </m:oMath>
      <w:r w:rsidRPr="006D55BE">
        <w:rPr>
          <w:rFonts w:eastAsiaTheme="minorEastAsia"/>
        </w:rPr>
        <w:t xml:space="preserve"> refers to one of AVI indicators; </w:t>
      </w:r>
      <m:oMath>
        <m:r>
          <w:rPr>
            <w:rFonts w:ascii="Cambria Math" w:eastAsiaTheme="minorEastAsia" w:hAnsi="Cambria Math"/>
          </w:rPr>
          <m:t>Xi</m:t>
        </m:r>
      </m:oMath>
      <w:r w:rsidRPr="006D55BE">
        <w:rPr>
          <w:rFonts w:eastAsiaTheme="minorEastAsia"/>
        </w:rPr>
        <w:t xml:space="preserve"> is the values of </w:t>
      </w:r>
      <m:oMath>
        <m:r>
          <w:rPr>
            <w:rFonts w:ascii="Cambria Math" w:eastAsiaTheme="minorEastAsia" w:hAnsi="Cambria Math"/>
          </w:rPr>
          <m:t>i</m:t>
        </m:r>
      </m:oMath>
      <w:r w:rsidRPr="006D55BE">
        <w:rPr>
          <w:rFonts w:eastAsiaTheme="minorEastAsia"/>
        </w:rPr>
        <w:t xml:space="preserve"> indicator based on space syntax measurements; </w:t>
      </w:r>
      <m:oMath>
        <m:r>
          <w:rPr>
            <w:rFonts w:ascii="Cambria Math" w:eastAsiaTheme="minorEastAsia" w:hAnsi="Cambria Math"/>
          </w:rPr>
          <m:t>Mean (Xi)</m:t>
        </m:r>
      </m:oMath>
      <w:r w:rsidRPr="006D55BE">
        <w:rPr>
          <w:rFonts w:eastAsiaTheme="minorEastAsia"/>
        </w:rPr>
        <w:t xml:space="preserve"> is the averaged values of </w:t>
      </w:r>
      <m:oMath>
        <m:r>
          <w:rPr>
            <w:rFonts w:ascii="Cambria Math" w:eastAsiaTheme="minorEastAsia" w:hAnsi="Cambria Math"/>
          </w:rPr>
          <m:t>Xi</m:t>
        </m:r>
      </m:oMath>
      <w:r w:rsidRPr="006D55BE">
        <w:rPr>
          <w:rFonts w:eastAsiaTheme="minorEastAsia"/>
        </w:rPr>
        <w:t xml:space="preserve">; </w:t>
      </w:r>
      <m:oMath>
        <m:r>
          <w:rPr>
            <w:rFonts w:ascii="Cambria Math" w:eastAsiaTheme="minorEastAsia" w:hAnsi="Cambria Math"/>
          </w:rPr>
          <m:t xml:space="preserve">SD </m:t>
        </m:r>
      </m:oMath>
      <w:r w:rsidRPr="006D55BE">
        <w:rPr>
          <w:rFonts w:eastAsiaTheme="minorEastAsia"/>
        </w:rPr>
        <w:t xml:space="preserve">is the standard deviation; and </w:t>
      </w:r>
      <m:oMath>
        <m:r>
          <w:rPr>
            <w:rFonts w:ascii="Cambria Math" w:eastAsiaTheme="minorEastAsia" w:hAnsi="Cambria Math"/>
          </w:rPr>
          <m:t>weightings</m:t>
        </m:r>
      </m:oMath>
      <w:r w:rsidRPr="006D55BE">
        <w:rPr>
          <w:rFonts w:eastAsiaTheme="minorEastAsia"/>
        </w:rPr>
        <w:t xml:space="preserve"> is the loading values of </w:t>
      </w:r>
      <m:oMath>
        <m:r>
          <w:rPr>
            <w:rFonts w:ascii="Cambria Math" w:eastAsiaTheme="minorEastAsia" w:hAnsi="Cambria Math"/>
          </w:rPr>
          <m:t>i</m:t>
        </m:r>
      </m:oMath>
      <w:r w:rsidRPr="006D55BE">
        <w:rPr>
          <w:rFonts w:eastAsiaTheme="minorEastAsia"/>
        </w:rPr>
        <w:t xml:space="preserve"> indicator based on PCA analysis.</w:t>
      </w:r>
    </w:p>
    <w:p w14:paraId="3ACF3985" w14:textId="7ED4E196" w:rsidR="009C4159" w:rsidRPr="006D55BE" w:rsidRDefault="00CF035E" w:rsidP="00CF035E">
      <w:pPr>
        <w:spacing w:after="163"/>
        <w:ind w:firstLine="420"/>
        <w:rPr>
          <w:rFonts w:eastAsiaTheme="minorEastAsia"/>
        </w:rPr>
      </w:pPr>
      <w:r w:rsidRPr="006D55BE">
        <w:rPr>
          <w:rFonts w:eastAsiaTheme="minorEastAsia"/>
        </w:rPr>
        <w:t>Based on ‘loading’</w:t>
      </w:r>
      <w:r w:rsidR="007D3499" w:rsidRPr="006D55BE">
        <w:rPr>
          <w:rFonts w:eastAsiaTheme="minorEastAsia"/>
        </w:rPr>
        <w:t>, ‘contribution’,</w:t>
      </w:r>
      <w:r w:rsidRPr="006D55BE">
        <w:rPr>
          <w:rFonts w:eastAsiaTheme="minorEastAsia"/>
        </w:rPr>
        <w:t xml:space="preserve"> and ‘score’ of PCA,</w:t>
      </w:r>
      <w:r w:rsidR="00E9159D" w:rsidRPr="006D55BE">
        <w:rPr>
          <w:rFonts w:eastAsiaTheme="minorEastAsia"/>
        </w:rPr>
        <w:t xml:space="preserve"> the</w:t>
      </w:r>
      <w:r w:rsidRPr="006D55BE">
        <w:rPr>
          <w:rFonts w:eastAsiaTheme="minorEastAsia"/>
        </w:rPr>
        <w:t xml:space="preserve"> AVI framework can be characterized and simplified for providing</w:t>
      </w:r>
      <w:r w:rsidR="00B77442" w:rsidRPr="006D55BE">
        <w:rPr>
          <w:rFonts w:eastAsiaTheme="minorEastAsia"/>
        </w:rPr>
        <w:t xml:space="preserve"> comparable</w:t>
      </w:r>
      <w:r w:rsidRPr="006D55BE">
        <w:rPr>
          <w:rFonts w:eastAsiaTheme="minorEastAsia"/>
        </w:rPr>
        <w:t xml:space="preserve"> information </w:t>
      </w:r>
      <w:r w:rsidR="00B77442" w:rsidRPr="006D55BE">
        <w:rPr>
          <w:rFonts w:eastAsiaTheme="minorEastAsia"/>
        </w:rPr>
        <w:t>in PC dimension for G</w:t>
      </w:r>
      <w:r w:rsidRPr="006D55BE">
        <w:rPr>
          <w:rFonts w:eastAsiaTheme="minorEastAsia"/>
        </w:rPr>
        <w:t xml:space="preserve">BSs </w:t>
      </w:r>
      <w:r w:rsidR="00B77442" w:rsidRPr="006D55BE">
        <w:rPr>
          <w:rFonts w:eastAsiaTheme="minorEastAsia"/>
        </w:rPr>
        <w:t xml:space="preserve">evaluations </w:t>
      </w:r>
      <w:r w:rsidRPr="006D55BE">
        <w:rPr>
          <w:rFonts w:eastAsiaTheme="minorEastAsia"/>
        </w:rPr>
        <w:t xml:space="preserve">among different locations and to develop strategies for GBSs improvements to include </w:t>
      </w:r>
      <w:r w:rsidR="0035625B" w:rsidRPr="006D55BE">
        <w:rPr>
          <w:rFonts w:eastAsiaTheme="minorEastAsia"/>
        </w:rPr>
        <w:t>pedestrian</w:t>
      </w:r>
      <w:r w:rsidRPr="006D55BE">
        <w:rPr>
          <w:rFonts w:eastAsiaTheme="minorEastAsia"/>
        </w:rPr>
        <w:t xml:space="preserve"> movement.</w:t>
      </w:r>
    </w:p>
    <w:p w14:paraId="0295D11D" w14:textId="77777777" w:rsidR="00984443" w:rsidRPr="006D55BE" w:rsidRDefault="00984443" w:rsidP="00984443">
      <w:pPr>
        <w:pStyle w:val="Heading3"/>
        <w:spacing w:before="163" w:after="163"/>
        <w:rPr>
          <w:rFonts w:eastAsiaTheme="minorEastAsia"/>
        </w:rPr>
      </w:pPr>
      <w:r w:rsidRPr="006D55BE">
        <w:rPr>
          <w:rFonts w:eastAsiaTheme="minorEastAsia"/>
        </w:rPr>
        <w:t>3.3.3 Analytical AVI framework for GBSs</w:t>
      </w:r>
    </w:p>
    <w:p w14:paraId="5793A156" w14:textId="2A69EBB8" w:rsidR="00984443" w:rsidRPr="006D55BE" w:rsidRDefault="00984443" w:rsidP="00984443">
      <w:pPr>
        <w:spacing w:after="163"/>
        <w:ind w:firstLine="420"/>
        <w:rPr>
          <w:rFonts w:eastAsiaTheme="minorEastAsia"/>
        </w:rPr>
      </w:pPr>
      <w:r w:rsidRPr="006D55BE">
        <w:rPr>
          <w:rFonts w:eastAsiaTheme="minorEastAsia"/>
        </w:rPr>
        <w:t xml:space="preserve">Figure 3 presented the analytical framework to evaluate AVI indicators of GBSs in </w:t>
      </w:r>
      <w:r w:rsidRPr="006D55BE">
        <w:rPr>
          <w:rFonts w:eastAsiaTheme="minorEastAsia"/>
        </w:rPr>
        <w:lastRenderedPageBreak/>
        <w:t xml:space="preserve">the Guangzhou city. Based on the space syntax theory and </w:t>
      </w:r>
      <w:proofErr w:type="spellStart"/>
      <w:r w:rsidRPr="006D55BE">
        <w:rPr>
          <w:rFonts w:eastAsiaTheme="minorEastAsia"/>
        </w:rPr>
        <w:t>sDNA</w:t>
      </w:r>
      <w:proofErr w:type="spellEnd"/>
      <w:r w:rsidRPr="006D55BE">
        <w:rPr>
          <w:rFonts w:eastAsiaTheme="minorEastAsia"/>
        </w:rPr>
        <w:t xml:space="preserve"> technique, accessibility, visibility, and intelligibility of GBSs were measured. PCA was adopted to characterize the AVI framework through defining their respective weightings </w:t>
      </w:r>
      <w:r w:rsidR="00AF5D6C" w:rsidRPr="006D55BE">
        <w:rPr>
          <w:rFonts w:eastAsiaTheme="minorEastAsia"/>
        </w:rPr>
        <w:t>on</w:t>
      </w:r>
      <w:r w:rsidRPr="006D55BE">
        <w:rPr>
          <w:rFonts w:eastAsiaTheme="minorEastAsia"/>
        </w:rPr>
        <w:t xml:space="preserve"> GBSs evaluation and </w:t>
      </w:r>
      <w:r w:rsidR="00AF5D6C" w:rsidRPr="006D55BE">
        <w:rPr>
          <w:rFonts w:eastAsiaTheme="minorEastAsia"/>
        </w:rPr>
        <w:t>generating</w:t>
      </w:r>
      <w:r w:rsidRPr="006D55BE">
        <w:rPr>
          <w:rFonts w:eastAsiaTheme="minorEastAsia"/>
        </w:rPr>
        <w:t xml:space="preserve"> standardized and comparable values of AVI</w:t>
      </w:r>
      <w:r w:rsidR="003D2BF1" w:rsidRPr="006D55BE">
        <w:rPr>
          <w:rFonts w:eastAsiaTheme="minorEastAsia"/>
        </w:rPr>
        <w:t xml:space="preserve"> indicators and the overall AVI</w:t>
      </w:r>
      <w:r w:rsidRPr="006D55BE">
        <w:rPr>
          <w:rFonts w:eastAsiaTheme="minorEastAsia"/>
        </w:rPr>
        <w:t>-weighted evaluation scores. Three main outcomes of AVI-weighted evaluation are to 1) identify the indicator with the largest weighting</w:t>
      </w:r>
      <w:r w:rsidR="00BB6154" w:rsidRPr="006D55BE">
        <w:rPr>
          <w:rFonts w:eastAsiaTheme="minorEastAsia"/>
        </w:rPr>
        <w:t xml:space="preserve"> in</w:t>
      </w:r>
      <w:r w:rsidRPr="006D55BE">
        <w:rPr>
          <w:rFonts w:eastAsiaTheme="minorEastAsia"/>
        </w:rPr>
        <w:t xml:space="preserve"> GBSs evaluation; 2) compare the accessibility, visibility, and intelligibility of GBSs as well as the overall </w:t>
      </w:r>
      <w:r w:rsidR="00BB6154" w:rsidRPr="006D55BE">
        <w:rPr>
          <w:rFonts w:eastAsiaTheme="minorEastAsia"/>
        </w:rPr>
        <w:t xml:space="preserve">AVI-weighted </w:t>
      </w:r>
      <w:r w:rsidRPr="006D55BE">
        <w:rPr>
          <w:rFonts w:eastAsiaTheme="minorEastAsia"/>
        </w:rPr>
        <w:t>GBSs</w:t>
      </w:r>
      <w:r w:rsidR="00BB6154" w:rsidRPr="006D55BE">
        <w:rPr>
          <w:rFonts w:eastAsiaTheme="minorEastAsia"/>
        </w:rPr>
        <w:t xml:space="preserve"> </w:t>
      </w:r>
      <w:r w:rsidRPr="006D55BE">
        <w:rPr>
          <w:rFonts w:eastAsiaTheme="minorEastAsia"/>
        </w:rPr>
        <w:t xml:space="preserve">among districts; and 3) suggest </w:t>
      </w:r>
      <w:r w:rsidR="005615B9" w:rsidRPr="006D55BE">
        <w:rPr>
          <w:rFonts w:eastAsiaTheme="minorEastAsia"/>
        </w:rPr>
        <w:t xml:space="preserve">the </w:t>
      </w:r>
      <w:r w:rsidRPr="006D55BE">
        <w:rPr>
          <w:rFonts w:eastAsiaTheme="minorEastAsia"/>
        </w:rPr>
        <w:t xml:space="preserve">empirical principles and strategies for GBSs improvement in terms of the considerations of </w:t>
      </w:r>
      <w:r w:rsidR="00CB4FEE" w:rsidRPr="006D55BE">
        <w:rPr>
          <w:rFonts w:eastAsiaTheme="minorEastAsia"/>
        </w:rPr>
        <w:t>pedestrian</w:t>
      </w:r>
      <w:r w:rsidRPr="006D55BE">
        <w:rPr>
          <w:rFonts w:eastAsiaTheme="minorEastAsia"/>
        </w:rPr>
        <w:t xml:space="preserve"> movement. </w:t>
      </w:r>
    </w:p>
    <w:p w14:paraId="4B3E3DF6" w14:textId="77777777" w:rsidR="00B62D62" w:rsidRPr="006D55BE" w:rsidRDefault="00B62D62" w:rsidP="00B62D62">
      <w:pPr>
        <w:pStyle w:val="Heading1"/>
        <w:spacing w:before="326" w:after="326"/>
        <w:rPr>
          <w:rFonts w:eastAsiaTheme="minorEastAsia"/>
        </w:rPr>
      </w:pPr>
      <w:r w:rsidRPr="006D55BE">
        <w:rPr>
          <w:rFonts w:eastAsiaTheme="minorEastAsia"/>
        </w:rPr>
        <w:t>4. Results</w:t>
      </w:r>
    </w:p>
    <w:p w14:paraId="2DDBF32A" w14:textId="77777777" w:rsidR="00B62D62" w:rsidRPr="006D55BE" w:rsidRDefault="00B62D62" w:rsidP="00B62D62">
      <w:pPr>
        <w:pStyle w:val="Heading2"/>
        <w:spacing w:before="163" w:after="163"/>
        <w:rPr>
          <w:rFonts w:eastAsiaTheme="minorEastAsia"/>
        </w:rPr>
      </w:pPr>
      <w:r w:rsidRPr="006D55BE">
        <w:rPr>
          <w:rFonts w:eastAsiaTheme="minorEastAsia"/>
        </w:rPr>
        <w:t>4.1 Spatial heterogeneities in AVI measurements of GBSs</w:t>
      </w:r>
    </w:p>
    <w:p w14:paraId="6A0C6234" w14:textId="7785E355" w:rsidR="00B62D62" w:rsidRPr="006D55BE" w:rsidRDefault="00B62D62" w:rsidP="00B62D62">
      <w:pPr>
        <w:spacing w:after="163"/>
      </w:pPr>
      <w:r w:rsidRPr="006D55BE">
        <w:rPr>
          <w:rFonts w:eastAsiaTheme="minorEastAsia"/>
        </w:rPr>
        <w:tab/>
        <w:t xml:space="preserve">To quantify the accessibility, visibility, and intelligibility of GBSs in the city, the </w:t>
      </w:r>
      <w:r w:rsidRPr="006D55BE">
        <w:t xml:space="preserve">measures of NQPDA, </w:t>
      </w:r>
      <w:proofErr w:type="spellStart"/>
      <w:r w:rsidRPr="006D55BE">
        <w:t>TPBtA</w:t>
      </w:r>
      <w:proofErr w:type="spellEnd"/>
      <w:r w:rsidRPr="006D55BE">
        <w:t xml:space="preserve">, and </w:t>
      </w:r>
      <w:proofErr w:type="spellStart"/>
      <w:r w:rsidRPr="006D55BE">
        <w:t>LConn</w:t>
      </w:r>
      <w:proofErr w:type="spellEnd"/>
      <w:r w:rsidRPr="006D55BE">
        <w:t xml:space="preserve"> were required according to </w:t>
      </w:r>
      <w:r w:rsidRPr="006D55BE">
        <w:rPr>
          <w:rFonts w:eastAsiaTheme="minorEastAsia"/>
        </w:rPr>
        <w:t xml:space="preserve">Table </w:t>
      </w:r>
      <w:r w:rsidR="0030087D" w:rsidRPr="006D55BE">
        <w:rPr>
          <w:rFonts w:eastAsiaTheme="minorEastAsia"/>
        </w:rPr>
        <w:t>2</w:t>
      </w:r>
      <w:r w:rsidRPr="006D55BE">
        <w:rPr>
          <w:rFonts w:eastAsiaTheme="minorEastAsia"/>
        </w:rPr>
        <w:t xml:space="preserve">. </w:t>
      </w:r>
      <w:r w:rsidRPr="006D55BE">
        <w:rPr>
          <w:iCs/>
        </w:rPr>
        <w:t xml:space="preserve">The integrated (high </w:t>
      </w:r>
      <w:r w:rsidRPr="006D55BE">
        <w:t>NQPDA values</w:t>
      </w:r>
      <w:r w:rsidRPr="006D55BE">
        <w:rPr>
          <w:iCs/>
        </w:rPr>
        <w:t xml:space="preserve">), </w:t>
      </w:r>
      <w:proofErr w:type="gramStart"/>
      <w:r w:rsidRPr="006D55BE">
        <w:rPr>
          <w:iCs/>
        </w:rPr>
        <w:t>frequently-traversed</w:t>
      </w:r>
      <w:proofErr w:type="gramEnd"/>
      <w:r w:rsidRPr="006D55BE">
        <w:rPr>
          <w:iCs/>
        </w:rPr>
        <w:t xml:space="preserve"> (high </w:t>
      </w:r>
      <w:proofErr w:type="spellStart"/>
      <w:r w:rsidRPr="006D55BE">
        <w:t>TPBtA</w:t>
      </w:r>
      <w:proofErr w:type="spellEnd"/>
      <w:r w:rsidRPr="006D55BE">
        <w:t xml:space="preserve"> values</w:t>
      </w:r>
      <w:r w:rsidRPr="006D55BE">
        <w:rPr>
          <w:iCs/>
        </w:rPr>
        <w:t>), and well-connected (high</w:t>
      </w:r>
      <w:r w:rsidRPr="006D55BE">
        <w:t xml:space="preserve"> </w:t>
      </w:r>
      <w:proofErr w:type="spellStart"/>
      <w:r w:rsidRPr="006D55BE">
        <w:t>LConn</w:t>
      </w:r>
      <w:proofErr w:type="spellEnd"/>
      <w:r w:rsidRPr="006D55BE">
        <w:rPr>
          <w:iCs/>
        </w:rPr>
        <w:t xml:space="preserve"> values) spaces were mainly clustered in the middle districts of </w:t>
      </w:r>
      <w:r w:rsidR="005615B9" w:rsidRPr="006D55BE">
        <w:rPr>
          <w:iCs/>
        </w:rPr>
        <w:t xml:space="preserve">the </w:t>
      </w:r>
      <w:r w:rsidRPr="006D55BE">
        <w:rPr>
          <w:iCs/>
        </w:rPr>
        <w:t xml:space="preserve">city </w:t>
      </w:r>
      <w:r w:rsidRPr="006D55BE">
        <w:t xml:space="preserve">(Figure 4). Compared to spatial integration </w:t>
      </w:r>
      <w:r w:rsidR="00A15FCA" w:rsidRPr="006D55BE">
        <w:t>across the</w:t>
      </w:r>
      <w:r w:rsidRPr="006D55BE">
        <w:t xml:space="preserve"> city (Figure 4(a)), the local integration </w:t>
      </w:r>
      <w:r w:rsidR="004C6D36" w:rsidRPr="006D55BE">
        <w:t>was substantially lower</w:t>
      </w:r>
      <w:r w:rsidRPr="006D55BE">
        <w:t xml:space="preserve"> and spaces with high local integration were even</w:t>
      </w:r>
      <w:r w:rsidR="004C6D36" w:rsidRPr="006D55BE">
        <w:t xml:space="preserve"> more</w:t>
      </w:r>
      <w:r w:rsidRPr="006D55BE">
        <w:t xml:space="preserve"> concentrated (Figure 4</w:t>
      </w:r>
      <w:r w:rsidRPr="006D55BE">
        <w:rPr>
          <w:rFonts w:eastAsia="SimSun"/>
        </w:rPr>
        <w:t>(b)</w:t>
      </w:r>
      <w:r w:rsidRPr="006D55BE">
        <w:t xml:space="preserve">). It means that, within neighboring walking scope, urban spaces were less integrated and less accessible. </w:t>
      </w:r>
      <w:r w:rsidR="004C6D36" w:rsidRPr="006D55BE">
        <w:t xml:space="preserve">In </w:t>
      </w:r>
      <w:r w:rsidRPr="006D55BE">
        <w:t xml:space="preserve">this urban system, the unique values of NQPDA, </w:t>
      </w:r>
      <w:proofErr w:type="spellStart"/>
      <w:r w:rsidRPr="006D55BE">
        <w:t>TPBtA</w:t>
      </w:r>
      <w:proofErr w:type="spellEnd"/>
      <w:r w:rsidRPr="006D55BE">
        <w:t xml:space="preserve">, and </w:t>
      </w:r>
      <w:proofErr w:type="spellStart"/>
      <w:r w:rsidRPr="006D55BE">
        <w:t>LConn</w:t>
      </w:r>
      <w:proofErr w:type="spellEnd"/>
      <w:r w:rsidRPr="006D55BE">
        <w:t xml:space="preserve"> in each geographical location can be used to calculate the accessibility, </w:t>
      </w:r>
      <w:r w:rsidRPr="006D55BE">
        <w:rPr>
          <w:rFonts w:eastAsiaTheme="minorEastAsia"/>
        </w:rPr>
        <w:t xml:space="preserve">visibility, and intelligibility of </w:t>
      </w:r>
      <w:r w:rsidR="00E43E2A">
        <w:rPr>
          <w:rFonts w:eastAsiaTheme="minorEastAsia" w:hint="eastAsia"/>
        </w:rPr>
        <w:t>each</w:t>
      </w:r>
      <w:r w:rsidR="00E43E2A">
        <w:rPr>
          <w:rFonts w:eastAsiaTheme="minorEastAsia"/>
        </w:rPr>
        <w:t xml:space="preserve"> </w:t>
      </w:r>
      <w:r w:rsidRPr="006D55BE">
        <w:rPr>
          <w:rFonts w:eastAsiaTheme="minorEastAsia"/>
        </w:rPr>
        <w:t>GBS,</w:t>
      </w:r>
      <w:r w:rsidR="00957399" w:rsidRPr="00957399">
        <w:rPr>
          <w:rFonts w:eastAsiaTheme="minorEastAsia"/>
        </w:rPr>
        <w:t xml:space="preserve"> allowing people to evaluate the pedestrian-friendliness of GBSs while moving</w:t>
      </w:r>
      <w:r w:rsidR="00957399">
        <w:rPr>
          <w:rFonts w:eastAsiaTheme="minorEastAsia"/>
        </w:rPr>
        <w:t>.</w:t>
      </w:r>
      <w:r w:rsidRPr="006D55BE">
        <w:rPr>
          <w:rFonts w:eastAsiaTheme="minorEastAsia"/>
        </w:rPr>
        <w:t xml:space="preserve"> </w:t>
      </w:r>
    </w:p>
    <w:p w14:paraId="7786B076" w14:textId="4417F879" w:rsidR="00F53FBA" w:rsidRPr="006D55BE" w:rsidRDefault="00E43E2A" w:rsidP="00ED198C">
      <w:pPr>
        <w:spacing w:after="163"/>
        <w:ind w:firstLine="420"/>
        <w:rPr>
          <w:rFonts w:eastAsiaTheme="minorEastAsia"/>
        </w:rPr>
      </w:pPr>
      <w:r>
        <w:rPr>
          <w:rFonts w:eastAsiaTheme="minorEastAsia"/>
        </w:rPr>
        <w:t>The values of accessibility, visibility, and intelligibility varied by GBSs. GBSs in the city center,</w:t>
      </w:r>
      <w:r w:rsidRPr="00E43E2A">
        <w:rPr>
          <w:rFonts w:eastAsiaTheme="minorEastAsia"/>
        </w:rPr>
        <w:t xml:space="preserve"> </w:t>
      </w:r>
      <w:r>
        <w:rPr>
          <w:rFonts w:eastAsiaTheme="minorEastAsia"/>
        </w:rPr>
        <w:t xml:space="preserve">generally, were more accessible (Figure 5(a)) and visible (Figure 5(b)) </w:t>
      </w:r>
      <w:r w:rsidR="00A0102F">
        <w:rPr>
          <w:rFonts w:eastAsiaTheme="minorEastAsia"/>
        </w:rPr>
        <w:t xml:space="preserve">in pedestrian movement, </w:t>
      </w:r>
      <w:r>
        <w:rPr>
          <w:rFonts w:eastAsiaTheme="minorEastAsia"/>
        </w:rPr>
        <w:t xml:space="preserve">than </w:t>
      </w:r>
      <w:r w:rsidRPr="00E43E2A">
        <w:rPr>
          <w:rFonts w:eastAsiaTheme="minorEastAsia"/>
        </w:rPr>
        <w:t>those in the surrounding areas</w:t>
      </w:r>
      <w:r w:rsidR="00F30610">
        <w:rPr>
          <w:rFonts w:eastAsiaTheme="minorEastAsia"/>
        </w:rPr>
        <w:t>. Accessibility and visibility of GBSs were similar</w:t>
      </w:r>
      <w:r w:rsidR="00D721F0">
        <w:rPr>
          <w:rFonts w:eastAsiaTheme="minorEastAsia"/>
        </w:rPr>
        <w:t xml:space="preserve"> throughout</w:t>
      </w:r>
      <w:r w:rsidR="00F30610">
        <w:rPr>
          <w:rFonts w:eastAsiaTheme="minorEastAsia"/>
        </w:rPr>
        <w:t xml:space="preserve"> the city</w:t>
      </w:r>
      <w:r w:rsidR="00D721F0">
        <w:rPr>
          <w:rFonts w:eastAsiaTheme="minorEastAsia"/>
        </w:rPr>
        <w:t xml:space="preserve"> </w:t>
      </w:r>
      <w:r w:rsidR="00F30610">
        <w:rPr>
          <w:rFonts w:eastAsiaTheme="minorEastAsia"/>
        </w:rPr>
        <w:t xml:space="preserve">except </w:t>
      </w:r>
      <w:r w:rsidR="00477DB9">
        <w:rPr>
          <w:rFonts w:eastAsiaTheme="minorEastAsia" w:hint="eastAsia"/>
        </w:rPr>
        <w:t>for</w:t>
      </w:r>
      <w:r w:rsidR="00477DB9">
        <w:rPr>
          <w:rFonts w:eastAsiaTheme="minorEastAsia"/>
        </w:rPr>
        <w:t xml:space="preserve"> </w:t>
      </w:r>
      <w:r w:rsidR="00D721F0">
        <w:rPr>
          <w:rFonts w:eastAsiaTheme="minorEastAsia"/>
        </w:rPr>
        <w:t xml:space="preserve">the </w:t>
      </w:r>
      <w:r w:rsidR="00D721F0" w:rsidRPr="00F30610">
        <w:rPr>
          <w:rFonts w:eastAsiaTheme="minorEastAsia"/>
        </w:rPr>
        <w:t>southernmost</w:t>
      </w:r>
      <w:r w:rsidR="00D721F0">
        <w:rPr>
          <w:rFonts w:eastAsiaTheme="minorEastAsia"/>
        </w:rPr>
        <w:t xml:space="preserve"> areas where </w:t>
      </w:r>
      <w:r w:rsidR="00F30610">
        <w:rPr>
          <w:rFonts w:eastAsiaTheme="minorEastAsia"/>
        </w:rPr>
        <w:t xml:space="preserve">GBSs had the greatest accessibility but rather low visibility. </w:t>
      </w:r>
      <w:r w:rsidR="00AF03FC">
        <w:rPr>
          <w:rFonts w:eastAsiaTheme="minorEastAsia"/>
        </w:rPr>
        <w:t xml:space="preserve">Moreover, two regions with the distinct low intelligibility of GBSs were the </w:t>
      </w:r>
      <w:r w:rsidR="00433C2A">
        <w:rPr>
          <w:rFonts w:eastAsiaTheme="minorEastAsia"/>
        </w:rPr>
        <w:t xml:space="preserve">northwestern and </w:t>
      </w:r>
      <w:r w:rsidR="00433C2A" w:rsidRPr="00433C2A">
        <w:rPr>
          <w:rFonts w:eastAsiaTheme="minorEastAsia"/>
        </w:rPr>
        <w:t>south-central part</w:t>
      </w:r>
      <w:r w:rsidR="00433C2A">
        <w:rPr>
          <w:rFonts w:eastAsiaTheme="minorEastAsia"/>
        </w:rPr>
        <w:t>s</w:t>
      </w:r>
      <w:r w:rsidR="00DD7DFE">
        <w:rPr>
          <w:rFonts w:eastAsiaTheme="minorEastAsia"/>
        </w:rPr>
        <w:t xml:space="preserve"> (Figure 5(c))</w:t>
      </w:r>
      <w:r w:rsidR="00433C2A">
        <w:rPr>
          <w:rFonts w:eastAsiaTheme="minorEastAsia"/>
        </w:rPr>
        <w:t xml:space="preserve">. </w:t>
      </w:r>
      <w:r w:rsidR="00DC2683">
        <w:rPr>
          <w:rFonts w:eastAsiaTheme="minorEastAsia"/>
        </w:rPr>
        <w:t>Based on averaged AVI values, t</w:t>
      </w:r>
      <w:r w:rsidR="003639E3">
        <w:rPr>
          <w:rFonts w:eastAsiaTheme="minorEastAsia"/>
        </w:rPr>
        <w:t xml:space="preserve">he overall pedestrian-friendliness of GBSs </w:t>
      </w:r>
      <w:r w:rsidR="00DC2683">
        <w:rPr>
          <w:rFonts w:eastAsiaTheme="minorEastAsia"/>
        </w:rPr>
        <w:t xml:space="preserve">was more </w:t>
      </w:r>
      <w:proofErr w:type="gramStart"/>
      <w:r w:rsidR="00DC2683">
        <w:rPr>
          <w:rFonts w:eastAsiaTheme="minorEastAsia"/>
        </w:rPr>
        <w:t>similar to</w:t>
      </w:r>
      <w:proofErr w:type="gramEnd"/>
      <w:r w:rsidR="00DC2683">
        <w:rPr>
          <w:rFonts w:eastAsiaTheme="minorEastAsia"/>
        </w:rPr>
        <w:t xml:space="preserve"> </w:t>
      </w:r>
      <w:r w:rsidR="00491CCE">
        <w:rPr>
          <w:rFonts w:eastAsiaTheme="minorEastAsia"/>
        </w:rPr>
        <w:t xml:space="preserve">accessibility </w:t>
      </w:r>
      <w:r w:rsidR="00DC2683">
        <w:rPr>
          <w:rFonts w:eastAsiaTheme="minorEastAsia"/>
        </w:rPr>
        <w:t>spatial</w:t>
      </w:r>
      <w:r w:rsidR="00491CCE">
        <w:rPr>
          <w:rFonts w:eastAsiaTheme="minorEastAsia"/>
        </w:rPr>
        <w:t xml:space="preserve"> patterns </w:t>
      </w:r>
      <w:r w:rsidR="00530539">
        <w:rPr>
          <w:rFonts w:eastAsiaTheme="minorEastAsia"/>
        </w:rPr>
        <w:t>(Figure 5(d))</w:t>
      </w:r>
      <w:r w:rsidR="00187431">
        <w:rPr>
          <w:rFonts w:eastAsiaTheme="minorEastAsia"/>
        </w:rPr>
        <w:t xml:space="preserve">. </w:t>
      </w:r>
      <w:r w:rsidR="00491CCE">
        <w:rPr>
          <w:rFonts w:eastAsiaTheme="minorEastAsia"/>
        </w:rPr>
        <w:t xml:space="preserve">The AVI measurements of individual GBSs were then averaged across administrative districts of </w:t>
      </w:r>
      <w:r w:rsidR="007C680E">
        <w:rPr>
          <w:rFonts w:eastAsiaTheme="minorEastAsia"/>
        </w:rPr>
        <w:t>the</w:t>
      </w:r>
      <w:r w:rsidR="007C67AD">
        <w:rPr>
          <w:rFonts w:eastAsiaTheme="minorEastAsia"/>
        </w:rPr>
        <w:t xml:space="preserve"> </w:t>
      </w:r>
      <w:r w:rsidR="00491CCE">
        <w:rPr>
          <w:rFonts w:eastAsiaTheme="minorEastAsia"/>
        </w:rPr>
        <w:t>city</w:t>
      </w:r>
      <w:r w:rsidR="00014918">
        <w:rPr>
          <w:rFonts w:eastAsiaTheme="minorEastAsia"/>
        </w:rPr>
        <w:t xml:space="preserve"> to </w:t>
      </w:r>
      <w:bookmarkStart w:id="18" w:name="_Hlk94275835"/>
      <w:r w:rsidR="00CC1423">
        <w:rPr>
          <w:rFonts w:eastAsiaTheme="minorEastAsia"/>
        </w:rPr>
        <w:t>provide</w:t>
      </w:r>
      <w:r w:rsidR="00014918">
        <w:rPr>
          <w:rFonts w:eastAsiaTheme="minorEastAsia"/>
        </w:rPr>
        <w:t xml:space="preserve"> </w:t>
      </w:r>
      <w:r w:rsidR="007C67AD" w:rsidRPr="00633E9B">
        <w:rPr>
          <w:rFonts w:eastAsiaTheme="minorEastAsia"/>
        </w:rPr>
        <w:t>empirical guidelines for GBS planning in districts and cities</w:t>
      </w:r>
      <w:bookmarkEnd w:id="18"/>
      <w:r w:rsidR="007C67AD">
        <w:rPr>
          <w:rFonts w:eastAsiaTheme="minorEastAsia"/>
        </w:rPr>
        <w:t xml:space="preserve">. </w:t>
      </w:r>
      <w:proofErr w:type="gramStart"/>
      <w:r w:rsidR="00491CCE">
        <w:rPr>
          <w:rFonts w:eastAsiaTheme="minorEastAsia"/>
        </w:rPr>
        <w:t>Similar to</w:t>
      </w:r>
      <w:proofErr w:type="gramEnd"/>
      <w:r w:rsidR="00491CCE">
        <w:rPr>
          <w:rFonts w:eastAsiaTheme="minorEastAsia"/>
        </w:rPr>
        <w:t xml:space="preserve"> the spatially explicit AVI of individual GBSs, </w:t>
      </w:r>
      <w:r w:rsidR="00ED198C">
        <w:rPr>
          <w:rFonts w:eastAsiaTheme="minorEastAsia"/>
        </w:rPr>
        <w:t>a</w:t>
      </w:r>
      <w:r w:rsidR="00ED198C" w:rsidRPr="006D55BE">
        <w:rPr>
          <w:rFonts w:eastAsiaTheme="minorEastAsia"/>
        </w:rPr>
        <w:t xml:space="preserve">ccessibility </w:t>
      </w:r>
      <w:r w:rsidR="00B62D62" w:rsidRPr="006D55BE">
        <w:rPr>
          <w:rFonts w:eastAsiaTheme="minorEastAsia"/>
        </w:rPr>
        <w:t xml:space="preserve">and visibility of GBSs </w:t>
      </w:r>
      <w:r w:rsidR="00ED198C">
        <w:rPr>
          <w:rFonts w:eastAsiaTheme="minorEastAsia"/>
        </w:rPr>
        <w:t xml:space="preserve">in each district </w:t>
      </w:r>
      <w:r w:rsidR="00B62D62" w:rsidRPr="006D55BE">
        <w:rPr>
          <w:rFonts w:eastAsiaTheme="minorEastAsia"/>
        </w:rPr>
        <w:t xml:space="preserve">shared </w:t>
      </w:r>
      <w:r w:rsidR="005615B9" w:rsidRPr="006D55BE">
        <w:rPr>
          <w:rFonts w:eastAsiaTheme="minorEastAsia"/>
        </w:rPr>
        <w:t>a</w:t>
      </w:r>
      <w:r w:rsidR="00B62D62" w:rsidRPr="006D55BE">
        <w:rPr>
          <w:rFonts w:eastAsiaTheme="minorEastAsia"/>
        </w:rPr>
        <w:t xml:space="preserve"> similar pattern (Figure </w:t>
      </w:r>
      <w:r w:rsidR="00ED198C">
        <w:rPr>
          <w:rFonts w:eastAsiaTheme="minorEastAsia"/>
        </w:rPr>
        <w:t>6</w:t>
      </w:r>
      <w:r w:rsidR="00B62D62" w:rsidRPr="006D55BE">
        <w:rPr>
          <w:rFonts w:eastAsiaTheme="minorEastAsia"/>
        </w:rPr>
        <w:t>(a)(b)). GBSs in central areas of the city were more accessible and visible</w:t>
      </w:r>
      <w:r w:rsidR="00672112" w:rsidRPr="006D55BE">
        <w:rPr>
          <w:rFonts w:eastAsiaTheme="minorEastAsia"/>
        </w:rPr>
        <w:t xml:space="preserve"> than those in </w:t>
      </w:r>
      <w:r w:rsidR="009A219B" w:rsidRPr="006D55BE">
        <w:rPr>
          <w:rFonts w:eastAsiaTheme="minorEastAsia"/>
        </w:rPr>
        <w:t xml:space="preserve">the </w:t>
      </w:r>
      <w:r w:rsidR="00672112" w:rsidRPr="006D55BE">
        <w:rPr>
          <w:rFonts w:eastAsiaTheme="minorEastAsia"/>
        </w:rPr>
        <w:t xml:space="preserve">suburbs, which therefore </w:t>
      </w:r>
      <w:r w:rsidR="00E47E3B" w:rsidRPr="006D55BE">
        <w:rPr>
          <w:rFonts w:eastAsiaTheme="minorEastAsia"/>
        </w:rPr>
        <w:t>were</w:t>
      </w:r>
      <w:r w:rsidR="00672112" w:rsidRPr="006D55BE">
        <w:rPr>
          <w:rFonts w:eastAsiaTheme="minorEastAsia"/>
        </w:rPr>
        <w:t xml:space="preserve"> easier to access in </w:t>
      </w:r>
      <w:r w:rsidR="00672112" w:rsidRPr="006D55BE">
        <w:rPr>
          <w:rFonts w:eastAsiaTheme="minorEastAsia"/>
          <w:i/>
          <w:iCs/>
        </w:rPr>
        <w:t>to-movement</w:t>
      </w:r>
      <w:r w:rsidR="00672112" w:rsidRPr="006D55BE">
        <w:rPr>
          <w:rFonts w:eastAsiaTheme="minorEastAsia"/>
        </w:rPr>
        <w:t xml:space="preserve"> and view in </w:t>
      </w:r>
      <w:r w:rsidR="00672112" w:rsidRPr="006D55BE">
        <w:rPr>
          <w:rFonts w:eastAsiaTheme="minorEastAsia"/>
          <w:i/>
          <w:iCs/>
        </w:rPr>
        <w:t>through-movement</w:t>
      </w:r>
      <w:r w:rsidR="00B62D62" w:rsidRPr="006D55BE">
        <w:rPr>
          <w:rFonts w:eastAsiaTheme="minorEastAsia"/>
        </w:rPr>
        <w:t xml:space="preserve">. The greatest accessible and visible GBSs were located at </w:t>
      </w:r>
      <w:r w:rsidR="005615B9" w:rsidRPr="006D55BE">
        <w:rPr>
          <w:rFonts w:eastAsiaTheme="minorEastAsia"/>
        </w:rPr>
        <w:t xml:space="preserve">the </w:t>
      </w:r>
      <w:r w:rsidR="00B62D62" w:rsidRPr="006D55BE">
        <w:rPr>
          <w:rFonts w:eastAsiaTheme="minorEastAsia"/>
        </w:rPr>
        <w:t xml:space="preserve">‘Yuexiu’ district </w:t>
      </w:r>
      <w:r w:rsidR="00B21541" w:rsidRPr="006D55BE">
        <w:rPr>
          <w:rFonts w:eastAsiaTheme="minorEastAsia"/>
        </w:rPr>
        <w:t>which</w:t>
      </w:r>
      <w:r w:rsidR="00B62D62" w:rsidRPr="006D55BE">
        <w:rPr>
          <w:rFonts w:eastAsiaTheme="minorEastAsia"/>
        </w:rPr>
        <w:t xml:space="preserve"> is the socioeconomic core of </w:t>
      </w:r>
      <w:r w:rsidR="00B21541" w:rsidRPr="006D55BE">
        <w:rPr>
          <w:rFonts w:eastAsiaTheme="minorEastAsia"/>
        </w:rPr>
        <w:t xml:space="preserve">the </w:t>
      </w:r>
      <w:r w:rsidR="00B62D62" w:rsidRPr="006D55BE">
        <w:rPr>
          <w:rFonts w:eastAsiaTheme="minorEastAsia"/>
        </w:rPr>
        <w:t xml:space="preserve">Guangzhou city. </w:t>
      </w:r>
      <w:r w:rsidR="009A0627">
        <w:rPr>
          <w:rFonts w:eastAsiaTheme="minorEastAsia"/>
        </w:rPr>
        <w:t>On the other hand,</w:t>
      </w:r>
      <w:r w:rsidR="00B62D62" w:rsidRPr="006D55BE">
        <w:rPr>
          <w:rFonts w:eastAsiaTheme="minorEastAsia"/>
        </w:rPr>
        <w:t xml:space="preserve"> </w:t>
      </w:r>
      <w:r w:rsidR="009A0627">
        <w:rPr>
          <w:rFonts w:eastAsiaTheme="minorEastAsia"/>
        </w:rPr>
        <w:t>t</w:t>
      </w:r>
      <w:r w:rsidR="00B62D62" w:rsidRPr="006D55BE">
        <w:rPr>
          <w:rFonts w:eastAsiaTheme="minorEastAsia"/>
        </w:rPr>
        <w:t xml:space="preserve">he central districts of the city had few </w:t>
      </w:r>
      <w:r w:rsidR="00B62D62" w:rsidRPr="006D55BE">
        <w:rPr>
          <w:rFonts w:eastAsiaTheme="minorEastAsia"/>
        </w:rPr>
        <w:lastRenderedPageBreak/>
        <w:t>intelligible GBSs, while GBSs in ‘</w:t>
      </w:r>
      <w:proofErr w:type="spellStart"/>
      <w:r w:rsidR="00B62D62" w:rsidRPr="006D55BE">
        <w:rPr>
          <w:rFonts w:eastAsiaTheme="minorEastAsia"/>
        </w:rPr>
        <w:t>Nansha</w:t>
      </w:r>
      <w:proofErr w:type="spellEnd"/>
      <w:r w:rsidR="00B62D62" w:rsidRPr="006D55BE">
        <w:rPr>
          <w:rFonts w:eastAsiaTheme="minorEastAsia"/>
        </w:rPr>
        <w:t>’ and ‘Huangpu’ districts had the highest intelligibility</w:t>
      </w:r>
      <w:r w:rsidR="00E47E3B" w:rsidRPr="006D55BE">
        <w:rPr>
          <w:rFonts w:eastAsiaTheme="minorEastAsia"/>
        </w:rPr>
        <w:t xml:space="preserve"> making them easier to be perceived by pedestrians</w:t>
      </w:r>
      <w:r w:rsidR="009A0627">
        <w:rPr>
          <w:rFonts w:eastAsiaTheme="minorEastAsia"/>
        </w:rPr>
        <w:t xml:space="preserve"> (Figure 6(c))</w:t>
      </w:r>
      <w:r w:rsidR="00B62D62" w:rsidRPr="006D55BE">
        <w:rPr>
          <w:rFonts w:eastAsiaTheme="minorEastAsia"/>
        </w:rPr>
        <w:t xml:space="preserve">. </w:t>
      </w:r>
      <w:r w:rsidR="00D8605E">
        <w:rPr>
          <w:rFonts w:eastAsiaTheme="minorEastAsia"/>
        </w:rPr>
        <w:t>According to</w:t>
      </w:r>
      <w:r w:rsidR="00D8605E" w:rsidRPr="006D55BE">
        <w:rPr>
          <w:rFonts w:eastAsiaTheme="minorEastAsia"/>
        </w:rPr>
        <w:t xml:space="preserve"> </w:t>
      </w:r>
      <w:r w:rsidR="00B62D62" w:rsidRPr="006D55BE">
        <w:rPr>
          <w:rFonts w:eastAsiaTheme="minorEastAsia"/>
        </w:rPr>
        <w:t>the averaged values of AVI</w:t>
      </w:r>
      <w:r w:rsidR="00062E60">
        <w:rPr>
          <w:rFonts w:eastAsiaTheme="minorEastAsia"/>
        </w:rPr>
        <w:t xml:space="preserve"> (Figure 6(d)),</w:t>
      </w:r>
      <w:r w:rsidR="00D83D89" w:rsidRPr="006D55BE">
        <w:rPr>
          <w:rFonts w:eastAsiaTheme="minorEastAsia"/>
        </w:rPr>
        <w:t xml:space="preserve"> </w:t>
      </w:r>
      <w:r w:rsidR="00062E60">
        <w:rPr>
          <w:rFonts w:eastAsiaTheme="minorEastAsia"/>
        </w:rPr>
        <w:t>t</w:t>
      </w:r>
      <w:r w:rsidR="00B62D62" w:rsidRPr="006D55BE">
        <w:rPr>
          <w:rFonts w:eastAsiaTheme="minorEastAsia"/>
        </w:rPr>
        <w:t xml:space="preserve">he </w:t>
      </w:r>
      <w:r w:rsidR="004C6D36" w:rsidRPr="006D55BE">
        <w:rPr>
          <w:rFonts w:eastAsiaTheme="minorEastAsia"/>
        </w:rPr>
        <w:t xml:space="preserve">GBSs in the </w:t>
      </w:r>
      <w:r w:rsidR="00B62D62" w:rsidRPr="006D55BE">
        <w:rPr>
          <w:rFonts w:eastAsiaTheme="minorEastAsia"/>
        </w:rPr>
        <w:t>central districts of</w:t>
      </w:r>
      <w:r w:rsidR="006E2DD2" w:rsidRPr="006D55BE">
        <w:rPr>
          <w:rFonts w:eastAsiaTheme="minorEastAsia"/>
        </w:rPr>
        <w:t xml:space="preserve"> the</w:t>
      </w:r>
      <w:r w:rsidR="00B62D62" w:rsidRPr="006D55BE">
        <w:rPr>
          <w:rFonts w:eastAsiaTheme="minorEastAsia"/>
        </w:rPr>
        <w:t xml:space="preserve"> city</w:t>
      </w:r>
      <w:r w:rsidR="00B52B2B" w:rsidRPr="006D55BE">
        <w:rPr>
          <w:rFonts w:eastAsiaTheme="minorEastAsia"/>
        </w:rPr>
        <w:t>, particularly in</w:t>
      </w:r>
      <w:r w:rsidR="006E2DD2" w:rsidRPr="006D55BE">
        <w:rPr>
          <w:rFonts w:eastAsiaTheme="minorEastAsia"/>
        </w:rPr>
        <w:t xml:space="preserve"> the</w:t>
      </w:r>
      <w:r w:rsidR="00B52B2B" w:rsidRPr="006D55BE">
        <w:rPr>
          <w:rFonts w:eastAsiaTheme="minorEastAsia"/>
        </w:rPr>
        <w:t xml:space="preserve"> ‘Yuexiu’ district,</w:t>
      </w:r>
      <w:r w:rsidR="00B62D62" w:rsidRPr="006D55BE">
        <w:rPr>
          <w:rFonts w:eastAsiaTheme="minorEastAsia"/>
        </w:rPr>
        <w:t xml:space="preserve"> </w:t>
      </w:r>
      <w:r w:rsidR="004C6D36" w:rsidRPr="006D55BE">
        <w:rPr>
          <w:rFonts w:eastAsiaTheme="minorEastAsia"/>
        </w:rPr>
        <w:t xml:space="preserve">were more pedestrian-friendly </w:t>
      </w:r>
      <w:r w:rsidR="0088715F" w:rsidRPr="006D55BE">
        <w:rPr>
          <w:rFonts w:eastAsiaTheme="minorEastAsia"/>
        </w:rPr>
        <w:t>through accommodating the pedestrian needs of access, view, and cognitio</w:t>
      </w:r>
      <w:r w:rsidR="00B52B2B" w:rsidRPr="006D55BE">
        <w:rPr>
          <w:rFonts w:eastAsiaTheme="minorEastAsia"/>
        </w:rPr>
        <w:t>n.</w:t>
      </w:r>
      <w:r w:rsidR="000C12B3">
        <w:rPr>
          <w:rFonts w:eastAsiaTheme="minorEastAsia"/>
        </w:rPr>
        <w:t xml:space="preserve"> This averaged AVI-based evaluations of GBSs’ pedestrian friendliness </w:t>
      </w:r>
      <w:r w:rsidR="00470220">
        <w:rPr>
          <w:rFonts w:eastAsiaTheme="minorEastAsia"/>
        </w:rPr>
        <w:t>were</w:t>
      </w:r>
      <w:r w:rsidR="000C12B3">
        <w:rPr>
          <w:rFonts w:eastAsiaTheme="minorEastAsia"/>
        </w:rPr>
        <w:t xml:space="preserve"> consisten</w:t>
      </w:r>
      <w:r w:rsidR="00470220">
        <w:rPr>
          <w:rFonts w:eastAsiaTheme="minorEastAsia"/>
        </w:rPr>
        <w:t>t</w:t>
      </w:r>
      <w:r w:rsidR="000C12B3">
        <w:rPr>
          <w:rFonts w:eastAsiaTheme="minorEastAsia"/>
        </w:rPr>
        <w:t xml:space="preserve"> with </w:t>
      </w:r>
      <w:r w:rsidR="000C12B3" w:rsidRPr="006D55BE">
        <w:rPr>
          <w:rFonts w:eastAsiaTheme="minorEastAsia"/>
        </w:rPr>
        <w:t>socioeconomic patterns among districts.</w:t>
      </w:r>
    </w:p>
    <w:p w14:paraId="53ED6B8B" w14:textId="5DC6057F" w:rsidR="006D5DB8" w:rsidRPr="006D55BE" w:rsidRDefault="00A978A1" w:rsidP="00750E64">
      <w:pPr>
        <w:pStyle w:val="Heading2"/>
        <w:spacing w:before="163" w:after="163"/>
        <w:rPr>
          <w:rFonts w:eastAsiaTheme="minorEastAsia"/>
        </w:rPr>
      </w:pPr>
      <w:r w:rsidRPr="006D55BE">
        <w:rPr>
          <w:rFonts w:eastAsiaTheme="minorEastAsia"/>
        </w:rPr>
        <w:t>4.2 The diverse contributions of AVI to GBSs evaluation</w:t>
      </w:r>
    </w:p>
    <w:p w14:paraId="5EE61FF3" w14:textId="439F1371" w:rsidR="00906F37" w:rsidRPr="006D55BE" w:rsidRDefault="00A978A1" w:rsidP="00906F37">
      <w:pPr>
        <w:spacing w:after="163"/>
        <w:ind w:firstLine="420"/>
        <w:rPr>
          <w:rFonts w:eastAsiaTheme="minorEastAsia"/>
        </w:rPr>
      </w:pPr>
      <w:r w:rsidRPr="006D55BE">
        <w:rPr>
          <w:rFonts w:eastAsiaTheme="minorEastAsia"/>
        </w:rPr>
        <w:t xml:space="preserve">To evaluate AVI-weighted GBSs, the diverse contributions of AVI indicators to GBSs were needed, which were shown in the form of loading values. The characteristics of GBSs in Guangzhou city can be represented by the first two principal components (PCs) that explained </w:t>
      </w:r>
      <w:r w:rsidR="00102CA9">
        <w:rPr>
          <w:rFonts w:eastAsiaTheme="minorEastAsia"/>
        </w:rPr>
        <w:t>91.6</w:t>
      </w:r>
      <w:r w:rsidRPr="006D55BE">
        <w:rPr>
          <w:rFonts w:eastAsiaTheme="minorEastAsia"/>
        </w:rPr>
        <w:t xml:space="preserve">% variance of AVI values (Table </w:t>
      </w:r>
      <w:r w:rsidR="0030087D" w:rsidRPr="006D55BE">
        <w:rPr>
          <w:rFonts w:eastAsiaTheme="minorEastAsia"/>
        </w:rPr>
        <w:t>3</w:t>
      </w:r>
      <w:r w:rsidRPr="006D55BE">
        <w:rPr>
          <w:rFonts w:eastAsiaTheme="minorEastAsia"/>
        </w:rPr>
        <w:t xml:space="preserve">). In detail, the first PC (PC1) already stored the </w:t>
      </w:r>
      <w:r w:rsidR="00102CA9">
        <w:rPr>
          <w:rFonts w:eastAsiaTheme="minorEastAsia"/>
        </w:rPr>
        <w:t>60</w:t>
      </w:r>
      <w:r w:rsidRPr="006D55BE">
        <w:rPr>
          <w:rFonts w:eastAsiaTheme="minorEastAsia"/>
        </w:rPr>
        <w:t xml:space="preserve">% data characteristics of AVI values, in which accessibility and visibility dominated the GBSs with the positive weightings of </w:t>
      </w:r>
      <w:r w:rsidR="00102CA9">
        <w:rPr>
          <w:rFonts w:eastAsiaTheme="minorEastAsia"/>
        </w:rPr>
        <w:t>0.688</w:t>
      </w:r>
      <w:r w:rsidRPr="006D55BE">
        <w:rPr>
          <w:rFonts w:eastAsiaTheme="minorEastAsia"/>
        </w:rPr>
        <w:t xml:space="preserve"> and 0.68, respectively. </w:t>
      </w:r>
      <w:r w:rsidR="006D0648" w:rsidRPr="006D55BE">
        <w:rPr>
          <w:rFonts w:eastAsiaTheme="minorEastAsia"/>
        </w:rPr>
        <w:t xml:space="preserve">In other words, </w:t>
      </w:r>
      <w:r w:rsidR="002E67F8" w:rsidRPr="006D55BE">
        <w:rPr>
          <w:rFonts w:eastAsiaTheme="minorEastAsia"/>
        </w:rPr>
        <w:t xml:space="preserve">GBSs can meet </w:t>
      </w:r>
      <w:r w:rsidR="005E0590">
        <w:rPr>
          <w:rFonts w:eastAsiaTheme="minorEastAsia"/>
        </w:rPr>
        <w:t>60</w:t>
      </w:r>
      <w:r w:rsidR="002E67F8" w:rsidRPr="006D55BE">
        <w:rPr>
          <w:rFonts w:eastAsiaTheme="minorEastAsia"/>
        </w:rPr>
        <w:t xml:space="preserve">% </w:t>
      </w:r>
      <w:r w:rsidR="00A5392B" w:rsidRPr="006D55BE">
        <w:rPr>
          <w:rFonts w:eastAsiaTheme="minorEastAsia"/>
        </w:rPr>
        <w:t xml:space="preserve">of </w:t>
      </w:r>
      <w:r w:rsidR="00EB2AF7" w:rsidRPr="006D55BE">
        <w:rPr>
          <w:rFonts w:eastAsiaTheme="minorEastAsia"/>
        </w:rPr>
        <w:t>pedestrian</w:t>
      </w:r>
      <w:r w:rsidR="002E67F8" w:rsidRPr="006D55BE">
        <w:rPr>
          <w:rFonts w:eastAsiaTheme="minorEastAsia"/>
        </w:rPr>
        <w:t xml:space="preserve"> needs for ease of access and viewing</w:t>
      </w:r>
      <w:r w:rsidR="00EB2AF7" w:rsidRPr="006D55BE">
        <w:rPr>
          <w:rFonts w:eastAsiaTheme="minorEastAsia"/>
        </w:rPr>
        <w:t xml:space="preserve"> in </w:t>
      </w:r>
      <w:r w:rsidR="00EB2AF7" w:rsidRPr="006D55BE">
        <w:rPr>
          <w:rFonts w:eastAsiaTheme="minorEastAsia"/>
          <w:i/>
          <w:iCs/>
        </w:rPr>
        <w:t>to-</w:t>
      </w:r>
      <w:r w:rsidR="00EB2AF7" w:rsidRPr="006D55BE">
        <w:rPr>
          <w:rFonts w:eastAsiaTheme="minorEastAsia"/>
        </w:rPr>
        <w:t xml:space="preserve"> and </w:t>
      </w:r>
      <w:r w:rsidR="00EB2AF7" w:rsidRPr="006D55BE">
        <w:rPr>
          <w:rFonts w:eastAsiaTheme="minorEastAsia"/>
          <w:i/>
          <w:iCs/>
        </w:rPr>
        <w:t>through-movement</w:t>
      </w:r>
      <w:r w:rsidR="002E67F8" w:rsidRPr="006D55BE">
        <w:rPr>
          <w:rFonts w:eastAsiaTheme="minorEastAsia"/>
        </w:rPr>
        <w:t xml:space="preserve">. </w:t>
      </w:r>
      <w:r w:rsidR="009C6C0C" w:rsidRPr="006D55BE">
        <w:rPr>
          <w:rFonts w:eastAsiaTheme="minorEastAsia"/>
        </w:rPr>
        <w:t>On the other hand</w:t>
      </w:r>
      <w:r w:rsidRPr="006D55BE">
        <w:rPr>
          <w:rFonts w:eastAsiaTheme="minorEastAsia"/>
        </w:rPr>
        <w:t>, intelligibility was the most leading influence on GBSs evaluation</w:t>
      </w:r>
      <w:r w:rsidR="009C6C0C" w:rsidRPr="006D55BE">
        <w:rPr>
          <w:rFonts w:eastAsiaTheme="minorEastAsia"/>
        </w:rPr>
        <w:t xml:space="preserve"> in PC2</w:t>
      </w:r>
      <w:r w:rsidRPr="006D55BE">
        <w:rPr>
          <w:rFonts w:eastAsiaTheme="minorEastAsia"/>
        </w:rPr>
        <w:t xml:space="preserve"> with the negative weighting of </w:t>
      </w:r>
      <w:r w:rsidR="005E0590">
        <w:rPr>
          <w:rFonts w:eastAsiaTheme="minorEastAsia"/>
        </w:rPr>
        <w:t>-0.967</w:t>
      </w:r>
      <w:r w:rsidRPr="006D55BE">
        <w:rPr>
          <w:rFonts w:eastAsiaTheme="minorEastAsia"/>
        </w:rPr>
        <w:t xml:space="preserve">. </w:t>
      </w:r>
      <w:r w:rsidR="0004326F" w:rsidRPr="006D55BE">
        <w:rPr>
          <w:rFonts w:eastAsiaTheme="minorEastAsia"/>
        </w:rPr>
        <w:t xml:space="preserve">It </w:t>
      </w:r>
      <w:r w:rsidR="00D7602F" w:rsidRPr="006D55BE">
        <w:rPr>
          <w:rFonts w:eastAsiaTheme="minorEastAsia"/>
        </w:rPr>
        <w:t>implied</w:t>
      </w:r>
      <w:r w:rsidR="0004326F" w:rsidRPr="006D55BE">
        <w:rPr>
          <w:rFonts w:eastAsiaTheme="minorEastAsia"/>
        </w:rPr>
        <w:t xml:space="preserve"> that</w:t>
      </w:r>
      <w:r w:rsidR="00D7602F" w:rsidRPr="006D55BE">
        <w:rPr>
          <w:rFonts w:eastAsiaTheme="minorEastAsia"/>
        </w:rPr>
        <w:t xml:space="preserve"> intelligibility related to</w:t>
      </w:r>
      <w:r w:rsidR="00A5392B" w:rsidRPr="006D55BE">
        <w:rPr>
          <w:rFonts w:eastAsiaTheme="minorEastAsia"/>
        </w:rPr>
        <w:t xml:space="preserve"> the</w:t>
      </w:r>
      <w:r w:rsidR="00D7602F" w:rsidRPr="006D55BE">
        <w:rPr>
          <w:rFonts w:eastAsiaTheme="minorEastAsia"/>
        </w:rPr>
        <w:t xml:space="preserve"> mental perception </w:t>
      </w:r>
      <w:r w:rsidR="009C6C0C" w:rsidRPr="006D55BE">
        <w:rPr>
          <w:rFonts w:eastAsiaTheme="minorEastAsia"/>
        </w:rPr>
        <w:t>of pedestrian</w:t>
      </w:r>
      <w:r w:rsidR="00F46B4E" w:rsidRPr="006D55BE">
        <w:rPr>
          <w:rFonts w:eastAsiaTheme="minorEastAsia"/>
        </w:rPr>
        <w:t>s</w:t>
      </w:r>
      <w:r w:rsidR="009C6C0C" w:rsidRPr="006D55BE">
        <w:rPr>
          <w:rFonts w:eastAsiaTheme="minorEastAsia"/>
        </w:rPr>
        <w:t xml:space="preserve"> </w:t>
      </w:r>
      <w:r w:rsidR="003E7288" w:rsidRPr="006D55BE">
        <w:rPr>
          <w:rFonts w:eastAsiaTheme="minorEastAsia"/>
        </w:rPr>
        <w:t xml:space="preserve">can describe around </w:t>
      </w:r>
      <w:r w:rsidR="002150AC">
        <w:rPr>
          <w:rFonts w:eastAsiaTheme="minorEastAsia"/>
        </w:rPr>
        <w:t>31.6</w:t>
      </w:r>
      <w:r w:rsidR="003E7288" w:rsidRPr="006D55BE">
        <w:rPr>
          <w:rFonts w:eastAsiaTheme="minorEastAsia"/>
        </w:rPr>
        <w:t>% p</w:t>
      </w:r>
      <w:r w:rsidR="009C6C0C" w:rsidRPr="006D55BE">
        <w:rPr>
          <w:rFonts w:eastAsiaTheme="minorEastAsia"/>
        </w:rPr>
        <w:t xml:space="preserve">edestrian-friendliness of GBSs. </w:t>
      </w:r>
      <w:r w:rsidRPr="006D55BE">
        <w:rPr>
          <w:rFonts w:eastAsiaTheme="minorEastAsia"/>
        </w:rPr>
        <w:t>Moreover, combining the weightings of AVI in both PCs, we found that</w:t>
      </w:r>
      <w:r w:rsidR="00906F37" w:rsidRPr="006D55BE">
        <w:rPr>
          <w:rFonts w:eastAsiaTheme="minorEastAsia"/>
        </w:rPr>
        <w:t xml:space="preserve"> accessibility and visibility of GBSs were highly correlated, which means that urban spatial configurations had similar effects on the amount to which GBSs could be accessed and viewed (Figure </w:t>
      </w:r>
      <w:r w:rsidR="002150AC">
        <w:rPr>
          <w:rFonts w:eastAsiaTheme="minorEastAsia"/>
        </w:rPr>
        <w:t>7</w:t>
      </w:r>
      <w:r w:rsidR="00906F37" w:rsidRPr="006D55BE">
        <w:rPr>
          <w:rFonts w:eastAsiaTheme="minorEastAsia"/>
        </w:rPr>
        <w:t xml:space="preserve">). While intelligibility can provide distinctly different GBSs information, compared to accessibility and visibility, with the greatest contributions to GBSs evaluation in the whole city, which can be a significant aspect in planning </w:t>
      </w:r>
      <w:proofErr w:type="gramStart"/>
      <w:r w:rsidR="00906F37" w:rsidRPr="006D55BE">
        <w:rPr>
          <w:rFonts w:eastAsiaTheme="minorEastAsia"/>
        </w:rPr>
        <w:t>pedestrian-friendly</w:t>
      </w:r>
      <w:proofErr w:type="gramEnd"/>
      <w:r w:rsidR="00906F37" w:rsidRPr="006D55BE">
        <w:rPr>
          <w:rFonts w:eastAsiaTheme="minorEastAsia"/>
        </w:rPr>
        <w:t xml:space="preserve"> GBSs (Figure </w:t>
      </w:r>
      <w:r w:rsidR="002150AC">
        <w:rPr>
          <w:rFonts w:eastAsiaTheme="minorEastAsia"/>
        </w:rPr>
        <w:t>7</w:t>
      </w:r>
      <w:r w:rsidR="00906F37" w:rsidRPr="006D55BE">
        <w:rPr>
          <w:rFonts w:eastAsiaTheme="minorEastAsia"/>
        </w:rPr>
        <w:t>).</w:t>
      </w:r>
    </w:p>
    <w:p w14:paraId="79F43A49" w14:textId="77777777" w:rsidR="00EF1928" w:rsidRPr="006D55BE" w:rsidRDefault="00EF1928" w:rsidP="00EF1928">
      <w:pPr>
        <w:pStyle w:val="Heading2"/>
        <w:spacing w:before="163" w:after="163"/>
        <w:rPr>
          <w:rFonts w:eastAsiaTheme="minorEastAsia"/>
        </w:rPr>
      </w:pPr>
      <w:r w:rsidRPr="006D55BE">
        <w:rPr>
          <w:rFonts w:eastAsiaTheme="minorEastAsia"/>
        </w:rPr>
        <w:t>4.3 AVI-weighted evaluations of GBSs</w:t>
      </w:r>
    </w:p>
    <w:p w14:paraId="2CE43130" w14:textId="77777777" w:rsidR="00A27C7E" w:rsidRPr="006D55BE" w:rsidRDefault="00A27C7E" w:rsidP="00A27C7E">
      <w:pPr>
        <w:pStyle w:val="Heading3"/>
        <w:spacing w:before="163" w:after="163"/>
        <w:rPr>
          <w:rFonts w:eastAsiaTheme="minorEastAsia"/>
        </w:rPr>
      </w:pPr>
      <w:r w:rsidRPr="006D55BE">
        <w:rPr>
          <w:rFonts w:eastAsiaTheme="minorEastAsia"/>
        </w:rPr>
        <w:t>4.3.1 Compare AVI scores of GBSs</w:t>
      </w:r>
    </w:p>
    <w:p w14:paraId="24BD2A15" w14:textId="0E538B41" w:rsidR="002508D9" w:rsidRDefault="00CD2007" w:rsidP="005B3764">
      <w:pPr>
        <w:spacing w:after="163"/>
        <w:ind w:firstLine="420"/>
        <w:rPr>
          <w:rFonts w:eastAsiaTheme="minorEastAsia"/>
        </w:rPr>
      </w:pPr>
      <w:r w:rsidRPr="006D55BE">
        <w:rPr>
          <w:rFonts w:eastAsiaTheme="minorEastAsia"/>
        </w:rPr>
        <w:t xml:space="preserve">The PCA contributed to transforming </w:t>
      </w:r>
      <w:r w:rsidR="00C17268" w:rsidRPr="006D55BE">
        <w:rPr>
          <w:rFonts w:eastAsiaTheme="minorEastAsia"/>
        </w:rPr>
        <w:t xml:space="preserve">the values of </w:t>
      </w:r>
      <w:r w:rsidRPr="006D55BE">
        <w:rPr>
          <w:rFonts w:eastAsiaTheme="minorEastAsia"/>
        </w:rPr>
        <w:t xml:space="preserve">AVI indicators </w:t>
      </w:r>
      <w:r w:rsidR="00C17268" w:rsidRPr="006D55BE">
        <w:rPr>
          <w:rFonts w:eastAsiaTheme="minorEastAsia"/>
        </w:rPr>
        <w:t>in</w:t>
      </w:r>
      <w:r w:rsidRPr="006D55BE">
        <w:rPr>
          <w:rFonts w:eastAsiaTheme="minorEastAsia"/>
        </w:rPr>
        <w:t>to</w:t>
      </w:r>
      <w:r w:rsidR="00C17268" w:rsidRPr="006D55BE">
        <w:rPr>
          <w:rFonts w:eastAsiaTheme="minorEastAsia"/>
        </w:rPr>
        <w:t xml:space="preserve"> new representation scores </w:t>
      </w:r>
      <w:r w:rsidR="00485E24" w:rsidRPr="006D55BE">
        <w:rPr>
          <w:rFonts w:eastAsiaTheme="minorEastAsia"/>
        </w:rPr>
        <w:t xml:space="preserve">that were comparable in the PC dimension. </w:t>
      </w:r>
      <w:r w:rsidR="00327510" w:rsidRPr="006D55BE">
        <w:rPr>
          <w:rFonts w:eastAsiaTheme="minorEastAsia"/>
        </w:rPr>
        <w:t>The accessibility, visibility, and intelligibility of</w:t>
      </w:r>
      <w:r w:rsidR="007B3891">
        <w:rPr>
          <w:rFonts w:eastAsiaTheme="minorEastAsia"/>
        </w:rPr>
        <w:t xml:space="preserve"> individual </w:t>
      </w:r>
      <w:r w:rsidR="00327510" w:rsidRPr="006D55BE">
        <w:rPr>
          <w:rFonts w:eastAsiaTheme="minorEastAsia"/>
        </w:rPr>
        <w:t xml:space="preserve">GBSs were represented by three uncorrelated PCs. </w:t>
      </w:r>
      <w:r w:rsidR="00BE14EB" w:rsidRPr="006D55BE">
        <w:rPr>
          <w:rFonts w:eastAsiaTheme="minorEastAsia"/>
        </w:rPr>
        <w:t xml:space="preserve">PC1 representing </w:t>
      </w:r>
      <w:r w:rsidR="002508D9">
        <w:rPr>
          <w:rFonts w:eastAsiaTheme="minorEastAsia"/>
        </w:rPr>
        <w:t>60</w:t>
      </w:r>
      <w:r w:rsidR="00BE14EB" w:rsidRPr="006D55BE">
        <w:rPr>
          <w:rFonts w:eastAsiaTheme="minorEastAsia"/>
        </w:rPr>
        <w:t>% of AVI features dominates the accessibility and visibility aspects of physical functions of GBSs. T</w:t>
      </w:r>
      <w:r w:rsidR="009F45F3" w:rsidRPr="006D55BE">
        <w:rPr>
          <w:rFonts w:eastAsiaTheme="minorEastAsia"/>
        </w:rPr>
        <w:t>he scores of accessibility, visibility, and intelligibility in PC</w:t>
      </w:r>
      <w:r w:rsidR="005908FD" w:rsidRPr="006D55BE">
        <w:rPr>
          <w:rFonts w:eastAsiaTheme="minorEastAsia"/>
        </w:rPr>
        <w:t>1</w:t>
      </w:r>
      <w:r w:rsidR="009F45F3" w:rsidRPr="006D55BE">
        <w:rPr>
          <w:rFonts w:eastAsiaTheme="minorEastAsia"/>
        </w:rPr>
        <w:t xml:space="preserve"> were shown in Figure </w:t>
      </w:r>
      <w:r w:rsidR="002508D9">
        <w:rPr>
          <w:rFonts w:eastAsiaTheme="minorEastAsia"/>
        </w:rPr>
        <w:t>8</w:t>
      </w:r>
      <w:r w:rsidR="002508D9" w:rsidRPr="006D55BE">
        <w:rPr>
          <w:rFonts w:eastAsiaTheme="minorEastAsia"/>
        </w:rPr>
        <w:t xml:space="preserve"> </w:t>
      </w:r>
      <w:r w:rsidR="009F45F3" w:rsidRPr="006D55BE">
        <w:rPr>
          <w:rFonts w:eastAsiaTheme="minorEastAsia"/>
        </w:rPr>
        <w:t>(a</w:t>
      </w:r>
      <w:proofErr w:type="gramStart"/>
      <w:r w:rsidR="009F45F3" w:rsidRPr="006D55BE">
        <w:rPr>
          <w:rFonts w:eastAsiaTheme="minorEastAsia"/>
        </w:rPr>
        <w:t>1)~</w:t>
      </w:r>
      <w:proofErr w:type="gramEnd"/>
      <w:r w:rsidR="009F45F3" w:rsidRPr="006D55BE">
        <w:rPr>
          <w:rFonts w:eastAsiaTheme="minorEastAsia"/>
        </w:rPr>
        <w:t>(a3)</w:t>
      </w:r>
      <w:r w:rsidR="002508D9">
        <w:rPr>
          <w:rFonts w:eastAsiaTheme="minorEastAsia"/>
        </w:rPr>
        <w:t xml:space="preserve">, which had similar spatial patterns to original AVI values derived from </w:t>
      </w:r>
      <w:proofErr w:type="spellStart"/>
      <w:r w:rsidR="002508D9">
        <w:rPr>
          <w:rFonts w:eastAsiaTheme="minorEastAsia"/>
        </w:rPr>
        <w:t>sDNA</w:t>
      </w:r>
      <w:proofErr w:type="spellEnd"/>
      <w:r w:rsidR="002508D9">
        <w:rPr>
          <w:rFonts w:eastAsiaTheme="minorEastAsia"/>
        </w:rPr>
        <w:t xml:space="preserve"> (Figure 5</w:t>
      </w:r>
      <w:r w:rsidR="00AD5127">
        <w:rPr>
          <w:rFonts w:eastAsiaTheme="minorEastAsia"/>
        </w:rPr>
        <w:t>(a)~(c)</w:t>
      </w:r>
      <w:r w:rsidR="002508D9">
        <w:rPr>
          <w:rFonts w:eastAsiaTheme="minorEastAsia"/>
        </w:rPr>
        <w:t>)</w:t>
      </w:r>
      <w:r w:rsidR="009F45F3" w:rsidRPr="006D55BE">
        <w:rPr>
          <w:rFonts w:eastAsiaTheme="minorEastAsia"/>
        </w:rPr>
        <w:t>.</w:t>
      </w:r>
      <w:r w:rsidR="002508D9">
        <w:rPr>
          <w:rFonts w:eastAsiaTheme="minorEastAsia"/>
        </w:rPr>
        <w:t xml:space="preserve"> </w:t>
      </w:r>
      <w:r w:rsidR="00AD5127">
        <w:rPr>
          <w:rFonts w:eastAsiaTheme="minorEastAsia"/>
        </w:rPr>
        <w:t xml:space="preserve">Integrating accessibility, visibility, and intelligibility, the spatial distributions of </w:t>
      </w:r>
      <w:r w:rsidR="00AD5127" w:rsidRPr="006D55BE">
        <w:rPr>
          <w:rFonts w:eastAsiaTheme="minorEastAsia"/>
        </w:rPr>
        <w:t>AVI-weighted scores of GBSs</w:t>
      </w:r>
      <w:r w:rsidR="00AD5127">
        <w:rPr>
          <w:rFonts w:eastAsiaTheme="minorEastAsia"/>
        </w:rPr>
        <w:t xml:space="preserve"> (Figure </w:t>
      </w:r>
      <w:r w:rsidR="004513E9">
        <w:rPr>
          <w:rFonts w:eastAsiaTheme="minorEastAsia"/>
        </w:rPr>
        <w:t>8</w:t>
      </w:r>
      <w:r w:rsidR="00AD5127">
        <w:rPr>
          <w:rFonts w:eastAsiaTheme="minorEastAsia"/>
        </w:rPr>
        <w:t xml:space="preserve">(a4)) were also </w:t>
      </w:r>
      <w:proofErr w:type="gramStart"/>
      <w:r w:rsidR="00AD5127">
        <w:rPr>
          <w:rFonts w:eastAsiaTheme="minorEastAsia"/>
        </w:rPr>
        <w:t>similar to</w:t>
      </w:r>
      <w:proofErr w:type="gramEnd"/>
      <w:r w:rsidR="00AD5127">
        <w:rPr>
          <w:rFonts w:eastAsiaTheme="minorEastAsia"/>
        </w:rPr>
        <w:t xml:space="preserve"> AVI-averaged ones (Figure 5(d)).</w:t>
      </w:r>
      <w:r w:rsidR="00D91499">
        <w:rPr>
          <w:rFonts w:eastAsiaTheme="minorEastAsia"/>
        </w:rPr>
        <w:t xml:space="preserve"> Furthermore, </w:t>
      </w:r>
      <w:r w:rsidR="00A43F38">
        <w:rPr>
          <w:rFonts w:eastAsiaTheme="minorEastAsia"/>
        </w:rPr>
        <w:t>i</w:t>
      </w:r>
      <w:r w:rsidR="00A43F38" w:rsidRPr="006D55BE">
        <w:rPr>
          <w:rFonts w:eastAsiaTheme="minorEastAsia"/>
        </w:rPr>
        <w:t>n PC2 with an additional 31.</w:t>
      </w:r>
      <w:r w:rsidR="00A43F38">
        <w:rPr>
          <w:rFonts w:eastAsiaTheme="minorEastAsia"/>
        </w:rPr>
        <w:t>6</w:t>
      </w:r>
      <w:r w:rsidR="00A43F38" w:rsidRPr="006D55BE">
        <w:rPr>
          <w:rFonts w:eastAsiaTheme="minorEastAsia"/>
        </w:rPr>
        <w:t>% of data features of AVI (Table 3),</w:t>
      </w:r>
      <w:r w:rsidR="001C116E">
        <w:rPr>
          <w:rFonts w:eastAsiaTheme="minorEastAsia"/>
        </w:rPr>
        <w:t xml:space="preserve"> </w:t>
      </w:r>
      <w:r w:rsidR="001C116E">
        <w:rPr>
          <w:rFonts w:eastAsiaTheme="minorEastAsia"/>
        </w:rPr>
        <w:t>t</w:t>
      </w:r>
      <w:r w:rsidR="004C7F39" w:rsidRPr="006D55BE">
        <w:rPr>
          <w:rFonts w:eastAsiaTheme="minorEastAsia"/>
        </w:rPr>
        <w:t xml:space="preserve">he spatial patterns of accessibility and visibility (Figure </w:t>
      </w:r>
      <w:r w:rsidR="004C7F39">
        <w:rPr>
          <w:rFonts w:eastAsiaTheme="minorEastAsia"/>
        </w:rPr>
        <w:t>8</w:t>
      </w:r>
      <w:r w:rsidR="004C7F39" w:rsidRPr="006D55BE">
        <w:rPr>
          <w:rFonts w:eastAsiaTheme="minorEastAsia"/>
        </w:rPr>
        <w:t>(b</w:t>
      </w:r>
      <w:proofErr w:type="gramStart"/>
      <w:r w:rsidR="004C7F39" w:rsidRPr="006D55BE">
        <w:rPr>
          <w:rFonts w:eastAsiaTheme="minorEastAsia"/>
        </w:rPr>
        <w:t>1)(</w:t>
      </w:r>
      <w:proofErr w:type="gramEnd"/>
      <w:r w:rsidR="004C7F39" w:rsidRPr="006D55BE">
        <w:rPr>
          <w:rFonts w:eastAsiaTheme="minorEastAsia"/>
        </w:rPr>
        <w:t xml:space="preserve">b2)) were almost the same as those in PC1 (Figure </w:t>
      </w:r>
      <w:r w:rsidR="004C7F39">
        <w:rPr>
          <w:rFonts w:eastAsiaTheme="minorEastAsia"/>
        </w:rPr>
        <w:t>8</w:t>
      </w:r>
      <w:r w:rsidR="004C7F39" w:rsidRPr="006D55BE">
        <w:rPr>
          <w:rFonts w:eastAsiaTheme="minorEastAsia"/>
        </w:rPr>
        <w:t>(a1)(a2)).</w:t>
      </w:r>
      <w:r w:rsidR="004C7F39">
        <w:rPr>
          <w:rFonts w:eastAsiaTheme="minorEastAsia"/>
        </w:rPr>
        <w:t xml:space="preserve"> </w:t>
      </w:r>
      <w:r w:rsidR="0033357B">
        <w:rPr>
          <w:rFonts w:eastAsiaTheme="minorEastAsia"/>
        </w:rPr>
        <w:t xml:space="preserve">Differently, </w:t>
      </w:r>
      <w:r w:rsidR="005018C9">
        <w:rPr>
          <w:rFonts w:eastAsiaTheme="minorEastAsia"/>
        </w:rPr>
        <w:t xml:space="preserve">the spatial pattern of GBSs in PC2 </w:t>
      </w:r>
      <w:r w:rsidR="005018C9">
        <w:rPr>
          <w:rFonts w:eastAsiaTheme="minorEastAsia"/>
        </w:rPr>
        <w:lastRenderedPageBreak/>
        <w:t xml:space="preserve">(Figure 8(b3)), in part, </w:t>
      </w:r>
      <w:r w:rsidR="007C680E">
        <w:rPr>
          <w:rFonts w:eastAsiaTheme="minorEastAsia"/>
        </w:rPr>
        <w:t>was</w:t>
      </w:r>
      <w:r w:rsidR="005018C9">
        <w:rPr>
          <w:rFonts w:eastAsiaTheme="minorEastAsia"/>
        </w:rPr>
        <w:t xml:space="preserve"> opposite to that in PC1 (Figure 8(a3))</w:t>
      </w:r>
      <w:r w:rsidR="0033357B">
        <w:rPr>
          <w:rFonts w:eastAsiaTheme="minorEastAsia"/>
        </w:rPr>
        <w:t xml:space="preserve">, which, however, was </w:t>
      </w:r>
      <w:proofErr w:type="gramStart"/>
      <w:r w:rsidR="0033357B">
        <w:rPr>
          <w:rFonts w:eastAsiaTheme="minorEastAsia"/>
        </w:rPr>
        <w:t>similar to</w:t>
      </w:r>
      <w:proofErr w:type="gramEnd"/>
      <w:r w:rsidR="0033357B">
        <w:rPr>
          <w:rFonts w:eastAsiaTheme="minorEastAsia"/>
        </w:rPr>
        <w:t xml:space="preserve"> the patterns of AVI-weighted GBSs scores</w:t>
      </w:r>
      <w:r w:rsidR="003E3A21">
        <w:rPr>
          <w:rFonts w:eastAsiaTheme="minorEastAsia"/>
        </w:rPr>
        <w:t xml:space="preserve"> (Figure 8(b4))</w:t>
      </w:r>
      <w:r w:rsidR="0033357B">
        <w:rPr>
          <w:rFonts w:eastAsiaTheme="minorEastAsia"/>
        </w:rPr>
        <w:t xml:space="preserve">. </w:t>
      </w:r>
      <w:r w:rsidR="003E7C69">
        <w:rPr>
          <w:rFonts w:eastAsiaTheme="minorEastAsia"/>
        </w:rPr>
        <w:t xml:space="preserve">Therefore, we claimed that the original individual values of AVI indicators as well as AVI-averaged </w:t>
      </w:r>
      <w:r w:rsidR="00AD143F">
        <w:rPr>
          <w:rFonts w:eastAsiaTheme="minorEastAsia"/>
        </w:rPr>
        <w:t>values</w:t>
      </w:r>
      <w:r w:rsidR="00982AA6">
        <w:rPr>
          <w:rFonts w:eastAsiaTheme="minorEastAsia"/>
        </w:rPr>
        <w:t xml:space="preserve">, derived from </w:t>
      </w:r>
      <w:proofErr w:type="spellStart"/>
      <w:r w:rsidR="00982AA6">
        <w:rPr>
          <w:rFonts w:eastAsiaTheme="minorEastAsia"/>
        </w:rPr>
        <w:t>sDNA</w:t>
      </w:r>
      <w:proofErr w:type="spellEnd"/>
      <w:r w:rsidR="00982AA6">
        <w:rPr>
          <w:rFonts w:eastAsiaTheme="minorEastAsia"/>
        </w:rPr>
        <w:t xml:space="preserve"> technique,</w:t>
      </w:r>
      <w:r w:rsidR="00AD143F">
        <w:rPr>
          <w:rFonts w:eastAsiaTheme="minorEastAsia"/>
        </w:rPr>
        <w:t xml:space="preserve"> can </w:t>
      </w:r>
      <w:r w:rsidR="00982AA6" w:rsidRPr="00982AA6">
        <w:rPr>
          <w:rFonts w:eastAsiaTheme="minorEastAsia"/>
        </w:rPr>
        <w:t>predict approximately</w:t>
      </w:r>
      <w:r w:rsidR="00982AA6">
        <w:rPr>
          <w:rFonts w:eastAsiaTheme="minorEastAsia"/>
        </w:rPr>
        <w:t xml:space="preserve"> </w:t>
      </w:r>
      <w:r w:rsidR="00AD143F">
        <w:rPr>
          <w:rFonts w:eastAsiaTheme="minorEastAsia"/>
        </w:rPr>
        <w:t xml:space="preserve">60% of GBSs’ pedestrian friendliness in </w:t>
      </w:r>
      <w:r w:rsidR="007C680E">
        <w:rPr>
          <w:rFonts w:eastAsiaTheme="minorEastAsia"/>
        </w:rPr>
        <w:t xml:space="preserve">the </w:t>
      </w:r>
      <w:r w:rsidR="00AD143F">
        <w:rPr>
          <w:rFonts w:eastAsiaTheme="minorEastAsia"/>
        </w:rPr>
        <w:t xml:space="preserve">PC dimension. </w:t>
      </w:r>
      <w:r w:rsidR="001C116E">
        <w:rPr>
          <w:rFonts w:eastAsiaTheme="minorEastAsia"/>
        </w:rPr>
        <w:t xml:space="preserve">Additional about 31.6% of AVI features of GBSs can be </w:t>
      </w:r>
      <w:r w:rsidR="00AD7F75">
        <w:rPr>
          <w:rFonts w:eastAsiaTheme="minorEastAsia"/>
        </w:rPr>
        <w:t xml:space="preserve">almost </w:t>
      </w:r>
      <w:r w:rsidR="001C116E">
        <w:rPr>
          <w:rFonts w:eastAsiaTheme="minorEastAsia"/>
        </w:rPr>
        <w:t xml:space="preserve">presented by </w:t>
      </w:r>
      <w:r w:rsidR="001C116E" w:rsidRPr="006D55BE">
        <w:rPr>
          <w:rFonts w:eastAsiaTheme="minorEastAsia"/>
        </w:rPr>
        <w:t xml:space="preserve">intelligibility </w:t>
      </w:r>
      <w:r w:rsidR="001C116E">
        <w:rPr>
          <w:rFonts w:eastAsiaTheme="minorEastAsia"/>
        </w:rPr>
        <w:t xml:space="preserve">that was </w:t>
      </w:r>
      <w:r w:rsidR="001C116E" w:rsidRPr="006D55BE">
        <w:rPr>
          <w:rFonts w:eastAsiaTheme="minorEastAsia"/>
        </w:rPr>
        <w:t>as a function of spatial cognition in the GBSs</w:t>
      </w:r>
      <w:r w:rsidR="00982AA6">
        <w:rPr>
          <w:rFonts w:eastAsiaTheme="minorEastAsia"/>
        </w:rPr>
        <w:t xml:space="preserve">. </w:t>
      </w:r>
    </w:p>
    <w:p w14:paraId="368A2BEB" w14:textId="30F1E694" w:rsidR="00AD2722" w:rsidRPr="006D55BE" w:rsidRDefault="00C533C1" w:rsidP="0042588D">
      <w:pPr>
        <w:spacing w:after="163"/>
        <w:ind w:firstLine="420"/>
        <w:rPr>
          <w:rFonts w:eastAsiaTheme="minorEastAsia"/>
        </w:rPr>
      </w:pPr>
      <w:r>
        <w:rPr>
          <w:rFonts w:eastAsiaTheme="minorEastAsia"/>
        </w:rPr>
        <w:t xml:space="preserve">When averaged to district scale, </w:t>
      </w:r>
      <w:r w:rsidR="00256719" w:rsidRPr="00256719">
        <w:rPr>
          <w:rFonts w:eastAsiaTheme="minorEastAsia"/>
        </w:rPr>
        <w:t xml:space="preserve">PCA-based AVI scores, which have been standardized and comparable, therefore, can be used as instruments for the communications between stakeholders in GBS planning </w:t>
      </w:r>
      <w:r w:rsidR="00256719" w:rsidRPr="00256719">
        <w:rPr>
          <w:lang w:eastAsia="en-US"/>
        </w:rPr>
        <w:fldChar w:fldCharType="begin" w:fldLock="1"/>
      </w:r>
      <w:r w:rsidR="00256719" w:rsidRPr="00256719">
        <w:instrText>ADDIN CSL_CITATION {"citationItems":[{"id":"ITEM-1","itemData":{"DOI":"10.1016/j.scitotenv.2017.09.167","author":[{"dropping-particle":"","family":"Daniels","given":"Benjamin","non-dropping-particle":"","parse-names":false,"suffix":""},{"dropping-particle":"","family":"Zaunbrecher","given":"Barbara S","non-dropping-particle":"","parse-names":false,"suffix":""},{"dropping-particle":"","family":"Paas","given":"Bastian","non-dropping-particle":"","parse-names":false,"suffix":""},{"dropping-particle":"","family":"Ottermanns","given":"Richard","non-dropping-particle":"","parse-names":false,"suffix":""},{"dropping-particle":"","family":"Ziefle","given":"Martina","non-dropping-particle":"","parse-names":false,"suffix":""},{"dropping-particle":"","family":"Roß-Nickoll","given":"Martina","non-dropping-particle":"","parse-names":false,"suffix":""}],"container-title":"Science of the Total Environment","id":"ITEM-1","issued":{"date-parts":[["2017"]]},"page":"1364-1378","title":"Assessment of urban green space structures and their quality from a multidimensional perspective","type":"article-journal","volume":"615"},"uris":["http://www.mendeley.com/documents/?uuid=39beda29-be6f-39fa-bbb9-6e4c9c581e97"]}],"mendeley":{"formattedCitation":"(Daniels et al., 2017)","plainTextFormattedCitation":"(Daniels et al., 2017)","previouslyFormattedCitation":"(Daniels et al., 2017)"},"properties":{"noteIndex":0},"schema":"https://github.com/citation-style-language/schema/raw/master/csl-citation.json"}</w:instrText>
      </w:r>
      <w:r w:rsidR="00256719" w:rsidRPr="00256719">
        <w:rPr>
          <w:lang w:eastAsia="en-US"/>
        </w:rPr>
        <w:fldChar w:fldCharType="separate"/>
      </w:r>
      <w:r w:rsidR="00256719" w:rsidRPr="00256719">
        <w:rPr>
          <w:noProof/>
          <w:lang w:eastAsia="en-US"/>
        </w:rPr>
        <w:t>(Daniels et al., 2017)</w:t>
      </w:r>
      <w:r w:rsidR="00256719" w:rsidRPr="00256719">
        <w:rPr>
          <w:lang w:eastAsia="en-US"/>
        </w:rPr>
        <w:fldChar w:fldCharType="end"/>
      </w:r>
      <w:r w:rsidR="00256719" w:rsidRPr="00256719">
        <w:rPr>
          <w:rFonts w:eastAsiaTheme="minorEastAsia"/>
        </w:rPr>
        <w:t xml:space="preserve">. </w:t>
      </w:r>
      <w:r w:rsidR="00F0276E" w:rsidRPr="00256719">
        <w:rPr>
          <w:rFonts w:eastAsiaTheme="minorEastAsia"/>
        </w:rPr>
        <w:t>I</w:t>
      </w:r>
      <w:r w:rsidR="00F0276E">
        <w:rPr>
          <w:rFonts w:eastAsiaTheme="minorEastAsia"/>
        </w:rPr>
        <w:t>n PC1, the more central districts had greater a</w:t>
      </w:r>
      <w:r w:rsidR="00F0276E" w:rsidRPr="006D55BE">
        <w:rPr>
          <w:rFonts w:eastAsiaTheme="minorEastAsia"/>
        </w:rPr>
        <w:t>ccessibility and visibility of GBSs</w:t>
      </w:r>
      <w:r w:rsidR="009C6047">
        <w:rPr>
          <w:rFonts w:eastAsiaTheme="minorEastAsia"/>
        </w:rPr>
        <w:t xml:space="preserve"> (Figure 9(a</w:t>
      </w:r>
      <w:proofErr w:type="gramStart"/>
      <w:r w:rsidR="009C6047">
        <w:rPr>
          <w:rFonts w:eastAsiaTheme="minorEastAsia"/>
        </w:rPr>
        <w:t>1)(</w:t>
      </w:r>
      <w:proofErr w:type="gramEnd"/>
      <w:r w:rsidR="009C6047">
        <w:rPr>
          <w:rFonts w:eastAsiaTheme="minorEastAsia"/>
        </w:rPr>
        <w:t>a2))</w:t>
      </w:r>
      <w:r w:rsidR="00F0276E">
        <w:rPr>
          <w:rFonts w:eastAsiaTheme="minorEastAsia"/>
        </w:rPr>
        <w:t xml:space="preserve">. </w:t>
      </w:r>
      <w:r w:rsidR="0058328F" w:rsidRPr="006D55BE">
        <w:rPr>
          <w:rFonts w:eastAsiaTheme="minorEastAsia"/>
        </w:rPr>
        <w:t xml:space="preserve">Contrarily, the intelligibility values of GBSs were higher in non-central districts with the highest in the </w:t>
      </w:r>
      <w:r w:rsidR="003250A0" w:rsidRPr="006D55BE">
        <w:rPr>
          <w:rFonts w:eastAsiaTheme="minorEastAsia"/>
        </w:rPr>
        <w:t>southernmost</w:t>
      </w:r>
      <w:r w:rsidR="0058328F" w:rsidRPr="006D55BE">
        <w:rPr>
          <w:rFonts w:eastAsiaTheme="minorEastAsia"/>
        </w:rPr>
        <w:t xml:space="preserve"> district</w:t>
      </w:r>
      <w:r w:rsidR="00EF7CB5">
        <w:rPr>
          <w:rFonts w:eastAsiaTheme="minorEastAsia"/>
        </w:rPr>
        <w:t xml:space="preserve"> (Figure 9(a3))</w:t>
      </w:r>
      <w:r w:rsidR="0058328F" w:rsidRPr="006D55BE">
        <w:rPr>
          <w:rFonts w:eastAsiaTheme="minorEastAsia"/>
        </w:rPr>
        <w:t xml:space="preserve">. </w:t>
      </w:r>
      <w:r w:rsidR="001E5299" w:rsidRPr="006D55BE">
        <w:rPr>
          <w:rFonts w:eastAsiaTheme="minorEastAsia"/>
        </w:rPr>
        <w:t>Comparing the values of AVI indicator</w:t>
      </w:r>
      <w:r w:rsidR="00770496" w:rsidRPr="006D55BE">
        <w:rPr>
          <w:rFonts w:eastAsiaTheme="minorEastAsia"/>
        </w:rPr>
        <w:t>s</w:t>
      </w:r>
      <w:r w:rsidR="001E5299" w:rsidRPr="006D55BE">
        <w:rPr>
          <w:rFonts w:eastAsiaTheme="minorEastAsia"/>
        </w:rPr>
        <w:t xml:space="preserve"> in each district,</w:t>
      </w:r>
      <w:r w:rsidR="00770496" w:rsidRPr="006D55BE">
        <w:rPr>
          <w:rFonts w:eastAsiaTheme="minorEastAsia"/>
        </w:rPr>
        <w:t xml:space="preserve"> four clusters can be observed (Figure </w:t>
      </w:r>
      <w:r w:rsidR="009C6047">
        <w:rPr>
          <w:rFonts w:eastAsiaTheme="minorEastAsia"/>
        </w:rPr>
        <w:t>9</w:t>
      </w:r>
      <w:r w:rsidR="00770496" w:rsidRPr="006D55BE">
        <w:rPr>
          <w:rFonts w:eastAsiaTheme="minorEastAsia"/>
        </w:rPr>
        <w:t>(a5)).</w:t>
      </w:r>
      <w:r w:rsidR="000E091E" w:rsidRPr="006D55BE">
        <w:rPr>
          <w:rFonts w:eastAsiaTheme="minorEastAsia"/>
        </w:rPr>
        <w:t xml:space="preserve"> GBSs in peripheral districts had the greatest intelligibility but the least visibility, while GBSs in more central districts had the lowest accessibility. </w:t>
      </w:r>
      <w:r w:rsidR="00965752" w:rsidRPr="006D55BE">
        <w:rPr>
          <w:rFonts w:eastAsiaTheme="minorEastAsia"/>
        </w:rPr>
        <w:t>GBSs had the lowest intell</w:t>
      </w:r>
      <w:r w:rsidR="001369A2">
        <w:rPr>
          <w:rFonts w:eastAsiaTheme="minorEastAsia"/>
        </w:rPr>
        <w:t>i</w:t>
      </w:r>
      <w:r w:rsidR="00965752" w:rsidRPr="006D55BE">
        <w:rPr>
          <w:rFonts w:eastAsiaTheme="minorEastAsia"/>
        </w:rPr>
        <w:t>gibility consistently across the most central districts ('Yuexiu', '</w:t>
      </w:r>
      <w:proofErr w:type="spellStart"/>
      <w:r w:rsidR="00965752" w:rsidRPr="006D55BE">
        <w:rPr>
          <w:rFonts w:eastAsiaTheme="minorEastAsia"/>
        </w:rPr>
        <w:t>Liwan</w:t>
      </w:r>
      <w:proofErr w:type="spellEnd"/>
      <w:r w:rsidR="00965752" w:rsidRPr="006D55BE">
        <w:rPr>
          <w:rFonts w:eastAsiaTheme="minorEastAsia"/>
        </w:rPr>
        <w:t>', '</w:t>
      </w:r>
      <w:proofErr w:type="spellStart"/>
      <w:r w:rsidR="00965752" w:rsidRPr="006D55BE">
        <w:rPr>
          <w:rFonts w:eastAsiaTheme="minorEastAsia"/>
        </w:rPr>
        <w:t>Haizhu</w:t>
      </w:r>
      <w:proofErr w:type="spellEnd"/>
      <w:r w:rsidR="00965752" w:rsidRPr="006D55BE">
        <w:rPr>
          <w:rFonts w:eastAsiaTheme="minorEastAsia"/>
        </w:rPr>
        <w:t>', and 'Tianhe' districts)</w:t>
      </w:r>
      <w:r w:rsidR="0023459F">
        <w:rPr>
          <w:rFonts w:eastAsiaTheme="minorEastAsia"/>
        </w:rPr>
        <w:t xml:space="preserve">, among which, </w:t>
      </w:r>
      <w:r w:rsidR="00965752" w:rsidRPr="006D55BE">
        <w:rPr>
          <w:rFonts w:eastAsiaTheme="minorEastAsia"/>
        </w:rPr>
        <w:t>‘Yuexiu’ and ‘</w:t>
      </w:r>
      <w:proofErr w:type="spellStart"/>
      <w:r w:rsidR="00965752" w:rsidRPr="006D55BE">
        <w:rPr>
          <w:rFonts w:eastAsiaTheme="minorEastAsia"/>
        </w:rPr>
        <w:t>Liwan</w:t>
      </w:r>
      <w:proofErr w:type="spellEnd"/>
      <w:r w:rsidR="00965752" w:rsidRPr="006D55BE">
        <w:rPr>
          <w:rFonts w:eastAsiaTheme="minorEastAsia"/>
        </w:rPr>
        <w:t xml:space="preserve">’ districts had the most accessible GBSs, while </w:t>
      </w:r>
      <w:r w:rsidR="0023459F">
        <w:rPr>
          <w:rFonts w:eastAsiaTheme="minorEastAsia"/>
        </w:rPr>
        <w:t>an</w:t>
      </w:r>
      <w:r w:rsidR="00965752" w:rsidRPr="006D55BE">
        <w:rPr>
          <w:rFonts w:eastAsiaTheme="minorEastAsia"/>
        </w:rPr>
        <w:t>other two districts had the greatest visible GBSs.</w:t>
      </w:r>
      <w:r w:rsidR="005B3764" w:rsidRPr="006D55BE">
        <w:rPr>
          <w:rFonts w:eastAsiaTheme="minorEastAsia"/>
        </w:rPr>
        <w:t xml:space="preserve"> Using the averaged </w:t>
      </w:r>
      <w:r w:rsidR="00756BE9">
        <w:rPr>
          <w:rFonts w:eastAsiaTheme="minorEastAsia"/>
        </w:rPr>
        <w:t xml:space="preserve">PCA-based </w:t>
      </w:r>
      <w:r w:rsidR="005B3764" w:rsidRPr="006D55BE">
        <w:rPr>
          <w:rFonts w:eastAsiaTheme="minorEastAsia"/>
        </w:rPr>
        <w:t>AVI scores across districts, GBSs had the best intelligibility but the worst visibility throughout the city</w:t>
      </w:r>
      <w:r w:rsidR="00D25092" w:rsidRPr="006D55BE">
        <w:rPr>
          <w:rFonts w:eastAsiaTheme="minorEastAsia"/>
        </w:rPr>
        <w:t xml:space="preserve">, consistent with those in the cluster of peripheral districts. </w:t>
      </w:r>
      <w:r w:rsidR="00A9312C">
        <w:rPr>
          <w:rFonts w:eastAsiaTheme="minorEastAsia"/>
        </w:rPr>
        <w:t xml:space="preserve">Moreover, </w:t>
      </w:r>
      <w:r w:rsidR="00A9312C" w:rsidRPr="006D55BE">
        <w:rPr>
          <w:rFonts w:eastAsiaTheme="minorEastAsia"/>
        </w:rPr>
        <w:t>AVI-weighted scores of GBSs</w:t>
      </w:r>
      <w:r w:rsidR="00A9312C">
        <w:rPr>
          <w:rFonts w:eastAsiaTheme="minorEastAsia"/>
        </w:rPr>
        <w:t xml:space="preserve"> </w:t>
      </w:r>
      <w:r w:rsidR="00A9312C" w:rsidRPr="006D55BE">
        <w:rPr>
          <w:rFonts w:eastAsiaTheme="minorEastAsia"/>
        </w:rPr>
        <w:t>indicated</w:t>
      </w:r>
      <w:r w:rsidR="00A9312C">
        <w:rPr>
          <w:rFonts w:eastAsiaTheme="minorEastAsia"/>
        </w:rPr>
        <w:t xml:space="preserve"> that </w:t>
      </w:r>
      <w:r w:rsidR="009B4D88" w:rsidRPr="006D55BE">
        <w:rPr>
          <w:rFonts w:eastAsiaTheme="minorEastAsia"/>
        </w:rPr>
        <w:t>GBSs in the central districts, such as ‘Yuexiu’ and ‘</w:t>
      </w:r>
      <w:proofErr w:type="spellStart"/>
      <w:r w:rsidR="009B4D88" w:rsidRPr="006D55BE">
        <w:rPr>
          <w:rFonts w:eastAsiaTheme="minorEastAsia"/>
        </w:rPr>
        <w:t>Haizhu</w:t>
      </w:r>
      <w:proofErr w:type="spellEnd"/>
      <w:r w:rsidR="009B4D88" w:rsidRPr="006D55BE">
        <w:rPr>
          <w:rFonts w:eastAsiaTheme="minorEastAsia"/>
        </w:rPr>
        <w:t xml:space="preserve">’ districts, were more pedestrian-friendly weighted by accessibility, visibility, and intelligibility and then provided </w:t>
      </w:r>
      <w:r w:rsidR="007942D5" w:rsidRPr="006D55BE">
        <w:rPr>
          <w:rFonts w:eastAsiaTheme="minorEastAsia"/>
        </w:rPr>
        <w:t xml:space="preserve">a </w:t>
      </w:r>
      <w:r w:rsidR="009B4D88" w:rsidRPr="006D55BE">
        <w:rPr>
          <w:rFonts w:eastAsiaTheme="minorEastAsia"/>
        </w:rPr>
        <w:t xml:space="preserve">better walking experience for pedestrians. </w:t>
      </w:r>
      <w:r w:rsidR="002E1451" w:rsidRPr="006D55BE">
        <w:rPr>
          <w:rFonts w:eastAsiaTheme="minorEastAsia"/>
        </w:rPr>
        <w:t xml:space="preserve">In general, the AVI-weighted patterns of GBSs among districts were greatly </w:t>
      </w:r>
      <w:proofErr w:type="gramStart"/>
      <w:r w:rsidR="002E1451" w:rsidRPr="006D55BE">
        <w:rPr>
          <w:rFonts w:eastAsiaTheme="minorEastAsia"/>
        </w:rPr>
        <w:t>similar to</w:t>
      </w:r>
      <w:proofErr w:type="gramEnd"/>
      <w:r w:rsidR="002E1451" w:rsidRPr="006D55BE">
        <w:rPr>
          <w:rFonts w:eastAsiaTheme="minorEastAsia"/>
        </w:rPr>
        <w:t xml:space="preserve"> the patterns of accessibility and visibility that were two dominant indicators in PC1 (Table </w:t>
      </w:r>
      <w:r w:rsidR="0030087D" w:rsidRPr="006D55BE">
        <w:rPr>
          <w:rFonts w:eastAsiaTheme="minorEastAsia"/>
        </w:rPr>
        <w:t>3</w:t>
      </w:r>
      <w:r w:rsidR="002E1451" w:rsidRPr="006D55BE">
        <w:rPr>
          <w:rFonts w:eastAsiaTheme="minorEastAsia"/>
        </w:rPr>
        <w:t>).</w:t>
      </w:r>
      <w:r w:rsidR="00876630" w:rsidRPr="006D55BE">
        <w:rPr>
          <w:rFonts w:eastAsiaTheme="minorEastAsia"/>
        </w:rPr>
        <w:t xml:space="preserve"> </w:t>
      </w:r>
      <w:r w:rsidR="00E338C5" w:rsidRPr="006D55BE">
        <w:rPr>
          <w:rFonts w:eastAsiaTheme="minorEastAsia"/>
        </w:rPr>
        <w:t xml:space="preserve">The districts of </w:t>
      </w:r>
      <w:r w:rsidR="008A354B" w:rsidRPr="006D55BE">
        <w:rPr>
          <w:rFonts w:eastAsiaTheme="minorEastAsia"/>
        </w:rPr>
        <w:t>‘Yuexiu’, ‘</w:t>
      </w:r>
      <w:proofErr w:type="spellStart"/>
      <w:r w:rsidR="008A354B" w:rsidRPr="006D55BE">
        <w:rPr>
          <w:rFonts w:eastAsiaTheme="minorEastAsia"/>
        </w:rPr>
        <w:t>Haizhu</w:t>
      </w:r>
      <w:proofErr w:type="spellEnd"/>
      <w:r w:rsidR="008A354B" w:rsidRPr="006D55BE">
        <w:rPr>
          <w:rFonts w:eastAsiaTheme="minorEastAsia"/>
        </w:rPr>
        <w:t>’, and ‘</w:t>
      </w:r>
      <w:proofErr w:type="spellStart"/>
      <w:r w:rsidR="008A354B" w:rsidRPr="006D55BE">
        <w:rPr>
          <w:rFonts w:eastAsiaTheme="minorEastAsia"/>
        </w:rPr>
        <w:t>Liwan</w:t>
      </w:r>
      <w:proofErr w:type="spellEnd"/>
      <w:r w:rsidR="008A354B" w:rsidRPr="006D55BE">
        <w:rPr>
          <w:rFonts w:eastAsiaTheme="minorEastAsia"/>
        </w:rPr>
        <w:t xml:space="preserve">’ </w:t>
      </w:r>
      <w:r w:rsidR="00E338C5" w:rsidRPr="006D55BE">
        <w:rPr>
          <w:rFonts w:eastAsiaTheme="minorEastAsia"/>
        </w:rPr>
        <w:t>were rated as having the most pedestrian-friendly GBSs and the best walking experience in GBSs</w:t>
      </w:r>
      <w:r w:rsidR="003C56BF" w:rsidRPr="006D55BE">
        <w:rPr>
          <w:rFonts w:eastAsiaTheme="minorEastAsia"/>
        </w:rPr>
        <w:t xml:space="preserve"> </w:t>
      </w:r>
      <w:r w:rsidR="003C56BF" w:rsidRPr="006D55BE">
        <w:rPr>
          <w:bCs/>
        </w:rPr>
        <w:t>with 68.4% confidence</w:t>
      </w:r>
      <w:r w:rsidR="00E338C5" w:rsidRPr="006D55BE">
        <w:rPr>
          <w:rFonts w:eastAsiaTheme="minorEastAsia"/>
        </w:rPr>
        <w:t>.</w:t>
      </w:r>
      <w:r w:rsidR="00114FAD" w:rsidRPr="006D55BE">
        <w:rPr>
          <w:rFonts w:eastAsiaTheme="minorEastAsia"/>
        </w:rPr>
        <w:t xml:space="preserve"> </w:t>
      </w:r>
      <w:r w:rsidR="00A9312C">
        <w:rPr>
          <w:rFonts w:eastAsiaTheme="minorEastAsia"/>
        </w:rPr>
        <w:t xml:space="preserve">On the other hand, </w:t>
      </w:r>
      <w:r w:rsidR="0042588D">
        <w:rPr>
          <w:rFonts w:eastAsiaTheme="minorEastAsia"/>
        </w:rPr>
        <w:t>in PC2,</w:t>
      </w:r>
      <w:r w:rsidR="0080646C" w:rsidRPr="006D55BE">
        <w:rPr>
          <w:rFonts w:eastAsiaTheme="minorEastAsia"/>
        </w:rPr>
        <w:t xml:space="preserve"> the highest intelligibility of GBSs was shown in “</w:t>
      </w:r>
      <w:proofErr w:type="spellStart"/>
      <w:r w:rsidR="0080646C" w:rsidRPr="006D55BE">
        <w:rPr>
          <w:rFonts w:eastAsiaTheme="minorEastAsia"/>
        </w:rPr>
        <w:t>Huadu</w:t>
      </w:r>
      <w:proofErr w:type="spellEnd"/>
      <w:r w:rsidR="0080646C" w:rsidRPr="006D55BE">
        <w:rPr>
          <w:rFonts w:eastAsiaTheme="minorEastAsia"/>
        </w:rPr>
        <w:t xml:space="preserve">” (Figure </w:t>
      </w:r>
      <w:r w:rsidR="006727FC">
        <w:rPr>
          <w:rFonts w:eastAsiaTheme="minorEastAsia"/>
        </w:rPr>
        <w:t>9</w:t>
      </w:r>
      <w:r w:rsidR="0080646C" w:rsidRPr="006D55BE">
        <w:rPr>
          <w:rFonts w:eastAsiaTheme="minorEastAsia"/>
        </w:rPr>
        <w:t>(b3)) instead of “</w:t>
      </w:r>
      <w:proofErr w:type="spellStart"/>
      <w:r w:rsidR="0080646C" w:rsidRPr="006D55BE">
        <w:rPr>
          <w:rFonts w:eastAsiaTheme="minorEastAsia"/>
        </w:rPr>
        <w:t>Nansha</w:t>
      </w:r>
      <w:proofErr w:type="spellEnd"/>
      <w:r w:rsidR="0080646C" w:rsidRPr="006D55BE">
        <w:rPr>
          <w:rFonts w:eastAsiaTheme="minorEastAsia"/>
        </w:rPr>
        <w:t>” district in PC1</w:t>
      </w:r>
      <w:r w:rsidR="0047227C" w:rsidRPr="006D55BE">
        <w:rPr>
          <w:rFonts w:eastAsiaTheme="minorEastAsia"/>
        </w:rPr>
        <w:t xml:space="preserve"> (Figure </w:t>
      </w:r>
      <w:r w:rsidR="006727FC">
        <w:rPr>
          <w:rFonts w:eastAsiaTheme="minorEastAsia"/>
        </w:rPr>
        <w:t>9</w:t>
      </w:r>
      <w:r w:rsidR="0047227C" w:rsidRPr="006D55BE">
        <w:rPr>
          <w:rFonts w:eastAsiaTheme="minorEastAsia"/>
        </w:rPr>
        <w:t>(a3))</w:t>
      </w:r>
      <w:r w:rsidR="0080646C" w:rsidRPr="006D55BE">
        <w:rPr>
          <w:rFonts w:eastAsiaTheme="minorEastAsia"/>
        </w:rPr>
        <w:t xml:space="preserve">. </w:t>
      </w:r>
      <w:proofErr w:type="gramStart"/>
      <w:r w:rsidR="00CF6FFC" w:rsidRPr="006D55BE">
        <w:rPr>
          <w:rFonts w:eastAsiaTheme="minorEastAsia"/>
        </w:rPr>
        <w:t>Similar to</w:t>
      </w:r>
      <w:proofErr w:type="gramEnd"/>
      <w:r w:rsidR="00CF6FFC" w:rsidRPr="006D55BE">
        <w:rPr>
          <w:rFonts w:eastAsiaTheme="minorEastAsia"/>
        </w:rPr>
        <w:t xml:space="preserve"> PC1, there were also four spatial clusters of the AVI scores</w:t>
      </w:r>
      <w:r w:rsidR="00524433" w:rsidRPr="006D55BE">
        <w:rPr>
          <w:rFonts w:eastAsiaTheme="minorEastAsia"/>
        </w:rPr>
        <w:t xml:space="preserve"> in PC2</w:t>
      </w:r>
      <w:r w:rsidR="00CF6FFC" w:rsidRPr="006D55BE">
        <w:rPr>
          <w:rFonts w:eastAsiaTheme="minorEastAsia"/>
        </w:rPr>
        <w:t xml:space="preserve"> (Figure </w:t>
      </w:r>
      <w:r w:rsidR="006727FC">
        <w:rPr>
          <w:rFonts w:eastAsiaTheme="minorEastAsia"/>
        </w:rPr>
        <w:t>9</w:t>
      </w:r>
      <w:r w:rsidR="00CF6FFC" w:rsidRPr="006D55BE">
        <w:rPr>
          <w:rFonts w:eastAsiaTheme="minorEastAsia"/>
        </w:rPr>
        <w:t>(b5))</w:t>
      </w:r>
      <w:r w:rsidR="00524433" w:rsidRPr="006D55BE">
        <w:rPr>
          <w:rFonts w:eastAsiaTheme="minorEastAsia"/>
        </w:rPr>
        <w:t xml:space="preserve">. The entire city still had the </w:t>
      </w:r>
      <w:r w:rsidR="00B23F48" w:rsidRPr="006D55BE">
        <w:rPr>
          <w:rFonts w:eastAsiaTheme="minorEastAsia"/>
        </w:rPr>
        <w:t>greatest</w:t>
      </w:r>
      <w:r w:rsidR="00524433" w:rsidRPr="006D55BE">
        <w:rPr>
          <w:rFonts w:eastAsiaTheme="minorEastAsia"/>
        </w:rPr>
        <w:t xml:space="preserve"> intelligibility but the least visibility of GBSs </w:t>
      </w:r>
      <w:r w:rsidR="007B0B58">
        <w:rPr>
          <w:rFonts w:eastAsiaTheme="minorEastAsia"/>
        </w:rPr>
        <w:t>on</w:t>
      </w:r>
      <w:r w:rsidR="00EC792B" w:rsidRPr="006D55BE">
        <w:rPr>
          <w:rFonts w:eastAsiaTheme="minorEastAsia"/>
        </w:rPr>
        <w:t xml:space="preserve"> </w:t>
      </w:r>
      <w:r w:rsidR="00B23F48" w:rsidRPr="006D55BE">
        <w:rPr>
          <w:rFonts w:eastAsiaTheme="minorEastAsia"/>
        </w:rPr>
        <w:t>average</w:t>
      </w:r>
      <w:r w:rsidR="00EC792B" w:rsidRPr="006D55BE">
        <w:rPr>
          <w:rFonts w:eastAsiaTheme="minorEastAsia"/>
        </w:rPr>
        <w:t xml:space="preserve"> </w:t>
      </w:r>
      <w:r w:rsidR="00524433" w:rsidRPr="006D55BE">
        <w:rPr>
          <w:rFonts w:eastAsiaTheme="minorEastAsia"/>
        </w:rPr>
        <w:t xml:space="preserve">in PC2. </w:t>
      </w:r>
      <w:r w:rsidR="00023066" w:rsidRPr="006D55BE">
        <w:rPr>
          <w:rFonts w:eastAsiaTheme="minorEastAsia"/>
        </w:rPr>
        <w:t>Moreover, t</w:t>
      </w:r>
      <w:r w:rsidR="00EF3EC2" w:rsidRPr="006D55BE">
        <w:rPr>
          <w:rFonts w:eastAsiaTheme="minorEastAsia"/>
        </w:rPr>
        <w:t xml:space="preserve">he AVI-weighted scores of GBSs in PC2 demonstrated similar patterns to intelligibility (Figure </w:t>
      </w:r>
      <w:r w:rsidR="006733F9">
        <w:rPr>
          <w:rFonts w:eastAsiaTheme="minorEastAsia"/>
        </w:rPr>
        <w:t>9</w:t>
      </w:r>
      <w:r w:rsidR="00EF3EC2" w:rsidRPr="006D55BE">
        <w:rPr>
          <w:rFonts w:eastAsiaTheme="minorEastAsia"/>
        </w:rPr>
        <w:t xml:space="preserve">(b4)) which is the dominant </w:t>
      </w:r>
      <w:r w:rsidR="00B23F48" w:rsidRPr="006D55BE">
        <w:rPr>
          <w:rFonts w:eastAsiaTheme="minorEastAsia"/>
        </w:rPr>
        <w:t xml:space="preserve">indicator </w:t>
      </w:r>
      <w:r w:rsidR="00EF3EC2" w:rsidRPr="006D55BE">
        <w:rPr>
          <w:rFonts w:eastAsiaTheme="minorEastAsia"/>
        </w:rPr>
        <w:t>of GBSs</w:t>
      </w:r>
      <w:r w:rsidR="00B23F48" w:rsidRPr="006D55BE">
        <w:rPr>
          <w:rFonts w:eastAsiaTheme="minorEastAsia"/>
        </w:rPr>
        <w:t xml:space="preserve"> evaluations</w:t>
      </w:r>
      <w:r w:rsidR="00EF3EC2" w:rsidRPr="006D55BE">
        <w:rPr>
          <w:rFonts w:eastAsiaTheme="minorEastAsia"/>
        </w:rPr>
        <w:t xml:space="preserve"> in PC2 (Table </w:t>
      </w:r>
      <w:r w:rsidR="0030087D" w:rsidRPr="006D55BE">
        <w:rPr>
          <w:rFonts w:eastAsiaTheme="minorEastAsia"/>
        </w:rPr>
        <w:t>3</w:t>
      </w:r>
      <w:r w:rsidR="00EF3EC2" w:rsidRPr="006D55BE">
        <w:rPr>
          <w:rFonts w:eastAsiaTheme="minorEastAsia"/>
        </w:rPr>
        <w:t>).</w:t>
      </w:r>
      <w:r w:rsidR="005B389A" w:rsidRPr="006D55BE">
        <w:rPr>
          <w:rFonts w:eastAsiaTheme="minorEastAsia"/>
        </w:rPr>
        <w:t xml:space="preserve"> GBSs in ‘</w:t>
      </w:r>
      <w:proofErr w:type="spellStart"/>
      <w:r w:rsidR="005B389A" w:rsidRPr="006D55BE">
        <w:rPr>
          <w:rFonts w:eastAsiaTheme="minorEastAsia"/>
        </w:rPr>
        <w:t>Huadu</w:t>
      </w:r>
      <w:proofErr w:type="spellEnd"/>
      <w:r w:rsidR="005B389A" w:rsidRPr="006D55BE">
        <w:rPr>
          <w:rFonts w:eastAsiaTheme="minorEastAsia"/>
        </w:rPr>
        <w:t>’, ‘</w:t>
      </w:r>
      <w:proofErr w:type="spellStart"/>
      <w:r w:rsidR="005B389A" w:rsidRPr="006D55BE">
        <w:rPr>
          <w:rFonts w:eastAsiaTheme="minorEastAsia"/>
        </w:rPr>
        <w:t>Panyu</w:t>
      </w:r>
      <w:proofErr w:type="spellEnd"/>
      <w:r w:rsidR="005B389A" w:rsidRPr="006D55BE">
        <w:rPr>
          <w:rFonts w:eastAsiaTheme="minorEastAsia"/>
        </w:rPr>
        <w:t>’, and ‘</w:t>
      </w:r>
      <w:proofErr w:type="spellStart"/>
      <w:r w:rsidR="005B389A" w:rsidRPr="006D55BE">
        <w:rPr>
          <w:rFonts w:eastAsiaTheme="minorEastAsia"/>
        </w:rPr>
        <w:t>Haizhu</w:t>
      </w:r>
      <w:proofErr w:type="spellEnd"/>
      <w:r w:rsidR="005B389A" w:rsidRPr="006D55BE">
        <w:rPr>
          <w:rFonts w:eastAsiaTheme="minorEastAsia"/>
        </w:rPr>
        <w:t xml:space="preserve">’ districts were the most pedestrian-friendly and </w:t>
      </w:r>
      <w:r w:rsidR="005A1259" w:rsidRPr="006D55BE">
        <w:rPr>
          <w:rFonts w:eastAsiaTheme="minorEastAsia"/>
        </w:rPr>
        <w:t>met the most walking needs in pedestrian movement</w:t>
      </w:r>
      <w:r w:rsidR="00970A2C" w:rsidRPr="006D55BE">
        <w:rPr>
          <w:rFonts w:eastAsiaTheme="minorEastAsia"/>
        </w:rPr>
        <w:t xml:space="preserve"> with 31.</w:t>
      </w:r>
      <w:r w:rsidR="006733F9">
        <w:rPr>
          <w:rFonts w:eastAsiaTheme="minorEastAsia"/>
        </w:rPr>
        <w:t>6</w:t>
      </w:r>
      <w:r w:rsidR="00970A2C" w:rsidRPr="006D55BE">
        <w:rPr>
          <w:rFonts w:eastAsiaTheme="minorEastAsia"/>
        </w:rPr>
        <w:t xml:space="preserve">% </w:t>
      </w:r>
      <w:r w:rsidR="007F2ED5" w:rsidRPr="006D55BE">
        <w:rPr>
          <w:rFonts w:eastAsiaTheme="minorEastAsia"/>
        </w:rPr>
        <w:t>possibility</w:t>
      </w:r>
      <w:r w:rsidR="005A1259" w:rsidRPr="006D55BE">
        <w:rPr>
          <w:rFonts w:eastAsiaTheme="minorEastAsia"/>
        </w:rPr>
        <w:t xml:space="preserve">. </w:t>
      </w:r>
    </w:p>
    <w:p w14:paraId="52D855E1" w14:textId="3E0A70B9" w:rsidR="00923B89" w:rsidRPr="006D55BE" w:rsidRDefault="004F3524" w:rsidP="00A0000E">
      <w:pPr>
        <w:spacing w:after="163"/>
        <w:ind w:firstLine="420"/>
        <w:rPr>
          <w:rFonts w:eastAsiaTheme="minorEastAsia"/>
        </w:rPr>
      </w:pPr>
      <w:r w:rsidRPr="006D55BE">
        <w:rPr>
          <w:rFonts w:eastAsiaTheme="minorEastAsia"/>
        </w:rPr>
        <w:t>We concentrated on the combined first two PCs that represent 99.7% of the AVI results.</w:t>
      </w:r>
      <w:r w:rsidR="00211B75" w:rsidRPr="006D55BE">
        <w:rPr>
          <w:rFonts w:eastAsiaTheme="minorEastAsia"/>
        </w:rPr>
        <w:t xml:space="preserve"> </w:t>
      </w:r>
      <w:r w:rsidRPr="006D55BE">
        <w:rPr>
          <w:rFonts w:eastAsiaTheme="minorEastAsia"/>
        </w:rPr>
        <w:t>C</w:t>
      </w:r>
      <w:r w:rsidR="00850DAB" w:rsidRPr="006D55BE">
        <w:rPr>
          <w:rFonts w:eastAsiaTheme="minorEastAsia"/>
        </w:rPr>
        <w:t>entral districts always showed more accessible and visible GBSs than surrounding districts.</w:t>
      </w:r>
      <w:r w:rsidR="00852FDD" w:rsidRPr="006D55BE">
        <w:rPr>
          <w:rFonts w:eastAsiaTheme="minorEastAsia"/>
        </w:rPr>
        <w:t xml:space="preserve"> </w:t>
      </w:r>
      <w:r w:rsidR="00765407" w:rsidRPr="006D55BE">
        <w:rPr>
          <w:rFonts w:eastAsiaTheme="minorEastAsia"/>
        </w:rPr>
        <w:t xml:space="preserve">Comparing </w:t>
      </w:r>
      <w:r w:rsidR="00662D34" w:rsidRPr="00662D34">
        <w:rPr>
          <w:rFonts w:eastAsiaTheme="minorEastAsia"/>
        </w:rPr>
        <w:t>scores of individual AVI indicators</w:t>
      </w:r>
      <w:r w:rsidR="00765407" w:rsidRPr="006D55BE">
        <w:rPr>
          <w:rFonts w:eastAsiaTheme="minorEastAsia"/>
        </w:rPr>
        <w:t xml:space="preserve">, </w:t>
      </w:r>
      <w:r w:rsidR="00D4765B" w:rsidRPr="006D55BE">
        <w:rPr>
          <w:rFonts w:eastAsiaTheme="minorEastAsia"/>
        </w:rPr>
        <w:t xml:space="preserve">the highest average score for the city was intelligibility, </w:t>
      </w:r>
      <w:r w:rsidR="00240074" w:rsidRPr="006D55BE">
        <w:rPr>
          <w:rFonts w:eastAsiaTheme="minorEastAsia"/>
        </w:rPr>
        <w:t xml:space="preserve">indicating that the spatial cognition demand </w:t>
      </w:r>
      <w:r w:rsidR="00240074" w:rsidRPr="006D55BE">
        <w:rPr>
          <w:rFonts w:eastAsiaTheme="minorEastAsia"/>
        </w:rPr>
        <w:lastRenderedPageBreak/>
        <w:t xml:space="preserve">in </w:t>
      </w:r>
      <w:r w:rsidR="00050343">
        <w:rPr>
          <w:rFonts w:eastAsiaTheme="minorEastAsia"/>
        </w:rPr>
        <w:t xml:space="preserve">the </w:t>
      </w:r>
      <w:r w:rsidR="00240074" w:rsidRPr="006D55BE">
        <w:rPr>
          <w:rFonts w:eastAsiaTheme="minorEastAsia"/>
        </w:rPr>
        <w:t xml:space="preserve">pedestrian movement had been largely accommodated in GBSs. However, the visibility always showed the lowest values suggesting a need for improvement. </w:t>
      </w:r>
      <w:r w:rsidR="00C02D40" w:rsidRPr="006D55BE">
        <w:rPr>
          <w:rFonts w:eastAsiaTheme="minorEastAsia"/>
        </w:rPr>
        <w:t>The GBSs throughout the city demonstrated an overall trend of the highest intelligibility but the lowest visibility, which was more consistent with the peripheral districts (i.e., ‘</w:t>
      </w:r>
      <w:proofErr w:type="spellStart"/>
      <w:r w:rsidR="00C02D40" w:rsidRPr="006D55BE">
        <w:rPr>
          <w:rFonts w:eastAsiaTheme="minorEastAsia"/>
        </w:rPr>
        <w:t>Huadu</w:t>
      </w:r>
      <w:proofErr w:type="spellEnd"/>
      <w:r w:rsidR="00C02D40" w:rsidRPr="006D55BE">
        <w:rPr>
          <w:rFonts w:eastAsiaTheme="minorEastAsia"/>
        </w:rPr>
        <w:t>’, ‘</w:t>
      </w:r>
      <w:proofErr w:type="spellStart"/>
      <w:r w:rsidR="00C02D40" w:rsidRPr="006D55BE">
        <w:rPr>
          <w:rFonts w:eastAsiaTheme="minorEastAsia"/>
        </w:rPr>
        <w:t>Conghua</w:t>
      </w:r>
      <w:proofErr w:type="spellEnd"/>
      <w:r w:rsidR="00C02D40" w:rsidRPr="006D55BE">
        <w:rPr>
          <w:rFonts w:eastAsiaTheme="minorEastAsia"/>
        </w:rPr>
        <w:t>’, ‘</w:t>
      </w:r>
      <w:proofErr w:type="spellStart"/>
      <w:r w:rsidR="00C02D40" w:rsidRPr="006D55BE">
        <w:rPr>
          <w:rFonts w:eastAsiaTheme="minorEastAsia"/>
        </w:rPr>
        <w:t>Zengcheng</w:t>
      </w:r>
      <w:proofErr w:type="spellEnd"/>
      <w:r w:rsidR="00C02D40" w:rsidRPr="006D55BE">
        <w:rPr>
          <w:rFonts w:eastAsiaTheme="minorEastAsia"/>
        </w:rPr>
        <w:t>’, and ‘</w:t>
      </w:r>
      <w:proofErr w:type="spellStart"/>
      <w:r w:rsidR="00C02D40" w:rsidRPr="006D55BE">
        <w:rPr>
          <w:rFonts w:eastAsiaTheme="minorEastAsia"/>
        </w:rPr>
        <w:t>Panyu</w:t>
      </w:r>
      <w:proofErr w:type="spellEnd"/>
      <w:r w:rsidR="00C02D40" w:rsidRPr="006D55BE">
        <w:rPr>
          <w:rFonts w:eastAsiaTheme="minorEastAsia"/>
        </w:rPr>
        <w:t>’ districts).</w:t>
      </w:r>
      <w:r w:rsidR="00F06F1B" w:rsidRPr="006D55BE">
        <w:rPr>
          <w:rFonts w:eastAsiaTheme="minorEastAsia"/>
        </w:rPr>
        <w:t xml:space="preserve"> </w:t>
      </w:r>
      <w:r w:rsidR="00F21E05" w:rsidRPr="006D55BE">
        <w:rPr>
          <w:rFonts w:eastAsiaTheme="minorEastAsia"/>
        </w:rPr>
        <w:t xml:space="preserve">AVI-weighted scores of GBSs were greatly dominated by the leading factors with the highest loading values in respective PC. GBSs in peripheral districts were </w:t>
      </w:r>
      <w:r w:rsidR="007C13B3" w:rsidRPr="006D55BE">
        <w:rPr>
          <w:rFonts w:eastAsiaTheme="minorEastAsia"/>
        </w:rPr>
        <w:t xml:space="preserve">generally </w:t>
      </w:r>
      <w:r w:rsidR="00F21E05" w:rsidRPr="006D55BE">
        <w:rPr>
          <w:rFonts w:eastAsiaTheme="minorEastAsia"/>
        </w:rPr>
        <w:t>less pedestrian-friendly than those in central districts.</w:t>
      </w:r>
    </w:p>
    <w:p w14:paraId="4BF8BFF8" w14:textId="77777777" w:rsidR="00F47CBF" w:rsidRPr="006D55BE" w:rsidRDefault="00F47CBF" w:rsidP="00F47CBF">
      <w:pPr>
        <w:pStyle w:val="Heading3"/>
        <w:spacing w:before="163" w:after="163"/>
        <w:rPr>
          <w:rFonts w:eastAsiaTheme="minorEastAsia"/>
        </w:rPr>
      </w:pPr>
      <w:r w:rsidRPr="006D55BE">
        <w:rPr>
          <w:rFonts w:eastAsiaTheme="minorEastAsia"/>
        </w:rPr>
        <w:t>4.3.2 Compare the contributions of districts to AVI-weighted GBSs over the city</w:t>
      </w:r>
    </w:p>
    <w:p w14:paraId="3DE84481" w14:textId="49808306" w:rsidR="00181AC8" w:rsidRPr="006D55BE" w:rsidRDefault="00E1282F" w:rsidP="00A3750D">
      <w:pPr>
        <w:spacing w:after="163"/>
        <w:ind w:firstLine="420"/>
        <w:rPr>
          <w:rFonts w:eastAsiaTheme="minorEastAsia"/>
        </w:rPr>
      </w:pPr>
      <w:r w:rsidRPr="006D55BE">
        <w:rPr>
          <w:rFonts w:eastAsiaTheme="minorEastAsia"/>
        </w:rPr>
        <w:t xml:space="preserve">After illustrating the AVI scores in each district of the city in the first two PCs, we investigated how districts contributed to GBSs </w:t>
      </w:r>
      <w:r w:rsidR="00E1329B" w:rsidRPr="006D55BE">
        <w:rPr>
          <w:rFonts w:eastAsiaTheme="minorEastAsia"/>
        </w:rPr>
        <w:t xml:space="preserve">improvement </w:t>
      </w:r>
      <w:r w:rsidRPr="006D55BE">
        <w:rPr>
          <w:rFonts w:eastAsiaTheme="minorEastAsia"/>
        </w:rPr>
        <w:t xml:space="preserve">across the Guangzhou city by promoting accessibility, visibility, and intelligibility (Figure </w:t>
      </w:r>
      <w:r w:rsidR="00630DC5">
        <w:rPr>
          <w:rFonts w:eastAsiaTheme="minorEastAsia"/>
        </w:rPr>
        <w:t>10</w:t>
      </w:r>
      <w:r w:rsidRPr="006D55BE">
        <w:rPr>
          <w:rFonts w:eastAsiaTheme="minorEastAsia"/>
        </w:rPr>
        <w:t>). In the districts with higher contribution</w:t>
      </w:r>
      <w:r w:rsidR="00250990" w:rsidRPr="006D55BE">
        <w:rPr>
          <w:rFonts w:eastAsiaTheme="minorEastAsia"/>
        </w:rPr>
        <w:t xml:space="preserve"> values</w:t>
      </w:r>
      <w:r w:rsidRPr="006D55BE">
        <w:rPr>
          <w:rFonts w:eastAsiaTheme="minorEastAsia"/>
        </w:rPr>
        <w:t xml:space="preserve">, the enhancement of AVI </w:t>
      </w:r>
      <w:r w:rsidR="007B1E3D" w:rsidRPr="006D55BE">
        <w:rPr>
          <w:rFonts w:eastAsiaTheme="minorEastAsia"/>
        </w:rPr>
        <w:t xml:space="preserve">had </w:t>
      </w:r>
      <w:r w:rsidR="0019390B" w:rsidRPr="006D55BE">
        <w:rPr>
          <w:rFonts w:eastAsiaTheme="minorEastAsia"/>
        </w:rPr>
        <w:t>a greater</w:t>
      </w:r>
      <w:r w:rsidR="007B1E3D" w:rsidRPr="006D55BE">
        <w:rPr>
          <w:rFonts w:eastAsiaTheme="minorEastAsia"/>
        </w:rPr>
        <w:t xml:space="preserve"> possibility </w:t>
      </w:r>
      <w:r w:rsidR="0019390B" w:rsidRPr="006D55BE">
        <w:rPr>
          <w:rFonts w:eastAsiaTheme="minorEastAsia"/>
        </w:rPr>
        <w:t>of</w:t>
      </w:r>
      <w:r w:rsidR="007B1E3D" w:rsidRPr="006D55BE">
        <w:rPr>
          <w:rFonts w:eastAsiaTheme="minorEastAsia"/>
        </w:rPr>
        <w:t xml:space="preserve"> improv</w:t>
      </w:r>
      <w:r w:rsidR="0019390B" w:rsidRPr="006D55BE">
        <w:rPr>
          <w:rFonts w:eastAsiaTheme="minorEastAsia"/>
        </w:rPr>
        <w:t>ing</w:t>
      </w:r>
      <w:r w:rsidR="007B1E3D" w:rsidRPr="006D55BE">
        <w:rPr>
          <w:rFonts w:eastAsiaTheme="minorEastAsia"/>
        </w:rPr>
        <w:t xml:space="preserve"> the GBS pedestrian-friendliness</w:t>
      </w:r>
      <w:r w:rsidR="00B97477" w:rsidRPr="006D55BE">
        <w:rPr>
          <w:rFonts w:eastAsiaTheme="minorEastAsia"/>
        </w:rPr>
        <w:t xml:space="preserve"> over the whole city.</w:t>
      </w:r>
      <w:r w:rsidR="007B1E3D" w:rsidRPr="006D55BE">
        <w:rPr>
          <w:rFonts w:eastAsiaTheme="minorEastAsia"/>
        </w:rPr>
        <w:t xml:space="preserve"> </w:t>
      </w:r>
      <w:r w:rsidRPr="006D55BE">
        <w:rPr>
          <w:rFonts w:eastAsiaTheme="minorEastAsia"/>
        </w:rPr>
        <w:t>Our findings demonstrated that ‘Yuexiu’, ‘</w:t>
      </w:r>
      <w:proofErr w:type="spellStart"/>
      <w:r w:rsidRPr="006D55BE">
        <w:rPr>
          <w:rFonts w:eastAsiaTheme="minorEastAsia"/>
        </w:rPr>
        <w:t>Huadu</w:t>
      </w:r>
      <w:proofErr w:type="spellEnd"/>
      <w:r w:rsidRPr="006D55BE">
        <w:rPr>
          <w:rFonts w:eastAsiaTheme="minorEastAsia"/>
        </w:rPr>
        <w:t>’, and ‘</w:t>
      </w:r>
      <w:proofErr w:type="spellStart"/>
      <w:r w:rsidRPr="006D55BE">
        <w:rPr>
          <w:rFonts w:eastAsiaTheme="minorEastAsia"/>
        </w:rPr>
        <w:t>Nansha</w:t>
      </w:r>
      <w:proofErr w:type="spellEnd"/>
      <w:r w:rsidRPr="006D55BE">
        <w:rPr>
          <w:rFonts w:eastAsiaTheme="minorEastAsia"/>
        </w:rPr>
        <w:t xml:space="preserve">’ districts had higher contributions to city GBSs improvements, compared to other districts (Figure </w:t>
      </w:r>
      <w:r w:rsidR="00630DC5">
        <w:rPr>
          <w:rFonts w:eastAsiaTheme="minorEastAsia"/>
        </w:rPr>
        <w:t>10</w:t>
      </w:r>
      <w:r w:rsidRPr="006D55BE">
        <w:rPr>
          <w:rFonts w:eastAsiaTheme="minorEastAsia"/>
        </w:rPr>
        <w:t xml:space="preserve">). Thus, these highly contributed districts should be defined as the priority places for </w:t>
      </w:r>
      <w:r w:rsidR="00181AC8" w:rsidRPr="006D55BE">
        <w:rPr>
          <w:rFonts w:eastAsiaTheme="minorEastAsia"/>
        </w:rPr>
        <w:t xml:space="preserve">developing </w:t>
      </w:r>
      <w:proofErr w:type="gramStart"/>
      <w:r w:rsidR="00181AC8" w:rsidRPr="006D55BE">
        <w:rPr>
          <w:rFonts w:eastAsiaTheme="minorEastAsia"/>
        </w:rPr>
        <w:t>pedestrian-friendly</w:t>
      </w:r>
      <w:proofErr w:type="gramEnd"/>
      <w:r w:rsidR="00181AC8" w:rsidRPr="006D55BE">
        <w:rPr>
          <w:rFonts w:eastAsiaTheme="minorEastAsia"/>
        </w:rPr>
        <w:t xml:space="preserve"> GBSs via </w:t>
      </w:r>
      <w:r w:rsidR="00B70F5F" w:rsidRPr="006D55BE">
        <w:rPr>
          <w:rFonts w:eastAsiaTheme="minorEastAsia"/>
        </w:rPr>
        <w:t xml:space="preserve">the </w:t>
      </w:r>
      <w:r w:rsidR="00181AC8" w:rsidRPr="006D55BE">
        <w:rPr>
          <w:rFonts w:eastAsiaTheme="minorEastAsia"/>
        </w:rPr>
        <w:t xml:space="preserve">AVI framework in the Guangzhou city. </w:t>
      </w:r>
      <w:r w:rsidR="00F772C5" w:rsidRPr="006D55BE">
        <w:rPr>
          <w:rFonts w:eastAsiaTheme="minorEastAsia"/>
        </w:rPr>
        <w:t xml:space="preserve">This result is also </w:t>
      </w:r>
      <w:r w:rsidR="00B70F5F" w:rsidRPr="006D55BE">
        <w:rPr>
          <w:rFonts w:eastAsiaTheme="minorEastAsia"/>
        </w:rPr>
        <w:t xml:space="preserve">in </w:t>
      </w:r>
      <w:r w:rsidR="00F772C5" w:rsidRPr="006D55BE">
        <w:rPr>
          <w:rFonts w:eastAsiaTheme="minorEastAsia"/>
        </w:rPr>
        <w:t>accord with the Chinese official issues. For instance, the urban development strategies have emphasized the importance of GBSs in</w:t>
      </w:r>
      <w:r w:rsidR="00B70F5F" w:rsidRPr="006D55BE">
        <w:rPr>
          <w:rFonts w:eastAsiaTheme="minorEastAsia"/>
        </w:rPr>
        <w:t xml:space="preserve"> the</w:t>
      </w:r>
      <w:r w:rsidR="00F772C5" w:rsidRPr="006D55BE">
        <w:rPr>
          <w:rFonts w:eastAsiaTheme="minorEastAsia"/>
        </w:rPr>
        <w:t xml:space="preserve"> ‘</w:t>
      </w:r>
      <w:proofErr w:type="spellStart"/>
      <w:r w:rsidR="00F772C5" w:rsidRPr="006D55BE">
        <w:rPr>
          <w:rFonts w:eastAsiaTheme="minorEastAsia"/>
        </w:rPr>
        <w:t>Huadu</w:t>
      </w:r>
      <w:proofErr w:type="spellEnd"/>
      <w:r w:rsidR="00F772C5" w:rsidRPr="006D55BE">
        <w:rPr>
          <w:rFonts w:eastAsiaTheme="minorEastAsia"/>
        </w:rPr>
        <w:t xml:space="preserve">’ district of </w:t>
      </w:r>
      <w:r w:rsidR="00B70F5F" w:rsidRPr="006D55BE">
        <w:rPr>
          <w:rFonts w:eastAsiaTheme="minorEastAsia"/>
        </w:rPr>
        <w:t xml:space="preserve">the </w:t>
      </w:r>
      <w:r w:rsidR="00F772C5" w:rsidRPr="006D55BE">
        <w:rPr>
          <w:rFonts w:eastAsiaTheme="minorEastAsia"/>
        </w:rPr>
        <w:t xml:space="preserve">Guangzhou city </w:t>
      </w:r>
      <w:r w:rsidR="00F772C5" w:rsidRPr="006D55BE">
        <w:rPr>
          <w:rFonts w:eastAsiaTheme="minorEastAsia"/>
        </w:rPr>
        <w:fldChar w:fldCharType="begin" w:fldLock="1"/>
      </w:r>
      <w:r w:rsidR="00F772C5" w:rsidRPr="006D55BE">
        <w:rPr>
          <w:rFonts w:eastAsiaTheme="minorEastAsia"/>
        </w:rPr>
        <w:instrText>ADDIN CSL_CITATION {"citationItems":[{"id":"ITEM-1","itemData":{"abstract":"Besides reducing CO2 emission via technological innovation in green buildings and energy sectors, capture and storage of CO2 by natural eco-system is also of great importance for mitigation global climate changes. A recent UNEP report stated that Reducing deforestation rates by 50% by 2050 and then maintaining them at this level until 2100 would avoid the direct release of up to 50 Gt C this century, which is equivalent to 12% of the emissions reductions needed to keep atmospheric concentrations of carbon dioxide below 450 ppm (Trumper et al., 2009). It is also estimated that terrestrial ecosystems absorbed 28–37 per cent of its cumulated fossil carbon emissions during the 1980s and 1990s (Piao et al.).","author":[{"dropping-particle":"","family":"Huang","given":"Dingxi","non-dropping-particle":"","parse-names":false,"suffix":""},{"dropping-particle":"","family":"Lu","given":"Chuanting","non-dropping-particle":"","parse-names":false,"suffix":""},{"dropping-particle":"","family":"Wang","given":"Guanxian","non-dropping-particle":"","parse-names":false,"suffix":""}],"container-title":"45th ISOCARP Congress.","id":"ITEM-1","issued":{"date-parts":[["2009"]]},"page":"1-18","title":"Integrated management of urban green space - The case in Guangzhou China","type":"paper-conference"},"uris":["http://www.mendeley.com/documents/?uuid=905562e0-ca70-4db2-8647-4eedfd664ee5"]}],"mendeley":{"formattedCitation":"(Huang, Lu, &amp; Wang, 2009)","manualFormatting":"(Huang et al., 2009)","plainTextFormattedCitation":"(Huang, Lu, &amp; Wang, 2009)","previouslyFormattedCitation":"(Huang, Lu, &amp; Wang, 2009)"},"properties":{"noteIndex":0},"schema":"https://github.com/citation-style-language/schema/raw/master/csl-citation.json"}</w:instrText>
      </w:r>
      <w:r w:rsidR="00F772C5" w:rsidRPr="006D55BE">
        <w:rPr>
          <w:rFonts w:eastAsiaTheme="minorEastAsia"/>
        </w:rPr>
        <w:fldChar w:fldCharType="separate"/>
      </w:r>
      <w:r w:rsidR="00F772C5" w:rsidRPr="006D55BE">
        <w:rPr>
          <w:rFonts w:eastAsiaTheme="minorEastAsia"/>
          <w:noProof/>
        </w:rPr>
        <w:t>(Huang et al., 2009)</w:t>
      </w:r>
      <w:r w:rsidR="00F772C5" w:rsidRPr="006D55BE">
        <w:rPr>
          <w:rFonts w:eastAsiaTheme="minorEastAsia"/>
        </w:rPr>
        <w:fldChar w:fldCharType="end"/>
      </w:r>
      <w:r w:rsidR="00F772C5" w:rsidRPr="006D55BE">
        <w:rPr>
          <w:rFonts w:eastAsiaTheme="minorEastAsia"/>
        </w:rPr>
        <w:t xml:space="preserve">. Also, </w:t>
      </w:r>
      <w:r w:rsidR="00B70F5F" w:rsidRPr="006D55BE">
        <w:rPr>
          <w:rFonts w:eastAsiaTheme="minorEastAsia"/>
        </w:rPr>
        <w:t xml:space="preserve">the </w:t>
      </w:r>
      <w:r w:rsidR="00F772C5" w:rsidRPr="006D55BE">
        <w:rPr>
          <w:rFonts w:eastAsiaTheme="minorEastAsia"/>
        </w:rPr>
        <w:t>‘</w:t>
      </w:r>
      <w:proofErr w:type="spellStart"/>
      <w:r w:rsidR="00F772C5" w:rsidRPr="006D55BE">
        <w:rPr>
          <w:rFonts w:eastAsiaTheme="minorEastAsia"/>
        </w:rPr>
        <w:t>Nansha</w:t>
      </w:r>
      <w:proofErr w:type="spellEnd"/>
      <w:r w:rsidR="00F772C5" w:rsidRPr="006D55BE">
        <w:rPr>
          <w:rFonts w:eastAsiaTheme="minorEastAsia"/>
        </w:rPr>
        <w:t xml:space="preserve">’ district has been defined as a new key district for rapid development in the ‘Overall Plan of </w:t>
      </w:r>
      <w:proofErr w:type="spellStart"/>
      <w:r w:rsidR="00F772C5" w:rsidRPr="006D55BE">
        <w:rPr>
          <w:rFonts w:eastAsiaTheme="minorEastAsia"/>
        </w:rPr>
        <w:t>Nansha</w:t>
      </w:r>
      <w:proofErr w:type="spellEnd"/>
      <w:r w:rsidR="00F772C5" w:rsidRPr="006D55BE">
        <w:rPr>
          <w:rFonts w:eastAsiaTheme="minorEastAsia"/>
        </w:rPr>
        <w:t xml:space="preserve"> New District of Guangzhou (2012-2025)’, so that the GBSs should be improved in </w:t>
      </w:r>
      <w:r w:rsidR="00B70F5F" w:rsidRPr="006D55BE">
        <w:rPr>
          <w:rFonts w:eastAsiaTheme="minorEastAsia"/>
        </w:rPr>
        <w:t xml:space="preserve">the </w:t>
      </w:r>
      <w:r w:rsidR="00F772C5" w:rsidRPr="006D55BE">
        <w:rPr>
          <w:rFonts w:eastAsiaTheme="minorEastAsia"/>
        </w:rPr>
        <w:t>‘</w:t>
      </w:r>
      <w:proofErr w:type="spellStart"/>
      <w:r w:rsidR="00F772C5" w:rsidRPr="006D55BE">
        <w:rPr>
          <w:rFonts w:eastAsiaTheme="minorEastAsia"/>
        </w:rPr>
        <w:t>Nansha</w:t>
      </w:r>
      <w:proofErr w:type="spellEnd"/>
      <w:r w:rsidR="00F772C5" w:rsidRPr="006D55BE">
        <w:rPr>
          <w:rFonts w:eastAsiaTheme="minorEastAsia"/>
        </w:rPr>
        <w:t>’ district for potential social well-being.</w:t>
      </w:r>
    </w:p>
    <w:p w14:paraId="30934FD9" w14:textId="356CEBA2" w:rsidR="007525E5" w:rsidRPr="006D55BE" w:rsidRDefault="007525E5" w:rsidP="007525E5">
      <w:pPr>
        <w:pStyle w:val="Heading1"/>
        <w:spacing w:before="326" w:after="326"/>
        <w:rPr>
          <w:rFonts w:eastAsiaTheme="minorEastAsia"/>
        </w:rPr>
      </w:pPr>
      <w:r w:rsidRPr="006D55BE">
        <w:rPr>
          <w:rFonts w:eastAsiaTheme="minorEastAsia"/>
        </w:rPr>
        <w:t>5. Discussion</w:t>
      </w:r>
    </w:p>
    <w:p w14:paraId="1A574BCE" w14:textId="1D052FAD" w:rsidR="004C3B7C" w:rsidRPr="006D55BE" w:rsidRDefault="007525E5" w:rsidP="00B92BAD">
      <w:pPr>
        <w:spacing w:after="163"/>
        <w:rPr>
          <w:rFonts w:eastAsiaTheme="minorEastAsia"/>
        </w:rPr>
      </w:pPr>
      <w:r w:rsidRPr="006D55BE">
        <w:rPr>
          <w:rFonts w:eastAsiaTheme="minorEastAsia"/>
        </w:rPr>
        <w:tab/>
        <w:t xml:space="preserve">To </w:t>
      </w:r>
      <w:r w:rsidR="004C3B7C" w:rsidRPr="006D55BE">
        <w:rPr>
          <w:rFonts w:eastAsiaTheme="minorEastAsia"/>
        </w:rPr>
        <w:t xml:space="preserve">create </w:t>
      </w:r>
      <w:proofErr w:type="gramStart"/>
      <w:r w:rsidR="004C3B7C" w:rsidRPr="006D55BE">
        <w:rPr>
          <w:rFonts w:eastAsiaTheme="minorEastAsia"/>
        </w:rPr>
        <w:t>pedestrian-friendly</w:t>
      </w:r>
      <w:proofErr w:type="gramEnd"/>
      <w:r w:rsidR="004C3B7C" w:rsidRPr="006D55BE">
        <w:rPr>
          <w:rFonts w:eastAsiaTheme="minorEastAsia"/>
        </w:rPr>
        <w:t xml:space="preserve"> GBSs for social well-being, the GBSs planning should identify the pedestrian needs in terms of access, view, and cognition. The empirical measurements of accessibility, visibility, and intelligibility based on our AVI framework provide information for suggesting the principle and specific strategies for future GBSs planning.</w:t>
      </w:r>
      <w:r w:rsidR="00B72B5D">
        <w:rPr>
          <w:rFonts w:eastAsiaTheme="minorEastAsia"/>
        </w:rPr>
        <w:t xml:space="preserve"> </w:t>
      </w:r>
      <w:bookmarkStart w:id="19" w:name="_Hlk94280922"/>
      <w:r w:rsidR="00B72B5D">
        <w:rPr>
          <w:rFonts w:eastAsiaTheme="minorEastAsia"/>
        </w:rPr>
        <w:t xml:space="preserve">The AVI framework </w:t>
      </w:r>
      <w:r w:rsidR="001216E6">
        <w:rPr>
          <w:rFonts w:eastAsiaTheme="minorEastAsia"/>
        </w:rPr>
        <w:t xml:space="preserve">has been shown that it </w:t>
      </w:r>
      <w:r w:rsidR="00B72B5D">
        <w:rPr>
          <w:rFonts w:eastAsiaTheme="minorEastAsia"/>
        </w:rPr>
        <w:t>not only help</w:t>
      </w:r>
      <w:r w:rsidR="00A81EBC">
        <w:rPr>
          <w:rFonts w:eastAsiaTheme="minorEastAsia"/>
        </w:rPr>
        <w:t>s</w:t>
      </w:r>
      <w:r w:rsidR="00B72B5D">
        <w:rPr>
          <w:rFonts w:eastAsiaTheme="minorEastAsia"/>
        </w:rPr>
        <w:t xml:space="preserve"> evalu</w:t>
      </w:r>
      <w:r w:rsidR="00AF74A0">
        <w:rPr>
          <w:rFonts w:eastAsiaTheme="minorEastAsia"/>
        </w:rPr>
        <w:t>a</w:t>
      </w:r>
      <w:r w:rsidR="00B72B5D">
        <w:rPr>
          <w:rFonts w:eastAsiaTheme="minorEastAsia"/>
        </w:rPr>
        <w:t xml:space="preserve">te the accessibility, </w:t>
      </w:r>
      <w:r w:rsidR="00B72B5D" w:rsidRPr="006D55BE">
        <w:rPr>
          <w:rFonts w:eastAsiaTheme="minorEastAsia"/>
        </w:rPr>
        <w:t>visibility, and intelligibility</w:t>
      </w:r>
      <w:r w:rsidR="00B72B5D">
        <w:rPr>
          <w:rFonts w:eastAsiaTheme="minorEastAsia"/>
        </w:rPr>
        <w:t xml:space="preserve"> of individual GBSs </w:t>
      </w:r>
      <w:r w:rsidR="0074355C">
        <w:rPr>
          <w:rFonts w:eastAsiaTheme="minorEastAsia"/>
        </w:rPr>
        <w:t>in the context</w:t>
      </w:r>
      <w:r w:rsidR="00A81EBC">
        <w:rPr>
          <w:rFonts w:eastAsiaTheme="minorEastAsia"/>
        </w:rPr>
        <w:t xml:space="preserve"> of pedestrian movement</w:t>
      </w:r>
      <w:r w:rsidR="00B72B5D">
        <w:rPr>
          <w:rFonts w:eastAsiaTheme="minorEastAsia"/>
        </w:rPr>
        <w:t xml:space="preserve"> but also </w:t>
      </w:r>
      <w:r w:rsidR="00A81EBC">
        <w:rPr>
          <w:rFonts w:eastAsiaTheme="minorEastAsia"/>
        </w:rPr>
        <w:t xml:space="preserve">provides </w:t>
      </w:r>
      <w:r w:rsidR="005C01A5">
        <w:rPr>
          <w:rFonts w:eastAsiaTheme="minorEastAsia"/>
        </w:rPr>
        <w:t xml:space="preserve">an </w:t>
      </w:r>
      <w:r w:rsidR="00A81EBC">
        <w:rPr>
          <w:rFonts w:eastAsiaTheme="minorEastAsia"/>
        </w:rPr>
        <w:t xml:space="preserve">empirical </w:t>
      </w:r>
      <w:r w:rsidR="005C01A5">
        <w:rPr>
          <w:rFonts w:eastAsiaTheme="minorEastAsia"/>
        </w:rPr>
        <w:t>approach</w:t>
      </w:r>
      <w:r w:rsidR="00A81EBC">
        <w:rPr>
          <w:rFonts w:eastAsiaTheme="minorEastAsia"/>
        </w:rPr>
        <w:t xml:space="preserve"> for improving the pedestrian friendliness of GBSs in each district at the city scale.</w:t>
      </w:r>
      <w:bookmarkEnd w:id="19"/>
    </w:p>
    <w:p w14:paraId="0A5C1BAC" w14:textId="6A0B49D4" w:rsidR="007525E5" w:rsidRPr="006D55BE" w:rsidRDefault="007525E5" w:rsidP="007525E5">
      <w:pPr>
        <w:pStyle w:val="Heading2"/>
        <w:spacing w:before="163" w:after="163"/>
        <w:rPr>
          <w:rFonts w:eastAsiaTheme="minorEastAsia"/>
        </w:rPr>
      </w:pPr>
      <w:r w:rsidRPr="006D55BE">
        <w:rPr>
          <w:rFonts w:eastAsiaTheme="minorEastAsia"/>
        </w:rPr>
        <w:t>5.1 Implications of AVI framework for GBSs planning</w:t>
      </w:r>
    </w:p>
    <w:p w14:paraId="4E1C2B59" w14:textId="735838A2" w:rsidR="007525E5" w:rsidRPr="006D55BE" w:rsidRDefault="00806C81" w:rsidP="00B92BAD">
      <w:pPr>
        <w:spacing w:after="163"/>
      </w:pPr>
      <w:r w:rsidRPr="006D55BE">
        <w:rPr>
          <w:rFonts w:eastAsiaTheme="minorEastAsia"/>
        </w:rPr>
        <w:tab/>
      </w:r>
      <w:r w:rsidR="00DD2221" w:rsidRPr="006D55BE">
        <w:rPr>
          <w:rFonts w:eastAsiaTheme="minorEastAsia"/>
        </w:rPr>
        <w:t xml:space="preserve">To examine the extent to which pedestrian needs are included in the GBSs planning, an AVI framework has been developed in this study, which integrates accessibility (A), visibility (V), and intelligibility (I) factors. The AVI indicators of an urban system demonstrate the </w:t>
      </w:r>
      <w:r w:rsidR="008C2903" w:rsidRPr="006D55BE">
        <w:rPr>
          <w:rFonts w:eastAsiaTheme="minorEastAsia"/>
        </w:rPr>
        <w:t>pedestrian</w:t>
      </w:r>
      <w:r w:rsidR="00DD2221" w:rsidRPr="006D55BE">
        <w:rPr>
          <w:rFonts w:eastAsiaTheme="minorEastAsia"/>
        </w:rPr>
        <w:t xml:space="preserve"> needs of physical access, visual access, and spatial cognition </w:t>
      </w:r>
      <w:r w:rsidR="00DD2221" w:rsidRPr="006D55BE">
        <w:rPr>
          <w:rFonts w:eastAsiaTheme="minorEastAsia"/>
        </w:rPr>
        <w:lastRenderedPageBreak/>
        <w:t xml:space="preserve">respectively in their daily movement. </w:t>
      </w:r>
      <w:r w:rsidR="00A403EA" w:rsidRPr="006D55BE">
        <w:rPr>
          <w:rFonts w:eastAsiaTheme="minorEastAsia"/>
        </w:rPr>
        <w:t xml:space="preserve">This AVI framework can support the emerging target of pedestrian-friendly GBSs planning – facilitating </w:t>
      </w:r>
      <w:r w:rsidR="00A403EA" w:rsidRPr="006D55BE">
        <w:t xml:space="preserve">people-oriented urban spaces for easy and pleased human usability </w:t>
      </w:r>
      <w:r w:rsidR="00A403EA" w:rsidRPr="006D55BE">
        <w:fldChar w:fldCharType="begin" w:fldLock="1"/>
      </w:r>
      <w:r w:rsidR="00A403EA" w:rsidRPr="006D55BE">
        <w:instrText>ADDIN CSL_CITATION {"citationItems":[{"id":"ITEM-1","itemData":{"DOI":"10.32891/jps.v3i3.312","author":[{"dropping-particle":"","family":"Leyden","given":"Kevin","non-dropping-particle":"","parse-names":false,"suffix":""},{"dropping-particle":"","family":"Lipps","given":"Benita","non-dropping-particle":"","parse-names":false,"suffix":""}],"container-title":"The Journal of Public Space","id":"ITEM-1","issue":"3","issued":{"date-parts":[["2018"]]},"page":"103-120","title":"Creating people-friendly cities in a data rich world : towards smarter and more liveable places","type":"article-journal","volume":"3"},"uris":["http://www.mendeley.com/documents/?uuid=7281051e-ba4d-4321-bb8a-ad508e2b6597","http://www.mendeley.com/documents/?uuid=263d11e0-a238-4cb5-82bc-a1336a2ca433"]}],"mendeley":{"formattedCitation":"(Leyden &amp; Lipps, 2018)","plainTextFormattedCitation":"(Leyden &amp; Lipps, 2018)","previouslyFormattedCitation":"(Leyden &amp; Lipps, 2018)"},"properties":{"noteIndex":0},"schema":"https://github.com/citation-style-language/schema/raw/master/csl-citation.json"}</w:instrText>
      </w:r>
      <w:r w:rsidR="00A403EA" w:rsidRPr="006D55BE">
        <w:fldChar w:fldCharType="separate"/>
      </w:r>
      <w:r w:rsidR="00A403EA" w:rsidRPr="006D55BE">
        <w:rPr>
          <w:noProof/>
        </w:rPr>
        <w:t>(Leyden &amp; Lipps, 2018)</w:t>
      </w:r>
      <w:r w:rsidR="00A403EA" w:rsidRPr="006D55BE">
        <w:fldChar w:fldCharType="end"/>
      </w:r>
      <w:r w:rsidR="00A403EA" w:rsidRPr="006D55BE">
        <w:t>.</w:t>
      </w:r>
      <w:r w:rsidR="00734A3D" w:rsidRPr="006D55BE">
        <w:t xml:space="preserve"> </w:t>
      </w:r>
      <w:r w:rsidR="00292B8E" w:rsidRPr="006D55BE">
        <w:t xml:space="preserve">Compared to conventional GBSs planning </w:t>
      </w:r>
      <w:r w:rsidR="00292B8E" w:rsidRPr="006D55BE">
        <w:rPr>
          <w:rFonts w:eastAsiaTheme="minorEastAsia"/>
        </w:rPr>
        <w:t xml:space="preserve">primarily </w:t>
      </w:r>
      <w:r w:rsidR="00292B8E" w:rsidRPr="006D55BE">
        <w:t>with the consideration of physical space, the patterns of pedestrian movement flows are combined and translated to the empirical assessments of physical spatial configurations in our AVI framework</w:t>
      </w:r>
      <w:r w:rsidR="006C033A" w:rsidRPr="006D55BE">
        <w:t>, contributing to improving</w:t>
      </w:r>
      <w:r w:rsidR="00841A97" w:rsidRPr="006D55BE">
        <w:t xml:space="preserve"> the</w:t>
      </w:r>
      <w:r w:rsidR="006C033A" w:rsidRPr="006D55BE">
        <w:t xml:space="preserve"> pedestrian walking experience in GBSs</w:t>
      </w:r>
      <w:r w:rsidR="00292B8E" w:rsidRPr="006D55BE">
        <w:t>.</w:t>
      </w:r>
      <w:r w:rsidR="00997DA9" w:rsidRPr="006D55BE">
        <w:t xml:space="preserve"> </w:t>
      </w:r>
    </w:p>
    <w:p w14:paraId="27D5AD1B" w14:textId="6F942B11" w:rsidR="0088212F" w:rsidRPr="006D55BE" w:rsidRDefault="00997DA9" w:rsidP="00B92BAD">
      <w:pPr>
        <w:spacing w:after="163"/>
      </w:pPr>
      <w:r w:rsidRPr="006D55BE">
        <w:rPr>
          <w:rFonts w:eastAsiaTheme="minorEastAsia"/>
        </w:rPr>
        <w:tab/>
      </w:r>
      <w:r w:rsidR="00480E4D" w:rsidRPr="006D55BE">
        <w:rPr>
          <w:rFonts w:eastAsiaTheme="minorEastAsia"/>
        </w:rPr>
        <w:t>The space syntax is used in this study, which allows for the incorporation of human perspective into the GBSs planning based on the associations between social responses and spatial structure.</w:t>
      </w:r>
      <w:r w:rsidR="00816395" w:rsidRPr="006D55BE">
        <w:rPr>
          <w:rFonts w:eastAsiaTheme="minorEastAsia"/>
        </w:rPr>
        <w:t xml:space="preserve"> </w:t>
      </w:r>
      <w:r w:rsidR="00444BDA" w:rsidRPr="006D55BE">
        <w:rPr>
          <w:rFonts w:eastAsiaTheme="minorEastAsia"/>
        </w:rPr>
        <w:t>In other words, the configurational measurements in the urban system can represent pedestrian needs in to- and through-movement.</w:t>
      </w:r>
      <w:r w:rsidR="00480E4D" w:rsidRPr="006D55BE">
        <w:rPr>
          <w:rFonts w:eastAsiaTheme="minorEastAsia"/>
        </w:rPr>
        <w:t xml:space="preserve"> </w:t>
      </w:r>
      <w:r w:rsidR="0088212F" w:rsidRPr="006D55BE">
        <w:rPr>
          <w:rFonts w:eastAsiaTheme="minorEastAsia"/>
        </w:rPr>
        <w:t>C</w:t>
      </w:r>
      <w:r w:rsidR="0088212F" w:rsidRPr="006D55BE">
        <w:t xml:space="preserve">ompared to precise coordinates and Euclidean distance, </w:t>
      </w:r>
      <w:r w:rsidR="00416B35" w:rsidRPr="006D55BE">
        <w:t>space syntax-based measurements provide more configurational information on how urban spaces are spatially linked for the GBSs placement.</w:t>
      </w:r>
      <w:r w:rsidR="00BD0DE3" w:rsidRPr="006D55BE">
        <w:t xml:space="preserve"> </w:t>
      </w:r>
      <w:r w:rsidR="007D6BCA" w:rsidRPr="006D55BE">
        <w:t xml:space="preserve">Hence, </w:t>
      </w:r>
      <w:r w:rsidR="002326F9" w:rsidRPr="006D55BE">
        <w:rPr>
          <w:rFonts w:eastAsiaTheme="minorEastAsia"/>
        </w:rPr>
        <w:t xml:space="preserve">the application of space syntax provides both theoretical and technical supports for evaluating GBSs related to pedestrian movement. </w:t>
      </w:r>
      <w:r w:rsidR="00F55021" w:rsidRPr="006D55BE">
        <w:rPr>
          <w:rFonts w:eastAsiaTheme="minorEastAsia"/>
        </w:rPr>
        <w:t xml:space="preserve">Firstly, to measure accessibility (A), </w:t>
      </w:r>
      <w:r w:rsidR="00F55021" w:rsidRPr="006D55BE">
        <w:t xml:space="preserve">the shortest distance between the origins and the destinations is a conventional approach </w:t>
      </w:r>
      <w:r w:rsidR="00F55021" w:rsidRPr="006D55BE">
        <w:fldChar w:fldCharType="begin" w:fldLock="1"/>
      </w:r>
      <w:r w:rsidR="00F55021" w:rsidRPr="006D55BE">
        <w:instrText>ADDIN CSL_CITATION {"citationItems":[{"id":"ITEM-1","itemData":{"DOI":"10.1016/j.ypmed.2008.04.010","ISSN":"00917435","PMID":"18533242","abstract":"Objective: Increasing population levels of physical activity is high on the health agenda in many countries. There is some evidence that neighbourhood access to public open space can increase physical activity by providing easier and more direct access to opportunities for exercise. This national study examines the relationship between travel time access to parks and beaches, BMI and physical activity in New Zealand neighbourhoods. Methods: Access to parks and beaches, measured in minutes taken by a car, was calculated for 38,350 neighbourhoods nationally using Geographic Information Systems. Multilevel regression analyses were used to establish the significance of access to these recreational amenities as a predictor of BMI, and levels of physical activity and sedentary behaviour in the 12,529 participants, living in 1178 neighbourhoods, of the New Zealand Health Survey 2002/3. Results: Neighbourhood access to parks was not associated with BMI, sedentary behaviour or physical activity, after controlling for individual-level socio-economic variables, and neighbourhood-level deprivation and urban/rural status. There was some evidence of a relationship between beach access and BMI and physical activity in the expected direction. Conclusions: This study found little evidence of an association between locational access to open spaces and physical activity. © 2008 Elsevier Inc. All rights reserved.","author":[{"dropping-particle":"","family":"Witten","given":"Karen","non-dropping-particle":"","parse-names":false,"suffix":""},{"dropping-particle":"","family":"Hiscock","given":"Rosemary","non-dropping-particle":"","parse-names":false,"suffix":""},{"dropping-particle":"","family":"Pearce","given":"Jamie","non-dropping-particle":"","parse-names":false,"suffix":""},{"dropping-particle":"","family":"Blakely","given":"Tony","non-dropping-particle":"","parse-names":false,"suffix":""}],"container-title":"Preventive Medicine","id":"ITEM-1","issue":"3","issued":{"date-parts":[["2008","9","1"]]},"page":"299-303","publisher":"Academic Press","title":"Neighbourhood access to open spaces and the physical activity of residents: A national study","type":"article-journal","volume":"47"},"uris":["http://www.mendeley.com/documents/?uuid=33d6a22b-44da-3b0f-b99d-055f11fd14f9"]}],"mendeley":{"formattedCitation":"(Witten, Hiscock, Pearce, &amp; Blakely, 2008)","manualFormatting":"(Witten et al., 2008","plainTextFormattedCitation":"(Witten, Hiscock, Pearce, &amp; Blakely, 2008)","previouslyFormattedCitation":"(Witten, Hiscock, Pearce, &amp; Blakely, 2008)"},"properties":{"noteIndex":0},"schema":"https://github.com/citation-style-language/schema/raw/master/csl-citation.json"}</w:instrText>
      </w:r>
      <w:r w:rsidR="00F55021" w:rsidRPr="006D55BE">
        <w:fldChar w:fldCharType="separate"/>
      </w:r>
      <w:r w:rsidR="00F55021" w:rsidRPr="006D55BE">
        <w:rPr>
          <w:noProof/>
        </w:rPr>
        <w:t>(Witten et al., 2008</w:t>
      </w:r>
      <w:r w:rsidR="00F55021" w:rsidRPr="006D55BE">
        <w:fldChar w:fldCharType="end"/>
      </w:r>
      <w:r w:rsidR="00F55021" w:rsidRPr="006D55BE">
        <w:t xml:space="preserve">; </w:t>
      </w:r>
      <w:r w:rsidR="00F55021" w:rsidRPr="006D55BE">
        <w:fldChar w:fldCharType="begin" w:fldLock="1"/>
      </w:r>
      <w:r w:rsidR="00F55021" w:rsidRPr="006D55BE">
        <w:instrText>ADDIN CSL_CITATION {"citationItems":[{"id":"ITEM-1","itemData":{"DOI":"10.1371/journal.pone.0204684","ISBN":"1111111111","abstract":"Urban green space (UGS) has many environmental and social benefits. UGS provision and access are increasingly considered in urban policies and must rely on data and indicators that can capture variations in the distribution of UGS within cities. There is no consensus about how UGS, and their provision and access, must be defined from different land use data types. Here we identify four spatial dimensions of UGS and critically examine how different data sources affect these dimensions and our understanding of their variation within a city region (Brussels). We compare UGS indicators measured from an imagery source (NDVI from Landsat), an official cadastre-based map, and the voluntary geographical information provided by OpenStreetMap (OSM). We compare aggregate values of provision and access to UGS as well as their spatial distribution along a centrality gradient and at neighbourhood scale. We find that there are strong differences in the value of indicators when using the different datasets, especially due to their ability to capture private and public green space. However we find that the interpretation of intra-urban spatial variations is not affected by changes in data source. Centrality in particular is a strong determinant of the relative values of UGS availability, fragmentation and accessibility, irrespective of datasets.","author":[{"dropping-particle":"","family":"Texier","given":"Marion","non-dropping-particle":"Le","parse-names":false,"suffix":""},{"dropping-particle":"","family":"Schiel","given":"Kerry","non-dropping-particle":"","parse-names":false,"suffix":""},{"dropping-particle":"","family":"Caruso","given":"Geoffrey","non-dropping-particle":"","parse-names":false,"suffix":""}],"container-title":"PloS one","id":"ITEM-1","issue":"10","issued":{"date-parts":[["2018"]]},"page":"e0204684","title":"The provision of urban green space and its accessibility: Spatial data effects in Brussels","type":"article-journal","volume":"13"},"uris":["http://www.mendeley.com/documents/?uuid=5835c362-a9f8-3a58-9a9f-2ac70426ae39"]}],"mendeley":{"formattedCitation":"(Le Texier, Schiel, &amp; Caruso, 2018)","manualFormatting":"Le Texier et al., 2018)","plainTextFormattedCitation":"(Le Texier, Schiel, &amp; Caruso, 2018)","previouslyFormattedCitation":"(Le Texier, Schiel, &amp; Caruso, 2018)"},"properties":{"noteIndex":0},"schema":"https://github.com/citation-style-language/schema/raw/master/csl-citation.json"}</w:instrText>
      </w:r>
      <w:r w:rsidR="00F55021" w:rsidRPr="006D55BE">
        <w:fldChar w:fldCharType="separate"/>
      </w:r>
      <w:r w:rsidR="00F55021" w:rsidRPr="006D55BE">
        <w:rPr>
          <w:noProof/>
        </w:rPr>
        <w:t>Le Texier et al., 2018)</w:t>
      </w:r>
      <w:r w:rsidR="00F55021" w:rsidRPr="006D55BE">
        <w:fldChar w:fldCharType="end"/>
      </w:r>
      <w:r w:rsidR="00F55021" w:rsidRPr="006D55BE">
        <w:t xml:space="preserve">. However, pedestrians may not choose the shortest-distance paths </w:t>
      </w:r>
      <w:r w:rsidR="000C64CC" w:rsidRPr="006D55BE">
        <w:t xml:space="preserve">in </w:t>
      </w:r>
      <w:r w:rsidR="000C64CC" w:rsidRPr="006D55BE">
        <w:rPr>
          <w:i/>
          <w:iCs/>
        </w:rPr>
        <w:t>to-movement</w:t>
      </w:r>
      <w:r w:rsidR="00F55021" w:rsidRPr="006D55BE">
        <w:t xml:space="preserve">, instead, the shortest ways topologically with the least directional changes are more preferable </w:t>
      </w:r>
      <w:r w:rsidR="00F55021" w:rsidRPr="006D55BE">
        <w:fldChar w:fldCharType="begin" w:fldLock="1"/>
      </w:r>
      <w:r w:rsidR="00F55021" w:rsidRPr="006D55BE">
        <w:instrText>ADDIN CSL_CITATION {"citationItems":[{"id":"ITEM-1","itemData":{"abstract":"Nowadays space is considered to be a net of connections between different areas. The questions how to delineate its character and how it is possible to objectively compare two spaces is a matter under consideration. This was the reason for creating new theories about the structure of space. Space syntax analysis (SSA) or simply Space Syntax defines a number of theories and research areas devoted to the analysis of space configuration. Ongoing research and observations of the configuration of spatial settlements and human behavior within in the past years has shown a close relationship between the physical structure of space and the quality of life of its inhabitants. SSA is used as an academic and commercial tool to analyze projects on an urban and building scale. It is a tool of sustainable development used to study movement of space users, crime in the city, antisocial behavior, economics and viability of service, transport or health behavior.","author":[{"dropping-particle":"","family":"Dettlaff","given":"W","non-dropping-particle":"","parse-names":false,"suffix":""}],"container-title":"PhD Interdisciplinary Journal","id":"ITEM-1","issued":{"date-parts":[["2014"]]},"page":"283-291","title":"Space syntax analysis-methodology of understanding the space","type":"article-journal"},"uris":["http://www.mendeley.com/documents/?uuid=26050092-0450-336b-ae2f-17ea6da9b36d"]}],"mendeley":{"formattedCitation":"(Dettlaff, 2014)","plainTextFormattedCitation":"(Dettlaff, 2014)","previouslyFormattedCitation":"(Dettlaff, 2014)"},"properties":{"noteIndex":0},"schema":"https://github.com/citation-style-language/schema/raw/master/csl-citation.json"}</w:instrText>
      </w:r>
      <w:r w:rsidR="00F55021" w:rsidRPr="006D55BE">
        <w:fldChar w:fldCharType="separate"/>
      </w:r>
      <w:r w:rsidR="00F55021" w:rsidRPr="006D55BE">
        <w:rPr>
          <w:noProof/>
        </w:rPr>
        <w:t>(Dettlaff, 2014)</w:t>
      </w:r>
      <w:r w:rsidR="00F55021" w:rsidRPr="006D55BE">
        <w:fldChar w:fldCharType="end"/>
      </w:r>
      <w:r w:rsidR="00F55021" w:rsidRPr="006D55BE">
        <w:t xml:space="preserve">. Thus, topological measurement, as one of the distinctions of space syntax, is emerging in assessing spatial accessibility </w:t>
      </w:r>
      <w:r w:rsidR="00F55021" w:rsidRPr="006D55BE">
        <w:rPr>
          <w:rFonts w:eastAsiaTheme="minorEastAsia"/>
        </w:rPr>
        <w:fldChar w:fldCharType="begin" w:fldLock="1"/>
      </w:r>
      <w:r w:rsidR="00853057" w:rsidRPr="006D55BE">
        <w:rPr>
          <w:rFonts w:eastAsiaTheme="minorEastAsia"/>
        </w:rPr>
        <w:instrText>ADDIN CSL_CITATION {"citationItems":[{"id":"ITEM-1","itemData":{"DOI":"10.1068/b34126","ISSN":"0265-8135","abstract":"Accessibility has become a key issue in modern urban planning. This paper aims to identify the impact of differences in spatial accessibility on the development of the built environment in cities. Using a few simple accessibility indicators, it tries to map out in a quantitative way the detailed implications of accessibility conditions for built-up areas, on the basis of a 25 m × 25 m grid cell approach. The statistical tool used here is logistic regression, followed by a GIS representation of the empirical results for four Dutch cities: Amsterdam, The Hague, Rotterdam, and Utrecht. © 2010 Pion Ltd and its Licensors.","author":[{"dropping-particle":"","family":"Borzacchiello","given":"Maria Teresa","non-dropping-particle":"","parse-names":false,"suffix":""},{"dropping-particle":"","family":"Nijkamp","given":"Peter","non-dropping-particle":"","parse-names":false,"suffix":""},{"dropping-particle":"","family":"Koomen","given":"Eric","non-dropping-particle":"","parse-names":false,"suffix":""}],"container-title":"Environment and Planning B: Planning and Design","id":"ITEM-1","issue":"1","issued":{"date-parts":[["2010"]]},"page":"148-169","title":"Accessibility and Urban Development: A Grid-Based Comparative Statistical Analysis of Dutch Cities","type":"article-journal","volume":"37"},"uris":["http://www.mendeley.com/documents/?uuid=4a870896-610c-3c2b-88d6-479be50ef9a4"]}],"mendeley":{"formattedCitation":"(Borzacchiello, Nijkamp, &amp; Koomen, 2010)","manualFormatting":"(Borzacchiello et al., 2010","plainTextFormattedCitation":"(Borzacchiello, Nijkamp, &amp; Koomen, 2010)","previouslyFormattedCitation":"(Borzacchiello, Nijkamp, &amp; Koomen, 2010)"},"properties":{"noteIndex":0},"schema":"https://github.com/citation-style-language/schema/raw/master/csl-citation.json"}</w:instrText>
      </w:r>
      <w:r w:rsidR="00F55021" w:rsidRPr="006D55BE">
        <w:rPr>
          <w:rFonts w:eastAsiaTheme="minorEastAsia"/>
        </w:rPr>
        <w:fldChar w:fldCharType="separate"/>
      </w:r>
      <w:r w:rsidR="00F55021" w:rsidRPr="006D55BE">
        <w:rPr>
          <w:rFonts w:eastAsiaTheme="minorEastAsia"/>
          <w:noProof/>
        </w:rPr>
        <w:t>(Borzacchiello et al., 2010</w:t>
      </w:r>
      <w:r w:rsidR="00F55021" w:rsidRPr="006D55BE">
        <w:rPr>
          <w:rFonts w:eastAsiaTheme="minorEastAsia"/>
        </w:rPr>
        <w:fldChar w:fldCharType="end"/>
      </w:r>
      <w:r w:rsidR="00F55021" w:rsidRPr="006D55BE">
        <w:rPr>
          <w:rFonts w:eastAsiaTheme="minorEastAsia"/>
        </w:rPr>
        <w:t xml:space="preserve">; </w:t>
      </w:r>
      <w:r w:rsidR="00F55021" w:rsidRPr="006D55BE">
        <w:rPr>
          <w:rFonts w:eastAsiaTheme="minorEastAsia"/>
        </w:rPr>
        <w:fldChar w:fldCharType="begin" w:fldLock="1"/>
      </w:r>
      <w:r w:rsidR="00F55021" w:rsidRPr="006D55BE">
        <w:rPr>
          <w:rFonts w:eastAsiaTheme="minorEastAsia"/>
        </w:rPr>
        <w:instrText>ADDIN CSL_CITATION {"citationItems":[{"id":"ITEM-1","itemData":{"DOI":"10.1504/ijesd.2009.024633","ISSN":"14746778","abstract":"In this paper, the authors present a statistical modelling approach in order to explain the presence and development of built-up areas by means of a set of distinct accessibility indicators, so as to use these results in local planning studies, to test urban sustainability measures and to eventually forecast the impact of accessibility to transport systems on urban development. On the basis of encouraging results obtained in a previous study in the Netherlands, the authors apply a multinomial logistic regression, with urban development as the dependent variable and accessibility and context information as independent variables. The statistical model employs two kinds of accessibility measure: simple Euclidean distances, as well as a specific articulated accessibility indicator which takes into account spatial opportunities as well as distances. The results confirm the reliability and robustness of the chosen approach and confirm the limited usefulness of retrieving and deploying complex data to obtain composite indicators. © 2009 Inderscience Enterprises Ltd.","author":[{"dropping-particle":"","family":"Borzacchiello","given":"Maria Teresa","non-dropping-particle":"","parse-names":false,"suffix":""},{"dropping-particle":"","family":"Nijkamp","given":"Peter","non-dropping-particle":"","parse-names":false,"suffix":""},{"dropping-particle":"","family":"Scholten","given":"Henk J.","non-dropping-particle":"","parse-names":false,"suffix":""}],"container-title":"International Journal of Environment and Sustainable Development","id":"ITEM-1","issue":"3-4","issued":{"date-parts":[["2009"]]},"page":"300-313","publisher":"Inderscience Publishers","title":"A logistic regression model for explaining urban development on the basis of accessibility: A case study of Naples","type":"article-journal","volume":"8"},"uris":["http://www.mendeley.com/documents/?uuid=01b42b5e-311b-3c49-b550-9c8fab83db95"]}],"mendeley":{"formattedCitation":"(Borzacchiello, Nijkamp, &amp; Scholten, 2009)","manualFormatting":"Borzacchiello et al., 2009)","plainTextFormattedCitation":"(Borzacchiello, Nijkamp, &amp; Scholten, 2009)","previouslyFormattedCitation":"(Borzacchiello, Nijkamp, &amp; Scholten, 2009)"},"properties":{"noteIndex":0},"schema":"https://github.com/citation-style-language/schema/raw/master/csl-citation.json"}</w:instrText>
      </w:r>
      <w:r w:rsidR="00F55021" w:rsidRPr="006D55BE">
        <w:rPr>
          <w:rFonts w:eastAsiaTheme="minorEastAsia"/>
        </w:rPr>
        <w:fldChar w:fldCharType="separate"/>
      </w:r>
      <w:r w:rsidR="00F55021" w:rsidRPr="006D55BE">
        <w:rPr>
          <w:rFonts w:eastAsiaTheme="minorEastAsia"/>
          <w:noProof/>
        </w:rPr>
        <w:t>Borzacchiello et al., 2009)</w:t>
      </w:r>
      <w:r w:rsidR="00F55021" w:rsidRPr="006D55BE">
        <w:rPr>
          <w:rFonts w:eastAsiaTheme="minorEastAsia"/>
        </w:rPr>
        <w:fldChar w:fldCharType="end"/>
      </w:r>
      <w:r w:rsidR="00F55021" w:rsidRPr="006D55BE">
        <w:t xml:space="preserve">, by counting the numbers of turns needed on the walking route </w:t>
      </w:r>
      <w:r w:rsidR="00F55021" w:rsidRPr="006D55BE">
        <w:fldChar w:fldCharType="begin" w:fldLock="1"/>
      </w:r>
      <w:r w:rsidR="00F55021" w:rsidRPr="006D55BE">
        <w:instrText>ADDIN CSL_CITATION {"citationItems":[{"id":"ITEM-1","itemData":{"abstract":"Between social physics and phenomenology","author":[{"dropping-particle":"","family":"Hillier","given":"Bill","non-dropping-particle":"","parse-names":false,"suffix":""},{"dropping-particle":"","family":"Iida","given":"Shinichi","non-dropping-particle":"","parse-names":false,"suffix":""}],"container-title":"International Conference on Spatial Information Theory","id":"ITEM-1","issued":{"date-parts":[["2005"]]},"page":"475-490","title":"Network and psychological effects in urban movement","type":"article-journal"},"uris":["http://www.mendeley.com/documents/?uuid=45b25d94-c95e-4ec8-96dd-d62735c3545b"]}],"mendeley":{"formattedCitation":"(Bill Hillier &amp; Iida, 2005)","manualFormatting":"(Hillier &amp; Iida, 2005)","plainTextFormattedCitation":"(Bill Hillier &amp; Iida, 2005)","previouslyFormattedCitation":"(Bill Hillier &amp; Iida, 2005)"},"properties":{"noteIndex":0},"schema":"https://github.com/citation-style-language/schema/raw/master/csl-citation.json"}</w:instrText>
      </w:r>
      <w:r w:rsidR="00F55021" w:rsidRPr="006D55BE">
        <w:fldChar w:fldCharType="separate"/>
      </w:r>
      <w:r w:rsidR="00F55021" w:rsidRPr="006D55BE">
        <w:rPr>
          <w:noProof/>
        </w:rPr>
        <w:t>(Hillier &amp; Iida, 2005)</w:t>
      </w:r>
      <w:r w:rsidR="00F55021" w:rsidRPr="006D55BE">
        <w:fldChar w:fldCharType="end"/>
      </w:r>
      <w:r w:rsidR="00F55021" w:rsidRPr="006D55BE">
        <w:t xml:space="preserve">. </w:t>
      </w:r>
      <w:r w:rsidR="00595806" w:rsidRPr="006D55BE">
        <w:t xml:space="preserve">Secondly, visual access to GBSs is also characterized by syntactic measurements based on space syntax. Most of </w:t>
      </w:r>
      <w:r w:rsidR="00E90A25" w:rsidRPr="006D55BE">
        <w:t xml:space="preserve">the </w:t>
      </w:r>
      <w:r w:rsidR="00595806" w:rsidRPr="006D55BE">
        <w:t xml:space="preserve">visibility measurements adopt traditional eye-level approaches based on </w:t>
      </w:r>
      <w:r w:rsidR="00E90A25" w:rsidRPr="006D55BE">
        <w:t xml:space="preserve">the </w:t>
      </w:r>
      <w:r w:rsidR="00595806" w:rsidRPr="006D55BE">
        <w:t xml:space="preserve">self-collected picture and innovative street-level methods based on Google Street View (GSV) data (e.g., </w:t>
      </w:r>
      <w:r w:rsidR="00595806" w:rsidRPr="006D55BE">
        <w:fldChar w:fldCharType="begin" w:fldLock="1"/>
      </w:r>
      <w:r w:rsidR="00926392">
        <w:instrText>ADDIN CSL_CITATION {"citationItems":[{"id":"ITEM-1","itemData":{"DOI":"10.1016/j.landurbplan.2018.08.028","ISSN":"01692046","abstract":"The public benefits of visible street greenery have been well recognised in a growing literature. Nevertheless, this issue was rare to be included into urban greenery and planning practices. As a response to this situation, we proposed an actionable approach for quantifying the daily exposure of urban residents to eye-level street greenery by integrating high resolution measurements on both greenery and accessibility. Google Street View (GSV) images in Singapore were collected and extracted through machine learning algorithms to achieve an accurate measurement on visible greenery. Street networks collected from Open Street Map (OSM) were analysed through spatial design network analysis (sDNA) to quantify the accessibility value of each street. The integration of street greenery and accessibility helps to measure greenery from a human-centred perspective, and it provides a decision-support tool for urban planners to highlight areas with prioritisation for planning interventions. Moreover, the performance between GSV-based street greenery and the urban green cover mapped by remote sensing was compared to justify the contribution of this new measurement. It suggested there was a mismatch between these two measurements, i.e., existing top-down viewpoint through satellites might not be equivalent to the benefits enjoyed by city residents. In short, this analytical approach contributes to a growing trend in integrating large, freely-available datasets with machine learning to inform planners, and it makes a step forward for urban planning practices through focusing on the human-scale measurement of accessed street greenery.","author":[{"dropping-particle":"","family":"Ye","given":"Yu","non-dropping-particle":"","parse-names":false,"suffix":""},{"dropping-particle":"","family":"Richards","given":"Daniel","non-dropping-particle":"","parse-names":false,"suffix":""},{"dropping-particle":"","family":"Lu","given":"Yi","non-dropping-particle":"","parse-names":false,"suffix":""},{"dropping-particle":"","family":"Song","given":"Xiaoping","non-dropping-particle":"","parse-names":false,"suffix":""},{"dropping-particle":"","family":"Zhuang","given":"Yu","non-dropping-particle":"","parse-names":false,"suffix":""},{"dropping-particle":"","family":"Zeng","given":"Wei","non-dropping-particle":"","parse-names":false,"suffix":""},{"dropping-particle":"","family":"Zhong","given":"Teng","non-dropping-particle":"","parse-names":false,"suffix":""}],"container-title":"Landscape and Urban Planning","id":"ITEM-1","issue":"July 2017","issued":{"date-parts":[["2019"]]},"title":"Measuring daily accessed street greenery: A human-scale approach for informing better urban planning practices","type":"article-journal","volume":"191"},"uris":["http://www.mendeley.com/documents/?uuid=0c558022-f704-4191-a903-ba8a621a57a3"]}],"mendeley":{"formattedCitation":"(Yu Ye et al., 2019)","manualFormatting":"Ye et al., 2019","plainTextFormattedCitation":"(Yu Ye et al., 2019)","previouslyFormattedCitation":"(Yu Ye et al., 2019)"},"properties":{"noteIndex":0},"schema":"https://github.com/citation-style-language/schema/raw/master/csl-citation.json"}</w:instrText>
      </w:r>
      <w:r w:rsidR="00595806" w:rsidRPr="006D55BE">
        <w:fldChar w:fldCharType="separate"/>
      </w:r>
      <w:r w:rsidR="00595806" w:rsidRPr="006D55BE">
        <w:rPr>
          <w:noProof/>
        </w:rPr>
        <w:t>Ye et al., 2019</w:t>
      </w:r>
      <w:r w:rsidR="00595806" w:rsidRPr="006D55BE">
        <w:fldChar w:fldCharType="end"/>
      </w:r>
      <w:r w:rsidR="00595806" w:rsidRPr="006D55BE">
        <w:t xml:space="preserve">). However, these approaches are generally at local scales </w:t>
      </w:r>
      <w:r w:rsidR="00595806" w:rsidRPr="006D55BE">
        <w:fldChar w:fldCharType="begin" w:fldLock="1"/>
      </w:r>
      <w:r w:rsidR="00595806" w:rsidRPr="006D55BE">
        <w:instrText>ADDIN CSL_CITATION {"citationItems":[{"id":"ITEM-1","itemData":{"DOI":"10.1038/s41370-018-0017-1","ISSN":"1559064X","PMID":"29352209","abstract":"Urban green space, or natural environments, are associated with multiple physical and mental health outcomes. Several proposed pathways of action for these benefits (e.g., stress reduction and attention restoration) require visual perception of green space; however, existing green space exposure measures commonly used in epidemiological studies do not capture street-scale exposures. We downloaded 254 Google Street View (GSV) panorama images from Portland, Oregon and calculated percent of green in each image, called Green View Index (GVI). For these locations we also calculated satellite-based normalized difference vegetation index (NDVI), % tree cover, % green space, % street tree buffering, distance to parks, and several neighborhood socio-economic variables. Correlations between the GVI and other green space measures were low (−0.02 to 0.50), suggesting GSV-based measures captured unique information about green space exposures. We further developed a GVI:NDVI ratio, which was associated with the amount of vertical green space in an image. The GVI and GVI:NDVI ratio were weakly related to neighborhood socioeconomic status and are therefore less susceptible to confounding in health studies compared to other green space measures. GSV measures captured unique characteristics of the green space environment and offer a new approach to examine green space and health associations in epidemiological research.","author":[{"dropping-particle":"","family":"Larkin","given":"Andrew","non-dropping-particle":"","parse-names":false,"suffix":""},{"dropping-particle":"","family":"Hystad","given":"Perry","non-dropping-particle":"","parse-names":false,"suffix":""}],"container-title":"Journal of Exposure Science and Environmental Epidemiology","id":"ITEM-1","issue":"4","issued":{"date-parts":[["2019"]]},"page":"447-456","publisher":"Springer US","title":"Evaluating street view exposure measures of visible green space for health research","type":"article-journal","volume":"29"},"uris":["http://www.mendeley.com/documents/?uuid=c3ccbe0e-5df3-474f-a5a9-1ebd263fdeef"]}],"mendeley":{"formattedCitation":"(Larkin &amp; Hystad, 2019)","manualFormatting":"(Larkin &amp; Hystad, 2019","plainTextFormattedCitation":"(Larkin &amp; Hystad, 2019)","previouslyFormattedCitation":"(Larkin &amp; Hystad, 2019)"},"properties":{"noteIndex":0},"schema":"https://github.com/citation-style-language/schema/raw/master/csl-citation.json"}</w:instrText>
      </w:r>
      <w:r w:rsidR="00595806" w:rsidRPr="006D55BE">
        <w:fldChar w:fldCharType="separate"/>
      </w:r>
      <w:r w:rsidR="00595806" w:rsidRPr="006D55BE">
        <w:rPr>
          <w:noProof/>
        </w:rPr>
        <w:t>(Larkin &amp; Hystad, 2019</w:t>
      </w:r>
      <w:r w:rsidR="00595806" w:rsidRPr="006D55BE">
        <w:fldChar w:fldCharType="end"/>
      </w:r>
      <w:r w:rsidR="00595806" w:rsidRPr="006D55BE">
        <w:t xml:space="preserve">; </w:t>
      </w:r>
      <w:r w:rsidR="00595806" w:rsidRPr="006D55BE">
        <w:fldChar w:fldCharType="begin" w:fldLock="1"/>
      </w:r>
      <w:r w:rsidR="00595806" w:rsidRPr="006D55BE">
        <w:instrText>ADDIN CSL_CITATION {"citationItems":[{"id":"ITEM-1","itemData":{"DOI":"10.1016/j.scitotenv.2020.143050","ISSN":"18791026","PMID":"33129523","abstract":"The visibility of natural greenness is associated with several health benefits along multiple pathways, including stress recovery and attention restoration mechanisms. However, existing methodologies are inadequate for capturing eye-level greenness visibility exposure at high spatial resolutions for observers located on the ground. As a response, we developed an innovative methodological approach to model and map eye-level greenness visibility exposure for 5 m interval locations within a large study area. We used multi-source spatial data and applied viewshed analysis in conjunction with a distance decay model to compute a novel Viewshed Greenness Visibility Index (VGVI) at more than 86 million observer locations. We compared our eye-level visibility exposure map with traditional top-down greenness exposure metrics such as Normalised Differential Vegetation Index (NDVI) and a Street view based Green View Index (SGVI). Furthermore, we compared greenness visibility at street-only locations with total neighbourhood greenness visibility. We found strong to moderate correlations (r = 0.65–0.42, p &lt; 0.05) between greenness visibility and mean NDVI, with a decreasing trend in correlation strength at increasing buffer distances from observer locations. Our findings suggest that top-down and eye-level measurements of greenness are two distinct metrics for assessing greenness exposure. Additionally, VGVI showed a strong correlation (r = 0.481, p &lt; 0.01) with SGVI. Although the new VGVI has good agreement with existing street view based measures, we found that street-only greenness visibility values are not wholly representative of total neighbourhood visibility due to the under-representation of visible greenness in locations such as backyards and community parks. Our new methodology overcomes such underestimations, is easily transferable, and offers a computationally efficient approach to assessing eye-level greenness exposure.","author":[{"dropping-particle":"","family":"Labib","given":"S. M.","non-dropping-particle":"","parse-names":false,"suffix":""},{"dropping-particle":"","family":"Huck","given":"Jonny J.","non-dropping-particle":"","parse-names":false,"suffix":""},{"dropping-particle":"","family":"Lindley","given":"Sarah","non-dropping-particle":"","parse-names":false,"suffix":""}],"container-title":"Science of the Total Environment","id":"ITEM-1","issued":{"date-parts":[["2021","2","10"]]},"page":"143050","publisher":"Elsevier B.V.","title":"Modelling and mapping eye-level greenness visibility exposure using multi-source data at high spatial resolutions","type":"article-journal","volume":"755"},"uris":["http://www.mendeley.com/documents/?uuid=5472f6fd-5ca5-34e1-b8f0-1a8d1e0418cc"]}],"mendeley":{"formattedCitation":"(Labib, Huck, &amp; Lindley, 2021)","manualFormatting":"Labib et al., 2021)","plainTextFormattedCitation":"(Labib, Huck, &amp; Lindley, 2021)","previouslyFormattedCitation":"(Labib, Huck, &amp; Lindley, 2021)"},"properties":{"noteIndex":0},"schema":"https://github.com/citation-style-language/schema/raw/master/csl-citation.json"}</w:instrText>
      </w:r>
      <w:r w:rsidR="00595806" w:rsidRPr="006D55BE">
        <w:fldChar w:fldCharType="separate"/>
      </w:r>
      <w:r w:rsidR="00595806" w:rsidRPr="006D55BE">
        <w:rPr>
          <w:noProof/>
        </w:rPr>
        <w:t>Labib et al., 2021)</w:t>
      </w:r>
      <w:r w:rsidR="00595806" w:rsidRPr="006D55BE">
        <w:fldChar w:fldCharType="end"/>
      </w:r>
      <w:r w:rsidR="00595806" w:rsidRPr="006D55BE">
        <w:t xml:space="preserve"> and do not consider </w:t>
      </w:r>
      <w:r w:rsidR="0095407C" w:rsidRPr="006D55BE">
        <w:t xml:space="preserve">dynamic moving behavior and its influence on spatial visibility. </w:t>
      </w:r>
      <w:r w:rsidR="005D5701" w:rsidRPr="006D55BE">
        <w:t>Space syntax-based visibility measurements have</w:t>
      </w:r>
      <w:r w:rsidR="000E2FCF" w:rsidRPr="006D55BE">
        <w:t xml:space="preserve"> the</w:t>
      </w:r>
      <w:r w:rsidR="005D5701" w:rsidRPr="006D55BE">
        <w:t xml:space="preserve"> potentials to</w:t>
      </w:r>
      <w:r w:rsidR="000C64CC" w:rsidRPr="006D55BE">
        <w:t xml:space="preserve"> demonstrate the varied visibility of GBSs in the </w:t>
      </w:r>
      <w:r w:rsidR="000C64CC" w:rsidRPr="006D55BE">
        <w:rPr>
          <w:i/>
          <w:iCs/>
        </w:rPr>
        <w:t>through-movement</w:t>
      </w:r>
      <w:r w:rsidR="000C64CC" w:rsidRPr="006D55BE">
        <w:t xml:space="preserve"> at urban scales.</w:t>
      </w:r>
      <w:r w:rsidR="00124917" w:rsidRPr="006D55BE">
        <w:t xml:space="preserve"> </w:t>
      </w:r>
      <w:r w:rsidR="00500194" w:rsidRPr="006D55BE">
        <w:t>S</w:t>
      </w:r>
      <w:r w:rsidR="005D5701" w:rsidRPr="006D55BE">
        <w:rPr>
          <w:rFonts w:eastAsiaTheme="minorEastAsia"/>
        </w:rPr>
        <w:t>pace syntax-based measurements</w:t>
      </w:r>
      <w:r w:rsidR="00500194" w:rsidRPr="006D55BE">
        <w:rPr>
          <w:rFonts w:eastAsiaTheme="minorEastAsia"/>
        </w:rPr>
        <w:t xml:space="preserve">, furthermore, </w:t>
      </w:r>
      <w:r w:rsidR="005D5701" w:rsidRPr="006D55BE">
        <w:rPr>
          <w:rFonts w:eastAsiaTheme="minorEastAsia"/>
        </w:rPr>
        <w:t xml:space="preserve">indicate the identity of GBSs, which is </w:t>
      </w:r>
      <w:r w:rsidR="005D5701" w:rsidRPr="006D55BE">
        <w:t>affected by city image</w:t>
      </w:r>
      <w:r w:rsidR="006B5643" w:rsidRPr="006D55BE">
        <w:t>s</w:t>
      </w:r>
      <w:r w:rsidR="005D5701" w:rsidRPr="006D55BE">
        <w:t xml:space="preserve"> formed in people walking routes </w:t>
      </w:r>
      <w:r w:rsidR="005D5701" w:rsidRPr="006D55BE">
        <w:fldChar w:fldCharType="begin" w:fldLock="1"/>
      </w:r>
      <w:r w:rsidR="005D5701" w:rsidRPr="006D55BE">
        <w:instrText>ADDIN CSL_CITATION {"citationItems":[{"id":"ITEM-1","itemData":{"DOI":"10.1088/1755-1315/447/1/012045","abstract":"As towns and cities developed, their characteristics manifest as the uniqueness brought by the diversity among them. However, modernization had cause the uniqueness tend to fade and lose its meaning as part of the image of a city. Kampung Bandar, the oldest historic district of Pekanbaru located on the riverside of Siak River, is no longer well-known for its prominent past. There are three historic sites that is potential to be developed as the image of the district, namely Rumah Singgah Tuan Kadi, Istana Hinggap and Rumah Tenun. This paper aims to assess how a sense of place influences the city image in the historic riverside district of Kampung Bandar based on the perceptions of its inhabitants, as well as the role of landmarks as attributes of the sense of place in the formation of the historic urban district's image. This research used a mixed-method. Qualitative methods involve in-depth interviews with experts and community leaders, whereas quantitative methods scored sites importance according to the local community. The results of the study show that Rumah Singgah Tuan Kadi have the highest sense of place and contribute significantly to the formation of the riverside urban district's image.","author":[{"dropping-particle":"","family":"Asfarilla","given":"V","non-dropping-particle":"","parse-names":false,"suffix":""},{"dropping-particle":"","family":"Agustiananda","given":"P A P","non-dropping-particle":"","parse-names":false,"suffix":""}],"container-title":"IOP Conference Series: Earth and Environmental Science","id":"ITEM-1","issued":{"date-parts":[["2020"]]},"page":"012045","title":"The influence of “sense of place” on the formation of the city image of the riverside historic urban district (Case study of Kampung Bandar, Senapelan, Pekanbaru)","type":"paper-conference","volume":"447"},"uris":["http://www.mendeley.com/documents/?uuid=934a4e51-cbad-3dc5-b4f3-032cd2ecef94"]}],"mendeley":{"formattedCitation":"(Asfarilla &amp; Agustiananda, 2020)","plainTextFormattedCitation":"(Asfarilla &amp; Agustiananda, 2020)","previouslyFormattedCitation":"(Asfarilla &amp; Agustiananda, 2020)"},"properties":{"noteIndex":0},"schema":"https://github.com/citation-style-language/schema/raw/master/csl-citation.json"}</w:instrText>
      </w:r>
      <w:r w:rsidR="005D5701" w:rsidRPr="006D55BE">
        <w:fldChar w:fldCharType="separate"/>
      </w:r>
      <w:r w:rsidR="005D5701" w:rsidRPr="006D55BE">
        <w:rPr>
          <w:noProof/>
        </w:rPr>
        <w:t>(Asfarilla &amp; Agustiananda, 2020)</w:t>
      </w:r>
      <w:r w:rsidR="005D5701" w:rsidRPr="006D55BE">
        <w:fldChar w:fldCharType="end"/>
      </w:r>
      <w:r w:rsidR="005D5701" w:rsidRPr="006D55BE">
        <w:t>.</w:t>
      </w:r>
      <w:r w:rsidR="008808EC" w:rsidRPr="006D55BE">
        <w:t xml:space="preserve"> </w:t>
      </w:r>
      <w:r w:rsidR="00380C90" w:rsidRPr="006D55BE">
        <w:t xml:space="preserve">The concept of city image is firstly proposed in the book ‘The </w:t>
      </w:r>
      <w:r w:rsidR="006B5643" w:rsidRPr="006D55BE">
        <w:t>I</w:t>
      </w:r>
      <w:r w:rsidR="00380C90" w:rsidRPr="006D55BE">
        <w:t xml:space="preserve">mage </w:t>
      </w:r>
      <w:r w:rsidR="006B5643" w:rsidRPr="006D55BE">
        <w:t>O</w:t>
      </w:r>
      <w:r w:rsidR="00380C90" w:rsidRPr="006D55BE">
        <w:t xml:space="preserve">f </w:t>
      </w:r>
      <w:r w:rsidR="006B5643" w:rsidRPr="006D55BE">
        <w:t>T</w:t>
      </w:r>
      <w:r w:rsidR="00380C90" w:rsidRPr="006D55BE">
        <w:t xml:space="preserve">he </w:t>
      </w:r>
      <w:r w:rsidR="006B5643" w:rsidRPr="006D55BE">
        <w:t>C</w:t>
      </w:r>
      <w:r w:rsidR="00380C90" w:rsidRPr="006D55BE">
        <w:t xml:space="preserve">ity’ by </w:t>
      </w:r>
      <w:r w:rsidR="00380C90" w:rsidRPr="006D55BE">
        <w:fldChar w:fldCharType="begin" w:fldLock="1"/>
      </w:r>
      <w:r w:rsidR="009F06FB" w:rsidRPr="006D55BE">
        <w:instrText>ADDIN CSL_CITATION {"citationItems":[{"id":"ITEM-1","itemData":{"abstract":"Este curso tem por objetivos oferecer uma visão geral da área de métodos formais para especificação de sistemas e dar uma introdução ao método de gramáticas de grafos. Este método de especificação pode ser utilizado para especificar uma grande variedade de sis- temas complexos, incluindo sistemas concorrentes e distrubuídos. A descrição utilizando grafos para representar estados e transformações de grafos para representar mudanças de estados é bastante intuitiva e ao mesmo tempo poderosa. Neste curso serao discutidas várias aplicações de gramáticas de grafos. Atenção especial será dada à especificação de sistemas concorrentes e distribuídos, que podem ser modelados de forma simples e elegante usando gramática de grafos.","author":[{"dropping-particle":"","family":"Lynch","given":"Kevin","non-dropping-particle":"","parse-names":false,"suffix":""}],"id":"ITEM-1","issued":{"date-parts":[["1960"]]},"publisher":"MIT press","title":"The image of the city","type":"book"},"uris":["http://www.mendeley.com/documents/?uuid=c38b2dda-e743-4a8d-b59e-4b031647e373"]}],"mendeley":{"formattedCitation":"(Lynch, 1960)","manualFormatting":"Lynch (1960)","plainTextFormattedCitation":"(Lynch, 1960)","previouslyFormattedCitation":"(Lynch, 1960)"},"properties":{"noteIndex":0},"schema":"https://github.com/citation-style-language/schema/raw/master/csl-citation.json"}</w:instrText>
      </w:r>
      <w:r w:rsidR="00380C90" w:rsidRPr="006D55BE">
        <w:fldChar w:fldCharType="separate"/>
      </w:r>
      <w:r w:rsidR="00380C90" w:rsidRPr="006D55BE">
        <w:rPr>
          <w:noProof/>
        </w:rPr>
        <w:t>Lynch (1960)</w:t>
      </w:r>
      <w:r w:rsidR="00380C90" w:rsidRPr="006D55BE">
        <w:fldChar w:fldCharType="end"/>
      </w:r>
      <w:r w:rsidR="00380C90" w:rsidRPr="006D55BE">
        <w:t xml:space="preserve"> who proposed urban physical configurations will determine city image and resultant urban legibility. </w:t>
      </w:r>
      <w:r w:rsidR="00E24564" w:rsidRPr="006D55BE">
        <w:t>This interpretation of legibility is similar to the term of ‘intelligibility’ –</w:t>
      </w:r>
      <w:r w:rsidR="00E24564" w:rsidRPr="006D55BE">
        <w:rPr>
          <w:rFonts w:eastAsiaTheme="minorEastAsia"/>
        </w:rPr>
        <w:t xml:space="preserve"> an indicator of our AVI framework – their interactions </w:t>
      </w:r>
      <w:r w:rsidR="00E24564" w:rsidRPr="006D55BE">
        <w:t xml:space="preserve">can be found in some studies </w:t>
      </w:r>
      <w:r w:rsidR="00E24564" w:rsidRPr="006D55BE">
        <w:fldChar w:fldCharType="begin" w:fldLock="1"/>
      </w:r>
      <w:r w:rsidR="00E24564" w:rsidRPr="006D55BE">
        <w:instrText>ADDIN CSL_CITATION {"citationItems":[{"id":"ITEM-1","itemData":{"DOI":"10.1177/0013916511402059","ISSN":"1552390X","abstract":"Lynch has defined place legibility as the ease with which people understand the layout of a place. The concept essentially represents the composite mental image of a place. Alternatively, space-syntax literature has objectively defined the concept of intelligibility as the capacity of a space to give clues to the understanding of the system as a whole. This study contributes to understanding space-syntax theory as applied to spatial cognition by examining the effect of spatial configuration, measured by intelligibility, on place legibility, measured by sketch maps, recognition tests, and surveys. The results of the experimental study showed that the intelligibility of neighborhood layout influences place legibility. The findings of this study suggest that the space-syntax methodology could be used by urban designers and policy makers to understand and quantitatively manipulate one aspect of the environment, that is, intelligibility, which contributes to improved legibility. © The Author(s) 2012.","author":[{"dropping-particle":"","family":"Long","given":"Yixiang","non-dropping-particle":"","parse-names":false,"suffix":""},{"dropping-particle":"","family":"Baran","given":"Perver K.","non-dropping-particle":"","parse-names":false,"suffix":""}],"container-title":"Environment and Behavior","id":"ITEM-1","issue":"5","issued":{"date-parts":[["2012"]]},"page":"616-640","title":"Does Intelligibility Affect Place Legibility? Understanding the Relationship Between Objective and Subjective Evaluations of the Urban Environment","type":"article-journal","volume":"44"},"uris":["http://www.mendeley.com/documents/?uuid=7efd99b0-5546-4ec2-b45f-8647a3cc2b55"]}],"mendeley":{"formattedCitation":"(Long &amp; Baran, 2012)","manualFormatting":"(Long &amp; Baran, 2012","plainTextFormattedCitation":"(Long &amp; Baran, 2012)","previouslyFormattedCitation":"(Long &amp; Baran, 2012)"},"properties":{"noteIndex":0},"schema":"https://github.com/citation-style-language/schema/raw/master/csl-citation.json"}</w:instrText>
      </w:r>
      <w:r w:rsidR="00E24564" w:rsidRPr="006D55BE">
        <w:fldChar w:fldCharType="separate"/>
      </w:r>
      <w:r w:rsidR="00E24564" w:rsidRPr="006D55BE">
        <w:rPr>
          <w:noProof/>
        </w:rPr>
        <w:t>(Long &amp; Baran, 2012</w:t>
      </w:r>
      <w:r w:rsidR="00E24564" w:rsidRPr="006D55BE">
        <w:fldChar w:fldCharType="end"/>
      </w:r>
      <w:r w:rsidR="00E24564" w:rsidRPr="006D55BE">
        <w:t xml:space="preserve">; </w:t>
      </w:r>
      <w:r w:rsidR="00E24564" w:rsidRPr="006D55BE">
        <w:fldChar w:fldCharType="begin" w:fldLock="1"/>
      </w:r>
      <w:r w:rsidR="00E24564" w:rsidRPr="006D55BE">
        <w:instrText>ADDIN CSL_CITATION {"citationItems":[{"id":"ITEM-1","itemData":{"abstract":"This paper discusses the concept of 'intelligibility', a concept usually attributed to the design of real-world environments and suggests how it might be applied to the construction of virtual environments. In order to illustrate this concept, a 3d, online, collaborative environment, AlphaWorld, is analyzed in a manner analogous to spatial analysis techniques applied to cities in the real world. The outcome of this form of spatial analysis is that AlphaWorld appears to be highly 'intelligible' at the small-scale, 'local neighborhood' level, and yet is completely 'unintelligible' at a global level. This paper concludes with a discussion of the relevance of this finding to virtual environment design plus future research applications.","author":[{"dropping-particle":"","family":"Dalton","given":"Ruth Conroy","non-dropping-particle":"","parse-names":false,"suffix":""}],"container-title":"International Journal of Design Computing","id":"ITEM-1","issued":{"date-parts":[["2002"]]},"title":"Is Spatial Intelligibility Critical to the Design of Large-scale Virtual Environments?","type":"article-journal","volume":"4"},"uris":["http://www.mendeley.com/documents/?uuid=68f81aed-0ead-3d03-92e1-2839488971af"]}],"mendeley":{"formattedCitation":"(Dalton, 2002)","manualFormatting":"Dalton, 2002","plainTextFormattedCitation":"(Dalton, 2002)","previouslyFormattedCitation":"(Dalton, 2002)"},"properties":{"noteIndex":0},"schema":"https://github.com/citation-style-language/schema/raw/master/csl-citation.json"}</w:instrText>
      </w:r>
      <w:r w:rsidR="00E24564" w:rsidRPr="006D55BE">
        <w:fldChar w:fldCharType="separate"/>
      </w:r>
      <w:r w:rsidR="00E24564" w:rsidRPr="006D55BE">
        <w:rPr>
          <w:noProof/>
        </w:rPr>
        <w:t>Dalton, 2002</w:t>
      </w:r>
      <w:r w:rsidR="00E24564" w:rsidRPr="006D55BE">
        <w:fldChar w:fldCharType="end"/>
      </w:r>
      <w:r w:rsidR="00E24564" w:rsidRPr="006D55BE">
        <w:t xml:space="preserve">; </w:t>
      </w:r>
      <w:r w:rsidR="00E24564" w:rsidRPr="006D55BE">
        <w:fldChar w:fldCharType="begin" w:fldLock="1"/>
      </w:r>
      <w:r w:rsidR="00E24564" w:rsidRPr="006D55BE">
        <w:instrText>ADDIN CSL_CITATION {"citationItems":[{"id":"ITEM-1","itemData":{"author":[{"dropping-particle":"","family":"Dalton","given":"Ruth Conroy","non-dropping-particle":"","parse-names":false,"suffix":""},{"dropping-particle":"","family":"Bafna","given":"Sonit","non-dropping-particle":"","parse-names":false,"suffix":""}],"container-title":"4th International Space Syntax Symposium","id":"ITEM-1","issued":{"date-parts":[["2003"]]},"title":"The syntactical image of the city: A reciprocal definition of spatial elements and spatial syntaxes","type":"paper-conference"},"uris":["http://www.mendeley.com/documents/?uuid=fa6ac23b-1928-366d-b8f5-d2130e68c75c"]}],"mendeley":{"formattedCitation":"(Dalton &amp; Bafna, 2003)","manualFormatting":"Dalton &amp; Bafna, 2003)","plainTextFormattedCitation":"(Dalton &amp; Bafna, 2003)","previouslyFormattedCitation":"(Dalton &amp; Bafna, 2003)"},"properties":{"noteIndex":0},"schema":"https://github.com/citation-style-language/schema/raw/master/csl-citation.json"}</w:instrText>
      </w:r>
      <w:r w:rsidR="00E24564" w:rsidRPr="006D55BE">
        <w:fldChar w:fldCharType="separate"/>
      </w:r>
      <w:r w:rsidR="00E24564" w:rsidRPr="006D55BE">
        <w:rPr>
          <w:noProof/>
        </w:rPr>
        <w:t>Dalton &amp; Bafna, 2003)</w:t>
      </w:r>
      <w:r w:rsidR="00E24564" w:rsidRPr="006D55BE">
        <w:fldChar w:fldCharType="end"/>
      </w:r>
      <w:r w:rsidR="00E24564" w:rsidRPr="006D55BE">
        <w:t xml:space="preserve">. </w:t>
      </w:r>
      <w:r w:rsidR="0037051A" w:rsidRPr="006D55BE">
        <w:t>Our PCA results also show that intelligibility indicator can reveal</w:t>
      </w:r>
      <w:r w:rsidR="00B52F45" w:rsidRPr="006D55BE">
        <w:t xml:space="preserve"> additional different</w:t>
      </w:r>
      <w:r w:rsidR="0037051A" w:rsidRPr="006D55BE">
        <w:t xml:space="preserve"> information </w:t>
      </w:r>
      <w:r w:rsidR="00B52F45" w:rsidRPr="006D55BE">
        <w:t>than</w:t>
      </w:r>
      <w:r w:rsidR="0037051A" w:rsidRPr="006D55BE">
        <w:t xml:space="preserve"> accessibility and visibility (Figure </w:t>
      </w:r>
      <w:r w:rsidR="00366CC8">
        <w:t>7</w:t>
      </w:r>
      <w:r w:rsidR="0037051A" w:rsidRPr="006D55BE">
        <w:t xml:space="preserve">). Thus, following Lynch’s work, it is necessary to include the intelligibility indicator into the GBSs evaluation, for spatial cognition requirements of </w:t>
      </w:r>
      <w:r w:rsidR="00E00448" w:rsidRPr="006D55BE">
        <w:t>pedestrians</w:t>
      </w:r>
      <w:r w:rsidR="00881B50" w:rsidRPr="006D55BE">
        <w:t xml:space="preserve"> in future GBSs planning</w:t>
      </w:r>
      <w:r w:rsidR="0037051A" w:rsidRPr="006D55BE">
        <w:t>.</w:t>
      </w:r>
    </w:p>
    <w:p w14:paraId="7F70A6A6" w14:textId="06CF312E" w:rsidR="00D81CA1" w:rsidRDefault="00111BEF" w:rsidP="00111BEF">
      <w:pPr>
        <w:spacing w:after="163"/>
        <w:ind w:firstLine="420"/>
      </w:pPr>
      <w:bookmarkStart w:id="20" w:name="_Hlk94281027"/>
      <w:r w:rsidRPr="006D55BE">
        <w:rPr>
          <w:rFonts w:eastAsiaTheme="minorEastAsia"/>
        </w:rPr>
        <w:lastRenderedPageBreak/>
        <w:t>Overall,</w:t>
      </w:r>
      <w:r w:rsidR="00D81CA1">
        <w:rPr>
          <w:rFonts w:eastAsiaTheme="minorEastAsia"/>
        </w:rPr>
        <w:t xml:space="preserve"> theoretically,</w:t>
      </w:r>
      <w:r w:rsidRPr="006D55BE">
        <w:rPr>
          <w:rFonts w:eastAsiaTheme="minorEastAsia"/>
        </w:rPr>
        <w:t xml:space="preserve"> the AVI framework based on </w:t>
      </w:r>
      <w:r w:rsidRPr="006D55BE">
        <w:t xml:space="preserve">space syntax in our study provides insights into human and social dimensions of physical planning of GBSs through </w:t>
      </w:r>
      <w:r w:rsidR="003E780F" w:rsidRPr="006D55BE">
        <w:t>quantifying</w:t>
      </w:r>
      <w:r w:rsidRPr="006D55BE">
        <w:t xml:space="preserve"> the accessibility, visibility, and intelligibility of GBSs. </w:t>
      </w:r>
      <w:r w:rsidR="00D81CA1">
        <w:t xml:space="preserve">In practice, by averaging empirical AVI results of each GBS into those in various urban </w:t>
      </w:r>
      <w:r w:rsidR="0012625B">
        <w:t>districts</w:t>
      </w:r>
      <w:r w:rsidR="00D81CA1">
        <w:t>, the compar</w:t>
      </w:r>
      <w:r w:rsidR="0012625B">
        <w:t>i</w:t>
      </w:r>
      <w:r w:rsidR="00D81CA1">
        <w:t>sons among GBS pedestrian friendliness based on our</w:t>
      </w:r>
      <w:r w:rsidR="00D81CA1" w:rsidRPr="00D81CA1">
        <w:t xml:space="preserve"> </w:t>
      </w:r>
      <w:r w:rsidR="00D81CA1">
        <w:t>AVI framework</w:t>
      </w:r>
      <w:r w:rsidRPr="006D55BE">
        <w:t xml:space="preserve"> </w:t>
      </w:r>
      <w:r w:rsidR="00D81CA1">
        <w:t>are</w:t>
      </w:r>
      <w:r w:rsidRPr="006D55BE">
        <w:t xml:space="preserve"> </w:t>
      </w:r>
      <w:r w:rsidRPr="006D55BE">
        <w:rPr>
          <w:rFonts w:eastAsiaTheme="minorEastAsia"/>
        </w:rPr>
        <w:t xml:space="preserve">instrumental in decision-making for informed </w:t>
      </w:r>
      <w:r w:rsidR="00D81CA1">
        <w:t>city-scale GBS planning</w:t>
      </w:r>
      <w:r w:rsidR="00D81CA1" w:rsidRPr="006D55BE">
        <w:rPr>
          <w:rFonts w:eastAsiaTheme="minorEastAsia"/>
        </w:rPr>
        <w:t xml:space="preserve"> </w:t>
      </w:r>
      <w:r w:rsidR="00EA22D8" w:rsidRPr="006D55BE">
        <w:t xml:space="preserve">for improving </w:t>
      </w:r>
      <w:r w:rsidR="00E43B4C" w:rsidRPr="006D55BE">
        <w:t xml:space="preserve">the </w:t>
      </w:r>
      <w:r w:rsidR="00EA22D8" w:rsidRPr="006D55BE">
        <w:t>walking experience and social well-being</w:t>
      </w:r>
      <w:bookmarkEnd w:id="20"/>
      <w:r w:rsidR="00B45C5A" w:rsidRPr="006D55BE">
        <w:t>.</w:t>
      </w:r>
    </w:p>
    <w:p w14:paraId="7D8A57A3" w14:textId="11B2F6E6" w:rsidR="00A113DB" w:rsidRPr="006D55BE" w:rsidRDefault="00A113DB" w:rsidP="00A113DB">
      <w:pPr>
        <w:pStyle w:val="Heading2"/>
        <w:spacing w:before="163" w:after="163"/>
        <w:rPr>
          <w:rFonts w:eastAsiaTheme="minorEastAsia"/>
        </w:rPr>
      </w:pPr>
      <w:r w:rsidRPr="006D55BE">
        <w:rPr>
          <w:rFonts w:eastAsiaTheme="minorEastAsia"/>
        </w:rPr>
        <w:t>5.2 Intelligibility requires more attention in GBSs planning</w:t>
      </w:r>
    </w:p>
    <w:p w14:paraId="6ED265C4" w14:textId="7A5F5776" w:rsidR="00A113DB" w:rsidRPr="006D55BE" w:rsidRDefault="000106B1" w:rsidP="000106B1">
      <w:pPr>
        <w:spacing w:after="163"/>
        <w:ind w:firstLine="420"/>
        <w:rPr>
          <w:rFonts w:eastAsiaTheme="minorEastAsia"/>
        </w:rPr>
      </w:pPr>
      <w:r w:rsidRPr="006D55BE">
        <w:rPr>
          <w:rFonts w:eastAsiaTheme="minorEastAsia"/>
        </w:rPr>
        <w:t xml:space="preserve">Comparing AVI-averaged and AVI-weighted evaluations of GBSs, their different scores in each district </w:t>
      </w:r>
      <w:r w:rsidR="00530523" w:rsidRPr="006D55BE">
        <w:rPr>
          <w:rFonts w:eastAsiaTheme="minorEastAsia"/>
        </w:rPr>
        <w:t>reveal</w:t>
      </w:r>
      <w:r w:rsidRPr="006D55BE">
        <w:rPr>
          <w:rFonts w:eastAsiaTheme="minorEastAsia"/>
        </w:rPr>
        <w:t xml:space="preserve"> the </w:t>
      </w:r>
      <w:r w:rsidR="00530523" w:rsidRPr="006D55BE">
        <w:rPr>
          <w:rFonts w:eastAsiaTheme="minorEastAsia"/>
        </w:rPr>
        <w:t>distinct</w:t>
      </w:r>
      <w:r w:rsidRPr="006D55BE">
        <w:rPr>
          <w:rFonts w:eastAsiaTheme="minorEastAsia"/>
        </w:rPr>
        <w:t xml:space="preserve"> contributions of accessibility, visibility, and intelligibility to overall GBSs in the city. </w:t>
      </w:r>
      <w:r w:rsidR="0056084B" w:rsidRPr="006D55BE">
        <w:rPr>
          <w:rFonts w:eastAsiaTheme="minorEastAsia"/>
        </w:rPr>
        <w:t>Weighting determinations for AVI indicators using PCA enable planners to identify more important indicator</w:t>
      </w:r>
      <w:r w:rsidR="00417EAD" w:rsidRPr="006D55BE">
        <w:rPr>
          <w:rFonts w:eastAsiaTheme="minorEastAsia"/>
        </w:rPr>
        <w:t>s</w:t>
      </w:r>
      <w:r w:rsidR="0056084B" w:rsidRPr="006D55BE">
        <w:rPr>
          <w:rFonts w:eastAsiaTheme="minorEastAsia"/>
        </w:rPr>
        <w:t xml:space="preserve"> for GBSs improvement. </w:t>
      </w:r>
      <w:r w:rsidR="00724F99" w:rsidRPr="006D55BE">
        <w:rPr>
          <w:rFonts w:eastAsiaTheme="minorEastAsia"/>
        </w:rPr>
        <w:t>In PC1</w:t>
      </w:r>
      <w:r w:rsidR="002956FA" w:rsidRPr="006D55BE">
        <w:rPr>
          <w:rFonts w:eastAsiaTheme="minorEastAsia"/>
        </w:rPr>
        <w:t xml:space="preserve"> with </w:t>
      </w:r>
      <w:r w:rsidR="00F434D0">
        <w:rPr>
          <w:rFonts w:eastAsiaTheme="minorEastAsia"/>
        </w:rPr>
        <w:t>60</w:t>
      </w:r>
      <w:r w:rsidR="002956FA" w:rsidRPr="006D55BE">
        <w:rPr>
          <w:rFonts w:eastAsiaTheme="minorEastAsia"/>
        </w:rPr>
        <w:t>% GBSs characteristics</w:t>
      </w:r>
      <w:r w:rsidR="00724F99" w:rsidRPr="006D55BE">
        <w:rPr>
          <w:rFonts w:eastAsiaTheme="minorEastAsia"/>
        </w:rPr>
        <w:t xml:space="preserve">, accessibility and visibility are </w:t>
      </w:r>
      <w:r w:rsidR="006C4DC1" w:rsidRPr="006D55BE">
        <w:rPr>
          <w:rFonts w:eastAsiaTheme="minorEastAsia"/>
        </w:rPr>
        <w:t xml:space="preserve">the main influences of </w:t>
      </w:r>
      <w:proofErr w:type="gramStart"/>
      <w:r w:rsidR="006C4DC1" w:rsidRPr="006D55BE">
        <w:rPr>
          <w:rFonts w:eastAsiaTheme="minorEastAsia"/>
        </w:rPr>
        <w:t>pedestrian-friendly</w:t>
      </w:r>
      <w:proofErr w:type="gramEnd"/>
      <w:r w:rsidR="006C4DC1" w:rsidRPr="006D55BE">
        <w:rPr>
          <w:rFonts w:eastAsiaTheme="minorEastAsia"/>
        </w:rPr>
        <w:t xml:space="preserve"> GBSs </w:t>
      </w:r>
      <w:r w:rsidR="00724F99" w:rsidRPr="006D55BE">
        <w:rPr>
          <w:rFonts w:eastAsiaTheme="minorEastAsia"/>
        </w:rPr>
        <w:t xml:space="preserve">(Table </w:t>
      </w:r>
      <w:r w:rsidR="0030087D" w:rsidRPr="006D55BE">
        <w:rPr>
          <w:rFonts w:eastAsiaTheme="minorEastAsia"/>
        </w:rPr>
        <w:t>3</w:t>
      </w:r>
      <w:r w:rsidR="00724F99" w:rsidRPr="006D55BE">
        <w:rPr>
          <w:rFonts w:eastAsiaTheme="minorEastAsia"/>
        </w:rPr>
        <w:t xml:space="preserve">). This observation is similar to previous studies that emphasize the importance of accessible and visible spaces in cities (e.g., </w:t>
      </w:r>
      <w:r w:rsidR="00724F99" w:rsidRPr="006D55BE">
        <w:rPr>
          <w:rFonts w:eastAsiaTheme="minorEastAsia"/>
        </w:rPr>
        <w:fldChar w:fldCharType="begin" w:fldLock="1"/>
      </w:r>
      <w:r w:rsidR="00724F99" w:rsidRPr="006D55BE">
        <w:rPr>
          <w:rFonts w:eastAsiaTheme="minorEastAsia"/>
        </w:rPr>
        <w:instrText>ADDIN CSL_CITATION {"citationItems":[{"id":"ITEM-1","itemData":{"DOI":"10.1016/j.ufug.2017.05.018","ISSN":"16108167","abstract":"Parks are recognised as important elements of urban green infrastructure and for providing many benefits to city residents. In countries where urban growth is unplanned and sprawling, green space provision falls behind, inadequate amounts are provided or spaces are not located in the most effective places. Tehran, the capital of Iran, has experienced huge growth in population and corresponding sprawl in recent years. There has been no study of the effectiveness of parks as part of the range of green spaces in the city − their location, accessibility within the urban structure, relationship to the socio-demographic character of the population, amount per capita or quality and condition. Using a combination of existing data supplemented by new data from site surveys, this study firstly looked at the citywide scale of public open space in relation to population and socio-economic patterns. Second, a representative sample of 16 parks was examined in terms of their accessibility within the urban street structure using space syntax. The syntactical results were correlated with several different aspects of each park collected and rated on a 1–5 scale. The results showed a wide range of availability of parks with no specific pattern related to whether the district is better off or poor. The data on green space per district was often heavily biased by the presence of large areas of forest park or non-recreational land which gives a false picture.Many of the best parks are poorly integrated into the street network and found in the better off districts yet are very popular because they are “destination” parks in cooler, hilly areas. Poorly integrated parks in the inner city districts tended to show lower levels of maintenance, were often little used and had vandalism. Much more attention is needed to provide green space in an equitable way.","author":[{"dropping-particle":"","family":"Bahrini","given":"Fariba","non-dropping-particle":"","parse-names":false,"suffix":""},{"dropping-particle":"","family":"Bell","given":"Simon","non-dropping-particle":"","parse-names":false,"suffix":""},{"dropping-particle":"","family":"Mokhtarzadeh","given":"Safora","non-dropping-particle":"","parse-names":false,"suffix":""}],"container-title":"Urban Forestry and Urban Greening","id":"ITEM-1","issue":"July","issued":{"date-parts":[["2017"]]},"page":"332-342","publisher":"Elsevier","title":"The relationship between the distribution and use patterns of parks and their spatial accessibility at the city level: A case study from Tehran, Iran","type":"article-journal","volume":"27"},"uris":["http://www.mendeley.com/documents/?uuid=cc2d9c02-d569-4bdd-989e-bd7fd5ef0d11"]}],"mendeley":{"formattedCitation":"(Bahrini, Bell, &amp; Mokhtarzadeh, 2017)","manualFormatting":"Bahrini et al., 2017","plainTextFormattedCitation":"(Bahrini, Bell, &amp; Mokhtarzadeh, 2017)","previouslyFormattedCitation":"(Bahrini, Bell, &amp; Mokhtarzadeh, 2017)"},"properties":{"noteIndex":0},"schema":"https://github.com/citation-style-language/schema/raw/master/csl-citation.json"}</w:instrText>
      </w:r>
      <w:r w:rsidR="00724F99" w:rsidRPr="006D55BE">
        <w:rPr>
          <w:rFonts w:eastAsiaTheme="minorEastAsia"/>
        </w:rPr>
        <w:fldChar w:fldCharType="separate"/>
      </w:r>
      <w:r w:rsidR="00724F99" w:rsidRPr="006D55BE">
        <w:rPr>
          <w:rFonts w:eastAsiaTheme="minorEastAsia"/>
          <w:noProof/>
        </w:rPr>
        <w:t>Bahrini et al., 2017</w:t>
      </w:r>
      <w:r w:rsidR="00724F99" w:rsidRPr="006D55BE">
        <w:rPr>
          <w:rFonts w:eastAsiaTheme="minorEastAsia"/>
        </w:rPr>
        <w:fldChar w:fldCharType="end"/>
      </w:r>
      <w:r w:rsidR="00724F99" w:rsidRPr="006D55BE">
        <w:rPr>
          <w:rFonts w:eastAsiaTheme="minorEastAsia"/>
        </w:rPr>
        <w:t xml:space="preserve">; </w:t>
      </w:r>
      <w:r w:rsidR="00724F99" w:rsidRPr="006D55BE">
        <w:rPr>
          <w:rFonts w:eastAsiaTheme="minorEastAsia"/>
        </w:rPr>
        <w:fldChar w:fldCharType="begin" w:fldLock="1"/>
      </w:r>
      <w:r w:rsidR="00724F99" w:rsidRPr="006D55BE">
        <w:rPr>
          <w:rFonts w:eastAsiaTheme="minorEastAsia"/>
        </w:rPr>
        <w:instrText>ADDIN CSL_CITATION {"citationItems":[{"id":"ITEM-1","itemData":{"DOI":"10.1016/j.compenvurbsys.2020.101547","ISSN":"01989715","abstract":"The neighbourhood is a basic residential unit and is characterized by its physical setting, functional attributes and visual appearance. The visual appearance of a neighbourhood can directly affect the impression of humans regarding the local living environment. Assessing the characteristics of the visual appearance of a neighbourhood is significance for promoting people's physical activities, improving residents' sense of comfort and even ensuring the equality of facilities. However, studies assessing the spatial characteristics of visual appearance are still limited. Therefore, this article applies street view images to quantify the visual appearance of neighbourhoods at multiple scales in Shenzhen, China. Then, geographically weighted principal component analysis (GWPCA) is employed to explore the varying multivariate structures of visual appearance. The results confirm that GWPCA can be effective in assessing the visual appearance characteristics of neighbourhoods while considering spatial heterogeneity. The visual appearance characteristics of neighbourhoods are sensitive to both the spatial location and analysis scale. The extracted geographically weighted principal components (GWPCs) can represent the original screen elements by emphasizing certain comprehensive concepts, such as walkability, accessibility and vibrancy. The exploratory findings of this article allow for an improvement of studies on spatial quality at the human scale and could potentially guide neighbourhood planning and street design.","author":[{"dropping-particle":"","family":"Wu","given":"Chao","non-dropping-particle":"","parse-names":false,"suffix":""},{"dropping-particle":"","family":"Peng","given":"Ningyezi","non-dropping-particle":"","parse-names":false,"suffix":""},{"dropping-particle":"","family":"Ma","given":"Xiangyuan","non-dropping-particle":"","parse-names":false,"suffix":""},{"dropping-particle":"","family":"Li","given":"Sheng","non-dropping-particle":"","parse-names":false,"suffix":""},{"dropping-particle":"","family":"Rao","given":"Jinmeng","non-dropping-particle":"","parse-names":false,"suffix":""}],"container-title":"Computers, Environment and Urban Systems","id":"ITEM-1","issued":{"date-parts":[["2020","11","1"]]},"page":"101547","publisher":"Elsevier Ltd","title":"Assessing multiscale visual appearance characteristics of neighbourhoods using geographically weighted principal component analysis in Shenzhen, China","type":"article-journal","volume":"84"},"uris":["http://www.mendeley.com/documents/?uuid=e9a2cd64-8ff6-304a-a127-3aa3357b6dab"]}],"mendeley":{"formattedCitation":"(Wu, Peng, Ma, Li, &amp; Rao, 2020)","manualFormatting":"Wu et al., 2020","plainTextFormattedCitation":"(Wu, Peng, Ma, Li, &amp; Rao, 2020)","previouslyFormattedCitation":"(Wu, Peng, Ma, Li, &amp; Rao, 2020)"},"properties":{"noteIndex":0},"schema":"https://github.com/citation-style-language/schema/raw/master/csl-citation.json"}</w:instrText>
      </w:r>
      <w:r w:rsidR="00724F99" w:rsidRPr="006D55BE">
        <w:rPr>
          <w:rFonts w:eastAsiaTheme="minorEastAsia"/>
        </w:rPr>
        <w:fldChar w:fldCharType="separate"/>
      </w:r>
      <w:r w:rsidR="00724F99" w:rsidRPr="006D55BE">
        <w:rPr>
          <w:rFonts w:eastAsiaTheme="minorEastAsia"/>
          <w:noProof/>
        </w:rPr>
        <w:t>Wu et al., 2020</w:t>
      </w:r>
      <w:r w:rsidR="00724F99" w:rsidRPr="006D55BE">
        <w:rPr>
          <w:rFonts w:eastAsiaTheme="minorEastAsia"/>
        </w:rPr>
        <w:fldChar w:fldCharType="end"/>
      </w:r>
      <w:r w:rsidR="00724F99" w:rsidRPr="006D55BE">
        <w:rPr>
          <w:rFonts w:eastAsiaTheme="minorEastAsia"/>
        </w:rPr>
        <w:t xml:space="preserve">). </w:t>
      </w:r>
      <w:r w:rsidR="0025273D" w:rsidRPr="006D55BE">
        <w:rPr>
          <w:rFonts w:eastAsiaTheme="minorEastAsia"/>
        </w:rPr>
        <w:t xml:space="preserve">Moreover, the accessibility and visibility are closely interconnected (Figure </w:t>
      </w:r>
      <w:r w:rsidR="00F434D0">
        <w:rPr>
          <w:rFonts w:eastAsiaTheme="minorEastAsia"/>
        </w:rPr>
        <w:t>7</w:t>
      </w:r>
      <w:r w:rsidR="0025273D" w:rsidRPr="006D55BE">
        <w:rPr>
          <w:rFonts w:eastAsiaTheme="minorEastAsia"/>
        </w:rPr>
        <w:t>)</w:t>
      </w:r>
      <w:r w:rsidR="006D2538" w:rsidRPr="006D55BE">
        <w:rPr>
          <w:rFonts w:eastAsiaTheme="minorEastAsia"/>
        </w:rPr>
        <w:t>,</w:t>
      </w:r>
      <w:r w:rsidR="0025273D" w:rsidRPr="006D55BE">
        <w:rPr>
          <w:rFonts w:eastAsiaTheme="minorEastAsia"/>
        </w:rPr>
        <w:t xml:space="preserve"> </w:t>
      </w:r>
      <w:r w:rsidR="00E948F0" w:rsidRPr="006D55BE">
        <w:rPr>
          <w:rFonts w:eastAsiaTheme="minorEastAsia"/>
        </w:rPr>
        <w:t xml:space="preserve">because </w:t>
      </w:r>
      <w:r w:rsidR="00856112" w:rsidRPr="006D55BE">
        <w:rPr>
          <w:rFonts w:eastAsiaTheme="minorEastAsia"/>
        </w:rPr>
        <w:t xml:space="preserve">they </w:t>
      </w:r>
      <w:r w:rsidR="006D2538" w:rsidRPr="006D55BE">
        <w:rPr>
          <w:rFonts w:eastAsiaTheme="minorEastAsia"/>
        </w:rPr>
        <w:t xml:space="preserve">are walking needs in </w:t>
      </w:r>
      <w:r w:rsidR="00E948F0" w:rsidRPr="006D55BE">
        <w:rPr>
          <w:rFonts w:eastAsiaTheme="minorEastAsia"/>
        </w:rPr>
        <w:t xml:space="preserve">the </w:t>
      </w:r>
      <w:r w:rsidR="00E948F0" w:rsidRPr="006D55BE">
        <w:rPr>
          <w:rFonts w:eastAsiaTheme="minorEastAsia"/>
          <w:i/>
          <w:iCs/>
        </w:rPr>
        <w:t>to-movement</w:t>
      </w:r>
      <w:r w:rsidR="00E948F0" w:rsidRPr="006D55BE">
        <w:rPr>
          <w:rFonts w:eastAsiaTheme="minorEastAsia"/>
        </w:rPr>
        <w:t xml:space="preserve"> and </w:t>
      </w:r>
      <w:r w:rsidR="00E948F0" w:rsidRPr="006D55BE">
        <w:rPr>
          <w:rFonts w:eastAsiaTheme="minorEastAsia"/>
          <w:i/>
          <w:iCs/>
        </w:rPr>
        <w:t>through-movement</w:t>
      </w:r>
      <w:r w:rsidR="00E948F0" w:rsidRPr="006D55BE">
        <w:rPr>
          <w:rFonts w:eastAsiaTheme="minorEastAsia"/>
        </w:rPr>
        <w:t xml:space="preserve"> respectively</w:t>
      </w:r>
      <w:r w:rsidR="006D2538" w:rsidRPr="006D55BE">
        <w:rPr>
          <w:rFonts w:eastAsiaTheme="minorEastAsia"/>
        </w:rPr>
        <w:t xml:space="preserve"> affected by the configurational structures in the spatial network. The physical and visual access cannot be isolated in the given urban spaces. </w:t>
      </w:r>
      <w:r w:rsidR="00856112" w:rsidRPr="006D55BE">
        <w:rPr>
          <w:rFonts w:eastAsiaTheme="minorEastAsia"/>
        </w:rPr>
        <w:t>However, compared with accessibility and visibility, intelligibility</w:t>
      </w:r>
      <w:r w:rsidR="00B50C19" w:rsidRPr="006D55BE">
        <w:rPr>
          <w:rFonts w:eastAsiaTheme="minorEastAsia"/>
        </w:rPr>
        <w:t xml:space="preserve"> indicates </w:t>
      </w:r>
      <w:r w:rsidR="00E34A46" w:rsidRPr="006D55BE">
        <w:rPr>
          <w:rFonts w:eastAsiaTheme="minorEastAsia"/>
        </w:rPr>
        <w:t xml:space="preserve">an </w:t>
      </w:r>
      <w:r w:rsidR="00B50C19" w:rsidRPr="006D55BE">
        <w:rPr>
          <w:rFonts w:eastAsiaTheme="minorEastAsia"/>
        </w:rPr>
        <w:t>additional</w:t>
      </w:r>
      <w:r w:rsidR="00C36141" w:rsidRPr="006D55BE">
        <w:rPr>
          <w:rFonts w:eastAsiaTheme="minorEastAsia"/>
        </w:rPr>
        <w:t xml:space="preserve"> walking need on the mental dimension, which is not </w:t>
      </w:r>
      <w:r w:rsidR="00E34A46" w:rsidRPr="006D55BE">
        <w:rPr>
          <w:rFonts w:eastAsiaTheme="minorEastAsia"/>
        </w:rPr>
        <w:t>directly tied to</w:t>
      </w:r>
      <w:r w:rsidR="00C36141" w:rsidRPr="006D55BE">
        <w:rPr>
          <w:rFonts w:eastAsiaTheme="minorEastAsia"/>
        </w:rPr>
        <w:t xml:space="preserve"> either </w:t>
      </w:r>
      <w:r w:rsidR="00C36141" w:rsidRPr="006D55BE">
        <w:rPr>
          <w:rFonts w:eastAsiaTheme="minorEastAsia"/>
          <w:i/>
          <w:iCs/>
        </w:rPr>
        <w:t>to-</w:t>
      </w:r>
      <w:r w:rsidR="00C36141" w:rsidRPr="006D55BE">
        <w:rPr>
          <w:rFonts w:eastAsiaTheme="minorEastAsia"/>
        </w:rPr>
        <w:t xml:space="preserve"> or </w:t>
      </w:r>
      <w:r w:rsidR="00C36141" w:rsidRPr="006D55BE">
        <w:rPr>
          <w:rFonts w:eastAsiaTheme="minorEastAsia"/>
          <w:i/>
          <w:iCs/>
        </w:rPr>
        <w:t>through-movement</w:t>
      </w:r>
      <w:r w:rsidR="00850DD6" w:rsidRPr="006D55BE">
        <w:rPr>
          <w:rFonts w:eastAsiaTheme="minorEastAsia"/>
        </w:rPr>
        <w:t xml:space="preserve">, </w:t>
      </w:r>
      <w:r w:rsidR="00E34A46" w:rsidRPr="006D55BE">
        <w:rPr>
          <w:rFonts w:eastAsiaTheme="minorEastAsia"/>
        </w:rPr>
        <w:t xml:space="preserve">but rather </w:t>
      </w:r>
      <w:r w:rsidR="00850DD6" w:rsidRPr="006D55BE">
        <w:rPr>
          <w:rFonts w:eastAsiaTheme="minorEastAsia"/>
        </w:rPr>
        <w:t>the mental image of</w:t>
      </w:r>
      <w:r w:rsidR="009823C0" w:rsidRPr="006D55BE">
        <w:rPr>
          <w:rFonts w:eastAsiaTheme="minorEastAsia"/>
        </w:rPr>
        <w:t xml:space="preserve"> a </w:t>
      </w:r>
      <w:r w:rsidR="00850DD6" w:rsidRPr="006D55BE">
        <w:rPr>
          <w:rFonts w:eastAsiaTheme="minorEastAsia"/>
        </w:rPr>
        <w:t xml:space="preserve">pedestrian </w:t>
      </w:r>
      <w:r w:rsidR="009823C0" w:rsidRPr="006D55BE">
        <w:rPr>
          <w:rFonts w:eastAsiaTheme="minorEastAsia"/>
        </w:rPr>
        <w:t>in the context of general natural movement patterns</w:t>
      </w:r>
      <w:r w:rsidR="00850DD6" w:rsidRPr="006D55BE">
        <w:rPr>
          <w:rFonts w:eastAsiaTheme="minorEastAsia"/>
        </w:rPr>
        <w:t xml:space="preserve">. </w:t>
      </w:r>
      <w:r w:rsidR="00C555AF" w:rsidRPr="006D55BE">
        <w:rPr>
          <w:rFonts w:eastAsiaTheme="minorEastAsia"/>
        </w:rPr>
        <w:t xml:space="preserve">Our result also demonstrates the dominance of intelligibility in </w:t>
      </w:r>
      <w:proofErr w:type="gramStart"/>
      <w:r w:rsidR="00C555AF" w:rsidRPr="006D55BE">
        <w:rPr>
          <w:rFonts w:eastAsiaTheme="minorEastAsia"/>
        </w:rPr>
        <w:t>pedestrian-friendly</w:t>
      </w:r>
      <w:proofErr w:type="gramEnd"/>
      <w:r w:rsidR="00C555AF" w:rsidRPr="006D55BE">
        <w:rPr>
          <w:rFonts w:eastAsiaTheme="minorEastAsia"/>
        </w:rPr>
        <w:t xml:space="preserve"> GBSs planning (Figure </w:t>
      </w:r>
      <w:r w:rsidR="00F434D0">
        <w:rPr>
          <w:rFonts w:eastAsiaTheme="minorEastAsia"/>
        </w:rPr>
        <w:t>7</w:t>
      </w:r>
      <w:r w:rsidR="00C555AF" w:rsidRPr="006D55BE">
        <w:rPr>
          <w:rFonts w:eastAsiaTheme="minorEastAsia"/>
        </w:rPr>
        <w:t xml:space="preserve">). </w:t>
      </w:r>
      <w:r w:rsidR="0029552D" w:rsidRPr="006D55BE">
        <w:rPr>
          <w:rFonts w:eastAsiaTheme="minorEastAsia"/>
        </w:rPr>
        <w:t xml:space="preserve">Therefore, we </w:t>
      </w:r>
      <w:r w:rsidR="009823C0" w:rsidRPr="006D55BE">
        <w:rPr>
          <w:rFonts w:eastAsiaTheme="minorEastAsia"/>
        </w:rPr>
        <w:t xml:space="preserve">recommend focusing more on enhancing GBSs </w:t>
      </w:r>
      <w:r w:rsidR="0029552D" w:rsidRPr="006D55BE">
        <w:rPr>
          <w:rFonts w:eastAsiaTheme="minorEastAsia"/>
        </w:rPr>
        <w:t xml:space="preserve">intelligibility </w:t>
      </w:r>
      <w:r w:rsidR="009823C0" w:rsidRPr="006D55BE">
        <w:rPr>
          <w:rFonts w:eastAsiaTheme="minorEastAsia"/>
        </w:rPr>
        <w:t>by</w:t>
      </w:r>
      <w:r w:rsidR="0029552D" w:rsidRPr="006D55BE">
        <w:rPr>
          <w:rFonts w:eastAsiaTheme="minorEastAsia"/>
        </w:rPr>
        <w:t xml:space="preserve"> adjusting </w:t>
      </w:r>
      <w:r w:rsidR="0029552D" w:rsidRPr="006D55BE">
        <w:rPr>
          <w:rFonts w:eastAsiaTheme="minorEastAsia"/>
          <w:i/>
          <w:iCs/>
        </w:rPr>
        <w:t>connectivity</w:t>
      </w:r>
      <w:r w:rsidR="0029552D" w:rsidRPr="006D55BE">
        <w:rPr>
          <w:rFonts w:eastAsiaTheme="minorEastAsia"/>
        </w:rPr>
        <w:t xml:space="preserve"> and </w:t>
      </w:r>
      <w:r w:rsidR="0029552D" w:rsidRPr="006D55BE">
        <w:rPr>
          <w:rFonts w:eastAsiaTheme="minorEastAsia"/>
          <w:i/>
          <w:iCs/>
        </w:rPr>
        <w:t>integration</w:t>
      </w:r>
      <w:r w:rsidR="0029552D" w:rsidRPr="006D55BE">
        <w:rPr>
          <w:rFonts w:eastAsiaTheme="minorEastAsia"/>
        </w:rPr>
        <w:t xml:space="preserve"> of urban spaces for </w:t>
      </w:r>
      <w:r w:rsidR="009823C0" w:rsidRPr="006D55BE">
        <w:rPr>
          <w:rFonts w:eastAsiaTheme="minorEastAsia"/>
        </w:rPr>
        <w:t>improved</w:t>
      </w:r>
      <w:r w:rsidR="0029552D" w:rsidRPr="006D55BE">
        <w:rPr>
          <w:rFonts w:eastAsiaTheme="minorEastAsia"/>
        </w:rPr>
        <w:t xml:space="preserve"> spatial cognition of GBSs. </w:t>
      </w:r>
      <w:r w:rsidR="00973750" w:rsidRPr="006D55BE">
        <w:rPr>
          <w:rFonts w:eastAsiaTheme="minorEastAsia"/>
        </w:rPr>
        <w:t xml:space="preserve">Conventionally, some </w:t>
      </w:r>
      <w:r w:rsidR="00892C8C" w:rsidRPr="006D55BE">
        <w:rPr>
          <w:rFonts w:eastAsiaTheme="minorEastAsia"/>
        </w:rPr>
        <w:t xml:space="preserve">studies have explored how people perceive the urban space using insufficiently objective approaches, such as </w:t>
      </w:r>
      <w:r w:rsidR="008630F6" w:rsidRPr="006D55BE">
        <w:rPr>
          <w:rFonts w:eastAsiaTheme="minorEastAsia"/>
        </w:rPr>
        <w:t xml:space="preserve">the </w:t>
      </w:r>
      <w:r w:rsidR="00892C8C" w:rsidRPr="006D55BE">
        <w:rPr>
          <w:rFonts w:eastAsiaTheme="minorEastAsia"/>
        </w:rPr>
        <w:t xml:space="preserve">5-point Likert scale </w:t>
      </w:r>
      <w:r w:rsidR="00892C8C" w:rsidRPr="006D55BE">
        <w:rPr>
          <w:rFonts w:eastAsiaTheme="minorEastAsia"/>
        </w:rPr>
        <w:fldChar w:fldCharType="begin" w:fldLock="1"/>
      </w:r>
      <w:r w:rsidR="00892C8C" w:rsidRPr="006D55BE">
        <w:rPr>
          <w:rFonts w:eastAsiaTheme="minorEastAsia"/>
        </w:rPr>
        <w:instrText>ADDIN CSL_CITATION {"citationItems":[{"id":"ITEM-1","itemData":{"DOI":"10.1016/j.ufug.2018.10.001","abstract":"Several evidence from the Nordic countries suggest that the eight perceived sensory dimensions, which are serene, nature, rich in species, space, prospect, refuge, social and culture, can be used as a reliable tool for urban green space assessment and planning, but whether or not this is the case for China is unknown. Using an onsite questionnaire distributed to green space users in Hefei, China, this study is the first to examine the representations of the eight sensory dimensions as perceived by Chinese people in different types of green space, and to identify the relationship between the eight sensory dimensions and preference, including the factors that most influenced their perceptions. The results showed that: (1) Social was common, while culture and rich in species the least common which was not in line with the previous European studies; (2) The popularity of green space type was positively related to the number of highly perceived sensory dimensions; (3) Type of green space was a key determinant of perceptions of the eight sensory dimensions, and certain socioeconomic and green space use variables also had a great impact on people's perceptions. The results grant potential to the method in assessment and planning of urban green space in China.","author":[{"dropping-particle":"","family":"Chen","given":"Hong","non-dropping-particle":"","parse-names":false,"suffix":""},{"dropping-particle":"","family":"Qiu","given":"Ling","non-dropping-particle":"","parse-names":false,"suffix":""},{"dropping-particle":"","family":"Gao","given":"Tian","non-dropping-particle":"","parse-names":false,"suffix":""}],"container-title":"Urban Forestry &amp; Urban Greening","id":"ITEM-1","issued":{"date-parts":[["2018"]]},"page":"224-235","title":"Application of the eight perceived sensory dimensions as a tool for urban green space assessment and planning in China","type":"article-journal","volume":"40"},"uris":["http://www.mendeley.com/documents/?uuid=4a294d30-7fd7-38e1-a8b3-ac4b5068bcfa"]}],"mendeley":{"formattedCitation":"(Chen, Qiu, &amp; Gao, 2018)","manualFormatting":"(Chen et al., 2018)","plainTextFormattedCitation":"(Chen, Qiu, &amp; Gao, 2018)","previouslyFormattedCitation":"(Chen, Qiu, &amp; Gao, 2018)"},"properties":{"noteIndex":0},"schema":"https://github.com/citation-style-language/schema/raw/master/csl-citation.json"}</w:instrText>
      </w:r>
      <w:r w:rsidR="00892C8C" w:rsidRPr="006D55BE">
        <w:rPr>
          <w:rFonts w:eastAsiaTheme="minorEastAsia"/>
        </w:rPr>
        <w:fldChar w:fldCharType="separate"/>
      </w:r>
      <w:r w:rsidR="00892C8C" w:rsidRPr="006D55BE">
        <w:rPr>
          <w:rFonts w:eastAsiaTheme="minorEastAsia"/>
          <w:noProof/>
        </w:rPr>
        <w:t>(Chen et al., 2018)</w:t>
      </w:r>
      <w:r w:rsidR="00892C8C" w:rsidRPr="006D55BE">
        <w:rPr>
          <w:rFonts w:eastAsiaTheme="minorEastAsia"/>
        </w:rPr>
        <w:fldChar w:fldCharType="end"/>
      </w:r>
      <w:r w:rsidR="00892C8C" w:rsidRPr="006D55BE">
        <w:rPr>
          <w:rFonts w:eastAsiaTheme="minorEastAsia"/>
        </w:rPr>
        <w:t xml:space="preserve"> and rating scores </w:t>
      </w:r>
      <w:r w:rsidR="00892C8C" w:rsidRPr="006D55BE">
        <w:rPr>
          <w:rFonts w:eastAsiaTheme="minorEastAsia"/>
        </w:rPr>
        <w:fldChar w:fldCharType="begin" w:fldLock="1"/>
      </w:r>
      <w:r w:rsidR="005A528F" w:rsidRPr="006D55BE">
        <w:rPr>
          <w:rFonts w:eastAsiaTheme="minorEastAsia"/>
        </w:rPr>
        <w:instrText>ADDIN CSL_CITATION {"citationItems":[{"id":"ITEM-1","itemData":{"DOI":"10.1016/j.scs.2020.102664","abstract":"Awareness is mounting that urban greenspace is beneficial for residents' health. While a plethora of studies have focused on greenspace quantity, scant attention has been paid to greenspace quality. Existing methods for assessing greenspace quality is either highly labor-intensive and/or prohibitively time-consuming. This study develops a new machine learning method to assess greenspace quality based on street view images collected from Guangzhou, China. It also examines whether greenspace exposure disparities are linked to the neighbourhood socioeconomic status (SES). The validation process indicated that our scoring system achieved high accuracy for predicting street view-based greenspace quality outside the training data. Results also show that there were marked differences in spatial distribution between aggregated NDVI (Normalized Difference Vegetation Index), street view greenness quantity and quality. Regression models show that neighbourhood SES is not associated with NDVI. Although neighbourhood SES is associated with both street view greenness quantity and quality index value, street view greenness quality is more sensitive to the change of neighbourhood SES. Our work suggests that policymakers and planners are advised to pay more attention to greenspace quality and greenspace exposure disparities in urban area.","author":[{"dropping-particle":"","family":"Wang","given":"Ruoyu","non-dropping-particle":"","parse-names":false,"suffix":""},{"dropping-particle":"","family":"Feng","given":"Zhiqiang","non-dropping-particle":"","parse-names":false,"suffix":""},{"dropping-particle":"","family":"Pearce","given":"Jamie","non-dropping-particle":"","parse-names":false,"suffix":""},{"dropping-particle":"","family":"Yao","given":"Yao","non-dropping-particle":"","parse-names":false,"suffix":""},{"dropping-particle":"","family":"Li","given":"Xiaojiang","non-dropping-particle":"","parse-names":false,"suffix":""},{"dropping-particle":"","family":"Liu","given":"Ye","non-dropping-particle":"","parse-names":false,"suffix":""}],"container-title":"Sustainable Cities and Society","id":"ITEM-1","issued":{"date-parts":[["2021"]]},"page":"102664","title":"The distribution of greenspace quantity and quality and their association with neighbourhood socioeconomic conditions in Guangzhou, China: A new approach using deep learning method and street view images","type":"article-journal","volume":"66"},"uris":["http://www.mendeley.com/documents/?uuid=6a28803a-0630-373b-aa55-785f18b629df"]}],"mendeley":{"formattedCitation":"(Wang et al., 2021)","plainTextFormattedCitation":"(Wang et al., 2021)","previouslyFormattedCitation":"(Wang et al., 2021)"},"properties":{"noteIndex":0},"schema":"https://github.com/citation-style-language/schema/raw/master/csl-citation.json"}</w:instrText>
      </w:r>
      <w:r w:rsidR="00892C8C" w:rsidRPr="006D55BE">
        <w:rPr>
          <w:rFonts w:eastAsiaTheme="minorEastAsia"/>
        </w:rPr>
        <w:fldChar w:fldCharType="separate"/>
      </w:r>
      <w:r w:rsidR="009D5901" w:rsidRPr="006D55BE">
        <w:rPr>
          <w:rFonts w:eastAsiaTheme="minorEastAsia"/>
          <w:noProof/>
        </w:rPr>
        <w:t>(Wang et al., 2021)</w:t>
      </w:r>
      <w:r w:rsidR="00892C8C" w:rsidRPr="006D55BE">
        <w:rPr>
          <w:rFonts w:eastAsiaTheme="minorEastAsia"/>
        </w:rPr>
        <w:fldChar w:fldCharType="end"/>
      </w:r>
      <w:r w:rsidR="00892C8C" w:rsidRPr="006D55BE">
        <w:rPr>
          <w:rFonts w:eastAsiaTheme="minorEastAsia"/>
        </w:rPr>
        <w:t xml:space="preserve">. </w:t>
      </w:r>
      <w:r w:rsidR="00157AFC" w:rsidRPr="006D55BE">
        <w:rPr>
          <w:rFonts w:eastAsiaTheme="minorEastAsia"/>
        </w:rPr>
        <w:t>These surveys of spatial intelligibility heavily depend on the judgment of subjects and are affected by several uncontrollable social and human factors, which isolate the linkages between space and people. These limitations can be addressed by using</w:t>
      </w:r>
      <w:r w:rsidR="00630728" w:rsidRPr="006D55BE">
        <w:rPr>
          <w:rFonts w:eastAsiaTheme="minorEastAsia"/>
        </w:rPr>
        <w:t xml:space="preserve"> the</w:t>
      </w:r>
      <w:r w:rsidR="00157AFC" w:rsidRPr="006D55BE">
        <w:rPr>
          <w:rFonts w:eastAsiaTheme="minorEastAsia"/>
        </w:rPr>
        <w:t xml:space="preserve"> space syntax approach that provide</w:t>
      </w:r>
      <w:r w:rsidR="00643C3A" w:rsidRPr="006D55BE">
        <w:rPr>
          <w:rFonts w:eastAsiaTheme="minorEastAsia"/>
        </w:rPr>
        <w:t>s</w:t>
      </w:r>
      <w:r w:rsidR="00157AFC" w:rsidRPr="006D55BE">
        <w:rPr>
          <w:rFonts w:eastAsiaTheme="minorEastAsia"/>
        </w:rPr>
        <w:t xml:space="preserve"> objective measures of GBSs to help people read the urban spaces </w:t>
      </w:r>
      <w:r w:rsidR="00157AFC" w:rsidRPr="006D55BE">
        <w:rPr>
          <w:rFonts w:eastAsiaTheme="minorEastAsia"/>
        </w:rPr>
        <w:fldChar w:fldCharType="begin" w:fldLock="1"/>
      </w:r>
      <w:r w:rsidR="00157AFC" w:rsidRPr="006D55BE">
        <w:rPr>
          <w:rFonts w:eastAsiaTheme="minorEastAsia"/>
        </w:rPr>
        <w:instrText>ADDIN CSL_CITATION {"citationItems":[{"id":"ITEM-1","itemData":{"DOI":"10.1016/j.cities.2009.12.006","abstract":"Cities are like living organisms going through constant change and transformations. This condition has demanded the development of suitable and adaptive design solutions that require the full consideration of the spatial continuity of the city, its physical and social peculiarities, user needs, and desire for safe and healthy communities. In addition, architects and designers need to be familiar with the developmental stages of the city, including components that may have disappeared over time. It is therefore necessary to read different segments that constitute the city to reveal its historical, cultural, social, physical and symbolic features. The aim of this study was to implement a methodology: (1) to determine the social and physical problems of a historical urban space and subsequently (2) to offer recommendations that attempt to improve the identified problems. The South Haliç Area in Istanbul was chosen as the case study because of its historical and cultural significance and the importance that should be placed on its preservation for future generations. We relied on the space-syntax methodology to analyze the area and offer a number of design interventions. These recommendations were evaluated using the same methodology to illustrate the degree to which they would improve upon the current conditions. Introduction-reading the city Cities are like living organisms going through constant change and transformations. This condition has demanded the development of suitable and adaptive design solutions that require the full consideration of the spatial continuity of the city, its physical and social peculiarities, user needs, and desire for safe and healthy communities. In addition, architects and designers need to be familiar with the developmental stages of the city, including components that may have disappeared over time. It is therefore necessary to read different segments that constitute the city to reveal its historical, cultural, social, physical and symbolic features. Yücel (1979) emphasises that it is necessary to make some abstractions in order to handle the space conceptually and theoretically , addressing architectural theories on this subject in three categories. The first one is the functional approach which means that the realities of economic, cultural, historical, technological, ecological and social practices are sufficiently understood, in order to provide reasonable explanation of the spatial environment. The second involves pla…","author":[{"dropping-particle":"","family":"Önder","given":"Deniz Erinsel","non-dropping-particle":"","parse-names":false,"suffix":""},{"dropping-particle":"","family":"Gigi","given":"Yıldırım","non-dropping-particle":"","parse-names":false,"suffix":""}],"container-title":"Cities","id":"ITEM-1","issue":"4","issued":{"date-parts":[["2010"]]},"page":"260-271","publisher":"Abu-Obeid","title":"Reading urban spaces by the space-syntax method: A proposal for the South Haliç Region","type":"article-journal","volume":"27"},"uris":["http://www.mendeley.com/documents/?uuid=cc82eb89-86e8-333c-b8e4-30a0d3779612"]}],"mendeley":{"formattedCitation":"(Önder &amp; Gigi, 2010)","plainTextFormattedCitation":"(Önder &amp; Gigi, 2010)","previouslyFormattedCitation":"(Önder &amp; Gigi, 2010)"},"properties":{"noteIndex":0},"schema":"https://github.com/citation-style-language/schema/raw/master/csl-citation.json"}</w:instrText>
      </w:r>
      <w:r w:rsidR="00157AFC" w:rsidRPr="006D55BE">
        <w:rPr>
          <w:rFonts w:eastAsiaTheme="minorEastAsia"/>
        </w:rPr>
        <w:fldChar w:fldCharType="separate"/>
      </w:r>
      <w:r w:rsidR="00157AFC" w:rsidRPr="006D55BE">
        <w:rPr>
          <w:rFonts w:eastAsiaTheme="minorEastAsia"/>
          <w:noProof/>
        </w:rPr>
        <w:t>(Önder &amp; Gigi, 2010)</w:t>
      </w:r>
      <w:r w:rsidR="00157AFC" w:rsidRPr="006D55BE">
        <w:rPr>
          <w:rFonts w:eastAsiaTheme="minorEastAsia"/>
        </w:rPr>
        <w:fldChar w:fldCharType="end"/>
      </w:r>
      <w:r w:rsidR="00157AFC" w:rsidRPr="006D55BE">
        <w:rPr>
          <w:rFonts w:eastAsiaTheme="minorEastAsia"/>
        </w:rPr>
        <w:t xml:space="preserve">. </w:t>
      </w:r>
      <w:r w:rsidR="002F3494" w:rsidRPr="006D55BE">
        <w:rPr>
          <w:rFonts w:eastAsiaTheme="minorEastAsia"/>
        </w:rPr>
        <w:t xml:space="preserve">Our space-syntax measures of intelligibility, combined with PCA, illustrate the importance of intelligibility consideration in </w:t>
      </w:r>
      <w:r w:rsidR="000F4E08" w:rsidRPr="006D55BE">
        <w:rPr>
          <w:rFonts w:eastAsiaTheme="minorEastAsia"/>
        </w:rPr>
        <w:t xml:space="preserve">pedestrian-friendly </w:t>
      </w:r>
      <w:r w:rsidR="002F3494" w:rsidRPr="006D55BE">
        <w:rPr>
          <w:rFonts w:eastAsiaTheme="minorEastAsia"/>
        </w:rPr>
        <w:t xml:space="preserve">GBSs planning through comparing the various weightings of AVI indicators in GBSs evaluations. </w:t>
      </w:r>
      <w:r w:rsidR="009C2B34" w:rsidRPr="006D55BE">
        <w:rPr>
          <w:rFonts w:eastAsiaTheme="minorEastAsia"/>
        </w:rPr>
        <w:t>To improve spatial intelligibility, local connectivity and integration across the city should be improved synchronically, their higher correspondence is the premise of intelligible GBSs. In other words, the main principle of improving the GBSs intelligibility</w:t>
      </w:r>
      <w:r w:rsidR="00DE2F6A" w:rsidRPr="006D55BE">
        <w:rPr>
          <w:rFonts w:eastAsiaTheme="minorEastAsia"/>
        </w:rPr>
        <w:t xml:space="preserve"> in the Guangzhou city</w:t>
      </w:r>
      <w:r w:rsidR="009C2B34" w:rsidRPr="006D55BE">
        <w:rPr>
          <w:rFonts w:eastAsiaTheme="minorEastAsia"/>
        </w:rPr>
        <w:t xml:space="preserve"> is creating not only </w:t>
      </w:r>
      <w:r w:rsidR="009C2B34" w:rsidRPr="006D55BE">
        <w:t xml:space="preserve">well-connected but also well-integrated urban spaces </w:t>
      </w:r>
      <w:r w:rsidR="009C2B34" w:rsidRPr="006D55BE">
        <w:fldChar w:fldCharType="begin" w:fldLock="1"/>
      </w:r>
      <w:r w:rsidR="00214A71" w:rsidRPr="006D55BE">
        <w:instrText>ADDIN CSL_CITATION {"citationItems":[{"id":"ITEM-1","itemData":{"author":[{"dropping-particle":"","family":"Hillier","given":"Bill","non-dropping-particle":"","parse-names":false,"suffix":""}],"id":"ITEM-1","issued":{"date-parts":[["1996"]]},"publisher":"Cambridge: Cambridge University Press","title":"Space is the machine: a configurational theory of architecture","type":"book"},"uris":["http://www.mendeley.com/documents/?uuid=379c7e8a-252c-3591-a919-ba2bbd457f26"]}],"mendeley":{"formattedCitation":"(Bill Hillier, 1996)","manualFormatting":"(Hillier, 1996)","plainTextFormattedCitation":"(Bill Hillier, 1996)","previouslyFormattedCitation":"(Bill Hillier, 1996)"},"properties":{"noteIndex":0},"schema":"https://github.com/citation-style-language/schema/raw/master/csl-citation.json"}</w:instrText>
      </w:r>
      <w:r w:rsidR="009C2B34" w:rsidRPr="006D55BE">
        <w:fldChar w:fldCharType="separate"/>
      </w:r>
      <w:r w:rsidR="009C2B34" w:rsidRPr="006D55BE">
        <w:rPr>
          <w:noProof/>
        </w:rPr>
        <w:t>(Hillier, 1996)</w:t>
      </w:r>
      <w:r w:rsidR="009C2B34" w:rsidRPr="006D55BE">
        <w:fldChar w:fldCharType="end"/>
      </w:r>
      <w:r w:rsidR="009C2B34" w:rsidRPr="006D55BE">
        <w:t xml:space="preserve">. </w:t>
      </w:r>
    </w:p>
    <w:p w14:paraId="3A4D1156" w14:textId="6B7773EB" w:rsidR="003C5308" w:rsidRPr="006D55BE" w:rsidRDefault="003558DF" w:rsidP="003C5308">
      <w:pPr>
        <w:pStyle w:val="Heading2"/>
        <w:spacing w:before="163" w:after="163"/>
        <w:rPr>
          <w:rFonts w:eastAsiaTheme="minorEastAsia"/>
        </w:rPr>
      </w:pPr>
      <w:r w:rsidRPr="006D55BE">
        <w:rPr>
          <w:rFonts w:eastAsiaTheme="minorEastAsia"/>
        </w:rPr>
        <w:lastRenderedPageBreak/>
        <w:t xml:space="preserve">5.3 </w:t>
      </w:r>
      <w:r w:rsidR="008A6946" w:rsidRPr="006D55BE">
        <w:rPr>
          <w:rFonts w:eastAsiaTheme="minorEastAsia"/>
        </w:rPr>
        <w:t xml:space="preserve">Heterogeneous </w:t>
      </w:r>
      <w:r w:rsidR="003C5308" w:rsidRPr="006D55BE">
        <w:rPr>
          <w:rFonts w:eastAsiaTheme="minorEastAsia"/>
        </w:rPr>
        <w:t xml:space="preserve">GBSs </w:t>
      </w:r>
      <w:r w:rsidR="008A6946" w:rsidRPr="006D55BE">
        <w:rPr>
          <w:rFonts w:eastAsiaTheme="minorEastAsia"/>
        </w:rPr>
        <w:t xml:space="preserve">evaluations </w:t>
      </w:r>
      <w:r w:rsidR="003C5308" w:rsidRPr="006D55BE">
        <w:rPr>
          <w:rFonts w:eastAsiaTheme="minorEastAsia"/>
        </w:rPr>
        <w:t>in old and new urban districts</w:t>
      </w:r>
    </w:p>
    <w:p w14:paraId="00C647A2" w14:textId="469D5BAD" w:rsidR="00241E8D" w:rsidRPr="006D55BE" w:rsidRDefault="00241E8D" w:rsidP="00241E8D">
      <w:pPr>
        <w:spacing w:after="163"/>
        <w:rPr>
          <w:rFonts w:eastAsiaTheme="minorEastAsia"/>
        </w:rPr>
      </w:pPr>
      <w:r w:rsidRPr="006D55BE">
        <w:rPr>
          <w:rFonts w:eastAsiaTheme="minorEastAsia"/>
        </w:rPr>
        <w:tab/>
        <w:t xml:space="preserve">The districts in the central city generally have more pedestrian-friendly GBSs, regardless of AVI-averaged and AVI-weighted evaluations (Figure </w:t>
      </w:r>
      <w:r w:rsidR="00F434D0">
        <w:rPr>
          <w:rFonts w:eastAsiaTheme="minorEastAsia"/>
        </w:rPr>
        <w:t>6</w:t>
      </w:r>
      <w:r w:rsidRPr="006D55BE">
        <w:rPr>
          <w:rFonts w:eastAsiaTheme="minorEastAsia"/>
        </w:rPr>
        <w:t xml:space="preserve">(d) and </w:t>
      </w:r>
      <w:r w:rsidR="00F434D0">
        <w:rPr>
          <w:rFonts w:eastAsiaTheme="minorEastAsia"/>
        </w:rPr>
        <w:t>9</w:t>
      </w:r>
      <w:r w:rsidRPr="006D55BE">
        <w:rPr>
          <w:rFonts w:eastAsiaTheme="minorEastAsia"/>
        </w:rPr>
        <w:t>(a</w:t>
      </w:r>
      <w:proofErr w:type="gramStart"/>
      <w:r w:rsidRPr="006D55BE">
        <w:rPr>
          <w:rFonts w:eastAsiaTheme="minorEastAsia"/>
        </w:rPr>
        <w:t>4)(</w:t>
      </w:r>
      <w:proofErr w:type="gramEnd"/>
      <w:r w:rsidRPr="006D55BE">
        <w:rPr>
          <w:rFonts w:eastAsiaTheme="minorEastAsia"/>
        </w:rPr>
        <w:t>b4)).</w:t>
      </w:r>
      <w:r w:rsidR="006F2E9A" w:rsidRPr="006D55BE">
        <w:rPr>
          <w:rFonts w:eastAsiaTheme="minorEastAsia"/>
        </w:rPr>
        <w:t xml:space="preserve"> This result can be explained by the different urban patterns between old and </w:t>
      </w:r>
      <w:r w:rsidR="00D652F9" w:rsidRPr="006D55BE">
        <w:rPr>
          <w:rFonts w:eastAsiaTheme="minorEastAsia"/>
        </w:rPr>
        <w:t>n</w:t>
      </w:r>
      <w:r w:rsidR="006F2E9A" w:rsidRPr="006D55BE">
        <w:rPr>
          <w:rFonts w:eastAsiaTheme="minorEastAsia"/>
        </w:rPr>
        <w:t>ew districts of the city.</w:t>
      </w:r>
      <w:r w:rsidR="002C5E71" w:rsidRPr="006D55BE">
        <w:rPr>
          <w:rFonts w:eastAsiaTheme="minorEastAsia"/>
        </w:rPr>
        <w:t xml:space="preserve"> Old districts are more central and </w:t>
      </w:r>
      <w:r w:rsidR="007712C1" w:rsidRPr="006D55BE">
        <w:rPr>
          <w:rFonts w:eastAsiaTheme="minorEastAsia"/>
        </w:rPr>
        <w:t>have been created earlier.</w:t>
      </w:r>
      <w:r w:rsidR="00201653" w:rsidRPr="006D55BE">
        <w:rPr>
          <w:rFonts w:eastAsiaTheme="minorEastAsia"/>
        </w:rPr>
        <w:t xml:space="preserve"> In general, t</w:t>
      </w:r>
      <w:r w:rsidR="002C5E71" w:rsidRPr="006D55BE">
        <w:rPr>
          <w:rFonts w:eastAsiaTheme="minorEastAsia"/>
        </w:rPr>
        <w:t xml:space="preserve">heir </w:t>
      </w:r>
      <w:r w:rsidRPr="006D55BE">
        <w:rPr>
          <w:rFonts w:eastAsiaTheme="minorEastAsia"/>
        </w:rPr>
        <w:t xml:space="preserve">spatial configurations are closely related to movement patterns socially and thereby are more pedestrian friendly </w:t>
      </w:r>
      <w:r w:rsidRPr="006D55BE">
        <w:rPr>
          <w:rFonts w:eastAsiaTheme="minorEastAsia"/>
        </w:rPr>
        <w:fldChar w:fldCharType="begin" w:fldLock="1"/>
      </w:r>
      <w:r w:rsidRPr="006D55BE">
        <w:rPr>
          <w:rFonts w:eastAsiaTheme="minorEastAsia"/>
        </w:rPr>
        <w:instrText>ADDIN CSL_CITATION {"citationItems":[{"id":"ITEM-1","itemData":{"DOI":"10.1016/j.scs.2020.102664","abstract":"Awareness is mounting that urban greenspace is beneficial for residents' health. While a plethora of studies have focused on greenspace quantity, scant attention has been paid to greenspace quality. Existing methods for assessing greenspace quality is either highly labor-intensive and/or prohibitively time-consuming. This study develops a new machine learning method to assess greenspace quality based on street view images collected from Guangzhou, China. It also examines whether greenspace exposure disparities are linked to the neighbourhood socioeconomic status (SES). The validation process indicated that our scoring system achieved high accuracy for predicting street view-based greenspace quality outside the training data. Results also show that there were marked differences in spatial distribution between aggregated NDVI (Normalized Difference Vegetation Index), street view greenness quantity and quality. Regression models show that neighbourhood SES is not associated with NDVI. Although neighbourhood SES is associated with both street view greenness quantity and quality index value, street view greenness quality is more sensitive to the change of neighbourhood SES. Our work suggests that policymakers and planners are advised to pay more attention to greenspace quality and greenspace exposure disparities in urban area.","author":[{"dropping-particle":"","family":"Wang","given":"Ruoyu","non-dropping-particle":"","parse-names":false,"suffix":""},{"dropping-particle":"","family":"Feng","given":"Zhiqiang","non-dropping-particle":"","parse-names":false,"suffix":""},{"dropping-particle":"","family":"Pearce","given":"Jamie","non-dropping-particle":"","parse-names":false,"suffix":""},{"dropping-particle":"","family":"Yao","given":"Yao","non-dropping-particle":"","parse-names":false,"suffix":""},{"dropping-particle":"","family":"Li","given":"Xiaojiang","non-dropping-particle":"","parse-names":false,"suffix":""},{"dropping-particle":"","family":"Liu","given":"Ye","non-dropping-particle":"","parse-names":false,"suffix":""}],"container-title":"Sustainable Cities and Society","id":"ITEM-1","issued":{"date-parts":[["2021"]]},"page":"102664","title":"The distribution of greenspace quantity and quality and their association with neighbourhood socioeconomic conditions in Guangzhou, China: A new approach using deep learning method and street view images","type":"article-journal","volume":"66"},"uris":["http://www.mendeley.com/documents/?uuid=6a28803a-0630-373b-aa55-785f18b629df"]}],"mendeley":{"formattedCitation":"(Wang et al., 2021)","plainTextFormattedCitation":"(Wang et al., 2021)","previouslyFormattedCitation":"(Wang et al., 2021)"},"properties":{"noteIndex":0},"schema":"https://github.com/citation-style-language/schema/raw/master/csl-citation.json"}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(Wang et al., 2021)</w:t>
      </w:r>
      <w:r w:rsidRPr="006D55BE">
        <w:rPr>
          <w:rFonts w:eastAsiaTheme="minorEastAsia"/>
        </w:rPr>
        <w:fldChar w:fldCharType="end"/>
      </w:r>
      <w:r w:rsidRPr="006D55BE">
        <w:rPr>
          <w:rFonts w:eastAsiaTheme="minorEastAsia"/>
        </w:rPr>
        <w:t xml:space="preserve">. </w:t>
      </w:r>
      <w:r w:rsidR="007E0F75" w:rsidRPr="006D55BE">
        <w:rPr>
          <w:rFonts w:eastAsiaTheme="minorEastAsia"/>
        </w:rPr>
        <w:t>Some facts also support o</w:t>
      </w:r>
      <w:r w:rsidRPr="006D55BE">
        <w:rPr>
          <w:rFonts w:eastAsiaTheme="minorEastAsia"/>
        </w:rPr>
        <w:t>ur results</w:t>
      </w:r>
      <w:r w:rsidR="007E0F75" w:rsidRPr="006D55BE">
        <w:rPr>
          <w:rFonts w:eastAsiaTheme="minorEastAsia"/>
        </w:rPr>
        <w:t>.</w:t>
      </w:r>
      <w:r w:rsidRPr="006D55BE">
        <w:rPr>
          <w:rFonts w:eastAsiaTheme="minorEastAsia"/>
        </w:rPr>
        <w:t xml:space="preserve"> </w:t>
      </w:r>
      <w:r w:rsidR="007E0F75" w:rsidRPr="006D55BE">
        <w:rPr>
          <w:rFonts w:eastAsiaTheme="minorEastAsia"/>
        </w:rPr>
        <w:t xml:space="preserve">For </w:t>
      </w:r>
      <w:r w:rsidRPr="006D55BE">
        <w:rPr>
          <w:rFonts w:eastAsiaTheme="minorEastAsia"/>
        </w:rPr>
        <w:t xml:space="preserve">example, </w:t>
      </w:r>
      <w:bookmarkStart w:id="21" w:name="_Hlk88641756"/>
      <w:r w:rsidR="001C5E61" w:rsidRPr="006D55BE">
        <w:rPr>
          <w:rFonts w:eastAsiaTheme="minorEastAsia"/>
        </w:rPr>
        <w:t xml:space="preserve">the </w:t>
      </w:r>
      <w:r w:rsidRPr="006D55BE">
        <w:rPr>
          <w:rFonts w:eastAsiaTheme="minorEastAsia"/>
        </w:rPr>
        <w:t>‘</w:t>
      </w:r>
      <w:proofErr w:type="spellStart"/>
      <w:r w:rsidRPr="006D55BE">
        <w:rPr>
          <w:rFonts w:eastAsiaTheme="minorEastAsia"/>
        </w:rPr>
        <w:t>Haizhu</w:t>
      </w:r>
      <w:proofErr w:type="spellEnd"/>
      <w:r w:rsidRPr="006D55BE">
        <w:rPr>
          <w:rFonts w:eastAsiaTheme="minorEastAsia"/>
        </w:rPr>
        <w:t xml:space="preserve">’ district has </w:t>
      </w:r>
      <w:r w:rsidR="001C5E61" w:rsidRPr="006D55BE">
        <w:rPr>
          <w:rFonts w:eastAsiaTheme="minorEastAsia"/>
        </w:rPr>
        <w:t xml:space="preserve">a </w:t>
      </w:r>
      <w:r w:rsidRPr="006D55BE">
        <w:rPr>
          <w:rFonts w:eastAsiaTheme="minorEastAsia"/>
        </w:rPr>
        <w:t>rich green infrastructure for social interaction</w:t>
      </w:r>
      <w:bookmarkEnd w:id="21"/>
      <w:r w:rsidRPr="006D55BE">
        <w:rPr>
          <w:rFonts w:eastAsiaTheme="minorEastAsia"/>
        </w:rPr>
        <w:t xml:space="preserve"> </w:t>
      </w:r>
      <w:r w:rsidRPr="006D55BE">
        <w:fldChar w:fldCharType="begin" w:fldLock="1"/>
      </w:r>
      <w:r w:rsidRPr="006D55BE">
        <w:instrText>ADDIN CSL_CITATION {"citationItems":[{"id":"ITEM-1","itemData":{"DOI":"10.1016/j.ufug.2019.126443","ISBN":"2019.126443","author":[{"dropping-particle":"","family":"Zhu","given":"Zhanqiang","non-dropping-particle":"","parse-names":false,"suffix":""},{"dropping-particle":"","family":"Ren","given":"Jie","non-dropping-particle":"","parse-names":false,"suffix":""},{"dropping-particle":"","family":"Liu","given":"Xuan","non-dropping-particle":"","parse-names":false,"suffix":""}],"container-title":"Urban Forestry &amp; Urban Greening","id":"ITEM-1","issued":{"date-parts":[["2019"]]},"page":"126443","title":"Green infrastructure provision for environmental justice: Application of the equity index in Guangzhou, China","type":"article-journal","volume":"46"},"uris":["http://www.mendeley.com/documents/?uuid=6d3e01ea-2561-3969-8686-2324ab636c34"]}],"mendeley":{"formattedCitation":"(Zhu, Ren, &amp; Liu, 2019)","manualFormatting":"(Zhu et al., 2019","plainTextFormattedCitation":"(Zhu, Ren, &amp; Liu, 2019)","previouslyFormattedCitation":"(Zhu, Ren, &amp; Liu, 2019)"},"properties":{"noteIndex":0},"schema":"https://github.com/citation-style-language/schema/raw/master/csl-citation.json"}</w:instrText>
      </w:r>
      <w:r w:rsidRPr="006D55BE">
        <w:fldChar w:fldCharType="separate"/>
      </w:r>
      <w:r w:rsidRPr="006D55BE">
        <w:rPr>
          <w:noProof/>
        </w:rPr>
        <w:t>(Zhu et al., 2019</w:t>
      </w:r>
      <w:r w:rsidRPr="006D55BE">
        <w:fldChar w:fldCharType="end"/>
      </w:r>
      <w:r w:rsidRPr="006D55BE">
        <w:t xml:space="preserve">; </w:t>
      </w:r>
      <w:r w:rsidRPr="006D55BE">
        <w:rPr>
          <w:rFonts w:eastAsiaTheme="minorEastAsia"/>
        </w:rPr>
        <w:fldChar w:fldCharType="begin" w:fldLock="1"/>
      </w:r>
      <w:r w:rsidRPr="006D55BE">
        <w:rPr>
          <w:rFonts w:eastAsiaTheme="minorEastAsia"/>
        </w:rPr>
        <w:instrText>ADDIN CSL_CITATION {"citationItems":[{"id":"ITEM-1","itemData":{"DOI":"10.1016/j.ufug.2018.06.003","ISSN":"16108167","abstract":"In the context of recent studies that have begun to establish a more quantifiable understanding of the use of urban greenways, this paper presents a preliminary investigation into the patterns in which a greenway is used and the mechanism behind the pattern of use of the greenway. Factors of the location, economic situation, environment and social background have been measured and analyzed in the use intensity model to interpret their impact on the use intensity of different sections of a greenway. The results suggest that use of the Waterfront Greenway in Guangzhou is highly impacted by population density, employment density, nearby service provision and the connectivity of the greenway to other parts of the city. In this case, the use intensity model with indicators such as location, economic, environmental and social factors has been shown to be applicable to the evaluation of the use of the greenways. Results from the case study suggest that providing greenways close to the residential zones, employment centers and key public services such as hospitals and schools will increase greenway use. The surrounding network system of a greenway must be carefully considered and designed to improve the linking of the greenway to other parts of the city, to increase the number of potential visitors to the greenway.","author":[{"dropping-particle":"","family":"Liu","given":"Xuan","non-dropping-particle":"","parse-names":false,"suffix":""},{"dropping-particle":"","family":"Zhu","given":"Zhanqiang","non-dropping-particle":"","parse-names":false,"suffix":""},{"dropping-particle":"","family":"Jin","given":"Letian","non-dropping-particle":"","parse-names":false,"suffix":""},{"dropping-particle":"","family":"Wang","given":"Lu","non-dropping-particle":"","parse-names":false,"suffix":""},{"dropping-particle":"","family":"Huang","given":"Cunzhong","non-dropping-particle":"","parse-names":false,"suffix":""}],"container-title":"Urban Forestry and Urban Greening","id":"ITEM-1","issue":"135","issued":{"date-parts":[["2018"]]},"page":"55-63","publisher":"Elsevier","title":"Measuring patterns and mechanism of greenway use – A case from Guangzhou, China","type":"article-journal","volume":"34"},"uris":["http://www.mendeley.com/documents/?uuid=d28d32b2-15ee-4354-b2cc-18cf4137fa4e"]}],"mendeley":{"formattedCitation":"(Xuan Liu, Zhu, Jin, Wang, &amp; Huang, 2018)","manualFormatting":"Liu et al., 2018)","plainTextFormattedCitation":"(Xuan Liu, Zhu, Jin, Wang, &amp; Huang, 2018)","previouslyFormattedCitation":"(Xuan Liu, Zhu, Jin, Wang, &amp; Huang, 2018)"},"properties":{"noteIndex":0},"schema":"https://github.com/citation-style-language/schema/raw/master/csl-citation.json"}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Liu et al., 2018)</w:t>
      </w:r>
      <w:r w:rsidRPr="006D55BE">
        <w:rPr>
          <w:rFonts w:eastAsiaTheme="minorEastAsia"/>
        </w:rPr>
        <w:fldChar w:fldCharType="end"/>
      </w:r>
      <w:r w:rsidRPr="006D55BE">
        <w:rPr>
          <w:rFonts w:eastAsiaTheme="minorEastAsia"/>
        </w:rPr>
        <w:t xml:space="preserve">. </w:t>
      </w:r>
      <w:r w:rsidR="00917FC7" w:rsidRPr="006D55BE">
        <w:rPr>
          <w:rFonts w:eastAsiaTheme="minorEastAsia"/>
        </w:rPr>
        <w:t xml:space="preserve">The </w:t>
      </w:r>
      <w:r w:rsidRPr="006D55BE">
        <w:rPr>
          <w:rFonts w:eastAsiaTheme="minorEastAsia"/>
        </w:rPr>
        <w:t xml:space="preserve">‘Yuexiu’ district has diverse transportation systems for easy using and experiencing GBSs within well-connected and well-integrated urban spaces </w:t>
      </w:r>
      <w:r w:rsidRPr="006D55BE">
        <w:rPr>
          <w:rFonts w:eastAsiaTheme="minorEastAsia"/>
        </w:rPr>
        <w:fldChar w:fldCharType="begin" w:fldLock="1"/>
      </w:r>
      <w:r w:rsidR="00750E64" w:rsidRPr="006D55BE">
        <w:rPr>
          <w:rFonts w:eastAsiaTheme="minorEastAsia"/>
        </w:rPr>
        <w:instrText>ADDIN CSL_CITATION {"citationItems":[{"id":"ITEM-1","itemData":{"DOI":"10.1080/13467581.2021.1942000","abstract":"Understanding residents' perceptions of the urban form can guide efforts to improve the urban milieu. However, existing research on place perception of historic environment has overlooked the social dimension and focused on isolated historic quarters, resulting in \"zones of gentrifica-tion.\" Thus, a comprehensive analytical framework to the urban image inquiry of a megacity historic urban center is proposed to address this gap. An online questionnaire is distributed among the residents of the Yuexiu District in Guangzhou, China. The collected data are processed using ArcGIS to create a 3D cognitive map and a 2D affective map. The relationships between environmental features, subjective evaluated qualities, and residents' perceptions are analyzed statistically where applicable. Results show that large natural features and public spaces are the most prominent for residents of a historic urban center, whereas designated historic districts are rarely noticed. In addition, districts are more imageable than landmarks, paths are frequently overlooked, and contextual sizable forms and functions are highly noticeable , different from conventional studies. Evaluations of walking environments, public spaces, and landscapes and green areas by residents are strongly correlated with their affective experiences. With the above findings, implications in improving socially-oriented urban design strategies in historic urban centers are discussed. ARTICLE HISTORY","author":[{"dropping-particle":"","family":"Deng","given":"Zhaohua","non-dropping-particle":"","parse-names":false,"suffix":""},{"dropping-particle":"","family":"Chen","given":"Dantong","non-dropping-particle":"","parse-names":false,"suffix":""},{"dropping-particle":"","family":"Qin","given":"Xiaoling","non-dropping-particle":"","parse-names":false,"suffix":""},{"dropping-particle":"","family":"Wang","given":"Shifu","non-dropping-particle":"","parse-names":false,"suffix":""}],"container-title":"Journal of Asian Architecture and Building Engineering","id":"ITEM-1","issued":{"date-parts":[["2021"]]},"title":"Comprehensive assessment to residents' perceptions to historic urban center in megacity: a case study of Yuexiu District, Guangzhou, China","type":"article-journal"},"uris":["http://www.mendeley.com/documents/?uuid=d09967e3-8f6f-3c19-b1d1-e64b8850d87c"]}],"mendeley":{"formattedCitation":"(Deng, Chen, Qin, &amp; Wang, 2021)","manualFormatting":"(Deng et al., 2021)","plainTextFormattedCitation":"(Deng, Chen, Qin, &amp; Wang, 2021)","previouslyFormattedCitation":"(Deng, Chen, Qin, &amp; Wang, 2021)"},"properties":{"noteIndex":0},"schema":"https://github.com/citation-style-language/schema/raw/master/csl-citation.json"}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(Deng et al., 2021)</w:t>
      </w:r>
      <w:r w:rsidRPr="006D55BE">
        <w:rPr>
          <w:rFonts w:eastAsiaTheme="minorEastAsia"/>
        </w:rPr>
        <w:fldChar w:fldCharType="end"/>
      </w:r>
      <w:r w:rsidRPr="006D55BE">
        <w:rPr>
          <w:rFonts w:eastAsiaTheme="minorEastAsia"/>
        </w:rPr>
        <w:t xml:space="preserve">. </w:t>
      </w:r>
      <w:r w:rsidR="0007323B" w:rsidRPr="006D55BE">
        <w:rPr>
          <w:rFonts w:eastAsiaTheme="minorEastAsia"/>
        </w:rPr>
        <w:t>On the other hand, new districts</w:t>
      </w:r>
      <w:r w:rsidR="0007323B" w:rsidRPr="006D55BE">
        <w:t xml:space="preserve"> </w:t>
      </w:r>
      <w:r w:rsidR="0007323B" w:rsidRPr="006D55BE">
        <w:rPr>
          <w:rFonts w:eastAsiaTheme="minorEastAsia"/>
        </w:rPr>
        <w:t xml:space="preserve">in the city periphery </w:t>
      </w:r>
      <w:r w:rsidR="00806D2C" w:rsidRPr="006D55BE">
        <w:rPr>
          <w:rFonts w:eastAsiaTheme="minorEastAsia"/>
        </w:rPr>
        <w:t xml:space="preserve">are built more recently, so that their spatial configurations may not well suit pedestrian movement patterns due to their looser linkages to municipal urban planning </w:t>
      </w:r>
      <w:r w:rsidR="00806D2C" w:rsidRPr="006D55BE">
        <w:rPr>
          <w:rFonts w:eastAsiaTheme="minorEastAsia"/>
        </w:rPr>
        <w:fldChar w:fldCharType="begin" w:fldLock="1"/>
      </w:r>
      <w:r w:rsidR="00806D2C" w:rsidRPr="006D55BE">
        <w:rPr>
          <w:rFonts w:eastAsiaTheme="minorEastAsia"/>
        </w:rPr>
        <w:instrText>ADDIN CSL_CITATION {"citationItems":[{"id":"ITEM-1","itemData":{"DOI":"10.1016/S0264-2751(03)00056-8","abstract":"With a history of more than 2100 years, Guangzhou, despite its glory past, has now experienced a decline in the role as a central city in the region due to the rapid growth of cities in the Pearl River Delta. Guangzhou is also suffering from problems caused by congested inner city and unregulated growth of new development areas. The city's structure has gradually changed from a compact model to leapfrogged urban sprawl. These problems are aggravated by limited land resource under its direct jurisdiction and the pressure to reposition itself in a regional development context that is more competitive than ever before. To face the challenges ahead, Guangzhou has expanded its administrative boundary recently and has taken a number of planning and infrastructure development initiatives to enhance its competitiveness in the future.","author":[{"dropping-particle":"","family":"Xu","given":"Jiang","non-dropping-particle":"","parse-names":false,"suffix":""},{"dropping-particle":"","family":"Yeh","given":"Anthony G O","non-dropping-particle":"","parse-names":false,"suffix":""}],"container-title":"Cities","id":"ITEM-1","issue":"5","issued":{"date-parts":[["2003"]]},"page":"361-374","title":"City profile","type":"article-journal","volume":"20"},"uris":["http://www.mendeley.com/documents/?uuid=a60535f3-4e51-394b-99f7-5e751583cbc0"]}],"mendeley":{"formattedCitation":"(Xu &amp; Yeh, 2003)","plainTextFormattedCitation":"(Xu &amp; Yeh, 2003)","previouslyFormattedCitation":"(Xu &amp; Yeh, 2003)"},"properties":{"noteIndex":0},"schema":"https://github.com/citation-style-language/schema/raw/master/csl-citation.json"}</w:instrText>
      </w:r>
      <w:r w:rsidR="00806D2C" w:rsidRPr="006D55BE">
        <w:rPr>
          <w:rFonts w:eastAsiaTheme="minorEastAsia"/>
        </w:rPr>
        <w:fldChar w:fldCharType="separate"/>
      </w:r>
      <w:r w:rsidR="00806D2C" w:rsidRPr="006D55BE">
        <w:rPr>
          <w:rFonts w:eastAsiaTheme="minorEastAsia"/>
          <w:noProof/>
        </w:rPr>
        <w:t>(Xu &amp; Yeh, 2003)</w:t>
      </w:r>
      <w:r w:rsidR="00806D2C" w:rsidRPr="006D55BE">
        <w:rPr>
          <w:rFonts w:eastAsiaTheme="minorEastAsia"/>
        </w:rPr>
        <w:fldChar w:fldCharType="end"/>
      </w:r>
      <w:r w:rsidR="00806D2C" w:rsidRPr="006D55BE">
        <w:rPr>
          <w:rFonts w:eastAsiaTheme="minorEastAsia"/>
        </w:rPr>
        <w:t>. Therefore, it is understandable that l</w:t>
      </w:r>
      <w:r w:rsidRPr="006D55BE">
        <w:rPr>
          <w:rFonts w:eastAsiaTheme="minorEastAsia"/>
        </w:rPr>
        <w:t>ess pedestrian-friendly GBSs are more clustered in the</w:t>
      </w:r>
      <w:r w:rsidR="003641FE" w:rsidRPr="006D55BE">
        <w:rPr>
          <w:rFonts w:eastAsiaTheme="minorEastAsia"/>
        </w:rPr>
        <w:t xml:space="preserve"> new districts</w:t>
      </w:r>
      <w:r w:rsidRPr="006D55BE">
        <w:rPr>
          <w:rFonts w:eastAsiaTheme="minorEastAsia"/>
        </w:rPr>
        <w:t xml:space="preserve"> (Figure </w:t>
      </w:r>
      <w:r w:rsidR="00F434D0">
        <w:rPr>
          <w:rFonts w:eastAsiaTheme="minorEastAsia"/>
        </w:rPr>
        <w:t>6</w:t>
      </w:r>
      <w:r w:rsidRPr="006D55BE">
        <w:rPr>
          <w:rFonts w:eastAsiaTheme="minorEastAsia"/>
        </w:rPr>
        <w:t xml:space="preserve">(d) and </w:t>
      </w:r>
      <w:r w:rsidR="00F434D0">
        <w:rPr>
          <w:rFonts w:eastAsiaTheme="minorEastAsia"/>
        </w:rPr>
        <w:t>9</w:t>
      </w:r>
      <w:r w:rsidRPr="006D55BE">
        <w:rPr>
          <w:rFonts w:eastAsiaTheme="minorEastAsia"/>
        </w:rPr>
        <w:t>(a</w:t>
      </w:r>
      <w:proofErr w:type="gramStart"/>
      <w:r w:rsidRPr="006D55BE">
        <w:rPr>
          <w:rFonts w:eastAsiaTheme="minorEastAsia"/>
        </w:rPr>
        <w:t>4)(</w:t>
      </w:r>
      <w:proofErr w:type="gramEnd"/>
      <w:r w:rsidRPr="006D55BE">
        <w:rPr>
          <w:rFonts w:eastAsiaTheme="minorEastAsia"/>
        </w:rPr>
        <w:t xml:space="preserve">b4)). </w:t>
      </w:r>
    </w:p>
    <w:p w14:paraId="51B6D224" w14:textId="3D3CC886" w:rsidR="00241E8D" w:rsidRPr="006D55BE" w:rsidRDefault="00241E8D" w:rsidP="00241E8D">
      <w:pPr>
        <w:spacing w:after="163"/>
        <w:rPr>
          <w:rFonts w:eastAsiaTheme="minorEastAsia"/>
        </w:rPr>
      </w:pPr>
      <w:r w:rsidRPr="006D55BE">
        <w:rPr>
          <w:rFonts w:eastAsiaTheme="minorEastAsia"/>
        </w:rPr>
        <w:tab/>
        <w:t>For specific AVI indicator</w:t>
      </w:r>
      <w:r w:rsidR="00615715" w:rsidRPr="006D55BE">
        <w:rPr>
          <w:rFonts w:eastAsiaTheme="minorEastAsia"/>
        </w:rPr>
        <w:t>s</w:t>
      </w:r>
      <w:r w:rsidRPr="006D55BE">
        <w:rPr>
          <w:rFonts w:eastAsiaTheme="minorEastAsia"/>
        </w:rPr>
        <w:t xml:space="preserve">, the spatial patterns of GBSs intelligibility do not reveal clear distinctions between old and new districts (Figure </w:t>
      </w:r>
      <w:r w:rsidR="00F434D0">
        <w:rPr>
          <w:rFonts w:eastAsiaTheme="minorEastAsia"/>
        </w:rPr>
        <w:t>6</w:t>
      </w:r>
      <w:r w:rsidRPr="006D55BE">
        <w:rPr>
          <w:rFonts w:eastAsiaTheme="minorEastAsia"/>
        </w:rPr>
        <w:t xml:space="preserve">(c) and </w:t>
      </w:r>
      <w:r w:rsidR="00F434D0">
        <w:rPr>
          <w:rFonts w:eastAsiaTheme="minorEastAsia"/>
        </w:rPr>
        <w:t>9</w:t>
      </w:r>
      <w:r w:rsidRPr="006D55BE">
        <w:rPr>
          <w:rFonts w:eastAsiaTheme="minorEastAsia"/>
        </w:rPr>
        <w:t>(a</w:t>
      </w:r>
      <w:proofErr w:type="gramStart"/>
      <w:r w:rsidRPr="006D55BE">
        <w:rPr>
          <w:rFonts w:eastAsiaTheme="minorEastAsia"/>
        </w:rPr>
        <w:t>3)(</w:t>
      </w:r>
      <w:proofErr w:type="gramEnd"/>
      <w:r w:rsidRPr="006D55BE">
        <w:rPr>
          <w:rFonts w:eastAsiaTheme="minorEastAsia"/>
        </w:rPr>
        <w:t>b3)). Some old districts even had rather low intelligibility of GBSs, such as ‘</w:t>
      </w:r>
      <w:proofErr w:type="spellStart"/>
      <w:r w:rsidRPr="006D55BE">
        <w:rPr>
          <w:rFonts w:eastAsiaTheme="minorEastAsia"/>
        </w:rPr>
        <w:t>Huadu</w:t>
      </w:r>
      <w:proofErr w:type="spellEnd"/>
      <w:r w:rsidRPr="006D55BE">
        <w:rPr>
          <w:rFonts w:eastAsiaTheme="minorEastAsia"/>
        </w:rPr>
        <w:t>’, ‘</w:t>
      </w:r>
      <w:proofErr w:type="spellStart"/>
      <w:r w:rsidRPr="006D55BE">
        <w:rPr>
          <w:rFonts w:eastAsiaTheme="minorEastAsia"/>
        </w:rPr>
        <w:t>Baiyun</w:t>
      </w:r>
      <w:proofErr w:type="spellEnd"/>
      <w:r w:rsidRPr="006D55BE">
        <w:rPr>
          <w:rFonts w:eastAsiaTheme="minorEastAsia"/>
        </w:rPr>
        <w:t>’, and ‘</w:t>
      </w:r>
      <w:proofErr w:type="spellStart"/>
      <w:r w:rsidRPr="006D55BE">
        <w:rPr>
          <w:rFonts w:eastAsiaTheme="minorEastAsia"/>
        </w:rPr>
        <w:t>Panyu</w:t>
      </w:r>
      <w:proofErr w:type="spellEnd"/>
      <w:r w:rsidRPr="006D55BE">
        <w:rPr>
          <w:rFonts w:eastAsiaTheme="minorEastAsia"/>
        </w:rPr>
        <w:t>’ districts, while GBSs in some new districts are highly intelligible, such as</w:t>
      </w:r>
      <w:r w:rsidR="00615715" w:rsidRPr="006D55BE">
        <w:rPr>
          <w:rFonts w:eastAsiaTheme="minorEastAsia"/>
        </w:rPr>
        <w:t xml:space="preserve"> the</w:t>
      </w:r>
      <w:r w:rsidR="003E7474" w:rsidRPr="006D55BE">
        <w:rPr>
          <w:rFonts w:eastAsiaTheme="minorEastAsia"/>
        </w:rPr>
        <w:t xml:space="preserve"> </w:t>
      </w:r>
      <w:r w:rsidRPr="006D55BE">
        <w:rPr>
          <w:rFonts w:eastAsiaTheme="minorEastAsia"/>
        </w:rPr>
        <w:t>‘</w:t>
      </w:r>
      <w:proofErr w:type="spellStart"/>
      <w:r w:rsidRPr="006D55BE">
        <w:rPr>
          <w:rFonts w:eastAsiaTheme="minorEastAsia"/>
        </w:rPr>
        <w:t>Nansha</w:t>
      </w:r>
      <w:proofErr w:type="spellEnd"/>
      <w:r w:rsidRPr="006D55BE">
        <w:rPr>
          <w:rFonts w:eastAsiaTheme="minorEastAsia"/>
        </w:rPr>
        <w:t xml:space="preserve">’ district. We explain these situations from the socioeconomic aspects. </w:t>
      </w:r>
      <w:bookmarkStart w:id="22" w:name="_Hlk88641836"/>
      <w:r w:rsidRPr="006D55BE">
        <w:rPr>
          <w:rFonts w:eastAsiaTheme="minorEastAsia"/>
        </w:rPr>
        <w:t>In ‘</w:t>
      </w:r>
      <w:proofErr w:type="spellStart"/>
      <w:r w:rsidRPr="006D55BE">
        <w:rPr>
          <w:rFonts w:eastAsiaTheme="minorEastAsia"/>
        </w:rPr>
        <w:t>Huadu</w:t>
      </w:r>
      <w:proofErr w:type="spellEnd"/>
      <w:r w:rsidRPr="006D55BE">
        <w:rPr>
          <w:rFonts w:eastAsiaTheme="minorEastAsia"/>
        </w:rPr>
        <w:t>’ and ‘</w:t>
      </w:r>
      <w:proofErr w:type="spellStart"/>
      <w:r w:rsidRPr="006D55BE">
        <w:rPr>
          <w:rFonts w:eastAsiaTheme="minorEastAsia"/>
        </w:rPr>
        <w:t>Panyu</w:t>
      </w:r>
      <w:proofErr w:type="spellEnd"/>
      <w:r w:rsidRPr="006D55BE">
        <w:rPr>
          <w:rFonts w:eastAsiaTheme="minorEastAsia"/>
        </w:rPr>
        <w:t xml:space="preserve">’ districts, relocated industrial facilities </w:t>
      </w:r>
      <w:r w:rsidRPr="006D55BE">
        <w:rPr>
          <w:rFonts w:eastAsiaTheme="minorEastAsia"/>
        </w:rPr>
        <w:fldChar w:fldCharType="begin" w:fldLock="1"/>
      </w:r>
      <w:r w:rsidRPr="006D55BE">
        <w:rPr>
          <w:rFonts w:eastAsiaTheme="minorEastAsia"/>
        </w:rPr>
        <w:instrText>ADDIN CSL_CITATION {"citationItems":[{"id":"ITEM-1","itemData":{"DOI":"10.2747/1538-7216.45.1.18","ISSN":"1938-2863","author":[{"dropping-particle":"","family":"Lin","given":"George C S","non-dropping-particle":"","parse-names":false,"suffix":""}],"container-title":"Eurasian Geography and Economics","id":"ITEM-1","issue":"1","issued":{"date-parts":[["2004"]]},"page":"18-44","title":"Toward a Post-Socialist City? Economic Tertiarization and Urban Reformation in the Guangzhou Metropolis, China","type":"article-journal","volume":"45"},"uris":["http://www.mendeley.com/documents/?uuid=4684bddd-797d-3eaf-9da4-8918e4633673"]}],"mendeley":{"formattedCitation":"(Lin, 2004)","plainTextFormattedCitation":"(Lin, 2004)","previouslyFormattedCitation":"(Lin, 2004)"},"properties":{"noteIndex":0},"schema":"https://github.com/citation-style-language/schema/raw/master/csl-citation.json"}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(Lin, 2004)</w:t>
      </w:r>
      <w:r w:rsidRPr="006D55BE">
        <w:rPr>
          <w:rFonts w:eastAsiaTheme="minorEastAsia"/>
        </w:rPr>
        <w:fldChar w:fldCharType="end"/>
      </w:r>
      <w:r w:rsidRPr="006D55BE">
        <w:rPr>
          <w:rFonts w:eastAsiaTheme="minorEastAsia"/>
        </w:rPr>
        <w:t xml:space="preserve"> require more green buffers that cannot be perceived in the walking paths. Similarly, the green buffers surrounding the large-scale international airport in</w:t>
      </w:r>
      <w:r w:rsidR="005E3120" w:rsidRPr="006D55BE">
        <w:rPr>
          <w:rFonts w:eastAsiaTheme="minorEastAsia"/>
        </w:rPr>
        <w:t xml:space="preserve"> the</w:t>
      </w:r>
      <w:r w:rsidRPr="006D55BE">
        <w:rPr>
          <w:rFonts w:eastAsiaTheme="minorEastAsia"/>
        </w:rPr>
        <w:t xml:space="preserve"> ‘</w:t>
      </w:r>
      <w:proofErr w:type="spellStart"/>
      <w:r w:rsidRPr="006D55BE">
        <w:rPr>
          <w:rFonts w:eastAsiaTheme="minorEastAsia"/>
        </w:rPr>
        <w:t>Baiyun</w:t>
      </w:r>
      <w:proofErr w:type="spellEnd"/>
      <w:r w:rsidRPr="006D55BE">
        <w:rPr>
          <w:rFonts w:eastAsiaTheme="minorEastAsia"/>
        </w:rPr>
        <w:t xml:space="preserve">’ district </w:t>
      </w:r>
      <w:bookmarkEnd w:id="22"/>
      <w:r w:rsidRPr="006D55BE">
        <w:rPr>
          <w:rFonts w:eastAsiaTheme="minorEastAsia"/>
        </w:rPr>
        <w:fldChar w:fldCharType="begin" w:fldLock="1"/>
      </w:r>
      <w:r w:rsidRPr="006D55BE">
        <w:rPr>
          <w:rFonts w:eastAsiaTheme="minorEastAsia"/>
        </w:rPr>
        <w:instrText>ADDIN CSL_CITATION {"citationItems":[{"id":"ITEM-1","itemData":{"DOI":"10.1016/S0264-2751(03)00056-8","abstract":"With a history of more than 2100 years, Guangzhou, despite its glory past, has now experienced a decline in the role as a central city in the region due to the rapid growth of cities in the Pearl River Delta. Guangzhou is also suffering from problems caused by congested inner city and unregulated growth of new development areas. The city's structure has gradually changed from a compact model to leapfrogged urban sprawl. These problems are aggravated by limited land resource under its direct jurisdiction and the pressure to reposition itself in a regional development context that is more competitive than ever before. To face the challenges ahead, Guangzhou has expanded its administrative boundary recently and has taken a number of planning and infrastructure development initiatives to enhance its competitiveness in the future.","author":[{"dropping-particle":"","family":"Xu","given":"Jiang","non-dropping-particle":"","parse-names":false,"suffix":""},{"dropping-particle":"","family":"Yeh","given":"Anthony G O","non-dropping-particle":"","parse-names":false,"suffix":""}],"container-title":"Cities","id":"ITEM-1","issue":"5","issued":{"date-parts":[["2003"]]},"page":"361-374","title":"City profile","type":"article-journal","volume":"20"},"uris":["http://www.mendeley.com/documents/?uuid=a60535f3-4e51-394b-99f7-5e751583cbc0"]}],"mendeley":{"formattedCitation":"(Xu &amp; Yeh, 2003)","plainTextFormattedCitation":"(Xu &amp; Yeh, 2003)","previouslyFormattedCitation":"(Xu &amp; Yeh, 2003)"},"properties":{"noteIndex":0},"schema":"https://github.com/citation-style-language/schema/raw/master/csl-citation.json"}</w:instrText>
      </w:r>
      <w:r w:rsidRPr="006D55BE">
        <w:rPr>
          <w:rFonts w:eastAsiaTheme="minorEastAsia"/>
        </w:rPr>
        <w:fldChar w:fldCharType="separate"/>
      </w:r>
      <w:r w:rsidRPr="006D55BE">
        <w:rPr>
          <w:rFonts w:eastAsiaTheme="minorEastAsia"/>
          <w:noProof/>
        </w:rPr>
        <w:t>(Xu &amp; Yeh, 2003)</w:t>
      </w:r>
      <w:r w:rsidRPr="006D55BE">
        <w:rPr>
          <w:rFonts w:eastAsiaTheme="minorEastAsia"/>
        </w:rPr>
        <w:fldChar w:fldCharType="end"/>
      </w:r>
      <w:r w:rsidRPr="006D55BE">
        <w:rPr>
          <w:rFonts w:eastAsiaTheme="minorEastAsia"/>
        </w:rPr>
        <w:t xml:space="preserve"> also limit pedestrian cognition capacity. Furthermore, the great intelligible GBSs in </w:t>
      </w:r>
      <w:r w:rsidR="005E3120" w:rsidRPr="006D55BE">
        <w:rPr>
          <w:rFonts w:eastAsiaTheme="minorEastAsia"/>
        </w:rPr>
        <w:t xml:space="preserve">the </w:t>
      </w:r>
      <w:r w:rsidRPr="006D55BE">
        <w:rPr>
          <w:rFonts w:eastAsiaTheme="minorEastAsia"/>
        </w:rPr>
        <w:t>‘</w:t>
      </w:r>
      <w:proofErr w:type="spellStart"/>
      <w:r w:rsidRPr="006D55BE">
        <w:rPr>
          <w:rFonts w:eastAsiaTheme="minorEastAsia"/>
        </w:rPr>
        <w:t>Nansha</w:t>
      </w:r>
      <w:proofErr w:type="spellEnd"/>
      <w:r w:rsidRPr="006D55BE">
        <w:rPr>
          <w:rFonts w:eastAsiaTheme="minorEastAsia"/>
        </w:rPr>
        <w:t>’ district benefit from its national-level strategic position as a major junction for stronger collaboration between</w:t>
      </w:r>
      <w:r w:rsidR="005E3120" w:rsidRPr="006D55BE">
        <w:rPr>
          <w:rFonts w:eastAsiaTheme="minorEastAsia"/>
        </w:rPr>
        <w:t xml:space="preserve"> the</w:t>
      </w:r>
      <w:r w:rsidRPr="006D55BE">
        <w:rPr>
          <w:rFonts w:eastAsiaTheme="minorEastAsia"/>
        </w:rPr>
        <w:t xml:space="preserve"> Guangdong province, Hong Kong, and Macau in China </w:t>
      </w:r>
      <w:r w:rsidRPr="006D55BE">
        <w:fldChar w:fldCharType="begin" w:fldLock="1"/>
      </w:r>
      <w:r w:rsidRPr="006D55BE">
        <w:instrText>ADDIN CSL_CITATION {"citationItems":[{"id":"ITEM-1","itemData":{"DOI":"10.1016/j.cities.2017.07.015","abstract":"The new millennium signified a new phase in the development zone-oriented suburbanization of China. Spurred by a new round of urban development strategies, development zones in many large cities face a need for enormous transformations and redevelopment. These areas have often been compared with the Western concept of \"edge cities\", although in this paper we argue that this \"imported\" concept, in practice, bears little resemblance to the actual development tendencies in China. Taking a comparative approach, this paper presents a critical examination of edge urban formations in the Chinese context, and identifies the major differences between the concept in China and the United States. Drawing upon a case study of Nansha in Guangzhou, the unique paths and underlying dynamics driving these transformations are revealed. It is concluded that Chinese edge urban areas are being transformed from mono-function development zones into new fully functional cities. A city in China like Nansha reveals the dynamics of both state interventions and local actions in boosting the polycentric economies of large city regions.","author":[{"dropping-particle":"","family":"Cheng","given":"Hui","non-dropping-particle":"","parse-names":false,"suffix":""},{"dropping-particle":"","family":"Liu","given":"Yuting","non-dropping-particle":"","parse-names":false,"suffix":""},{"dropping-particle":"","family":"He","given":"Shenjing","non-dropping-particle":"","parse-names":false,"suffix":""},{"dropping-particle":"","family":"Shaw","given":"David","non-dropping-particle":"","parse-names":false,"suffix":""}],"container-title":"Cities","id":"ITEM-1","issued":{"date-parts":[["2017"]]},"page":"110-122","title":"From development zones to edge urban areas in China: A case study of Nansha, Guangzhou City","type":"article-journal","volume":"71"},"uris":["http://www.mendeley.com/documents/?uuid=b29bdda9-0317-32aa-be8b-bf1c107f0739"]}],"mendeley":{"formattedCitation":"(Cheng, Liu, He, &amp; Shaw, 2017)","manualFormatting":"(Cheng et al., 2017)","plainTextFormattedCitation":"(Cheng, Liu, He, &amp; Shaw, 2017)","previouslyFormattedCitation":"(Cheng, Liu, He, &amp; Shaw, 2017)"},"properties":{"noteIndex":0},"schema":"https://github.com/citation-style-language/schema/raw/master/csl-citation.json"}</w:instrText>
      </w:r>
      <w:r w:rsidRPr="006D55BE">
        <w:fldChar w:fldCharType="separate"/>
      </w:r>
      <w:r w:rsidRPr="006D55BE">
        <w:rPr>
          <w:noProof/>
        </w:rPr>
        <w:t>(Cheng et al., 2017)</w:t>
      </w:r>
      <w:r w:rsidRPr="006D55BE">
        <w:fldChar w:fldCharType="end"/>
      </w:r>
      <w:r w:rsidRPr="006D55BE">
        <w:rPr>
          <w:rFonts w:eastAsiaTheme="minorEastAsia"/>
        </w:rPr>
        <w:t>. Overall, based on the heterogeneous GBSs evaluation results between old and new urban districts, we suggest improv</w:t>
      </w:r>
      <w:r w:rsidR="005E3120" w:rsidRPr="006D55BE">
        <w:rPr>
          <w:rFonts w:eastAsiaTheme="minorEastAsia"/>
        </w:rPr>
        <w:t>ing</w:t>
      </w:r>
      <w:r w:rsidRPr="006D55BE">
        <w:rPr>
          <w:rFonts w:eastAsiaTheme="minorEastAsia"/>
        </w:rPr>
        <w:t xml:space="preserve"> the accessibility in </w:t>
      </w:r>
      <w:r w:rsidRPr="006D55BE">
        <w:rPr>
          <w:rFonts w:eastAsiaTheme="minorEastAsia"/>
          <w:i/>
          <w:iCs/>
        </w:rPr>
        <w:t>to-movement</w:t>
      </w:r>
      <w:r w:rsidRPr="006D55BE">
        <w:rPr>
          <w:rFonts w:eastAsiaTheme="minorEastAsia"/>
        </w:rPr>
        <w:t xml:space="preserve"> routes and visibility in </w:t>
      </w:r>
      <w:r w:rsidRPr="006D55BE">
        <w:rPr>
          <w:rFonts w:eastAsiaTheme="minorEastAsia"/>
          <w:i/>
          <w:iCs/>
        </w:rPr>
        <w:t>through-movement</w:t>
      </w:r>
      <w:r w:rsidRPr="006D55BE">
        <w:rPr>
          <w:rFonts w:eastAsiaTheme="minorEastAsia"/>
        </w:rPr>
        <w:t xml:space="preserve"> routes in new districts for more pedestrian-friendly GBSs and better walking experience of pedestrians. </w:t>
      </w:r>
      <w:proofErr w:type="gramStart"/>
      <w:r w:rsidRPr="006D55BE">
        <w:rPr>
          <w:rFonts w:eastAsiaTheme="minorEastAsia"/>
        </w:rPr>
        <w:t>Whereas,</w:t>
      </w:r>
      <w:proofErr w:type="gramEnd"/>
      <w:r w:rsidRPr="006D55BE">
        <w:rPr>
          <w:rFonts w:eastAsiaTheme="minorEastAsia"/>
        </w:rPr>
        <w:t xml:space="preserve"> old districts may need </w:t>
      </w:r>
      <w:r w:rsidR="005E3120" w:rsidRPr="006D55BE">
        <w:rPr>
          <w:rFonts w:eastAsiaTheme="minorEastAsia"/>
        </w:rPr>
        <w:t xml:space="preserve">an </w:t>
      </w:r>
      <w:r w:rsidRPr="006D55BE">
        <w:rPr>
          <w:rFonts w:eastAsiaTheme="minorEastAsia"/>
        </w:rPr>
        <w:t xml:space="preserve">emphasis on improving intelligibility of GBSs and the ease of spatial cognition through increasing connected and integrated spaces synchronically. </w:t>
      </w:r>
    </w:p>
    <w:p w14:paraId="1A0AF0A9" w14:textId="77777777" w:rsidR="009034FE" w:rsidRPr="006D55BE" w:rsidRDefault="009034FE" w:rsidP="009034FE">
      <w:pPr>
        <w:pStyle w:val="Heading1"/>
        <w:spacing w:before="326" w:after="326"/>
        <w:rPr>
          <w:rFonts w:eastAsiaTheme="minorEastAsia"/>
        </w:rPr>
      </w:pPr>
      <w:r w:rsidRPr="006D55BE">
        <w:rPr>
          <w:rFonts w:eastAsiaTheme="minorEastAsia"/>
        </w:rPr>
        <w:t>6. Conclusion</w:t>
      </w:r>
    </w:p>
    <w:p w14:paraId="30BF39B8" w14:textId="3C1B1A03" w:rsidR="009034FE" w:rsidRPr="006D55BE" w:rsidRDefault="009034FE" w:rsidP="009034FE">
      <w:pPr>
        <w:spacing w:after="163"/>
        <w:rPr>
          <w:rFonts w:eastAsiaTheme="minorEastAsia"/>
        </w:rPr>
      </w:pPr>
      <w:r w:rsidRPr="006D55BE">
        <w:rPr>
          <w:rFonts w:eastAsiaTheme="minorEastAsia"/>
        </w:rPr>
        <w:tab/>
        <w:t xml:space="preserve">To </w:t>
      </w:r>
      <w:r w:rsidR="00A469E7" w:rsidRPr="006D55BE">
        <w:rPr>
          <w:rFonts w:eastAsiaTheme="minorEastAsia"/>
        </w:rPr>
        <w:t>incorporate</w:t>
      </w:r>
      <w:r w:rsidRPr="006D55BE">
        <w:rPr>
          <w:rFonts w:eastAsiaTheme="minorEastAsia"/>
        </w:rPr>
        <w:t xml:space="preserve"> the </w:t>
      </w:r>
      <w:r w:rsidR="00A469E7" w:rsidRPr="006D55BE">
        <w:rPr>
          <w:rFonts w:eastAsiaTheme="minorEastAsia"/>
        </w:rPr>
        <w:t>pedestrian</w:t>
      </w:r>
      <w:r w:rsidRPr="006D55BE">
        <w:rPr>
          <w:rFonts w:eastAsiaTheme="minorEastAsia"/>
        </w:rPr>
        <w:t xml:space="preserve"> needs in their daily movement </w:t>
      </w:r>
      <w:r w:rsidR="00A469E7" w:rsidRPr="006D55BE">
        <w:rPr>
          <w:rFonts w:eastAsiaTheme="minorEastAsia"/>
        </w:rPr>
        <w:t>into</w:t>
      </w:r>
      <w:r w:rsidRPr="006D55BE">
        <w:rPr>
          <w:rFonts w:eastAsiaTheme="minorEastAsia"/>
        </w:rPr>
        <w:t xml:space="preserve"> physical GBSs planning</w:t>
      </w:r>
      <w:r w:rsidR="00706C15" w:rsidRPr="006D55BE">
        <w:rPr>
          <w:rFonts w:eastAsiaTheme="minorEastAsia"/>
        </w:rPr>
        <w:t xml:space="preserve"> for better walking experience in GBSs</w:t>
      </w:r>
      <w:r w:rsidRPr="006D55BE">
        <w:rPr>
          <w:rFonts w:eastAsiaTheme="minorEastAsia"/>
        </w:rPr>
        <w:t xml:space="preserve">, this research provides the AVI framework to evaluate the accessibility (A), visibility (V), and intelligibility (I) of GBSs, which measures how GBSs meet the </w:t>
      </w:r>
      <w:r w:rsidR="002A5A10" w:rsidRPr="006D55BE">
        <w:rPr>
          <w:rFonts w:eastAsiaTheme="minorEastAsia"/>
        </w:rPr>
        <w:t xml:space="preserve">pedestrian </w:t>
      </w:r>
      <w:r w:rsidRPr="006D55BE">
        <w:rPr>
          <w:rFonts w:eastAsiaTheme="minorEastAsia"/>
        </w:rPr>
        <w:t>needs of physical access, visual access, and spatial cognition, respectively. Space syntax is a key to</w:t>
      </w:r>
      <w:r w:rsidR="00B06271" w:rsidRPr="006D55BE">
        <w:rPr>
          <w:rFonts w:eastAsiaTheme="minorEastAsia"/>
        </w:rPr>
        <w:t xml:space="preserve"> </w:t>
      </w:r>
      <w:r w:rsidRPr="006D55BE">
        <w:rPr>
          <w:rFonts w:eastAsiaTheme="minorEastAsia"/>
        </w:rPr>
        <w:t>translat</w:t>
      </w:r>
      <w:r w:rsidR="002D7960" w:rsidRPr="006D55BE">
        <w:rPr>
          <w:rFonts w:eastAsiaTheme="minorEastAsia"/>
        </w:rPr>
        <w:t>e</w:t>
      </w:r>
      <w:r w:rsidRPr="006D55BE">
        <w:rPr>
          <w:rFonts w:eastAsiaTheme="minorEastAsia"/>
        </w:rPr>
        <w:t xml:space="preserve"> the patterns of </w:t>
      </w:r>
      <w:r w:rsidR="00A62333" w:rsidRPr="006D55BE">
        <w:rPr>
          <w:rFonts w:eastAsiaTheme="minorEastAsia"/>
        </w:rPr>
        <w:lastRenderedPageBreak/>
        <w:t>pedestrian</w:t>
      </w:r>
      <w:r w:rsidRPr="006D55BE">
        <w:rPr>
          <w:rFonts w:eastAsiaTheme="minorEastAsia"/>
        </w:rPr>
        <w:t xml:space="preserve"> movement into the configurational measurements of </w:t>
      </w:r>
      <w:r w:rsidR="00A62333" w:rsidRPr="006D55BE">
        <w:rPr>
          <w:rFonts w:eastAsiaTheme="minorEastAsia"/>
        </w:rPr>
        <w:t>GBSs.</w:t>
      </w:r>
    </w:p>
    <w:p w14:paraId="40B490B3" w14:textId="5B181E80" w:rsidR="00D22045" w:rsidRPr="006D55BE" w:rsidRDefault="009034FE" w:rsidP="00D22045">
      <w:pPr>
        <w:spacing w:after="163"/>
        <w:rPr>
          <w:rFonts w:eastAsiaTheme="minorEastAsia"/>
        </w:rPr>
      </w:pPr>
      <w:r w:rsidRPr="006D55BE">
        <w:rPr>
          <w:rFonts w:eastAsiaTheme="minorEastAsia"/>
        </w:rPr>
        <w:tab/>
      </w:r>
      <w:bookmarkStart w:id="23" w:name="_Hlk94281436"/>
      <w:r w:rsidR="00B774DF">
        <w:rPr>
          <w:rFonts w:eastAsiaTheme="minorEastAsia"/>
        </w:rPr>
        <w:t>Both t</w:t>
      </w:r>
      <w:r w:rsidR="00611CCC">
        <w:rPr>
          <w:rFonts w:eastAsiaTheme="minorEastAsia"/>
        </w:rPr>
        <w:t>he AVI measurements of individual GBSs as well as the averaged AVI indicators of GBSs in urban districts have</w:t>
      </w:r>
      <w:r w:rsidR="0013174D" w:rsidRPr="0013174D">
        <w:rPr>
          <w:rFonts w:eastAsiaTheme="minorEastAsia"/>
        </w:rPr>
        <w:t xml:space="preserve"> </w:t>
      </w:r>
      <w:r w:rsidR="00611CCC">
        <w:rPr>
          <w:rFonts w:eastAsiaTheme="minorEastAsia"/>
        </w:rPr>
        <w:t xml:space="preserve">been </w:t>
      </w:r>
      <w:r w:rsidR="00285243">
        <w:rPr>
          <w:rFonts w:eastAsiaTheme="minorEastAsia"/>
        </w:rPr>
        <w:t xml:space="preserve">illustrated, revealing similar spatial patterns. </w:t>
      </w:r>
      <w:bookmarkEnd w:id="23"/>
      <w:r w:rsidR="00B774DF">
        <w:rPr>
          <w:rFonts w:eastAsiaTheme="minorEastAsia"/>
        </w:rPr>
        <w:t xml:space="preserve">The findings show that </w:t>
      </w:r>
      <w:r w:rsidRPr="006D55BE">
        <w:rPr>
          <w:rFonts w:eastAsiaTheme="minorEastAsia"/>
        </w:rPr>
        <w:t xml:space="preserve">GBSs in the central part of the city are more accessible and visible than those in other </w:t>
      </w:r>
      <w:r w:rsidR="00D22045" w:rsidRPr="006D55BE">
        <w:rPr>
          <w:rFonts w:eastAsiaTheme="minorEastAsia"/>
        </w:rPr>
        <w:t>places</w:t>
      </w:r>
      <w:r w:rsidRPr="006D55BE">
        <w:rPr>
          <w:rFonts w:eastAsiaTheme="minorEastAsia"/>
        </w:rPr>
        <w:t xml:space="preserve">, </w:t>
      </w:r>
      <w:r w:rsidR="00D22045" w:rsidRPr="006D55BE">
        <w:rPr>
          <w:rFonts w:eastAsiaTheme="minorEastAsia"/>
        </w:rPr>
        <w:t xml:space="preserve">according to the AVI measures, although this trend is not discernible for intelligibility. </w:t>
      </w:r>
      <w:r w:rsidR="002C1FF2" w:rsidRPr="006D55BE">
        <w:rPr>
          <w:rFonts w:eastAsiaTheme="minorEastAsia"/>
        </w:rPr>
        <w:t xml:space="preserve">Based on averaged AVI, the overall GBSs in the city centers are more pedestrian-friendly than </w:t>
      </w:r>
      <w:r w:rsidR="00A10F5D" w:rsidRPr="006D55BE">
        <w:rPr>
          <w:rFonts w:eastAsiaTheme="minorEastAsia"/>
        </w:rPr>
        <w:t xml:space="preserve">the </w:t>
      </w:r>
      <w:r w:rsidR="002C1FF2" w:rsidRPr="006D55BE">
        <w:rPr>
          <w:rFonts w:eastAsiaTheme="minorEastAsia"/>
        </w:rPr>
        <w:t xml:space="preserve">outer districts. Moreover, using PCA, intelligibility is defined as the most dominant influence of </w:t>
      </w:r>
      <w:proofErr w:type="gramStart"/>
      <w:r w:rsidR="002C1FF2" w:rsidRPr="006D55BE">
        <w:rPr>
          <w:rFonts w:eastAsiaTheme="minorEastAsia"/>
        </w:rPr>
        <w:t>pedestrian-friendly</w:t>
      </w:r>
      <w:proofErr w:type="gramEnd"/>
      <w:r w:rsidR="002C1FF2" w:rsidRPr="006D55BE">
        <w:rPr>
          <w:rFonts w:eastAsiaTheme="minorEastAsia"/>
        </w:rPr>
        <w:t xml:space="preserve"> GBSs</w:t>
      </w:r>
      <w:r w:rsidR="00A72E89" w:rsidRPr="006D55BE">
        <w:rPr>
          <w:rFonts w:eastAsiaTheme="minorEastAsia"/>
        </w:rPr>
        <w:t xml:space="preserve">, which can provide additional cognitive information compared with accessibility and visibility. </w:t>
      </w:r>
      <w:r w:rsidR="00304EDB" w:rsidRPr="006D55BE">
        <w:rPr>
          <w:rFonts w:eastAsiaTheme="minorEastAsia"/>
        </w:rPr>
        <w:t xml:space="preserve">Assigning diverse weightings of AVI indicators, accessibility, visibility, and intelligibility of GBSs among districts can be comparable. </w:t>
      </w:r>
      <w:r w:rsidR="006E2AD5" w:rsidRPr="006D55BE">
        <w:rPr>
          <w:rFonts w:eastAsiaTheme="minorEastAsia"/>
        </w:rPr>
        <w:t>Intelligibility</w:t>
      </w:r>
      <w:r w:rsidR="00B1536D" w:rsidRPr="006D55BE">
        <w:rPr>
          <w:rFonts w:eastAsiaTheme="minorEastAsia"/>
        </w:rPr>
        <w:t xml:space="preserve"> of GBSs</w:t>
      </w:r>
      <w:r w:rsidR="006E2AD5" w:rsidRPr="006D55BE">
        <w:rPr>
          <w:rFonts w:eastAsiaTheme="minorEastAsia"/>
        </w:rPr>
        <w:t xml:space="preserve"> </w:t>
      </w:r>
      <w:r w:rsidR="00304EDB" w:rsidRPr="006D55BE">
        <w:rPr>
          <w:rFonts w:eastAsiaTheme="minorEastAsia"/>
        </w:rPr>
        <w:t>has the highest score, while visibility need</w:t>
      </w:r>
      <w:r w:rsidR="00B1536D" w:rsidRPr="006D55BE">
        <w:rPr>
          <w:rFonts w:eastAsiaTheme="minorEastAsia"/>
        </w:rPr>
        <w:t>s</w:t>
      </w:r>
      <w:r w:rsidR="00304EDB" w:rsidRPr="006D55BE">
        <w:rPr>
          <w:rFonts w:eastAsiaTheme="minorEastAsia"/>
        </w:rPr>
        <w:t xml:space="preserve"> to be improved throughout the city. However, these observations</w:t>
      </w:r>
      <w:r w:rsidR="00B1536D" w:rsidRPr="006D55BE">
        <w:rPr>
          <w:rFonts w:eastAsiaTheme="minorEastAsia"/>
        </w:rPr>
        <w:t xml:space="preserve"> at city level</w:t>
      </w:r>
      <w:r w:rsidR="00304EDB" w:rsidRPr="006D55BE">
        <w:rPr>
          <w:rFonts w:eastAsiaTheme="minorEastAsia"/>
        </w:rPr>
        <w:t xml:space="preserve"> are not entirely consistent with the AVI values </w:t>
      </w:r>
      <w:r w:rsidR="005C01A5">
        <w:rPr>
          <w:rFonts w:eastAsiaTheme="minorEastAsia"/>
        </w:rPr>
        <w:t>in different districts.</w:t>
      </w:r>
      <w:r w:rsidR="00304EDB" w:rsidRPr="006D55BE">
        <w:rPr>
          <w:rFonts w:eastAsiaTheme="minorEastAsia"/>
        </w:rPr>
        <w:t xml:space="preserve"> </w:t>
      </w:r>
      <w:r w:rsidR="00291EA8" w:rsidRPr="006D55BE">
        <w:rPr>
          <w:rFonts w:eastAsiaTheme="minorEastAsia"/>
        </w:rPr>
        <w:t xml:space="preserve">With the AVI weightings, the overall GBSs in the city centers are still more pedestrian-friendly than others, </w:t>
      </w:r>
      <w:proofErr w:type="gramStart"/>
      <w:r w:rsidR="00291EA8" w:rsidRPr="006D55BE">
        <w:rPr>
          <w:rFonts w:eastAsiaTheme="minorEastAsia"/>
        </w:rPr>
        <w:t>similar to</w:t>
      </w:r>
      <w:proofErr w:type="gramEnd"/>
      <w:r w:rsidR="00291EA8" w:rsidRPr="006D55BE">
        <w:rPr>
          <w:rFonts w:eastAsiaTheme="minorEastAsia"/>
        </w:rPr>
        <w:t xml:space="preserve"> the patterns based on the AVI-averaged evaluation results. </w:t>
      </w:r>
      <w:r w:rsidR="007E00AB" w:rsidRPr="006D55BE">
        <w:rPr>
          <w:rFonts w:eastAsiaTheme="minorEastAsia"/>
        </w:rPr>
        <w:t>Additionally, ‘Yuexiu’, ‘</w:t>
      </w:r>
      <w:proofErr w:type="spellStart"/>
      <w:r w:rsidR="007E00AB" w:rsidRPr="006D55BE">
        <w:rPr>
          <w:rFonts w:eastAsiaTheme="minorEastAsia"/>
        </w:rPr>
        <w:t>Huadu</w:t>
      </w:r>
      <w:proofErr w:type="spellEnd"/>
      <w:r w:rsidR="007E00AB" w:rsidRPr="006D55BE">
        <w:rPr>
          <w:rFonts w:eastAsiaTheme="minorEastAsia"/>
        </w:rPr>
        <w:t>’, and ‘</w:t>
      </w:r>
      <w:proofErr w:type="spellStart"/>
      <w:r w:rsidR="007E00AB" w:rsidRPr="006D55BE">
        <w:rPr>
          <w:rFonts w:eastAsiaTheme="minorEastAsia"/>
        </w:rPr>
        <w:t>Nansha</w:t>
      </w:r>
      <w:proofErr w:type="spellEnd"/>
      <w:r w:rsidR="007E00AB" w:rsidRPr="006D55BE">
        <w:rPr>
          <w:rFonts w:eastAsiaTheme="minorEastAsia"/>
        </w:rPr>
        <w:t xml:space="preserve">’ districts are regarded as the priority areas for GBSs improvement </w:t>
      </w:r>
      <w:r w:rsidR="00714063">
        <w:rPr>
          <w:rFonts w:eastAsiaTheme="minorEastAsia"/>
        </w:rPr>
        <w:t xml:space="preserve">in Guangzhou </w:t>
      </w:r>
      <w:r w:rsidR="007E00AB" w:rsidRPr="006D55BE">
        <w:rPr>
          <w:rFonts w:eastAsiaTheme="minorEastAsia"/>
        </w:rPr>
        <w:t xml:space="preserve">by adjusting AVI indicators. </w:t>
      </w:r>
    </w:p>
    <w:p w14:paraId="6441286C" w14:textId="2281DDA6" w:rsidR="00B57A29" w:rsidRPr="006D55BE" w:rsidRDefault="009034FE" w:rsidP="00B27C13">
      <w:pPr>
        <w:spacing w:after="163"/>
        <w:rPr>
          <w:rFonts w:eastAsiaTheme="minorEastAsia"/>
        </w:rPr>
      </w:pPr>
      <w:r w:rsidRPr="006D55BE">
        <w:rPr>
          <w:rFonts w:eastAsiaTheme="minorEastAsia"/>
        </w:rPr>
        <w:tab/>
      </w:r>
      <w:r w:rsidR="00C67D99" w:rsidRPr="006D55BE">
        <w:rPr>
          <w:rFonts w:eastAsiaTheme="minorEastAsia"/>
        </w:rPr>
        <w:t xml:space="preserve">Despite the lack of human and social survey data, </w:t>
      </w:r>
      <w:r w:rsidR="00490BD7" w:rsidRPr="006D55BE">
        <w:rPr>
          <w:rFonts w:eastAsiaTheme="minorEastAsia"/>
        </w:rPr>
        <w:t>the space syntax-based measurements in our study provide more objective evidence to decipher the linkages between movement flows and GBSs planning</w:t>
      </w:r>
      <w:r w:rsidR="00C67D99" w:rsidRPr="006D55BE">
        <w:rPr>
          <w:rFonts w:eastAsiaTheme="minorEastAsia"/>
        </w:rPr>
        <w:t>, compared to the conventional survey-based evaluations</w:t>
      </w:r>
      <w:r w:rsidR="00490BD7" w:rsidRPr="006D55BE">
        <w:rPr>
          <w:rFonts w:eastAsiaTheme="minorEastAsia"/>
        </w:rPr>
        <w:t xml:space="preserve">. </w:t>
      </w:r>
      <w:r w:rsidR="00C67D99" w:rsidRPr="006D55BE">
        <w:rPr>
          <w:rFonts w:eastAsiaTheme="minorEastAsia"/>
        </w:rPr>
        <w:t xml:space="preserve">Intangible moving behavior patterns therefore can be transformed to the empirical results of GBSs evaluation. </w:t>
      </w:r>
      <w:r w:rsidR="00490BD7" w:rsidRPr="006D55BE">
        <w:rPr>
          <w:rFonts w:eastAsiaTheme="minorEastAsia"/>
        </w:rPr>
        <w:t xml:space="preserve">Also, </w:t>
      </w:r>
      <w:r w:rsidR="00C67D99" w:rsidRPr="006D55BE">
        <w:rPr>
          <w:rFonts w:eastAsiaTheme="minorEastAsia"/>
        </w:rPr>
        <w:t xml:space="preserve">our empirical evidence can be used to verify survey results and provide planners with comprehensive information. </w:t>
      </w:r>
      <w:r w:rsidR="007C0690" w:rsidRPr="006D55BE">
        <w:rPr>
          <w:rFonts w:eastAsiaTheme="minorEastAsia"/>
        </w:rPr>
        <w:t>Additionally, the pedestrian walking behavior</w:t>
      </w:r>
      <w:r w:rsidR="00793FF7" w:rsidRPr="006D55BE">
        <w:rPr>
          <w:rFonts w:eastAsiaTheme="minorEastAsia"/>
        </w:rPr>
        <w:t xml:space="preserve"> around the GBSs is the focus of this </w:t>
      </w:r>
      <w:r w:rsidR="008E4552" w:rsidRPr="006D55BE">
        <w:rPr>
          <w:rFonts w:eastAsiaTheme="minorEastAsia"/>
        </w:rPr>
        <w:t>study</w:t>
      </w:r>
      <w:r w:rsidR="00793FF7" w:rsidRPr="006D55BE">
        <w:rPr>
          <w:rFonts w:eastAsiaTheme="minorEastAsia"/>
        </w:rPr>
        <w:t xml:space="preserve">, without the consideration of rail networks. </w:t>
      </w:r>
      <w:r w:rsidR="009B1B13" w:rsidRPr="006D55BE">
        <w:rPr>
          <w:rFonts w:eastAsiaTheme="minorEastAsia"/>
        </w:rPr>
        <w:t>As a result</w:t>
      </w:r>
      <w:r w:rsidR="00793FF7" w:rsidRPr="006D55BE">
        <w:rPr>
          <w:rFonts w:eastAsiaTheme="minorEastAsia"/>
        </w:rPr>
        <w:t xml:space="preserve">, one future direction </w:t>
      </w:r>
      <w:r w:rsidR="009B1B13" w:rsidRPr="006D55BE">
        <w:rPr>
          <w:rFonts w:eastAsiaTheme="minorEastAsia"/>
        </w:rPr>
        <w:t>could</w:t>
      </w:r>
      <w:r w:rsidR="00793FF7" w:rsidRPr="006D55BE">
        <w:rPr>
          <w:rFonts w:eastAsiaTheme="minorEastAsia"/>
        </w:rPr>
        <w:t xml:space="preserve"> be </w:t>
      </w:r>
      <w:r w:rsidR="00977AB2" w:rsidRPr="006D55BE">
        <w:rPr>
          <w:rFonts w:eastAsiaTheme="minorEastAsia"/>
        </w:rPr>
        <w:t xml:space="preserve">to investigate </w:t>
      </w:r>
      <w:r w:rsidR="00793FF7" w:rsidRPr="006D55BE">
        <w:rPr>
          <w:rFonts w:eastAsiaTheme="minorEastAsia"/>
        </w:rPr>
        <w:t xml:space="preserve">the </w:t>
      </w:r>
      <w:r w:rsidR="00977AB2" w:rsidRPr="006D55BE">
        <w:rPr>
          <w:rFonts w:eastAsiaTheme="minorEastAsia"/>
        </w:rPr>
        <w:t>effects</w:t>
      </w:r>
      <w:r w:rsidR="00793FF7" w:rsidRPr="006D55BE">
        <w:rPr>
          <w:rFonts w:eastAsiaTheme="minorEastAsia"/>
        </w:rPr>
        <w:t xml:space="preserve"> of </w:t>
      </w:r>
      <w:r w:rsidR="00977AB2" w:rsidRPr="006D55BE">
        <w:rPr>
          <w:rFonts w:eastAsiaTheme="minorEastAsia"/>
        </w:rPr>
        <w:t>highway</w:t>
      </w:r>
      <w:r w:rsidR="00793FF7" w:rsidRPr="006D55BE">
        <w:rPr>
          <w:rFonts w:eastAsiaTheme="minorEastAsia"/>
        </w:rPr>
        <w:t xml:space="preserve"> developments or rapid rail transit on the human </w:t>
      </w:r>
      <w:r w:rsidR="00977AB2" w:rsidRPr="006D55BE">
        <w:rPr>
          <w:rFonts w:eastAsiaTheme="minorEastAsia"/>
        </w:rPr>
        <w:t xml:space="preserve">utilization </w:t>
      </w:r>
      <w:r w:rsidR="00793FF7" w:rsidRPr="006D55BE">
        <w:rPr>
          <w:rFonts w:eastAsiaTheme="minorEastAsia"/>
        </w:rPr>
        <w:t>of GBSs at larger scales.</w:t>
      </w:r>
      <w:r w:rsidR="007B6C5B">
        <w:rPr>
          <w:rFonts w:eastAsiaTheme="minorEastAsia"/>
        </w:rPr>
        <w:t xml:space="preserve"> </w:t>
      </w:r>
      <w:bookmarkStart w:id="24" w:name="_Hlk90195085"/>
      <w:r w:rsidR="007B6C5B">
        <w:rPr>
          <w:rFonts w:eastAsiaTheme="minorEastAsia"/>
        </w:rPr>
        <w:t>The quality of GBSs as public spaces</w:t>
      </w:r>
      <w:r w:rsidR="004F0FA4" w:rsidRPr="004F0FA4">
        <w:rPr>
          <w:rFonts w:eastAsiaTheme="minorEastAsia"/>
        </w:rPr>
        <w:t xml:space="preserve">, such as the safety </w:t>
      </w:r>
      <w:r w:rsidR="004F0FA4">
        <w:rPr>
          <w:rFonts w:eastAsiaTheme="minorEastAsia" w:hint="eastAsia"/>
        </w:rPr>
        <w:t>o</w:t>
      </w:r>
      <w:r w:rsidR="004F0FA4" w:rsidRPr="004F0FA4">
        <w:rPr>
          <w:rFonts w:eastAsiaTheme="minorEastAsia"/>
        </w:rPr>
        <w:t xml:space="preserve">f people who use them, </w:t>
      </w:r>
      <w:r w:rsidR="008127FD">
        <w:rPr>
          <w:rFonts w:eastAsiaTheme="minorEastAsia"/>
        </w:rPr>
        <w:t xml:space="preserve">also needs to be </w:t>
      </w:r>
      <w:r w:rsidR="007B6C5B">
        <w:rPr>
          <w:rFonts w:eastAsiaTheme="minorEastAsia"/>
        </w:rPr>
        <w:t>investigated in future work</w:t>
      </w:r>
      <w:bookmarkEnd w:id="24"/>
      <w:r w:rsidR="007B6C5B">
        <w:rPr>
          <w:rFonts w:eastAsiaTheme="minorEastAsia"/>
        </w:rPr>
        <w:t>.</w:t>
      </w:r>
      <w:r w:rsidR="00793FF7" w:rsidRPr="006D55BE">
        <w:rPr>
          <w:rFonts w:eastAsiaTheme="minorEastAsia"/>
        </w:rPr>
        <w:t xml:space="preserve"> </w:t>
      </w:r>
      <w:r w:rsidR="00554A73" w:rsidRPr="006D55BE">
        <w:rPr>
          <w:rFonts w:eastAsiaTheme="minorEastAsia"/>
        </w:rPr>
        <w:t xml:space="preserve">In conclusion, </w:t>
      </w:r>
      <w:r w:rsidR="00EC57FE" w:rsidRPr="006D55BE">
        <w:rPr>
          <w:rFonts w:eastAsiaTheme="minorEastAsia"/>
        </w:rPr>
        <w:t xml:space="preserve">this study demonstrates insights into </w:t>
      </w:r>
      <w:proofErr w:type="gramStart"/>
      <w:r w:rsidR="00EC57FE" w:rsidRPr="006D55BE">
        <w:rPr>
          <w:rFonts w:eastAsiaTheme="minorEastAsia"/>
        </w:rPr>
        <w:t>pedestrian-friendly</w:t>
      </w:r>
      <w:proofErr w:type="gramEnd"/>
      <w:r w:rsidR="00EC57FE" w:rsidRPr="006D55BE">
        <w:rPr>
          <w:rFonts w:eastAsiaTheme="minorEastAsia"/>
        </w:rPr>
        <w:t xml:space="preserve"> GBSs planning through developing a multi-indictor framework to examine whether the GBSs accommodate the requirements of access, view, and cognition in pedestrian movement. We </w:t>
      </w:r>
      <w:r w:rsidR="00554A73" w:rsidRPr="006D55BE">
        <w:rPr>
          <w:rFonts w:eastAsiaTheme="minorEastAsia"/>
        </w:rPr>
        <w:t>suggest the intelligibility</w:t>
      </w:r>
      <w:r w:rsidR="00EC57FE" w:rsidRPr="006D55BE">
        <w:rPr>
          <w:rFonts w:eastAsiaTheme="minorEastAsia"/>
        </w:rPr>
        <w:t xml:space="preserve"> related to mental cognition in movement</w:t>
      </w:r>
      <w:r w:rsidR="00554A73" w:rsidRPr="006D55BE">
        <w:rPr>
          <w:rFonts w:eastAsiaTheme="minorEastAsia"/>
        </w:rPr>
        <w:t xml:space="preserve"> as a focus in future GBSs planning. </w:t>
      </w:r>
      <w:r w:rsidR="005908A7" w:rsidRPr="006D55BE">
        <w:rPr>
          <w:rFonts w:eastAsiaTheme="minorEastAsia"/>
        </w:rPr>
        <w:t xml:space="preserve">At the same time, the visibility of GBSs </w:t>
      </w:r>
      <w:r w:rsidR="004E0C09" w:rsidRPr="006D55BE">
        <w:rPr>
          <w:rFonts w:eastAsiaTheme="minorEastAsia"/>
        </w:rPr>
        <w:t xml:space="preserve">needs to be improved particularly </w:t>
      </w:r>
      <w:r w:rsidR="005908A7" w:rsidRPr="006D55BE">
        <w:rPr>
          <w:rFonts w:eastAsiaTheme="minorEastAsia"/>
        </w:rPr>
        <w:t xml:space="preserve">in the </w:t>
      </w:r>
      <w:r w:rsidR="00A83E06" w:rsidRPr="006D55BE">
        <w:rPr>
          <w:rFonts w:eastAsiaTheme="minorEastAsia"/>
        </w:rPr>
        <w:t xml:space="preserve">peripheral </w:t>
      </w:r>
      <w:r w:rsidR="00EC57FE" w:rsidRPr="006D55BE">
        <w:rPr>
          <w:rFonts w:eastAsiaTheme="minorEastAsia"/>
        </w:rPr>
        <w:t>districts</w:t>
      </w:r>
      <w:r w:rsidR="005908A7" w:rsidRPr="006D55BE">
        <w:rPr>
          <w:rFonts w:eastAsiaTheme="minorEastAsia"/>
        </w:rPr>
        <w:t xml:space="preserve">. </w:t>
      </w:r>
    </w:p>
    <w:p w14:paraId="001437AF" w14:textId="77777777" w:rsidR="00DC1F05" w:rsidRPr="006D55BE" w:rsidRDefault="00DC1F05" w:rsidP="00FF6E34">
      <w:pPr>
        <w:spacing w:before="240" w:after="163"/>
        <w:rPr>
          <w:b/>
        </w:rPr>
        <w:sectPr w:rsidR="00DC1F05" w:rsidRPr="006D55BE" w:rsidSect="00B24869">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lnNumType w:countBy="1" w:restart="continuous"/>
          <w:cols w:space="425"/>
          <w:docGrid w:type="lines" w:linePitch="326"/>
        </w:sectPr>
      </w:pPr>
    </w:p>
    <w:p w14:paraId="28CF5E14" w14:textId="150F1E90" w:rsidR="00FF6E34" w:rsidRPr="006D55BE" w:rsidRDefault="00FF6E34" w:rsidP="00FF6E34">
      <w:pPr>
        <w:spacing w:before="240" w:after="163"/>
        <w:rPr>
          <w:b/>
        </w:rPr>
      </w:pPr>
      <w:r w:rsidRPr="006D55BE">
        <w:rPr>
          <w:b/>
        </w:rPr>
        <w:lastRenderedPageBreak/>
        <w:t>Acknowledgement</w:t>
      </w:r>
    </w:p>
    <w:p w14:paraId="37386EA5" w14:textId="3FEFC6B2" w:rsidR="00D117F9" w:rsidRPr="006D55BE" w:rsidRDefault="00FF6E34" w:rsidP="00FF6E34">
      <w:pPr>
        <w:spacing w:before="240" w:after="163"/>
        <w:rPr>
          <w:rFonts w:eastAsiaTheme="minorEastAsia"/>
        </w:rPr>
      </w:pPr>
      <w:r w:rsidRPr="006D55BE">
        <w:t xml:space="preserve">This research was supported by the Hong Kong Baptist University Faculty Research Grant (No. FRG1/17-18/044 and No. FRG1/16-17/034), the Research Impact Fund (No. R2002-20F) from the Hong Kong Research Grant Council (RGC), and the 2232 International Fellowship for Outstanding Researchers Program of the Scientific and Technological Research Council of Turkey (TUBITAK) through grant 118C329. This research was conducted using the resources of the </w:t>
      </w:r>
      <w:proofErr w:type="gramStart"/>
      <w:r w:rsidRPr="006D55BE">
        <w:t>High Performance</w:t>
      </w:r>
      <w:proofErr w:type="gramEnd"/>
      <w:r w:rsidRPr="006D55BE">
        <w:t xml:space="preserve"> Cluster Computing Centre, Hong Kong Baptist University, which receives funding from Research Grant Council, University Grant Committee of the HKSAR and Hong Kong Baptist University.</w:t>
      </w:r>
    </w:p>
    <w:p w14:paraId="4CDD48CB" w14:textId="45796403" w:rsidR="001262EC" w:rsidRPr="006D55BE" w:rsidRDefault="001262EC" w:rsidP="00B27C13">
      <w:pPr>
        <w:spacing w:after="163"/>
        <w:rPr>
          <w:rFonts w:eastAsiaTheme="minorEastAsia"/>
        </w:rPr>
        <w:sectPr w:rsidR="001262EC" w:rsidRPr="006D55BE" w:rsidSect="00DC1F05">
          <w:pgSz w:w="11906" w:h="16838"/>
          <w:pgMar w:top="1440" w:right="1800" w:bottom="1440" w:left="1800" w:header="851" w:footer="992" w:gutter="0"/>
          <w:cols w:space="425"/>
          <w:docGrid w:type="lines" w:linePitch="326"/>
        </w:sectPr>
      </w:pPr>
    </w:p>
    <w:p w14:paraId="21572FD9" w14:textId="2E497D11" w:rsidR="00FA2C2A" w:rsidRPr="006D55BE" w:rsidRDefault="00FA2C2A" w:rsidP="00B27C13">
      <w:pPr>
        <w:spacing w:after="156"/>
        <w:rPr>
          <w:rFonts w:eastAsiaTheme="minorEastAsia"/>
        </w:rPr>
      </w:pPr>
      <w:r w:rsidRPr="006D55BE">
        <w:rPr>
          <w:rFonts w:eastAsiaTheme="minorEastAsia"/>
        </w:rPr>
        <w:lastRenderedPageBreak/>
        <w:t>References</w:t>
      </w:r>
    </w:p>
    <w:p w14:paraId="602B8FA4" w14:textId="5ECD6DA6" w:rsidR="00926392" w:rsidRPr="00926392" w:rsidRDefault="00FA2C2A" w:rsidP="00926392">
      <w:pPr>
        <w:autoSpaceDE w:val="0"/>
        <w:autoSpaceDN w:val="0"/>
        <w:adjustRightInd w:val="0"/>
        <w:spacing w:after="156"/>
        <w:ind w:left="480" w:hanging="480"/>
        <w:jc w:val="left"/>
        <w:rPr>
          <w:noProof/>
          <w:kern w:val="0"/>
        </w:rPr>
      </w:pPr>
      <w:r w:rsidRPr="006D55BE">
        <w:rPr>
          <w:rFonts w:eastAsiaTheme="minorEastAsia"/>
        </w:rPr>
        <w:fldChar w:fldCharType="begin" w:fldLock="1"/>
      </w:r>
      <w:r w:rsidRPr="006D55BE">
        <w:rPr>
          <w:rFonts w:eastAsiaTheme="minorEastAsia"/>
        </w:rPr>
        <w:instrText xml:space="preserve">ADDIN Mendeley Bibliography CSL_BIBLIOGRAPHY </w:instrText>
      </w:r>
      <w:r w:rsidRPr="006D55BE">
        <w:rPr>
          <w:rFonts w:eastAsiaTheme="minorEastAsia"/>
        </w:rPr>
        <w:fldChar w:fldCharType="separate"/>
      </w:r>
      <w:r w:rsidR="00926392" w:rsidRPr="00926392">
        <w:rPr>
          <w:noProof/>
          <w:kern w:val="0"/>
        </w:rPr>
        <w:t xml:space="preserve">Aditjandra, P. T., Cao, X. (Jason), &amp; Mulley, C. (2012). Understanding neighbourhood design impact on travel behaviour: An application of structural equations model to a British metropolitan data. </w:t>
      </w:r>
      <w:r w:rsidR="00926392" w:rsidRPr="00926392">
        <w:rPr>
          <w:i/>
          <w:iCs/>
          <w:noProof/>
          <w:kern w:val="0"/>
        </w:rPr>
        <w:t>Transportation Research Part A: Policy and Practice</w:t>
      </w:r>
      <w:r w:rsidR="00926392" w:rsidRPr="00926392">
        <w:rPr>
          <w:noProof/>
          <w:kern w:val="0"/>
        </w:rPr>
        <w:t xml:space="preserve">, </w:t>
      </w:r>
      <w:r w:rsidR="00926392" w:rsidRPr="00926392">
        <w:rPr>
          <w:i/>
          <w:iCs/>
          <w:noProof/>
          <w:kern w:val="0"/>
        </w:rPr>
        <w:t>46</w:t>
      </w:r>
      <w:r w:rsidR="00926392" w:rsidRPr="00926392">
        <w:rPr>
          <w:noProof/>
          <w:kern w:val="0"/>
        </w:rPr>
        <w:t>(1), 22–32. https://doi.org/10.1016/j.tra.2011.09.001</w:t>
      </w:r>
    </w:p>
    <w:p w14:paraId="02327D91"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Asfarilla, V., &amp; Agustiananda, P. A. P. (2020). The influence of “sense of place” on the formation of the city image of the riverside historic urban district (Case study of Kampung Bandar, Senapelan, Pekanbaru). </w:t>
      </w:r>
      <w:r w:rsidRPr="00926392">
        <w:rPr>
          <w:i/>
          <w:iCs/>
          <w:noProof/>
          <w:kern w:val="0"/>
        </w:rPr>
        <w:t>IOP Conference Series: Earth and Environmental Science</w:t>
      </w:r>
      <w:r w:rsidRPr="00926392">
        <w:rPr>
          <w:noProof/>
          <w:kern w:val="0"/>
        </w:rPr>
        <w:t xml:space="preserve">, </w:t>
      </w:r>
      <w:r w:rsidRPr="00926392">
        <w:rPr>
          <w:i/>
          <w:iCs/>
          <w:noProof/>
          <w:kern w:val="0"/>
        </w:rPr>
        <w:t>447</w:t>
      </w:r>
      <w:r w:rsidRPr="00926392">
        <w:rPr>
          <w:noProof/>
          <w:kern w:val="0"/>
        </w:rPr>
        <w:t>, 012045. https://doi.org/10.1088/1755-1315/447/1/012045</w:t>
      </w:r>
    </w:p>
    <w:p w14:paraId="6607E83C"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Bafna, S. (2003). Space syntax: A brief introduction to its logic and analytical techniques. </w:t>
      </w:r>
      <w:r w:rsidRPr="00926392">
        <w:rPr>
          <w:i/>
          <w:iCs/>
          <w:noProof/>
          <w:kern w:val="0"/>
        </w:rPr>
        <w:t>Environment and Behavior</w:t>
      </w:r>
      <w:r w:rsidRPr="00926392">
        <w:rPr>
          <w:noProof/>
          <w:kern w:val="0"/>
        </w:rPr>
        <w:t xml:space="preserve">, </w:t>
      </w:r>
      <w:r w:rsidRPr="00926392">
        <w:rPr>
          <w:i/>
          <w:iCs/>
          <w:noProof/>
          <w:kern w:val="0"/>
        </w:rPr>
        <w:t>35</w:t>
      </w:r>
      <w:r w:rsidRPr="00926392">
        <w:rPr>
          <w:noProof/>
          <w:kern w:val="0"/>
        </w:rPr>
        <w:t>(1), 17–29. https://doi.org/10.1177/0013916502238863</w:t>
      </w:r>
    </w:p>
    <w:p w14:paraId="5865275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Bahrini, F., Bell, S., &amp; Mokhtarzadeh, S. (2017). The relationship between the distribution and use patterns of parks and their spatial accessibility at the city level: A case study from Tehran, Iran. </w:t>
      </w:r>
      <w:r w:rsidRPr="00926392">
        <w:rPr>
          <w:i/>
          <w:iCs/>
          <w:noProof/>
          <w:kern w:val="0"/>
        </w:rPr>
        <w:t>Urban Forestry and Urban Greening</w:t>
      </w:r>
      <w:r w:rsidRPr="00926392">
        <w:rPr>
          <w:noProof/>
          <w:kern w:val="0"/>
        </w:rPr>
        <w:t xml:space="preserve">, </w:t>
      </w:r>
      <w:r w:rsidRPr="00926392">
        <w:rPr>
          <w:i/>
          <w:iCs/>
          <w:noProof/>
          <w:kern w:val="0"/>
        </w:rPr>
        <w:t>27</w:t>
      </w:r>
      <w:r w:rsidRPr="00926392">
        <w:rPr>
          <w:noProof/>
          <w:kern w:val="0"/>
        </w:rPr>
        <w:t>(July), 332–342. https://doi.org/10.1016/j.ufug.2017.05.018</w:t>
      </w:r>
    </w:p>
    <w:p w14:paraId="3BA3AB92"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Beyer, K. M. M., Kaltenbach, A., Szabo, A., Bogar, S., Javier Nieto, F., &amp; Malecki, K. M. (2014). Exposure to neighborhood green space and mental health: Evidence from the survey of the health of wisconsin. </w:t>
      </w:r>
      <w:r w:rsidRPr="00926392">
        <w:rPr>
          <w:i/>
          <w:iCs/>
          <w:noProof/>
          <w:kern w:val="0"/>
        </w:rPr>
        <w:t>International Journal of Environmental Research and Public Health</w:t>
      </w:r>
      <w:r w:rsidRPr="00926392">
        <w:rPr>
          <w:noProof/>
          <w:kern w:val="0"/>
        </w:rPr>
        <w:t xml:space="preserve">, </w:t>
      </w:r>
      <w:r w:rsidRPr="00926392">
        <w:rPr>
          <w:i/>
          <w:iCs/>
          <w:noProof/>
          <w:kern w:val="0"/>
        </w:rPr>
        <w:t>11</w:t>
      </w:r>
      <w:r w:rsidRPr="00926392">
        <w:rPr>
          <w:noProof/>
          <w:kern w:val="0"/>
        </w:rPr>
        <w:t>(3), 3453–3472. https://doi.org/10.3390/ijerph110303453</w:t>
      </w:r>
    </w:p>
    <w:p w14:paraId="10F9CDE5"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Bolten, N., Mukherjee, S., Sipeeva, V., Tanweer, A., &amp; Caspi, A. (2017). A pedestrian-centered data approach for equitable access to urban infrastructure environments. </w:t>
      </w:r>
      <w:r w:rsidRPr="00926392">
        <w:rPr>
          <w:i/>
          <w:iCs/>
          <w:noProof/>
          <w:kern w:val="0"/>
        </w:rPr>
        <w:t>IBM Journal of Research and Development</w:t>
      </w:r>
      <w:r w:rsidRPr="00926392">
        <w:rPr>
          <w:noProof/>
          <w:kern w:val="0"/>
        </w:rPr>
        <w:t xml:space="preserve">, </w:t>
      </w:r>
      <w:r w:rsidRPr="00926392">
        <w:rPr>
          <w:i/>
          <w:iCs/>
          <w:noProof/>
          <w:kern w:val="0"/>
        </w:rPr>
        <w:t>61</w:t>
      </w:r>
      <w:r w:rsidRPr="00926392">
        <w:rPr>
          <w:noProof/>
          <w:kern w:val="0"/>
        </w:rPr>
        <w:t>(6), 10:1-10:12. https://doi.org/10.1147/JRD.2017.2736279</w:t>
      </w:r>
    </w:p>
    <w:p w14:paraId="5A5C731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Borzacchiello, M. T., Nijkamp, P., &amp; Koomen, E. (2010). Accessibility and Urban Development: A Grid-Based Comparative Statistical Analysis of Dutch Cities. </w:t>
      </w:r>
      <w:r w:rsidRPr="00926392">
        <w:rPr>
          <w:i/>
          <w:iCs/>
          <w:noProof/>
          <w:kern w:val="0"/>
        </w:rPr>
        <w:t>Environment and Planning B: Planning and Design</w:t>
      </w:r>
      <w:r w:rsidRPr="00926392">
        <w:rPr>
          <w:noProof/>
          <w:kern w:val="0"/>
        </w:rPr>
        <w:t xml:space="preserve">, </w:t>
      </w:r>
      <w:r w:rsidRPr="00926392">
        <w:rPr>
          <w:i/>
          <w:iCs/>
          <w:noProof/>
          <w:kern w:val="0"/>
        </w:rPr>
        <w:t>37</w:t>
      </w:r>
      <w:r w:rsidRPr="00926392">
        <w:rPr>
          <w:noProof/>
          <w:kern w:val="0"/>
        </w:rPr>
        <w:t>(1), 148–169. https://doi.org/10.1068/b34126</w:t>
      </w:r>
    </w:p>
    <w:p w14:paraId="27B88D08"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Borzacchiello, M. T., Nijkamp, P., &amp; Scholten, H. J. (2009). A logistic regression model for explaining urban development on the basis of accessibility: A case study of Naples. </w:t>
      </w:r>
      <w:r w:rsidRPr="00926392">
        <w:rPr>
          <w:i/>
          <w:iCs/>
          <w:noProof/>
          <w:kern w:val="0"/>
        </w:rPr>
        <w:t>International Journal of Environment and Sustainable Development</w:t>
      </w:r>
      <w:r w:rsidRPr="00926392">
        <w:rPr>
          <w:noProof/>
          <w:kern w:val="0"/>
        </w:rPr>
        <w:t xml:space="preserve">, </w:t>
      </w:r>
      <w:r w:rsidRPr="00926392">
        <w:rPr>
          <w:i/>
          <w:iCs/>
          <w:noProof/>
          <w:kern w:val="0"/>
        </w:rPr>
        <w:t>8</w:t>
      </w:r>
      <w:r w:rsidRPr="00926392">
        <w:rPr>
          <w:noProof/>
          <w:kern w:val="0"/>
        </w:rPr>
        <w:t>(3–4), 300–313. https://doi.org/10.1504/ijesd.2009.024633</w:t>
      </w:r>
    </w:p>
    <w:p w14:paraId="6E07248D"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Brown, R. D., Vanos, J., Kenny, N., &amp; Lenzholzer, S. (2015). Designing urban parks that ameliorate the effects of climate change. </w:t>
      </w:r>
      <w:r w:rsidRPr="00926392">
        <w:rPr>
          <w:i/>
          <w:iCs/>
          <w:noProof/>
          <w:kern w:val="0"/>
        </w:rPr>
        <w:t>Landscape and Urban Planning</w:t>
      </w:r>
      <w:r w:rsidRPr="00926392">
        <w:rPr>
          <w:noProof/>
          <w:kern w:val="0"/>
        </w:rPr>
        <w:t xml:space="preserve">, </w:t>
      </w:r>
      <w:r w:rsidRPr="00926392">
        <w:rPr>
          <w:i/>
          <w:iCs/>
          <w:noProof/>
          <w:kern w:val="0"/>
        </w:rPr>
        <w:t>138</w:t>
      </w:r>
      <w:r w:rsidRPr="00926392">
        <w:rPr>
          <w:noProof/>
          <w:kern w:val="0"/>
        </w:rPr>
        <w:t>, 118–131. https://doi.org/10.1016/j.landurbplan.2015.02.006</w:t>
      </w:r>
    </w:p>
    <w:p w14:paraId="23121B5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Browning, M. H. E. M., Rigolon, A., McAnirlin, O., &amp; Yoon, H. (Violet). (2022). Where greenspace matters most: A systematic review of urbanicity, greenspace, </w:t>
      </w:r>
      <w:r w:rsidRPr="00926392">
        <w:rPr>
          <w:noProof/>
          <w:kern w:val="0"/>
        </w:rPr>
        <w:lastRenderedPageBreak/>
        <w:t xml:space="preserve">and physical health. </w:t>
      </w:r>
      <w:r w:rsidRPr="00926392">
        <w:rPr>
          <w:i/>
          <w:iCs/>
          <w:noProof/>
          <w:kern w:val="0"/>
        </w:rPr>
        <w:t>Landscape and Urban Planning</w:t>
      </w:r>
      <w:r w:rsidRPr="00926392">
        <w:rPr>
          <w:noProof/>
          <w:kern w:val="0"/>
        </w:rPr>
        <w:t xml:space="preserve">, </w:t>
      </w:r>
      <w:r w:rsidRPr="00926392">
        <w:rPr>
          <w:i/>
          <w:iCs/>
          <w:noProof/>
          <w:kern w:val="0"/>
        </w:rPr>
        <w:t>217</w:t>
      </w:r>
      <w:r w:rsidRPr="00926392">
        <w:rPr>
          <w:noProof/>
          <w:kern w:val="0"/>
        </w:rPr>
        <w:t>, 104233. https://doi.org/10.1016/J.LANDURBPLAN.2021.104233</w:t>
      </w:r>
    </w:p>
    <w:p w14:paraId="08B0155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Chen, H., Qiu, L., &amp; Gao, T. (2018). Application of the eight perceived sensory dimensions as a tool for urban green space assessment and planning in China. </w:t>
      </w:r>
      <w:r w:rsidRPr="00926392">
        <w:rPr>
          <w:i/>
          <w:iCs/>
          <w:noProof/>
          <w:kern w:val="0"/>
        </w:rPr>
        <w:t>Urban Forestry &amp; Urban Greening</w:t>
      </w:r>
      <w:r w:rsidRPr="00926392">
        <w:rPr>
          <w:noProof/>
          <w:kern w:val="0"/>
        </w:rPr>
        <w:t xml:space="preserve">, </w:t>
      </w:r>
      <w:r w:rsidRPr="00926392">
        <w:rPr>
          <w:i/>
          <w:iCs/>
          <w:noProof/>
          <w:kern w:val="0"/>
        </w:rPr>
        <w:t>40</w:t>
      </w:r>
      <w:r w:rsidRPr="00926392">
        <w:rPr>
          <w:noProof/>
          <w:kern w:val="0"/>
        </w:rPr>
        <w:t>, 224–235. https://doi.org/10.1016/j.ufug.2018.10.001</w:t>
      </w:r>
    </w:p>
    <w:p w14:paraId="662FE660"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Cheng, H., Liu, Y., He, S., &amp; Shaw, D. (2017). From development zones to edge urban areas in China: A case study of Nansha, Guangzhou City. </w:t>
      </w:r>
      <w:r w:rsidRPr="00926392">
        <w:rPr>
          <w:i/>
          <w:iCs/>
          <w:noProof/>
          <w:kern w:val="0"/>
        </w:rPr>
        <w:t>Cities</w:t>
      </w:r>
      <w:r w:rsidRPr="00926392">
        <w:rPr>
          <w:noProof/>
          <w:kern w:val="0"/>
        </w:rPr>
        <w:t xml:space="preserve">, </w:t>
      </w:r>
      <w:r w:rsidRPr="00926392">
        <w:rPr>
          <w:i/>
          <w:iCs/>
          <w:noProof/>
          <w:kern w:val="0"/>
        </w:rPr>
        <w:t>71</w:t>
      </w:r>
      <w:r w:rsidRPr="00926392">
        <w:rPr>
          <w:noProof/>
          <w:kern w:val="0"/>
        </w:rPr>
        <w:t>, 110–122. https://doi.org/10.1016/j.cities.2017.07.015</w:t>
      </w:r>
    </w:p>
    <w:p w14:paraId="56A5D20E"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Cooper, C. H. V., &amp; Chiaradia, A. J. F. (2020). sDNA: 3-d spatial network analysis for GIS, CAD, Command Line &amp; Python. </w:t>
      </w:r>
      <w:r w:rsidRPr="00926392">
        <w:rPr>
          <w:i/>
          <w:iCs/>
          <w:noProof/>
          <w:kern w:val="0"/>
        </w:rPr>
        <w:t>SoftwareX</w:t>
      </w:r>
      <w:r w:rsidRPr="00926392">
        <w:rPr>
          <w:noProof/>
          <w:kern w:val="0"/>
        </w:rPr>
        <w:t xml:space="preserve">, </w:t>
      </w:r>
      <w:r w:rsidRPr="00926392">
        <w:rPr>
          <w:i/>
          <w:iCs/>
          <w:noProof/>
          <w:kern w:val="0"/>
        </w:rPr>
        <w:t>12</w:t>
      </w:r>
      <w:r w:rsidRPr="00926392">
        <w:rPr>
          <w:noProof/>
          <w:kern w:val="0"/>
        </w:rPr>
        <w:t>, 100525. https://doi.org/10.1016/j.softx.2020.100525</w:t>
      </w:r>
    </w:p>
    <w:p w14:paraId="3278537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Cooper, C. H. V. (2015). Spatial localization of closeness and betweenness measures: a self-contradictory but useful form of network analysis. </w:t>
      </w:r>
      <w:r w:rsidRPr="00926392">
        <w:rPr>
          <w:i/>
          <w:iCs/>
          <w:noProof/>
          <w:kern w:val="0"/>
        </w:rPr>
        <w:t>International Journal of Geographical Information Science</w:t>
      </w:r>
      <w:r w:rsidRPr="00926392">
        <w:rPr>
          <w:noProof/>
          <w:kern w:val="0"/>
        </w:rPr>
        <w:t xml:space="preserve">, </w:t>
      </w:r>
      <w:r w:rsidRPr="00926392">
        <w:rPr>
          <w:i/>
          <w:iCs/>
          <w:noProof/>
          <w:kern w:val="0"/>
        </w:rPr>
        <w:t>29</w:t>
      </w:r>
      <w:r w:rsidRPr="00926392">
        <w:rPr>
          <w:noProof/>
          <w:kern w:val="0"/>
        </w:rPr>
        <w:t>(8), 1293–1309. https://doi.org/10.1080/13658816.2015.1018834</w:t>
      </w:r>
    </w:p>
    <w:p w14:paraId="4D275AD8"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Dalton, R. C. (2002). Is Spatial Intelligibility Critical to the Design of Large-scale Virtual Environments? </w:t>
      </w:r>
      <w:r w:rsidRPr="00926392">
        <w:rPr>
          <w:i/>
          <w:iCs/>
          <w:noProof/>
          <w:kern w:val="0"/>
        </w:rPr>
        <w:t>International Journal of Design Computing</w:t>
      </w:r>
      <w:r w:rsidRPr="00926392">
        <w:rPr>
          <w:noProof/>
          <w:kern w:val="0"/>
        </w:rPr>
        <w:t xml:space="preserve">, </w:t>
      </w:r>
      <w:r w:rsidRPr="00926392">
        <w:rPr>
          <w:i/>
          <w:iCs/>
          <w:noProof/>
          <w:kern w:val="0"/>
        </w:rPr>
        <w:t>4</w:t>
      </w:r>
      <w:r w:rsidRPr="00926392">
        <w:rPr>
          <w:noProof/>
          <w:kern w:val="0"/>
        </w:rPr>
        <w:t>.</w:t>
      </w:r>
    </w:p>
    <w:p w14:paraId="79D4DD0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Dalton, R. C., &amp; Bafna, S. (2003). The syntactical image of the city: A reciprocal definition of spatial elements and spatial syntaxes. </w:t>
      </w:r>
      <w:r w:rsidRPr="00926392">
        <w:rPr>
          <w:i/>
          <w:iCs/>
          <w:noProof/>
          <w:kern w:val="0"/>
        </w:rPr>
        <w:t>4th International Space Syntax Symposium</w:t>
      </w:r>
      <w:r w:rsidRPr="00926392">
        <w:rPr>
          <w:noProof/>
          <w:kern w:val="0"/>
        </w:rPr>
        <w:t>. Retrieved from http://nrl.northumbria.ac.uk/3909/</w:t>
      </w:r>
    </w:p>
    <w:p w14:paraId="7630E142"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Daniels, B., Zaunbrecher, B. S., Paas, B., Ottermanns, R., Ziefle, M., &amp; Roß-Nickoll, M. (2017). Assessment of urban green space structures and their quality from a multidimensional perspective. </w:t>
      </w:r>
      <w:r w:rsidRPr="00926392">
        <w:rPr>
          <w:i/>
          <w:iCs/>
          <w:noProof/>
          <w:kern w:val="0"/>
        </w:rPr>
        <w:t>Science of the Total Environment</w:t>
      </w:r>
      <w:r w:rsidRPr="00926392">
        <w:rPr>
          <w:noProof/>
          <w:kern w:val="0"/>
        </w:rPr>
        <w:t xml:space="preserve">, </w:t>
      </w:r>
      <w:r w:rsidRPr="00926392">
        <w:rPr>
          <w:i/>
          <w:iCs/>
          <w:noProof/>
          <w:kern w:val="0"/>
        </w:rPr>
        <w:t>615</w:t>
      </w:r>
      <w:r w:rsidRPr="00926392">
        <w:rPr>
          <w:noProof/>
          <w:kern w:val="0"/>
        </w:rPr>
        <w:t>, 1364–1378. https://doi.org/10.1016/j.scitotenv.2017.09.167</w:t>
      </w:r>
    </w:p>
    <w:p w14:paraId="4C3EA15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Deng, Z., Chen, D., Qin, X., &amp; Wang, S. (2021). Comprehensive assessment to residents’ perceptions to historic urban center in megacity: a case study of Yuexiu District, Guangzhou, China. </w:t>
      </w:r>
      <w:r w:rsidRPr="00926392">
        <w:rPr>
          <w:i/>
          <w:iCs/>
          <w:noProof/>
          <w:kern w:val="0"/>
        </w:rPr>
        <w:t>Journal of Asian Architecture and Building Engineering</w:t>
      </w:r>
      <w:r w:rsidRPr="00926392">
        <w:rPr>
          <w:noProof/>
          <w:kern w:val="0"/>
        </w:rPr>
        <w:t>. https://doi.org/10.1080/13467581.2021.1942000</w:t>
      </w:r>
    </w:p>
    <w:p w14:paraId="19BFF33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Dettlaff, W. (2014). Space syntax analysis-methodology of understanding the space. </w:t>
      </w:r>
      <w:r w:rsidRPr="00926392">
        <w:rPr>
          <w:i/>
          <w:iCs/>
          <w:noProof/>
          <w:kern w:val="0"/>
        </w:rPr>
        <w:t>PhD Interdisciplinary Journal</w:t>
      </w:r>
      <w:r w:rsidRPr="00926392">
        <w:rPr>
          <w:noProof/>
          <w:kern w:val="0"/>
        </w:rPr>
        <w:t>, 283–291.</w:t>
      </w:r>
    </w:p>
    <w:p w14:paraId="73E1C3A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Hajrasouliha, A., &amp; Yin, L. (2015). The impact of street network connectivity on pedestrian volume. </w:t>
      </w:r>
      <w:r w:rsidRPr="00926392">
        <w:rPr>
          <w:i/>
          <w:iCs/>
          <w:noProof/>
          <w:kern w:val="0"/>
        </w:rPr>
        <w:t>Urban Studies</w:t>
      </w:r>
      <w:r w:rsidRPr="00926392">
        <w:rPr>
          <w:noProof/>
          <w:kern w:val="0"/>
        </w:rPr>
        <w:t xml:space="preserve">, </w:t>
      </w:r>
      <w:r w:rsidRPr="00926392">
        <w:rPr>
          <w:i/>
          <w:iCs/>
          <w:noProof/>
          <w:kern w:val="0"/>
        </w:rPr>
        <w:t>52</w:t>
      </w:r>
      <w:r w:rsidRPr="00926392">
        <w:rPr>
          <w:noProof/>
          <w:kern w:val="0"/>
        </w:rPr>
        <w:t>(13), 2483–2497. https://doi.org/10.1177/0042098014544763</w:t>
      </w:r>
    </w:p>
    <w:p w14:paraId="371B5BCC"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 Penn, A., Hanson, J., Grajewski, T., &amp; Xu, J. (1993). Natural movement: or, configuration and attraction in urban pedestrian movement. </w:t>
      </w:r>
      <w:r w:rsidRPr="00926392">
        <w:rPr>
          <w:i/>
          <w:iCs/>
          <w:noProof/>
          <w:kern w:val="0"/>
        </w:rPr>
        <w:t>Environment &amp; Planning B: Planning &amp; Design</w:t>
      </w:r>
      <w:r w:rsidRPr="00926392">
        <w:rPr>
          <w:noProof/>
          <w:kern w:val="0"/>
        </w:rPr>
        <w:t xml:space="preserve">, </w:t>
      </w:r>
      <w:r w:rsidRPr="00926392">
        <w:rPr>
          <w:i/>
          <w:iCs/>
          <w:noProof/>
          <w:kern w:val="0"/>
        </w:rPr>
        <w:t>20</w:t>
      </w:r>
      <w:r w:rsidRPr="00926392">
        <w:rPr>
          <w:noProof/>
          <w:kern w:val="0"/>
        </w:rPr>
        <w:t>(1), 29–66. https://doi.org/10.1068/b200029</w:t>
      </w:r>
    </w:p>
    <w:p w14:paraId="2F9D6645"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Bi11, Hanson, J., &amp; Peponis, J. (1984). What do we mean by building </w:t>
      </w:r>
      <w:r w:rsidRPr="00926392">
        <w:rPr>
          <w:noProof/>
          <w:kern w:val="0"/>
        </w:rPr>
        <w:lastRenderedPageBreak/>
        <w:t xml:space="preserve">function? In </w:t>
      </w:r>
      <w:r w:rsidRPr="00926392">
        <w:rPr>
          <w:i/>
          <w:iCs/>
          <w:noProof/>
          <w:kern w:val="0"/>
        </w:rPr>
        <w:t>Designing for building utilisation</w:t>
      </w:r>
      <w:r w:rsidRPr="00926392">
        <w:rPr>
          <w:noProof/>
          <w:kern w:val="0"/>
        </w:rPr>
        <w:t xml:space="preserve"> (pp. 61–72). E &amp; F.N. Spon Ltd: London, UK.</w:t>
      </w:r>
    </w:p>
    <w:p w14:paraId="446931A5"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(1996). </w:t>
      </w:r>
      <w:r w:rsidRPr="00926392">
        <w:rPr>
          <w:i/>
          <w:iCs/>
          <w:noProof/>
          <w:kern w:val="0"/>
        </w:rPr>
        <w:t>Space is the machine: a configurational theory of architecture</w:t>
      </w:r>
      <w:r w:rsidRPr="00926392">
        <w:rPr>
          <w:noProof/>
          <w:kern w:val="0"/>
        </w:rPr>
        <w:t>. Cambridge: Cambridge University Press.</w:t>
      </w:r>
    </w:p>
    <w:p w14:paraId="12A252D9"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(2012). The city as a socio-technical system: A spatial reformulation in the light of the levels problem and the parallel problem. In </w:t>
      </w:r>
      <w:r w:rsidRPr="00926392">
        <w:rPr>
          <w:i/>
          <w:iCs/>
          <w:noProof/>
          <w:kern w:val="0"/>
        </w:rPr>
        <w:t>Digital Urban Modeling and Simulation</w:t>
      </w:r>
      <w:r w:rsidRPr="00926392">
        <w:rPr>
          <w:noProof/>
          <w:kern w:val="0"/>
        </w:rPr>
        <w:t xml:space="preserve"> (pp. 24–48). Retrieved from www.spacesyntax.org</w:t>
      </w:r>
    </w:p>
    <w:p w14:paraId="78510261"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Burdeau, R., Peponis, J., &amp; Penn, A. (1987). Creating life: or, does architecture determine anything? </w:t>
      </w:r>
      <w:r w:rsidRPr="00926392">
        <w:rPr>
          <w:i/>
          <w:iCs/>
          <w:noProof/>
          <w:kern w:val="0"/>
        </w:rPr>
        <w:t>Architecture et Comportement/Architecture and Behaviour</w:t>
      </w:r>
      <w:r w:rsidRPr="00926392">
        <w:rPr>
          <w:noProof/>
          <w:kern w:val="0"/>
        </w:rPr>
        <w:t xml:space="preserve">, </w:t>
      </w:r>
      <w:r w:rsidRPr="00926392">
        <w:rPr>
          <w:i/>
          <w:iCs/>
          <w:noProof/>
          <w:kern w:val="0"/>
        </w:rPr>
        <w:t>3</w:t>
      </w:r>
      <w:r w:rsidRPr="00926392">
        <w:rPr>
          <w:noProof/>
          <w:kern w:val="0"/>
        </w:rPr>
        <w:t>(3), 233–250.</w:t>
      </w:r>
    </w:p>
    <w:p w14:paraId="56D5423E"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&amp; Hanson, J. (1984). </w:t>
      </w:r>
      <w:r w:rsidRPr="00926392">
        <w:rPr>
          <w:i/>
          <w:iCs/>
          <w:noProof/>
          <w:kern w:val="0"/>
        </w:rPr>
        <w:t>The Social Logic of Space</w:t>
      </w:r>
      <w:r w:rsidRPr="00926392">
        <w:rPr>
          <w:noProof/>
          <w:kern w:val="0"/>
        </w:rPr>
        <w:t>. Cambridge University Press.</w:t>
      </w:r>
    </w:p>
    <w:p w14:paraId="4E5B19DE"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&amp; Iida, S. (2005). Network and psychological effects in urban movement. </w:t>
      </w:r>
      <w:r w:rsidRPr="00926392">
        <w:rPr>
          <w:i/>
          <w:iCs/>
          <w:noProof/>
          <w:kern w:val="0"/>
        </w:rPr>
        <w:t>International Conference on Spatial Information Theory</w:t>
      </w:r>
      <w:r w:rsidRPr="00926392">
        <w:rPr>
          <w:noProof/>
          <w:kern w:val="0"/>
        </w:rPr>
        <w:t>, 475–490. Retrieved from papers2://publication/uuid/51712050-C088-4BAE-B7A0-6A4372B28C46</w:t>
      </w:r>
    </w:p>
    <w:p w14:paraId="17FC2F38"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&amp; Vaughan, L. (2007). The City as One Thing. </w:t>
      </w:r>
      <w:r w:rsidRPr="00926392">
        <w:rPr>
          <w:i/>
          <w:iCs/>
          <w:noProof/>
          <w:kern w:val="0"/>
        </w:rPr>
        <w:t>Progress in Planning</w:t>
      </w:r>
      <w:r w:rsidRPr="00926392">
        <w:rPr>
          <w:noProof/>
          <w:kern w:val="0"/>
        </w:rPr>
        <w:t xml:space="preserve">, </w:t>
      </w:r>
      <w:r w:rsidRPr="00926392">
        <w:rPr>
          <w:i/>
          <w:iCs/>
          <w:noProof/>
          <w:kern w:val="0"/>
        </w:rPr>
        <w:t>67</w:t>
      </w:r>
      <w:r w:rsidRPr="00926392">
        <w:rPr>
          <w:noProof/>
          <w:kern w:val="0"/>
        </w:rPr>
        <w:t>(3), 205–230.</w:t>
      </w:r>
    </w:p>
    <w:p w14:paraId="40AC3B7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Hillier, Bill, Yang, T., &amp; Turner, A. (2012). Normalising least angle choice in Depthmap and how it opens up new perspectives on the global and local analysis of city space. </w:t>
      </w:r>
      <w:r w:rsidRPr="00926392">
        <w:rPr>
          <w:i/>
          <w:iCs/>
          <w:noProof/>
          <w:kern w:val="0"/>
        </w:rPr>
        <w:t>The Journal of Space Syntax</w:t>
      </w:r>
      <w:r w:rsidRPr="00926392">
        <w:rPr>
          <w:noProof/>
          <w:kern w:val="0"/>
        </w:rPr>
        <w:t xml:space="preserve">, </w:t>
      </w:r>
      <w:r w:rsidRPr="00926392">
        <w:rPr>
          <w:i/>
          <w:iCs/>
          <w:noProof/>
          <w:kern w:val="0"/>
        </w:rPr>
        <w:t>3</w:t>
      </w:r>
      <w:r w:rsidRPr="00926392">
        <w:rPr>
          <w:noProof/>
          <w:kern w:val="0"/>
        </w:rPr>
        <w:t>(2), 155–193. Retrieved from http://www.journalofspacesyntax.org/</w:t>
      </w:r>
    </w:p>
    <w:p w14:paraId="2A71AF41"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Huang, D., Lu, C., &amp; Wang, G. (2009). Integrated management of urban green space - The case in Guangzhou China. </w:t>
      </w:r>
      <w:r w:rsidRPr="00926392">
        <w:rPr>
          <w:i/>
          <w:iCs/>
          <w:noProof/>
          <w:kern w:val="0"/>
        </w:rPr>
        <w:t>45th ISOCARP Congress.</w:t>
      </w:r>
      <w:r w:rsidRPr="00926392">
        <w:rPr>
          <w:noProof/>
          <w:kern w:val="0"/>
        </w:rPr>
        <w:t>, 1–18.</w:t>
      </w:r>
    </w:p>
    <w:p w14:paraId="665D097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Jiang, B. (2009). Ranking spaces for predicting human movement in an urban environment. </w:t>
      </w:r>
      <w:r w:rsidRPr="00926392">
        <w:rPr>
          <w:i/>
          <w:iCs/>
          <w:noProof/>
          <w:kern w:val="0"/>
        </w:rPr>
        <w:t>International Journal of Geographical Information Science</w:t>
      </w:r>
      <w:r w:rsidRPr="00926392">
        <w:rPr>
          <w:noProof/>
          <w:kern w:val="0"/>
        </w:rPr>
        <w:t xml:space="preserve">, </w:t>
      </w:r>
      <w:r w:rsidRPr="00926392">
        <w:rPr>
          <w:i/>
          <w:iCs/>
          <w:noProof/>
          <w:kern w:val="0"/>
        </w:rPr>
        <w:t>23</w:t>
      </w:r>
      <w:r w:rsidRPr="00926392">
        <w:rPr>
          <w:noProof/>
          <w:kern w:val="0"/>
        </w:rPr>
        <w:t>(7), 823–837. https://doi.org/10.1080/13658810802022822</w:t>
      </w:r>
    </w:p>
    <w:p w14:paraId="1A41AEB8"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Jiang, B., &amp; Jia, T. (2011). Agent-based Simulation of Human Movement Shaped by the Underlying Street Structure. </w:t>
      </w:r>
      <w:r w:rsidRPr="00926392">
        <w:rPr>
          <w:i/>
          <w:iCs/>
          <w:noProof/>
          <w:kern w:val="0"/>
        </w:rPr>
        <w:t>International Journal of Geographical Information Science</w:t>
      </w:r>
      <w:r w:rsidRPr="00926392">
        <w:rPr>
          <w:noProof/>
          <w:kern w:val="0"/>
        </w:rPr>
        <w:t xml:space="preserve">, </w:t>
      </w:r>
      <w:r w:rsidRPr="00926392">
        <w:rPr>
          <w:i/>
          <w:iCs/>
          <w:noProof/>
          <w:kern w:val="0"/>
        </w:rPr>
        <w:t>25</w:t>
      </w:r>
      <w:r w:rsidRPr="00926392">
        <w:rPr>
          <w:noProof/>
          <w:kern w:val="0"/>
        </w:rPr>
        <w:t>(1), 51–64. Retrieved from http://eprints.ucl.ac.uk/1398/.</w:t>
      </w:r>
    </w:p>
    <w:p w14:paraId="64D8860F"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Jolliffe, I. T. (2002). </w:t>
      </w:r>
      <w:r w:rsidRPr="00926392">
        <w:rPr>
          <w:i/>
          <w:iCs/>
          <w:noProof/>
          <w:kern w:val="0"/>
        </w:rPr>
        <w:t>Principal Component Analysis</w:t>
      </w:r>
      <w:r w:rsidRPr="00926392">
        <w:rPr>
          <w:noProof/>
          <w:kern w:val="0"/>
        </w:rPr>
        <w:t>. Springer.</w:t>
      </w:r>
    </w:p>
    <w:p w14:paraId="619BD6A6"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Kassambara, A. (2017). </w:t>
      </w:r>
      <w:r w:rsidRPr="00926392">
        <w:rPr>
          <w:i/>
          <w:iCs/>
          <w:noProof/>
          <w:kern w:val="0"/>
        </w:rPr>
        <w:t>Multivariate analysis II: Practical Guide To Principal Component Methods in R: PCA, M (CA), FAMD, MFA, HCPC, factoextra</w:t>
      </w:r>
      <w:r w:rsidRPr="00926392">
        <w:rPr>
          <w:noProof/>
          <w:kern w:val="0"/>
        </w:rPr>
        <w:t>. Retrieved from http://www.analyticsvidhya.com/blog/2016/03/practical-guide-principal-component-analysis-python/</w:t>
      </w:r>
    </w:p>
    <w:p w14:paraId="3286790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Koohsari, M. J., Kaczynski, A. T., Mcormack, G. R., &amp; Sugiyama, T. (2014). Using Space Syntax to Assess the Built Environment for Physical Activity: Applications to Research on Parks and Public Open Spaces. </w:t>
      </w:r>
      <w:r w:rsidRPr="00926392">
        <w:rPr>
          <w:i/>
          <w:iCs/>
          <w:noProof/>
          <w:kern w:val="0"/>
        </w:rPr>
        <w:t>Leisure Sciences</w:t>
      </w:r>
      <w:r w:rsidRPr="00926392">
        <w:rPr>
          <w:noProof/>
          <w:kern w:val="0"/>
        </w:rPr>
        <w:t xml:space="preserve">, </w:t>
      </w:r>
      <w:r w:rsidRPr="00926392">
        <w:rPr>
          <w:i/>
          <w:iCs/>
          <w:noProof/>
          <w:kern w:val="0"/>
        </w:rPr>
        <w:t>36</w:t>
      </w:r>
      <w:r w:rsidRPr="00926392">
        <w:rPr>
          <w:noProof/>
          <w:kern w:val="0"/>
        </w:rPr>
        <w:t>(2), 206–216. https://doi.org/10.1080/01490400.2013.856722</w:t>
      </w:r>
    </w:p>
    <w:p w14:paraId="6BDE738F"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lastRenderedPageBreak/>
        <w:t xml:space="preserve">Koohsari, M. J., Oka, K., Owen, N., &amp; Sugiyama, T. (2019). Natural movement: A space syntax theory linking urban form and function with walking for transport. </w:t>
      </w:r>
      <w:r w:rsidRPr="00926392">
        <w:rPr>
          <w:i/>
          <w:iCs/>
          <w:noProof/>
          <w:kern w:val="0"/>
        </w:rPr>
        <w:t>Health and Place</w:t>
      </w:r>
      <w:r w:rsidRPr="00926392">
        <w:rPr>
          <w:noProof/>
          <w:kern w:val="0"/>
        </w:rPr>
        <w:t xml:space="preserve">, </w:t>
      </w:r>
      <w:r w:rsidRPr="00926392">
        <w:rPr>
          <w:i/>
          <w:iCs/>
          <w:noProof/>
          <w:kern w:val="0"/>
        </w:rPr>
        <w:t>58</w:t>
      </w:r>
      <w:r w:rsidRPr="00926392">
        <w:rPr>
          <w:noProof/>
          <w:kern w:val="0"/>
        </w:rPr>
        <w:t>(January), 102072. https://doi.org/10.1016/j.healthplace.2019.01.002</w:t>
      </w:r>
    </w:p>
    <w:p w14:paraId="5004299D"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Labib, S. M., Huck, J. J., &amp; Lindley, S. (2021). Modelling and mapping eye-level greenness visibility exposure using multi-source data at high spatial resolutions. </w:t>
      </w:r>
      <w:r w:rsidRPr="00926392">
        <w:rPr>
          <w:i/>
          <w:iCs/>
          <w:noProof/>
          <w:kern w:val="0"/>
        </w:rPr>
        <w:t>Science of the Total Environment</w:t>
      </w:r>
      <w:r w:rsidRPr="00926392">
        <w:rPr>
          <w:noProof/>
          <w:kern w:val="0"/>
        </w:rPr>
        <w:t xml:space="preserve">, </w:t>
      </w:r>
      <w:r w:rsidRPr="00926392">
        <w:rPr>
          <w:i/>
          <w:iCs/>
          <w:noProof/>
          <w:kern w:val="0"/>
        </w:rPr>
        <w:t>755</w:t>
      </w:r>
      <w:r w:rsidRPr="00926392">
        <w:rPr>
          <w:noProof/>
          <w:kern w:val="0"/>
        </w:rPr>
        <w:t>, 143050. https://doi.org/10.1016/j.scitotenv.2020.143050</w:t>
      </w:r>
    </w:p>
    <w:p w14:paraId="4ABD3ED5"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Larkin, A., &amp; Hystad, P. (2019). Evaluating street view exposure measures of visible green space for health research. </w:t>
      </w:r>
      <w:r w:rsidRPr="00926392">
        <w:rPr>
          <w:i/>
          <w:iCs/>
          <w:noProof/>
          <w:kern w:val="0"/>
        </w:rPr>
        <w:t>Journal of Exposure Science and Environmental Epidemiology</w:t>
      </w:r>
      <w:r w:rsidRPr="00926392">
        <w:rPr>
          <w:noProof/>
          <w:kern w:val="0"/>
        </w:rPr>
        <w:t xml:space="preserve">, </w:t>
      </w:r>
      <w:r w:rsidRPr="00926392">
        <w:rPr>
          <w:i/>
          <w:iCs/>
          <w:noProof/>
          <w:kern w:val="0"/>
        </w:rPr>
        <w:t>29</w:t>
      </w:r>
      <w:r w:rsidRPr="00926392">
        <w:rPr>
          <w:noProof/>
          <w:kern w:val="0"/>
        </w:rPr>
        <w:t>(4), 447–456. https://doi.org/10.1038/s41370-018-0017-1</w:t>
      </w:r>
    </w:p>
    <w:p w14:paraId="5920403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Le Texier, M., Schiel, K., &amp; Caruso, G. (2018). The provision of urban green space and its accessibility: Spatial data effects in Brussels. </w:t>
      </w:r>
      <w:r w:rsidRPr="00926392">
        <w:rPr>
          <w:i/>
          <w:iCs/>
          <w:noProof/>
          <w:kern w:val="0"/>
        </w:rPr>
        <w:t>PloS One</w:t>
      </w:r>
      <w:r w:rsidRPr="00926392">
        <w:rPr>
          <w:noProof/>
          <w:kern w:val="0"/>
        </w:rPr>
        <w:t xml:space="preserve">, </w:t>
      </w:r>
      <w:r w:rsidRPr="00926392">
        <w:rPr>
          <w:i/>
          <w:iCs/>
          <w:noProof/>
          <w:kern w:val="0"/>
        </w:rPr>
        <w:t>13</w:t>
      </w:r>
      <w:r w:rsidRPr="00926392">
        <w:rPr>
          <w:noProof/>
          <w:kern w:val="0"/>
        </w:rPr>
        <w:t>(10), e0204684. https://doi.org/10.1371/journal.pone.0204684</w:t>
      </w:r>
    </w:p>
    <w:p w14:paraId="454BE807"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Lerman, Y., Rofè, Y., &amp; Omer, I. (2014). Using Space Syntax to Model Pedestrian Movement in Urban Transportation Planning. </w:t>
      </w:r>
      <w:r w:rsidRPr="00926392">
        <w:rPr>
          <w:i/>
          <w:iCs/>
          <w:noProof/>
          <w:kern w:val="0"/>
        </w:rPr>
        <w:t>Geographical Analysis</w:t>
      </w:r>
      <w:r w:rsidRPr="00926392">
        <w:rPr>
          <w:noProof/>
          <w:kern w:val="0"/>
        </w:rPr>
        <w:t xml:space="preserve">, </w:t>
      </w:r>
      <w:r w:rsidRPr="00926392">
        <w:rPr>
          <w:i/>
          <w:iCs/>
          <w:noProof/>
          <w:kern w:val="0"/>
        </w:rPr>
        <w:t>46</w:t>
      </w:r>
      <w:r w:rsidRPr="00926392">
        <w:rPr>
          <w:noProof/>
          <w:kern w:val="0"/>
        </w:rPr>
        <w:t>(4), 392–410. https://doi.org/10.1111/gean.12063</w:t>
      </w:r>
    </w:p>
    <w:p w14:paraId="0C1125E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Leyden, K., &amp; Lipps, B. (2018). Creating people-friendly cities in a data rich world : towards smarter and more liveable places. </w:t>
      </w:r>
      <w:r w:rsidRPr="00926392">
        <w:rPr>
          <w:i/>
          <w:iCs/>
          <w:noProof/>
          <w:kern w:val="0"/>
        </w:rPr>
        <w:t>The Journal of Public Space</w:t>
      </w:r>
      <w:r w:rsidRPr="00926392">
        <w:rPr>
          <w:noProof/>
          <w:kern w:val="0"/>
        </w:rPr>
        <w:t xml:space="preserve">, </w:t>
      </w:r>
      <w:r w:rsidRPr="00926392">
        <w:rPr>
          <w:i/>
          <w:iCs/>
          <w:noProof/>
          <w:kern w:val="0"/>
        </w:rPr>
        <w:t>3</w:t>
      </w:r>
      <w:r w:rsidRPr="00926392">
        <w:rPr>
          <w:noProof/>
          <w:kern w:val="0"/>
        </w:rPr>
        <w:t>(3), 103–120. https://doi.org/10.32891/jps.v3i3.312</w:t>
      </w:r>
    </w:p>
    <w:p w14:paraId="08E865E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Liang, X., Lu, T., &amp; Yishake, G. (2022). How to promote residents’ use of green space: An empirically grounded agent-based modeling approach. </w:t>
      </w:r>
      <w:r w:rsidRPr="00926392">
        <w:rPr>
          <w:i/>
          <w:iCs/>
          <w:noProof/>
          <w:kern w:val="0"/>
        </w:rPr>
        <w:t>Urban Forestry &amp; Urban Greening</w:t>
      </w:r>
      <w:r w:rsidRPr="00926392">
        <w:rPr>
          <w:noProof/>
          <w:kern w:val="0"/>
        </w:rPr>
        <w:t xml:space="preserve">, </w:t>
      </w:r>
      <w:r w:rsidRPr="00926392">
        <w:rPr>
          <w:i/>
          <w:iCs/>
          <w:noProof/>
          <w:kern w:val="0"/>
        </w:rPr>
        <w:t>67</w:t>
      </w:r>
      <w:r w:rsidRPr="00926392">
        <w:rPr>
          <w:noProof/>
          <w:kern w:val="0"/>
        </w:rPr>
        <w:t>, 127435. https://doi.org/10.1016/J.UFUG.2021.127435</w:t>
      </w:r>
    </w:p>
    <w:p w14:paraId="5699942C"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Liao, P., Gu, N., Brisbin, C., Rofe, M., &amp; Soltani, S. (2019). Computationally Mapping Spatial Properties of Chinese Historic Towns using Space Syntax. </w:t>
      </w:r>
      <w:r w:rsidRPr="00926392">
        <w:rPr>
          <w:i/>
          <w:iCs/>
          <w:noProof/>
          <w:kern w:val="0"/>
        </w:rPr>
        <w:t>Proceedings of CAADRIA 2019</w:t>
      </w:r>
      <w:r w:rsidRPr="00926392">
        <w:rPr>
          <w:noProof/>
          <w:kern w:val="0"/>
        </w:rPr>
        <w:t>, 361–370.</w:t>
      </w:r>
    </w:p>
    <w:p w14:paraId="5CD64C9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Lin, G. C. S. (2004). Toward a Post-Socialist City? Economic Tertiarization and Urban Reformation in the Guangzhou Metropolis, China. </w:t>
      </w:r>
      <w:r w:rsidRPr="00926392">
        <w:rPr>
          <w:i/>
          <w:iCs/>
          <w:noProof/>
          <w:kern w:val="0"/>
        </w:rPr>
        <w:t>Eurasian Geography and Economics</w:t>
      </w:r>
      <w:r w:rsidRPr="00926392">
        <w:rPr>
          <w:noProof/>
          <w:kern w:val="0"/>
        </w:rPr>
        <w:t xml:space="preserve">, </w:t>
      </w:r>
      <w:r w:rsidRPr="00926392">
        <w:rPr>
          <w:i/>
          <w:iCs/>
          <w:noProof/>
          <w:kern w:val="0"/>
        </w:rPr>
        <w:t>45</w:t>
      </w:r>
      <w:r w:rsidRPr="00926392">
        <w:rPr>
          <w:noProof/>
          <w:kern w:val="0"/>
        </w:rPr>
        <w:t>(1), 18–44. https://doi.org/10.2747/1538-7216.45.1.18</w:t>
      </w:r>
    </w:p>
    <w:p w14:paraId="24458A03"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Liu, Xintao, Wu, J., Huang, J., Zhang, J., Chen, B. Y., &amp; Chen, A. (2021). Spatial-interaction network analysis of built environmental influence on daily public transport demand. </w:t>
      </w:r>
      <w:r w:rsidRPr="00926392">
        <w:rPr>
          <w:i/>
          <w:iCs/>
          <w:noProof/>
          <w:kern w:val="0"/>
        </w:rPr>
        <w:t>Journal of Transport Geography</w:t>
      </w:r>
      <w:r w:rsidRPr="00926392">
        <w:rPr>
          <w:noProof/>
          <w:kern w:val="0"/>
        </w:rPr>
        <w:t xml:space="preserve">, </w:t>
      </w:r>
      <w:r w:rsidRPr="00926392">
        <w:rPr>
          <w:i/>
          <w:iCs/>
          <w:noProof/>
          <w:kern w:val="0"/>
        </w:rPr>
        <w:t>92</w:t>
      </w:r>
      <w:r w:rsidRPr="00926392">
        <w:rPr>
          <w:noProof/>
          <w:kern w:val="0"/>
        </w:rPr>
        <w:t>, 102991. https://doi.org/10.1016/j.jtrangeo.2021.102991</w:t>
      </w:r>
    </w:p>
    <w:p w14:paraId="1ACC554E"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Liu, Xuan, Zhu, Z., Jin, L., Wang, L., &amp; Huang, C. (2018). Measuring patterns and mechanism of greenway use – A case from Guangzhou, China. </w:t>
      </w:r>
      <w:r w:rsidRPr="00926392">
        <w:rPr>
          <w:i/>
          <w:iCs/>
          <w:noProof/>
          <w:kern w:val="0"/>
        </w:rPr>
        <w:t>Urban Forestry and Urban Greening</w:t>
      </w:r>
      <w:r w:rsidRPr="00926392">
        <w:rPr>
          <w:noProof/>
          <w:kern w:val="0"/>
        </w:rPr>
        <w:t xml:space="preserve">, </w:t>
      </w:r>
      <w:r w:rsidRPr="00926392">
        <w:rPr>
          <w:i/>
          <w:iCs/>
          <w:noProof/>
          <w:kern w:val="0"/>
        </w:rPr>
        <w:t>34</w:t>
      </w:r>
      <w:r w:rsidRPr="00926392">
        <w:rPr>
          <w:noProof/>
          <w:kern w:val="0"/>
        </w:rPr>
        <w:t>(135), 55–63. https://doi.org/10.1016/j.ufug.2018.06.003</w:t>
      </w:r>
    </w:p>
    <w:p w14:paraId="2BF15E5D"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Long, Y., &amp; Baran, P. K. (2012). Does Intelligibility Affect Place Legibility? Understanding the Relationship Between Objective and Subjective Evaluations </w:t>
      </w:r>
      <w:r w:rsidRPr="00926392">
        <w:rPr>
          <w:noProof/>
          <w:kern w:val="0"/>
        </w:rPr>
        <w:lastRenderedPageBreak/>
        <w:t xml:space="preserve">of the Urban Environment. </w:t>
      </w:r>
      <w:r w:rsidRPr="00926392">
        <w:rPr>
          <w:i/>
          <w:iCs/>
          <w:noProof/>
          <w:kern w:val="0"/>
        </w:rPr>
        <w:t>Environment and Behavior</w:t>
      </w:r>
      <w:r w:rsidRPr="00926392">
        <w:rPr>
          <w:noProof/>
          <w:kern w:val="0"/>
        </w:rPr>
        <w:t xml:space="preserve">, </w:t>
      </w:r>
      <w:r w:rsidRPr="00926392">
        <w:rPr>
          <w:i/>
          <w:iCs/>
          <w:noProof/>
          <w:kern w:val="0"/>
        </w:rPr>
        <w:t>44</w:t>
      </w:r>
      <w:r w:rsidRPr="00926392">
        <w:rPr>
          <w:noProof/>
          <w:kern w:val="0"/>
        </w:rPr>
        <w:t>(5), 616–640. https://doi.org/10.1177/0013916511402059</w:t>
      </w:r>
    </w:p>
    <w:p w14:paraId="65BDE522"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Lynch, K. (1960). </w:t>
      </w:r>
      <w:r w:rsidRPr="00926392">
        <w:rPr>
          <w:i/>
          <w:iCs/>
          <w:noProof/>
          <w:kern w:val="0"/>
        </w:rPr>
        <w:t>The image of the city</w:t>
      </w:r>
      <w:r w:rsidRPr="00926392">
        <w:rPr>
          <w:noProof/>
          <w:kern w:val="0"/>
        </w:rPr>
        <w:t>. MIT press.</w:t>
      </w:r>
    </w:p>
    <w:p w14:paraId="410C30E7"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Miller, H. J. (2005). Place-Based Versus People-Based Accessibility. In </w:t>
      </w:r>
      <w:r w:rsidRPr="00926392">
        <w:rPr>
          <w:i/>
          <w:iCs/>
          <w:noProof/>
          <w:kern w:val="0"/>
        </w:rPr>
        <w:t>Access to Destinations</w:t>
      </w:r>
      <w:r w:rsidRPr="00926392">
        <w:rPr>
          <w:noProof/>
          <w:kern w:val="0"/>
        </w:rPr>
        <w:t xml:space="preserve"> (pp. 63–89). https://doi.org/10.1108/9780080460550-004</w:t>
      </w:r>
    </w:p>
    <w:p w14:paraId="0BBCE8CF"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Nes, A. van. (2021). Spatial configurations and walkability potentials. Measuring urban compactness with space syntax. </w:t>
      </w:r>
      <w:r w:rsidRPr="00926392">
        <w:rPr>
          <w:i/>
          <w:iCs/>
          <w:noProof/>
          <w:kern w:val="0"/>
        </w:rPr>
        <w:t>Sustainability</w:t>
      </w:r>
      <w:r w:rsidRPr="00926392">
        <w:rPr>
          <w:noProof/>
          <w:kern w:val="0"/>
        </w:rPr>
        <w:t xml:space="preserve">, </w:t>
      </w:r>
      <w:r w:rsidRPr="00926392">
        <w:rPr>
          <w:i/>
          <w:iCs/>
          <w:noProof/>
          <w:kern w:val="0"/>
        </w:rPr>
        <w:t>13</w:t>
      </w:r>
      <w:r w:rsidRPr="00926392">
        <w:rPr>
          <w:noProof/>
          <w:kern w:val="0"/>
        </w:rPr>
        <w:t>(11), 5785. https://doi.org/10.3390/SU13115785</w:t>
      </w:r>
    </w:p>
    <w:p w14:paraId="693C0D56"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Önder, D. E., &amp; Gigi, Y. (2010). Reading urban spaces by the space-syntax method: A proposal for the South Haliç Region. </w:t>
      </w:r>
      <w:r w:rsidRPr="00926392">
        <w:rPr>
          <w:i/>
          <w:iCs/>
          <w:noProof/>
          <w:kern w:val="0"/>
        </w:rPr>
        <w:t>Cities</w:t>
      </w:r>
      <w:r w:rsidRPr="00926392">
        <w:rPr>
          <w:noProof/>
          <w:kern w:val="0"/>
        </w:rPr>
        <w:t xml:space="preserve">, </w:t>
      </w:r>
      <w:r w:rsidRPr="00926392">
        <w:rPr>
          <w:i/>
          <w:iCs/>
          <w:noProof/>
          <w:kern w:val="0"/>
        </w:rPr>
        <w:t>27</w:t>
      </w:r>
      <w:r w:rsidRPr="00926392">
        <w:rPr>
          <w:noProof/>
          <w:kern w:val="0"/>
        </w:rPr>
        <w:t>(4), 260–271. https://doi.org/10.1016/j.cities.2009.12.006</w:t>
      </w:r>
    </w:p>
    <w:p w14:paraId="3FD888A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Pafka, E., Dovey, K., &amp; Aschwanden, G. D. P. A. (2020). Limits of space syntax for urban design: Axiality, scale and sinuosity. </w:t>
      </w:r>
      <w:r w:rsidRPr="00926392">
        <w:rPr>
          <w:i/>
          <w:iCs/>
          <w:noProof/>
          <w:kern w:val="0"/>
        </w:rPr>
        <w:t>Environment and Planning B: Urban Analytics and City Science</w:t>
      </w:r>
      <w:r w:rsidRPr="00926392">
        <w:rPr>
          <w:noProof/>
          <w:kern w:val="0"/>
        </w:rPr>
        <w:t xml:space="preserve">, </w:t>
      </w:r>
      <w:r w:rsidRPr="00926392">
        <w:rPr>
          <w:i/>
          <w:iCs/>
          <w:noProof/>
          <w:kern w:val="0"/>
        </w:rPr>
        <w:t>47</w:t>
      </w:r>
      <w:r w:rsidRPr="00926392">
        <w:rPr>
          <w:noProof/>
          <w:kern w:val="0"/>
        </w:rPr>
        <w:t>(3), 508–522. https://doi.org/10.1177/2399808318786512</w:t>
      </w:r>
    </w:p>
    <w:p w14:paraId="70FFB53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Paul, A. (2015). Human city and physical city: connecting the two by generating syntax-based urban configurations. </w:t>
      </w:r>
      <w:r w:rsidRPr="00926392">
        <w:rPr>
          <w:i/>
          <w:iCs/>
          <w:noProof/>
          <w:kern w:val="0"/>
        </w:rPr>
        <w:t>Environment Systems and Decisions</w:t>
      </w:r>
      <w:r w:rsidRPr="00926392">
        <w:rPr>
          <w:noProof/>
          <w:kern w:val="0"/>
        </w:rPr>
        <w:t xml:space="preserve">, </w:t>
      </w:r>
      <w:r w:rsidRPr="00926392">
        <w:rPr>
          <w:i/>
          <w:iCs/>
          <w:noProof/>
          <w:kern w:val="0"/>
        </w:rPr>
        <w:t>35</w:t>
      </w:r>
      <w:r w:rsidRPr="00926392">
        <w:rPr>
          <w:noProof/>
          <w:kern w:val="0"/>
        </w:rPr>
        <w:t>(3), 317–322. https://doi.org/10.1007/s10669-015-9547-4</w:t>
      </w:r>
    </w:p>
    <w:p w14:paraId="1CD85940"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Peng, J., Zhao, H., &amp; Liu, Y. xu. (2017). Urban ecological corridors construction: A review. </w:t>
      </w:r>
      <w:r w:rsidRPr="00926392">
        <w:rPr>
          <w:i/>
          <w:iCs/>
          <w:noProof/>
          <w:kern w:val="0"/>
        </w:rPr>
        <w:t>Acta Ecologica Sinica</w:t>
      </w:r>
      <w:r w:rsidRPr="00926392">
        <w:rPr>
          <w:noProof/>
          <w:kern w:val="0"/>
        </w:rPr>
        <w:t xml:space="preserve">, </w:t>
      </w:r>
      <w:r w:rsidRPr="00926392">
        <w:rPr>
          <w:i/>
          <w:iCs/>
          <w:noProof/>
          <w:kern w:val="0"/>
        </w:rPr>
        <w:t>37</w:t>
      </w:r>
      <w:r w:rsidRPr="00926392">
        <w:rPr>
          <w:noProof/>
          <w:kern w:val="0"/>
        </w:rPr>
        <w:t>(1), 23–30. https://doi.org/10.1016/j.chnaes.2016.12.002</w:t>
      </w:r>
    </w:p>
    <w:p w14:paraId="32E4A45F"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Peponis, J., &amp; Wineman, J. (2002). Spatial structucture of envrionment behavior. In </w:t>
      </w:r>
      <w:r w:rsidRPr="00926392">
        <w:rPr>
          <w:i/>
          <w:iCs/>
          <w:noProof/>
          <w:kern w:val="0"/>
        </w:rPr>
        <w:t>Handbook of enviromental phycology</w:t>
      </w:r>
      <w:r w:rsidRPr="00926392">
        <w:rPr>
          <w:noProof/>
          <w:kern w:val="0"/>
        </w:rPr>
        <w:t xml:space="preserve"> (pp. 271–291).</w:t>
      </w:r>
    </w:p>
    <w:p w14:paraId="0882AC3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Roy, S., Byrne, J., &amp; Pickering, C. (2012). A systematic quantitative review of urban tree benefits, costs, and assessment methods across cities in different climatic zones. </w:t>
      </w:r>
      <w:r w:rsidRPr="00926392">
        <w:rPr>
          <w:i/>
          <w:iCs/>
          <w:noProof/>
          <w:kern w:val="0"/>
        </w:rPr>
        <w:t>Urban Forestry &amp; Urban Greening</w:t>
      </w:r>
      <w:r w:rsidRPr="00926392">
        <w:rPr>
          <w:noProof/>
          <w:kern w:val="0"/>
        </w:rPr>
        <w:t xml:space="preserve">, </w:t>
      </w:r>
      <w:r w:rsidRPr="00926392">
        <w:rPr>
          <w:i/>
          <w:iCs/>
          <w:noProof/>
          <w:kern w:val="0"/>
        </w:rPr>
        <w:t>11</w:t>
      </w:r>
      <w:r w:rsidRPr="00926392">
        <w:rPr>
          <w:noProof/>
          <w:kern w:val="0"/>
        </w:rPr>
        <w:t>, 351–363. https://doi.org/10.1016/j.ufug.2012.06.006</w:t>
      </w:r>
    </w:p>
    <w:p w14:paraId="1815ED23"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Ruben, T.-G., &amp; Julio, A. S.-L. (2015). Q-PLOS, developing an alternative walking index. A method based on urban design quality. </w:t>
      </w:r>
      <w:r w:rsidRPr="00926392">
        <w:rPr>
          <w:i/>
          <w:iCs/>
          <w:noProof/>
          <w:kern w:val="0"/>
        </w:rPr>
        <w:t>Cities</w:t>
      </w:r>
      <w:r w:rsidRPr="00926392">
        <w:rPr>
          <w:noProof/>
          <w:kern w:val="0"/>
        </w:rPr>
        <w:t xml:space="preserve">, </w:t>
      </w:r>
      <w:r w:rsidRPr="00926392">
        <w:rPr>
          <w:i/>
          <w:iCs/>
          <w:noProof/>
          <w:kern w:val="0"/>
        </w:rPr>
        <w:t>45</w:t>
      </w:r>
      <w:r w:rsidRPr="00926392">
        <w:rPr>
          <w:noProof/>
          <w:kern w:val="0"/>
        </w:rPr>
        <w:t>, 7–17. https://doi.org/10.1016/j.cities.2015.03.003</w:t>
      </w:r>
    </w:p>
    <w:p w14:paraId="1C3716CF"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Sarkar, C., Webster, C., Pryor, M., Tang, D., Melbourne, S., Zhang, X., &amp; Jianzheng, L. (2015). Exploring associations between urban green, street design and walking: Results from the Greater London boroughs. </w:t>
      </w:r>
      <w:r w:rsidRPr="00926392">
        <w:rPr>
          <w:i/>
          <w:iCs/>
          <w:noProof/>
          <w:kern w:val="0"/>
        </w:rPr>
        <w:t>Landscape and Urban Planning</w:t>
      </w:r>
      <w:r w:rsidRPr="00926392">
        <w:rPr>
          <w:noProof/>
          <w:kern w:val="0"/>
        </w:rPr>
        <w:t xml:space="preserve">, </w:t>
      </w:r>
      <w:r w:rsidRPr="00926392">
        <w:rPr>
          <w:i/>
          <w:iCs/>
          <w:noProof/>
          <w:kern w:val="0"/>
        </w:rPr>
        <w:t>143</w:t>
      </w:r>
      <w:r w:rsidRPr="00926392">
        <w:rPr>
          <w:noProof/>
          <w:kern w:val="0"/>
        </w:rPr>
        <w:t>, 112–125. https://doi.org/10.1016/j.landurbplan.2015.06.013</w:t>
      </w:r>
    </w:p>
    <w:p w14:paraId="0872B46E"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Stein, A., Riley, J., &amp; Halberg, N. (2001). Issues of scale for environmental indicators. </w:t>
      </w:r>
      <w:r w:rsidRPr="00926392">
        <w:rPr>
          <w:i/>
          <w:iCs/>
          <w:noProof/>
          <w:kern w:val="0"/>
        </w:rPr>
        <w:t>Agriculture, Ecosystems and Environment</w:t>
      </w:r>
      <w:r w:rsidRPr="00926392">
        <w:rPr>
          <w:noProof/>
          <w:kern w:val="0"/>
        </w:rPr>
        <w:t xml:space="preserve">, </w:t>
      </w:r>
      <w:r w:rsidRPr="00926392">
        <w:rPr>
          <w:i/>
          <w:iCs/>
          <w:noProof/>
          <w:kern w:val="0"/>
        </w:rPr>
        <w:t>87</w:t>
      </w:r>
      <w:r w:rsidRPr="00926392">
        <w:rPr>
          <w:noProof/>
          <w:kern w:val="0"/>
        </w:rPr>
        <w:t>, 215–232. Retrieved from http://orgprints.org/15537</w:t>
      </w:r>
    </w:p>
    <w:p w14:paraId="3380A066"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Tan, C., Tang, Y., &amp; Wu, X. (2019). Evaluation of the Equity of Urban Park Green </w:t>
      </w:r>
      <w:r w:rsidRPr="00926392">
        <w:rPr>
          <w:noProof/>
          <w:kern w:val="0"/>
        </w:rPr>
        <w:lastRenderedPageBreak/>
        <w:t xml:space="preserve">Space Based on Population Data Spatialization: A Case Study of a Central Area of Wuhan, China. </w:t>
      </w:r>
      <w:r w:rsidRPr="00926392">
        <w:rPr>
          <w:i/>
          <w:iCs/>
          <w:noProof/>
          <w:kern w:val="0"/>
        </w:rPr>
        <w:t>Sensors</w:t>
      </w:r>
      <w:r w:rsidRPr="00926392">
        <w:rPr>
          <w:noProof/>
          <w:kern w:val="0"/>
        </w:rPr>
        <w:t xml:space="preserve">, </w:t>
      </w:r>
      <w:r w:rsidRPr="00926392">
        <w:rPr>
          <w:i/>
          <w:iCs/>
          <w:noProof/>
          <w:kern w:val="0"/>
        </w:rPr>
        <w:t>19</w:t>
      </w:r>
      <w:r w:rsidRPr="00926392">
        <w:rPr>
          <w:noProof/>
          <w:kern w:val="0"/>
        </w:rPr>
        <w:t>(13), 2929. https://doi.org/10.3390/s19132929</w:t>
      </w:r>
    </w:p>
    <w:p w14:paraId="68964AFC"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Tannous, H. O., Major, M. D., &amp; Furlan, R. (2020). Accessibility of green spaces in a metropolitan network using space syntax to objectively evaluate the spatial locations of parks and promenades in Doha, State of Qatar. </w:t>
      </w:r>
      <w:r w:rsidRPr="00926392">
        <w:rPr>
          <w:i/>
          <w:iCs/>
          <w:noProof/>
          <w:kern w:val="0"/>
        </w:rPr>
        <w:t>Urban Forestry and Urban Greening</w:t>
      </w:r>
      <w:r w:rsidRPr="00926392">
        <w:rPr>
          <w:noProof/>
          <w:kern w:val="0"/>
        </w:rPr>
        <w:t>, (October), 126892. https://doi.org/10.1016/j.ufug.2020.126892</w:t>
      </w:r>
    </w:p>
    <w:p w14:paraId="68C78EE5"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The State Council of the PRC. (2019). </w:t>
      </w:r>
      <w:r w:rsidRPr="00926392">
        <w:rPr>
          <w:i/>
          <w:iCs/>
          <w:noProof/>
          <w:kern w:val="0"/>
        </w:rPr>
        <w:t>Outline Development Plan for the Guangdong-Hong Kong-Macao Greater Bay Area</w:t>
      </w:r>
      <w:r w:rsidRPr="00926392">
        <w:rPr>
          <w:noProof/>
          <w:kern w:val="0"/>
        </w:rPr>
        <w:t>.</w:t>
      </w:r>
    </w:p>
    <w:p w14:paraId="4AC1CFDE"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Van De Voorde, T. (2017). Spatially explicit urban green indicators for characterizing vegetation cover and public green space proximity: a case study on Brussels, Belgium. </w:t>
      </w:r>
      <w:r w:rsidRPr="00926392">
        <w:rPr>
          <w:i/>
          <w:iCs/>
          <w:noProof/>
          <w:kern w:val="0"/>
        </w:rPr>
        <w:t>International Journal of Digital Earth</w:t>
      </w:r>
      <w:r w:rsidRPr="00926392">
        <w:rPr>
          <w:noProof/>
          <w:kern w:val="0"/>
        </w:rPr>
        <w:t xml:space="preserve">, </w:t>
      </w:r>
      <w:r w:rsidRPr="00926392">
        <w:rPr>
          <w:i/>
          <w:iCs/>
          <w:noProof/>
          <w:kern w:val="0"/>
        </w:rPr>
        <w:t>10</w:t>
      </w:r>
      <w:r w:rsidRPr="00926392">
        <w:rPr>
          <w:noProof/>
          <w:kern w:val="0"/>
        </w:rPr>
        <w:t>(8), 798–813. https://doi.org/10.1080/17538947.2016.1252434</w:t>
      </w:r>
    </w:p>
    <w:p w14:paraId="085047FA"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Volchenkov, D., &amp; Blanchard, P. (2007). City Space Syntax as a Complex Network. </w:t>
      </w:r>
      <w:r w:rsidRPr="00926392">
        <w:rPr>
          <w:i/>
          <w:iCs/>
          <w:noProof/>
          <w:kern w:val="0"/>
        </w:rPr>
        <w:t>Phys Soc, ArXiv</w:t>
      </w:r>
      <w:r w:rsidRPr="00926392">
        <w:rPr>
          <w:noProof/>
          <w:kern w:val="0"/>
        </w:rPr>
        <w:t>, 1–24.</w:t>
      </w:r>
    </w:p>
    <w:p w14:paraId="0AE5EA83"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Wang, R., Feng, Z., Pearce, J., Yao, Y., Li, X., &amp; Liu, Y. (2021). The distribution of greenspace quantity and quality and their association with neighbourhood socioeconomic conditions in Guangzhou, China: A new approach using deep learning method and street view images. </w:t>
      </w:r>
      <w:r w:rsidRPr="00926392">
        <w:rPr>
          <w:i/>
          <w:iCs/>
          <w:noProof/>
          <w:kern w:val="0"/>
        </w:rPr>
        <w:t>Sustainable Cities and Society</w:t>
      </w:r>
      <w:r w:rsidRPr="00926392">
        <w:rPr>
          <w:noProof/>
          <w:kern w:val="0"/>
        </w:rPr>
        <w:t xml:space="preserve">, </w:t>
      </w:r>
      <w:r w:rsidRPr="00926392">
        <w:rPr>
          <w:i/>
          <w:iCs/>
          <w:noProof/>
          <w:kern w:val="0"/>
        </w:rPr>
        <w:t>66</w:t>
      </w:r>
      <w:r w:rsidRPr="00926392">
        <w:rPr>
          <w:noProof/>
          <w:kern w:val="0"/>
        </w:rPr>
        <w:t>, 102664. https://doi.org/10.1016/j.scs.2020.102664</w:t>
      </w:r>
    </w:p>
    <w:p w14:paraId="316248E8"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Weibull, J. W. (1980). On the numerical measurement of accessibility. </w:t>
      </w:r>
      <w:r w:rsidRPr="00926392">
        <w:rPr>
          <w:i/>
          <w:iCs/>
          <w:noProof/>
          <w:kern w:val="0"/>
        </w:rPr>
        <w:t>Environment and Planning A</w:t>
      </w:r>
      <w:r w:rsidRPr="00926392">
        <w:rPr>
          <w:noProof/>
          <w:kern w:val="0"/>
        </w:rPr>
        <w:t xml:space="preserve">, </w:t>
      </w:r>
      <w:r w:rsidRPr="00926392">
        <w:rPr>
          <w:i/>
          <w:iCs/>
          <w:noProof/>
          <w:kern w:val="0"/>
        </w:rPr>
        <w:t>12</w:t>
      </w:r>
      <w:r w:rsidRPr="00926392">
        <w:rPr>
          <w:noProof/>
          <w:kern w:val="0"/>
        </w:rPr>
        <w:t>(1), 53–67.</w:t>
      </w:r>
    </w:p>
    <w:p w14:paraId="2293B14B"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WHO. (2016). </w:t>
      </w:r>
      <w:r w:rsidRPr="00926392">
        <w:rPr>
          <w:i/>
          <w:iCs/>
          <w:noProof/>
          <w:kern w:val="0"/>
        </w:rPr>
        <w:t>Urban green spaces and health: A review of evidence</w:t>
      </w:r>
      <w:r w:rsidRPr="00926392">
        <w:rPr>
          <w:noProof/>
          <w:kern w:val="0"/>
        </w:rPr>
        <w:t>.</w:t>
      </w:r>
    </w:p>
    <w:p w14:paraId="170548E4"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Witten, K., Hiscock, R., Pearce, J., &amp; Blakely, T. (2008). Neighbourhood access to open spaces and the physical activity of residents: A national study. </w:t>
      </w:r>
      <w:r w:rsidRPr="00926392">
        <w:rPr>
          <w:i/>
          <w:iCs/>
          <w:noProof/>
          <w:kern w:val="0"/>
        </w:rPr>
        <w:t>Preventive Medicine</w:t>
      </w:r>
      <w:r w:rsidRPr="00926392">
        <w:rPr>
          <w:noProof/>
          <w:kern w:val="0"/>
        </w:rPr>
        <w:t xml:space="preserve">, </w:t>
      </w:r>
      <w:r w:rsidRPr="00926392">
        <w:rPr>
          <w:i/>
          <w:iCs/>
          <w:noProof/>
          <w:kern w:val="0"/>
        </w:rPr>
        <w:t>47</w:t>
      </w:r>
      <w:r w:rsidRPr="00926392">
        <w:rPr>
          <w:noProof/>
          <w:kern w:val="0"/>
        </w:rPr>
        <w:t>(3), 299–303. https://doi.org/10.1016/j.ypmed.2008.04.010</w:t>
      </w:r>
    </w:p>
    <w:p w14:paraId="40CA009C"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Wu, C., Peng, N., Ma, X., Li, S., &amp; Rao, J. (2020). Assessing multiscale visual appearance characteristics of neighbourhoods using geographically weighted principal component analysis in Shenzhen, China. </w:t>
      </w:r>
      <w:r w:rsidRPr="00926392">
        <w:rPr>
          <w:i/>
          <w:iCs/>
          <w:noProof/>
          <w:kern w:val="0"/>
        </w:rPr>
        <w:t>Computers, Environment and Urban Systems</w:t>
      </w:r>
      <w:r w:rsidRPr="00926392">
        <w:rPr>
          <w:noProof/>
          <w:kern w:val="0"/>
        </w:rPr>
        <w:t xml:space="preserve">, </w:t>
      </w:r>
      <w:r w:rsidRPr="00926392">
        <w:rPr>
          <w:i/>
          <w:iCs/>
          <w:noProof/>
          <w:kern w:val="0"/>
        </w:rPr>
        <w:t>84</w:t>
      </w:r>
      <w:r w:rsidRPr="00926392">
        <w:rPr>
          <w:noProof/>
          <w:kern w:val="0"/>
        </w:rPr>
        <w:t>, 101547. https://doi.org/10.1016/j.compenvurbsys.2020.101547</w:t>
      </w:r>
    </w:p>
    <w:p w14:paraId="208639D7"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Xia, Z., Li, H., &amp; Chen, Y. (2018). Assessing neighborhood walkability based on usage characteristics of Amenities under Chinese metropolises context. </w:t>
      </w:r>
      <w:r w:rsidRPr="00926392">
        <w:rPr>
          <w:i/>
          <w:iCs/>
          <w:noProof/>
          <w:kern w:val="0"/>
        </w:rPr>
        <w:t>Sustainability (Switzerland)</w:t>
      </w:r>
      <w:r w:rsidRPr="00926392">
        <w:rPr>
          <w:noProof/>
          <w:kern w:val="0"/>
        </w:rPr>
        <w:t xml:space="preserve">, </w:t>
      </w:r>
      <w:r w:rsidRPr="00926392">
        <w:rPr>
          <w:i/>
          <w:iCs/>
          <w:noProof/>
          <w:kern w:val="0"/>
        </w:rPr>
        <w:t>10</w:t>
      </w:r>
      <w:r w:rsidRPr="00926392">
        <w:rPr>
          <w:noProof/>
          <w:kern w:val="0"/>
        </w:rPr>
        <w:t>(11), 3879. https://doi.org/10.3390/su10113879</w:t>
      </w:r>
    </w:p>
    <w:p w14:paraId="5865A66D"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Xu, J., &amp; Yeh, A. G. O. (2003). City profile. </w:t>
      </w:r>
      <w:r w:rsidRPr="00926392">
        <w:rPr>
          <w:i/>
          <w:iCs/>
          <w:noProof/>
          <w:kern w:val="0"/>
        </w:rPr>
        <w:t>Cities</w:t>
      </w:r>
      <w:r w:rsidRPr="00926392">
        <w:rPr>
          <w:noProof/>
          <w:kern w:val="0"/>
        </w:rPr>
        <w:t xml:space="preserve">, </w:t>
      </w:r>
      <w:r w:rsidRPr="00926392">
        <w:rPr>
          <w:i/>
          <w:iCs/>
          <w:noProof/>
          <w:kern w:val="0"/>
        </w:rPr>
        <w:t>20</w:t>
      </w:r>
      <w:r w:rsidRPr="00926392">
        <w:rPr>
          <w:noProof/>
          <w:kern w:val="0"/>
        </w:rPr>
        <w:t>(5), 361–374. https://doi.org/10.1016/S0264-2751(03)00056-8</w:t>
      </w:r>
    </w:p>
    <w:p w14:paraId="4EAE7BB6"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t xml:space="preserve">Ye, Yang, &amp; Qiu, H. (2021). Using urban landscape pattern to understand and evaluate infectious disease risk. </w:t>
      </w:r>
      <w:r w:rsidRPr="00926392">
        <w:rPr>
          <w:i/>
          <w:iCs/>
          <w:noProof/>
          <w:kern w:val="0"/>
        </w:rPr>
        <w:t>Urban Forestry &amp; Urban Greening</w:t>
      </w:r>
      <w:r w:rsidRPr="00926392">
        <w:rPr>
          <w:noProof/>
          <w:kern w:val="0"/>
        </w:rPr>
        <w:t xml:space="preserve">, </w:t>
      </w:r>
      <w:r w:rsidRPr="00926392">
        <w:rPr>
          <w:i/>
          <w:iCs/>
          <w:noProof/>
          <w:kern w:val="0"/>
        </w:rPr>
        <w:t>62</w:t>
      </w:r>
      <w:r w:rsidRPr="00926392">
        <w:rPr>
          <w:noProof/>
          <w:kern w:val="0"/>
        </w:rPr>
        <w:t>, 127126. https://doi.org/10.1016/J.UFUG.2021.127126</w:t>
      </w:r>
    </w:p>
    <w:p w14:paraId="16CCE656" w14:textId="77777777" w:rsidR="00926392" w:rsidRPr="00926392" w:rsidRDefault="00926392" w:rsidP="00926392">
      <w:pPr>
        <w:autoSpaceDE w:val="0"/>
        <w:autoSpaceDN w:val="0"/>
        <w:adjustRightInd w:val="0"/>
        <w:spacing w:after="156"/>
        <w:ind w:left="480" w:hanging="480"/>
        <w:jc w:val="left"/>
        <w:rPr>
          <w:noProof/>
          <w:kern w:val="0"/>
        </w:rPr>
      </w:pPr>
      <w:r w:rsidRPr="00926392">
        <w:rPr>
          <w:noProof/>
          <w:kern w:val="0"/>
        </w:rPr>
        <w:lastRenderedPageBreak/>
        <w:t xml:space="preserve">Ye, Yu, Richards, D., Lu, Y., Song, X., Zhuang, Y., Zeng, W., &amp; Zhong, T. (2019). Measuring daily accessed street greenery: A human-scale approach for informing better urban planning practices. </w:t>
      </w:r>
      <w:r w:rsidRPr="00926392">
        <w:rPr>
          <w:i/>
          <w:iCs/>
          <w:noProof/>
          <w:kern w:val="0"/>
        </w:rPr>
        <w:t>Landscape and Urban Planning</w:t>
      </w:r>
      <w:r w:rsidRPr="00926392">
        <w:rPr>
          <w:noProof/>
          <w:kern w:val="0"/>
        </w:rPr>
        <w:t xml:space="preserve">, </w:t>
      </w:r>
      <w:r w:rsidRPr="00926392">
        <w:rPr>
          <w:i/>
          <w:iCs/>
          <w:noProof/>
          <w:kern w:val="0"/>
        </w:rPr>
        <w:t>191</w:t>
      </w:r>
      <w:r w:rsidRPr="00926392">
        <w:rPr>
          <w:noProof/>
          <w:kern w:val="0"/>
        </w:rPr>
        <w:t>(July 2017). https://doi.org/10.1016/j.landurbplan.2018.08.028</w:t>
      </w:r>
    </w:p>
    <w:p w14:paraId="4DAD3653" w14:textId="77777777" w:rsidR="00926392" w:rsidRPr="00926392" w:rsidRDefault="00926392" w:rsidP="00926392">
      <w:pPr>
        <w:autoSpaceDE w:val="0"/>
        <w:autoSpaceDN w:val="0"/>
        <w:adjustRightInd w:val="0"/>
        <w:spacing w:after="156"/>
        <w:ind w:left="480" w:hanging="480"/>
        <w:jc w:val="left"/>
        <w:rPr>
          <w:noProof/>
        </w:rPr>
      </w:pPr>
      <w:r w:rsidRPr="00926392">
        <w:rPr>
          <w:noProof/>
          <w:kern w:val="0"/>
        </w:rPr>
        <w:t xml:space="preserve">Zhu, Z., Ren, J., &amp; Liu, X. (2019). Green infrastructure provision for environmental justice: Application of the equity index in Guangzhou, China. </w:t>
      </w:r>
      <w:r w:rsidRPr="00926392">
        <w:rPr>
          <w:i/>
          <w:iCs/>
          <w:noProof/>
          <w:kern w:val="0"/>
        </w:rPr>
        <w:t>Urban Forestry &amp; Urban Greening</w:t>
      </w:r>
      <w:r w:rsidRPr="00926392">
        <w:rPr>
          <w:noProof/>
          <w:kern w:val="0"/>
        </w:rPr>
        <w:t xml:space="preserve">, </w:t>
      </w:r>
      <w:r w:rsidRPr="00926392">
        <w:rPr>
          <w:i/>
          <w:iCs/>
          <w:noProof/>
          <w:kern w:val="0"/>
        </w:rPr>
        <w:t>46</w:t>
      </w:r>
      <w:r w:rsidRPr="00926392">
        <w:rPr>
          <w:noProof/>
          <w:kern w:val="0"/>
        </w:rPr>
        <w:t>, 126443. https://doi.org/10.1016/j.ufug.2019.126443</w:t>
      </w:r>
    </w:p>
    <w:p w14:paraId="544FC007" w14:textId="66D12905" w:rsidR="006E7D07" w:rsidRDefault="00FA2C2A" w:rsidP="00853057">
      <w:pPr>
        <w:autoSpaceDE w:val="0"/>
        <w:autoSpaceDN w:val="0"/>
        <w:adjustRightInd w:val="0"/>
        <w:spacing w:after="156"/>
        <w:ind w:left="480" w:hanging="480"/>
        <w:jc w:val="left"/>
        <w:rPr>
          <w:rFonts w:eastAsiaTheme="minorEastAsia"/>
        </w:rPr>
      </w:pPr>
      <w:r w:rsidRPr="006D55BE">
        <w:rPr>
          <w:rFonts w:eastAsiaTheme="minorEastAsia"/>
        </w:rPr>
        <w:fldChar w:fldCharType="end"/>
      </w:r>
    </w:p>
    <w:p w14:paraId="011F9C8E" w14:textId="77777777" w:rsidR="006E7D07" w:rsidRDefault="006E7D07">
      <w:pPr>
        <w:widowControl/>
        <w:spacing w:afterLines="0" w:after="0"/>
        <w:jc w:val="left"/>
        <w:rPr>
          <w:rFonts w:eastAsiaTheme="minorEastAsia"/>
        </w:rPr>
      </w:pPr>
      <w:r>
        <w:rPr>
          <w:rFonts w:eastAsiaTheme="minorEastAsia"/>
        </w:rPr>
        <w:br w:type="page"/>
      </w:r>
    </w:p>
    <w:p w14:paraId="6201B314" w14:textId="77777777" w:rsidR="006E7D07" w:rsidRPr="003B35D2" w:rsidRDefault="006E7D07" w:rsidP="006E7D07">
      <w:pPr>
        <w:tabs>
          <w:tab w:val="left" w:pos="1329"/>
        </w:tabs>
        <w:spacing w:after="156"/>
        <w:rPr>
          <w:rFonts w:eastAsiaTheme="minorEastAsia"/>
          <w:b/>
          <w:bCs/>
        </w:rPr>
      </w:pPr>
      <w:r w:rsidRPr="003B35D2">
        <w:rPr>
          <w:rFonts w:eastAsiaTheme="minorEastAsia"/>
          <w:b/>
          <w:bCs/>
        </w:rPr>
        <w:lastRenderedPageBreak/>
        <w:t>List of figures</w:t>
      </w:r>
    </w:p>
    <w:p w14:paraId="763FF8FA" w14:textId="77777777" w:rsidR="006E7D07" w:rsidRDefault="006E7D07" w:rsidP="006E7D07">
      <w:pPr>
        <w:tabs>
          <w:tab w:val="left" w:pos="1329"/>
        </w:tabs>
        <w:spacing w:after="156"/>
        <w:rPr>
          <w:rFonts w:eastAsiaTheme="minorEastAsia"/>
        </w:rPr>
      </w:pPr>
      <w:r w:rsidRPr="00AD6035">
        <w:rPr>
          <w:rFonts w:eastAsiaTheme="minorEastAsia"/>
          <w:b/>
          <w:bCs/>
        </w:rPr>
        <w:t>Figure 1</w:t>
      </w:r>
      <w:r>
        <w:rPr>
          <w:rFonts w:eastAsiaTheme="minorEastAsia"/>
        </w:rPr>
        <w:t xml:space="preserve">. </w:t>
      </w:r>
      <w:r w:rsidRPr="00AD6035">
        <w:rPr>
          <w:rFonts w:eastAsiaTheme="minorEastAsia"/>
        </w:rPr>
        <w:t>A conceptual AVI framework to assess the GBSs related to pedestrian movement</w:t>
      </w:r>
    </w:p>
    <w:p w14:paraId="0F3F928C" w14:textId="77777777" w:rsidR="006E7D07" w:rsidRPr="00AD6035" w:rsidRDefault="006E7D07" w:rsidP="006E7D07">
      <w:pPr>
        <w:spacing w:after="156"/>
        <w:rPr>
          <w:rFonts w:eastAsiaTheme="minorEastAsia"/>
        </w:rPr>
      </w:pPr>
      <w:r w:rsidRPr="00AD6035">
        <w:rPr>
          <w:rFonts w:eastAsiaTheme="minorEastAsia"/>
          <w:b/>
          <w:bCs/>
        </w:rPr>
        <w:t>Figure 2</w:t>
      </w:r>
      <w:r>
        <w:rPr>
          <w:rFonts w:eastAsiaTheme="minorEastAsia"/>
        </w:rPr>
        <w:t xml:space="preserve">. </w:t>
      </w:r>
      <w:r w:rsidRPr="00D117F9">
        <w:rPr>
          <w:rFonts w:eastAsiaTheme="minorEastAsia"/>
        </w:rPr>
        <w:t>The location of Guangzhou city in China and its administrative districts are presented in (a). The spatial distributions of green and blue spaces in Guangzhou are shown in (b) and (c), respectively.</w:t>
      </w:r>
    </w:p>
    <w:p w14:paraId="14E5C4ED" w14:textId="77777777" w:rsidR="006E7D07" w:rsidRDefault="006E7D07" w:rsidP="006E7D07">
      <w:pPr>
        <w:tabs>
          <w:tab w:val="left" w:pos="1329"/>
        </w:tabs>
        <w:spacing w:after="156"/>
        <w:rPr>
          <w:rFonts w:eastAsiaTheme="minorEastAsia"/>
        </w:rPr>
      </w:pPr>
      <w:r w:rsidRPr="00AD6035">
        <w:rPr>
          <w:rFonts w:eastAsiaTheme="minorEastAsia"/>
          <w:b/>
          <w:bCs/>
        </w:rPr>
        <w:t>Figure 3</w:t>
      </w:r>
      <w:r>
        <w:rPr>
          <w:rFonts w:eastAsiaTheme="minorEastAsia"/>
        </w:rPr>
        <w:t xml:space="preserve">. </w:t>
      </w:r>
      <w:r w:rsidRPr="00D117F9">
        <w:rPr>
          <w:rFonts w:eastAsiaTheme="minorEastAsia"/>
        </w:rPr>
        <w:t xml:space="preserve">The analytical framework for GBSs evaluation based on </w:t>
      </w:r>
      <w:r>
        <w:rPr>
          <w:rFonts w:eastAsiaTheme="minorEastAsia"/>
        </w:rPr>
        <w:t xml:space="preserve">the </w:t>
      </w:r>
      <w:r w:rsidRPr="00D117F9">
        <w:rPr>
          <w:rFonts w:eastAsiaTheme="minorEastAsia"/>
        </w:rPr>
        <w:t>AVI framework</w:t>
      </w:r>
    </w:p>
    <w:p w14:paraId="4DC07730" w14:textId="77777777" w:rsidR="006E7D07" w:rsidRDefault="006E7D07" w:rsidP="006E7D07">
      <w:pPr>
        <w:tabs>
          <w:tab w:val="left" w:pos="1329"/>
        </w:tabs>
        <w:spacing w:after="156"/>
        <w:rPr>
          <w:rFonts w:eastAsiaTheme="minorEastAsia"/>
        </w:rPr>
      </w:pPr>
      <w:r w:rsidRPr="00AD6035">
        <w:rPr>
          <w:rFonts w:eastAsiaTheme="minorEastAsia"/>
          <w:b/>
          <w:bCs/>
        </w:rPr>
        <w:t>Figure 4</w:t>
      </w:r>
      <w:r>
        <w:rPr>
          <w:rFonts w:eastAsiaTheme="minorEastAsia"/>
        </w:rPr>
        <w:t xml:space="preserve">. </w:t>
      </w:r>
      <w:r w:rsidRPr="00D117F9">
        <w:rPr>
          <w:rFonts w:eastAsiaTheme="minorEastAsia"/>
          <w:noProof/>
        </w:rPr>
        <w:t>Measurem</w:t>
      </w:r>
      <w:r>
        <w:rPr>
          <w:rFonts w:eastAsiaTheme="minorEastAsia"/>
          <w:noProof/>
        </w:rPr>
        <w:t>ent</w:t>
      </w:r>
      <w:r w:rsidRPr="00D117F9">
        <w:rPr>
          <w:rFonts w:eastAsiaTheme="minorEastAsia"/>
          <w:noProof/>
        </w:rPr>
        <w:t>s of urban spatial configurations b</w:t>
      </w:r>
      <w:r>
        <w:rPr>
          <w:rFonts w:eastAsiaTheme="minorEastAsia"/>
          <w:noProof/>
        </w:rPr>
        <w:t>as</w:t>
      </w:r>
      <w:r w:rsidRPr="00D117F9">
        <w:rPr>
          <w:rFonts w:eastAsiaTheme="minorEastAsia"/>
          <w:noProof/>
        </w:rPr>
        <w:t xml:space="preserve">ed on sDNA tool. Spaces with darker colors have higher values of </w:t>
      </w:r>
      <w:r w:rsidRPr="00D117F9">
        <w:rPr>
          <w:rFonts w:eastAsiaTheme="minorEastAsia"/>
        </w:rPr>
        <w:t xml:space="preserve">NQPDA over </w:t>
      </w:r>
      <w:r>
        <w:rPr>
          <w:rFonts w:eastAsiaTheme="minorEastAsia"/>
        </w:rPr>
        <w:t xml:space="preserve">the </w:t>
      </w:r>
      <w:r w:rsidRPr="00D117F9">
        <w:rPr>
          <w:rFonts w:eastAsiaTheme="minorEastAsia"/>
        </w:rPr>
        <w:t xml:space="preserve">whole city (a), local NQPDA (b), local </w:t>
      </w:r>
      <w:proofErr w:type="spellStart"/>
      <w:r w:rsidRPr="00D117F9">
        <w:rPr>
          <w:rFonts w:eastAsiaTheme="minorEastAsia"/>
        </w:rPr>
        <w:t>TPBtA</w:t>
      </w:r>
      <w:proofErr w:type="spellEnd"/>
      <w:r w:rsidRPr="00D117F9">
        <w:rPr>
          <w:rFonts w:eastAsiaTheme="minorEastAsia"/>
        </w:rPr>
        <w:t xml:space="preserve"> (c), and </w:t>
      </w:r>
      <w:proofErr w:type="spellStart"/>
      <w:r w:rsidRPr="00D117F9">
        <w:rPr>
          <w:rFonts w:eastAsiaTheme="minorEastAsia"/>
        </w:rPr>
        <w:t>LConn</w:t>
      </w:r>
      <w:proofErr w:type="spellEnd"/>
      <w:r w:rsidRPr="00D117F9">
        <w:rPr>
          <w:rFonts w:eastAsiaTheme="minorEastAsia"/>
        </w:rPr>
        <w:t xml:space="preserve"> (d).</w:t>
      </w:r>
    </w:p>
    <w:p w14:paraId="6BA94407" w14:textId="77777777" w:rsidR="006E7D07" w:rsidRDefault="006E7D07" w:rsidP="006E7D07">
      <w:pPr>
        <w:spacing w:after="156"/>
        <w:rPr>
          <w:rFonts w:eastAsiaTheme="minorEastAsia"/>
        </w:rPr>
      </w:pPr>
      <w:r w:rsidRPr="00AD6035">
        <w:rPr>
          <w:rFonts w:eastAsiaTheme="minorEastAsia"/>
          <w:b/>
          <w:bCs/>
        </w:rPr>
        <w:t>Figure 5</w:t>
      </w:r>
      <w:r>
        <w:rPr>
          <w:rFonts w:eastAsiaTheme="minorEastAsia"/>
        </w:rPr>
        <w:t xml:space="preserve">. Accessibility, visibility, and intelligibility of each GBS are depicted in (a), (b), and (c), respectively. </w:t>
      </w:r>
      <w:r w:rsidRPr="005462D0">
        <w:rPr>
          <w:rFonts w:eastAsiaTheme="minorEastAsia"/>
        </w:rPr>
        <w:t xml:space="preserve">Also, the averaged values of three indicators </w:t>
      </w:r>
      <w:r>
        <w:rPr>
          <w:rFonts w:eastAsiaTheme="minorEastAsia"/>
        </w:rPr>
        <w:t xml:space="preserve">in each GBS </w:t>
      </w:r>
      <w:r w:rsidRPr="005462D0">
        <w:rPr>
          <w:rFonts w:eastAsiaTheme="minorEastAsia"/>
        </w:rPr>
        <w:t>are shown in (d)</w:t>
      </w:r>
      <w:r>
        <w:rPr>
          <w:rFonts w:eastAsiaTheme="minorEastAsia"/>
        </w:rPr>
        <w:t xml:space="preserve">. </w:t>
      </w:r>
    </w:p>
    <w:p w14:paraId="57A3A758" w14:textId="77777777" w:rsidR="006E7D07" w:rsidRDefault="006E7D07" w:rsidP="006E7D07">
      <w:pPr>
        <w:tabs>
          <w:tab w:val="left" w:pos="1329"/>
        </w:tabs>
        <w:spacing w:after="156"/>
        <w:rPr>
          <w:rFonts w:eastAsiaTheme="minorEastAsia"/>
        </w:rPr>
      </w:pPr>
      <w:r w:rsidRPr="00AD6035">
        <w:rPr>
          <w:rFonts w:eastAsiaTheme="minorEastAsia"/>
          <w:b/>
          <w:bCs/>
        </w:rPr>
        <w:t xml:space="preserve">Figure </w:t>
      </w:r>
      <w:proofErr w:type="gramStart"/>
      <w:r w:rsidRPr="00AD6035">
        <w:rPr>
          <w:rFonts w:eastAsiaTheme="minorEastAsia"/>
          <w:b/>
          <w:bCs/>
        </w:rPr>
        <w:t>6</w:t>
      </w:r>
      <w:r>
        <w:rPr>
          <w:rFonts w:eastAsiaTheme="minorEastAsia"/>
        </w:rPr>
        <w:t>.</w:t>
      </w:r>
      <w:r w:rsidRPr="00D117F9">
        <w:rPr>
          <w:rFonts w:eastAsiaTheme="minorEastAsia"/>
        </w:rPr>
        <w:t>Three</w:t>
      </w:r>
      <w:proofErr w:type="gramEnd"/>
      <w:r w:rsidRPr="00D117F9">
        <w:rPr>
          <w:rFonts w:eastAsiaTheme="minorEastAsia"/>
        </w:rPr>
        <w:t xml:space="preserve"> indicators of GBSs evaluation in each district of Guangzhou city ((a)~(c)). Districts with deeper color have higher values of accessibility, visibility, intelligibility. Also, the averaged values of three indicators </w:t>
      </w:r>
      <w:r>
        <w:rPr>
          <w:rFonts w:eastAsiaTheme="minorEastAsia" w:hint="eastAsia"/>
        </w:rPr>
        <w:t>in</w:t>
      </w:r>
      <w:r>
        <w:rPr>
          <w:rFonts w:eastAsiaTheme="minorEastAsia"/>
        </w:rPr>
        <w:t xml:space="preserve"> districts </w:t>
      </w:r>
      <w:r w:rsidRPr="00D117F9">
        <w:rPr>
          <w:rFonts w:eastAsiaTheme="minorEastAsia"/>
        </w:rPr>
        <w:t>are shown in (d), which illustrate the AVI-averaged evaluations of GBSs. The names of each administrative district can be found in (e).</w:t>
      </w:r>
    </w:p>
    <w:p w14:paraId="3C57BCE7" w14:textId="77777777" w:rsidR="006E7D07" w:rsidRDefault="006E7D07" w:rsidP="006E7D07">
      <w:pPr>
        <w:tabs>
          <w:tab w:val="left" w:pos="1329"/>
        </w:tabs>
        <w:spacing w:after="156"/>
        <w:rPr>
          <w:rFonts w:eastAsiaTheme="minorEastAsia"/>
        </w:rPr>
      </w:pPr>
      <w:r w:rsidRPr="00AD6035">
        <w:rPr>
          <w:rFonts w:eastAsiaTheme="minorEastAsia"/>
          <w:b/>
          <w:bCs/>
        </w:rPr>
        <w:t xml:space="preserve">Figure </w:t>
      </w:r>
      <w:proofErr w:type="gramStart"/>
      <w:r>
        <w:rPr>
          <w:rFonts w:eastAsiaTheme="minorEastAsia"/>
          <w:b/>
          <w:bCs/>
        </w:rPr>
        <w:t>7</w:t>
      </w:r>
      <w:r>
        <w:rPr>
          <w:rFonts w:eastAsiaTheme="minorEastAsia"/>
        </w:rPr>
        <w:t>.</w:t>
      </w:r>
      <w:r w:rsidRPr="00D117F9">
        <w:rPr>
          <w:rFonts w:eastAsiaTheme="minorEastAsia"/>
        </w:rPr>
        <w:t>The</w:t>
      </w:r>
      <w:proofErr w:type="gramEnd"/>
      <w:r w:rsidRPr="00D117F9">
        <w:rPr>
          <w:rFonts w:eastAsiaTheme="minorEastAsia"/>
        </w:rPr>
        <w:t xml:space="preserve"> contributions of accessibility, visibility, and intelligibility to GBSs evaluation in both PC1 and PC2.</w:t>
      </w:r>
    </w:p>
    <w:p w14:paraId="0CF6ACE8" w14:textId="77777777" w:rsidR="006E7D07" w:rsidRDefault="006E7D07" w:rsidP="006E7D07">
      <w:pPr>
        <w:tabs>
          <w:tab w:val="left" w:pos="1329"/>
        </w:tabs>
        <w:spacing w:after="156"/>
        <w:rPr>
          <w:rFonts w:eastAsiaTheme="minorEastAsia"/>
        </w:rPr>
      </w:pPr>
      <w:r w:rsidRPr="000D5288">
        <w:rPr>
          <w:rFonts w:eastAsiaTheme="minorEastAsia"/>
        </w:rPr>
        <w:t>Figure 8. Accessibility, visibility, and intelligibility scores of GBSs in PC1 and PC2 are shown in (a</w:t>
      </w:r>
      <w:proofErr w:type="gramStart"/>
      <w:r w:rsidRPr="000D5288">
        <w:rPr>
          <w:rFonts w:eastAsiaTheme="minorEastAsia"/>
        </w:rPr>
        <w:t>1)~</w:t>
      </w:r>
      <w:proofErr w:type="gramEnd"/>
      <w:r w:rsidRPr="000D5288">
        <w:rPr>
          <w:rFonts w:eastAsiaTheme="minorEastAsia"/>
        </w:rPr>
        <w:t>(a3) and (b1)~(b3), respectively. AVI-weighted scores of GBSs illustrate the overall GBSs’ pedestrian friendliness in PC1 (a4) and P</w:t>
      </w:r>
    </w:p>
    <w:p w14:paraId="6E540297" w14:textId="77777777" w:rsidR="006E7D07" w:rsidRDefault="006E7D07" w:rsidP="006E7D07">
      <w:pPr>
        <w:tabs>
          <w:tab w:val="left" w:pos="1329"/>
        </w:tabs>
        <w:spacing w:after="156"/>
        <w:rPr>
          <w:rFonts w:eastAsiaTheme="minorEastAsia"/>
        </w:rPr>
      </w:pPr>
      <w:r w:rsidRPr="00AD6035">
        <w:rPr>
          <w:rFonts w:eastAsiaTheme="minorEastAsia"/>
          <w:b/>
          <w:bCs/>
        </w:rPr>
        <w:t xml:space="preserve">Figure </w:t>
      </w:r>
      <w:r>
        <w:rPr>
          <w:rFonts w:eastAsiaTheme="minorEastAsia"/>
          <w:b/>
          <w:bCs/>
        </w:rPr>
        <w:t xml:space="preserve">9. </w:t>
      </w:r>
      <w:r w:rsidRPr="00D117F9">
        <w:rPr>
          <w:rFonts w:eastAsiaTheme="minorEastAsia"/>
        </w:rPr>
        <w:t>AVI-weighted evaluations of GBSs in Guangzhou city based on PCA analysis. Accessibility, visibility, and intelligibility scores of GBSs in PC1 and PC2 are shown in (a</w:t>
      </w:r>
      <w:proofErr w:type="gramStart"/>
      <w:r w:rsidRPr="00D117F9">
        <w:rPr>
          <w:rFonts w:eastAsiaTheme="minorEastAsia"/>
        </w:rPr>
        <w:t>1)~</w:t>
      </w:r>
      <w:proofErr w:type="gramEnd"/>
      <w:r w:rsidRPr="00D117F9">
        <w:rPr>
          <w:rFonts w:eastAsiaTheme="minorEastAsia"/>
        </w:rPr>
        <w:t>(a3) and (b1)~(b3)</w:t>
      </w:r>
      <w:r>
        <w:rPr>
          <w:rFonts w:eastAsiaTheme="minorEastAsia"/>
        </w:rPr>
        <w:t>,</w:t>
      </w:r>
      <w:r w:rsidRPr="00D117F9">
        <w:rPr>
          <w:rFonts w:eastAsiaTheme="minorEastAsia"/>
        </w:rPr>
        <w:t xml:space="preserve"> respectively. AVI comparisons show similar spatial patterns of AVI between PC1 (a5) and PC2 (b5). Integrating AVI indicators, AVI-weighted scores of GBSs illustrate the overall GBSs quality in PC1 (a4) and PC2 (b4). The names of each administrative district can be found in (c).</w:t>
      </w:r>
    </w:p>
    <w:p w14:paraId="27F4518B" w14:textId="77777777" w:rsidR="006E7D07" w:rsidRPr="00AD6035" w:rsidRDefault="006E7D07" w:rsidP="006E7D07">
      <w:pPr>
        <w:tabs>
          <w:tab w:val="left" w:pos="1329"/>
        </w:tabs>
        <w:spacing w:after="156"/>
        <w:rPr>
          <w:rFonts w:eastAsiaTheme="minorEastAsia"/>
        </w:rPr>
      </w:pPr>
      <w:r w:rsidRPr="00AD6035">
        <w:rPr>
          <w:rFonts w:eastAsiaTheme="minorEastAsia"/>
          <w:b/>
          <w:bCs/>
        </w:rPr>
        <w:t xml:space="preserve">Figure </w:t>
      </w:r>
      <w:r>
        <w:rPr>
          <w:rFonts w:eastAsiaTheme="minorEastAsia"/>
          <w:b/>
          <w:bCs/>
        </w:rPr>
        <w:t>10</w:t>
      </w:r>
      <w:r>
        <w:rPr>
          <w:rFonts w:eastAsiaTheme="minorEastAsia"/>
        </w:rPr>
        <w:t xml:space="preserve">. </w:t>
      </w:r>
      <w:r w:rsidRPr="00D117F9">
        <w:rPr>
          <w:rFonts w:eastAsiaTheme="minorEastAsia"/>
        </w:rPr>
        <w:t xml:space="preserve">The contributions of </w:t>
      </w:r>
      <w:r w:rsidRPr="00D117F9">
        <w:rPr>
          <w:rFonts w:eastAsiaTheme="minorEastAsia" w:hint="eastAsia"/>
        </w:rPr>
        <w:t>each</w:t>
      </w:r>
      <w:r w:rsidRPr="00D117F9">
        <w:rPr>
          <w:rFonts w:eastAsiaTheme="minorEastAsia"/>
        </w:rPr>
        <w:t xml:space="preserve"> district to AVI-weighted GBSs over the city in the first two PCs. The red dashed line indicates the expected averaged contributions if the contribution of each district is uniform.</w:t>
      </w:r>
    </w:p>
    <w:p w14:paraId="62E9108B" w14:textId="77777777" w:rsidR="006E7D07" w:rsidRPr="003B35D2" w:rsidRDefault="006E7D07" w:rsidP="006E7D07">
      <w:pPr>
        <w:tabs>
          <w:tab w:val="left" w:pos="1329"/>
        </w:tabs>
        <w:spacing w:after="156"/>
        <w:rPr>
          <w:rFonts w:eastAsiaTheme="minorEastAsia"/>
        </w:rPr>
        <w:sectPr w:rsidR="006E7D07" w:rsidRPr="003B35D2">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pPr>
      <w:r>
        <w:rPr>
          <w:rFonts w:eastAsiaTheme="minorEastAsia"/>
        </w:rPr>
        <w:tab/>
      </w:r>
    </w:p>
    <w:p w14:paraId="222C968A" w14:textId="77777777" w:rsidR="006E7D07" w:rsidRPr="00D117F9" w:rsidRDefault="006E7D07" w:rsidP="006E7D07">
      <w:pPr>
        <w:spacing w:after="156"/>
        <w:rPr>
          <w:rFonts w:eastAsiaTheme="minorEastAsia"/>
        </w:rPr>
      </w:pPr>
      <w:r w:rsidRPr="00D117F9">
        <w:rPr>
          <w:rFonts w:eastAsiaTheme="minorEastAsia"/>
          <w:noProof/>
        </w:rPr>
        <w:lastRenderedPageBreak/>
        <w:drawing>
          <wp:inline distT="0" distB="0" distL="0" distR="0" wp14:anchorId="3D3E2317" wp14:editId="13D4F590">
            <wp:extent cx="5217554" cy="3492500"/>
            <wp:effectExtent l="0" t="0" r="0" b="0"/>
            <wp:docPr id="36" name="图片 35" descr="Diagram&#10;&#10;Description automatically generated">
              <a:extLst xmlns:a="http://schemas.openxmlformats.org/drawingml/2006/main">
                <a:ext uri="{FF2B5EF4-FFF2-40B4-BE49-F238E27FC236}">
                  <a16:creationId xmlns:a16="http://schemas.microsoft.com/office/drawing/2014/main" id="{D0691CE5-C1E2-49C4-BDCE-3A82164A2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Diagram&#10;&#10;Description automatically generated">
                      <a:extLst>
                        <a:ext uri="{FF2B5EF4-FFF2-40B4-BE49-F238E27FC236}">
                          <a16:creationId xmlns:a16="http://schemas.microsoft.com/office/drawing/2014/main" id="{D0691CE5-C1E2-49C4-BDCE-3A82164A240E}"/>
                        </a:ext>
                      </a:extLst>
                    </pic:cNvPr>
                    <pic:cNvPicPr>
                      <a:picLocks noChangeAspect="1"/>
                    </pic:cNvPicPr>
                  </pic:nvPicPr>
                  <pic:blipFill rotWithShape="1">
                    <a:blip r:embed="rId22"/>
                    <a:srcRect r="3684"/>
                    <a:stretch/>
                  </pic:blipFill>
                  <pic:spPr bwMode="auto">
                    <a:xfrm>
                      <a:off x="0" y="0"/>
                      <a:ext cx="5218202" cy="3492934"/>
                    </a:xfrm>
                    <a:prstGeom prst="rect">
                      <a:avLst/>
                    </a:prstGeom>
                    <a:ln>
                      <a:noFill/>
                    </a:ln>
                    <a:extLst>
                      <a:ext uri="{53640926-AAD7-44D8-BBD7-CCE9431645EC}">
                        <a14:shadowObscured xmlns:a14="http://schemas.microsoft.com/office/drawing/2010/main"/>
                      </a:ext>
                    </a:extLst>
                  </pic:spPr>
                </pic:pic>
              </a:graphicData>
            </a:graphic>
          </wp:inline>
        </w:drawing>
      </w:r>
    </w:p>
    <w:p w14:paraId="2397F125" w14:textId="77777777" w:rsidR="006E7D07" w:rsidRPr="00D117F9" w:rsidRDefault="006E7D07" w:rsidP="006E7D07">
      <w:pPr>
        <w:spacing w:after="156"/>
        <w:rPr>
          <w:rFonts w:eastAsiaTheme="minorEastAsia"/>
        </w:rPr>
      </w:pPr>
      <w:r w:rsidRPr="00AD6035">
        <w:rPr>
          <w:rFonts w:eastAsiaTheme="minorEastAsia"/>
          <w:b/>
          <w:bCs/>
        </w:rPr>
        <w:t>Figure 1</w:t>
      </w:r>
      <w:r w:rsidRPr="00D117F9">
        <w:rPr>
          <w:rFonts w:eastAsiaTheme="minorEastAsia"/>
        </w:rPr>
        <w:t xml:space="preserve">. A conceptual AVI framework to assess the GBSs related to </w:t>
      </w:r>
      <w:r w:rsidRPr="00D117F9">
        <w:rPr>
          <w:rFonts w:eastAsiaTheme="minorEastAsia" w:hint="eastAsia"/>
        </w:rPr>
        <w:t>pedestrian</w:t>
      </w:r>
      <w:r w:rsidRPr="00D117F9">
        <w:rPr>
          <w:rFonts w:eastAsiaTheme="minorEastAsia"/>
        </w:rPr>
        <w:t xml:space="preserve"> movement</w:t>
      </w:r>
    </w:p>
    <w:p w14:paraId="170AD716" w14:textId="77777777" w:rsidR="006E7D07" w:rsidRDefault="006E7D07" w:rsidP="006E7D07">
      <w:pPr>
        <w:spacing w:after="156"/>
        <w:rPr>
          <w:rFonts w:eastAsiaTheme="minorEastAsia"/>
        </w:rPr>
        <w:sectPr w:rsidR="006E7D07">
          <w:pgSz w:w="11906" w:h="16838"/>
          <w:pgMar w:top="1440" w:right="1800" w:bottom="1440" w:left="1800" w:header="851" w:footer="992" w:gutter="0"/>
          <w:cols w:space="425"/>
          <w:docGrid w:type="lines" w:linePitch="312"/>
        </w:sectPr>
      </w:pPr>
    </w:p>
    <w:p w14:paraId="15EA14C7" w14:textId="77777777" w:rsidR="006E7D07" w:rsidRPr="00D117F9" w:rsidRDefault="006E7D07" w:rsidP="006E7D07">
      <w:pPr>
        <w:spacing w:after="156"/>
        <w:jc w:val="left"/>
        <w:rPr>
          <w:rFonts w:eastAsiaTheme="minorEastAsia"/>
        </w:rPr>
      </w:pPr>
      <w:r w:rsidRPr="00D117F9">
        <w:rPr>
          <w:rFonts w:eastAsiaTheme="minorEastAsia"/>
          <w:noProof/>
        </w:rPr>
        <w:lastRenderedPageBreak/>
        <w:drawing>
          <wp:inline distT="0" distB="0" distL="0" distR="0" wp14:anchorId="6BDD3E5F" wp14:editId="21AEB108">
            <wp:extent cx="5178453" cy="6350000"/>
            <wp:effectExtent l="0" t="0" r="3175" b="0"/>
            <wp:docPr id="4" name="图片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361" cy="6353566"/>
                    </a:xfrm>
                    <a:prstGeom prst="rect">
                      <a:avLst/>
                    </a:prstGeom>
                    <a:noFill/>
                  </pic:spPr>
                </pic:pic>
              </a:graphicData>
            </a:graphic>
          </wp:inline>
        </w:drawing>
      </w:r>
    </w:p>
    <w:p w14:paraId="502BC918" w14:textId="77777777" w:rsidR="006E7D07" w:rsidRPr="00D117F9" w:rsidRDefault="006E7D07" w:rsidP="006E7D07">
      <w:pPr>
        <w:spacing w:after="156"/>
        <w:rPr>
          <w:rFonts w:eastAsiaTheme="minorEastAsia"/>
        </w:rPr>
      </w:pPr>
      <w:r w:rsidRPr="00AD6035">
        <w:rPr>
          <w:rFonts w:eastAsiaTheme="minorEastAsia"/>
          <w:b/>
          <w:bCs/>
        </w:rPr>
        <w:t>F</w:t>
      </w:r>
      <w:r w:rsidRPr="00AD6035">
        <w:rPr>
          <w:rFonts w:eastAsiaTheme="minorEastAsia" w:hint="eastAsia"/>
          <w:b/>
          <w:bCs/>
        </w:rPr>
        <w:t>igure</w:t>
      </w:r>
      <w:r w:rsidRPr="00AD6035">
        <w:rPr>
          <w:rFonts w:eastAsiaTheme="minorEastAsia"/>
          <w:b/>
          <w:bCs/>
        </w:rPr>
        <w:t xml:space="preserve"> 2</w:t>
      </w:r>
      <w:r w:rsidRPr="00D117F9">
        <w:rPr>
          <w:rFonts w:eastAsiaTheme="minorEastAsia"/>
        </w:rPr>
        <w:t>. The location of Guangzhou city in China and its administrative districts are presented in (a). The spatial distributions of green and blue spaces in Guangzhou are shown in (b) and (c), respectively.</w:t>
      </w:r>
    </w:p>
    <w:p w14:paraId="3ACE7D67" w14:textId="77777777" w:rsidR="006E7D07" w:rsidRDefault="006E7D07" w:rsidP="006E7D07">
      <w:pPr>
        <w:spacing w:after="156"/>
        <w:rPr>
          <w:rFonts w:eastAsiaTheme="minorEastAsia"/>
        </w:rPr>
        <w:sectPr w:rsidR="006E7D07">
          <w:pgSz w:w="11906" w:h="16838"/>
          <w:pgMar w:top="1440" w:right="1800" w:bottom="1440" w:left="1800" w:header="851" w:footer="992" w:gutter="0"/>
          <w:cols w:space="425"/>
          <w:docGrid w:type="lines" w:linePitch="312"/>
        </w:sectPr>
      </w:pPr>
    </w:p>
    <w:p w14:paraId="1EADB089" w14:textId="77777777" w:rsidR="006E7D07" w:rsidRPr="00D117F9" w:rsidRDefault="006E7D07" w:rsidP="006E7D07">
      <w:pPr>
        <w:spacing w:after="156"/>
        <w:rPr>
          <w:rFonts w:eastAsiaTheme="minorEastAsia"/>
        </w:rPr>
      </w:pPr>
      <w:r w:rsidRPr="00D117F9">
        <w:rPr>
          <w:rFonts w:eastAsiaTheme="minorEastAsia"/>
          <w:noProof/>
        </w:rPr>
        <w:lastRenderedPageBreak/>
        <w:drawing>
          <wp:inline distT="0" distB="0" distL="0" distR="0" wp14:anchorId="45CA56C0" wp14:editId="7E6ECB3A">
            <wp:extent cx="5274310" cy="3221990"/>
            <wp:effectExtent l="0" t="0" r="2540" b="0"/>
            <wp:docPr id="12" name="图片 11" descr="Diagram&#10;&#10;Description automatically generated">
              <a:extLst xmlns:a="http://schemas.openxmlformats.org/drawingml/2006/main">
                <a:ext uri="{FF2B5EF4-FFF2-40B4-BE49-F238E27FC236}">
                  <a16:creationId xmlns:a16="http://schemas.microsoft.com/office/drawing/2014/main" id="{2C699607-87AA-4126-8498-0B1A483C6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Diagram&#10;&#10;Description automatically generated">
                      <a:extLst>
                        <a:ext uri="{FF2B5EF4-FFF2-40B4-BE49-F238E27FC236}">
                          <a16:creationId xmlns:a16="http://schemas.microsoft.com/office/drawing/2014/main" id="{2C699607-87AA-4126-8498-0B1A483C6C69}"/>
                        </a:ext>
                      </a:extLst>
                    </pic:cNvPr>
                    <pic:cNvPicPr>
                      <a:picLocks noChangeAspect="1"/>
                    </pic:cNvPicPr>
                  </pic:nvPicPr>
                  <pic:blipFill>
                    <a:blip r:embed="rId24"/>
                    <a:stretch>
                      <a:fillRect/>
                    </a:stretch>
                  </pic:blipFill>
                  <pic:spPr>
                    <a:xfrm>
                      <a:off x="0" y="0"/>
                      <a:ext cx="5274310" cy="3221990"/>
                    </a:xfrm>
                    <a:prstGeom prst="rect">
                      <a:avLst/>
                    </a:prstGeom>
                  </pic:spPr>
                </pic:pic>
              </a:graphicData>
            </a:graphic>
          </wp:inline>
        </w:drawing>
      </w:r>
    </w:p>
    <w:p w14:paraId="085A42A0" w14:textId="77777777" w:rsidR="006E7D07" w:rsidRPr="00D117F9" w:rsidRDefault="006E7D07" w:rsidP="006E7D07">
      <w:pPr>
        <w:spacing w:after="156"/>
        <w:rPr>
          <w:rFonts w:eastAsiaTheme="minorEastAsia"/>
        </w:rPr>
      </w:pPr>
      <w:r w:rsidRPr="00AD6035">
        <w:rPr>
          <w:rFonts w:eastAsiaTheme="minorEastAsia"/>
          <w:b/>
          <w:bCs/>
        </w:rPr>
        <w:t>F</w:t>
      </w:r>
      <w:r w:rsidRPr="00AD6035">
        <w:rPr>
          <w:rFonts w:eastAsiaTheme="minorEastAsia" w:hint="eastAsia"/>
          <w:b/>
          <w:bCs/>
        </w:rPr>
        <w:t>igure</w:t>
      </w:r>
      <w:r w:rsidRPr="00AD6035">
        <w:rPr>
          <w:rFonts w:eastAsiaTheme="minorEastAsia"/>
          <w:b/>
          <w:bCs/>
        </w:rPr>
        <w:t xml:space="preserve"> 3</w:t>
      </w:r>
      <w:r w:rsidRPr="00D117F9">
        <w:rPr>
          <w:rFonts w:eastAsiaTheme="minorEastAsia"/>
        </w:rPr>
        <w:t>. The analytical framework for GBSs evaluation based on</w:t>
      </w:r>
      <w:r>
        <w:rPr>
          <w:rFonts w:eastAsiaTheme="minorEastAsia"/>
        </w:rPr>
        <w:t xml:space="preserve"> the</w:t>
      </w:r>
      <w:r w:rsidRPr="00D117F9">
        <w:rPr>
          <w:rFonts w:eastAsiaTheme="minorEastAsia"/>
        </w:rPr>
        <w:t xml:space="preserve"> AVI framework</w:t>
      </w:r>
    </w:p>
    <w:p w14:paraId="09BAB936" w14:textId="77777777" w:rsidR="006E7D07" w:rsidRDefault="006E7D07" w:rsidP="006E7D07">
      <w:pPr>
        <w:spacing w:after="156"/>
        <w:rPr>
          <w:rFonts w:eastAsiaTheme="minorEastAsia"/>
        </w:rPr>
        <w:sectPr w:rsidR="006E7D07">
          <w:pgSz w:w="11906" w:h="16838"/>
          <w:pgMar w:top="1440" w:right="1800" w:bottom="1440" w:left="1800" w:header="851" w:footer="992" w:gutter="0"/>
          <w:cols w:space="425"/>
          <w:docGrid w:type="lines" w:linePitch="312"/>
        </w:sectPr>
      </w:pPr>
    </w:p>
    <w:p w14:paraId="5B601239" w14:textId="77777777" w:rsidR="006E7D07" w:rsidRPr="00D117F9" w:rsidRDefault="006E7D07" w:rsidP="006E7D07">
      <w:pPr>
        <w:spacing w:after="156"/>
        <w:rPr>
          <w:noProof/>
        </w:rPr>
      </w:pPr>
      <w:r w:rsidRPr="00D117F9">
        <w:rPr>
          <w:noProof/>
        </w:rPr>
        <w:lastRenderedPageBreak/>
        <w:drawing>
          <wp:inline distT="0" distB="0" distL="0" distR="0" wp14:anchorId="7B777B35" wp14:editId="31BEAC4C">
            <wp:extent cx="4645265" cy="6024880"/>
            <wp:effectExtent l="0" t="0" r="3175" b="0"/>
            <wp:docPr id="2" name="图片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ture containing 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2629" cy="6034432"/>
                    </a:xfrm>
                    <a:prstGeom prst="rect">
                      <a:avLst/>
                    </a:prstGeom>
                    <a:noFill/>
                  </pic:spPr>
                </pic:pic>
              </a:graphicData>
            </a:graphic>
          </wp:inline>
        </w:drawing>
      </w:r>
    </w:p>
    <w:p w14:paraId="0FA80B19" w14:textId="77777777" w:rsidR="006E7D07" w:rsidRPr="00D117F9" w:rsidRDefault="006E7D07" w:rsidP="006E7D07">
      <w:pPr>
        <w:spacing w:after="156"/>
        <w:rPr>
          <w:rFonts w:eastAsiaTheme="minorEastAsia"/>
          <w:noProof/>
        </w:rPr>
      </w:pPr>
      <w:r w:rsidRPr="00AD6035">
        <w:rPr>
          <w:rFonts w:eastAsiaTheme="minorEastAsia"/>
          <w:b/>
          <w:bCs/>
          <w:noProof/>
        </w:rPr>
        <w:t>Figure 4</w:t>
      </w:r>
      <w:r w:rsidRPr="00D117F9">
        <w:rPr>
          <w:rFonts w:eastAsiaTheme="minorEastAsia"/>
          <w:noProof/>
        </w:rPr>
        <w:t>. Measurem</w:t>
      </w:r>
      <w:r>
        <w:rPr>
          <w:rFonts w:eastAsiaTheme="minorEastAsia"/>
          <w:noProof/>
        </w:rPr>
        <w:t>ent</w:t>
      </w:r>
      <w:r w:rsidRPr="00D117F9">
        <w:rPr>
          <w:rFonts w:eastAsiaTheme="minorEastAsia"/>
          <w:noProof/>
        </w:rPr>
        <w:t>s of urban spatial configurations b</w:t>
      </w:r>
      <w:r>
        <w:rPr>
          <w:rFonts w:eastAsiaTheme="minorEastAsia"/>
          <w:noProof/>
        </w:rPr>
        <w:t>as</w:t>
      </w:r>
      <w:r w:rsidRPr="00D117F9">
        <w:rPr>
          <w:rFonts w:eastAsiaTheme="minorEastAsia"/>
          <w:noProof/>
        </w:rPr>
        <w:t xml:space="preserve">ed on sDNA tool. Spaces with darker colors have higher values of </w:t>
      </w:r>
      <w:r w:rsidRPr="00D117F9">
        <w:rPr>
          <w:rFonts w:eastAsiaTheme="minorEastAsia"/>
        </w:rPr>
        <w:t xml:space="preserve">NQPDA over </w:t>
      </w:r>
      <w:r>
        <w:rPr>
          <w:rFonts w:eastAsiaTheme="minorEastAsia"/>
        </w:rPr>
        <w:t xml:space="preserve">the </w:t>
      </w:r>
      <w:r w:rsidRPr="00D117F9">
        <w:rPr>
          <w:rFonts w:eastAsiaTheme="minorEastAsia"/>
        </w:rPr>
        <w:t xml:space="preserve">whole city (a), local NQPDA (b), local </w:t>
      </w:r>
      <w:proofErr w:type="spellStart"/>
      <w:r w:rsidRPr="00D117F9">
        <w:rPr>
          <w:rFonts w:eastAsiaTheme="minorEastAsia"/>
        </w:rPr>
        <w:t>TPBtA</w:t>
      </w:r>
      <w:proofErr w:type="spellEnd"/>
      <w:r w:rsidRPr="00D117F9">
        <w:rPr>
          <w:rFonts w:eastAsiaTheme="minorEastAsia"/>
        </w:rPr>
        <w:t xml:space="preserve"> (c), and </w:t>
      </w:r>
      <w:proofErr w:type="spellStart"/>
      <w:r w:rsidRPr="00D117F9">
        <w:rPr>
          <w:rFonts w:eastAsiaTheme="minorEastAsia"/>
        </w:rPr>
        <w:t>LConn</w:t>
      </w:r>
      <w:proofErr w:type="spellEnd"/>
      <w:r w:rsidRPr="00D117F9">
        <w:rPr>
          <w:rFonts w:eastAsiaTheme="minorEastAsia"/>
        </w:rPr>
        <w:t xml:space="preserve"> (d).</w:t>
      </w:r>
    </w:p>
    <w:p w14:paraId="3CBE7142" w14:textId="77777777" w:rsidR="006E7D07" w:rsidRDefault="006E7D07" w:rsidP="006E7D07">
      <w:pPr>
        <w:spacing w:after="156"/>
        <w:rPr>
          <w:rFonts w:eastAsiaTheme="minorEastAsia"/>
        </w:rPr>
        <w:sectPr w:rsidR="006E7D07">
          <w:pgSz w:w="11906" w:h="16838"/>
          <w:pgMar w:top="1440" w:right="1800" w:bottom="1440" w:left="1800" w:header="851" w:footer="992" w:gutter="0"/>
          <w:cols w:space="425"/>
          <w:docGrid w:type="lines" w:linePitch="312"/>
        </w:sectPr>
      </w:pPr>
    </w:p>
    <w:p w14:paraId="710BCD23" w14:textId="77777777" w:rsidR="006E7D07" w:rsidRDefault="006E7D07" w:rsidP="006E7D07">
      <w:pPr>
        <w:spacing w:after="156"/>
        <w:rPr>
          <w:rFonts w:eastAsiaTheme="minorEastAsia"/>
        </w:rPr>
      </w:pPr>
      <w:r w:rsidRPr="00AF72AA">
        <w:rPr>
          <w:rFonts w:eastAsiaTheme="minorEastAsia"/>
          <w:noProof/>
        </w:rPr>
        <w:lastRenderedPageBreak/>
        <w:drawing>
          <wp:inline distT="0" distB="0" distL="0" distR="0" wp14:anchorId="7AE4A5D0" wp14:editId="30BA2455">
            <wp:extent cx="5111750" cy="5849649"/>
            <wp:effectExtent l="0" t="0" r="0" b="0"/>
            <wp:docPr id="19" name="图片 18" descr="A picture containing tree&#10;&#10;Description automatically generated">
              <a:extLst xmlns:a="http://schemas.openxmlformats.org/drawingml/2006/main">
                <a:ext uri="{FF2B5EF4-FFF2-40B4-BE49-F238E27FC236}">
                  <a16:creationId xmlns:a16="http://schemas.microsoft.com/office/drawing/2014/main" id="{9FA8EB4A-7451-4ED4-8D83-2785C6466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A picture containing tree&#10;&#10;Description automatically generated">
                      <a:extLst>
                        <a:ext uri="{FF2B5EF4-FFF2-40B4-BE49-F238E27FC236}">
                          <a16:creationId xmlns:a16="http://schemas.microsoft.com/office/drawing/2014/main" id="{9FA8EB4A-7451-4ED4-8D83-2785C6466A4F}"/>
                        </a:ext>
                      </a:extLst>
                    </pic:cNvPr>
                    <pic:cNvPicPr>
                      <a:picLocks noChangeAspect="1"/>
                    </pic:cNvPicPr>
                  </pic:nvPicPr>
                  <pic:blipFill>
                    <a:blip r:embed="rId26"/>
                    <a:stretch>
                      <a:fillRect/>
                    </a:stretch>
                  </pic:blipFill>
                  <pic:spPr>
                    <a:xfrm>
                      <a:off x="0" y="0"/>
                      <a:ext cx="5120864" cy="5860079"/>
                    </a:xfrm>
                    <a:prstGeom prst="rect">
                      <a:avLst/>
                    </a:prstGeom>
                  </pic:spPr>
                </pic:pic>
              </a:graphicData>
            </a:graphic>
          </wp:inline>
        </w:drawing>
      </w:r>
    </w:p>
    <w:p w14:paraId="6CC9A196" w14:textId="77777777" w:rsidR="006E7D07" w:rsidRDefault="006E7D07" w:rsidP="006E7D07">
      <w:pPr>
        <w:spacing w:after="156"/>
        <w:rPr>
          <w:rFonts w:eastAsiaTheme="minorEastAsia"/>
        </w:rPr>
      </w:pPr>
      <w:r>
        <w:rPr>
          <w:rFonts w:eastAsiaTheme="minorEastAsia" w:hint="eastAsia"/>
        </w:rPr>
        <w:t>Figure</w:t>
      </w:r>
      <w:r>
        <w:rPr>
          <w:rFonts w:eastAsiaTheme="minorEastAsia"/>
        </w:rPr>
        <w:t xml:space="preserve"> 5. Accessibility, visibility, and intelligibility of each GBS are depicted in (a), (b), and (c), respectively. </w:t>
      </w:r>
      <w:r w:rsidRPr="005462D0">
        <w:rPr>
          <w:rFonts w:eastAsiaTheme="minorEastAsia"/>
        </w:rPr>
        <w:t xml:space="preserve">Also, the averaged values of three indicators </w:t>
      </w:r>
      <w:r>
        <w:rPr>
          <w:rFonts w:eastAsiaTheme="minorEastAsia"/>
        </w:rPr>
        <w:t xml:space="preserve">in each GBS </w:t>
      </w:r>
      <w:r w:rsidRPr="005462D0">
        <w:rPr>
          <w:rFonts w:eastAsiaTheme="minorEastAsia"/>
        </w:rPr>
        <w:t>are shown in (d)</w:t>
      </w:r>
      <w:r>
        <w:rPr>
          <w:rFonts w:eastAsiaTheme="minorEastAsia"/>
        </w:rPr>
        <w:t xml:space="preserve">. </w:t>
      </w:r>
    </w:p>
    <w:p w14:paraId="0E48EAA9" w14:textId="77777777" w:rsidR="006E7D07" w:rsidRPr="00D117F9" w:rsidRDefault="006E7D07" w:rsidP="006E7D07">
      <w:pPr>
        <w:spacing w:after="156"/>
        <w:rPr>
          <w:rFonts w:eastAsiaTheme="minorEastAsia"/>
        </w:rPr>
      </w:pPr>
      <w:r w:rsidRPr="00D117F9">
        <w:rPr>
          <w:rFonts w:eastAsiaTheme="minorEastAsia"/>
          <w:noProof/>
        </w:rPr>
        <w:lastRenderedPageBreak/>
        <w:drawing>
          <wp:inline distT="0" distB="0" distL="0" distR="0" wp14:anchorId="7010AFCF" wp14:editId="4B359DB9">
            <wp:extent cx="5274310" cy="4317365"/>
            <wp:effectExtent l="0" t="0" r="2540" b="6985"/>
            <wp:docPr id="11" name="图片 10" descr="Map&#10;&#10;Description automatically generated">
              <a:extLst xmlns:a="http://schemas.openxmlformats.org/drawingml/2006/main">
                <a:ext uri="{FF2B5EF4-FFF2-40B4-BE49-F238E27FC236}">
                  <a16:creationId xmlns:a16="http://schemas.microsoft.com/office/drawing/2014/main" id="{F390BA05-B6FA-4C9E-96FF-F8D734B1E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Map&#10;&#10;Description automatically generated">
                      <a:extLst>
                        <a:ext uri="{FF2B5EF4-FFF2-40B4-BE49-F238E27FC236}">
                          <a16:creationId xmlns:a16="http://schemas.microsoft.com/office/drawing/2014/main" id="{F390BA05-B6FA-4C9E-96FF-F8D734B1EDB2}"/>
                        </a:ext>
                      </a:extLst>
                    </pic:cNvPr>
                    <pic:cNvPicPr>
                      <a:picLocks noChangeAspect="1"/>
                    </pic:cNvPicPr>
                  </pic:nvPicPr>
                  <pic:blipFill>
                    <a:blip r:embed="rId27"/>
                    <a:stretch>
                      <a:fillRect/>
                    </a:stretch>
                  </pic:blipFill>
                  <pic:spPr>
                    <a:xfrm>
                      <a:off x="0" y="0"/>
                      <a:ext cx="5274310" cy="4317365"/>
                    </a:xfrm>
                    <a:prstGeom prst="rect">
                      <a:avLst/>
                    </a:prstGeom>
                  </pic:spPr>
                </pic:pic>
              </a:graphicData>
            </a:graphic>
          </wp:inline>
        </w:drawing>
      </w:r>
    </w:p>
    <w:p w14:paraId="1E5F0FEA" w14:textId="77777777" w:rsidR="006E7D07" w:rsidRPr="00D117F9" w:rsidRDefault="006E7D07" w:rsidP="006E7D07">
      <w:pPr>
        <w:spacing w:after="156"/>
        <w:rPr>
          <w:rFonts w:eastAsiaTheme="minorEastAsia"/>
        </w:rPr>
      </w:pPr>
      <w:r w:rsidRPr="00AD6035">
        <w:rPr>
          <w:rFonts w:eastAsiaTheme="minorEastAsia"/>
          <w:b/>
          <w:bCs/>
        </w:rPr>
        <w:t>F</w:t>
      </w:r>
      <w:r w:rsidRPr="00AD6035">
        <w:rPr>
          <w:rFonts w:eastAsiaTheme="minorEastAsia" w:hint="eastAsia"/>
          <w:b/>
          <w:bCs/>
        </w:rPr>
        <w:t>igure</w:t>
      </w:r>
      <w:r w:rsidRPr="00AD6035">
        <w:rPr>
          <w:rFonts w:eastAsiaTheme="minorEastAsia"/>
          <w:b/>
          <w:bCs/>
        </w:rPr>
        <w:t xml:space="preserve"> </w:t>
      </w:r>
      <w:r>
        <w:rPr>
          <w:rFonts w:eastAsiaTheme="minorEastAsia"/>
          <w:b/>
          <w:bCs/>
        </w:rPr>
        <w:t>6</w:t>
      </w:r>
      <w:r w:rsidRPr="00D117F9">
        <w:rPr>
          <w:rFonts w:eastAsiaTheme="minorEastAsia"/>
        </w:rPr>
        <w:t xml:space="preserve">. Three indicators of GBSs evaluation in each district of Guangzhou city ((a)~(c)). Districts with deeper color have higher values of accessibility, visibility, intelligibility. Also, the averaged values of three indicators </w:t>
      </w:r>
      <w:r>
        <w:rPr>
          <w:rFonts w:eastAsiaTheme="minorEastAsia"/>
        </w:rPr>
        <w:t xml:space="preserve">in districts </w:t>
      </w:r>
      <w:r w:rsidRPr="00D117F9">
        <w:rPr>
          <w:rFonts w:eastAsiaTheme="minorEastAsia"/>
        </w:rPr>
        <w:t>are shown in (d), which illustrate the AVI-averaged evaluations of GBSs. The names of each administrative district can be found in (e).</w:t>
      </w:r>
    </w:p>
    <w:p w14:paraId="3FF25887" w14:textId="77777777" w:rsidR="006E7D07" w:rsidRDefault="006E7D07" w:rsidP="006E7D07">
      <w:pPr>
        <w:spacing w:after="156"/>
        <w:rPr>
          <w:rFonts w:eastAsiaTheme="minorEastAsia"/>
        </w:rPr>
        <w:sectPr w:rsidR="006E7D07">
          <w:pgSz w:w="11906" w:h="16838"/>
          <w:pgMar w:top="1440" w:right="1800" w:bottom="1440" w:left="1800" w:header="851" w:footer="992" w:gutter="0"/>
          <w:cols w:space="425"/>
          <w:docGrid w:type="lines" w:linePitch="312"/>
        </w:sectPr>
      </w:pPr>
    </w:p>
    <w:p w14:paraId="4F3B08AF" w14:textId="77777777" w:rsidR="006E7D07" w:rsidRDefault="006E7D07" w:rsidP="006E7D07">
      <w:pPr>
        <w:spacing w:after="163"/>
        <w:rPr>
          <w:rFonts w:eastAsiaTheme="minorEastAsia"/>
        </w:rPr>
      </w:pPr>
    </w:p>
    <w:p w14:paraId="26C91304" w14:textId="77777777" w:rsidR="006E7D07" w:rsidRPr="00D117F9" w:rsidRDefault="006E7D07" w:rsidP="006E7D07">
      <w:pPr>
        <w:spacing w:after="163"/>
        <w:rPr>
          <w:rFonts w:eastAsiaTheme="minorEastAsia"/>
        </w:rPr>
      </w:pPr>
      <w:r w:rsidRPr="00521B90">
        <w:rPr>
          <w:rFonts w:eastAsiaTheme="minorEastAsia"/>
          <w:noProof/>
        </w:rPr>
        <w:drawing>
          <wp:inline distT="0" distB="0" distL="0" distR="0" wp14:anchorId="62F0900E" wp14:editId="41D35EB9">
            <wp:extent cx="5274310" cy="3502660"/>
            <wp:effectExtent l="0" t="0" r="0" b="2540"/>
            <wp:docPr id="14" name="图片 13" descr="Chart, line chart&#10;&#10;Description automatically generated">
              <a:extLst xmlns:a="http://schemas.openxmlformats.org/drawingml/2006/main">
                <a:ext uri="{FF2B5EF4-FFF2-40B4-BE49-F238E27FC236}">
                  <a16:creationId xmlns:a16="http://schemas.microsoft.com/office/drawing/2014/main" id="{44D7DE55-3ABE-489A-9DC5-5451E20D6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hart, line chart&#10;&#10;Description automatically generated">
                      <a:extLst>
                        <a:ext uri="{FF2B5EF4-FFF2-40B4-BE49-F238E27FC236}">
                          <a16:creationId xmlns:a16="http://schemas.microsoft.com/office/drawing/2014/main" id="{44D7DE55-3ABE-489A-9DC5-5451E20D6A57}"/>
                        </a:ext>
                      </a:extLst>
                    </pic:cNvPr>
                    <pic:cNvPicPr>
                      <a:picLocks noChangeAspect="1"/>
                    </pic:cNvPicPr>
                  </pic:nvPicPr>
                  <pic:blipFill>
                    <a:blip r:embed="rId28"/>
                    <a:stretch>
                      <a:fillRect/>
                    </a:stretch>
                  </pic:blipFill>
                  <pic:spPr>
                    <a:xfrm>
                      <a:off x="0" y="0"/>
                      <a:ext cx="5274310" cy="3502660"/>
                    </a:xfrm>
                    <a:prstGeom prst="rect">
                      <a:avLst/>
                    </a:prstGeom>
                  </pic:spPr>
                </pic:pic>
              </a:graphicData>
            </a:graphic>
          </wp:inline>
        </w:drawing>
      </w:r>
    </w:p>
    <w:p w14:paraId="0AEB5A72" w14:textId="77777777" w:rsidR="006E7D07" w:rsidRPr="00D117F9" w:rsidRDefault="006E7D07" w:rsidP="006E7D07">
      <w:pPr>
        <w:spacing w:after="163"/>
        <w:rPr>
          <w:rFonts w:eastAsiaTheme="minorEastAsia"/>
        </w:rPr>
      </w:pPr>
      <w:r w:rsidRPr="00AD6035">
        <w:rPr>
          <w:rFonts w:eastAsiaTheme="minorEastAsia"/>
          <w:b/>
          <w:bCs/>
        </w:rPr>
        <w:t xml:space="preserve">Figure </w:t>
      </w:r>
      <w:r>
        <w:rPr>
          <w:rFonts w:eastAsiaTheme="minorEastAsia"/>
          <w:b/>
          <w:bCs/>
        </w:rPr>
        <w:t>7</w:t>
      </w:r>
      <w:r w:rsidRPr="00D117F9">
        <w:rPr>
          <w:rFonts w:eastAsiaTheme="minorEastAsia"/>
        </w:rPr>
        <w:t xml:space="preserve">. The contributions of accessibility, visibility, and intelligibility to GBSs evaluation in both PC1 and PC2. </w:t>
      </w:r>
    </w:p>
    <w:p w14:paraId="01F980AA" w14:textId="77777777" w:rsidR="006E7D07" w:rsidRDefault="006E7D07" w:rsidP="006E7D07">
      <w:pPr>
        <w:spacing w:after="163"/>
        <w:rPr>
          <w:noProof/>
        </w:rPr>
      </w:pPr>
      <w:r w:rsidRPr="00CE4245">
        <w:rPr>
          <w:noProof/>
        </w:rPr>
        <w:lastRenderedPageBreak/>
        <w:t xml:space="preserve"> </w:t>
      </w:r>
      <w:r w:rsidRPr="00CE4245">
        <w:rPr>
          <w:noProof/>
        </w:rPr>
        <w:drawing>
          <wp:inline distT="0" distB="0" distL="0" distR="0" wp14:anchorId="64E5BFCA" wp14:editId="5CFB8764">
            <wp:extent cx="7200900" cy="4698773"/>
            <wp:effectExtent l="0" t="0" r="0" b="6985"/>
            <wp:docPr id="56" name="图片 55" descr="Graphical user interface&#10;&#10;Description automatically generated">
              <a:extLst xmlns:a="http://schemas.openxmlformats.org/drawingml/2006/main">
                <a:ext uri="{FF2B5EF4-FFF2-40B4-BE49-F238E27FC236}">
                  <a16:creationId xmlns:a16="http://schemas.microsoft.com/office/drawing/2014/main" id="{6403B511-C901-4470-88E2-01551CA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Graphical user interface&#10;&#10;Description automatically generated">
                      <a:extLst>
                        <a:ext uri="{FF2B5EF4-FFF2-40B4-BE49-F238E27FC236}">
                          <a16:creationId xmlns:a16="http://schemas.microsoft.com/office/drawing/2014/main" id="{6403B511-C901-4470-88E2-01551CAFD564}"/>
                        </a:ext>
                      </a:extLst>
                    </pic:cNvPr>
                    <pic:cNvPicPr>
                      <a:picLocks noChangeAspect="1"/>
                    </pic:cNvPicPr>
                  </pic:nvPicPr>
                  <pic:blipFill>
                    <a:blip r:embed="rId29"/>
                    <a:stretch>
                      <a:fillRect/>
                    </a:stretch>
                  </pic:blipFill>
                  <pic:spPr>
                    <a:xfrm>
                      <a:off x="0" y="0"/>
                      <a:ext cx="7214519" cy="4707660"/>
                    </a:xfrm>
                    <a:prstGeom prst="rect">
                      <a:avLst/>
                    </a:prstGeom>
                  </pic:spPr>
                </pic:pic>
              </a:graphicData>
            </a:graphic>
          </wp:inline>
        </w:drawing>
      </w:r>
    </w:p>
    <w:p w14:paraId="5BC9A48A" w14:textId="77777777" w:rsidR="006E7D07" w:rsidRPr="00A55D7C" w:rsidRDefault="006E7D07" w:rsidP="006E7D07">
      <w:pPr>
        <w:spacing w:after="163"/>
        <w:jc w:val="left"/>
        <w:rPr>
          <w:rFonts w:eastAsiaTheme="minorEastAsia"/>
          <w:b/>
          <w:bCs/>
        </w:rPr>
      </w:pPr>
      <w:r>
        <w:rPr>
          <w:rFonts w:eastAsiaTheme="minorEastAsia"/>
        </w:rPr>
        <w:t xml:space="preserve">Figure 8. </w:t>
      </w:r>
      <w:r w:rsidRPr="00D117F9">
        <w:rPr>
          <w:rFonts w:eastAsiaTheme="minorEastAsia"/>
        </w:rPr>
        <w:t>Accessibility, visibility, and intelligibility scores of GBSs in PC1 and PC2 are shown in (a</w:t>
      </w:r>
      <w:proofErr w:type="gramStart"/>
      <w:r w:rsidRPr="00D117F9">
        <w:rPr>
          <w:rFonts w:eastAsiaTheme="minorEastAsia"/>
        </w:rPr>
        <w:t>1)~</w:t>
      </w:r>
      <w:proofErr w:type="gramEnd"/>
      <w:r w:rsidRPr="00D117F9">
        <w:rPr>
          <w:rFonts w:eastAsiaTheme="minorEastAsia"/>
        </w:rPr>
        <w:t>(a3) and (b1)~(b3)</w:t>
      </w:r>
      <w:r>
        <w:rPr>
          <w:rFonts w:eastAsiaTheme="minorEastAsia"/>
        </w:rPr>
        <w:t>,</w:t>
      </w:r>
      <w:r w:rsidRPr="00D117F9">
        <w:rPr>
          <w:rFonts w:eastAsiaTheme="minorEastAsia"/>
        </w:rPr>
        <w:t xml:space="preserve"> respectively.</w:t>
      </w:r>
      <w:r>
        <w:rPr>
          <w:rFonts w:eastAsiaTheme="minorEastAsia"/>
        </w:rPr>
        <w:t xml:space="preserve"> </w:t>
      </w:r>
      <w:r w:rsidRPr="000327D2">
        <w:rPr>
          <w:rFonts w:eastAsiaTheme="minorEastAsia"/>
        </w:rPr>
        <w:t>AVI-weighted scores of GBSs illustrate the overall GBSs</w:t>
      </w:r>
      <w:r>
        <w:rPr>
          <w:rFonts w:eastAsiaTheme="minorEastAsia"/>
        </w:rPr>
        <w:t>’ pedestrian friendliness</w:t>
      </w:r>
      <w:r w:rsidRPr="000327D2">
        <w:rPr>
          <w:rFonts w:eastAsiaTheme="minorEastAsia"/>
        </w:rPr>
        <w:t xml:space="preserve"> in PC1 (a4) and PC2 (b4)</w:t>
      </w:r>
      <w:r>
        <w:rPr>
          <w:rFonts w:eastAsiaTheme="minorEastAsia"/>
        </w:rPr>
        <w:t>.</w:t>
      </w:r>
    </w:p>
    <w:p w14:paraId="61BA3779" w14:textId="77777777" w:rsidR="006E7D07" w:rsidRDefault="006E7D07" w:rsidP="006E7D07">
      <w:pPr>
        <w:spacing w:after="163"/>
        <w:rPr>
          <w:rFonts w:eastAsiaTheme="minorEastAsia"/>
          <w:b/>
          <w:bCs/>
        </w:rPr>
        <w:sectPr w:rsidR="006E7D07" w:rsidSect="00A55D7C">
          <w:pgSz w:w="16838" w:h="11906" w:orient="landscape"/>
          <w:pgMar w:top="1800" w:right="1440" w:bottom="1800" w:left="1440" w:header="851" w:footer="992" w:gutter="0"/>
          <w:cols w:space="425"/>
          <w:docGrid w:type="lines" w:linePitch="326"/>
        </w:sectPr>
      </w:pPr>
    </w:p>
    <w:p w14:paraId="3FEEF8AB" w14:textId="77777777" w:rsidR="006E7D07" w:rsidRPr="00D117F9" w:rsidRDefault="006E7D07" w:rsidP="006E7D07">
      <w:pPr>
        <w:spacing w:after="163"/>
        <w:rPr>
          <w:rFonts w:eastAsiaTheme="minorEastAsia"/>
        </w:rPr>
      </w:pPr>
      <w:r w:rsidRPr="00D117F9">
        <w:rPr>
          <w:rFonts w:eastAsiaTheme="minorEastAsia"/>
          <w:noProof/>
        </w:rPr>
        <w:lastRenderedPageBreak/>
        <w:drawing>
          <wp:inline distT="0" distB="0" distL="0" distR="0" wp14:anchorId="3885ED75" wp14:editId="04F36B16">
            <wp:extent cx="5274310" cy="6976110"/>
            <wp:effectExtent l="0" t="0" r="0" b="0"/>
            <wp:docPr id="3" name="图片 2" descr="Timeline&#10;&#10;Description automatically generated with medium confidence">
              <a:extLst xmlns:a="http://schemas.openxmlformats.org/drawingml/2006/main">
                <a:ext uri="{FF2B5EF4-FFF2-40B4-BE49-F238E27FC236}">
                  <a16:creationId xmlns:a16="http://schemas.microsoft.com/office/drawing/2014/main" id="{B03C5B4D-1C08-4EAF-9B5D-E4FE1C823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imeline&#10;&#10;Description automatically generated with medium confidence">
                      <a:extLst>
                        <a:ext uri="{FF2B5EF4-FFF2-40B4-BE49-F238E27FC236}">
                          <a16:creationId xmlns:a16="http://schemas.microsoft.com/office/drawing/2014/main" id="{B03C5B4D-1C08-4EAF-9B5D-E4FE1C8233B9}"/>
                        </a:ext>
                      </a:extLst>
                    </pic:cNvPr>
                    <pic:cNvPicPr>
                      <a:picLocks noChangeAspect="1"/>
                    </pic:cNvPicPr>
                  </pic:nvPicPr>
                  <pic:blipFill>
                    <a:blip r:embed="rId30"/>
                    <a:stretch>
                      <a:fillRect/>
                    </a:stretch>
                  </pic:blipFill>
                  <pic:spPr>
                    <a:xfrm>
                      <a:off x="0" y="0"/>
                      <a:ext cx="5274310" cy="6976110"/>
                    </a:xfrm>
                    <a:prstGeom prst="rect">
                      <a:avLst/>
                    </a:prstGeom>
                  </pic:spPr>
                </pic:pic>
              </a:graphicData>
            </a:graphic>
          </wp:inline>
        </w:drawing>
      </w:r>
      <w:r w:rsidRPr="00AD6035">
        <w:rPr>
          <w:rFonts w:eastAsiaTheme="minorEastAsia"/>
          <w:b/>
          <w:bCs/>
        </w:rPr>
        <w:t xml:space="preserve">Figure </w:t>
      </w:r>
      <w:r>
        <w:rPr>
          <w:rFonts w:eastAsiaTheme="minorEastAsia"/>
          <w:b/>
          <w:bCs/>
        </w:rPr>
        <w:t>9</w:t>
      </w:r>
      <w:r w:rsidRPr="00D117F9">
        <w:rPr>
          <w:rFonts w:eastAsiaTheme="minorEastAsia"/>
        </w:rPr>
        <w:t>. AVI-weighted evaluations of GBSs in Guangzhou city based on PCA analysis. Accessibility, visibility, and intelligibility scores of GBSs in PC1 and PC2 are shown in (a</w:t>
      </w:r>
      <w:proofErr w:type="gramStart"/>
      <w:r w:rsidRPr="00D117F9">
        <w:rPr>
          <w:rFonts w:eastAsiaTheme="minorEastAsia"/>
        </w:rPr>
        <w:t>1)~</w:t>
      </w:r>
      <w:proofErr w:type="gramEnd"/>
      <w:r w:rsidRPr="00D117F9">
        <w:rPr>
          <w:rFonts w:eastAsiaTheme="minorEastAsia"/>
        </w:rPr>
        <w:t>(a3) and (b1)~(b3)</w:t>
      </w:r>
      <w:r>
        <w:rPr>
          <w:rFonts w:eastAsiaTheme="minorEastAsia"/>
        </w:rPr>
        <w:t>,</w:t>
      </w:r>
      <w:r w:rsidRPr="00D117F9">
        <w:rPr>
          <w:rFonts w:eastAsiaTheme="minorEastAsia"/>
        </w:rPr>
        <w:t xml:space="preserve"> respectively. AVI comparisons show similar spatial patterns of AVI between PC1 (a5) and PC2 (b5). Integrating AVI indicators, AVI-weighted scores of GBSs illustrate the overall GBSs quality in PC1 (a4) and PC2 (b4). The names of each administrative district can be found in (c).</w:t>
      </w:r>
    </w:p>
    <w:p w14:paraId="4DC69E8C" w14:textId="77777777" w:rsidR="006E7D07" w:rsidRDefault="006E7D07" w:rsidP="006E7D07">
      <w:pPr>
        <w:spacing w:after="163"/>
        <w:rPr>
          <w:rFonts w:eastAsiaTheme="minorEastAsia"/>
        </w:rPr>
        <w:sectPr w:rsidR="006E7D07" w:rsidSect="00A55D7C">
          <w:pgSz w:w="11906" w:h="16838"/>
          <w:pgMar w:top="1440" w:right="1800" w:bottom="1440" w:left="1800" w:header="851" w:footer="992" w:gutter="0"/>
          <w:cols w:space="425"/>
          <w:docGrid w:type="lines" w:linePitch="326"/>
        </w:sectPr>
      </w:pPr>
    </w:p>
    <w:p w14:paraId="57BD4650" w14:textId="77777777" w:rsidR="006E7D07" w:rsidRPr="00D117F9" w:rsidRDefault="006E7D07" w:rsidP="006E7D07">
      <w:pPr>
        <w:spacing w:after="156"/>
        <w:rPr>
          <w:rFonts w:eastAsiaTheme="minorEastAsia"/>
        </w:rPr>
      </w:pPr>
      <w:r w:rsidRPr="00D117F9">
        <w:rPr>
          <w:noProof/>
        </w:rPr>
        <w:lastRenderedPageBreak/>
        <w:drawing>
          <wp:inline distT="0" distB="0" distL="0" distR="0" wp14:anchorId="095FECB5" wp14:editId="40089AB2">
            <wp:extent cx="5274310" cy="3118485"/>
            <wp:effectExtent l="0" t="0" r="2540" b="5715"/>
            <wp:docPr id="13" name="图片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hart, bar char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5394"/>
                    <a:stretch/>
                  </pic:blipFill>
                  <pic:spPr bwMode="auto">
                    <a:xfrm>
                      <a:off x="0" y="0"/>
                      <a:ext cx="5274310" cy="3118485"/>
                    </a:xfrm>
                    <a:prstGeom prst="rect">
                      <a:avLst/>
                    </a:prstGeom>
                    <a:noFill/>
                    <a:ln>
                      <a:noFill/>
                    </a:ln>
                    <a:extLst>
                      <a:ext uri="{53640926-AAD7-44D8-BBD7-CCE9431645EC}">
                        <a14:shadowObscured xmlns:a14="http://schemas.microsoft.com/office/drawing/2010/main"/>
                      </a:ext>
                    </a:extLst>
                  </pic:spPr>
                </pic:pic>
              </a:graphicData>
            </a:graphic>
          </wp:inline>
        </w:drawing>
      </w:r>
    </w:p>
    <w:p w14:paraId="133F42A8" w14:textId="77777777" w:rsidR="006E7D07" w:rsidRPr="00D117F9" w:rsidRDefault="006E7D07" w:rsidP="006E7D07">
      <w:pPr>
        <w:spacing w:after="156"/>
        <w:rPr>
          <w:rFonts w:eastAsiaTheme="minorEastAsia"/>
        </w:rPr>
      </w:pPr>
      <w:r w:rsidRPr="00AD6035">
        <w:rPr>
          <w:rFonts w:eastAsiaTheme="minorEastAsia"/>
          <w:b/>
          <w:bCs/>
        </w:rPr>
        <w:t xml:space="preserve">Figure </w:t>
      </w:r>
      <w:r>
        <w:rPr>
          <w:rFonts w:eastAsiaTheme="minorEastAsia"/>
          <w:b/>
          <w:bCs/>
        </w:rPr>
        <w:t>10</w:t>
      </w:r>
      <w:r w:rsidRPr="00AD6035">
        <w:rPr>
          <w:rFonts w:eastAsiaTheme="minorEastAsia"/>
          <w:b/>
          <w:bCs/>
        </w:rPr>
        <w:t>.</w:t>
      </w:r>
      <w:r w:rsidRPr="00D117F9">
        <w:rPr>
          <w:rFonts w:eastAsiaTheme="minorEastAsia"/>
        </w:rPr>
        <w:t xml:space="preserve"> The contributions of </w:t>
      </w:r>
      <w:r w:rsidRPr="00D117F9">
        <w:rPr>
          <w:rFonts w:eastAsiaTheme="minorEastAsia" w:hint="eastAsia"/>
        </w:rPr>
        <w:t>each</w:t>
      </w:r>
      <w:r w:rsidRPr="00D117F9">
        <w:rPr>
          <w:rFonts w:eastAsiaTheme="minorEastAsia"/>
        </w:rPr>
        <w:t xml:space="preserve"> district to AVI-weighted GBSs over the city in the first two PCs. The red dashed line indicates the expected averaged contributions if the contribution of each district is uniform. </w:t>
      </w:r>
    </w:p>
    <w:p w14:paraId="7CECE777" w14:textId="77777777" w:rsidR="006E7D07" w:rsidRPr="00BA781F" w:rsidRDefault="006E7D07" w:rsidP="006E7D07">
      <w:pPr>
        <w:spacing w:after="156"/>
        <w:rPr>
          <w:rFonts w:eastAsiaTheme="minorEastAsia"/>
        </w:rPr>
      </w:pPr>
    </w:p>
    <w:p w14:paraId="2778C887" w14:textId="77777777" w:rsidR="006E7D07" w:rsidRPr="001948DD" w:rsidRDefault="006E7D07" w:rsidP="006E7D07">
      <w:pPr>
        <w:spacing w:after="156"/>
        <w:rPr>
          <w:rFonts w:eastAsiaTheme="minorEastAsia"/>
        </w:rPr>
      </w:pPr>
    </w:p>
    <w:p w14:paraId="5FB1A61A" w14:textId="77777777" w:rsidR="006E7D07" w:rsidRPr="007D021D" w:rsidRDefault="006E7D07" w:rsidP="006E7D07">
      <w:pPr>
        <w:spacing w:after="156"/>
        <w:ind w:firstLine="480"/>
      </w:pPr>
    </w:p>
    <w:p w14:paraId="43E2973F" w14:textId="389B969B" w:rsidR="006E7D07" w:rsidRDefault="006E7D07">
      <w:pPr>
        <w:widowControl/>
        <w:spacing w:afterLines="0" w:after="0"/>
        <w:jc w:val="left"/>
        <w:rPr>
          <w:rFonts w:eastAsiaTheme="minorEastAsia"/>
        </w:rPr>
      </w:pPr>
      <w:r>
        <w:rPr>
          <w:rFonts w:eastAsiaTheme="minorEastAsia"/>
        </w:rPr>
        <w:br w:type="page"/>
      </w:r>
    </w:p>
    <w:p w14:paraId="50D5A932" w14:textId="77777777" w:rsidR="006E7D07" w:rsidRPr="00EB3168" w:rsidRDefault="006E7D07" w:rsidP="006E7D07">
      <w:pPr>
        <w:spacing w:afterLines="0" w:after="0" w:line="480" w:lineRule="auto"/>
        <w:jc w:val="left"/>
        <w:rPr>
          <w:rFonts w:eastAsiaTheme="minorEastAsia"/>
          <w:b/>
          <w:bCs/>
        </w:rPr>
      </w:pPr>
      <w:r w:rsidRPr="00EB3168">
        <w:rPr>
          <w:rFonts w:eastAsiaTheme="minorEastAsia"/>
          <w:b/>
          <w:bCs/>
        </w:rPr>
        <w:lastRenderedPageBreak/>
        <w:t>List of tables</w:t>
      </w:r>
    </w:p>
    <w:p w14:paraId="2FC8C94B" w14:textId="77777777" w:rsidR="006E7D07" w:rsidRPr="00372A59" w:rsidRDefault="006E7D07" w:rsidP="006E7D07">
      <w:pPr>
        <w:spacing w:after="156"/>
        <w:rPr>
          <w:rFonts w:eastAsiaTheme="minorEastAsia"/>
        </w:rPr>
      </w:pPr>
      <w:r w:rsidRPr="007A3DB5">
        <w:rPr>
          <w:rFonts w:eastAsiaTheme="minorEastAsia"/>
          <w:b/>
          <w:bCs/>
        </w:rPr>
        <w:t>Table 1</w:t>
      </w:r>
      <w:r>
        <w:rPr>
          <w:rFonts w:eastAsiaTheme="minorEastAsia"/>
        </w:rPr>
        <w:t xml:space="preserve">. The potential AVI </w:t>
      </w:r>
      <w:r>
        <w:rPr>
          <w:rFonts w:eastAsiaTheme="minorEastAsia" w:hint="eastAsia"/>
        </w:rPr>
        <w:t>of</w:t>
      </w:r>
      <w:r>
        <w:rPr>
          <w:rFonts w:eastAsiaTheme="minorEastAsia"/>
        </w:rPr>
        <w:t xml:space="preserve"> various spatial characteristics of GBSs</w:t>
      </w:r>
    </w:p>
    <w:p w14:paraId="44DF0BD3" w14:textId="77777777" w:rsidR="006E7D07" w:rsidRDefault="006E7D07" w:rsidP="006E7D07">
      <w:pPr>
        <w:spacing w:afterLines="0" w:after="0" w:line="480" w:lineRule="auto"/>
        <w:jc w:val="left"/>
        <w:rPr>
          <w:rFonts w:eastAsiaTheme="minorEastAsia"/>
        </w:rPr>
      </w:pPr>
      <w:r w:rsidRPr="00EB3168">
        <w:rPr>
          <w:rFonts w:eastAsiaTheme="minorEastAsia"/>
          <w:b/>
          <w:bCs/>
        </w:rPr>
        <w:t>Table 2</w:t>
      </w:r>
      <w:r>
        <w:rPr>
          <w:rFonts w:eastAsiaTheme="minorEastAsia"/>
          <w:b/>
          <w:bCs/>
        </w:rPr>
        <w:t xml:space="preserve">. </w:t>
      </w:r>
      <w:r w:rsidRPr="00EB3168">
        <w:rPr>
          <w:rFonts w:eastAsiaTheme="minorEastAsia"/>
        </w:rPr>
        <w:t>AVI measurements of GBSs</w:t>
      </w:r>
    </w:p>
    <w:p w14:paraId="3BD585BA" w14:textId="77777777" w:rsidR="006E7D07" w:rsidRDefault="006E7D07" w:rsidP="006E7D07">
      <w:pPr>
        <w:spacing w:afterLines="0" w:after="0" w:line="480" w:lineRule="auto"/>
        <w:jc w:val="left"/>
        <w:rPr>
          <w:rFonts w:eastAsiaTheme="minorEastAsia"/>
        </w:rPr>
      </w:pPr>
      <w:r w:rsidRPr="00EB3168">
        <w:rPr>
          <w:rFonts w:eastAsiaTheme="minorEastAsia"/>
          <w:b/>
          <w:bCs/>
        </w:rPr>
        <w:t xml:space="preserve">Table </w:t>
      </w:r>
      <w:r>
        <w:rPr>
          <w:rFonts w:eastAsiaTheme="minorEastAsia"/>
          <w:b/>
          <w:bCs/>
        </w:rPr>
        <w:t>3</w:t>
      </w:r>
      <w:r>
        <w:rPr>
          <w:rFonts w:eastAsiaTheme="minorEastAsia"/>
        </w:rPr>
        <w:t xml:space="preserve">. </w:t>
      </w:r>
      <w:r w:rsidRPr="00EB3168">
        <w:rPr>
          <w:rFonts w:eastAsiaTheme="minorEastAsia"/>
        </w:rPr>
        <w:t>The PCA results of AVI values</w:t>
      </w:r>
    </w:p>
    <w:p w14:paraId="097815E1" w14:textId="77777777" w:rsidR="006E7D07" w:rsidRPr="00452C61" w:rsidRDefault="006E7D07" w:rsidP="006E7D07">
      <w:pPr>
        <w:spacing w:after="156"/>
        <w:rPr>
          <w:rFonts w:eastAsiaTheme="minorEastAsia"/>
        </w:rPr>
        <w:sectPr w:rsidR="006E7D07" w:rsidRPr="00452C61">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pPr>
    </w:p>
    <w:p w14:paraId="5EEBFC07" w14:textId="77777777" w:rsidR="006E7D07" w:rsidRPr="00372A59" w:rsidRDefault="006E7D07" w:rsidP="006E7D07">
      <w:pPr>
        <w:spacing w:after="163"/>
        <w:rPr>
          <w:rFonts w:eastAsiaTheme="minorEastAsia"/>
        </w:rPr>
      </w:pPr>
      <w:r w:rsidRPr="007A3DB5">
        <w:rPr>
          <w:rFonts w:eastAsiaTheme="minorEastAsia"/>
          <w:b/>
          <w:bCs/>
        </w:rPr>
        <w:lastRenderedPageBreak/>
        <w:t>Table 1</w:t>
      </w:r>
      <w:r>
        <w:rPr>
          <w:rFonts w:eastAsiaTheme="minorEastAsia"/>
        </w:rPr>
        <w:t xml:space="preserve">. The potential AVI </w:t>
      </w:r>
      <w:r>
        <w:rPr>
          <w:rFonts w:eastAsiaTheme="minorEastAsia" w:hint="eastAsia"/>
        </w:rPr>
        <w:t>of</w:t>
      </w:r>
      <w:r>
        <w:rPr>
          <w:rFonts w:eastAsiaTheme="minorEastAsia"/>
        </w:rPr>
        <w:t xml:space="preserve"> various spatial characteristics of GBSs</w:t>
      </w:r>
    </w:p>
    <w:tbl>
      <w:tblPr>
        <w:tblStyle w:val="TableGrid"/>
        <w:tblpPr w:leftFromText="180" w:rightFromText="180" w:vertAnchor="text" w:horzAnchor="margin" w:tblpY="53"/>
        <w:tblW w:w="5000" w:type="pct"/>
        <w:tblLook w:val="04A0" w:firstRow="1" w:lastRow="0" w:firstColumn="1" w:lastColumn="0" w:noHBand="0" w:noVBand="1"/>
      </w:tblPr>
      <w:tblGrid>
        <w:gridCol w:w="1957"/>
        <w:gridCol w:w="2433"/>
        <w:gridCol w:w="6132"/>
        <w:gridCol w:w="3426"/>
      </w:tblGrid>
      <w:tr w:rsidR="006E7D07" w:rsidRPr="006C3B91" w14:paraId="44F53435" w14:textId="77777777" w:rsidTr="00207A08">
        <w:tc>
          <w:tcPr>
            <w:tcW w:w="1574" w:type="pct"/>
            <w:gridSpan w:val="2"/>
          </w:tcPr>
          <w:p w14:paraId="1E308797" w14:textId="77777777" w:rsidR="006E7D07" w:rsidRPr="006C3B91" w:rsidRDefault="006E7D07" w:rsidP="00207A08">
            <w:pPr>
              <w:spacing w:after="163"/>
              <w:jc w:val="center"/>
            </w:pPr>
            <w:r w:rsidRPr="006C3B91">
              <w:rPr>
                <w:rFonts w:eastAsiaTheme="minorEastAsia"/>
              </w:rPr>
              <w:t>Spatial networks of GBSs</w:t>
            </w:r>
          </w:p>
        </w:tc>
        <w:tc>
          <w:tcPr>
            <w:tcW w:w="2198" w:type="pct"/>
            <w:vMerge w:val="restart"/>
          </w:tcPr>
          <w:p w14:paraId="46CE66AD" w14:textId="77777777" w:rsidR="006E7D07" w:rsidRPr="006C3B91" w:rsidRDefault="006E7D07" w:rsidP="00207A08">
            <w:pPr>
              <w:spacing w:after="163"/>
              <w:jc w:val="center"/>
              <w:rPr>
                <w:rFonts w:eastAsiaTheme="minorEastAsia"/>
              </w:rPr>
            </w:pPr>
            <w:r w:rsidRPr="006C3B91">
              <w:t>Potential impacts on AVI</w:t>
            </w:r>
          </w:p>
        </w:tc>
        <w:tc>
          <w:tcPr>
            <w:tcW w:w="1228" w:type="pct"/>
            <w:vMerge w:val="restart"/>
          </w:tcPr>
          <w:p w14:paraId="7745C4E0" w14:textId="77777777" w:rsidR="006E7D07" w:rsidRDefault="006E7D07" w:rsidP="00207A08">
            <w:pPr>
              <w:spacing w:after="163"/>
              <w:jc w:val="center"/>
            </w:pPr>
            <w:r>
              <w:t>P</w:t>
            </w:r>
            <w:r w:rsidRPr="00FA7FFA">
              <w:t>hotographic examples</w:t>
            </w:r>
          </w:p>
          <w:p w14:paraId="4A9EB0E6" w14:textId="77777777" w:rsidR="006E7D07" w:rsidRPr="006C3B91" w:rsidRDefault="006E7D07" w:rsidP="00207A08">
            <w:pPr>
              <w:spacing w:after="163"/>
              <w:jc w:val="center"/>
            </w:pPr>
            <w:r>
              <w:rPr>
                <w:rFonts w:hint="eastAsia"/>
              </w:rPr>
              <w:t>(</w:t>
            </w:r>
            <w:r>
              <w:t>By authors)</w:t>
            </w:r>
          </w:p>
        </w:tc>
      </w:tr>
      <w:tr w:rsidR="006E7D07" w:rsidRPr="006C3B91" w14:paraId="21C7ABFA" w14:textId="77777777" w:rsidTr="00207A08">
        <w:tc>
          <w:tcPr>
            <w:tcW w:w="702" w:type="pct"/>
          </w:tcPr>
          <w:p w14:paraId="0DE0A821" w14:textId="77777777" w:rsidR="006E7D07" w:rsidRPr="006C3B91" w:rsidRDefault="006E7D07" w:rsidP="00207A08">
            <w:pPr>
              <w:spacing w:after="163"/>
              <w:jc w:val="center"/>
            </w:pPr>
            <w:r w:rsidRPr="006C3B91">
              <w:t>Distributions</w:t>
            </w:r>
          </w:p>
        </w:tc>
        <w:tc>
          <w:tcPr>
            <w:tcW w:w="872" w:type="pct"/>
          </w:tcPr>
          <w:p w14:paraId="7E9EA96A" w14:textId="77777777" w:rsidR="006E7D07" w:rsidRPr="006C3B91" w:rsidRDefault="006E7D07" w:rsidP="00207A08">
            <w:pPr>
              <w:spacing w:after="163"/>
              <w:jc w:val="center"/>
              <w:rPr>
                <w:rFonts w:eastAsiaTheme="minorEastAsia"/>
              </w:rPr>
            </w:pPr>
            <w:r w:rsidRPr="006C3B91">
              <w:rPr>
                <w:rFonts w:eastAsiaTheme="minorEastAsia"/>
              </w:rPr>
              <w:t>Functions</w:t>
            </w:r>
          </w:p>
        </w:tc>
        <w:tc>
          <w:tcPr>
            <w:tcW w:w="2198" w:type="pct"/>
            <w:vMerge/>
          </w:tcPr>
          <w:p w14:paraId="27D646E3" w14:textId="77777777" w:rsidR="006E7D07" w:rsidRPr="006C3B91" w:rsidRDefault="006E7D07" w:rsidP="00207A08">
            <w:pPr>
              <w:spacing w:after="163"/>
              <w:jc w:val="center"/>
            </w:pPr>
          </w:p>
        </w:tc>
        <w:tc>
          <w:tcPr>
            <w:tcW w:w="1228" w:type="pct"/>
            <w:vMerge/>
          </w:tcPr>
          <w:p w14:paraId="626A4436" w14:textId="77777777" w:rsidR="006E7D07" w:rsidRPr="006C3B91" w:rsidRDefault="006E7D07" w:rsidP="00207A08">
            <w:pPr>
              <w:spacing w:after="163"/>
              <w:jc w:val="center"/>
            </w:pPr>
          </w:p>
        </w:tc>
      </w:tr>
      <w:tr w:rsidR="006E7D07" w:rsidRPr="006C3B91" w14:paraId="05FBAB21" w14:textId="77777777" w:rsidTr="00207A08">
        <w:tc>
          <w:tcPr>
            <w:tcW w:w="702" w:type="pct"/>
            <w:shd w:val="clear" w:color="auto" w:fill="FBE4D5" w:themeFill="accent2" w:themeFillTint="33"/>
          </w:tcPr>
          <w:p w14:paraId="041D5FEE" w14:textId="77777777" w:rsidR="006E7D07" w:rsidRPr="006C3B91" w:rsidRDefault="006E7D07" w:rsidP="00207A08">
            <w:pPr>
              <w:spacing w:after="163"/>
              <w:jc w:val="center"/>
            </w:pPr>
            <w:r>
              <w:t xml:space="preserve">1. </w:t>
            </w:r>
            <w:r w:rsidRPr="006C3B91">
              <w:t>Close to streets</w:t>
            </w:r>
          </w:p>
        </w:tc>
        <w:tc>
          <w:tcPr>
            <w:tcW w:w="872" w:type="pct"/>
            <w:shd w:val="clear" w:color="auto" w:fill="FBE4D5" w:themeFill="accent2" w:themeFillTint="33"/>
          </w:tcPr>
          <w:p w14:paraId="75F5D339" w14:textId="77777777" w:rsidR="006E7D07" w:rsidRPr="006C3B91" w:rsidRDefault="006E7D07" w:rsidP="00207A08">
            <w:pPr>
              <w:spacing w:after="163"/>
              <w:rPr>
                <w:rFonts w:eastAsiaTheme="minorEastAsia"/>
              </w:rPr>
            </w:pPr>
            <w:r w:rsidRPr="006C3B91">
              <w:rPr>
                <w:rFonts w:eastAsiaTheme="minorEastAsia"/>
              </w:rPr>
              <w:t>Aesthetic; landscaping; buffering</w:t>
            </w:r>
          </w:p>
        </w:tc>
        <w:tc>
          <w:tcPr>
            <w:tcW w:w="2198" w:type="pct"/>
            <w:shd w:val="clear" w:color="auto" w:fill="FBE4D5" w:themeFill="accent2" w:themeFillTint="33"/>
          </w:tcPr>
          <w:p w14:paraId="72B52086" w14:textId="77777777" w:rsidR="006E7D07" w:rsidRPr="006C3B91" w:rsidRDefault="006E7D07" w:rsidP="00207A08">
            <w:pPr>
              <w:spacing w:after="163"/>
              <w:rPr>
                <w:rFonts w:eastAsiaTheme="minorEastAsia"/>
              </w:rPr>
            </w:pPr>
            <w:r w:rsidRPr="006C3B91">
              <w:rPr>
                <w:rFonts w:eastAsiaTheme="minorEastAsia"/>
              </w:rPr>
              <w:t>These green spaces near to streets have high accessibility, visibility, and intelligibility, because they show a similar spatial network to the streets that are easily reached, viewed, and perceived with large human flows.</w:t>
            </w:r>
          </w:p>
        </w:tc>
        <w:tc>
          <w:tcPr>
            <w:tcW w:w="1228" w:type="pct"/>
            <w:shd w:val="clear" w:color="auto" w:fill="FBE4D5" w:themeFill="accent2" w:themeFillTint="33"/>
          </w:tcPr>
          <w:p w14:paraId="29ADA766" w14:textId="77777777" w:rsidR="006E7D07" w:rsidRPr="006C3B91" w:rsidRDefault="006E7D07" w:rsidP="00207A08">
            <w:pPr>
              <w:spacing w:after="163"/>
              <w:rPr>
                <w:rFonts w:eastAsiaTheme="minorEastAsia"/>
              </w:rPr>
            </w:pPr>
            <w:r w:rsidRPr="006C3B91">
              <w:rPr>
                <w:rFonts w:eastAsiaTheme="minorEastAsia"/>
                <w:noProof/>
              </w:rPr>
              <w:drawing>
                <wp:anchor distT="0" distB="0" distL="114300" distR="114300" simplePos="0" relativeHeight="251659264" behindDoc="1" locked="0" layoutInCell="1" allowOverlap="1" wp14:anchorId="5AAE73EA" wp14:editId="71A1C39A">
                  <wp:simplePos x="0" y="0"/>
                  <wp:positionH relativeFrom="column">
                    <wp:posOffset>0</wp:posOffset>
                  </wp:positionH>
                  <wp:positionV relativeFrom="paragraph">
                    <wp:posOffset>82550</wp:posOffset>
                  </wp:positionV>
                  <wp:extent cx="1385570" cy="1685925"/>
                  <wp:effectExtent l="0" t="0" r="5080" b="9525"/>
                  <wp:wrapSquare wrapText="bothSides"/>
                  <wp:docPr id="7" name="图片 7" descr="A picture containing tree,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picture containing tree, outdoor, road, street&#10;&#10;Description automatically generated"/>
                          <pic:cNvPicPr/>
                        </pic:nvPicPr>
                        <pic:blipFill rotWithShape="1">
                          <a:blip r:embed="rId38" cstate="print">
                            <a:extLst>
                              <a:ext uri="{28A0092B-C50C-407E-A947-70E740481C1C}">
                                <a14:useLocalDpi xmlns:a14="http://schemas.microsoft.com/office/drawing/2010/main" val="0"/>
                              </a:ext>
                            </a:extLst>
                          </a:blip>
                          <a:srcRect b="8732"/>
                          <a:stretch/>
                        </pic:blipFill>
                        <pic:spPr bwMode="auto">
                          <a:xfrm>
                            <a:off x="0" y="0"/>
                            <a:ext cx="1385570"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6E7D07" w:rsidRPr="006C3B91" w14:paraId="2FFA796C" w14:textId="77777777" w:rsidTr="00207A08">
        <w:tc>
          <w:tcPr>
            <w:tcW w:w="702" w:type="pct"/>
            <w:shd w:val="clear" w:color="auto" w:fill="EDEDED" w:themeFill="accent3" w:themeFillTint="33"/>
          </w:tcPr>
          <w:p w14:paraId="22E0D7DF" w14:textId="77777777" w:rsidR="006E7D07" w:rsidRPr="006C3B91" w:rsidRDefault="006E7D07" w:rsidP="00207A08">
            <w:pPr>
              <w:spacing w:after="163"/>
              <w:rPr>
                <w:rFonts w:eastAsiaTheme="minorEastAsia"/>
              </w:rPr>
            </w:pPr>
            <w:r>
              <w:rPr>
                <w:rFonts w:eastAsiaTheme="minorEastAsia"/>
              </w:rPr>
              <w:t xml:space="preserve">2. </w:t>
            </w:r>
            <w:r w:rsidRPr="006C3B91">
              <w:rPr>
                <w:rFonts w:eastAsiaTheme="minorEastAsia"/>
              </w:rPr>
              <w:t>As</w:t>
            </w:r>
            <w:r w:rsidRPr="006C3B91">
              <w:t xml:space="preserve"> spatial edge </w:t>
            </w:r>
            <w:r w:rsidRPr="006C3B91">
              <w:rPr>
                <w:rFonts w:eastAsiaTheme="minorEastAsia"/>
              </w:rPr>
              <w:t>(e.g., rivers)</w:t>
            </w:r>
          </w:p>
        </w:tc>
        <w:tc>
          <w:tcPr>
            <w:tcW w:w="872" w:type="pct"/>
            <w:shd w:val="clear" w:color="auto" w:fill="EDEDED" w:themeFill="accent3" w:themeFillTint="33"/>
          </w:tcPr>
          <w:p w14:paraId="26C65969" w14:textId="77777777" w:rsidR="006E7D07" w:rsidRPr="006C3B91" w:rsidRDefault="006E7D07" w:rsidP="00207A08">
            <w:pPr>
              <w:spacing w:after="163"/>
              <w:rPr>
                <w:rFonts w:eastAsiaTheme="minorEastAsia"/>
              </w:rPr>
            </w:pPr>
            <w:r w:rsidRPr="006C3B91">
              <w:rPr>
                <w:rFonts w:eastAsiaTheme="minorEastAsia"/>
              </w:rPr>
              <w:t>Environmental protection; buffering</w:t>
            </w:r>
          </w:p>
        </w:tc>
        <w:tc>
          <w:tcPr>
            <w:tcW w:w="2198" w:type="pct"/>
            <w:shd w:val="clear" w:color="auto" w:fill="EDEDED" w:themeFill="accent3" w:themeFillTint="33"/>
          </w:tcPr>
          <w:p w14:paraId="2260CAFE" w14:textId="77777777" w:rsidR="006E7D07" w:rsidRPr="006C3B91" w:rsidRDefault="006E7D07" w:rsidP="00207A08">
            <w:pPr>
              <w:spacing w:after="163"/>
              <w:rPr>
                <w:rFonts w:eastAsiaTheme="minorEastAsia"/>
              </w:rPr>
            </w:pPr>
            <w:r w:rsidRPr="006C3B91">
              <w:rPr>
                <w:rFonts w:eastAsiaTheme="minorEastAsia"/>
              </w:rPr>
              <w:t>The river as an edge for spatial isolation has low accessibility, low visibility, and low intelligibility, because the river, as a natural setting, mainly aims for environmental improvement rather than social activities due to low human flows and distant location. The river is not closely connected to the spatial networks for human daily movement.</w:t>
            </w:r>
          </w:p>
        </w:tc>
        <w:tc>
          <w:tcPr>
            <w:tcW w:w="1228" w:type="pct"/>
            <w:shd w:val="clear" w:color="auto" w:fill="EDEDED" w:themeFill="accent3" w:themeFillTint="33"/>
          </w:tcPr>
          <w:p w14:paraId="76582E70" w14:textId="77777777" w:rsidR="006E7D07" w:rsidRPr="006C3B91" w:rsidRDefault="006E7D07" w:rsidP="00207A08">
            <w:pPr>
              <w:spacing w:after="163"/>
              <w:rPr>
                <w:rFonts w:eastAsiaTheme="minorEastAsia"/>
              </w:rPr>
            </w:pPr>
            <w:r w:rsidRPr="006C3B91">
              <w:rPr>
                <w:rFonts w:eastAsiaTheme="minorEastAsia"/>
                <w:noProof/>
              </w:rPr>
              <w:drawing>
                <wp:inline distT="0" distB="0" distL="0" distR="0" wp14:anchorId="65D9E4DA" wp14:editId="732D6D69">
                  <wp:extent cx="2018714" cy="1513990"/>
                  <wp:effectExtent l="0" t="0" r="635" b="0"/>
                  <wp:docPr id="1" name="图片 1" descr="A bridge over a river with a city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bridge over a river with a city in the background&#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0848" cy="1515590"/>
                          </a:xfrm>
                          <a:prstGeom prst="rect">
                            <a:avLst/>
                          </a:prstGeom>
                        </pic:spPr>
                      </pic:pic>
                    </a:graphicData>
                  </a:graphic>
                </wp:inline>
              </w:drawing>
            </w:r>
          </w:p>
        </w:tc>
      </w:tr>
      <w:tr w:rsidR="006E7D07" w:rsidRPr="006C3B91" w14:paraId="488378A6" w14:textId="77777777" w:rsidTr="00207A08">
        <w:tc>
          <w:tcPr>
            <w:tcW w:w="702" w:type="pct"/>
            <w:shd w:val="clear" w:color="auto" w:fill="FFF2CC" w:themeFill="accent4" w:themeFillTint="33"/>
          </w:tcPr>
          <w:p w14:paraId="3710EC17" w14:textId="77777777" w:rsidR="006E7D07" w:rsidRPr="006C3B91" w:rsidRDefault="006E7D07" w:rsidP="00207A08">
            <w:pPr>
              <w:spacing w:after="163"/>
              <w:rPr>
                <w:rFonts w:eastAsiaTheme="minorEastAsia"/>
              </w:rPr>
            </w:pPr>
            <w:r>
              <w:rPr>
                <w:rFonts w:eastAsiaTheme="minorEastAsia"/>
              </w:rPr>
              <w:lastRenderedPageBreak/>
              <w:t xml:space="preserve">3.1 </w:t>
            </w:r>
            <w:r w:rsidRPr="006C3B91">
              <w:rPr>
                <w:rFonts w:eastAsiaTheme="minorEastAsia"/>
              </w:rPr>
              <w:t>As district (e.g., wetland, ecological park)</w:t>
            </w:r>
          </w:p>
        </w:tc>
        <w:tc>
          <w:tcPr>
            <w:tcW w:w="872" w:type="pct"/>
            <w:shd w:val="clear" w:color="auto" w:fill="FFF2CC" w:themeFill="accent4" w:themeFillTint="33"/>
          </w:tcPr>
          <w:p w14:paraId="1F3E0F9D" w14:textId="77777777" w:rsidR="006E7D07" w:rsidRPr="006C3B91" w:rsidRDefault="006E7D07" w:rsidP="00207A08">
            <w:pPr>
              <w:spacing w:after="163"/>
              <w:rPr>
                <w:rFonts w:eastAsiaTheme="minorEastAsia"/>
              </w:rPr>
            </w:pPr>
            <w:r w:rsidRPr="006C3B91">
              <w:rPr>
                <w:rFonts w:eastAsiaTheme="minorEastAsia"/>
              </w:rPr>
              <w:t>Environmental protection</w:t>
            </w:r>
          </w:p>
        </w:tc>
        <w:tc>
          <w:tcPr>
            <w:tcW w:w="2198" w:type="pct"/>
            <w:vMerge w:val="restart"/>
            <w:shd w:val="clear" w:color="auto" w:fill="FFF2CC" w:themeFill="accent4" w:themeFillTint="33"/>
          </w:tcPr>
          <w:p w14:paraId="2AE9CB09" w14:textId="77777777" w:rsidR="006E7D07" w:rsidRPr="006C3B91" w:rsidRDefault="006E7D07" w:rsidP="00207A08">
            <w:pPr>
              <w:spacing w:after="163"/>
              <w:rPr>
                <w:rFonts w:eastAsiaTheme="minorEastAsia"/>
              </w:rPr>
            </w:pPr>
            <w:r w:rsidRPr="006C3B91">
              <w:rPr>
                <w:rFonts w:eastAsiaTheme="minorEastAsia"/>
              </w:rPr>
              <w:t xml:space="preserve">Both large-scale wetlands for environmental protection and nursery for production have low accessibility, low visibility, and low intelligibility, because they are generally located in the suburban areas with low-density street networks and only serve the </w:t>
            </w:r>
            <w:proofErr w:type="gramStart"/>
            <w:r w:rsidRPr="006C3B91">
              <w:rPr>
                <w:rFonts w:eastAsiaTheme="minorEastAsia"/>
              </w:rPr>
              <w:t>particular individuals</w:t>
            </w:r>
            <w:proofErr w:type="gramEnd"/>
            <w:r w:rsidRPr="006C3B91">
              <w:rPr>
                <w:rFonts w:eastAsiaTheme="minorEastAsia"/>
              </w:rPr>
              <w:t>. These districts will be accessed or walked through in human routine movement.</w:t>
            </w:r>
          </w:p>
        </w:tc>
        <w:tc>
          <w:tcPr>
            <w:tcW w:w="1228" w:type="pct"/>
            <w:shd w:val="clear" w:color="auto" w:fill="FFF2CC" w:themeFill="accent4" w:themeFillTint="33"/>
          </w:tcPr>
          <w:p w14:paraId="661ED94E" w14:textId="77777777" w:rsidR="006E7D07" w:rsidRPr="006C3B91" w:rsidRDefault="006E7D07" w:rsidP="00207A08">
            <w:pPr>
              <w:spacing w:after="163"/>
              <w:rPr>
                <w:rFonts w:eastAsiaTheme="minorEastAsia"/>
                <w:noProof/>
              </w:rPr>
            </w:pPr>
            <w:r w:rsidRPr="006C3B91">
              <w:rPr>
                <w:rFonts w:eastAsiaTheme="minorEastAsia"/>
                <w:noProof/>
              </w:rPr>
              <w:drawing>
                <wp:inline distT="0" distB="0" distL="0" distR="0" wp14:anchorId="30CB5CC4" wp14:editId="04B29C5B">
                  <wp:extent cx="2011680" cy="1508760"/>
                  <wp:effectExtent l="0" t="0" r="7620" b="0"/>
                  <wp:docPr id="28" name="图片 28" descr="A body of water with plant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body of water with plants and trees around i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7280" cy="1512960"/>
                          </a:xfrm>
                          <a:prstGeom prst="rect">
                            <a:avLst/>
                          </a:prstGeom>
                        </pic:spPr>
                      </pic:pic>
                    </a:graphicData>
                  </a:graphic>
                </wp:inline>
              </w:drawing>
            </w:r>
          </w:p>
        </w:tc>
      </w:tr>
      <w:tr w:rsidR="006E7D07" w:rsidRPr="006C3B91" w14:paraId="2C8D63BF" w14:textId="77777777" w:rsidTr="00207A08">
        <w:tc>
          <w:tcPr>
            <w:tcW w:w="702" w:type="pct"/>
            <w:shd w:val="clear" w:color="auto" w:fill="FFF2CC" w:themeFill="accent4" w:themeFillTint="33"/>
          </w:tcPr>
          <w:p w14:paraId="76B8670C" w14:textId="77777777" w:rsidR="006E7D07" w:rsidRPr="006C3B91" w:rsidRDefault="006E7D07" w:rsidP="00207A08">
            <w:pPr>
              <w:spacing w:after="163"/>
              <w:rPr>
                <w:rFonts w:eastAsiaTheme="minorEastAsia"/>
              </w:rPr>
            </w:pPr>
            <w:r>
              <w:rPr>
                <w:rFonts w:eastAsiaTheme="minorEastAsia"/>
              </w:rPr>
              <w:t xml:space="preserve">3.2 </w:t>
            </w:r>
            <w:r w:rsidRPr="006C3B91">
              <w:rPr>
                <w:rFonts w:eastAsiaTheme="minorEastAsia"/>
              </w:rPr>
              <w:t>As district (e.g., transplant nursery)</w:t>
            </w:r>
          </w:p>
        </w:tc>
        <w:tc>
          <w:tcPr>
            <w:tcW w:w="872" w:type="pct"/>
            <w:shd w:val="clear" w:color="auto" w:fill="FFF2CC" w:themeFill="accent4" w:themeFillTint="33"/>
          </w:tcPr>
          <w:p w14:paraId="1B562309" w14:textId="77777777" w:rsidR="006E7D07" w:rsidRPr="006C3B91" w:rsidRDefault="006E7D07" w:rsidP="00207A08">
            <w:pPr>
              <w:spacing w:after="163"/>
              <w:rPr>
                <w:rFonts w:eastAsiaTheme="minorEastAsia"/>
              </w:rPr>
            </w:pPr>
            <w:r w:rsidRPr="006C3B91">
              <w:rPr>
                <w:rFonts w:eastAsiaTheme="minorEastAsia"/>
              </w:rPr>
              <w:t>Production</w:t>
            </w:r>
          </w:p>
        </w:tc>
        <w:tc>
          <w:tcPr>
            <w:tcW w:w="2198" w:type="pct"/>
            <w:vMerge/>
            <w:shd w:val="clear" w:color="auto" w:fill="FFF2CC" w:themeFill="accent4" w:themeFillTint="33"/>
          </w:tcPr>
          <w:p w14:paraId="528AC47E" w14:textId="77777777" w:rsidR="006E7D07" w:rsidRPr="006C3B91" w:rsidRDefault="006E7D07" w:rsidP="00207A08">
            <w:pPr>
              <w:spacing w:after="163"/>
              <w:rPr>
                <w:rFonts w:eastAsiaTheme="minorEastAsia"/>
              </w:rPr>
            </w:pPr>
          </w:p>
        </w:tc>
        <w:tc>
          <w:tcPr>
            <w:tcW w:w="1228" w:type="pct"/>
            <w:shd w:val="clear" w:color="auto" w:fill="FFF2CC" w:themeFill="accent4" w:themeFillTint="33"/>
          </w:tcPr>
          <w:p w14:paraId="30A106C4" w14:textId="77777777" w:rsidR="006E7D07" w:rsidRPr="006C3B91" w:rsidRDefault="006E7D07" w:rsidP="00207A08">
            <w:pPr>
              <w:spacing w:after="163"/>
              <w:rPr>
                <w:rFonts w:eastAsiaTheme="minorEastAsia"/>
                <w:noProof/>
              </w:rPr>
            </w:pPr>
            <w:r w:rsidRPr="006C3B91">
              <w:rPr>
                <w:noProof/>
              </w:rPr>
              <w:drawing>
                <wp:inline distT="0" distB="0" distL="0" distR="0" wp14:anchorId="5324F7AB" wp14:editId="4C3E4631">
                  <wp:extent cx="2004646" cy="1254558"/>
                  <wp:effectExtent l="0" t="0" r="0" b="3175"/>
                  <wp:docPr id="29" name="图片 29" descr="A picture containing sky, grass,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 picture containing sky, grass, outdoor, road&#10;&#10;Description automatically generated"/>
                          <pic:cNvPicPr/>
                        </pic:nvPicPr>
                        <pic:blipFill rotWithShape="1">
                          <a:blip r:embed="rId41" cstate="print">
                            <a:extLst>
                              <a:ext uri="{28A0092B-C50C-407E-A947-70E740481C1C}">
                                <a14:useLocalDpi xmlns:a14="http://schemas.microsoft.com/office/drawing/2010/main" val="0"/>
                              </a:ext>
                            </a:extLst>
                          </a:blip>
                          <a:srcRect l="3071" t="11940" b="7189"/>
                          <a:stretch/>
                        </pic:blipFill>
                        <pic:spPr bwMode="auto">
                          <a:xfrm>
                            <a:off x="0" y="0"/>
                            <a:ext cx="2022515" cy="1265741"/>
                          </a:xfrm>
                          <a:prstGeom prst="rect">
                            <a:avLst/>
                          </a:prstGeom>
                          <a:ln>
                            <a:noFill/>
                          </a:ln>
                          <a:extLst>
                            <a:ext uri="{53640926-AAD7-44D8-BBD7-CCE9431645EC}">
                              <a14:shadowObscured xmlns:a14="http://schemas.microsoft.com/office/drawing/2010/main"/>
                            </a:ext>
                          </a:extLst>
                        </pic:spPr>
                      </pic:pic>
                    </a:graphicData>
                  </a:graphic>
                </wp:inline>
              </w:drawing>
            </w:r>
          </w:p>
        </w:tc>
      </w:tr>
      <w:tr w:rsidR="006E7D07" w:rsidRPr="006C3B91" w14:paraId="0E810187" w14:textId="77777777" w:rsidTr="00207A08">
        <w:tc>
          <w:tcPr>
            <w:tcW w:w="702" w:type="pct"/>
            <w:shd w:val="clear" w:color="auto" w:fill="D9E2F3" w:themeFill="accent5" w:themeFillTint="33"/>
          </w:tcPr>
          <w:p w14:paraId="4738685C" w14:textId="77777777" w:rsidR="006E7D07" w:rsidRPr="006C3B91" w:rsidRDefault="006E7D07" w:rsidP="00207A08">
            <w:pPr>
              <w:spacing w:after="163"/>
              <w:rPr>
                <w:rFonts w:eastAsiaTheme="minorEastAsia"/>
              </w:rPr>
            </w:pPr>
            <w:r>
              <w:rPr>
                <w:rFonts w:eastAsiaTheme="minorEastAsia"/>
              </w:rPr>
              <w:t xml:space="preserve">4.1 </w:t>
            </w:r>
            <w:r w:rsidRPr="006C3B91">
              <w:rPr>
                <w:rFonts w:eastAsiaTheme="minorEastAsia"/>
              </w:rPr>
              <w:t>Close to urban nodes (e.g., attached to residential and commercial areas)</w:t>
            </w:r>
          </w:p>
        </w:tc>
        <w:tc>
          <w:tcPr>
            <w:tcW w:w="872" w:type="pct"/>
            <w:shd w:val="clear" w:color="auto" w:fill="D9E2F3" w:themeFill="accent5" w:themeFillTint="33"/>
          </w:tcPr>
          <w:p w14:paraId="5A086052" w14:textId="77777777" w:rsidR="006E7D07" w:rsidRPr="006C3B91" w:rsidRDefault="006E7D07" w:rsidP="00207A08">
            <w:pPr>
              <w:spacing w:after="163"/>
              <w:rPr>
                <w:rFonts w:eastAsiaTheme="minorEastAsia"/>
              </w:rPr>
            </w:pPr>
            <w:r w:rsidRPr="006C3B91">
              <w:rPr>
                <w:rFonts w:eastAsiaTheme="minorEastAsia"/>
              </w:rPr>
              <w:t>Entertainment; recovery; aesthetic;</w:t>
            </w:r>
            <w:r w:rsidRPr="006C3B91">
              <w:rPr>
                <w:rFonts w:eastAsia="SimSun"/>
              </w:rPr>
              <w:t xml:space="preserve"> social cohesion</w:t>
            </w:r>
          </w:p>
        </w:tc>
        <w:tc>
          <w:tcPr>
            <w:tcW w:w="2198" w:type="pct"/>
            <w:shd w:val="clear" w:color="auto" w:fill="D9E2F3" w:themeFill="accent5" w:themeFillTint="33"/>
          </w:tcPr>
          <w:p w14:paraId="0E640DE6" w14:textId="77777777" w:rsidR="006E7D07" w:rsidRPr="006C3B91" w:rsidRDefault="006E7D07" w:rsidP="00207A08">
            <w:pPr>
              <w:spacing w:after="163"/>
              <w:rPr>
                <w:rFonts w:eastAsiaTheme="minorEastAsia"/>
              </w:rPr>
            </w:pPr>
            <w:r w:rsidRPr="006C3B91">
              <w:rPr>
                <w:rFonts w:eastAsiaTheme="minorEastAsia"/>
              </w:rPr>
              <w:t>The GBSs attached to residential areas have high accessibility because most residential areas are easy to reach; but low visibility and intelligibility because these GBSs are usually semi-public and</w:t>
            </w:r>
            <w:r w:rsidRPr="006C3B91">
              <w:t xml:space="preserve"> </w:t>
            </w:r>
            <w:r w:rsidRPr="006C3B91">
              <w:rPr>
                <w:rFonts w:eastAsiaTheme="minorEastAsia"/>
              </w:rPr>
              <w:t>difficult for people moving through public street networks to see and recognize.</w:t>
            </w:r>
          </w:p>
          <w:p w14:paraId="2F75D772" w14:textId="77777777" w:rsidR="006E7D07" w:rsidRPr="006C3B91" w:rsidRDefault="006E7D07" w:rsidP="00207A08">
            <w:pPr>
              <w:spacing w:after="163"/>
              <w:rPr>
                <w:rFonts w:eastAsiaTheme="minorEastAsia"/>
              </w:rPr>
            </w:pPr>
            <w:r w:rsidRPr="006C3B91">
              <w:rPr>
                <w:rFonts w:eastAsiaTheme="minorEastAsia"/>
              </w:rPr>
              <w:t>The GBSs attached to commercial areas have high accessibility, high visibility, and high intelligibility, because commercial area</w:t>
            </w:r>
            <w:r>
              <w:rPr>
                <w:rFonts w:eastAsiaTheme="minorEastAsia"/>
              </w:rPr>
              <w:t>s</w:t>
            </w:r>
            <w:r w:rsidRPr="006C3B91">
              <w:rPr>
                <w:rFonts w:eastAsiaTheme="minorEastAsia"/>
              </w:rPr>
              <w:t xml:space="preserve"> as an important urban function in a well-</w:t>
            </w:r>
            <w:r w:rsidRPr="006C3B91">
              <w:rPr>
                <w:rFonts w:eastAsiaTheme="minorEastAsia"/>
              </w:rPr>
              <w:lastRenderedPageBreak/>
              <w:t>connected spatial network should be easy to reach, view, and perceive throughout the city.</w:t>
            </w:r>
          </w:p>
        </w:tc>
        <w:tc>
          <w:tcPr>
            <w:tcW w:w="1228" w:type="pct"/>
            <w:shd w:val="clear" w:color="auto" w:fill="D9E2F3" w:themeFill="accent5" w:themeFillTint="33"/>
          </w:tcPr>
          <w:p w14:paraId="56D6EE4E" w14:textId="77777777" w:rsidR="006E7D07" w:rsidRPr="006C3B91" w:rsidRDefault="006E7D07" w:rsidP="00207A08">
            <w:pPr>
              <w:spacing w:after="163"/>
              <w:rPr>
                <w:rFonts w:eastAsiaTheme="minorEastAsia"/>
              </w:rPr>
            </w:pPr>
            <w:r w:rsidRPr="006C3B91">
              <w:rPr>
                <w:rFonts w:eastAsiaTheme="minorEastAsia"/>
                <w:noProof/>
              </w:rPr>
              <w:lastRenderedPageBreak/>
              <w:drawing>
                <wp:inline distT="0" distB="0" distL="0" distR="0" wp14:anchorId="0C17B54C" wp14:editId="0492E2E1">
                  <wp:extent cx="2032782" cy="1524771"/>
                  <wp:effectExtent l="0" t="0" r="5715" b="0"/>
                  <wp:docPr id="23" name="图片 23" descr="A grassy field with tall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 grassy field with tall buildings in the background&#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0669" cy="1538188"/>
                          </a:xfrm>
                          <a:prstGeom prst="rect">
                            <a:avLst/>
                          </a:prstGeom>
                        </pic:spPr>
                      </pic:pic>
                    </a:graphicData>
                  </a:graphic>
                </wp:inline>
              </w:drawing>
            </w:r>
          </w:p>
        </w:tc>
      </w:tr>
      <w:tr w:rsidR="006E7D07" w:rsidRPr="006C3B91" w14:paraId="29B0DEFB" w14:textId="77777777" w:rsidTr="00207A08">
        <w:tc>
          <w:tcPr>
            <w:tcW w:w="702" w:type="pct"/>
            <w:shd w:val="clear" w:color="auto" w:fill="D9E2F3" w:themeFill="accent5" w:themeFillTint="33"/>
          </w:tcPr>
          <w:p w14:paraId="06244DB2" w14:textId="77777777" w:rsidR="006E7D07" w:rsidRPr="006C3B91" w:rsidRDefault="006E7D07" w:rsidP="00207A08">
            <w:pPr>
              <w:spacing w:after="163"/>
              <w:rPr>
                <w:rFonts w:eastAsiaTheme="minorEastAsia"/>
              </w:rPr>
            </w:pPr>
            <w:r>
              <w:rPr>
                <w:rFonts w:eastAsiaTheme="minorEastAsia"/>
              </w:rPr>
              <w:t xml:space="preserve">4.2 </w:t>
            </w:r>
            <w:r w:rsidRPr="006C3B91">
              <w:rPr>
                <w:rFonts w:eastAsiaTheme="minorEastAsia"/>
              </w:rPr>
              <w:t>Close to urban nodes (e.g., attached to industrial areas)</w:t>
            </w:r>
          </w:p>
        </w:tc>
        <w:tc>
          <w:tcPr>
            <w:tcW w:w="872" w:type="pct"/>
            <w:shd w:val="clear" w:color="auto" w:fill="D9E2F3" w:themeFill="accent5" w:themeFillTint="33"/>
          </w:tcPr>
          <w:p w14:paraId="39C55B3D" w14:textId="77777777" w:rsidR="006E7D07" w:rsidRPr="006C3B91" w:rsidRDefault="006E7D07" w:rsidP="00207A08">
            <w:pPr>
              <w:spacing w:after="163"/>
              <w:rPr>
                <w:rFonts w:eastAsiaTheme="minorEastAsia"/>
              </w:rPr>
            </w:pPr>
            <w:r w:rsidRPr="006C3B91">
              <w:rPr>
                <w:rFonts w:eastAsiaTheme="minorEastAsia"/>
              </w:rPr>
              <w:t>Environmental protection; buffering</w:t>
            </w:r>
          </w:p>
        </w:tc>
        <w:tc>
          <w:tcPr>
            <w:tcW w:w="2198" w:type="pct"/>
            <w:shd w:val="clear" w:color="auto" w:fill="D9E2F3" w:themeFill="accent5" w:themeFillTint="33"/>
          </w:tcPr>
          <w:p w14:paraId="634A0821" w14:textId="77777777" w:rsidR="006E7D07" w:rsidRPr="006C3B91" w:rsidRDefault="006E7D07" w:rsidP="00207A08">
            <w:pPr>
              <w:spacing w:after="163"/>
              <w:rPr>
                <w:rFonts w:eastAsiaTheme="minorEastAsia"/>
              </w:rPr>
            </w:pPr>
            <w:r w:rsidRPr="006C3B91">
              <w:rPr>
                <w:rFonts w:eastAsiaTheme="minorEastAsia"/>
              </w:rPr>
              <w:t xml:space="preserve">The GBSs attached to industrial areas have low accessibility, low visibility, and low intelligibility, because the industrial areas are in </w:t>
            </w:r>
            <w:r>
              <w:rPr>
                <w:rFonts w:eastAsiaTheme="minorEastAsia"/>
              </w:rPr>
              <w:t>a</w:t>
            </w:r>
            <w:r w:rsidRPr="006C3B91">
              <w:rPr>
                <w:rFonts w:eastAsiaTheme="minorEastAsia"/>
              </w:rPr>
              <w:t xml:space="preserve"> distant location with </w:t>
            </w:r>
            <w:r>
              <w:rPr>
                <w:rFonts w:eastAsiaTheme="minorEastAsia"/>
              </w:rPr>
              <w:t>an</w:t>
            </w:r>
            <w:r w:rsidRPr="006C3B91">
              <w:rPr>
                <w:rFonts w:eastAsiaTheme="minorEastAsia"/>
              </w:rPr>
              <w:t xml:space="preserve"> isolated spatial network from the city center. These GBSs play more roles in environmental protection than providing social benefits, which will not be recognized by people in their routine movement.</w:t>
            </w:r>
          </w:p>
        </w:tc>
        <w:tc>
          <w:tcPr>
            <w:tcW w:w="1228" w:type="pct"/>
            <w:shd w:val="clear" w:color="auto" w:fill="D9E2F3" w:themeFill="accent5" w:themeFillTint="33"/>
          </w:tcPr>
          <w:p w14:paraId="2A26B314" w14:textId="77777777" w:rsidR="006E7D07" w:rsidRPr="006C3B91" w:rsidRDefault="006E7D07" w:rsidP="00207A08">
            <w:pPr>
              <w:spacing w:after="163"/>
              <w:rPr>
                <w:rFonts w:eastAsiaTheme="minorEastAsia"/>
              </w:rPr>
            </w:pPr>
            <w:r w:rsidRPr="006C3B91">
              <w:rPr>
                <w:rFonts w:eastAsiaTheme="minorEastAsia"/>
                <w:noProof/>
              </w:rPr>
              <w:drawing>
                <wp:inline distT="0" distB="0" distL="0" distR="0" wp14:anchorId="1216830B" wp14:editId="04AE0468">
                  <wp:extent cx="2031520" cy="1195265"/>
                  <wp:effectExtent l="0" t="0" r="6985" b="5080"/>
                  <wp:docPr id="5" name="图片 2" descr="A picture containing sky, outdoor,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A picture containing sky, outdoor, tree, road&#10;&#10;Description automatically generated"/>
                          <pic:cNvPicPr/>
                        </pic:nvPicPr>
                        <pic:blipFill rotWithShape="1">
                          <a:blip r:embed="rId43" cstate="print">
                            <a:extLst>
                              <a:ext uri="{28A0092B-C50C-407E-A947-70E740481C1C}">
                                <a14:useLocalDpi xmlns:a14="http://schemas.microsoft.com/office/drawing/2010/main" val="0"/>
                              </a:ext>
                            </a:extLst>
                          </a:blip>
                          <a:srcRect l="5122" t="17671" b="7896"/>
                          <a:stretch/>
                        </pic:blipFill>
                        <pic:spPr bwMode="auto">
                          <a:xfrm>
                            <a:off x="0" y="0"/>
                            <a:ext cx="2031520" cy="1195265"/>
                          </a:xfrm>
                          <a:prstGeom prst="rect">
                            <a:avLst/>
                          </a:prstGeom>
                          <a:ln>
                            <a:noFill/>
                          </a:ln>
                          <a:extLst>
                            <a:ext uri="{53640926-AAD7-44D8-BBD7-CCE9431645EC}">
                              <a14:shadowObscured xmlns:a14="http://schemas.microsoft.com/office/drawing/2010/main"/>
                            </a:ext>
                          </a:extLst>
                        </pic:spPr>
                      </pic:pic>
                    </a:graphicData>
                  </a:graphic>
                </wp:inline>
              </w:drawing>
            </w:r>
          </w:p>
        </w:tc>
      </w:tr>
      <w:tr w:rsidR="006E7D07" w:rsidRPr="006C3B91" w14:paraId="4BC8E25C" w14:textId="77777777" w:rsidTr="00207A08">
        <w:tc>
          <w:tcPr>
            <w:tcW w:w="702" w:type="pct"/>
            <w:shd w:val="clear" w:color="auto" w:fill="D9E2F3" w:themeFill="accent5" w:themeFillTint="33"/>
          </w:tcPr>
          <w:p w14:paraId="01671F6D" w14:textId="77777777" w:rsidR="006E7D07" w:rsidRPr="006C3B91" w:rsidRDefault="006E7D07" w:rsidP="00207A08">
            <w:pPr>
              <w:spacing w:after="163"/>
              <w:rPr>
                <w:rFonts w:eastAsiaTheme="minorEastAsia"/>
              </w:rPr>
            </w:pPr>
            <w:r>
              <w:rPr>
                <w:rFonts w:eastAsiaTheme="minorEastAsia"/>
              </w:rPr>
              <w:t xml:space="preserve">4.3 </w:t>
            </w:r>
            <w:r w:rsidRPr="006C3B91">
              <w:rPr>
                <w:rFonts w:eastAsiaTheme="minorEastAsia"/>
              </w:rPr>
              <w:t>Close to urban nodes (e.g., public green-blue spaces)</w:t>
            </w:r>
          </w:p>
        </w:tc>
        <w:tc>
          <w:tcPr>
            <w:tcW w:w="872" w:type="pct"/>
            <w:shd w:val="clear" w:color="auto" w:fill="D9E2F3" w:themeFill="accent5" w:themeFillTint="33"/>
          </w:tcPr>
          <w:p w14:paraId="6C2D3CB6" w14:textId="77777777" w:rsidR="006E7D07" w:rsidRPr="006C3B91" w:rsidRDefault="006E7D07" w:rsidP="00207A08">
            <w:pPr>
              <w:spacing w:after="163"/>
              <w:rPr>
                <w:rFonts w:eastAsiaTheme="minorEastAsia"/>
              </w:rPr>
            </w:pPr>
            <w:r w:rsidRPr="006C3B91">
              <w:rPr>
                <w:rFonts w:eastAsiaTheme="minorEastAsia"/>
              </w:rPr>
              <w:t>Entertainment; aesthetic; recovery;</w:t>
            </w:r>
            <w:r w:rsidRPr="006C3B91">
              <w:rPr>
                <w:rFonts w:eastAsia="SimSun"/>
              </w:rPr>
              <w:t xml:space="preserve"> social cohesion </w:t>
            </w:r>
          </w:p>
        </w:tc>
        <w:tc>
          <w:tcPr>
            <w:tcW w:w="2198" w:type="pct"/>
            <w:shd w:val="clear" w:color="auto" w:fill="D9E2F3" w:themeFill="accent5" w:themeFillTint="33"/>
          </w:tcPr>
          <w:p w14:paraId="1E7F0117" w14:textId="77777777" w:rsidR="006E7D07" w:rsidRPr="006C3B91" w:rsidRDefault="006E7D07" w:rsidP="00207A08">
            <w:pPr>
              <w:spacing w:after="163"/>
              <w:rPr>
                <w:rFonts w:eastAsiaTheme="minorEastAsia"/>
              </w:rPr>
            </w:pPr>
            <w:r w:rsidRPr="006C3B91">
              <w:rPr>
                <w:rFonts w:eastAsiaTheme="minorEastAsia"/>
              </w:rPr>
              <w:t xml:space="preserve">The public green-blue spaces, such as parks, have high accessibility, high visibility, and high intelligibility, because these public open spaces are usually in well-connected and easy-accessed places, taking the usage efficiency into account. </w:t>
            </w:r>
          </w:p>
        </w:tc>
        <w:tc>
          <w:tcPr>
            <w:tcW w:w="1228" w:type="pct"/>
            <w:shd w:val="clear" w:color="auto" w:fill="D9E2F3" w:themeFill="accent5" w:themeFillTint="33"/>
          </w:tcPr>
          <w:p w14:paraId="09598ED3" w14:textId="77777777" w:rsidR="006E7D07" w:rsidRPr="006C3B91" w:rsidRDefault="006E7D07" w:rsidP="00207A08">
            <w:pPr>
              <w:spacing w:after="163"/>
              <w:rPr>
                <w:rFonts w:eastAsiaTheme="minorEastAsia"/>
                <w:noProof/>
              </w:rPr>
            </w:pPr>
            <w:r w:rsidRPr="006C3B91">
              <w:rPr>
                <w:rFonts w:eastAsiaTheme="minorEastAsia"/>
                <w:noProof/>
              </w:rPr>
              <w:drawing>
                <wp:inline distT="0" distB="0" distL="0" distR="0" wp14:anchorId="22EBC13B" wp14:editId="4960B7CB">
                  <wp:extent cx="1997612" cy="1498209"/>
                  <wp:effectExtent l="0" t="0" r="3175" b="6985"/>
                  <wp:docPr id="6" name="图片 3" descr="A park with tall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A park with tall buildings in the background&#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4571" cy="1503428"/>
                          </a:xfrm>
                          <a:prstGeom prst="rect">
                            <a:avLst/>
                          </a:prstGeom>
                        </pic:spPr>
                      </pic:pic>
                    </a:graphicData>
                  </a:graphic>
                </wp:inline>
              </w:drawing>
            </w:r>
          </w:p>
        </w:tc>
      </w:tr>
      <w:tr w:rsidR="006E7D07" w:rsidRPr="006C3B91" w14:paraId="56D67B1C" w14:textId="77777777" w:rsidTr="00207A08">
        <w:tc>
          <w:tcPr>
            <w:tcW w:w="702" w:type="pct"/>
            <w:shd w:val="clear" w:color="auto" w:fill="E2EFD9" w:themeFill="accent6" w:themeFillTint="33"/>
          </w:tcPr>
          <w:p w14:paraId="74A0B59E" w14:textId="77777777" w:rsidR="006E7D07" w:rsidRPr="006C3B91" w:rsidRDefault="006E7D07" w:rsidP="00207A08">
            <w:pPr>
              <w:spacing w:after="163"/>
              <w:rPr>
                <w:rFonts w:eastAsiaTheme="minorEastAsia"/>
              </w:rPr>
            </w:pPr>
            <w:r>
              <w:rPr>
                <w:rFonts w:eastAsiaTheme="minorEastAsia"/>
              </w:rPr>
              <w:lastRenderedPageBreak/>
              <w:t xml:space="preserve">5. </w:t>
            </w:r>
            <w:r w:rsidRPr="006C3B91">
              <w:rPr>
                <w:rFonts w:eastAsiaTheme="minorEastAsia"/>
              </w:rPr>
              <w:t>Close to landmarks</w:t>
            </w:r>
          </w:p>
        </w:tc>
        <w:tc>
          <w:tcPr>
            <w:tcW w:w="872" w:type="pct"/>
            <w:shd w:val="clear" w:color="auto" w:fill="E2EFD9" w:themeFill="accent6" w:themeFillTint="33"/>
          </w:tcPr>
          <w:p w14:paraId="54645234" w14:textId="77777777" w:rsidR="006E7D07" w:rsidRPr="006C3B91" w:rsidRDefault="006E7D07" w:rsidP="00207A08">
            <w:pPr>
              <w:spacing w:after="163"/>
              <w:rPr>
                <w:rFonts w:eastAsiaTheme="minorEastAsia"/>
              </w:rPr>
            </w:pPr>
            <w:r w:rsidRPr="006C3B91">
              <w:rPr>
                <w:rFonts w:eastAsiaTheme="minorEastAsia"/>
              </w:rPr>
              <w:t>Aesthetic; entertainment</w:t>
            </w:r>
          </w:p>
        </w:tc>
        <w:tc>
          <w:tcPr>
            <w:tcW w:w="2198" w:type="pct"/>
            <w:shd w:val="clear" w:color="auto" w:fill="E2EFD9" w:themeFill="accent6" w:themeFillTint="33"/>
          </w:tcPr>
          <w:p w14:paraId="27B26CA2" w14:textId="77777777" w:rsidR="006E7D07" w:rsidRPr="006C3B91" w:rsidRDefault="006E7D07" w:rsidP="00207A08">
            <w:pPr>
              <w:spacing w:after="163"/>
              <w:rPr>
                <w:rFonts w:eastAsiaTheme="minorEastAsia"/>
              </w:rPr>
            </w:pPr>
            <w:r w:rsidRPr="006C3B91">
              <w:rPr>
                <w:rFonts w:eastAsiaTheme="minorEastAsia"/>
              </w:rPr>
              <w:t xml:space="preserve">The GBSs around the landmark have </w:t>
            </w:r>
          </w:p>
          <w:p w14:paraId="02FE513B" w14:textId="77777777" w:rsidR="006E7D07" w:rsidRPr="006C3B91" w:rsidRDefault="006E7D07" w:rsidP="00207A08">
            <w:pPr>
              <w:spacing w:after="163"/>
              <w:rPr>
                <w:rFonts w:eastAsiaTheme="minorEastAsia"/>
              </w:rPr>
            </w:pPr>
            <w:r w:rsidRPr="006C3B91">
              <w:rPr>
                <w:rFonts w:eastAsiaTheme="minorEastAsia"/>
              </w:rPr>
              <w:t>1) high accessibility and intelligibility, because the surrounding well-developed networks bring the GBSs into the easy-accessed and easy-cognized spatial networks.</w:t>
            </w:r>
          </w:p>
          <w:p w14:paraId="717EF7C2" w14:textId="77777777" w:rsidR="006E7D07" w:rsidRPr="006C3B91" w:rsidRDefault="006E7D07" w:rsidP="00207A08">
            <w:pPr>
              <w:spacing w:after="163"/>
              <w:rPr>
                <w:rFonts w:eastAsiaTheme="minorEastAsia"/>
              </w:rPr>
            </w:pPr>
            <w:r w:rsidRPr="006C3B91">
              <w:rPr>
                <w:rFonts w:eastAsiaTheme="minorEastAsia"/>
              </w:rPr>
              <w:t>2) but low visibility, because these GBSs</w:t>
            </w:r>
            <w:r w:rsidRPr="006C3B91">
              <w:t xml:space="preserve"> </w:t>
            </w:r>
            <w:r w:rsidRPr="006C3B91">
              <w:rPr>
                <w:rFonts w:eastAsiaTheme="minorEastAsia"/>
              </w:rPr>
              <w:t xml:space="preserve">primarily serve visitors instead of the general public. These GBSs are thus less likely to be viewed if people do not reach the landmark. </w:t>
            </w:r>
          </w:p>
        </w:tc>
        <w:tc>
          <w:tcPr>
            <w:tcW w:w="1228" w:type="pct"/>
            <w:shd w:val="clear" w:color="auto" w:fill="E2EFD9" w:themeFill="accent6" w:themeFillTint="33"/>
          </w:tcPr>
          <w:p w14:paraId="2EF3B794" w14:textId="77777777" w:rsidR="006E7D07" w:rsidRPr="006C3B91" w:rsidRDefault="006E7D07" w:rsidP="00207A08">
            <w:pPr>
              <w:spacing w:after="163"/>
              <w:rPr>
                <w:rFonts w:eastAsiaTheme="minorEastAsia"/>
              </w:rPr>
            </w:pPr>
            <w:r w:rsidRPr="006C3B91">
              <w:rPr>
                <w:rFonts w:eastAsiaTheme="minorEastAsia"/>
                <w:noProof/>
              </w:rPr>
              <w:drawing>
                <wp:inline distT="0" distB="0" distL="0" distR="0" wp14:anchorId="1E77CBE7" wp14:editId="74D618A2">
                  <wp:extent cx="1716259" cy="2159120"/>
                  <wp:effectExtent l="0" t="0" r="0" b="0"/>
                  <wp:docPr id="20" name="图片 20" descr="A tall pointy tower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 tall pointy tower in a city&#10;&#10;Description automatically generated with low confidence"/>
                          <pic:cNvPicPr/>
                        </pic:nvPicPr>
                        <pic:blipFill rotWithShape="1">
                          <a:blip r:embed="rId45" cstate="print">
                            <a:extLst>
                              <a:ext uri="{28A0092B-C50C-407E-A947-70E740481C1C}">
                                <a14:useLocalDpi xmlns:a14="http://schemas.microsoft.com/office/drawing/2010/main" val="0"/>
                              </a:ext>
                            </a:extLst>
                          </a:blip>
                          <a:srcRect t="5691"/>
                          <a:stretch/>
                        </pic:blipFill>
                        <pic:spPr bwMode="auto">
                          <a:xfrm>
                            <a:off x="0" y="0"/>
                            <a:ext cx="1722718" cy="2167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3DD2E9" w14:textId="77777777" w:rsidR="006E7D07" w:rsidRDefault="006E7D07" w:rsidP="006E7D07">
      <w:pPr>
        <w:spacing w:after="163"/>
        <w:rPr>
          <w:rFonts w:eastAsiaTheme="minorEastAsia"/>
        </w:rPr>
        <w:sectPr w:rsidR="006E7D07" w:rsidSect="007A3DB5">
          <w:pgSz w:w="16838" w:h="11906" w:orient="landscape"/>
          <w:pgMar w:top="1800" w:right="1440" w:bottom="1800" w:left="1440" w:header="851" w:footer="992" w:gutter="0"/>
          <w:cols w:space="425"/>
          <w:docGrid w:type="lines" w:linePitch="326"/>
        </w:sectPr>
      </w:pPr>
    </w:p>
    <w:p w14:paraId="47D12A82" w14:textId="77777777" w:rsidR="006E7D07" w:rsidRPr="00D117F9" w:rsidRDefault="006E7D07" w:rsidP="006E7D07">
      <w:pPr>
        <w:spacing w:afterLines="0" w:after="0" w:line="480" w:lineRule="auto"/>
        <w:jc w:val="center"/>
      </w:pPr>
      <w:r w:rsidRPr="004C4F83">
        <w:rPr>
          <w:b/>
          <w:bCs/>
        </w:rPr>
        <w:lastRenderedPageBreak/>
        <w:t xml:space="preserve">Table </w:t>
      </w:r>
      <w:r>
        <w:rPr>
          <w:b/>
          <w:bCs/>
        </w:rPr>
        <w:t>2</w:t>
      </w:r>
      <w:r w:rsidRPr="00D117F9">
        <w:t xml:space="preserve">. AVI measurements of GBSs </w:t>
      </w:r>
      <w:r w:rsidRPr="00D117F9">
        <w:fldChar w:fldCharType="begin" w:fldLock="1"/>
      </w:r>
      <w:r w:rsidRPr="00D117F9">
        <w:instrText>ADDIN CSL_CITATION {"citationItems":[{"id":"ITEM-1","itemData":{"author":[{"dropping-particle":"","family":"Hillier","given":"Bill","non-dropping-particle":"","parse-names":false,"suffix":""},{"dropping-particle":"","family":"Burdeau","given":"Richard","non-dropping-particle":"","parse-names":false,"suffix":""},{"dropping-particle":"","family":"Peponis","given":"John","non-dropping-particle":"","parse-names":false,"suffix":""},{"dropping-particle":"","family":"Penn","given":"Alan","non-dropping-particle":"","parse-names":false,"suffix":""}],"container-title":"Architecture et Comportement/Architecture and Behaviour","id":"ITEM-1","issue":"3","issued":{"date-parts":[["1987"]]},"page":"233-250","title":"Creating Life or Does Arhcitcture Create Anything","type":"article-journal","volume":"3"},"uris":["http://www.mendeley.com/documents/?uuid=8898c4a4-0d1f-4173-adc9-34f6f0cdf65b"]}],"mendeley":{"formattedCitation":"(Bill Hillier et al., 1987)","manualFormatting":"(Hillier et al., 1987","plainTextFormattedCitation":"(Bill Hillier et al., 1987)","previouslyFormattedCitation":"(Bill Hillier et al., 1987)"},"properties":{"noteIndex":0},"schema":"https://github.com/citation-style-language/schema/raw/master/csl-citation.json"}</w:instrText>
      </w:r>
      <w:r w:rsidRPr="00D117F9">
        <w:fldChar w:fldCharType="separate"/>
      </w:r>
      <w:r w:rsidRPr="00D117F9">
        <w:rPr>
          <w:noProof/>
        </w:rPr>
        <w:t>(Hillier et al., 1987</w:t>
      </w:r>
      <w:r w:rsidRPr="00D117F9">
        <w:fldChar w:fldCharType="end"/>
      </w:r>
      <w:r w:rsidRPr="00D117F9">
        <w:t xml:space="preserve">; </w:t>
      </w:r>
      <w:r w:rsidRPr="00D117F9">
        <w:fldChar w:fldCharType="begin" w:fldLock="1"/>
      </w:r>
      <w:r w:rsidRPr="00D117F9">
        <w:instrText>ADDIN CSL_CITATION {"citationItems":[{"id":"ITEM-1","itemData":{"author":[{"dropping-particle":"","family":"Hillier","given":"Bill","non-dropping-particle":"","parse-names":false,"suffix":""}],"id":"ITEM-1","issued":{"date-parts":[["1996"]]},"title":"Space is the machine: a configurational theory of architecture","type":"book"},"uris":["http://www.mendeley.com/documents/?uuid=379c7e8a-252c-3591-a919-ba2bbd457f26"]}],"mendeley":{"formattedCitation":"(Bill Hillier, 1996)","manualFormatting":"Hillier, 1996)","plainTextFormattedCitation":"(Bill Hillier, 1996)","previouslyFormattedCitation":"(Bill Hillier, 1996)"},"properties":{"noteIndex":0},"schema":"https://github.com/citation-style-language/schema/raw/master/csl-citation.json"}</w:instrText>
      </w:r>
      <w:r w:rsidRPr="00D117F9">
        <w:fldChar w:fldCharType="separate"/>
      </w:r>
      <w:r w:rsidRPr="00D117F9">
        <w:rPr>
          <w:noProof/>
        </w:rPr>
        <w:t>Hillier, 1996)</w:t>
      </w:r>
      <w:r w:rsidRPr="00D117F9">
        <w:fldChar w:fldCharType="end"/>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6452"/>
      </w:tblGrid>
      <w:tr w:rsidR="006E7D07" w:rsidRPr="00D117F9" w14:paraId="108AF9C0" w14:textId="77777777" w:rsidTr="00207A08">
        <w:trPr>
          <w:jc w:val="center"/>
        </w:trPr>
        <w:tc>
          <w:tcPr>
            <w:tcW w:w="1116" w:type="pct"/>
            <w:tcBorders>
              <w:bottom w:val="single" w:sz="4" w:space="0" w:color="000000"/>
            </w:tcBorders>
          </w:tcPr>
          <w:p w14:paraId="3E588C6D" w14:textId="77777777" w:rsidR="006E7D07" w:rsidRPr="00D117F9" w:rsidRDefault="006E7D07" w:rsidP="00207A08">
            <w:pPr>
              <w:spacing w:afterLines="0" w:after="0" w:line="480" w:lineRule="auto"/>
              <w:jc w:val="center"/>
            </w:pPr>
            <w:r w:rsidRPr="00D117F9">
              <w:t>Indicators</w:t>
            </w:r>
          </w:p>
        </w:tc>
        <w:tc>
          <w:tcPr>
            <w:tcW w:w="3884" w:type="pct"/>
            <w:tcBorders>
              <w:bottom w:val="single" w:sz="4" w:space="0" w:color="000000"/>
            </w:tcBorders>
          </w:tcPr>
          <w:p w14:paraId="66100B36" w14:textId="77777777" w:rsidR="006E7D07" w:rsidRPr="00D117F9" w:rsidRDefault="006E7D07" w:rsidP="00207A08">
            <w:pPr>
              <w:spacing w:afterLines="0" w:after="0" w:line="480" w:lineRule="auto"/>
              <w:jc w:val="center"/>
            </w:pPr>
            <w:r w:rsidRPr="00D117F9">
              <w:t>Measures</w:t>
            </w:r>
          </w:p>
        </w:tc>
      </w:tr>
      <w:tr w:rsidR="006E7D07" w:rsidRPr="00D117F9" w14:paraId="7A252F06" w14:textId="77777777" w:rsidTr="00207A08">
        <w:trPr>
          <w:jc w:val="center"/>
        </w:trPr>
        <w:tc>
          <w:tcPr>
            <w:tcW w:w="1116" w:type="pct"/>
            <w:tcBorders>
              <w:top w:val="single" w:sz="4" w:space="0" w:color="000000"/>
            </w:tcBorders>
          </w:tcPr>
          <w:p w14:paraId="3E9BFA24" w14:textId="77777777" w:rsidR="006E7D07" w:rsidRPr="00D117F9" w:rsidRDefault="006E7D07" w:rsidP="00207A08">
            <w:pPr>
              <w:spacing w:afterLines="0" w:after="0" w:line="480" w:lineRule="auto"/>
              <w:jc w:val="center"/>
            </w:pPr>
            <w:r w:rsidRPr="00D117F9">
              <w:t>Accessibility</w:t>
            </w:r>
          </w:p>
        </w:tc>
        <w:tc>
          <w:tcPr>
            <w:tcW w:w="3884" w:type="pct"/>
            <w:tcBorders>
              <w:top w:val="single" w:sz="4" w:space="0" w:color="000000"/>
            </w:tcBorders>
          </w:tcPr>
          <w:p w14:paraId="00D8042F" w14:textId="77777777" w:rsidR="006E7D07" w:rsidRPr="00D117F9" w:rsidRDefault="006E7D07" w:rsidP="00207A08">
            <w:pPr>
              <w:spacing w:afterLines="0" w:after="0" w:line="480" w:lineRule="auto"/>
              <w:jc w:val="center"/>
            </w:pPr>
            <w:r w:rsidRPr="00D117F9">
              <w:t>Local NQPDA (radius = 1200m)</w:t>
            </w:r>
          </w:p>
        </w:tc>
      </w:tr>
      <w:tr w:rsidR="006E7D07" w:rsidRPr="00D117F9" w14:paraId="755732DA" w14:textId="77777777" w:rsidTr="00207A08">
        <w:trPr>
          <w:jc w:val="center"/>
        </w:trPr>
        <w:tc>
          <w:tcPr>
            <w:tcW w:w="1116" w:type="pct"/>
          </w:tcPr>
          <w:p w14:paraId="7F8A02F8" w14:textId="77777777" w:rsidR="006E7D07" w:rsidRPr="00D117F9" w:rsidRDefault="006E7D07" w:rsidP="00207A08">
            <w:pPr>
              <w:spacing w:afterLines="0" w:after="0" w:line="480" w:lineRule="auto"/>
              <w:jc w:val="center"/>
            </w:pPr>
            <w:r w:rsidRPr="00D117F9">
              <w:t>Visibility</w:t>
            </w:r>
          </w:p>
        </w:tc>
        <w:tc>
          <w:tcPr>
            <w:tcW w:w="3884" w:type="pct"/>
          </w:tcPr>
          <w:p w14:paraId="6CA0F155" w14:textId="77777777" w:rsidR="006E7D07" w:rsidRPr="00D117F9" w:rsidRDefault="006E7D07" w:rsidP="00207A08">
            <w:pPr>
              <w:spacing w:afterLines="0" w:after="0" w:line="480" w:lineRule="auto"/>
              <w:jc w:val="center"/>
            </w:pPr>
            <w:r w:rsidRPr="00D117F9">
              <w:t xml:space="preserve">Local </w:t>
            </w:r>
            <w:proofErr w:type="spellStart"/>
            <w:r w:rsidRPr="00D117F9">
              <w:t>TPBtA</w:t>
            </w:r>
            <w:proofErr w:type="spellEnd"/>
            <w:r w:rsidRPr="00D117F9">
              <w:t xml:space="preserve"> (radius = 1200m)</w:t>
            </w:r>
          </w:p>
        </w:tc>
      </w:tr>
      <w:tr w:rsidR="006E7D07" w:rsidRPr="00D117F9" w14:paraId="4DF140EA" w14:textId="77777777" w:rsidTr="00207A08">
        <w:trPr>
          <w:jc w:val="center"/>
        </w:trPr>
        <w:tc>
          <w:tcPr>
            <w:tcW w:w="1116" w:type="pct"/>
          </w:tcPr>
          <w:p w14:paraId="2D46C178" w14:textId="77777777" w:rsidR="006E7D07" w:rsidRPr="00D117F9" w:rsidRDefault="006E7D07" w:rsidP="00207A08">
            <w:pPr>
              <w:spacing w:afterLines="0" w:after="0" w:line="480" w:lineRule="auto"/>
              <w:jc w:val="center"/>
            </w:pPr>
            <w:r w:rsidRPr="00D117F9">
              <w:t>Intelligibility</w:t>
            </w:r>
          </w:p>
        </w:tc>
        <w:tc>
          <w:tcPr>
            <w:tcW w:w="3884" w:type="pct"/>
          </w:tcPr>
          <w:p w14:paraId="0E78DE35" w14:textId="77777777" w:rsidR="006E7D07" w:rsidRPr="00D117F9" w:rsidRDefault="006E7D07" w:rsidP="00207A08">
            <w:pPr>
              <w:spacing w:afterLines="0" w:after="0" w:line="480" w:lineRule="auto"/>
              <w:jc w:val="center"/>
            </w:pPr>
            <w:r w:rsidRPr="00D117F9">
              <w:t>Correlations (R</w:t>
            </w:r>
            <w:r w:rsidRPr="00D117F9">
              <w:rPr>
                <w:vertAlign w:val="superscript"/>
              </w:rPr>
              <w:t>2</w:t>
            </w:r>
            <w:r w:rsidRPr="00D117F9">
              <w:t xml:space="preserve">) between </w:t>
            </w:r>
            <w:proofErr w:type="spellStart"/>
            <w:r w:rsidRPr="00D117F9">
              <w:t>LConn</w:t>
            </w:r>
            <w:proofErr w:type="spellEnd"/>
            <w:r w:rsidRPr="00D117F9">
              <w:t xml:space="preserve"> and city NQPDA</w:t>
            </w:r>
          </w:p>
        </w:tc>
      </w:tr>
    </w:tbl>
    <w:p w14:paraId="3B542A8C" w14:textId="77777777" w:rsidR="006E7D07" w:rsidRDefault="006E7D07" w:rsidP="006E7D07">
      <w:pPr>
        <w:tabs>
          <w:tab w:val="left" w:pos="886"/>
        </w:tabs>
        <w:spacing w:after="156"/>
        <w:rPr>
          <w:rFonts w:eastAsiaTheme="minorEastAsia"/>
        </w:rPr>
      </w:pPr>
    </w:p>
    <w:p w14:paraId="26F11906" w14:textId="77777777" w:rsidR="006E7D07" w:rsidRDefault="006E7D07" w:rsidP="006E7D07">
      <w:pPr>
        <w:tabs>
          <w:tab w:val="left" w:pos="886"/>
        </w:tabs>
        <w:spacing w:after="156"/>
        <w:rPr>
          <w:rFonts w:eastAsiaTheme="minorEastAsia"/>
        </w:rPr>
        <w:sectPr w:rsidR="006E7D07">
          <w:pgSz w:w="11906" w:h="16838"/>
          <w:pgMar w:top="1440" w:right="1800" w:bottom="1440" w:left="1800" w:header="851" w:footer="992" w:gutter="0"/>
          <w:cols w:space="425"/>
          <w:docGrid w:type="lines" w:linePitch="312"/>
        </w:sectPr>
      </w:pPr>
    </w:p>
    <w:p w14:paraId="0A59BEB2" w14:textId="77777777" w:rsidR="006E7D07" w:rsidRPr="00D117F9" w:rsidRDefault="006E7D07" w:rsidP="006E7D07">
      <w:pPr>
        <w:spacing w:afterLines="0" w:after="0" w:line="480" w:lineRule="auto"/>
        <w:jc w:val="center"/>
        <w:rPr>
          <w:rFonts w:eastAsiaTheme="minorEastAsia"/>
        </w:rPr>
      </w:pPr>
      <w:r w:rsidRPr="00FB26AD">
        <w:rPr>
          <w:rFonts w:eastAsiaTheme="minorEastAsia"/>
          <w:b/>
          <w:bCs/>
        </w:rPr>
        <w:lastRenderedPageBreak/>
        <w:t xml:space="preserve">Table </w:t>
      </w:r>
      <w:r>
        <w:rPr>
          <w:rFonts w:eastAsiaTheme="minorEastAsia"/>
          <w:b/>
          <w:bCs/>
        </w:rPr>
        <w:t>3</w:t>
      </w:r>
      <w:r>
        <w:rPr>
          <w:rFonts w:eastAsiaTheme="minorEastAsia"/>
        </w:rPr>
        <w:t>.</w:t>
      </w:r>
      <w:r w:rsidRPr="00D117F9">
        <w:rPr>
          <w:rFonts w:eastAsiaTheme="minorEastAsia"/>
        </w:rPr>
        <w:t xml:space="preserve"> The PCA results of AVI values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502"/>
      </w:tblGrid>
      <w:tr w:rsidR="006E7D07" w:rsidRPr="00D117F9" w14:paraId="3257B442" w14:textId="77777777" w:rsidTr="00207A08">
        <w:tc>
          <w:tcPr>
            <w:tcW w:w="2048" w:type="pct"/>
            <w:tcBorders>
              <w:bottom w:val="single" w:sz="4" w:space="0" w:color="auto"/>
            </w:tcBorders>
          </w:tcPr>
          <w:p w14:paraId="2FF55907" w14:textId="77777777" w:rsidR="006E7D07" w:rsidRPr="00D117F9" w:rsidRDefault="006E7D07" w:rsidP="00207A08">
            <w:pPr>
              <w:spacing w:afterLines="0" w:after="0" w:line="480" w:lineRule="auto"/>
              <w:jc w:val="center"/>
              <w:rPr>
                <w:rFonts w:eastAsiaTheme="minorEastAsia"/>
              </w:rPr>
            </w:pPr>
          </w:p>
        </w:tc>
        <w:tc>
          <w:tcPr>
            <w:tcW w:w="1024" w:type="pct"/>
            <w:tcBorders>
              <w:bottom w:val="single" w:sz="4" w:space="0" w:color="auto"/>
            </w:tcBorders>
          </w:tcPr>
          <w:p w14:paraId="72653B61" w14:textId="77777777" w:rsidR="006E7D07" w:rsidRPr="00D117F9" w:rsidRDefault="006E7D07" w:rsidP="00207A08">
            <w:pPr>
              <w:spacing w:afterLines="0" w:after="0" w:line="480" w:lineRule="auto"/>
              <w:jc w:val="center"/>
              <w:rPr>
                <w:rFonts w:eastAsiaTheme="minorEastAsia"/>
              </w:rPr>
            </w:pPr>
            <w:r w:rsidRPr="00D117F9">
              <w:rPr>
                <w:rFonts w:eastAsiaTheme="minorEastAsia" w:hint="eastAsia"/>
              </w:rPr>
              <w:t>P</w:t>
            </w:r>
            <w:r w:rsidRPr="00D117F9">
              <w:rPr>
                <w:rFonts w:eastAsiaTheme="minorEastAsia"/>
              </w:rPr>
              <w:t>C1</w:t>
            </w:r>
          </w:p>
        </w:tc>
        <w:tc>
          <w:tcPr>
            <w:tcW w:w="1024" w:type="pct"/>
            <w:tcBorders>
              <w:bottom w:val="single" w:sz="4" w:space="0" w:color="auto"/>
            </w:tcBorders>
          </w:tcPr>
          <w:p w14:paraId="30A3F046" w14:textId="77777777" w:rsidR="006E7D07" w:rsidRPr="00D117F9" w:rsidRDefault="006E7D07" w:rsidP="00207A08">
            <w:pPr>
              <w:spacing w:afterLines="0" w:after="0" w:line="480" w:lineRule="auto"/>
              <w:jc w:val="center"/>
              <w:rPr>
                <w:rFonts w:eastAsiaTheme="minorEastAsia"/>
              </w:rPr>
            </w:pPr>
            <w:r w:rsidRPr="00D117F9">
              <w:rPr>
                <w:rFonts w:eastAsiaTheme="minorEastAsia" w:hint="eastAsia"/>
              </w:rPr>
              <w:t>P</w:t>
            </w:r>
            <w:r w:rsidRPr="00D117F9">
              <w:rPr>
                <w:rFonts w:eastAsiaTheme="minorEastAsia"/>
              </w:rPr>
              <w:t>C2</w:t>
            </w:r>
          </w:p>
        </w:tc>
        <w:tc>
          <w:tcPr>
            <w:tcW w:w="904" w:type="pct"/>
            <w:tcBorders>
              <w:bottom w:val="single" w:sz="4" w:space="0" w:color="auto"/>
            </w:tcBorders>
          </w:tcPr>
          <w:p w14:paraId="1C4586F9" w14:textId="77777777" w:rsidR="006E7D07" w:rsidRPr="00D117F9" w:rsidRDefault="006E7D07" w:rsidP="00207A08">
            <w:pPr>
              <w:spacing w:afterLines="0" w:after="0" w:line="480" w:lineRule="auto"/>
              <w:jc w:val="center"/>
              <w:rPr>
                <w:rFonts w:eastAsiaTheme="minorEastAsia"/>
              </w:rPr>
            </w:pPr>
            <w:r w:rsidRPr="00D117F9">
              <w:rPr>
                <w:rFonts w:eastAsiaTheme="minorEastAsia" w:hint="eastAsia"/>
              </w:rPr>
              <w:t>P</w:t>
            </w:r>
            <w:r w:rsidRPr="00D117F9">
              <w:rPr>
                <w:rFonts w:eastAsiaTheme="minorEastAsia"/>
              </w:rPr>
              <w:t>C3</w:t>
            </w:r>
          </w:p>
        </w:tc>
      </w:tr>
      <w:tr w:rsidR="006E7D07" w:rsidRPr="00D117F9" w14:paraId="430B4D5E" w14:textId="77777777" w:rsidTr="00207A08">
        <w:tc>
          <w:tcPr>
            <w:tcW w:w="2048" w:type="pct"/>
            <w:tcBorders>
              <w:top w:val="single" w:sz="4" w:space="0" w:color="auto"/>
            </w:tcBorders>
          </w:tcPr>
          <w:p w14:paraId="69AB0B7C"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Proportion of variance (%)</w:t>
            </w:r>
          </w:p>
        </w:tc>
        <w:tc>
          <w:tcPr>
            <w:tcW w:w="1024" w:type="pct"/>
            <w:tcBorders>
              <w:top w:val="single" w:sz="4" w:space="0" w:color="auto"/>
            </w:tcBorders>
          </w:tcPr>
          <w:p w14:paraId="61E48723" w14:textId="77777777" w:rsidR="006E7D07" w:rsidRPr="00D117F9" w:rsidRDefault="006E7D07" w:rsidP="00207A08">
            <w:pPr>
              <w:spacing w:afterLines="0" w:after="0" w:line="480" w:lineRule="auto"/>
              <w:jc w:val="center"/>
              <w:rPr>
                <w:rFonts w:eastAsiaTheme="minorEastAsia"/>
              </w:rPr>
            </w:pPr>
            <w:r>
              <w:rPr>
                <w:rFonts w:eastAsiaTheme="minorEastAsia"/>
              </w:rPr>
              <w:t>60</w:t>
            </w:r>
          </w:p>
        </w:tc>
        <w:tc>
          <w:tcPr>
            <w:tcW w:w="1024" w:type="pct"/>
            <w:tcBorders>
              <w:top w:val="single" w:sz="4" w:space="0" w:color="auto"/>
            </w:tcBorders>
          </w:tcPr>
          <w:p w14:paraId="1721238F"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31.</w:t>
            </w:r>
            <w:r>
              <w:rPr>
                <w:rFonts w:eastAsiaTheme="minorEastAsia"/>
              </w:rPr>
              <w:t>6</w:t>
            </w:r>
          </w:p>
        </w:tc>
        <w:tc>
          <w:tcPr>
            <w:tcW w:w="904" w:type="pct"/>
            <w:tcBorders>
              <w:top w:val="single" w:sz="4" w:space="0" w:color="auto"/>
            </w:tcBorders>
          </w:tcPr>
          <w:p w14:paraId="6D5DD041" w14:textId="77777777" w:rsidR="006E7D07" w:rsidRPr="00D117F9" w:rsidRDefault="006E7D07" w:rsidP="00207A08">
            <w:pPr>
              <w:spacing w:afterLines="0" w:after="0" w:line="480" w:lineRule="auto"/>
              <w:jc w:val="center"/>
              <w:rPr>
                <w:rFonts w:eastAsiaTheme="minorEastAsia"/>
              </w:rPr>
            </w:pPr>
            <w:r>
              <w:rPr>
                <w:rFonts w:eastAsiaTheme="minorEastAsia"/>
              </w:rPr>
              <w:t>8.4</w:t>
            </w:r>
          </w:p>
        </w:tc>
      </w:tr>
      <w:tr w:rsidR="006E7D07" w:rsidRPr="00D117F9" w14:paraId="0541C16D" w14:textId="77777777" w:rsidTr="00207A08">
        <w:tc>
          <w:tcPr>
            <w:tcW w:w="2048" w:type="pct"/>
          </w:tcPr>
          <w:p w14:paraId="23A3DD73"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Cumulative proportion (%)</w:t>
            </w:r>
          </w:p>
        </w:tc>
        <w:tc>
          <w:tcPr>
            <w:tcW w:w="1024" w:type="pct"/>
          </w:tcPr>
          <w:p w14:paraId="6073577F" w14:textId="77777777" w:rsidR="006E7D07" w:rsidRPr="00D117F9" w:rsidRDefault="006E7D07" w:rsidP="00207A08">
            <w:pPr>
              <w:spacing w:afterLines="0" w:after="0" w:line="480" w:lineRule="auto"/>
              <w:jc w:val="center"/>
              <w:rPr>
                <w:rFonts w:eastAsiaTheme="minorEastAsia"/>
              </w:rPr>
            </w:pPr>
            <w:r>
              <w:rPr>
                <w:rFonts w:eastAsiaTheme="minorEastAsia"/>
              </w:rPr>
              <w:t>60</w:t>
            </w:r>
          </w:p>
        </w:tc>
        <w:tc>
          <w:tcPr>
            <w:tcW w:w="1024" w:type="pct"/>
          </w:tcPr>
          <w:p w14:paraId="43F0915B" w14:textId="77777777" w:rsidR="006E7D07" w:rsidRPr="00D117F9" w:rsidRDefault="006E7D07" w:rsidP="00207A08">
            <w:pPr>
              <w:spacing w:afterLines="0" w:after="0" w:line="480" w:lineRule="auto"/>
              <w:jc w:val="center"/>
              <w:rPr>
                <w:rFonts w:eastAsiaTheme="minorEastAsia"/>
              </w:rPr>
            </w:pPr>
            <w:r>
              <w:rPr>
                <w:rFonts w:eastAsiaTheme="minorEastAsia"/>
              </w:rPr>
              <w:t>91.6</w:t>
            </w:r>
          </w:p>
        </w:tc>
        <w:tc>
          <w:tcPr>
            <w:tcW w:w="904" w:type="pct"/>
          </w:tcPr>
          <w:p w14:paraId="7F053150"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100</w:t>
            </w:r>
          </w:p>
        </w:tc>
      </w:tr>
      <w:tr w:rsidR="006E7D07" w:rsidRPr="00D117F9" w14:paraId="7187063C" w14:textId="77777777" w:rsidTr="00207A08">
        <w:tc>
          <w:tcPr>
            <w:tcW w:w="2048" w:type="pct"/>
          </w:tcPr>
          <w:p w14:paraId="46A633B6"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Loading</w:t>
            </w:r>
          </w:p>
        </w:tc>
        <w:tc>
          <w:tcPr>
            <w:tcW w:w="1024" w:type="pct"/>
          </w:tcPr>
          <w:p w14:paraId="711AA109" w14:textId="77777777" w:rsidR="006E7D07" w:rsidRPr="00D117F9" w:rsidRDefault="006E7D07" w:rsidP="00207A08">
            <w:pPr>
              <w:spacing w:afterLines="0" w:after="0" w:line="480" w:lineRule="auto"/>
              <w:jc w:val="center"/>
              <w:rPr>
                <w:rFonts w:eastAsiaTheme="minorEastAsia"/>
              </w:rPr>
            </w:pPr>
          </w:p>
        </w:tc>
        <w:tc>
          <w:tcPr>
            <w:tcW w:w="1024" w:type="pct"/>
          </w:tcPr>
          <w:p w14:paraId="25A0C0E5" w14:textId="77777777" w:rsidR="006E7D07" w:rsidRPr="00D117F9" w:rsidRDefault="006E7D07" w:rsidP="00207A08">
            <w:pPr>
              <w:spacing w:afterLines="0" w:after="0" w:line="480" w:lineRule="auto"/>
              <w:jc w:val="center"/>
              <w:rPr>
                <w:rFonts w:eastAsiaTheme="minorEastAsia"/>
              </w:rPr>
            </w:pPr>
          </w:p>
        </w:tc>
        <w:tc>
          <w:tcPr>
            <w:tcW w:w="904" w:type="pct"/>
          </w:tcPr>
          <w:p w14:paraId="2314D6F4" w14:textId="77777777" w:rsidR="006E7D07" w:rsidRPr="00D117F9" w:rsidRDefault="006E7D07" w:rsidP="00207A08">
            <w:pPr>
              <w:spacing w:afterLines="0" w:after="0" w:line="480" w:lineRule="auto"/>
              <w:jc w:val="center"/>
              <w:rPr>
                <w:rFonts w:eastAsiaTheme="minorEastAsia"/>
              </w:rPr>
            </w:pPr>
          </w:p>
        </w:tc>
      </w:tr>
      <w:tr w:rsidR="006E7D07" w:rsidRPr="00D117F9" w14:paraId="3C8FAE4D" w14:textId="77777777" w:rsidTr="00207A08">
        <w:tc>
          <w:tcPr>
            <w:tcW w:w="2048" w:type="pct"/>
          </w:tcPr>
          <w:p w14:paraId="64072375" w14:textId="77777777" w:rsidR="006E7D07" w:rsidRPr="00D117F9" w:rsidRDefault="006E7D07" w:rsidP="00207A08">
            <w:pPr>
              <w:spacing w:afterLines="0" w:after="0" w:line="480" w:lineRule="auto"/>
              <w:jc w:val="center"/>
              <w:rPr>
                <w:rFonts w:eastAsiaTheme="minorEastAsia"/>
              </w:rPr>
            </w:pPr>
            <w:r w:rsidRPr="00D117F9">
              <w:rPr>
                <w:rFonts w:eastAsiaTheme="minorEastAsia" w:hint="eastAsia"/>
              </w:rPr>
              <w:t>A</w:t>
            </w:r>
            <w:r w:rsidRPr="00D117F9">
              <w:rPr>
                <w:rFonts w:eastAsiaTheme="minorEastAsia"/>
              </w:rPr>
              <w:t>ccessibility</w:t>
            </w:r>
          </w:p>
        </w:tc>
        <w:tc>
          <w:tcPr>
            <w:tcW w:w="1024" w:type="pct"/>
          </w:tcPr>
          <w:p w14:paraId="00E81C7E" w14:textId="77777777" w:rsidR="006E7D07" w:rsidRPr="00D117F9" w:rsidRDefault="006E7D07" w:rsidP="00207A08">
            <w:pPr>
              <w:spacing w:afterLines="0" w:after="0" w:line="480" w:lineRule="auto"/>
              <w:jc w:val="center"/>
              <w:rPr>
                <w:rFonts w:eastAsiaTheme="minorEastAsia"/>
              </w:rPr>
            </w:pPr>
            <w:r>
              <w:rPr>
                <w:rFonts w:eastAsiaTheme="minorEastAsia"/>
              </w:rPr>
              <w:t>0.</w:t>
            </w:r>
            <w:r w:rsidRPr="00D117F9">
              <w:rPr>
                <w:rFonts w:eastAsiaTheme="minorEastAsia"/>
              </w:rPr>
              <w:t>68</w:t>
            </w:r>
            <w:r>
              <w:rPr>
                <w:rFonts w:eastAsiaTheme="minorEastAsia"/>
              </w:rPr>
              <w:t>8</w:t>
            </w:r>
          </w:p>
        </w:tc>
        <w:tc>
          <w:tcPr>
            <w:tcW w:w="1024" w:type="pct"/>
          </w:tcPr>
          <w:p w14:paraId="6399D135" w14:textId="77777777" w:rsidR="006E7D07" w:rsidRPr="00D117F9" w:rsidRDefault="006E7D07" w:rsidP="00207A08">
            <w:pPr>
              <w:spacing w:afterLines="0" w:after="0" w:line="480" w:lineRule="auto"/>
              <w:jc w:val="center"/>
              <w:rPr>
                <w:rFonts w:eastAsiaTheme="minorEastAsia"/>
              </w:rPr>
            </w:pPr>
            <w:r>
              <w:rPr>
                <w:rFonts w:eastAsiaTheme="minorEastAsia"/>
              </w:rPr>
              <w:t>0.146</w:t>
            </w:r>
          </w:p>
        </w:tc>
        <w:tc>
          <w:tcPr>
            <w:tcW w:w="904" w:type="pct"/>
          </w:tcPr>
          <w:p w14:paraId="1EFBCA61" w14:textId="77777777" w:rsidR="006E7D07" w:rsidRPr="00D117F9" w:rsidRDefault="006E7D07" w:rsidP="00207A08">
            <w:pPr>
              <w:spacing w:afterLines="0" w:after="0" w:line="480" w:lineRule="auto"/>
              <w:jc w:val="center"/>
              <w:rPr>
                <w:rFonts w:eastAsiaTheme="minorEastAsia"/>
              </w:rPr>
            </w:pPr>
            <w:r>
              <w:t>0.711</w:t>
            </w:r>
          </w:p>
        </w:tc>
      </w:tr>
      <w:tr w:rsidR="006E7D07" w:rsidRPr="00D117F9" w14:paraId="7F9F1A50" w14:textId="77777777" w:rsidTr="00207A08">
        <w:tc>
          <w:tcPr>
            <w:tcW w:w="2048" w:type="pct"/>
          </w:tcPr>
          <w:p w14:paraId="6F1E8940"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Visibility</w:t>
            </w:r>
          </w:p>
        </w:tc>
        <w:tc>
          <w:tcPr>
            <w:tcW w:w="1024" w:type="pct"/>
          </w:tcPr>
          <w:p w14:paraId="01844ED2"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0.68</w:t>
            </w:r>
          </w:p>
        </w:tc>
        <w:tc>
          <w:tcPr>
            <w:tcW w:w="1024" w:type="pct"/>
          </w:tcPr>
          <w:p w14:paraId="4BD0776D" w14:textId="77777777" w:rsidR="006E7D07" w:rsidRPr="00D117F9" w:rsidRDefault="006E7D07" w:rsidP="00207A08">
            <w:pPr>
              <w:spacing w:afterLines="0" w:after="0" w:line="480" w:lineRule="auto"/>
              <w:jc w:val="center"/>
              <w:rPr>
                <w:rFonts w:eastAsiaTheme="minorEastAsia"/>
              </w:rPr>
            </w:pPr>
            <w:r>
              <w:rPr>
                <w:rFonts w:eastAsiaTheme="minorEastAsia"/>
              </w:rPr>
              <w:t>0.211</w:t>
            </w:r>
          </w:p>
        </w:tc>
        <w:tc>
          <w:tcPr>
            <w:tcW w:w="904" w:type="pct"/>
          </w:tcPr>
          <w:p w14:paraId="17825FBA" w14:textId="77777777" w:rsidR="006E7D07" w:rsidRPr="00D117F9" w:rsidRDefault="006E7D07" w:rsidP="00207A08">
            <w:pPr>
              <w:spacing w:afterLines="0" w:after="0" w:line="480" w:lineRule="auto"/>
              <w:jc w:val="center"/>
              <w:rPr>
                <w:rFonts w:eastAsiaTheme="minorEastAsia"/>
              </w:rPr>
            </w:pPr>
            <w:r>
              <w:rPr>
                <w:rFonts w:eastAsiaTheme="minorEastAsia"/>
              </w:rPr>
              <w:t>-0.702</w:t>
            </w:r>
          </w:p>
        </w:tc>
      </w:tr>
      <w:tr w:rsidR="006E7D07" w:rsidRPr="00D117F9" w14:paraId="020D63FD" w14:textId="77777777" w:rsidTr="00207A08">
        <w:tc>
          <w:tcPr>
            <w:tcW w:w="2048" w:type="pct"/>
          </w:tcPr>
          <w:p w14:paraId="15C174AA" w14:textId="77777777" w:rsidR="006E7D07" w:rsidRPr="00D117F9" w:rsidRDefault="006E7D07" w:rsidP="00207A08">
            <w:pPr>
              <w:spacing w:afterLines="0" w:after="0" w:line="480" w:lineRule="auto"/>
              <w:jc w:val="center"/>
              <w:rPr>
                <w:rFonts w:eastAsiaTheme="minorEastAsia"/>
              </w:rPr>
            </w:pPr>
            <w:r w:rsidRPr="00D117F9">
              <w:rPr>
                <w:rFonts w:eastAsiaTheme="minorEastAsia"/>
              </w:rPr>
              <w:t>Intelligibility</w:t>
            </w:r>
          </w:p>
        </w:tc>
        <w:tc>
          <w:tcPr>
            <w:tcW w:w="1024" w:type="pct"/>
          </w:tcPr>
          <w:p w14:paraId="39A54C24" w14:textId="77777777" w:rsidR="006E7D07" w:rsidRPr="00D117F9" w:rsidRDefault="006E7D07" w:rsidP="00207A08">
            <w:pPr>
              <w:spacing w:afterLines="0" w:after="0" w:line="480" w:lineRule="auto"/>
              <w:jc w:val="center"/>
              <w:rPr>
                <w:rFonts w:eastAsiaTheme="minorEastAsia"/>
              </w:rPr>
            </w:pPr>
            <w:r>
              <w:rPr>
                <w:rFonts w:eastAsiaTheme="minorEastAsia"/>
              </w:rPr>
              <w:t>0.252</w:t>
            </w:r>
          </w:p>
        </w:tc>
        <w:tc>
          <w:tcPr>
            <w:tcW w:w="1024" w:type="pct"/>
          </w:tcPr>
          <w:p w14:paraId="1566C544" w14:textId="77777777" w:rsidR="006E7D07" w:rsidRPr="00D117F9" w:rsidRDefault="006E7D07" w:rsidP="00207A08">
            <w:pPr>
              <w:spacing w:afterLines="0" w:after="0" w:line="480" w:lineRule="auto"/>
              <w:jc w:val="center"/>
              <w:rPr>
                <w:rFonts w:eastAsiaTheme="minorEastAsia"/>
              </w:rPr>
            </w:pPr>
            <w:r>
              <w:rPr>
                <w:rFonts w:eastAsiaTheme="minorEastAsia"/>
              </w:rPr>
              <w:t>-0.967</w:t>
            </w:r>
          </w:p>
        </w:tc>
        <w:tc>
          <w:tcPr>
            <w:tcW w:w="904" w:type="pct"/>
          </w:tcPr>
          <w:p w14:paraId="22AA806C" w14:textId="77777777" w:rsidR="006E7D07" w:rsidRPr="00D117F9" w:rsidRDefault="006E7D07" w:rsidP="00207A08">
            <w:pPr>
              <w:spacing w:afterLines="0" w:after="0" w:line="480" w:lineRule="auto"/>
              <w:jc w:val="center"/>
              <w:rPr>
                <w:rFonts w:eastAsiaTheme="minorEastAsia"/>
              </w:rPr>
            </w:pPr>
          </w:p>
        </w:tc>
      </w:tr>
    </w:tbl>
    <w:p w14:paraId="56C18F97" w14:textId="77777777" w:rsidR="006E7D07" w:rsidRDefault="006E7D07" w:rsidP="006E7D07">
      <w:pPr>
        <w:spacing w:after="156"/>
        <w:ind w:firstLine="480"/>
      </w:pPr>
      <w:r>
        <w:rPr>
          <w:rFonts w:eastAsiaTheme="minorEastAsia"/>
        </w:rPr>
        <w:tab/>
      </w:r>
    </w:p>
    <w:p w14:paraId="43ED9CB6" w14:textId="77777777" w:rsidR="00FA2C2A" w:rsidRPr="006D55BE" w:rsidRDefault="00FA2C2A" w:rsidP="00853057">
      <w:pPr>
        <w:autoSpaceDE w:val="0"/>
        <w:autoSpaceDN w:val="0"/>
        <w:adjustRightInd w:val="0"/>
        <w:spacing w:after="156"/>
        <w:ind w:left="480" w:hanging="480"/>
        <w:jc w:val="left"/>
        <w:rPr>
          <w:rFonts w:eastAsiaTheme="minorEastAsia"/>
        </w:rPr>
      </w:pPr>
    </w:p>
    <w:sectPr w:rsidR="00FA2C2A" w:rsidRPr="006D55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73209" w14:textId="77777777" w:rsidR="00B12C1F" w:rsidRDefault="00B12C1F" w:rsidP="00D117F9">
      <w:pPr>
        <w:spacing w:after="120"/>
      </w:pPr>
      <w:r>
        <w:separator/>
      </w:r>
    </w:p>
  </w:endnote>
  <w:endnote w:type="continuationSeparator" w:id="0">
    <w:p w14:paraId="6F731CAD" w14:textId="77777777" w:rsidR="00B12C1F" w:rsidRDefault="00B12C1F" w:rsidP="00D117F9">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F260" w14:textId="77777777" w:rsidR="00750E64" w:rsidRDefault="00750E64">
    <w:pPr>
      <w:pStyle w:val="Foote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E717" w14:textId="77777777" w:rsidR="00750E64" w:rsidRDefault="00750E64">
    <w:pPr>
      <w:pStyle w:val="Footer"/>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2D7A" w14:textId="77777777" w:rsidR="00750E64" w:rsidRDefault="00750E64">
    <w:pPr>
      <w:pStyle w:val="Footer"/>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DF51" w14:textId="77777777" w:rsidR="006E7D07" w:rsidRDefault="006E7D07">
    <w:pPr>
      <w:pStyle w:val="Footer"/>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7B7B" w14:textId="77777777" w:rsidR="006E7D07" w:rsidRDefault="006E7D07">
    <w:pPr>
      <w:pStyle w:val="Footer"/>
      <w:spacing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F14A" w14:textId="77777777" w:rsidR="006E7D07" w:rsidRDefault="006E7D07">
    <w:pPr>
      <w:pStyle w:val="Footer"/>
      <w:spacing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0E38" w14:textId="77777777" w:rsidR="006E7D07" w:rsidRDefault="006E7D07">
    <w:pPr>
      <w:pStyle w:val="Footer"/>
      <w:spacing w:after="12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FE3C" w14:textId="77777777" w:rsidR="006E7D07" w:rsidRDefault="006E7D07">
    <w:pPr>
      <w:pStyle w:val="Footer"/>
      <w:spacing w:after="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D1D8" w14:textId="77777777" w:rsidR="006E7D07" w:rsidRDefault="006E7D07">
    <w:pPr>
      <w:pStyle w:val="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11D1" w14:textId="77777777" w:rsidR="00B12C1F" w:rsidRDefault="00B12C1F" w:rsidP="00D117F9">
      <w:pPr>
        <w:spacing w:after="120"/>
      </w:pPr>
      <w:r>
        <w:separator/>
      </w:r>
    </w:p>
  </w:footnote>
  <w:footnote w:type="continuationSeparator" w:id="0">
    <w:p w14:paraId="7579E276" w14:textId="77777777" w:rsidR="00B12C1F" w:rsidRDefault="00B12C1F" w:rsidP="00D117F9">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BAED" w14:textId="77777777" w:rsidR="00750E64" w:rsidRDefault="00750E64">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8950" w14:textId="77777777" w:rsidR="00750E64" w:rsidRDefault="00750E64">
    <w:pPr>
      <w:pStyle w:val="Heade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ED9B" w14:textId="77777777" w:rsidR="00750E64" w:rsidRDefault="00750E64">
    <w:pPr>
      <w:pStyle w:val="Header"/>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6852" w14:textId="77777777" w:rsidR="006E7D07" w:rsidRDefault="006E7D07">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0EC7" w14:textId="77777777" w:rsidR="006E7D07" w:rsidRDefault="006E7D07">
    <w:pPr>
      <w:pStyle w:val="Header"/>
      <w:spacing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8139" w14:textId="77777777" w:rsidR="006E7D07" w:rsidRDefault="006E7D07">
    <w:pPr>
      <w:pStyle w:val="Header"/>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F623" w14:textId="77777777" w:rsidR="006E7D07" w:rsidRDefault="006E7D07">
    <w:pPr>
      <w:pStyle w:val="Heade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EBE2" w14:textId="77777777" w:rsidR="006E7D07" w:rsidRDefault="006E7D07">
    <w:pPr>
      <w:pStyle w:val="Header"/>
      <w:spacing w:after="12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2A4A" w14:textId="77777777" w:rsidR="006E7D07" w:rsidRDefault="006E7D07">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5346"/>
    <w:multiLevelType w:val="multilevel"/>
    <w:tmpl w:val="BE6E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AGIjA2NTEyNjSzNjcyUdpeDU4uLM/DyQAkODWgCiMdsPLQAAAA=="/>
  </w:docVars>
  <w:rsids>
    <w:rsidRoot w:val="00B80161"/>
    <w:rsid w:val="000003FB"/>
    <w:rsid w:val="000040E5"/>
    <w:rsid w:val="00007BB4"/>
    <w:rsid w:val="000106B1"/>
    <w:rsid w:val="00014918"/>
    <w:rsid w:val="00015656"/>
    <w:rsid w:val="00017B18"/>
    <w:rsid w:val="00021CB1"/>
    <w:rsid w:val="00023066"/>
    <w:rsid w:val="00024859"/>
    <w:rsid w:val="000334F9"/>
    <w:rsid w:val="00035F9D"/>
    <w:rsid w:val="0003732D"/>
    <w:rsid w:val="00040902"/>
    <w:rsid w:val="0004276E"/>
    <w:rsid w:val="0004326F"/>
    <w:rsid w:val="00045216"/>
    <w:rsid w:val="00050343"/>
    <w:rsid w:val="0005268F"/>
    <w:rsid w:val="00053EC3"/>
    <w:rsid w:val="00055CB1"/>
    <w:rsid w:val="000617CE"/>
    <w:rsid w:val="00062E60"/>
    <w:rsid w:val="00063BE6"/>
    <w:rsid w:val="00066EA5"/>
    <w:rsid w:val="00072499"/>
    <w:rsid w:val="000728FC"/>
    <w:rsid w:val="00072BB7"/>
    <w:rsid w:val="0007323B"/>
    <w:rsid w:val="00073DF2"/>
    <w:rsid w:val="00081A70"/>
    <w:rsid w:val="00083BF5"/>
    <w:rsid w:val="000869F8"/>
    <w:rsid w:val="00087D04"/>
    <w:rsid w:val="00090355"/>
    <w:rsid w:val="00090D68"/>
    <w:rsid w:val="00091741"/>
    <w:rsid w:val="00092876"/>
    <w:rsid w:val="000941B1"/>
    <w:rsid w:val="000942FB"/>
    <w:rsid w:val="000955A0"/>
    <w:rsid w:val="00096EDC"/>
    <w:rsid w:val="000A02C8"/>
    <w:rsid w:val="000A0501"/>
    <w:rsid w:val="000A05FC"/>
    <w:rsid w:val="000B25C4"/>
    <w:rsid w:val="000B3150"/>
    <w:rsid w:val="000B3DD4"/>
    <w:rsid w:val="000B5583"/>
    <w:rsid w:val="000B5C61"/>
    <w:rsid w:val="000C12B3"/>
    <w:rsid w:val="000C22CE"/>
    <w:rsid w:val="000C41BD"/>
    <w:rsid w:val="000C42C4"/>
    <w:rsid w:val="000C482E"/>
    <w:rsid w:val="000C64CC"/>
    <w:rsid w:val="000D1F85"/>
    <w:rsid w:val="000D4480"/>
    <w:rsid w:val="000E03B6"/>
    <w:rsid w:val="000E091E"/>
    <w:rsid w:val="000E2FCF"/>
    <w:rsid w:val="000F4663"/>
    <w:rsid w:val="000F4E08"/>
    <w:rsid w:val="00100F67"/>
    <w:rsid w:val="0010248F"/>
    <w:rsid w:val="00102CA9"/>
    <w:rsid w:val="00104DAF"/>
    <w:rsid w:val="001054F2"/>
    <w:rsid w:val="00105A5B"/>
    <w:rsid w:val="00111276"/>
    <w:rsid w:val="00111BEF"/>
    <w:rsid w:val="00114FAD"/>
    <w:rsid w:val="0011542F"/>
    <w:rsid w:val="00117631"/>
    <w:rsid w:val="0011775C"/>
    <w:rsid w:val="00117A8C"/>
    <w:rsid w:val="00120881"/>
    <w:rsid w:val="00120938"/>
    <w:rsid w:val="001216E6"/>
    <w:rsid w:val="00122FA6"/>
    <w:rsid w:val="0012324A"/>
    <w:rsid w:val="00123AEE"/>
    <w:rsid w:val="00124917"/>
    <w:rsid w:val="0012625B"/>
    <w:rsid w:val="001262EC"/>
    <w:rsid w:val="0013174D"/>
    <w:rsid w:val="001369A2"/>
    <w:rsid w:val="00136A06"/>
    <w:rsid w:val="00137BC0"/>
    <w:rsid w:val="00140104"/>
    <w:rsid w:val="001402A6"/>
    <w:rsid w:val="00142156"/>
    <w:rsid w:val="00151985"/>
    <w:rsid w:val="00153235"/>
    <w:rsid w:val="00154C7E"/>
    <w:rsid w:val="00155017"/>
    <w:rsid w:val="00157AFC"/>
    <w:rsid w:val="001657CF"/>
    <w:rsid w:val="0016681D"/>
    <w:rsid w:val="001669EE"/>
    <w:rsid w:val="001707E4"/>
    <w:rsid w:val="00177F69"/>
    <w:rsid w:val="00181AC8"/>
    <w:rsid w:val="00183928"/>
    <w:rsid w:val="00187431"/>
    <w:rsid w:val="00190953"/>
    <w:rsid w:val="00192A94"/>
    <w:rsid w:val="00193208"/>
    <w:rsid w:val="0019390B"/>
    <w:rsid w:val="001948DD"/>
    <w:rsid w:val="0019564C"/>
    <w:rsid w:val="00197705"/>
    <w:rsid w:val="001A14A9"/>
    <w:rsid w:val="001A493E"/>
    <w:rsid w:val="001A5E6D"/>
    <w:rsid w:val="001A6786"/>
    <w:rsid w:val="001B0B9C"/>
    <w:rsid w:val="001C116E"/>
    <w:rsid w:val="001C133D"/>
    <w:rsid w:val="001C2810"/>
    <w:rsid w:val="001C4E9D"/>
    <w:rsid w:val="001C59DB"/>
    <w:rsid w:val="001C5E38"/>
    <w:rsid w:val="001C5E61"/>
    <w:rsid w:val="001D00B1"/>
    <w:rsid w:val="001D6309"/>
    <w:rsid w:val="001D6661"/>
    <w:rsid w:val="001D6998"/>
    <w:rsid w:val="001D6B02"/>
    <w:rsid w:val="001E2B04"/>
    <w:rsid w:val="001E4DF3"/>
    <w:rsid w:val="001E5299"/>
    <w:rsid w:val="001E69CA"/>
    <w:rsid w:val="001E7624"/>
    <w:rsid w:val="001F1A4A"/>
    <w:rsid w:val="001F20D3"/>
    <w:rsid w:val="001F2EF7"/>
    <w:rsid w:val="001F3B1C"/>
    <w:rsid w:val="001F6216"/>
    <w:rsid w:val="00200758"/>
    <w:rsid w:val="00201653"/>
    <w:rsid w:val="002071D7"/>
    <w:rsid w:val="00207435"/>
    <w:rsid w:val="0021004B"/>
    <w:rsid w:val="00211B75"/>
    <w:rsid w:val="00212A34"/>
    <w:rsid w:val="00214705"/>
    <w:rsid w:val="00214A71"/>
    <w:rsid w:val="002150AC"/>
    <w:rsid w:val="00216161"/>
    <w:rsid w:val="002176EB"/>
    <w:rsid w:val="002205DF"/>
    <w:rsid w:val="002244CE"/>
    <w:rsid w:val="002307FF"/>
    <w:rsid w:val="002326F9"/>
    <w:rsid w:val="00232DA5"/>
    <w:rsid w:val="00233A46"/>
    <w:rsid w:val="00233F32"/>
    <w:rsid w:val="0023459F"/>
    <w:rsid w:val="00240074"/>
    <w:rsid w:val="00241E8D"/>
    <w:rsid w:val="0024559B"/>
    <w:rsid w:val="00247786"/>
    <w:rsid w:val="002508D9"/>
    <w:rsid w:val="00250990"/>
    <w:rsid w:val="0025273D"/>
    <w:rsid w:val="00252D05"/>
    <w:rsid w:val="002530BB"/>
    <w:rsid w:val="00255C54"/>
    <w:rsid w:val="00256719"/>
    <w:rsid w:val="00257137"/>
    <w:rsid w:val="00264A57"/>
    <w:rsid w:val="00267A2D"/>
    <w:rsid w:val="00270F4F"/>
    <w:rsid w:val="00273CC7"/>
    <w:rsid w:val="00276451"/>
    <w:rsid w:val="002772A6"/>
    <w:rsid w:val="002819AE"/>
    <w:rsid w:val="00281E68"/>
    <w:rsid w:val="002828DE"/>
    <w:rsid w:val="00282D85"/>
    <w:rsid w:val="00283A7B"/>
    <w:rsid w:val="00285243"/>
    <w:rsid w:val="00285E18"/>
    <w:rsid w:val="00285E93"/>
    <w:rsid w:val="0029001F"/>
    <w:rsid w:val="00291EA8"/>
    <w:rsid w:val="00292318"/>
    <w:rsid w:val="00292B8E"/>
    <w:rsid w:val="0029552D"/>
    <w:rsid w:val="002956FA"/>
    <w:rsid w:val="00295AB4"/>
    <w:rsid w:val="002967EA"/>
    <w:rsid w:val="00296F89"/>
    <w:rsid w:val="002A1A72"/>
    <w:rsid w:val="002A5A10"/>
    <w:rsid w:val="002B1C5C"/>
    <w:rsid w:val="002B46F0"/>
    <w:rsid w:val="002B7651"/>
    <w:rsid w:val="002C1FF2"/>
    <w:rsid w:val="002C36CC"/>
    <w:rsid w:val="002C3DA7"/>
    <w:rsid w:val="002C5E71"/>
    <w:rsid w:val="002C6499"/>
    <w:rsid w:val="002D63F0"/>
    <w:rsid w:val="002D7960"/>
    <w:rsid w:val="002E10C7"/>
    <w:rsid w:val="002E1451"/>
    <w:rsid w:val="002E25C7"/>
    <w:rsid w:val="002E3204"/>
    <w:rsid w:val="002E4450"/>
    <w:rsid w:val="002E472E"/>
    <w:rsid w:val="002E6200"/>
    <w:rsid w:val="002E67F8"/>
    <w:rsid w:val="002F184E"/>
    <w:rsid w:val="002F2201"/>
    <w:rsid w:val="002F3494"/>
    <w:rsid w:val="002F734D"/>
    <w:rsid w:val="0030087D"/>
    <w:rsid w:val="00304EDB"/>
    <w:rsid w:val="00310E97"/>
    <w:rsid w:val="00314A78"/>
    <w:rsid w:val="0031589C"/>
    <w:rsid w:val="00317D4A"/>
    <w:rsid w:val="0032171F"/>
    <w:rsid w:val="003235AC"/>
    <w:rsid w:val="003250A0"/>
    <w:rsid w:val="00326EDD"/>
    <w:rsid w:val="00327510"/>
    <w:rsid w:val="0033357B"/>
    <w:rsid w:val="0033397C"/>
    <w:rsid w:val="003357A8"/>
    <w:rsid w:val="00343628"/>
    <w:rsid w:val="00343AB9"/>
    <w:rsid w:val="00351625"/>
    <w:rsid w:val="003524BF"/>
    <w:rsid w:val="003528C1"/>
    <w:rsid w:val="00354405"/>
    <w:rsid w:val="00354A55"/>
    <w:rsid w:val="003558DF"/>
    <w:rsid w:val="0035625B"/>
    <w:rsid w:val="00360BC0"/>
    <w:rsid w:val="00361475"/>
    <w:rsid w:val="00361A64"/>
    <w:rsid w:val="003639E3"/>
    <w:rsid w:val="003641FE"/>
    <w:rsid w:val="00364F75"/>
    <w:rsid w:val="003663DA"/>
    <w:rsid w:val="00366CC8"/>
    <w:rsid w:val="0037051A"/>
    <w:rsid w:val="00371212"/>
    <w:rsid w:val="00372BAA"/>
    <w:rsid w:val="0037305F"/>
    <w:rsid w:val="0037345F"/>
    <w:rsid w:val="0037696B"/>
    <w:rsid w:val="00376F40"/>
    <w:rsid w:val="00376FF3"/>
    <w:rsid w:val="00377BA3"/>
    <w:rsid w:val="00380A14"/>
    <w:rsid w:val="00380C90"/>
    <w:rsid w:val="003821B5"/>
    <w:rsid w:val="00384EDA"/>
    <w:rsid w:val="0039006C"/>
    <w:rsid w:val="00390836"/>
    <w:rsid w:val="00391A19"/>
    <w:rsid w:val="00391ED8"/>
    <w:rsid w:val="00393BD3"/>
    <w:rsid w:val="00394FD2"/>
    <w:rsid w:val="003A11FE"/>
    <w:rsid w:val="003A3084"/>
    <w:rsid w:val="003A3CBF"/>
    <w:rsid w:val="003A3F1D"/>
    <w:rsid w:val="003A4075"/>
    <w:rsid w:val="003B1492"/>
    <w:rsid w:val="003B2253"/>
    <w:rsid w:val="003B2EB8"/>
    <w:rsid w:val="003B35D2"/>
    <w:rsid w:val="003B35E0"/>
    <w:rsid w:val="003B74CB"/>
    <w:rsid w:val="003C3FDA"/>
    <w:rsid w:val="003C5308"/>
    <w:rsid w:val="003C56BF"/>
    <w:rsid w:val="003C6B44"/>
    <w:rsid w:val="003C7BB5"/>
    <w:rsid w:val="003D0805"/>
    <w:rsid w:val="003D1B30"/>
    <w:rsid w:val="003D2BF1"/>
    <w:rsid w:val="003D475B"/>
    <w:rsid w:val="003D5088"/>
    <w:rsid w:val="003D6DDD"/>
    <w:rsid w:val="003D7A6E"/>
    <w:rsid w:val="003E0E4F"/>
    <w:rsid w:val="003E2BEF"/>
    <w:rsid w:val="003E387B"/>
    <w:rsid w:val="003E3A21"/>
    <w:rsid w:val="003E5D93"/>
    <w:rsid w:val="003E7116"/>
    <w:rsid w:val="003E7288"/>
    <w:rsid w:val="003E7474"/>
    <w:rsid w:val="003E780F"/>
    <w:rsid w:val="003E7C69"/>
    <w:rsid w:val="003F020B"/>
    <w:rsid w:val="003F0227"/>
    <w:rsid w:val="003F232C"/>
    <w:rsid w:val="003F48E2"/>
    <w:rsid w:val="003F684D"/>
    <w:rsid w:val="00401C98"/>
    <w:rsid w:val="004034FC"/>
    <w:rsid w:val="0040452E"/>
    <w:rsid w:val="004065F2"/>
    <w:rsid w:val="0040715D"/>
    <w:rsid w:val="00407245"/>
    <w:rsid w:val="0041395A"/>
    <w:rsid w:val="00414211"/>
    <w:rsid w:val="00416B35"/>
    <w:rsid w:val="00417E35"/>
    <w:rsid w:val="00417EAD"/>
    <w:rsid w:val="004225DE"/>
    <w:rsid w:val="00424BEA"/>
    <w:rsid w:val="00424F77"/>
    <w:rsid w:val="0042588D"/>
    <w:rsid w:val="00425CE1"/>
    <w:rsid w:val="004269F8"/>
    <w:rsid w:val="0043155E"/>
    <w:rsid w:val="00431B34"/>
    <w:rsid w:val="00432AAE"/>
    <w:rsid w:val="00433C2A"/>
    <w:rsid w:val="004356BA"/>
    <w:rsid w:val="00440BFD"/>
    <w:rsid w:val="004438FB"/>
    <w:rsid w:val="00444BDA"/>
    <w:rsid w:val="004453C4"/>
    <w:rsid w:val="004513E9"/>
    <w:rsid w:val="00451DC4"/>
    <w:rsid w:val="00451E05"/>
    <w:rsid w:val="004524BF"/>
    <w:rsid w:val="004524E0"/>
    <w:rsid w:val="00452C61"/>
    <w:rsid w:val="00455338"/>
    <w:rsid w:val="004608EE"/>
    <w:rsid w:val="004636EE"/>
    <w:rsid w:val="00464F5B"/>
    <w:rsid w:val="004657ED"/>
    <w:rsid w:val="00467681"/>
    <w:rsid w:val="00470220"/>
    <w:rsid w:val="0047227C"/>
    <w:rsid w:val="00472461"/>
    <w:rsid w:val="004750D0"/>
    <w:rsid w:val="00477870"/>
    <w:rsid w:val="00477DB9"/>
    <w:rsid w:val="00480E4D"/>
    <w:rsid w:val="00482BE0"/>
    <w:rsid w:val="00485A59"/>
    <w:rsid w:val="00485E24"/>
    <w:rsid w:val="00490BD7"/>
    <w:rsid w:val="0049187E"/>
    <w:rsid w:val="00491CCE"/>
    <w:rsid w:val="00495C9F"/>
    <w:rsid w:val="004A1A72"/>
    <w:rsid w:val="004A1F06"/>
    <w:rsid w:val="004A25C0"/>
    <w:rsid w:val="004A4882"/>
    <w:rsid w:val="004A56ED"/>
    <w:rsid w:val="004A6620"/>
    <w:rsid w:val="004B04BD"/>
    <w:rsid w:val="004B0C43"/>
    <w:rsid w:val="004B0E51"/>
    <w:rsid w:val="004B1C1B"/>
    <w:rsid w:val="004C0899"/>
    <w:rsid w:val="004C1C49"/>
    <w:rsid w:val="004C3B7C"/>
    <w:rsid w:val="004C4F83"/>
    <w:rsid w:val="004C5679"/>
    <w:rsid w:val="004C66EA"/>
    <w:rsid w:val="004C6D36"/>
    <w:rsid w:val="004C7F39"/>
    <w:rsid w:val="004D4550"/>
    <w:rsid w:val="004D4590"/>
    <w:rsid w:val="004D57D9"/>
    <w:rsid w:val="004E0C09"/>
    <w:rsid w:val="004F05C1"/>
    <w:rsid w:val="004F0FA4"/>
    <w:rsid w:val="004F1F17"/>
    <w:rsid w:val="004F2D7C"/>
    <w:rsid w:val="004F3524"/>
    <w:rsid w:val="00500194"/>
    <w:rsid w:val="005018C9"/>
    <w:rsid w:val="00503CF1"/>
    <w:rsid w:val="00504E68"/>
    <w:rsid w:val="005065A4"/>
    <w:rsid w:val="00506B57"/>
    <w:rsid w:val="00511075"/>
    <w:rsid w:val="005116CB"/>
    <w:rsid w:val="00511E58"/>
    <w:rsid w:val="00515484"/>
    <w:rsid w:val="005155D6"/>
    <w:rsid w:val="00517E83"/>
    <w:rsid w:val="00521965"/>
    <w:rsid w:val="00524433"/>
    <w:rsid w:val="00527AF2"/>
    <w:rsid w:val="00530523"/>
    <w:rsid w:val="00530539"/>
    <w:rsid w:val="00532499"/>
    <w:rsid w:val="00532583"/>
    <w:rsid w:val="005329CD"/>
    <w:rsid w:val="005354B0"/>
    <w:rsid w:val="005359AF"/>
    <w:rsid w:val="005359DA"/>
    <w:rsid w:val="0053687F"/>
    <w:rsid w:val="00543764"/>
    <w:rsid w:val="00547450"/>
    <w:rsid w:val="00554A73"/>
    <w:rsid w:val="00555E1D"/>
    <w:rsid w:val="00556A15"/>
    <w:rsid w:val="0056084B"/>
    <w:rsid w:val="00561113"/>
    <w:rsid w:val="005615B9"/>
    <w:rsid w:val="005621B1"/>
    <w:rsid w:val="005636E5"/>
    <w:rsid w:val="0056375F"/>
    <w:rsid w:val="00566895"/>
    <w:rsid w:val="00572E0B"/>
    <w:rsid w:val="00580A11"/>
    <w:rsid w:val="0058119B"/>
    <w:rsid w:val="005823A9"/>
    <w:rsid w:val="0058328F"/>
    <w:rsid w:val="005908A7"/>
    <w:rsid w:val="005908FD"/>
    <w:rsid w:val="00590930"/>
    <w:rsid w:val="00591F6B"/>
    <w:rsid w:val="005955F7"/>
    <w:rsid w:val="00595806"/>
    <w:rsid w:val="00596D0C"/>
    <w:rsid w:val="00597C03"/>
    <w:rsid w:val="005A1259"/>
    <w:rsid w:val="005A2C32"/>
    <w:rsid w:val="005A528F"/>
    <w:rsid w:val="005A64FE"/>
    <w:rsid w:val="005B30F8"/>
    <w:rsid w:val="005B3764"/>
    <w:rsid w:val="005B3896"/>
    <w:rsid w:val="005B389A"/>
    <w:rsid w:val="005B5910"/>
    <w:rsid w:val="005B6141"/>
    <w:rsid w:val="005B6962"/>
    <w:rsid w:val="005B7ED1"/>
    <w:rsid w:val="005C01A5"/>
    <w:rsid w:val="005C14CD"/>
    <w:rsid w:val="005C6CF4"/>
    <w:rsid w:val="005D1CE8"/>
    <w:rsid w:val="005D5701"/>
    <w:rsid w:val="005D6670"/>
    <w:rsid w:val="005D7314"/>
    <w:rsid w:val="005D7830"/>
    <w:rsid w:val="005E0590"/>
    <w:rsid w:val="005E05E5"/>
    <w:rsid w:val="005E0C81"/>
    <w:rsid w:val="005E2864"/>
    <w:rsid w:val="005E3120"/>
    <w:rsid w:val="005E3188"/>
    <w:rsid w:val="005E6477"/>
    <w:rsid w:val="005F3E69"/>
    <w:rsid w:val="005F56FD"/>
    <w:rsid w:val="006003D0"/>
    <w:rsid w:val="00600D4D"/>
    <w:rsid w:val="006035C7"/>
    <w:rsid w:val="00603A66"/>
    <w:rsid w:val="00603B3D"/>
    <w:rsid w:val="00605A6A"/>
    <w:rsid w:val="00605AD6"/>
    <w:rsid w:val="00605DBF"/>
    <w:rsid w:val="00611CCC"/>
    <w:rsid w:val="00613514"/>
    <w:rsid w:val="00615715"/>
    <w:rsid w:val="00615EE1"/>
    <w:rsid w:val="00616BD3"/>
    <w:rsid w:val="006253ED"/>
    <w:rsid w:val="00625AB5"/>
    <w:rsid w:val="0062794E"/>
    <w:rsid w:val="00630728"/>
    <w:rsid w:val="00630DC5"/>
    <w:rsid w:val="00633E9B"/>
    <w:rsid w:val="00633FFD"/>
    <w:rsid w:val="00634217"/>
    <w:rsid w:val="0063555A"/>
    <w:rsid w:val="00636A2F"/>
    <w:rsid w:val="00641883"/>
    <w:rsid w:val="00643C3A"/>
    <w:rsid w:val="0064570E"/>
    <w:rsid w:val="00647279"/>
    <w:rsid w:val="00647F61"/>
    <w:rsid w:val="00650572"/>
    <w:rsid w:val="006509C8"/>
    <w:rsid w:val="00653C1D"/>
    <w:rsid w:val="00655FAF"/>
    <w:rsid w:val="00656397"/>
    <w:rsid w:val="00662D34"/>
    <w:rsid w:val="00663860"/>
    <w:rsid w:val="0066400F"/>
    <w:rsid w:val="00664FC8"/>
    <w:rsid w:val="00672112"/>
    <w:rsid w:val="006725B5"/>
    <w:rsid w:val="006727FC"/>
    <w:rsid w:val="006733F9"/>
    <w:rsid w:val="00673961"/>
    <w:rsid w:val="0067411C"/>
    <w:rsid w:val="00675F50"/>
    <w:rsid w:val="006805F5"/>
    <w:rsid w:val="00682FED"/>
    <w:rsid w:val="0068419E"/>
    <w:rsid w:val="00686481"/>
    <w:rsid w:val="00686995"/>
    <w:rsid w:val="00694AA9"/>
    <w:rsid w:val="006A0736"/>
    <w:rsid w:val="006A35CE"/>
    <w:rsid w:val="006A5A49"/>
    <w:rsid w:val="006A6C88"/>
    <w:rsid w:val="006A72AE"/>
    <w:rsid w:val="006B02E8"/>
    <w:rsid w:val="006B21F0"/>
    <w:rsid w:val="006B241B"/>
    <w:rsid w:val="006B5643"/>
    <w:rsid w:val="006B693A"/>
    <w:rsid w:val="006B6F07"/>
    <w:rsid w:val="006B74EA"/>
    <w:rsid w:val="006B7C9E"/>
    <w:rsid w:val="006C033A"/>
    <w:rsid w:val="006C1C28"/>
    <w:rsid w:val="006C31AA"/>
    <w:rsid w:val="006C3B91"/>
    <w:rsid w:val="006C4201"/>
    <w:rsid w:val="006C4DC1"/>
    <w:rsid w:val="006C7B54"/>
    <w:rsid w:val="006D0648"/>
    <w:rsid w:val="006D2538"/>
    <w:rsid w:val="006D4DD1"/>
    <w:rsid w:val="006D55BE"/>
    <w:rsid w:val="006D5DB8"/>
    <w:rsid w:val="006D7461"/>
    <w:rsid w:val="006E0641"/>
    <w:rsid w:val="006E0C7F"/>
    <w:rsid w:val="006E0D1A"/>
    <w:rsid w:val="006E2AD5"/>
    <w:rsid w:val="006E2DD2"/>
    <w:rsid w:val="006E7D07"/>
    <w:rsid w:val="006F2E96"/>
    <w:rsid w:val="006F2E9A"/>
    <w:rsid w:val="006F5B72"/>
    <w:rsid w:val="00700D7E"/>
    <w:rsid w:val="0070117D"/>
    <w:rsid w:val="00702DF5"/>
    <w:rsid w:val="00703CD8"/>
    <w:rsid w:val="00706C15"/>
    <w:rsid w:val="00706F00"/>
    <w:rsid w:val="007076AA"/>
    <w:rsid w:val="007117AF"/>
    <w:rsid w:val="00714063"/>
    <w:rsid w:val="007140B5"/>
    <w:rsid w:val="00716A57"/>
    <w:rsid w:val="00717ED7"/>
    <w:rsid w:val="007210E9"/>
    <w:rsid w:val="00723E83"/>
    <w:rsid w:val="00724F99"/>
    <w:rsid w:val="007301D6"/>
    <w:rsid w:val="007333B2"/>
    <w:rsid w:val="00734A3D"/>
    <w:rsid w:val="00735008"/>
    <w:rsid w:val="00737B87"/>
    <w:rsid w:val="00740AC1"/>
    <w:rsid w:val="00741B01"/>
    <w:rsid w:val="0074355C"/>
    <w:rsid w:val="00744365"/>
    <w:rsid w:val="00750E64"/>
    <w:rsid w:val="00751225"/>
    <w:rsid w:val="007525E5"/>
    <w:rsid w:val="00752D65"/>
    <w:rsid w:val="00753A55"/>
    <w:rsid w:val="00754388"/>
    <w:rsid w:val="007562F5"/>
    <w:rsid w:val="00756BE9"/>
    <w:rsid w:val="0076152B"/>
    <w:rsid w:val="00762CE2"/>
    <w:rsid w:val="00762F1C"/>
    <w:rsid w:val="00765407"/>
    <w:rsid w:val="00770496"/>
    <w:rsid w:val="007712C1"/>
    <w:rsid w:val="00775713"/>
    <w:rsid w:val="00776422"/>
    <w:rsid w:val="007772D0"/>
    <w:rsid w:val="007811CA"/>
    <w:rsid w:val="007823DB"/>
    <w:rsid w:val="00790896"/>
    <w:rsid w:val="00790DC3"/>
    <w:rsid w:val="00791980"/>
    <w:rsid w:val="00792542"/>
    <w:rsid w:val="00793FF7"/>
    <w:rsid w:val="007942D5"/>
    <w:rsid w:val="00794ED8"/>
    <w:rsid w:val="007A10AD"/>
    <w:rsid w:val="007A1FB0"/>
    <w:rsid w:val="007A2756"/>
    <w:rsid w:val="007A443F"/>
    <w:rsid w:val="007A5002"/>
    <w:rsid w:val="007B0B58"/>
    <w:rsid w:val="007B1E3D"/>
    <w:rsid w:val="007B3891"/>
    <w:rsid w:val="007B6C5B"/>
    <w:rsid w:val="007B7234"/>
    <w:rsid w:val="007B72BA"/>
    <w:rsid w:val="007B7FA2"/>
    <w:rsid w:val="007C0690"/>
    <w:rsid w:val="007C13B3"/>
    <w:rsid w:val="007C400A"/>
    <w:rsid w:val="007C67AD"/>
    <w:rsid w:val="007C680E"/>
    <w:rsid w:val="007C6FB2"/>
    <w:rsid w:val="007D0CD2"/>
    <w:rsid w:val="007D3499"/>
    <w:rsid w:val="007D6BCA"/>
    <w:rsid w:val="007E00AB"/>
    <w:rsid w:val="007E0F75"/>
    <w:rsid w:val="007E2E55"/>
    <w:rsid w:val="007E448E"/>
    <w:rsid w:val="007E6B4F"/>
    <w:rsid w:val="007E7A9A"/>
    <w:rsid w:val="007F2ED5"/>
    <w:rsid w:val="007F4868"/>
    <w:rsid w:val="00804213"/>
    <w:rsid w:val="00805426"/>
    <w:rsid w:val="0080646C"/>
    <w:rsid w:val="00806C81"/>
    <w:rsid w:val="00806D2C"/>
    <w:rsid w:val="00807336"/>
    <w:rsid w:val="00807F01"/>
    <w:rsid w:val="008103BE"/>
    <w:rsid w:val="0081215C"/>
    <w:rsid w:val="008127FD"/>
    <w:rsid w:val="00814FC7"/>
    <w:rsid w:val="00816395"/>
    <w:rsid w:val="00816758"/>
    <w:rsid w:val="00816F84"/>
    <w:rsid w:val="008208E2"/>
    <w:rsid w:val="0082252D"/>
    <w:rsid w:val="00823B76"/>
    <w:rsid w:val="00827295"/>
    <w:rsid w:val="00834AA8"/>
    <w:rsid w:val="00836BD2"/>
    <w:rsid w:val="00841A97"/>
    <w:rsid w:val="00842093"/>
    <w:rsid w:val="0084223F"/>
    <w:rsid w:val="0084421C"/>
    <w:rsid w:val="008477C6"/>
    <w:rsid w:val="00850DAB"/>
    <w:rsid w:val="00850DD6"/>
    <w:rsid w:val="008512A1"/>
    <w:rsid w:val="00852FDD"/>
    <w:rsid w:val="00853057"/>
    <w:rsid w:val="00856112"/>
    <w:rsid w:val="0085704C"/>
    <w:rsid w:val="00857B3F"/>
    <w:rsid w:val="0086177C"/>
    <w:rsid w:val="0086181F"/>
    <w:rsid w:val="008630F6"/>
    <w:rsid w:val="00864A39"/>
    <w:rsid w:val="00876630"/>
    <w:rsid w:val="008808EC"/>
    <w:rsid w:val="00881580"/>
    <w:rsid w:val="00881B50"/>
    <w:rsid w:val="00881DFA"/>
    <w:rsid w:val="0088212F"/>
    <w:rsid w:val="008828BA"/>
    <w:rsid w:val="008846E9"/>
    <w:rsid w:val="00885B58"/>
    <w:rsid w:val="0088715F"/>
    <w:rsid w:val="00891AFA"/>
    <w:rsid w:val="00892C8C"/>
    <w:rsid w:val="00896EF5"/>
    <w:rsid w:val="008A097C"/>
    <w:rsid w:val="008A354B"/>
    <w:rsid w:val="008A42AF"/>
    <w:rsid w:val="008A4B91"/>
    <w:rsid w:val="008A6904"/>
    <w:rsid w:val="008A6946"/>
    <w:rsid w:val="008B0ED7"/>
    <w:rsid w:val="008B0F98"/>
    <w:rsid w:val="008B39BC"/>
    <w:rsid w:val="008B4D02"/>
    <w:rsid w:val="008B61A4"/>
    <w:rsid w:val="008B731A"/>
    <w:rsid w:val="008B731D"/>
    <w:rsid w:val="008B736B"/>
    <w:rsid w:val="008B7C53"/>
    <w:rsid w:val="008C0859"/>
    <w:rsid w:val="008C2903"/>
    <w:rsid w:val="008C6A87"/>
    <w:rsid w:val="008C7076"/>
    <w:rsid w:val="008C780E"/>
    <w:rsid w:val="008D16B0"/>
    <w:rsid w:val="008D1A2C"/>
    <w:rsid w:val="008D7C1D"/>
    <w:rsid w:val="008E01BF"/>
    <w:rsid w:val="008E1351"/>
    <w:rsid w:val="008E1C02"/>
    <w:rsid w:val="008E4552"/>
    <w:rsid w:val="008E4599"/>
    <w:rsid w:val="008E5E9B"/>
    <w:rsid w:val="008E7CDA"/>
    <w:rsid w:val="008F056E"/>
    <w:rsid w:val="008F10EE"/>
    <w:rsid w:val="008F489E"/>
    <w:rsid w:val="008F5D7A"/>
    <w:rsid w:val="008F600D"/>
    <w:rsid w:val="00900246"/>
    <w:rsid w:val="0090252C"/>
    <w:rsid w:val="009034FE"/>
    <w:rsid w:val="00905B7A"/>
    <w:rsid w:val="00906F37"/>
    <w:rsid w:val="009123FE"/>
    <w:rsid w:val="0091681A"/>
    <w:rsid w:val="00917A4D"/>
    <w:rsid w:val="00917FC7"/>
    <w:rsid w:val="00922142"/>
    <w:rsid w:val="00922C9A"/>
    <w:rsid w:val="00923B89"/>
    <w:rsid w:val="00926392"/>
    <w:rsid w:val="009343A5"/>
    <w:rsid w:val="00936DA8"/>
    <w:rsid w:val="009402D2"/>
    <w:rsid w:val="00940985"/>
    <w:rsid w:val="0094470B"/>
    <w:rsid w:val="00946470"/>
    <w:rsid w:val="009467A5"/>
    <w:rsid w:val="00950C72"/>
    <w:rsid w:val="00953ED1"/>
    <w:rsid w:val="0095407C"/>
    <w:rsid w:val="00957066"/>
    <w:rsid w:val="00957399"/>
    <w:rsid w:val="009609B7"/>
    <w:rsid w:val="0096211D"/>
    <w:rsid w:val="00962E84"/>
    <w:rsid w:val="00963911"/>
    <w:rsid w:val="00965752"/>
    <w:rsid w:val="0097042A"/>
    <w:rsid w:val="00970A2C"/>
    <w:rsid w:val="00973709"/>
    <w:rsid w:val="00973750"/>
    <w:rsid w:val="00977AB2"/>
    <w:rsid w:val="00980FFA"/>
    <w:rsid w:val="00981527"/>
    <w:rsid w:val="00981D53"/>
    <w:rsid w:val="009823C0"/>
    <w:rsid w:val="00982AA6"/>
    <w:rsid w:val="00982AAB"/>
    <w:rsid w:val="00984443"/>
    <w:rsid w:val="009850FB"/>
    <w:rsid w:val="00985337"/>
    <w:rsid w:val="009904DD"/>
    <w:rsid w:val="00995CA8"/>
    <w:rsid w:val="00996B7B"/>
    <w:rsid w:val="00997DA9"/>
    <w:rsid w:val="009A0627"/>
    <w:rsid w:val="009A07CE"/>
    <w:rsid w:val="009A219B"/>
    <w:rsid w:val="009A53CD"/>
    <w:rsid w:val="009A6EE4"/>
    <w:rsid w:val="009B1B13"/>
    <w:rsid w:val="009B47EB"/>
    <w:rsid w:val="009B4D88"/>
    <w:rsid w:val="009B75A3"/>
    <w:rsid w:val="009C2B34"/>
    <w:rsid w:val="009C4159"/>
    <w:rsid w:val="009C5996"/>
    <w:rsid w:val="009C5C47"/>
    <w:rsid w:val="009C6047"/>
    <w:rsid w:val="009C6C0C"/>
    <w:rsid w:val="009D0E04"/>
    <w:rsid w:val="009D2A80"/>
    <w:rsid w:val="009D4A5E"/>
    <w:rsid w:val="009D5901"/>
    <w:rsid w:val="009D7472"/>
    <w:rsid w:val="009E1112"/>
    <w:rsid w:val="009E2BA7"/>
    <w:rsid w:val="009E3D63"/>
    <w:rsid w:val="009F06FB"/>
    <w:rsid w:val="009F135D"/>
    <w:rsid w:val="009F1D67"/>
    <w:rsid w:val="009F4087"/>
    <w:rsid w:val="009F45F3"/>
    <w:rsid w:val="009F74DD"/>
    <w:rsid w:val="00A0000E"/>
    <w:rsid w:val="00A0102F"/>
    <w:rsid w:val="00A0195E"/>
    <w:rsid w:val="00A01E81"/>
    <w:rsid w:val="00A02001"/>
    <w:rsid w:val="00A03FAD"/>
    <w:rsid w:val="00A06CD8"/>
    <w:rsid w:val="00A0749E"/>
    <w:rsid w:val="00A10F5D"/>
    <w:rsid w:val="00A113DB"/>
    <w:rsid w:val="00A14766"/>
    <w:rsid w:val="00A1554F"/>
    <w:rsid w:val="00A1586D"/>
    <w:rsid w:val="00A15FCA"/>
    <w:rsid w:val="00A17C50"/>
    <w:rsid w:val="00A17E64"/>
    <w:rsid w:val="00A20490"/>
    <w:rsid w:val="00A22EFA"/>
    <w:rsid w:val="00A27C7E"/>
    <w:rsid w:val="00A309DE"/>
    <w:rsid w:val="00A322C8"/>
    <w:rsid w:val="00A34674"/>
    <w:rsid w:val="00A3631F"/>
    <w:rsid w:val="00A3750D"/>
    <w:rsid w:val="00A403EA"/>
    <w:rsid w:val="00A43F38"/>
    <w:rsid w:val="00A44902"/>
    <w:rsid w:val="00A4502E"/>
    <w:rsid w:val="00A469E7"/>
    <w:rsid w:val="00A47979"/>
    <w:rsid w:val="00A5392B"/>
    <w:rsid w:val="00A55003"/>
    <w:rsid w:val="00A562A0"/>
    <w:rsid w:val="00A56A3E"/>
    <w:rsid w:val="00A6187C"/>
    <w:rsid w:val="00A62333"/>
    <w:rsid w:val="00A6507F"/>
    <w:rsid w:val="00A72DAD"/>
    <w:rsid w:val="00A72E89"/>
    <w:rsid w:val="00A75132"/>
    <w:rsid w:val="00A777FF"/>
    <w:rsid w:val="00A811A7"/>
    <w:rsid w:val="00A81EBC"/>
    <w:rsid w:val="00A833EC"/>
    <w:rsid w:val="00A83A87"/>
    <w:rsid w:val="00A83E06"/>
    <w:rsid w:val="00A84BD6"/>
    <w:rsid w:val="00A856F7"/>
    <w:rsid w:val="00A91DC6"/>
    <w:rsid w:val="00A927EA"/>
    <w:rsid w:val="00A9312C"/>
    <w:rsid w:val="00A93166"/>
    <w:rsid w:val="00A936F7"/>
    <w:rsid w:val="00A961A5"/>
    <w:rsid w:val="00A978A1"/>
    <w:rsid w:val="00A97E2A"/>
    <w:rsid w:val="00AA09F4"/>
    <w:rsid w:val="00AA7C4A"/>
    <w:rsid w:val="00AB0CE1"/>
    <w:rsid w:val="00AB3889"/>
    <w:rsid w:val="00AC01DB"/>
    <w:rsid w:val="00AC23D2"/>
    <w:rsid w:val="00AC2E2B"/>
    <w:rsid w:val="00AC6B0C"/>
    <w:rsid w:val="00AC72E9"/>
    <w:rsid w:val="00AC7E29"/>
    <w:rsid w:val="00AD143F"/>
    <w:rsid w:val="00AD1CAD"/>
    <w:rsid w:val="00AD2722"/>
    <w:rsid w:val="00AD3C41"/>
    <w:rsid w:val="00AD3DF5"/>
    <w:rsid w:val="00AD5127"/>
    <w:rsid w:val="00AD5912"/>
    <w:rsid w:val="00AD6035"/>
    <w:rsid w:val="00AD7F75"/>
    <w:rsid w:val="00AE24DB"/>
    <w:rsid w:val="00AE4882"/>
    <w:rsid w:val="00AE5392"/>
    <w:rsid w:val="00AF03FC"/>
    <w:rsid w:val="00AF3A8F"/>
    <w:rsid w:val="00AF5CBE"/>
    <w:rsid w:val="00AF5D6C"/>
    <w:rsid w:val="00AF6EFD"/>
    <w:rsid w:val="00AF74A0"/>
    <w:rsid w:val="00B06271"/>
    <w:rsid w:val="00B12C1F"/>
    <w:rsid w:val="00B13AE8"/>
    <w:rsid w:val="00B1536D"/>
    <w:rsid w:val="00B177A1"/>
    <w:rsid w:val="00B21541"/>
    <w:rsid w:val="00B22D09"/>
    <w:rsid w:val="00B23F2B"/>
    <w:rsid w:val="00B23F48"/>
    <w:rsid w:val="00B24869"/>
    <w:rsid w:val="00B25B73"/>
    <w:rsid w:val="00B27C13"/>
    <w:rsid w:val="00B30381"/>
    <w:rsid w:val="00B34BF2"/>
    <w:rsid w:val="00B36C98"/>
    <w:rsid w:val="00B4352F"/>
    <w:rsid w:val="00B43941"/>
    <w:rsid w:val="00B45C5A"/>
    <w:rsid w:val="00B50C19"/>
    <w:rsid w:val="00B52B2B"/>
    <w:rsid w:val="00B52F45"/>
    <w:rsid w:val="00B57A29"/>
    <w:rsid w:val="00B61B0B"/>
    <w:rsid w:val="00B62D62"/>
    <w:rsid w:val="00B6346D"/>
    <w:rsid w:val="00B639C5"/>
    <w:rsid w:val="00B64428"/>
    <w:rsid w:val="00B70E1C"/>
    <w:rsid w:val="00B70F5F"/>
    <w:rsid w:val="00B715E2"/>
    <w:rsid w:val="00B72473"/>
    <w:rsid w:val="00B72B5D"/>
    <w:rsid w:val="00B72BB2"/>
    <w:rsid w:val="00B73A71"/>
    <w:rsid w:val="00B77442"/>
    <w:rsid w:val="00B774DF"/>
    <w:rsid w:val="00B80161"/>
    <w:rsid w:val="00B81726"/>
    <w:rsid w:val="00B86216"/>
    <w:rsid w:val="00B86F6C"/>
    <w:rsid w:val="00B92BAD"/>
    <w:rsid w:val="00B932DA"/>
    <w:rsid w:val="00B93DA2"/>
    <w:rsid w:val="00B97477"/>
    <w:rsid w:val="00B975ED"/>
    <w:rsid w:val="00BA28EE"/>
    <w:rsid w:val="00BA3180"/>
    <w:rsid w:val="00BA4BC0"/>
    <w:rsid w:val="00BB22A1"/>
    <w:rsid w:val="00BB35A2"/>
    <w:rsid w:val="00BB53BA"/>
    <w:rsid w:val="00BB6154"/>
    <w:rsid w:val="00BB6AFB"/>
    <w:rsid w:val="00BC0ACB"/>
    <w:rsid w:val="00BC1EAB"/>
    <w:rsid w:val="00BC26EF"/>
    <w:rsid w:val="00BC3A45"/>
    <w:rsid w:val="00BC3EDA"/>
    <w:rsid w:val="00BC47CF"/>
    <w:rsid w:val="00BC6F7A"/>
    <w:rsid w:val="00BC740C"/>
    <w:rsid w:val="00BD0DE3"/>
    <w:rsid w:val="00BD1548"/>
    <w:rsid w:val="00BD1E62"/>
    <w:rsid w:val="00BD5EB4"/>
    <w:rsid w:val="00BD66D9"/>
    <w:rsid w:val="00BE14EB"/>
    <w:rsid w:val="00BE6152"/>
    <w:rsid w:val="00BF4B32"/>
    <w:rsid w:val="00BF6450"/>
    <w:rsid w:val="00BF7732"/>
    <w:rsid w:val="00C0049A"/>
    <w:rsid w:val="00C02D40"/>
    <w:rsid w:val="00C042C6"/>
    <w:rsid w:val="00C07A19"/>
    <w:rsid w:val="00C07CBE"/>
    <w:rsid w:val="00C118E3"/>
    <w:rsid w:val="00C17268"/>
    <w:rsid w:val="00C2131F"/>
    <w:rsid w:val="00C22817"/>
    <w:rsid w:val="00C2291F"/>
    <w:rsid w:val="00C250D4"/>
    <w:rsid w:val="00C25454"/>
    <w:rsid w:val="00C27421"/>
    <w:rsid w:val="00C314F3"/>
    <w:rsid w:val="00C3163E"/>
    <w:rsid w:val="00C317AF"/>
    <w:rsid w:val="00C32AA6"/>
    <w:rsid w:val="00C33602"/>
    <w:rsid w:val="00C35888"/>
    <w:rsid w:val="00C36141"/>
    <w:rsid w:val="00C376B5"/>
    <w:rsid w:val="00C42793"/>
    <w:rsid w:val="00C43380"/>
    <w:rsid w:val="00C467FC"/>
    <w:rsid w:val="00C47CD4"/>
    <w:rsid w:val="00C51FC1"/>
    <w:rsid w:val="00C533C1"/>
    <w:rsid w:val="00C555AF"/>
    <w:rsid w:val="00C61A8D"/>
    <w:rsid w:val="00C61B24"/>
    <w:rsid w:val="00C62A02"/>
    <w:rsid w:val="00C63426"/>
    <w:rsid w:val="00C63D1D"/>
    <w:rsid w:val="00C64992"/>
    <w:rsid w:val="00C666B9"/>
    <w:rsid w:val="00C66B46"/>
    <w:rsid w:val="00C67D99"/>
    <w:rsid w:val="00C72054"/>
    <w:rsid w:val="00C724F1"/>
    <w:rsid w:val="00C72E0E"/>
    <w:rsid w:val="00C75FC3"/>
    <w:rsid w:val="00C763FE"/>
    <w:rsid w:val="00C81B08"/>
    <w:rsid w:val="00C86A18"/>
    <w:rsid w:val="00C9280D"/>
    <w:rsid w:val="00C93A7D"/>
    <w:rsid w:val="00C94067"/>
    <w:rsid w:val="00C95064"/>
    <w:rsid w:val="00C96B3E"/>
    <w:rsid w:val="00CA16AB"/>
    <w:rsid w:val="00CA4876"/>
    <w:rsid w:val="00CA664A"/>
    <w:rsid w:val="00CB0076"/>
    <w:rsid w:val="00CB4FEE"/>
    <w:rsid w:val="00CB6391"/>
    <w:rsid w:val="00CB64CC"/>
    <w:rsid w:val="00CB76EF"/>
    <w:rsid w:val="00CC078B"/>
    <w:rsid w:val="00CC1423"/>
    <w:rsid w:val="00CC494E"/>
    <w:rsid w:val="00CC4E2F"/>
    <w:rsid w:val="00CC5D81"/>
    <w:rsid w:val="00CD0547"/>
    <w:rsid w:val="00CD094E"/>
    <w:rsid w:val="00CD0B1F"/>
    <w:rsid w:val="00CD2007"/>
    <w:rsid w:val="00CD28B6"/>
    <w:rsid w:val="00CD2B98"/>
    <w:rsid w:val="00CD4F13"/>
    <w:rsid w:val="00CE4EA5"/>
    <w:rsid w:val="00CE7C84"/>
    <w:rsid w:val="00CF035E"/>
    <w:rsid w:val="00CF036B"/>
    <w:rsid w:val="00CF4714"/>
    <w:rsid w:val="00CF6FFC"/>
    <w:rsid w:val="00D021F1"/>
    <w:rsid w:val="00D0496A"/>
    <w:rsid w:val="00D04A2D"/>
    <w:rsid w:val="00D078FF"/>
    <w:rsid w:val="00D117F9"/>
    <w:rsid w:val="00D1783B"/>
    <w:rsid w:val="00D22045"/>
    <w:rsid w:val="00D24423"/>
    <w:rsid w:val="00D25092"/>
    <w:rsid w:val="00D26B4C"/>
    <w:rsid w:val="00D27E6F"/>
    <w:rsid w:val="00D30BF4"/>
    <w:rsid w:val="00D30E59"/>
    <w:rsid w:val="00D321DB"/>
    <w:rsid w:val="00D33D42"/>
    <w:rsid w:val="00D34415"/>
    <w:rsid w:val="00D35BCC"/>
    <w:rsid w:val="00D36D51"/>
    <w:rsid w:val="00D4406C"/>
    <w:rsid w:val="00D46CD3"/>
    <w:rsid w:val="00D4765B"/>
    <w:rsid w:val="00D5129A"/>
    <w:rsid w:val="00D5191C"/>
    <w:rsid w:val="00D52605"/>
    <w:rsid w:val="00D52BBA"/>
    <w:rsid w:val="00D55566"/>
    <w:rsid w:val="00D63639"/>
    <w:rsid w:val="00D652F9"/>
    <w:rsid w:val="00D6541F"/>
    <w:rsid w:val="00D672E8"/>
    <w:rsid w:val="00D67F96"/>
    <w:rsid w:val="00D721F0"/>
    <w:rsid w:val="00D75A84"/>
    <w:rsid w:val="00D7602F"/>
    <w:rsid w:val="00D762A9"/>
    <w:rsid w:val="00D76CFD"/>
    <w:rsid w:val="00D7753C"/>
    <w:rsid w:val="00D80D04"/>
    <w:rsid w:val="00D81057"/>
    <w:rsid w:val="00D81327"/>
    <w:rsid w:val="00D81792"/>
    <w:rsid w:val="00D81CA1"/>
    <w:rsid w:val="00D83D89"/>
    <w:rsid w:val="00D8605E"/>
    <w:rsid w:val="00D9007A"/>
    <w:rsid w:val="00D91499"/>
    <w:rsid w:val="00D921FF"/>
    <w:rsid w:val="00D93220"/>
    <w:rsid w:val="00D9509E"/>
    <w:rsid w:val="00D9528D"/>
    <w:rsid w:val="00DA6E8D"/>
    <w:rsid w:val="00DB30FF"/>
    <w:rsid w:val="00DB7C7C"/>
    <w:rsid w:val="00DC1F05"/>
    <w:rsid w:val="00DC2683"/>
    <w:rsid w:val="00DC62C0"/>
    <w:rsid w:val="00DC7398"/>
    <w:rsid w:val="00DC7572"/>
    <w:rsid w:val="00DC7BC3"/>
    <w:rsid w:val="00DD17FC"/>
    <w:rsid w:val="00DD2221"/>
    <w:rsid w:val="00DD32DC"/>
    <w:rsid w:val="00DD7DFE"/>
    <w:rsid w:val="00DE2F6A"/>
    <w:rsid w:val="00DE3286"/>
    <w:rsid w:val="00DE4CE7"/>
    <w:rsid w:val="00DF28D1"/>
    <w:rsid w:val="00DF675B"/>
    <w:rsid w:val="00DF6A69"/>
    <w:rsid w:val="00E00052"/>
    <w:rsid w:val="00E00448"/>
    <w:rsid w:val="00E014B2"/>
    <w:rsid w:val="00E02CCE"/>
    <w:rsid w:val="00E058FD"/>
    <w:rsid w:val="00E064BD"/>
    <w:rsid w:val="00E07EA8"/>
    <w:rsid w:val="00E11F5E"/>
    <w:rsid w:val="00E122F5"/>
    <w:rsid w:val="00E1282F"/>
    <w:rsid w:val="00E1329B"/>
    <w:rsid w:val="00E15055"/>
    <w:rsid w:val="00E20487"/>
    <w:rsid w:val="00E213A2"/>
    <w:rsid w:val="00E22A44"/>
    <w:rsid w:val="00E232EA"/>
    <w:rsid w:val="00E24564"/>
    <w:rsid w:val="00E2458B"/>
    <w:rsid w:val="00E26203"/>
    <w:rsid w:val="00E30166"/>
    <w:rsid w:val="00E3021E"/>
    <w:rsid w:val="00E30608"/>
    <w:rsid w:val="00E32CF5"/>
    <w:rsid w:val="00E32D43"/>
    <w:rsid w:val="00E338C5"/>
    <w:rsid w:val="00E3451B"/>
    <w:rsid w:val="00E34A46"/>
    <w:rsid w:val="00E363D6"/>
    <w:rsid w:val="00E43B4C"/>
    <w:rsid w:val="00E43DD6"/>
    <w:rsid w:val="00E43E2A"/>
    <w:rsid w:val="00E4408C"/>
    <w:rsid w:val="00E45B4E"/>
    <w:rsid w:val="00E4783A"/>
    <w:rsid w:val="00E47E3B"/>
    <w:rsid w:val="00E509F4"/>
    <w:rsid w:val="00E6104E"/>
    <w:rsid w:val="00E6200E"/>
    <w:rsid w:val="00E64BC4"/>
    <w:rsid w:val="00E710BA"/>
    <w:rsid w:val="00E72F80"/>
    <w:rsid w:val="00E73AA1"/>
    <w:rsid w:val="00E8471E"/>
    <w:rsid w:val="00E90A25"/>
    <w:rsid w:val="00E9113D"/>
    <w:rsid w:val="00E9159D"/>
    <w:rsid w:val="00E92C70"/>
    <w:rsid w:val="00E948F0"/>
    <w:rsid w:val="00E94F5F"/>
    <w:rsid w:val="00E97330"/>
    <w:rsid w:val="00EA0BAD"/>
    <w:rsid w:val="00EA22D8"/>
    <w:rsid w:val="00EA3017"/>
    <w:rsid w:val="00EA3971"/>
    <w:rsid w:val="00EA4C39"/>
    <w:rsid w:val="00EB223F"/>
    <w:rsid w:val="00EB2AF7"/>
    <w:rsid w:val="00EB3168"/>
    <w:rsid w:val="00EC57FE"/>
    <w:rsid w:val="00EC5946"/>
    <w:rsid w:val="00EC5B7F"/>
    <w:rsid w:val="00EC792B"/>
    <w:rsid w:val="00ED198C"/>
    <w:rsid w:val="00ED1A74"/>
    <w:rsid w:val="00ED1D16"/>
    <w:rsid w:val="00ED6A39"/>
    <w:rsid w:val="00EE0185"/>
    <w:rsid w:val="00EE508A"/>
    <w:rsid w:val="00EE5222"/>
    <w:rsid w:val="00EE650F"/>
    <w:rsid w:val="00EF1928"/>
    <w:rsid w:val="00EF3CCB"/>
    <w:rsid w:val="00EF3EC2"/>
    <w:rsid w:val="00EF52D7"/>
    <w:rsid w:val="00EF630B"/>
    <w:rsid w:val="00EF7CB5"/>
    <w:rsid w:val="00F0276E"/>
    <w:rsid w:val="00F0384F"/>
    <w:rsid w:val="00F05CE0"/>
    <w:rsid w:val="00F05DA6"/>
    <w:rsid w:val="00F06AFC"/>
    <w:rsid w:val="00F06F1B"/>
    <w:rsid w:val="00F075FC"/>
    <w:rsid w:val="00F11FA6"/>
    <w:rsid w:val="00F141FC"/>
    <w:rsid w:val="00F15244"/>
    <w:rsid w:val="00F21E05"/>
    <w:rsid w:val="00F23474"/>
    <w:rsid w:val="00F23EF5"/>
    <w:rsid w:val="00F255C8"/>
    <w:rsid w:val="00F258A7"/>
    <w:rsid w:val="00F30610"/>
    <w:rsid w:val="00F36FEF"/>
    <w:rsid w:val="00F434D0"/>
    <w:rsid w:val="00F44846"/>
    <w:rsid w:val="00F46B4E"/>
    <w:rsid w:val="00F47CBF"/>
    <w:rsid w:val="00F50EE8"/>
    <w:rsid w:val="00F5128A"/>
    <w:rsid w:val="00F53FBA"/>
    <w:rsid w:val="00F55021"/>
    <w:rsid w:val="00F61DA1"/>
    <w:rsid w:val="00F64786"/>
    <w:rsid w:val="00F70CD6"/>
    <w:rsid w:val="00F71DF0"/>
    <w:rsid w:val="00F72069"/>
    <w:rsid w:val="00F7340A"/>
    <w:rsid w:val="00F772C5"/>
    <w:rsid w:val="00F81AF2"/>
    <w:rsid w:val="00F81E81"/>
    <w:rsid w:val="00F87BE4"/>
    <w:rsid w:val="00F95800"/>
    <w:rsid w:val="00FA0BF2"/>
    <w:rsid w:val="00FA2C2A"/>
    <w:rsid w:val="00FA6361"/>
    <w:rsid w:val="00FB0E77"/>
    <w:rsid w:val="00FB26AD"/>
    <w:rsid w:val="00FB2E8A"/>
    <w:rsid w:val="00FB300A"/>
    <w:rsid w:val="00FB6DC7"/>
    <w:rsid w:val="00FB793A"/>
    <w:rsid w:val="00FC2E6D"/>
    <w:rsid w:val="00FC37F6"/>
    <w:rsid w:val="00FC39BC"/>
    <w:rsid w:val="00FC6EB8"/>
    <w:rsid w:val="00FD4064"/>
    <w:rsid w:val="00FD4207"/>
    <w:rsid w:val="00FD423C"/>
    <w:rsid w:val="00FD4971"/>
    <w:rsid w:val="00FD7F4D"/>
    <w:rsid w:val="00FE3002"/>
    <w:rsid w:val="00FF27FC"/>
    <w:rsid w:val="00FF3FEE"/>
    <w:rsid w:val="00FF6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B0A8F"/>
  <w15:chartTrackingRefBased/>
  <w15:docId w15:val="{AB3B846E-7CF2-4CA8-A4DF-6A00E11E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590"/>
    <w:pPr>
      <w:widowControl w:val="0"/>
      <w:spacing w:afterLines="50" w:after="50"/>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24869"/>
    <w:pPr>
      <w:keepNext/>
      <w:keepLines/>
      <w:widowControl/>
      <w:spacing w:beforeLines="100" w:before="100" w:afterLines="100" w:after="100"/>
      <w:outlineLvl w:val="0"/>
    </w:pPr>
    <w:rPr>
      <w:b/>
      <w:kern w:val="44"/>
      <w:sz w:val="28"/>
      <w:szCs w:val="28"/>
    </w:rPr>
  </w:style>
  <w:style w:type="paragraph" w:styleId="Heading2">
    <w:name w:val="heading 2"/>
    <w:basedOn w:val="Normal"/>
    <w:next w:val="Normal"/>
    <w:link w:val="Heading2Char"/>
    <w:uiPriority w:val="9"/>
    <w:unhideWhenUsed/>
    <w:qFormat/>
    <w:rsid w:val="00B24869"/>
    <w:pPr>
      <w:keepNext/>
      <w:keepLines/>
      <w:widowControl/>
      <w:spacing w:beforeLines="50" w:before="50"/>
      <w:outlineLvl w:val="1"/>
    </w:pPr>
    <w:rPr>
      <w:sz w:val="28"/>
      <w:szCs w:val="28"/>
    </w:rPr>
  </w:style>
  <w:style w:type="paragraph" w:styleId="Heading3">
    <w:name w:val="heading 3"/>
    <w:basedOn w:val="Normal"/>
    <w:next w:val="Normal"/>
    <w:link w:val="Heading3Char"/>
    <w:uiPriority w:val="9"/>
    <w:unhideWhenUsed/>
    <w:qFormat/>
    <w:rsid w:val="00B24869"/>
    <w:pPr>
      <w:keepNext/>
      <w:keepLines/>
      <w:widowControl/>
      <w:spacing w:beforeLines="50" w:before="50"/>
      <w:outlineLvl w:val="2"/>
    </w:pPr>
  </w:style>
  <w:style w:type="paragraph" w:styleId="Heading4">
    <w:name w:val="heading 4"/>
    <w:basedOn w:val="Normal"/>
    <w:next w:val="Normal"/>
    <w:link w:val="Heading4Char"/>
    <w:autoRedefine/>
    <w:uiPriority w:val="9"/>
    <w:unhideWhenUsed/>
    <w:qFormat/>
    <w:rsid w:val="008477C6"/>
    <w:pPr>
      <w:keepNext/>
      <w:keepLines/>
      <w:widowControl/>
      <w:adjustRightInd w:val="0"/>
      <w:snapToGrid w:val="0"/>
      <w:spacing w:line="400" w:lineRule="exac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869"/>
    <w:rPr>
      <w:rFonts w:ascii="Times New Roman" w:eastAsia="Times New Roman" w:hAnsi="Times New Roman" w:cs="Times New Roman"/>
      <w:b/>
      <w:kern w:val="44"/>
      <w:sz w:val="28"/>
      <w:szCs w:val="28"/>
    </w:rPr>
  </w:style>
  <w:style w:type="character" w:customStyle="1" w:styleId="Heading3Char">
    <w:name w:val="Heading 3 Char"/>
    <w:basedOn w:val="DefaultParagraphFont"/>
    <w:link w:val="Heading3"/>
    <w:uiPriority w:val="9"/>
    <w:rsid w:val="00B2486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24869"/>
    <w:rPr>
      <w:rFonts w:ascii="Times New Roman" w:eastAsia="Times New Roman" w:hAnsi="Times New Roman" w:cs="Times New Roman"/>
      <w:sz w:val="28"/>
      <w:szCs w:val="28"/>
    </w:rPr>
  </w:style>
  <w:style w:type="character" w:customStyle="1" w:styleId="Heading4Char">
    <w:name w:val="Heading 4 Char"/>
    <w:basedOn w:val="DefaultParagraphFont"/>
    <w:link w:val="Heading4"/>
    <w:uiPriority w:val="9"/>
    <w:rsid w:val="008477C6"/>
    <w:rPr>
      <w:rFonts w:ascii="Calibri Light" w:eastAsia="Calibri Light" w:hAnsi="Calibri Light" w:cs="Calibri Light"/>
      <w:i/>
      <w:iCs/>
      <w:sz w:val="24"/>
      <w:szCs w:val="24"/>
    </w:rPr>
  </w:style>
  <w:style w:type="paragraph" w:styleId="Header">
    <w:name w:val="header"/>
    <w:basedOn w:val="Normal"/>
    <w:link w:val="HeaderChar"/>
    <w:uiPriority w:val="99"/>
    <w:unhideWhenUsed/>
    <w:rsid w:val="00372BA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72BAA"/>
    <w:rPr>
      <w:rFonts w:asciiTheme="majorHAnsi" w:eastAsiaTheme="majorEastAsia" w:hAnsiTheme="majorHAnsi" w:cstheme="majorHAnsi"/>
      <w:sz w:val="18"/>
      <w:szCs w:val="18"/>
    </w:rPr>
  </w:style>
  <w:style w:type="paragraph" w:styleId="Footer">
    <w:name w:val="footer"/>
    <w:basedOn w:val="Normal"/>
    <w:link w:val="FooterChar"/>
    <w:uiPriority w:val="99"/>
    <w:unhideWhenUsed/>
    <w:rsid w:val="00372BA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72BAA"/>
    <w:rPr>
      <w:rFonts w:asciiTheme="majorHAnsi" w:eastAsiaTheme="majorEastAsia" w:hAnsiTheme="majorHAnsi" w:cstheme="majorHAnsi"/>
      <w:sz w:val="18"/>
      <w:szCs w:val="18"/>
    </w:rPr>
  </w:style>
  <w:style w:type="paragraph" w:styleId="Title">
    <w:name w:val="Title"/>
    <w:basedOn w:val="Normal"/>
    <w:next w:val="Normal"/>
    <w:link w:val="TitleChar"/>
    <w:autoRedefine/>
    <w:uiPriority w:val="10"/>
    <w:qFormat/>
    <w:rsid w:val="006E7D07"/>
    <w:pPr>
      <w:spacing w:after="163" w:line="400" w:lineRule="exact"/>
      <w:jc w:val="center"/>
      <w:outlineLvl w:val="0"/>
    </w:pPr>
    <w:rPr>
      <w:rFonts w:cstheme="majorBidi"/>
      <w:b/>
      <w:bCs/>
      <w:sz w:val="28"/>
      <w:szCs w:val="28"/>
    </w:rPr>
  </w:style>
  <w:style w:type="character" w:customStyle="1" w:styleId="TitleChar">
    <w:name w:val="Title Char"/>
    <w:basedOn w:val="DefaultParagraphFont"/>
    <w:link w:val="Title"/>
    <w:uiPriority w:val="10"/>
    <w:rsid w:val="006E7D07"/>
    <w:rPr>
      <w:rFonts w:ascii="Times New Roman" w:eastAsia="Times New Roman" w:hAnsi="Times New Roman" w:cstheme="majorBidi"/>
      <w:b/>
      <w:bCs/>
      <w:sz w:val="28"/>
      <w:szCs w:val="28"/>
    </w:rPr>
  </w:style>
  <w:style w:type="table" w:styleId="TableGrid">
    <w:name w:val="Table Grid"/>
    <w:basedOn w:val="TableNormal"/>
    <w:uiPriority w:val="39"/>
    <w:rsid w:val="00372BAA"/>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2E8A"/>
    <w:rPr>
      <w:sz w:val="21"/>
      <w:szCs w:val="21"/>
    </w:rPr>
  </w:style>
  <w:style w:type="paragraph" w:styleId="CommentText">
    <w:name w:val="annotation text"/>
    <w:basedOn w:val="Normal"/>
    <w:link w:val="CommentTextChar"/>
    <w:uiPriority w:val="99"/>
    <w:unhideWhenUsed/>
    <w:rsid w:val="00FB2E8A"/>
    <w:pPr>
      <w:jc w:val="left"/>
    </w:pPr>
  </w:style>
  <w:style w:type="character" w:customStyle="1" w:styleId="CommentTextChar">
    <w:name w:val="Comment Text Char"/>
    <w:basedOn w:val="DefaultParagraphFont"/>
    <w:link w:val="CommentText"/>
    <w:uiPriority w:val="99"/>
    <w:rsid w:val="00FB2E8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524BF"/>
    <w:rPr>
      <w:b/>
      <w:bCs/>
    </w:rPr>
  </w:style>
  <w:style w:type="character" w:customStyle="1" w:styleId="CommentSubjectChar">
    <w:name w:val="Comment Subject Char"/>
    <w:basedOn w:val="CommentTextChar"/>
    <w:link w:val="CommentSubject"/>
    <w:uiPriority w:val="99"/>
    <w:semiHidden/>
    <w:rsid w:val="003524BF"/>
    <w:rPr>
      <w:rFonts w:ascii="Times New Roman" w:eastAsia="Times New Roman" w:hAnsi="Times New Roman" w:cs="Times New Roman"/>
      <w:b/>
      <w:bCs/>
      <w:sz w:val="24"/>
      <w:szCs w:val="24"/>
    </w:rPr>
  </w:style>
  <w:style w:type="paragraph" w:styleId="Date">
    <w:name w:val="Date"/>
    <w:basedOn w:val="Normal"/>
    <w:next w:val="Normal"/>
    <w:link w:val="DateChar"/>
    <w:uiPriority w:val="99"/>
    <w:semiHidden/>
    <w:unhideWhenUsed/>
    <w:rsid w:val="00087D04"/>
    <w:pPr>
      <w:ind w:leftChars="2500" w:left="100"/>
    </w:pPr>
  </w:style>
  <w:style w:type="character" w:customStyle="1" w:styleId="DateChar">
    <w:name w:val="Date Char"/>
    <w:basedOn w:val="DefaultParagraphFont"/>
    <w:link w:val="Date"/>
    <w:uiPriority w:val="99"/>
    <w:semiHidden/>
    <w:rsid w:val="00087D0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4450"/>
    <w:rPr>
      <w:color w:val="0563C1" w:themeColor="hyperlink"/>
      <w:u w:val="single"/>
    </w:rPr>
  </w:style>
  <w:style w:type="character" w:styleId="UnresolvedMention">
    <w:name w:val="Unresolved Mention"/>
    <w:basedOn w:val="DefaultParagraphFont"/>
    <w:uiPriority w:val="99"/>
    <w:semiHidden/>
    <w:unhideWhenUsed/>
    <w:rsid w:val="00F81E81"/>
    <w:rPr>
      <w:color w:val="605E5C"/>
      <w:shd w:val="clear" w:color="auto" w:fill="E1DFDD"/>
    </w:rPr>
  </w:style>
  <w:style w:type="paragraph" w:styleId="Revision">
    <w:name w:val="Revision"/>
    <w:hidden/>
    <w:uiPriority w:val="99"/>
    <w:semiHidden/>
    <w:rsid w:val="002307FF"/>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24869"/>
  </w:style>
  <w:style w:type="paragraph" w:styleId="BalloonText">
    <w:name w:val="Balloon Text"/>
    <w:basedOn w:val="Normal"/>
    <w:link w:val="BalloonTextChar"/>
    <w:uiPriority w:val="99"/>
    <w:semiHidden/>
    <w:unhideWhenUsed/>
    <w:rsid w:val="00881580"/>
    <w:pPr>
      <w:spacing w:after="0"/>
    </w:pPr>
    <w:rPr>
      <w:sz w:val="18"/>
      <w:szCs w:val="18"/>
    </w:rPr>
  </w:style>
  <w:style w:type="character" w:customStyle="1" w:styleId="BalloonTextChar">
    <w:name w:val="Balloon Text Char"/>
    <w:basedOn w:val="DefaultParagraphFont"/>
    <w:link w:val="BalloonText"/>
    <w:uiPriority w:val="99"/>
    <w:semiHidden/>
    <w:rsid w:val="00881580"/>
    <w:rPr>
      <w:rFonts w:ascii="Times New Roman" w:eastAsia="Times New Roman" w:hAnsi="Times New Roman" w:cs="Times New Roman"/>
      <w:sz w:val="18"/>
      <w:szCs w:val="18"/>
    </w:rPr>
  </w:style>
  <w:style w:type="character" w:styleId="PlaceholderText">
    <w:name w:val="Placeholder Text"/>
    <w:basedOn w:val="DefaultParagraphFont"/>
    <w:uiPriority w:val="99"/>
    <w:semiHidden/>
    <w:rsid w:val="008442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0819">
      <w:bodyDiv w:val="1"/>
      <w:marLeft w:val="0"/>
      <w:marRight w:val="0"/>
      <w:marTop w:val="0"/>
      <w:marBottom w:val="0"/>
      <w:divBdr>
        <w:top w:val="none" w:sz="0" w:space="0" w:color="auto"/>
        <w:left w:val="none" w:sz="0" w:space="0" w:color="auto"/>
        <w:bottom w:val="none" w:sz="0" w:space="0" w:color="auto"/>
        <w:right w:val="none" w:sz="0" w:space="0" w:color="auto"/>
      </w:divBdr>
      <w:divsChild>
        <w:div w:id="996691259">
          <w:marLeft w:val="0"/>
          <w:marRight w:val="0"/>
          <w:marTop w:val="0"/>
          <w:marBottom w:val="0"/>
          <w:divBdr>
            <w:top w:val="none" w:sz="0" w:space="0" w:color="auto"/>
            <w:left w:val="none" w:sz="0" w:space="0" w:color="auto"/>
            <w:bottom w:val="none" w:sz="0" w:space="0" w:color="auto"/>
            <w:right w:val="none" w:sz="0" w:space="0" w:color="auto"/>
          </w:divBdr>
        </w:div>
        <w:div w:id="1971865108">
          <w:marLeft w:val="0"/>
          <w:marRight w:val="0"/>
          <w:marTop w:val="0"/>
          <w:marBottom w:val="0"/>
          <w:divBdr>
            <w:top w:val="none" w:sz="0" w:space="0" w:color="auto"/>
            <w:left w:val="none" w:sz="0" w:space="0" w:color="auto"/>
            <w:bottom w:val="none" w:sz="0" w:space="0" w:color="auto"/>
            <w:right w:val="none" w:sz="0" w:space="0" w:color="auto"/>
          </w:divBdr>
        </w:div>
      </w:divsChild>
    </w:div>
    <w:div w:id="508522845">
      <w:bodyDiv w:val="1"/>
      <w:marLeft w:val="0"/>
      <w:marRight w:val="0"/>
      <w:marTop w:val="0"/>
      <w:marBottom w:val="0"/>
      <w:divBdr>
        <w:top w:val="none" w:sz="0" w:space="0" w:color="auto"/>
        <w:left w:val="none" w:sz="0" w:space="0" w:color="auto"/>
        <w:bottom w:val="none" w:sz="0" w:space="0" w:color="auto"/>
        <w:right w:val="none" w:sz="0" w:space="0" w:color="auto"/>
      </w:divBdr>
      <w:divsChild>
        <w:div w:id="1335644728">
          <w:marLeft w:val="0"/>
          <w:marRight w:val="0"/>
          <w:marTop w:val="0"/>
          <w:marBottom w:val="0"/>
          <w:divBdr>
            <w:top w:val="none" w:sz="0" w:space="0" w:color="auto"/>
            <w:left w:val="none" w:sz="0" w:space="0" w:color="auto"/>
            <w:bottom w:val="none" w:sz="0" w:space="0" w:color="auto"/>
            <w:right w:val="none" w:sz="0" w:space="0" w:color="auto"/>
          </w:divBdr>
        </w:div>
        <w:div w:id="1511260361">
          <w:marLeft w:val="0"/>
          <w:marRight w:val="0"/>
          <w:marTop w:val="0"/>
          <w:marBottom w:val="0"/>
          <w:divBdr>
            <w:top w:val="none" w:sz="0" w:space="0" w:color="auto"/>
            <w:left w:val="none" w:sz="0" w:space="0" w:color="auto"/>
            <w:bottom w:val="none" w:sz="0" w:space="0" w:color="auto"/>
            <w:right w:val="none" w:sz="0" w:space="0" w:color="auto"/>
          </w:divBdr>
        </w:div>
      </w:divsChild>
    </w:div>
    <w:div w:id="849561164">
      <w:bodyDiv w:val="1"/>
      <w:marLeft w:val="0"/>
      <w:marRight w:val="0"/>
      <w:marTop w:val="0"/>
      <w:marBottom w:val="0"/>
      <w:divBdr>
        <w:top w:val="none" w:sz="0" w:space="0" w:color="auto"/>
        <w:left w:val="none" w:sz="0" w:space="0" w:color="auto"/>
        <w:bottom w:val="none" w:sz="0" w:space="0" w:color="auto"/>
        <w:right w:val="none" w:sz="0" w:space="0" w:color="auto"/>
      </w:divBdr>
    </w:div>
    <w:div w:id="10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272932951">
          <w:marLeft w:val="0"/>
          <w:marRight w:val="0"/>
          <w:marTop w:val="0"/>
          <w:marBottom w:val="0"/>
          <w:divBdr>
            <w:top w:val="none" w:sz="0" w:space="0" w:color="auto"/>
            <w:left w:val="none" w:sz="0" w:space="0" w:color="auto"/>
            <w:bottom w:val="none" w:sz="0" w:space="0" w:color="auto"/>
            <w:right w:val="none" w:sz="0" w:space="0" w:color="auto"/>
          </w:divBdr>
        </w:div>
        <w:div w:id="633752157">
          <w:marLeft w:val="0"/>
          <w:marRight w:val="0"/>
          <w:marTop w:val="0"/>
          <w:marBottom w:val="0"/>
          <w:divBdr>
            <w:top w:val="none" w:sz="0" w:space="0" w:color="auto"/>
            <w:left w:val="none" w:sz="0" w:space="0" w:color="auto"/>
            <w:bottom w:val="none" w:sz="0" w:space="0" w:color="auto"/>
            <w:right w:val="none" w:sz="0" w:space="0" w:color="auto"/>
          </w:divBdr>
        </w:div>
        <w:div w:id="2138454345">
          <w:marLeft w:val="0"/>
          <w:marRight w:val="0"/>
          <w:marTop w:val="0"/>
          <w:marBottom w:val="0"/>
          <w:divBdr>
            <w:top w:val="none" w:sz="0" w:space="0" w:color="auto"/>
            <w:left w:val="none" w:sz="0" w:space="0" w:color="auto"/>
            <w:bottom w:val="none" w:sz="0" w:space="0" w:color="auto"/>
            <w:right w:val="none" w:sz="0" w:space="0" w:color="auto"/>
          </w:divBdr>
        </w:div>
      </w:divsChild>
    </w:div>
    <w:div w:id="1364360548">
      <w:bodyDiv w:val="1"/>
      <w:marLeft w:val="0"/>
      <w:marRight w:val="0"/>
      <w:marTop w:val="0"/>
      <w:marBottom w:val="0"/>
      <w:divBdr>
        <w:top w:val="none" w:sz="0" w:space="0" w:color="auto"/>
        <w:left w:val="none" w:sz="0" w:space="0" w:color="auto"/>
        <w:bottom w:val="none" w:sz="0" w:space="0" w:color="auto"/>
        <w:right w:val="none" w:sz="0" w:space="0" w:color="auto"/>
      </w:divBdr>
    </w:div>
    <w:div w:id="1498039848">
      <w:bodyDiv w:val="1"/>
      <w:marLeft w:val="0"/>
      <w:marRight w:val="0"/>
      <w:marTop w:val="0"/>
      <w:marBottom w:val="0"/>
      <w:divBdr>
        <w:top w:val="none" w:sz="0" w:space="0" w:color="auto"/>
        <w:left w:val="none" w:sz="0" w:space="0" w:color="auto"/>
        <w:bottom w:val="none" w:sz="0" w:space="0" w:color="auto"/>
        <w:right w:val="none" w:sz="0" w:space="0" w:color="auto"/>
      </w:divBdr>
    </w:div>
    <w:div w:id="1875266214">
      <w:bodyDiv w:val="1"/>
      <w:marLeft w:val="0"/>
      <w:marRight w:val="0"/>
      <w:marTop w:val="0"/>
      <w:marBottom w:val="0"/>
      <w:divBdr>
        <w:top w:val="none" w:sz="0" w:space="0" w:color="auto"/>
        <w:left w:val="none" w:sz="0" w:space="0" w:color="auto"/>
        <w:bottom w:val="none" w:sz="0" w:space="0" w:color="auto"/>
        <w:right w:val="none" w:sz="0" w:space="0" w:color="auto"/>
      </w:divBdr>
      <w:divsChild>
        <w:div w:id="1071656459">
          <w:marLeft w:val="0"/>
          <w:marRight w:val="0"/>
          <w:marTop w:val="0"/>
          <w:marBottom w:val="0"/>
          <w:divBdr>
            <w:top w:val="none" w:sz="0" w:space="0" w:color="auto"/>
            <w:left w:val="none" w:sz="0" w:space="0" w:color="auto"/>
            <w:bottom w:val="none" w:sz="0" w:space="0" w:color="auto"/>
            <w:right w:val="none" w:sz="0" w:space="0" w:color="auto"/>
          </w:divBdr>
        </w:div>
        <w:div w:id="1922060670">
          <w:marLeft w:val="0"/>
          <w:marRight w:val="0"/>
          <w:marTop w:val="0"/>
          <w:marBottom w:val="0"/>
          <w:divBdr>
            <w:top w:val="none" w:sz="0" w:space="0" w:color="auto"/>
            <w:left w:val="none" w:sz="0" w:space="0" w:color="auto"/>
            <w:bottom w:val="none" w:sz="0" w:space="0" w:color="auto"/>
            <w:right w:val="none" w:sz="0" w:space="0" w:color="auto"/>
          </w:divBdr>
        </w:div>
      </w:divsChild>
    </w:div>
    <w:div w:id="19638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2.jpeg"/><Relationship Id="rId21" Type="http://schemas.openxmlformats.org/officeDocument/2006/relationships/footer" Target="footer6.xml"/><Relationship Id="rId34" Type="http://schemas.openxmlformats.org/officeDocument/2006/relationships/footer" Target="footer7.xm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sdna.cardiff.ac.uk/sdna/" TargetMode="External"/><Relationship Id="rId14" Type="http://schemas.openxmlformats.org/officeDocument/2006/relationships/header" Target="header3.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8.xml"/><Relationship Id="rId43" Type="http://schemas.openxmlformats.org/officeDocument/2006/relationships/image" Target="media/image16.jpeg"/><Relationship Id="rId8" Type="http://schemas.openxmlformats.org/officeDocument/2006/relationships/hyperlink" Target="http://www.mohurd.gov.c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8.xml"/><Relationship Id="rId38" Type="http://schemas.openxmlformats.org/officeDocument/2006/relationships/image" Target="media/image11.jpeg"/><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BCE32-A393-4E5D-9C05-5646EF67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42</Pages>
  <Words>39117</Words>
  <Characters>222969</Characters>
  <Application>Microsoft Office Word</Application>
  <DocSecurity>0</DocSecurity>
  <Lines>1858</Lines>
  <Paragraphs>523</Paragraphs>
  <ScaleCrop>false</ScaleCrop>
  <Company/>
  <LinksUpToDate>false</LinksUpToDate>
  <CharactersWithSpaces>261563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 pingyu</dc:creator>
  <cp:keywords/>
  <dc:description/>
  <cp:lastModifiedBy>Kwok Chun</cp:lastModifiedBy>
  <cp:revision>143</cp:revision>
  <dcterms:created xsi:type="dcterms:W3CDTF">2022-01-17T05:26:00Z</dcterms:created>
  <dcterms:modified xsi:type="dcterms:W3CDTF">2022-02-01T12:22:00Z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511abf43-55ab-3f59-951c-15c460d6194a</vt:lpwstr>
  </property>
  <property fmtid="{D5CDD505-2E9C-101B-9397-08002B2CF9AE}" pid="24" name="Mendeley Citation Style_1">
    <vt:lpwstr>http://www.zotero.org/styles/apa</vt:lpwstr>
  </property>
</Properties>
</file>