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CD5CA" w14:textId="00B5FE89" w:rsidR="00150DCC" w:rsidRDefault="004C5100" w:rsidP="00B17CC8">
      <w:pPr>
        <w:pStyle w:val="Title"/>
      </w:pPr>
      <w:r w:rsidRPr="00150DCC">
        <w:rPr>
          <w:noProof/>
          <w:lang w:val="en-GB" w:eastAsia="en-GB"/>
        </w:rPr>
        <w:drawing>
          <wp:anchor distT="0" distB="0" distL="114300" distR="114300" simplePos="0" relativeHeight="251661312" behindDoc="0" locked="0" layoutInCell="1" allowOverlap="1" wp14:anchorId="28B3D265" wp14:editId="1C759AC7">
            <wp:simplePos x="0" y="0"/>
            <wp:positionH relativeFrom="margin">
              <wp:align>left</wp:align>
            </wp:positionH>
            <wp:positionV relativeFrom="paragraph">
              <wp:posOffset>-571501</wp:posOffset>
            </wp:positionV>
            <wp:extent cx="1352550" cy="98107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2550" cy="981075"/>
                    </a:xfrm>
                    <a:prstGeom prst="rect">
                      <a:avLst/>
                    </a:prstGeom>
                  </pic:spPr>
                </pic:pic>
              </a:graphicData>
            </a:graphic>
            <wp14:sizeRelH relativeFrom="margin">
              <wp14:pctWidth>0</wp14:pctWidth>
            </wp14:sizeRelH>
            <wp14:sizeRelV relativeFrom="margin">
              <wp14:pctHeight>0</wp14:pctHeight>
            </wp14:sizeRelV>
          </wp:anchor>
        </w:drawing>
      </w:r>
      <w:r w:rsidR="00150DCC">
        <w:rPr>
          <w:noProof/>
          <w:lang w:val="en-GB" w:eastAsia="en-GB"/>
        </w:rPr>
        <w:drawing>
          <wp:anchor distT="0" distB="0" distL="114300" distR="114300" simplePos="0" relativeHeight="251658240" behindDoc="1" locked="0" layoutInCell="1" allowOverlap="1" wp14:anchorId="35E74E5B" wp14:editId="399CEEB0">
            <wp:simplePos x="0" y="0"/>
            <wp:positionH relativeFrom="margin">
              <wp:align>right</wp:align>
            </wp:positionH>
            <wp:positionV relativeFrom="paragraph">
              <wp:posOffset>-504825</wp:posOffset>
            </wp:positionV>
            <wp:extent cx="1619250" cy="742950"/>
            <wp:effectExtent l="0" t="0" r="0" b="0"/>
            <wp:wrapNone/>
            <wp:docPr id="9" name="Picture 9" descr="C:\Users\sanda_000\AppData\Local\Microsoft\Windows\INetCache\Content.Word\UWE Bristol 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a_000\AppData\Local\Microsoft\Windows\INetCache\Content.Word\UWE Bristol logo (prin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0DCC" w:rsidRPr="00150DCC">
        <w:rPr>
          <w:noProof/>
          <w:lang w:val="en-GB" w:eastAsia="en-GB"/>
        </w:rPr>
        <w:drawing>
          <wp:anchor distT="0" distB="0" distL="114300" distR="114300" simplePos="0" relativeHeight="251660288" behindDoc="0" locked="0" layoutInCell="1" allowOverlap="1" wp14:anchorId="0038893B" wp14:editId="13F5468C">
            <wp:simplePos x="0" y="0"/>
            <wp:positionH relativeFrom="column">
              <wp:posOffset>2212340</wp:posOffset>
            </wp:positionH>
            <wp:positionV relativeFrom="paragraph">
              <wp:posOffset>-706120</wp:posOffset>
            </wp:positionV>
            <wp:extent cx="1470933" cy="104949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3" cstate="print">
                      <a:extLst>
                        <a:ext uri="{28A0092B-C50C-407E-A947-70E740481C1C}">
                          <a14:useLocalDpi xmlns:a14="http://schemas.microsoft.com/office/drawing/2010/main" val="0"/>
                        </a:ext>
                      </a:extLst>
                    </a:blip>
                    <a:srcRect l="14749" t="12702" r="14749" b="18192"/>
                    <a:stretch/>
                  </pic:blipFill>
                  <pic:spPr bwMode="auto">
                    <a:xfrm>
                      <a:off x="0" y="0"/>
                      <a:ext cx="1470933" cy="1049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C26997" w14:textId="77777777" w:rsidR="00150DCC" w:rsidRDefault="00150DCC" w:rsidP="00B17CC8">
      <w:pPr>
        <w:pStyle w:val="Title"/>
      </w:pPr>
    </w:p>
    <w:p w14:paraId="616A7562" w14:textId="77777777" w:rsidR="00542521" w:rsidRDefault="00542521" w:rsidP="008A3610">
      <w:pPr>
        <w:pStyle w:val="Title"/>
        <w:jc w:val="right"/>
        <w:rPr>
          <w:sz w:val="40"/>
          <w:szCs w:val="40"/>
        </w:rPr>
      </w:pPr>
    </w:p>
    <w:p w14:paraId="27B1C315" w14:textId="77777777" w:rsidR="00542521" w:rsidRDefault="00542521" w:rsidP="008A3610">
      <w:pPr>
        <w:pStyle w:val="Title"/>
        <w:jc w:val="right"/>
        <w:rPr>
          <w:sz w:val="40"/>
          <w:szCs w:val="40"/>
        </w:rPr>
      </w:pPr>
    </w:p>
    <w:p w14:paraId="225FFE23" w14:textId="77777777" w:rsidR="00542521" w:rsidRDefault="00542521" w:rsidP="008A3610">
      <w:pPr>
        <w:pStyle w:val="Title"/>
        <w:jc w:val="right"/>
        <w:rPr>
          <w:sz w:val="40"/>
          <w:szCs w:val="40"/>
        </w:rPr>
      </w:pPr>
    </w:p>
    <w:p w14:paraId="532ED4CD" w14:textId="77777777" w:rsidR="00542521" w:rsidRDefault="00542521" w:rsidP="008A3610">
      <w:pPr>
        <w:pStyle w:val="Title"/>
        <w:jc w:val="right"/>
        <w:rPr>
          <w:sz w:val="40"/>
          <w:szCs w:val="40"/>
        </w:rPr>
      </w:pPr>
    </w:p>
    <w:p w14:paraId="2330D1CF" w14:textId="105F31C6" w:rsidR="001B6C13" w:rsidRPr="00F8373A" w:rsidRDefault="00150DCC" w:rsidP="004C5100">
      <w:pPr>
        <w:pStyle w:val="Title"/>
        <w:spacing w:line="276" w:lineRule="auto"/>
        <w:jc w:val="center"/>
        <w:rPr>
          <w:rFonts w:ascii="Calisto MT" w:hAnsi="Calisto MT"/>
          <w:sz w:val="72"/>
          <w:szCs w:val="72"/>
        </w:rPr>
      </w:pPr>
      <w:r w:rsidRPr="00F8373A">
        <w:rPr>
          <w:rFonts w:ascii="Calisto MT" w:hAnsi="Calisto MT"/>
          <w:sz w:val="72"/>
          <w:szCs w:val="72"/>
        </w:rPr>
        <w:t xml:space="preserve">FOOD </w:t>
      </w:r>
      <w:r w:rsidR="007C1180" w:rsidRPr="00F8373A">
        <w:rPr>
          <w:rFonts w:ascii="Calisto MT" w:hAnsi="Calisto MT"/>
          <w:sz w:val="72"/>
          <w:szCs w:val="72"/>
        </w:rPr>
        <w:t>SETTINGS</w:t>
      </w:r>
      <w:r w:rsidR="00D31227">
        <w:rPr>
          <w:rFonts w:ascii="Calisto MT" w:hAnsi="Calisto MT"/>
          <w:sz w:val="72"/>
          <w:szCs w:val="72"/>
        </w:rPr>
        <w:t xml:space="preserve"> and the</w:t>
      </w:r>
      <w:r w:rsidR="00F03D19" w:rsidRPr="00F8373A">
        <w:rPr>
          <w:rFonts w:ascii="Calisto MT" w:hAnsi="Calisto MT"/>
          <w:sz w:val="72"/>
          <w:szCs w:val="72"/>
        </w:rPr>
        <w:t xml:space="preserve"> </w:t>
      </w:r>
      <w:r w:rsidRPr="00F8373A">
        <w:rPr>
          <w:rFonts w:ascii="Calisto MT" w:hAnsi="Calisto MT"/>
          <w:sz w:val="72"/>
          <w:szCs w:val="72"/>
        </w:rPr>
        <w:t xml:space="preserve">HEALTH AND WELLBEING OF OLDER </w:t>
      </w:r>
      <w:r w:rsidR="00602649" w:rsidRPr="00F8373A">
        <w:rPr>
          <w:rFonts w:ascii="Calisto MT" w:hAnsi="Calisto MT"/>
          <w:sz w:val="72"/>
          <w:szCs w:val="72"/>
        </w:rPr>
        <w:t>PEOPLE</w:t>
      </w:r>
    </w:p>
    <w:p w14:paraId="0AF5FFC9" w14:textId="363ED2FC" w:rsidR="00A405E0" w:rsidRPr="00F8373A" w:rsidRDefault="00150DCC" w:rsidP="004C5100">
      <w:pPr>
        <w:pStyle w:val="Title"/>
        <w:spacing w:line="276" w:lineRule="auto"/>
        <w:jc w:val="center"/>
        <w:rPr>
          <w:rFonts w:ascii="Calisto MT" w:hAnsi="Calisto MT"/>
          <w:sz w:val="44"/>
          <w:szCs w:val="44"/>
        </w:rPr>
      </w:pPr>
      <w:r w:rsidRPr="00F8373A">
        <w:rPr>
          <w:rFonts w:ascii="Calisto MT" w:hAnsi="Calisto MT"/>
          <w:sz w:val="44"/>
          <w:szCs w:val="44"/>
        </w:rPr>
        <w:t xml:space="preserve">AN ANNOTATED BIBLIOGRAPHY AND SUMMARY OF </w:t>
      </w:r>
      <w:r w:rsidR="00C74CC8" w:rsidRPr="00F8373A">
        <w:rPr>
          <w:rFonts w:ascii="Calisto MT" w:hAnsi="Calisto MT"/>
          <w:sz w:val="44"/>
          <w:szCs w:val="44"/>
        </w:rPr>
        <w:t>THE LITERATURE</w:t>
      </w:r>
    </w:p>
    <w:p w14:paraId="77A14C5D" w14:textId="77777777" w:rsidR="008A3610" w:rsidRPr="00F8373A" w:rsidRDefault="008A3610" w:rsidP="005C62CA">
      <w:pPr>
        <w:rPr>
          <w:rFonts w:ascii="Calisto MT" w:hAnsi="Calisto MT"/>
          <w:b/>
        </w:rPr>
      </w:pPr>
    </w:p>
    <w:p w14:paraId="505161E4" w14:textId="77777777" w:rsidR="00542521" w:rsidRPr="00F8373A" w:rsidRDefault="00542521" w:rsidP="000D70CC">
      <w:pPr>
        <w:rPr>
          <w:rFonts w:ascii="Calisto MT" w:hAnsi="Calisto MT"/>
        </w:rPr>
      </w:pPr>
    </w:p>
    <w:p w14:paraId="706BEF66" w14:textId="3F468352" w:rsidR="00542521" w:rsidRPr="00F8373A" w:rsidRDefault="008130A1" w:rsidP="00542521">
      <w:pPr>
        <w:jc w:val="center"/>
        <w:rPr>
          <w:rFonts w:ascii="Calisto MT" w:hAnsi="Calisto MT"/>
          <w:b/>
          <w:color w:val="0070C0"/>
          <w:sz w:val="44"/>
          <w:szCs w:val="44"/>
        </w:rPr>
      </w:pPr>
      <w:r>
        <w:rPr>
          <w:rFonts w:ascii="Calisto MT" w:hAnsi="Calisto MT"/>
          <w:b/>
          <w:color w:val="0070C0"/>
          <w:sz w:val="44"/>
          <w:szCs w:val="44"/>
        </w:rPr>
        <w:t>Sanda</w:t>
      </w:r>
      <w:r w:rsidR="005229DA">
        <w:rPr>
          <w:rFonts w:ascii="Calisto MT" w:hAnsi="Calisto MT"/>
          <w:b/>
          <w:color w:val="0070C0"/>
          <w:sz w:val="44"/>
          <w:szCs w:val="44"/>
        </w:rPr>
        <w:t xml:space="preserve"> Umar</w:t>
      </w:r>
      <w:r>
        <w:rPr>
          <w:rFonts w:ascii="Calisto MT" w:hAnsi="Calisto MT"/>
          <w:b/>
          <w:color w:val="0070C0"/>
          <w:sz w:val="44"/>
          <w:szCs w:val="44"/>
        </w:rPr>
        <w:t xml:space="preserve"> </w:t>
      </w:r>
      <w:r w:rsidR="00542521" w:rsidRPr="00F8373A">
        <w:rPr>
          <w:rFonts w:ascii="Calisto MT" w:hAnsi="Calisto MT"/>
          <w:b/>
          <w:color w:val="0070C0"/>
          <w:sz w:val="44"/>
          <w:szCs w:val="44"/>
        </w:rPr>
        <w:t>Ismail</w:t>
      </w:r>
    </w:p>
    <w:p w14:paraId="45C5B6FC" w14:textId="66581C3D" w:rsidR="00542521" w:rsidRPr="00F8373A" w:rsidRDefault="00542521" w:rsidP="00542521">
      <w:pPr>
        <w:jc w:val="center"/>
        <w:rPr>
          <w:rFonts w:ascii="Calisto MT" w:hAnsi="Calisto MT"/>
          <w:b/>
          <w:color w:val="0070C0"/>
          <w:sz w:val="44"/>
          <w:szCs w:val="44"/>
        </w:rPr>
      </w:pPr>
      <w:r w:rsidRPr="00F8373A">
        <w:rPr>
          <w:rFonts w:ascii="Calisto MT" w:hAnsi="Calisto MT"/>
          <w:b/>
          <w:color w:val="0070C0"/>
          <w:sz w:val="44"/>
          <w:szCs w:val="44"/>
        </w:rPr>
        <w:t>Mat Jones</w:t>
      </w:r>
    </w:p>
    <w:p w14:paraId="5D402FC5" w14:textId="77777777" w:rsidR="004C5100" w:rsidRPr="00F8373A" w:rsidRDefault="004C5100" w:rsidP="00542521">
      <w:pPr>
        <w:jc w:val="center"/>
        <w:rPr>
          <w:rFonts w:ascii="Calisto MT" w:hAnsi="Calisto MT"/>
          <w:b/>
          <w:color w:val="0070C0"/>
          <w:sz w:val="44"/>
          <w:szCs w:val="44"/>
        </w:rPr>
      </w:pPr>
    </w:p>
    <w:p w14:paraId="38F29931" w14:textId="29B2D379" w:rsidR="004C5100" w:rsidRPr="00F8373A" w:rsidRDefault="004C5100" w:rsidP="00542521">
      <w:pPr>
        <w:jc w:val="center"/>
        <w:rPr>
          <w:rFonts w:ascii="Calisto MT" w:hAnsi="Calisto MT"/>
          <w:b/>
          <w:color w:val="0070C0"/>
          <w:szCs w:val="28"/>
        </w:rPr>
      </w:pPr>
      <w:r w:rsidRPr="00F8373A">
        <w:rPr>
          <w:rFonts w:ascii="Calisto MT" w:hAnsi="Calisto MT"/>
          <w:b/>
          <w:color w:val="0070C0"/>
          <w:szCs w:val="28"/>
        </w:rPr>
        <w:t>November 2017</w:t>
      </w:r>
    </w:p>
    <w:p w14:paraId="2E897E37" w14:textId="12A8B55B" w:rsidR="00542521" w:rsidRPr="00542521" w:rsidRDefault="00542521" w:rsidP="00542521">
      <w:pPr>
        <w:jc w:val="center"/>
        <w:rPr>
          <w:b/>
          <w:color w:val="0070C0"/>
          <w:sz w:val="44"/>
          <w:szCs w:val="44"/>
        </w:rPr>
      </w:pPr>
    </w:p>
    <w:p w14:paraId="45612354" w14:textId="77777777" w:rsidR="00542521" w:rsidRDefault="00542521" w:rsidP="000D70CC"/>
    <w:p w14:paraId="7165009F" w14:textId="77777777" w:rsidR="00542521" w:rsidRDefault="00542521" w:rsidP="000D70CC"/>
    <w:p w14:paraId="3E4DE314" w14:textId="01B7AFEE" w:rsidR="004C5100" w:rsidRPr="00F8373A" w:rsidRDefault="004C5100" w:rsidP="00F8373A">
      <w:pPr>
        <w:rPr>
          <w:b/>
        </w:rPr>
      </w:pPr>
      <w:r w:rsidRPr="00F8373A">
        <w:rPr>
          <w:b/>
        </w:rPr>
        <w:lastRenderedPageBreak/>
        <w:t>Authors</w:t>
      </w:r>
    </w:p>
    <w:p w14:paraId="06E1BA79" w14:textId="39BA61FC" w:rsidR="00542521" w:rsidRDefault="00542521" w:rsidP="00542521">
      <w:pPr>
        <w:spacing w:after="0"/>
        <w:rPr>
          <w:sz w:val="26"/>
          <w:szCs w:val="26"/>
        </w:rPr>
      </w:pPr>
      <w:r w:rsidRPr="00B61AAF">
        <w:rPr>
          <w:sz w:val="26"/>
          <w:szCs w:val="26"/>
        </w:rPr>
        <w:t>Dr Sanda Umar Ismail, Research Fellow Public Health, University of the West of England, Bristol Centre for Public Health and Wellbeing, Faculty of Health and Applied Sciences</w:t>
      </w:r>
      <w:r>
        <w:rPr>
          <w:sz w:val="26"/>
          <w:szCs w:val="26"/>
        </w:rPr>
        <w:t xml:space="preserve">, </w:t>
      </w:r>
    </w:p>
    <w:p w14:paraId="48D5FB4C" w14:textId="1785E653" w:rsidR="00542521" w:rsidRDefault="00542521" w:rsidP="00542521">
      <w:pPr>
        <w:spacing w:after="0"/>
      </w:pPr>
      <w:r>
        <w:rPr>
          <w:sz w:val="26"/>
          <w:szCs w:val="26"/>
        </w:rPr>
        <w:t>e</w:t>
      </w:r>
      <w:r w:rsidRPr="00B61AAF">
        <w:rPr>
          <w:sz w:val="26"/>
          <w:szCs w:val="26"/>
        </w:rPr>
        <w:t xml:space="preserve">mail: </w:t>
      </w:r>
      <w:hyperlink r:id="rId14" w:history="1">
        <w:r w:rsidRPr="00B61AAF">
          <w:rPr>
            <w:rStyle w:val="Hyperlink"/>
            <w:sz w:val="26"/>
            <w:szCs w:val="26"/>
          </w:rPr>
          <w:t>Sanda.Ismail@uwe.ac.uk</w:t>
        </w:r>
      </w:hyperlink>
    </w:p>
    <w:p w14:paraId="1B779A57" w14:textId="2A42855C" w:rsidR="00542521" w:rsidRDefault="00542521" w:rsidP="00542521">
      <w:pPr>
        <w:spacing w:after="0"/>
      </w:pPr>
    </w:p>
    <w:p w14:paraId="728308CD" w14:textId="77777777" w:rsidR="00542521" w:rsidRDefault="00542521" w:rsidP="00542521">
      <w:pPr>
        <w:spacing w:after="0"/>
        <w:rPr>
          <w:sz w:val="26"/>
          <w:szCs w:val="26"/>
        </w:rPr>
      </w:pPr>
      <w:r>
        <w:rPr>
          <w:sz w:val="26"/>
          <w:szCs w:val="26"/>
          <w:lang w:val="en-GB"/>
        </w:rPr>
        <w:t>Mat</w:t>
      </w:r>
      <w:r w:rsidRPr="00B61AAF">
        <w:rPr>
          <w:sz w:val="26"/>
          <w:szCs w:val="26"/>
          <w:lang w:val="en-GB"/>
        </w:rPr>
        <w:t xml:space="preserve"> Jones, Associate Professor of Public Health, </w:t>
      </w:r>
      <w:r w:rsidRPr="00B61AAF">
        <w:rPr>
          <w:sz w:val="26"/>
          <w:szCs w:val="26"/>
        </w:rPr>
        <w:t>University of the West of England, Bristol Centre for Public Health and Wellbeing, Faculty of Health and Applied Sciences</w:t>
      </w:r>
      <w:r>
        <w:rPr>
          <w:sz w:val="26"/>
          <w:szCs w:val="26"/>
        </w:rPr>
        <w:t xml:space="preserve">, </w:t>
      </w:r>
    </w:p>
    <w:p w14:paraId="5502DDDB" w14:textId="7A71958C" w:rsidR="00542521" w:rsidRDefault="00542521" w:rsidP="00542521">
      <w:pPr>
        <w:spacing w:after="0"/>
      </w:pPr>
      <w:r>
        <w:rPr>
          <w:sz w:val="26"/>
          <w:szCs w:val="26"/>
        </w:rPr>
        <w:t>e</w:t>
      </w:r>
      <w:r w:rsidRPr="00B61AAF">
        <w:rPr>
          <w:sz w:val="26"/>
          <w:szCs w:val="26"/>
        </w:rPr>
        <w:t xml:space="preserve">mail: </w:t>
      </w:r>
      <w:hyperlink r:id="rId15" w:history="1">
        <w:r w:rsidRPr="00B61AAF">
          <w:rPr>
            <w:rStyle w:val="Hyperlink"/>
            <w:sz w:val="26"/>
            <w:szCs w:val="26"/>
          </w:rPr>
          <w:t>Matthew.Jones@uwe.ac.uk</w:t>
        </w:r>
      </w:hyperlink>
    </w:p>
    <w:p w14:paraId="1B972172" w14:textId="77777777" w:rsidR="00542521" w:rsidRDefault="00542521" w:rsidP="00542521">
      <w:pPr>
        <w:spacing w:after="0"/>
      </w:pPr>
    </w:p>
    <w:p w14:paraId="57484E65" w14:textId="77777777" w:rsidR="00542521" w:rsidRDefault="00542521" w:rsidP="00542521">
      <w:pPr>
        <w:spacing w:after="0"/>
      </w:pPr>
    </w:p>
    <w:p w14:paraId="3D921CD6" w14:textId="77777777" w:rsidR="00542521" w:rsidRDefault="00542521" w:rsidP="00542521">
      <w:pPr>
        <w:rPr>
          <w:b/>
        </w:rPr>
      </w:pPr>
      <w:r>
        <w:rPr>
          <w:b/>
        </w:rPr>
        <w:t>Acknowledgements</w:t>
      </w:r>
    </w:p>
    <w:p w14:paraId="0FED0AC1" w14:textId="260582AC" w:rsidR="00542521" w:rsidRPr="00037954" w:rsidRDefault="00542521" w:rsidP="00542521">
      <w:pPr>
        <w:rPr>
          <w:szCs w:val="28"/>
        </w:rPr>
      </w:pPr>
      <w:r w:rsidRPr="00037954">
        <w:rPr>
          <w:szCs w:val="28"/>
        </w:rPr>
        <w:t>We would like to thank Amanda Donnelly</w:t>
      </w:r>
      <w:r w:rsidR="001170D2" w:rsidRPr="00037954">
        <w:rPr>
          <w:szCs w:val="28"/>
        </w:rPr>
        <w:t xml:space="preserve"> and</w:t>
      </w:r>
      <w:r w:rsidR="004C5100" w:rsidRPr="00037954">
        <w:rPr>
          <w:szCs w:val="28"/>
        </w:rPr>
        <w:t xml:space="preserve"> Genevieve Cox</w:t>
      </w:r>
      <w:r w:rsidRPr="00037954">
        <w:rPr>
          <w:szCs w:val="28"/>
        </w:rPr>
        <w:t xml:space="preserve">, both at </w:t>
      </w:r>
      <w:r w:rsidR="00835471" w:rsidRPr="00037954">
        <w:rPr>
          <w:szCs w:val="28"/>
        </w:rPr>
        <w:t xml:space="preserve">the </w:t>
      </w:r>
      <w:r w:rsidRPr="00037954">
        <w:rPr>
          <w:szCs w:val="28"/>
        </w:rPr>
        <w:t xml:space="preserve">Soil Association Food for Life, </w:t>
      </w:r>
      <w:r w:rsidR="00835471" w:rsidRPr="00037954">
        <w:rPr>
          <w:szCs w:val="28"/>
        </w:rPr>
        <w:t xml:space="preserve">for </w:t>
      </w:r>
      <w:r w:rsidRPr="00037954">
        <w:rPr>
          <w:szCs w:val="28"/>
        </w:rPr>
        <w:t>their a</w:t>
      </w:r>
      <w:r w:rsidR="00F81B96" w:rsidRPr="00037954">
        <w:rPr>
          <w:szCs w:val="28"/>
        </w:rPr>
        <w:t xml:space="preserve">dvice </w:t>
      </w:r>
      <w:r w:rsidRPr="00037954">
        <w:rPr>
          <w:szCs w:val="28"/>
        </w:rPr>
        <w:t xml:space="preserve">in </w:t>
      </w:r>
      <w:r w:rsidR="004C5100" w:rsidRPr="00037954">
        <w:rPr>
          <w:szCs w:val="28"/>
        </w:rPr>
        <w:t>scoping this work</w:t>
      </w:r>
      <w:r w:rsidRPr="00037954">
        <w:rPr>
          <w:szCs w:val="28"/>
        </w:rPr>
        <w:t>. Special thanks also goes to the Soil Association for supporting this work as part of the wider evaluation of the Food for Life Better Care programme</w:t>
      </w:r>
      <w:r w:rsidR="00835471" w:rsidRPr="00037954">
        <w:rPr>
          <w:szCs w:val="28"/>
        </w:rPr>
        <w:t>.</w:t>
      </w:r>
    </w:p>
    <w:p w14:paraId="7EE55B6C" w14:textId="03DDEB90" w:rsidR="00F81B96" w:rsidRPr="00037954" w:rsidRDefault="004C5100" w:rsidP="004C5100">
      <w:pPr>
        <w:rPr>
          <w:szCs w:val="28"/>
        </w:rPr>
      </w:pPr>
      <w:r w:rsidRPr="00037954">
        <w:rPr>
          <w:szCs w:val="28"/>
        </w:rPr>
        <w:t xml:space="preserve">For further details about the Food for Life Better Care programme see </w:t>
      </w:r>
      <w:hyperlink r:id="rId16" w:history="1">
        <w:r w:rsidRPr="00037954">
          <w:rPr>
            <w:rStyle w:val="Hyperlink"/>
            <w:szCs w:val="28"/>
          </w:rPr>
          <w:t>www.foodforlife.org.uk</w:t>
        </w:r>
      </w:hyperlink>
      <w:r w:rsidRPr="00037954">
        <w:rPr>
          <w:rStyle w:val="Hyperlink"/>
          <w:szCs w:val="28"/>
        </w:rPr>
        <w:t xml:space="preserve"> </w:t>
      </w:r>
      <w:r w:rsidRPr="00037954">
        <w:rPr>
          <w:szCs w:val="28"/>
        </w:rPr>
        <w:t xml:space="preserve">or contact </w:t>
      </w:r>
      <w:r w:rsidR="00F81B96" w:rsidRPr="00037954">
        <w:rPr>
          <w:szCs w:val="28"/>
        </w:rPr>
        <w:t>Amanda Donnelly, Research and Partnerships Manager,</w:t>
      </w:r>
      <w:r w:rsidRPr="00037954">
        <w:rPr>
          <w:szCs w:val="28"/>
        </w:rPr>
        <w:t xml:space="preserve"> </w:t>
      </w:r>
      <w:hyperlink r:id="rId17" w:history="1">
        <w:r w:rsidRPr="00037954">
          <w:rPr>
            <w:rStyle w:val="Hyperlink"/>
            <w:szCs w:val="28"/>
          </w:rPr>
          <w:t>ADonnelly@soilassociation.org</w:t>
        </w:r>
      </w:hyperlink>
    </w:p>
    <w:p w14:paraId="66FB935C" w14:textId="77777777" w:rsidR="00F81B96" w:rsidRDefault="00F81B96" w:rsidP="00542521"/>
    <w:p w14:paraId="68F10C09" w14:textId="7C17FD57" w:rsidR="00542521" w:rsidRDefault="00542521" w:rsidP="00542521">
      <w:pPr>
        <w:spacing w:after="0"/>
        <w:rPr>
          <w:b/>
        </w:rPr>
      </w:pPr>
      <w:r w:rsidRPr="00542521">
        <w:rPr>
          <w:b/>
        </w:rPr>
        <w:t>Citation for this paper</w:t>
      </w:r>
    </w:p>
    <w:p w14:paraId="0AB530E0" w14:textId="77777777" w:rsidR="00542521" w:rsidRPr="00542521" w:rsidRDefault="00542521" w:rsidP="00542521">
      <w:pPr>
        <w:spacing w:after="0"/>
        <w:rPr>
          <w:b/>
        </w:rPr>
      </w:pPr>
    </w:p>
    <w:p w14:paraId="02679D20" w14:textId="2FA12BFD" w:rsidR="00542521" w:rsidRDefault="00542521" w:rsidP="00542521">
      <w:r w:rsidRPr="00727961">
        <w:t>Ismail, U. S</w:t>
      </w:r>
      <w:r>
        <w:t>.</w:t>
      </w:r>
      <w:r w:rsidRPr="00727961">
        <w:t xml:space="preserve"> &amp; Jones, M. (2017) </w:t>
      </w:r>
      <w:r w:rsidRPr="00727961">
        <w:rPr>
          <w:i/>
        </w:rPr>
        <w:t>Food Settings and the Health and Wellbeing of older people: an annotated bibliography and summary of the literature.</w:t>
      </w:r>
      <w:r w:rsidRPr="00727961">
        <w:t xml:space="preserve"> Bristol: University of the West of England</w:t>
      </w:r>
    </w:p>
    <w:p w14:paraId="55214A06" w14:textId="77777777" w:rsidR="004C5100" w:rsidRDefault="004C5100" w:rsidP="00542521"/>
    <w:p w14:paraId="5C037EA9" w14:textId="77777777" w:rsidR="00542521" w:rsidRDefault="00542521" w:rsidP="00542521">
      <w:r>
        <w:t xml:space="preserve">ISBN: </w:t>
      </w:r>
      <w:r w:rsidRPr="00727961">
        <w:t>9781860435386</w:t>
      </w:r>
      <w:r>
        <w:t xml:space="preserve"> </w:t>
      </w:r>
    </w:p>
    <w:p w14:paraId="18BD60ED" w14:textId="1A3F3805" w:rsidR="00AA6A60" w:rsidRDefault="00AA6A60" w:rsidP="000D70CC"/>
    <w:p w14:paraId="0654E9DE" w14:textId="77777777" w:rsidR="00542521" w:rsidRDefault="00542521" w:rsidP="000D70CC"/>
    <w:p w14:paraId="3BCE6E05" w14:textId="68B243BA" w:rsidR="000D70CC" w:rsidRDefault="000D70CC" w:rsidP="000D70CC">
      <w:r>
        <w:t xml:space="preserve"> </w:t>
      </w:r>
    </w:p>
    <w:p w14:paraId="19DD2FF5" w14:textId="11E024D7" w:rsidR="004C5100" w:rsidRDefault="004C5100" w:rsidP="000D70CC"/>
    <w:p w14:paraId="5EF1FA2F" w14:textId="6A8AE3BA" w:rsidR="004C5100" w:rsidRDefault="004C5100" w:rsidP="000D70CC"/>
    <w:p w14:paraId="6D4F4A8F" w14:textId="37D35CD0" w:rsidR="004C5100" w:rsidRDefault="004C5100" w:rsidP="000D70CC"/>
    <w:sdt>
      <w:sdtPr>
        <w:rPr>
          <w:rFonts w:eastAsiaTheme="minorEastAsia" w:cstheme="minorBidi"/>
          <w:b w:val="0"/>
          <w:bCs w:val="0"/>
          <w:smallCaps w:val="0"/>
          <w:color w:val="auto"/>
          <w:sz w:val="28"/>
          <w:szCs w:val="22"/>
        </w:rPr>
        <w:id w:val="-1729679755"/>
        <w:docPartObj>
          <w:docPartGallery w:val="Table of Contents"/>
          <w:docPartUnique/>
        </w:docPartObj>
      </w:sdtPr>
      <w:sdtEndPr>
        <w:rPr>
          <w:noProof/>
        </w:rPr>
      </w:sdtEndPr>
      <w:sdtContent>
        <w:p w14:paraId="6CF0FE5F" w14:textId="77777777" w:rsidR="004C5100" w:rsidRPr="00BE48EE" w:rsidRDefault="004C5100" w:rsidP="00C671CF">
          <w:pPr>
            <w:pStyle w:val="TOCHeading"/>
          </w:pPr>
          <w:r w:rsidRPr="00BE48EE">
            <w:t>Table of Contents</w:t>
          </w:r>
        </w:p>
        <w:p w14:paraId="6E0B2876" w14:textId="60BCDB03" w:rsidR="00B42A63" w:rsidRDefault="004C5100">
          <w:pPr>
            <w:pStyle w:val="TOC1"/>
            <w:tabs>
              <w:tab w:val="right" w:leader="dot" w:pos="9350"/>
            </w:tabs>
            <w:rPr>
              <w:rFonts w:asciiTheme="minorHAnsi" w:hAnsiTheme="minorHAnsi"/>
              <w:noProof/>
              <w:sz w:val="22"/>
              <w:lang w:val="en-GB" w:eastAsia="en-GB"/>
            </w:rPr>
          </w:pPr>
          <w:r>
            <w:fldChar w:fldCharType="begin"/>
          </w:r>
          <w:r>
            <w:instrText xml:space="preserve"> TOC \o "1-3" \h \z \u </w:instrText>
          </w:r>
          <w:r>
            <w:fldChar w:fldCharType="separate"/>
          </w:r>
          <w:hyperlink w:anchor="_Toc499814915" w:history="1">
            <w:r w:rsidR="00B42A63" w:rsidRPr="0080417F">
              <w:rPr>
                <w:rStyle w:val="Hyperlink"/>
                <w:noProof/>
              </w:rPr>
              <w:t>INTRODUCTION</w:t>
            </w:r>
            <w:r w:rsidR="00B42A63">
              <w:rPr>
                <w:noProof/>
                <w:webHidden/>
              </w:rPr>
              <w:tab/>
            </w:r>
            <w:r w:rsidR="00B42A63">
              <w:rPr>
                <w:noProof/>
                <w:webHidden/>
              </w:rPr>
              <w:fldChar w:fldCharType="begin"/>
            </w:r>
            <w:r w:rsidR="00B42A63">
              <w:rPr>
                <w:noProof/>
                <w:webHidden/>
              </w:rPr>
              <w:instrText xml:space="preserve"> PAGEREF _Toc499814915 \h </w:instrText>
            </w:r>
            <w:r w:rsidR="00B42A63">
              <w:rPr>
                <w:noProof/>
                <w:webHidden/>
              </w:rPr>
            </w:r>
            <w:r w:rsidR="00B42A63">
              <w:rPr>
                <w:noProof/>
                <w:webHidden/>
              </w:rPr>
              <w:fldChar w:fldCharType="separate"/>
            </w:r>
            <w:r w:rsidR="00514EE1">
              <w:rPr>
                <w:noProof/>
                <w:webHidden/>
              </w:rPr>
              <w:t>4</w:t>
            </w:r>
            <w:r w:rsidR="00B42A63">
              <w:rPr>
                <w:noProof/>
                <w:webHidden/>
              </w:rPr>
              <w:fldChar w:fldCharType="end"/>
            </w:r>
          </w:hyperlink>
        </w:p>
        <w:p w14:paraId="3D1C1BF2" w14:textId="168828FC" w:rsidR="00B42A63" w:rsidRDefault="000A217D">
          <w:pPr>
            <w:pStyle w:val="TOC1"/>
            <w:tabs>
              <w:tab w:val="right" w:leader="dot" w:pos="9350"/>
            </w:tabs>
            <w:rPr>
              <w:rFonts w:asciiTheme="minorHAnsi" w:hAnsiTheme="minorHAnsi"/>
              <w:noProof/>
              <w:sz w:val="22"/>
              <w:lang w:val="en-GB" w:eastAsia="en-GB"/>
            </w:rPr>
          </w:pPr>
          <w:hyperlink w:anchor="_Toc499814916" w:history="1">
            <w:r w:rsidR="00B42A63" w:rsidRPr="0080417F">
              <w:rPr>
                <w:rStyle w:val="Hyperlink"/>
                <w:noProof/>
              </w:rPr>
              <w:t>Methods</w:t>
            </w:r>
            <w:r w:rsidR="00B42A63">
              <w:rPr>
                <w:noProof/>
                <w:webHidden/>
              </w:rPr>
              <w:tab/>
            </w:r>
            <w:r w:rsidR="00B42A63">
              <w:rPr>
                <w:noProof/>
                <w:webHidden/>
              </w:rPr>
              <w:fldChar w:fldCharType="begin"/>
            </w:r>
            <w:r w:rsidR="00B42A63">
              <w:rPr>
                <w:noProof/>
                <w:webHidden/>
              </w:rPr>
              <w:instrText xml:space="preserve"> PAGEREF _Toc499814916 \h </w:instrText>
            </w:r>
            <w:r w:rsidR="00B42A63">
              <w:rPr>
                <w:noProof/>
                <w:webHidden/>
              </w:rPr>
            </w:r>
            <w:r w:rsidR="00B42A63">
              <w:rPr>
                <w:noProof/>
                <w:webHidden/>
              </w:rPr>
              <w:fldChar w:fldCharType="separate"/>
            </w:r>
            <w:r w:rsidR="00514EE1">
              <w:rPr>
                <w:noProof/>
                <w:webHidden/>
              </w:rPr>
              <w:t>5</w:t>
            </w:r>
            <w:r w:rsidR="00B42A63">
              <w:rPr>
                <w:noProof/>
                <w:webHidden/>
              </w:rPr>
              <w:fldChar w:fldCharType="end"/>
            </w:r>
          </w:hyperlink>
        </w:p>
        <w:p w14:paraId="7A68EE19" w14:textId="072C09FD" w:rsidR="00B42A63" w:rsidRDefault="000A217D">
          <w:pPr>
            <w:pStyle w:val="TOC1"/>
            <w:tabs>
              <w:tab w:val="right" w:leader="dot" w:pos="9350"/>
            </w:tabs>
            <w:rPr>
              <w:rFonts w:asciiTheme="minorHAnsi" w:hAnsiTheme="minorHAnsi"/>
              <w:noProof/>
              <w:sz w:val="22"/>
              <w:lang w:val="en-GB" w:eastAsia="en-GB"/>
            </w:rPr>
          </w:pPr>
          <w:hyperlink w:anchor="_Toc499814917" w:history="1">
            <w:r w:rsidR="00B42A63" w:rsidRPr="0080417F">
              <w:rPr>
                <w:rStyle w:val="Hyperlink"/>
                <w:noProof/>
              </w:rPr>
              <w:t>Key for type of literature</w:t>
            </w:r>
            <w:r w:rsidR="00B42A63">
              <w:rPr>
                <w:noProof/>
                <w:webHidden/>
              </w:rPr>
              <w:tab/>
            </w:r>
            <w:r w:rsidR="00B42A63">
              <w:rPr>
                <w:noProof/>
                <w:webHidden/>
              </w:rPr>
              <w:fldChar w:fldCharType="begin"/>
            </w:r>
            <w:r w:rsidR="00B42A63">
              <w:rPr>
                <w:noProof/>
                <w:webHidden/>
              </w:rPr>
              <w:instrText xml:space="preserve"> PAGEREF _Toc499814917 \h </w:instrText>
            </w:r>
            <w:r w:rsidR="00B42A63">
              <w:rPr>
                <w:noProof/>
                <w:webHidden/>
              </w:rPr>
            </w:r>
            <w:r w:rsidR="00B42A63">
              <w:rPr>
                <w:noProof/>
                <w:webHidden/>
              </w:rPr>
              <w:fldChar w:fldCharType="separate"/>
            </w:r>
            <w:r w:rsidR="00514EE1">
              <w:rPr>
                <w:noProof/>
                <w:webHidden/>
              </w:rPr>
              <w:t>6</w:t>
            </w:r>
            <w:r w:rsidR="00B42A63">
              <w:rPr>
                <w:noProof/>
                <w:webHidden/>
              </w:rPr>
              <w:fldChar w:fldCharType="end"/>
            </w:r>
          </w:hyperlink>
        </w:p>
        <w:p w14:paraId="26833776" w14:textId="58784A7E" w:rsidR="00B42A63" w:rsidRDefault="000A217D">
          <w:pPr>
            <w:pStyle w:val="TOC1"/>
            <w:tabs>
              <w:tab w:val="right" w:leader="dot" w:pos="9350"/>
            </w:tabs>
            <w:rPr>
              <w:rFonts w:asciiTheme="minorHAnsi" w:hAnsiTheme="minorHAnsi"/>
              <w:noProof/>
              <w:sz w:val="22"/>
              <w:lang w:val="en-GB" w:eastAsia="en-GB"/>
            </w:rPr>
          </w:pPr>
          <w:hyperlink w:anchor="_Toc499814918" w:history="1">
            <w:r w:rsidR="00B42A63" w:rsidRPr="0080417F">
              <w:rPr>
                <w:rStyle w:val="Hyperlink"/>
                <w:noProof/>
              </w:rPr>
              <w:t>Theoretical framework</w:t>
            </w:r>
            <w:r w:rsidR="00B42A63">
              <w:rPr>
                <w:noProof/>
                <w:webHidden/>
              </w:rPr>
              <w:tab/>
            </w:r>
            <w:r w:rsidR="00B42A63">
              <w:rPr>
                <w:noProof/>
                <w:webHidden/>
              </w:rPr>
              <w:fldChar w:fldCharType="begin"/>
            </w:r>
            <w:r w:rsidR="00B42A63">
              <w:rPr>
                <w:noProof/>
                <w:webHidden/>
              </w:rPr>
              <w:instrText xml:space="preserve"> PAGEREF _Toc499814918 \h </w:instrText>
            </w:r>
            <w:r w:rsidR="00B42A63">
              <w:rPr>
                <w:noProof/>
                <w:webHidden/>
              </w:rPr>
            </w:r>
            <w:r w:rsidR="00B42A63">
              <w:rPr>
                <w:noProof/>
                <w:webHidden/>
              </w:rPr>
              <w:fldChar w:fldCharType="separate"/>
            </w:r>
            <w:r w:rsidR="00514EE1">
              <w:rPr>
                <w:noProof/>
                <w:webHidden/>
              </w:rPr>
              <w:t>6</w:t>
            </w:r>
            <w:r w:rsidR="00B42A63">
              <w:rPr>
                <w:noProof/>
                <w:webHidden/>
              </w:rPr>
              <w:fldChar w:fldCharType="end"/>
            </w:r>
          </w:hyperlink>
        </w:p>
        <w:p w14:paraId="12F35F72" w14:textId="2AD9CFA9" w:rsidR="00B42A63" w:rsidRDefault="000A217D">
          <w:pPr>
            <w:pStyle w:val="TOC1"/>
            <w:tabs>
              <w:tab w:val="right" w:leader="dot" w:pos="9350"/>
            </w:tabs>
            <w:rPr>
              <w:rFonts w:asciiTheme="minorHAnsi" w:hAnsiTheme="minorHAnsi"/>
              <w:noProof/>
              <w:sz w:val="22"/>
              <w:lang w:val="en-GB" w:eastAsia="en-GB"/>
            </w:rPr>
          </w:pPr>
          <w:hyperlink w:anchor="_Toc499814919" w:history="1">
            <w:r w:rsidR="00B42A63" w:rsidRPr="0080417F">
              <w:rPr>
                <w:rStyle w:val="Hyperlink"/>
                <w:noProof/>
              </w:rPr>
              <w:t>ANNOTATED BIBLIOGRAPHY</w:t>
            </w:r>
            <w:r w:rsidR="00B42A63">
              <w:rPr>
                <w:noProof/>
                <w:webHidden/>
              </w:rPr>
              <w:tab/>
            </w:r>
            <w:r w:rsidR="00B42A63">
              <w:rPr>
                <w:noProof/>
                <w:webHidden/>
              </w:rPr>
              <w:fldChar w:fldCharType="begin"/>
            </w:r>
            <w:r w:rsidR="00B42A63">
              <w:rPr>
                <w:noProof/>
                <w:webHidden/>
              </w:rPr>
              <w:instrText xml:space="preserve"> PAGEREF _Toc499814919 \h </w:instrText>
            </w:r>
            <w:r w:rsidR="00B42A63">
              <w:rPr>
                <w:noProof/>
                <w:webHidden/>
              </w:rPr>
            </w:r>
            <w:r w:rsidR="00B42A63">
              <w:rPr>
                <w:noProof/>
                <w:webHidden/>
              </w:rPr>
              <w:fldChar w:fldCharType="separate"/>
            </w:r>
            <w:r w:rsidR="00514EE1">
              <w:rPr>
                <w:noProof/>
                <w:webHidden/>
              </w:rPr>
              <w:t>9</w:t>
            </w:r>
            <w:r w:rsidR="00B42A63">
              <w:rPr>
                <w:noProof/>
                <w:webHidden/>
              </w:rPr>
              <w:fldChar w:fldCharType="end"/>
            </w:r>
          </w:hyperlink>
        </w:p>
        <w:p w14:paraId="1DA14706" w14:textId="031D3624" w:rsidR="00B42A63" w:rsidRDefault="000A217D">
          <w:pPr>
            <w:pStyle w:val="TOC1"/>
            <w:tabs>
              <w:tab w:val="right" w:leader="dot" w:pos="9350"/>
            </w:tabs>
            <w:rPr>
              <w:rFonts w:asciiTheme="minorHAnsi" w:hAnsiTheme="minorHAnsi"/>
              <w:noProof/>
              <w:sz w:val="22"/>
              <w:lang w:val="en-GB" w:eastAsia="en-GB"/>
            </w:rPr>
          </w:pPr>
          <w:hyperlink w:anchor="_Toc499814920" w:history="1">
            <w:r w:rsidR="00B42A63" w:rsidRPr="0080417F">
              <w:rPr>
                <w:rStyle w:val="Hyperlink"/>
                <w:noProof/>
              </w:rPr>
              <w:t>Diet-related ill heath in key settings</w:t>
            </w:r>
            <w:r w:rsidR="00B42A63">
              <w:rPr>
                <w:noProof/>
                <w:webHidden/>
              </w:rPr>
              <w:tab/>
            </w:r>
            <w:r w:rsidR="00B42A63">
              <w:rPr>
                <w:noProof/>
                <w:webHidden/>
              </w:rPr>
              <w:fldChar w:fldCharType="begin"/>
            </w:r>
            <w:r w:rsidR="00B42A63">
              <w:rPr>
                <w:noProof/>
                <w:webHidden/>
              </w:rPr>
              <w:instrText xml:space="preserve"> PAGEREF _Toc499814920 \h </w:instrText>
            </w:r>
            <w:r w:rsidR="00B42A63">
              <w:rPr>
                <w:noProof/>
                <w:webHidden/>
              </w:rPr>
            </w:r>
            <w:r w:rsidR="00B42A63">
              <w:rPr>
                <w:noProof/>
                <w:webHidden/>
              </w:rPr>
              <w:fldChar w:fldCharType="separate"/>
            </w:r>
            <w:r w:rsidR="00514EE1">
              <w:rPr>
                <w:noProof/>
                <w:webHidden/>
              </w:rPr>
              <w:t>9</w:t>
            </w:r>
            <w:r w:rsidR="00B42A63">
              <w:rPr>
                <w:noProof/>
                <w:webHidden/>
              </w:rPr>
              <w:fldChar w:fldCharType="end"/>
            </w:r>
          </w:hyperlink>
        </w:p>
        <w:p w14:paraId="4F2E63E8" w14:textId="6DB05BA4" w:rsidR="00B42A63" w:rsidRDefault="000A217D">
          <w:pPr>
            <w:pStyle w:val="TOC2"/>
            <w:tabs>
              <w:tab w:val="right" w:leader="dot" w:pos="9350"/>
            </w:tabs>
            <w:rPr>
              <w:rFonts w:asciiTheme="minorHAnsi" w:hAnsiTheme="minorHAnsi"/>
              <w:noProof/>
              <w:sz w:val="22"/>
              <w:lang w:val="en-GB" w:eastAsia="en-GB"/>
            </w:rPr>
          </w:pPr>
          <w:hyperlink w:anchor="_Toc499814921" w:history="1">
            <w:r w:rsidR="00B42A63" w:rsidRPr="0080417F">
              <w:rPr>
                <w:rStyle w:val="Hyperlink"/>
                <w:noProof/>
              </w:rPr>
              <w:t>Care home setting</w:t>
            </w:r>
            <w:r w:rsidR="00B42A63">
              <w:rPr>
                <w:noProof/>
                <w:webHidden/>
              </w:rPr>
              <w:tab/>
            </w:r>
            <w:r w:rsidR="00B42A63">
              <w:rPr>
                <w:noProof/>
                <w:webHidden/>
              </w:rPr>
              <w:fldChar w:fldCharType="begin"/>
            </w:r>
            <w:r w:rsidR="00B42A63">
              <w:rPr>
                <w:noProof/>
                <w:webHidden/>
              </w:rPr>
              <w:instrText xml:space="preserve"> PAGEREF _Toc499814921 \h </w:instrText>
            </w:r>
            <w:r w:rsidR="00B42A63">
              <w:rPr>
                <w:noProof/>
                <w:webHidden/>
              </w:rPr>
            </w:r>
            <w:r w:rsidR="00B42A63">
              <w:rPr>
                <w:noProof/>
                <w:webHidden/>
              </w:rPr>
              <w:fldChar w:fldCharType="separate"/>
            </w:r>
            <w:r w:rsidR="00514EE1">
              <w:rPr>
                <w:noProof/>
                <w:webHidden/>
              </w:rPr>
              <w:t>9</w:t>
            </w:r>
            <w:r w:rsidR="00B42A63">
              <w:rPr>
                <w:noProof/>
                <w:webHidden/>
              </w:rPr>
              <w:fldChar w:fldCharType="end"/>
            </w:r>
          </w:hyperlink>
        </w:p>
        <w:p w14:paraId="41BB93FF" w14:textId="427EFD8F" w:rsidR="00B42A63" w:rsidRDefault="000A217D">
          <w:pPr>
            <w:pStyle w:val="TOC3"/>
            <w:tabs>
              <w:tab w:val="right" w:leader="dot" w:pos="9350"/>
            </w:tabs>
            <w:rPr>
              <w:rFonts w:asciiTheme="minorHAnsi" w:hAnsiTheme="minorHAnsi"/>
              <w:noProof/>
              <w:sz w:val="22"/>
              <w:lang w:val="en-GB" w:eastAsia="en-GB"/>
            </w:rPr>
          </w:pPr>
          <w:hyperlink w:anchor="_Toc499814922" w:history="1">
            <w:r w:rsidR="00B42A63" w:rsidRPr="0080417F">
              <w:rPr>
                <w:rStyle w:val="Hyperlink"/>
                <w:noProof/>
              </w:rPr>
              <w:t>Summary</w:t>
            </w:r>
            <w:r w:rsidR="00B42A63">
              <w:rPr>
                <w:noProof/>
                <w:webHidden/>
              </w:rPr>
              <w:tab/>
            </w:r>
            <w:r w:rsidR="00B42A63">
              <w:rPr>
                <w:noProof/>
                <w:webHidden/>
              </w:rPr>
              <w:fldChar w:fldCharType="begin"/>
            </w:r>
            <w:r w:rsidR="00B42A63">
              <w:rPr>
                <w:noProof/>
                <w:webHidden/>
              </w:rPr>
              <w:instrText xml:space="preserve"> PAGEREF _Toc499814922 \h </w:instrText>
            </w:r>
            <w:r w:rsidR="00B42A63">
              <w:rPr>
                <w:noProof/>
                <w:webHidden/>
              </w:rPr>
            </w:r>
            <w:r w:rsidR="00B42A63">
              <w:rPr>
                <w:noProof/>
                <w:webHidden/>
              </w:rPr>
              <w:fldChar w:fldCharType="separate"/>
            </w:r>
            <w:r w:rsidR="00514EE1">
              <w:rPr>
                <w:noProof/>
                <w:webHidden/>
              </w:rPr>
              <w:t>14</w:t>
            </w:r>
            <w:r w:rsidR="00B42A63">
              <w:rPr>
                <w:noProof/>
                <w:webHidden/>
              </w:rPr>
              <w:fldChar w:fldCharType="end"/>
            </w:r>
          </w:hyperlink>
        </w:p>
        <w:p w14:paraId="542979DF" w14:textId="45B2320C" w:rsidR="00B42A63" w:rsidRDefault="000A217D">
          <w:pPr>
            <w:pStyle w:val="TOC2"/>
            <w:tabs>
              <w:tab w:val="right" w:leader="dot" w:pos="9350"/>
            </w:tabs>
            <w:rPr>
              <w:rFonts w:asciiTheme="minorHAnsi" w:hAnsiTheme="minorHAnsi"/>
              <w:noProof/>
              <w:sz w:val="22"/>
              <w:lang w:val="en-GB" w:eastAsia="en-GB"/>
            </w:rPr>
          </w:pPr>
          <w:hyperlink w:anchor="_Toc499814923" w:history="1">
            <w:r w:rsidR="00B42A63" w:rsidRPr="0080417F">
              <w:rPr>
                <w:rStyle w:val="Hyperlink"/>
                <w:noProof/>
              </w:rPr>
              <w:t>Hospital setting</w:t>
            </w:r>
            <w:r w:rsidR="00B42A63">
              <w:rPr>
                <w:noProof/>
                <w:webHidden/>
              </w:rPr>
              <w:tab/>
            </w:r>
            <w:r w:rsidR="00B42A63">
              <w:rPr>
                <w:noProof/>
                <w:webHidden/>
              </w:rPr>
              <w:fldChar w:fldCharType="begin"/>
            </w:r>
            <w:r w:rsidR="00B42A63">
              <w:rPr>
                <w:noProof/>
                <w:webHidden/>
              </w:rPr>
              <w:instrText xml:space="preserve"> PAGEREF _Toc499814923 \h </w:instrText>
            </w:r>
            <w:r w:rsidR="00B42A63">
              <w:rPr>
                <w:noProof/>
                <w:webHidden/>
              </w:rPr>
            </w:r>
            <w:r w:rsidR="00B42A63">
              <w:rPr>
                <w:noProof/>
                <w:webHidden/>
              </w:rPr>
              <w:fldChar w:fldCharType="separate"/>
            </w:r>
            <w:r w:rsidR="00514EE1">
              <w:rPr>
                <w:noProof/>
                <w:webHidden/>
              </w:rPr>
              <w:t>15</w:t>
            </w:r>
            <w:r w:rsidR="00B42A63">
              <w:rPr>
                <w:noProof/>
                <w:webHidden/>
              </w:rPr>
              <w:fldChar w:fldCharType="end"/>
            </w:r>
          </w:hyperlink>
        </w:p>
        <w:p w14:paraId="563550DA" w14:textId="328D5E50" w:rsidR="00B42A63" w:rsidRDefault="000A217D">
          <w:pPr>
            <w:pStyle w:val="TOC3"/>
            <w:tabs>
              <w:tab w:val="right" w:leader="dot" w:pos="9350"/>
            </w:tabs>
            <w:rPr>
              <w:rFonts w:asciiTheme="minorHAnsi" w:hAnsiTheme="minorHAnsi"/>
              <w:noProof/>
              <w:sz w:val="22"/>
              <w:lang w:val="en-GB" w:eastAsia="en-GB"/>
            </w:rPr>
          </w:pPr>
          <w:hyperlink w:anchor="_Toc499814924" w:history="1">
            <w:r w:rsidR="00B42A63" w:rsidRPr="0080417F">
              <w:rPr>
                <w:rStyle w:val="Hyperlink"/>
                <w:noProof/>
              </w:rPr>
              <w:t>Summary</w:t>
            </w:r>
            <w:r w:rsidR="00B42A63">
              <w:rPr>
                <w:noProof/>
                <w:webHidden/>
              </w:rPr>
              <w:tab/>
            </w:r>
            <w:r w:rsidR="00B42A63">
              <w:rPr>
                <w:noProof/>
                <w:webHidden/>
              </w:rPr>
              <w:fldChar w:fldCharType="begin"/>
            </w:r>
            <w:r w:rsidR="00B42A63">
              <w:rPr>
                <w:noProof/>
                <w:webHidden/>
              </w:rPr>
              <w:instrText xml:space="preserve"> PAGEREF _Toc499814924 \h </w:instrText>
            </w:r>
            <w:r w:rsidR="00B42A63">
              <w:rPr>
                <w:noProof/>
                <w:webHidden/>
              </w:rPr>
            </w:r>
            <w:r w:rsidR="00B42A63">
              <w:rPr>
                <w:noProof/>
                <w:webHidden/>
              </w:rPr>
              <w:fldChar w:fldCharType="separate"/>
            </w:r>
            <w:r w:rsidR="00514EE1">
              <w:rPr>
                <w:noProof/>
                <w:webHidden/>
              </w:rPr>
              <w:t>18</w:t>
            </w:r>
            <w:r w:rsidR="00B42A63">
              <w:rPr>
                <w:noProof/>
                <w:webHidden/>
              </w:rPr>
              <w:fldChar w:fldCharType="end"/>
            </w:r>
          </w:hyperlink>
        </w:p>
        <w:p w14:paraId="566BAA2A" w14:textId="511F40F7" w:rsidR="00B42A63" w:rsidRDefault="000A217D">
          <w:pPr>
            <w:pStyle w:val="TOC2"/>
            <w:tabs>
              <w:tab w:val="right" w:leader="dot" w:pos="9350"/>
            </w:tabs>
            <w:rPr>
              <w:rFonts w:asciiTheme="minorHAnsi" w:hAnsiTheme="minorHAnsi"/>
              <w:noProof/>
              <w:sz w:val="22"/>
              <w:lang w:val="en-GB" w:eastAsia="en-GB"/>
            </w:rPr>
          </w:pPr>
          <w:hyperlink w:anchor="_Toc499814925" w:history="1">
            <w:r w:rsidR="00B42A63" w:rsidRPr="0080417F">
              <w:rPr>
                <w:rStyle w:val="Hyperlink"/>
                <w:noProof/>
              </w:rPr>
              <w:t>Community setting</w:t>
            </w:r>
            <w:r w:rsidR="00B42A63">
              <w:rPr>
                <w:noProof/>
                <w:webHidden/>
              </w:rPr>
              <w:tab/>
            </w:r>
            <w:r w:rsidR="00B42A63">
              <w:rPr>
                <w:noProof/>
                <w:webHidden/>
              </w:rPr>
              <w:fldChar w:fldCharType="begin"/>
            </w:r>
            <w:r w:rsidR="00B42A63">
              <w:rPr>
                <w:noProof/>
                <w:webHidden/>
              </w:rPr>
              <w:instrText xml:space="preserve"> PAGEREF _Toc499814925 \h </w:instrText>
            </w:r>
            <w:r w:rsidR="00B42A63">
              <w:rPr>
                <w:noProof/>
                <w:webHidden/>
              </w:rPr>
            </w:r>
            <w:r w:rsidR="00B42A63">
              <w:rPr>
                <w:noProof/>
                <w:webHidden/>
              </w:rPr>
              <w:fldChar w:fldCharType="separate"/>
            </w:r>
            <w:r w:rsidR="00514EE1">
              <w:rPr>
                <w:noProof/>
                <w:webHidden/>
              </w:rPr>
              <w:t>19</w:t>
            </w:r>
            <w:r w:rsidR="00B42A63">
              <w:rPr>
                <w:noProof/>
                <w:webHidden/>
              </w:rPr>
              <w:fldChar w:fldCharType="end"/>
            </w:r>
          </w:hyperlink>
        </w:p>
        <w:p w14:paraId="7B6BE778" w14:textId="670AF962" w:rsidR="00B42A63" w:rsidRDefault="000A217D">
          <w:pPr>
            <w:pStyle w:val="TOC3"/>
            <w:tabs>
              <w:tab w:val="right" w:leader="dot" w:pos="9350"/>
            </w:tabs>
            <w:rPr>
              <w:rFonts w:asciiTheme="minorHAnsi" w:hAnsiTheme="minorHAnsi"/>
              <w:noProof/>
              <w:sz w:val="22"/>
              <w:lang w:val="en-GB" w:eastAsia="en-GB"/>
            </w:rPr>
          </w:pPr>
          <w:hyperlink w:anchor="_Toc499814926" w:history="1">
            <w:r w:rsidR="00B42A63" w:rsidRPr="0080417F">
              <w:rPr>
                <w:rStyle w:val="Hyperlink"/>
                <w:noProof/>
              </w:rPr>
              <w:t>Summary</w:t>
            </w:r>
            <w:r w:rsidR="00B42A63">
              <w:rPr>
                <w:noProof/>
                <w:webHidden/>
              </w:rPr>
              <w:tab/>
            </w:r>
            <w:r w:rsidR="00B42A63">
              <w:rPr>
                <w:noProof/>
                <w:webHidden/>
              </w:rPr>
              <w:fldChar w:fldCharType="begin"/>
            </w:r>
            <w:r w:rsidR="00B42A63">
              <w:rPr>
                <w:noProof/>
                <w:webHidden/>
              </w:rPr>
              <w:instrText xml:space="preserve"> PAGEREF _Toc499814926 \h </w:instrText>
            </w:r>
            <w:r w:rsidR="00B42A63">
              <w:rPr>
                <w:noProof/>
                <w:webHidden/>
              </w:rPr>
            </w:r>
            <w:r w:rsidR="00B42A63">
              <w:rPr>
                <w:noProof/>
                <w:webHidden/>
              </w:rPr>
              <w:fldChar w:fldCharType="separate"/>
            </w:r>
            <w:r w:rsidR="00514EE1">
              <w:rPr>
                <w:noProof/>
                <w:webHidden/>
              </w:rPr>
              <w:t>19</w:t>
            </w:r>
            <w:r w:rsidR="00B42A63">
              <w:rPr>
                <w:noProof/>
                <w:webHidden/>
              </w:rPr>
              <w:fldChar w:fldCharType="end"/>
            </w:r>
          </w:hyperlink>
        </w:p>
        <w:p w14:paraId="759BDB1B" w14:textId="5337831A" w:rsidR="00B42A63" w:rsidRDefault="000A217D">
          <w:pPr>
            <w:pStyle w:val="TOC1"/>
            <w:tabs>
              <w:tab w:val="right" w:leader="dot" w:pos="9350"/>
            </w:tabs>
            <w:rPr>
              <w:rFonts w:asciiTheme="minorHAnsi" w:hAnsiTheme="minorHAnsi"/>
              <w:noProof/>
              <w:sz w:val="22"/>
              <w:lang w:val="en-GB" w:eastAsia="en-GB"/>
            </w:rPr>
          </w:pPr>
          <w:hyperlink w:anchor="_Toc499814927" w:history="1">
            <w:r w:rsidR="00B42A63" w:rsidRPr="0080417F">
              <w:rPr>
                <w:rStyle w:val="Hyperlink"/>
                <w:noProof/>
              </w:rPr>
              <w:t>Interventions/activities</w:t>
            </w:r>
            <w:r w:rsidR="00B42A63">
              <w:rPr>
                <w:noProof/>
                <w:webHidden/>
              </w:rPr>
              <w:tab/>
            </w:r>
            <w:r w:rsidR="00B42A63">
              <w:rPr>
                <w:noProof/>
                <w:webHidden/>
              </w:rPr>
              <w:fldChar w:fldCharType="begin"/>
            </w:r>
            <w:r w:rsidR="00B42A63">
              <w:rPr>
                <w:noProof/>
                <w:webHidden/>
              </w:rPr>
              <w:instrText xml:space="preserve"> PAGEREF _Toc499814927 \h </w:instrText>
            </w:r>
            <w:r w:rsidR="00B42A63">
              <w:rPr>
                <w:noProof/>
                <w:webHidden/>
              </w:rPr>
            </w:r>
            <w:r w:rsidR="00B42A63">
              <w:rPr>
                <w:noProof/>
                <w:webHidden/>
              </w:rPr>
              <w:fldChar w:fldCharType="separate"/>
            </w:r>
            <w:r w:rsidR="00514EE1">
              <w:rPr>
                <w:noProof/>
                <w:webHidden/>
              </w:rPr>
              <w:t>20</w:t>
            </w:r>
            <w:r w:rsidR="00B42A63">
              <w:rPr>
                <w:noProof/>
                <w:webHidden/>
              </w:rPr>
              <w:fldChar w:fldCharType="end"/>
            </w:r>
          </w:hyperlink>
        </w:p>
        <w:p w14:paraId="77318607" w14:textId="7BB7417B" w:rsidR="00B42A63" w:rsidRDefault="000A217D">
          <w:pPr>
            <w:pStyle w:val="TOC2"/>
            <w:tabs>
              <w:tab w:val="right" w:leader="dot" w:pos="9350"/>
            </w:tabs>
            <w:rPr>
              <w:rFonts w:asciiTheme="minorHAnsi" w:hAnsiTheme="minorHAnsi"/>
              <w:noProof/>
              <w:sz w:val="22"/>
              <w:lang w:val="en-GB" w:eastAsia="en-GB"/>
            </w:rPr>
          </w:pPr>
          <w:hyperlink w:anchor="_Toc499814928" w:history="1">
            <w:r w:rsidR="00B42A63" w:rsidRPr="0080417F">
              <w:rPr>
                <w:rStyle w:val="Hyperlink"/>
                <w:noProof/>
              </w:rPr>
              <w:t>Care home setting</w:t>
            </w:r>
            <w:r w:rsidR="00B42A63">
              <w:rPr>
                <w:noProof/>
                <w:webHidden/>
              </w:rPr>
              <w:tab/>
            </w:r>
            <w:r w:rsidR="00B42A63">
              <w:rPr>
                <w:noProof/>
                <w:webHidden/>
              </w:rPr>
              <w:fldChar w:fldCharType="begin"/>
            </w:r>
            <w:r w:rsidR="00B42A63">
              <w:rPr>
                <w:noProof/>
                <w:webHidden/>
              </w:rPr>
              <w:instrText xml:space="preserve"> PAGEREF _Toc499814928 \h </w:instrText>
            </w:r>
            <w:r w:rsidR="00B42A63">
              <w:rPr>
                <w:noProof/>
                <w:webHidden/>
              </w:rPr>
            </w:r>
            <w:r w:rsidR="00B42A63">
              <w:rPr>
                <w:noProof/>
                <w:webHidden/>
              </w:rPr>
              <w:fldChar w:fldCharType="separate"/>
            </w:r>
            <w:r w:rsidR="00514EE1">
              <w:rPr>
                <w:noProof/>
                <w:webHidden/>
              </w:rPr>
              <w:t>20</w:t>
            </w:r>
            <w:r w:rsidR="00B42A63">
              <w:rPr>
                <w:noProof/>
                <w:webHidden/>
              </w:rPr>
              <w:fldChar w:fldCharType="end"/>
            </w:r>
          </w:hyperlink>
        </w:p>
        <w:p w14:paraId="41EFB80C" w14:textId="0D28D114" w:rsidR="00B42A63" w:rsidRDefault="000A217D">
          <w:pPr>
            <w:pStyle w:val="TOC3"/>
            <w:tabs>
              <w:tab w:val="right" w:leader="dot" w:pos="9350"/>
            </w:tabs>
            <w:rPr>
              <w:rFonts w:asciiTheme="minorHAnsi" w:hAnsiTheme="minorHAnsi"/>
              <w:noProof/>
              <w:sz w:val="22"/>
              <w:lang w:val="en-GB" w:eastAsia="en-GB"/>
            </w:rPr>
          </w:pPr>
          <w:hyperlink w:anchor="_Toc499814929" w:history="1">
            <w:r w:rsidR="00B42A63" w:rsidRPr="0080417F">
              <w:rPr>
                <w:rStyle w:val="Hyperlink"/>
                <w:noProof/>
              </w:rPr>
              <w:t>Summary</w:t>
            </w:r>
            <w:r w:rsidR="00B42A63">
              <w:rPr>
                <w:noProof/>
                <w:webHidden/>
              </w:rPr>
              <w:tab/>
            </w:r>
            <w:r w:rsidR="00B42A63">
              <w:rPr>
                <w:noProof/>
                <w:webHidden/>
              </w:rPr>
              <w:fldChar w:fldCharType="begin"/>
            </w:r>
            <w:r w:rsidR="00B42A63">
              <w:rPr>
                <w:noProof/>
                <w:webHidden/>
              </w:rPr>
              <w:instrText xml:space="preserve"> PAGEREF _Toc499814929 \h </w:instrText>
            </w:r>
            <w:r w:rsidR="00B42A63">
              <w:rPr>
                <w:noProof/>
                <w:webHidden/>
              </w:rPr>
            </w:r>
            <w:r w:rsidR="00B42A63">
              <w:rPr>
                <w:noProof/>
                <w:webHidden/>
              </w:rPr>
              <w:fldChar w:fldCharType="separate"/>
            </w:r>
            <w:r w:rsidR="00514EE1">
              <w:rPr>
                <w:noProof/>
                <w:webHidden/>
              </w:rPr>
              <w:t>24</w:t>
            </w:r>
            <w:r w:rsidR="00B42A63">
              <w:rPr>
                <w:noProof/>
                <w:webHidden/>
              </w:rPr>
              <w:fldChar w:fldCharType="end"/>
            </w:r>
          </w:hyperlink>
        </w:p>
        <w:p w14:paraId="247487CB" w14:textId="29183F6A" w:rsidR="00B42A63" w:rsidRDefault="000A217D">
          <w:pPr>
            <w:pStyle w:val="TOC2"/>
            <w:tabs>
              <w:tab w:val="right" w:leader="dot" w:pos="9350"/>
            </w:tabs>
            <w:rPr>
              <w:rFonts w:asciiTheme="minorHAnsi" w:hAnsiTheme="minorHAnsi"/>
              <w:noProof/>
              <w:sz w:val="22"/>
              <w:lang w:val="en-GB" w:eastAsia="en-GB"/>
            </w:rPr>
          </w:pPr>
          <w:hyperlink w:anchor="_Toc499814930" w:history="1">
            <w:r w:rsidR="00B42A63" w:rsidRPr="0080417F">
              <w:rPr>
                <w:rStyle w:val="Hyperlink"/>
                <w:noProof/>
              </w:rPr>
              <w:t>Hospital setting</w:t>
            </w:r>
            <w:r w:rsidR="00B42A63">
              <w:rPr>
                <w:noProof/>
                <w:webHidden/>
              </w:rPr>
              <w:tab/>
            </w:r>
            <w:r w:rsidR="00B42A63">
              <w:rPr>
                <w:noProof/>
                <w:webHidden/>
              </w:rPr>
              <w:fldChar w:fldCharType="begin"/>
            </w:r>
            <w:r w:rsidR="00B42A63">
              <w:rPr>
                <w:noProof/>
                <w:webHidden/>
              </w:rPr>
              <w:instrText xml:space="preserve"> PAGEREF _Toc499814930 \h </w:instrText>
            </w:r>
            <w:r w:rsidR="00B42A63">
              <w:rPr>
                <w:noProof/>
                <w:webHidden/>
              </w:rPr>
            </w:r>
            <w:r w:rsidR="00B42A63">
              <w:rPr>
                <w:noProof/>
                <w:webHidden/>
              </w:rPr>
              <w:fldChar w:fldCharType="separate"/>
            </w:r>
            <w:r w:rsidR="00514EE1">
              <w:rPr>
                <w:noProof/>
                <w:webHidden/>
              </w:rPr>
              <w:t>25</w:t>
            </w:r>
            <w:r w:rsidR="00B42A63">
              <w:rPr>
                <w:noProof/>
                <w:webHidden/>
              </w:rPr>
              <w:fldChar w:fldCharType="end"/>
            </w:r>
          </w:hyperlink>
        </w:p>
        <w:p w14:paraId="258A2BA6" w14:textId="624FBE67" w:rsidR="00B42A63" w:rsidRDefault="000A217D">
          <w:pPr>
            <w:pStyle w:val="TOC3"/>
            <w:tabs>
              <w:tab w:val="right" w:leader="dot" w:pos="9350"/>
            </w:tabs>
            <w:rPr>
              <w:rFonts w:asciiTheme="minorHAnsi" w:hAnsiTheme="minorHAnsi"/>
              <w:noProof/>
              <w:sz w:val="22"/>
              <w:lang w:val="en-GB" w:eastAsia="en-GB"/>
            </w:rPr>
          </w:pPr>
          <w:hyperlink w:anchor="_Toc499814931" w:history="1">
            <w:r w:rsidR="00B42A63" w:rsidRPr="0080417F">
              <w:rPr>
                <w:rStyle w:val="Hyperlink"/>
                <w:noProof/>
              </w:rPr>
              <w:t>Summary</w:t>
            </w:r>
            <w:r w:rsidR="00B42A63">
              <w:rPr>
                <w:noProof/>
                <w:webHidden/>
              </w:rPr>
              <w:tab/>
            </w:r>
            <w:r w:rsidR="00B42A63">
              <w:rPr>
                <w:noProof/>
                <w:webHidden/>
              </w:rPr>
              <w:fldChar w:fldCharType="begin"/>
            </w:r>
            <w:r w:rsidR="00B42A63">
              <w:rPr>
                <w:noProof/>
                <w:webHidden/>
              </w:rPr>
              <w:instrText xml:space="preserve"> PAGEREF _Toc499814931 \h </w:instrText>
            </w:r>
            <w:r w:rsidR="00B42A63">
              <w:rPr>
                <w:noProof/>
                <w:webHidden/>
              </w:rPr>
            </w:r>
            <w:r w:rsidR="00B42A63">
              <w:rPr>
                <w:noProof/>
                <w:webHidden/>
              </w:rPr>
              <w:fldChar w:fldCharType="separate"/>
            </w:r>
            <w:r w:rsidR="00514EE1">
              <w:rPr>
                <w:noProof/>
                <w:webHidden/>
              </w:rPr>
              <w:t>27</w:t>
            </w:r>
            <w:r w:rsidR="00B42A63">
              <w:rPr>
                <w:noProof/>
                <w:webHidden/>
              </w:rPr>
              <w:fldChar w:fldCharType="end"/>
            </w:r>
          </w:hyperlink>
        </w:p>
        <w:p w14:paraId="40B93BEC" w14:textId="79AAE1EC" w:rsidR="00B42A63" w:rsidRDefault="000A217D">
          <w:pPr>
            <w:pStyle w:val="TOC2"/>
            <w:tabs>
              <w:tab w:val="right" w:leader="dot" w:pos="9350"/>
            </w:tabs>
            <w:rPr>
              <w:rFonts w:asciiTheme="minorHAnsi" w:hAnsiTheme="minorHAnsi"/>
              <w:noProof/>
              <w:sz w:val="22"/>
              <w:lang w:val="en-GB" w:eastAsia="en-GB"/>
            </w:rPr>
          </w:pPr>
          <w:hyperlink w:anchor="_Toc499814932" w:history="1">
            <w:r w:rsidR="00B42A63" w:rsidRPr="0080417F">
              <w:rPr>
                <w:rStyle w:val="Hyperlink"/>
                <w:noProof/>
              </w:rPr>
              <w:t>Community setting</w:t>
            </w:r>
            <w:r w:rsidR="00B42A63">
              <w:rPr>
                <w:noProof/>
                <w:webHidden/>
              </w:rPr>
              <w:tab/>
            </w:r>
            <w:r w:rsidR="00B42A63">
              <w:rPr>
                <w:noProof/>
                <w:webHidden/>
              </w:rPr>
              <w:fldChar w:fldCharType="begin"/>
            </w:r>
            <w:r w:rsidR="00B42A63">
              <w:rPr>
                <w:noProof/>
                <w:webHidden/>
              </w:rPr>
              <w:instrText xml:space="preserve"> PAGEREF _Toc499814932 \h </w:instrText>
            </w:r>
            <w:r w:rsidR="00B42A63">
              <w:rPr>
                <w:noProof/>
                <w:webHidden/>
              </w:rPr>
            </w:r>
            <w:r w:rsidR="00B42A63">
              <w:rPr>
                <w:noProof/>
                <w:webHidden/>
              </w:rPr>
              <w:fldChar w:fldCharType="separate"/>
            </w:r>
            <w:r w:rsidR="00514EE1">
              <w:rPr>
                <w:noProof/>
                <w:webHidden/>
              </w:rPr>
              <w:t>27</w:t>
            </w:r>
            <w:r w:rsidR="00B42A63">
              <w:rPr>
                <w:noProof/>
                <w:webHidden/>
              </w:rPr>
              <w:fldChar w:fldCharType="end"/>
            </w:r>
          </w:hyperlink>
        </w:p>
        <w:p w14:paraId="1D3CA48E" w14:textId="3468A282" w:rsidR="00B42A63" w:rsidRDefault="000A217D">
          <w:pPr>
            <w:pStyle w:val="TOC3"/>
            <w:tabs>
              <w:tab w:val="right" w:leader="dot" w:pos="9350"/>
            </w:tabs>
            <w:rPr>
              <w:rFonts w:asciiTheme="minorHAnsi" w:hAnsiTheme="minorHAnsi"/>
              <w:noProof/>
              <w:sz w:val="22"/>
              <w:lang w:val="en-GB" w:eastAsia="en-GB"/>
            </w:rPr>
          </w:pPr>
          <w:hyperlink w:anchor="_Toc499814933" w:history="1">
            <w:r w:rsidR="00B42A63" w:rsidRPr="0080417F">
              <w:rPr>
                <w:rStyle w:val="Hyperlink"/>
                <w:noProof/>
              </w:rPr>
              <w:t>Summary</w:t>
            </w:r>
            <w:r w:rsidR="00B42A63">
              <w:rPr>
                <w:noProof/>
                <w:webHidden/>
              </w:rPr>
              <w:tab/>
            </w:r>
            <w:r w:rsidR="00B42A63">
              <w:rPr>
                <w:noProof/>
                <w:webHidden/>
              </w:rPr>
              <w:fldChar w:fldCharType="begin"/>
            </w:r>
            <w:r w:rsidR="00B42A63">
              <w:rPr>
                <w:noProof/>
                <w:webHidden/>
              </w:rPr>
              <w:instrText xml:space="preserve"> PAGEREF _Toc499814933 \h </w:instrText>
            </w:r>
            <w:r w:rsidR="00B42A63">
              <w:rPr>
                <w:noProof/>
                <w:webHidden/>
              </w:rPr>
            </w:r>
            <w:r w:rsidR="00B42A63">
              <w:rPr>
                <w:noProof/>
                <w:webHidden/>
              </w:rPr>
              <w:fldChar w:fldCharType="separate"/>
            </w:r>
            <w:r w:rsidR="00514EE1">
              <w:rPr>
                <w:noProof/>
                <w:webHidden/>
              </w:rPr>
              <w:t>29</w:t>
            </w:r>
            <w:r w:rsidR="00B42A63">
              <w:rPr>
                <w:noProof/>
                <w:webHidden/>
              </w:rPr>
              <w:fldChar w:fldCharType="end"/>
            </w:r>
          </w:hyperlink>
        </w:p>
        <w:p w14:paraId="3A818A91" w14:textId="0669CE23" w:rsidR="00B42A63" w:rsidRDefault="000A217D">
          <w:pPr>
            <w:pStyle w:val="TOC1"/>
            <w:tabs>
              <w:tab w:val="right" w:leader="dot" w:pos="9350"/>
            </w:tabs>
            <w:rPr>
              <w:rFonts w:asciiTheme="minorHAnsi" w:hAnsiTheme="minorHAnsi"/>
              <w:noProof/>
              <w:sz w:val="22"/>
              <w:lang w:val="en-GB" w:eastAsia="en-GB"/>
            </w:rPr>
          </w:pPr>
          <w:hyperlink w:anchor="_Toc499814934" w:history="1">
            <w:r w:rsidR="00B42A63" w:rsidRPr="0080417F">
              <w:rPr>
                <w:rStyle w:val="Hyperlink"/>
                <w:noProof/>
              </w:rPr>
              <w:t>Evidence of what works</w:t>
            </w:r>
            <w:r w:rsidR="00B42A63">
              <w:rPr>
                <w:noProof/>
                <w:webHidden/>
              </w:rPr>
              <w:tab/>
            </w:r>
            <w:r w:rsidR="00B42A63">
              <w:rPr>
                <w:noProof/>
                <w:webHidden/>
              </w:rPr>
              <w:fldChar w:fldCharType="begin"/>
            </w:r>
            <w:r w:rsidR="00B42A63">
              <w:rPr>
                <w:noProof/>
                <w:webHidden/>
              </w:rPr>
              <w:instrText xml:space="preserve"> PAGEREF _Toc499814934 \h </w:instrText>
            </w:r>
            <w:r w:rsidR="00B42A63">
              <w:rPr>
                <w:noProof/>
                <w:webHidden/>
              </w:rPr>
            </w:r>
            <w:r w:rsidR="00B42A63">
              <w:rPr>
                <w:noProof/>
                <w:webHidden/>
              </w:rPr>
              <w:fldChar w:fldCharType="separate"/>
            </w:r>
            <w:r w:rsidR="00514EE1">
              <w:rPr>
                <w:noProof/>
                <w:webHidden/>
              </w:rPr>
              <w:t>31</w:t>
            </w:r>
            <w:r w:rsidR="00B42A63">
              <w:rPr>
                <w:noProof/>
                <w:webHidden/>
              </w:rPr>
              <w:fldChar w:fldCharType="end"/>
            </w:r>
          </w:hyperlink>
        </w:p>
        <w:p w14:paraId="16ADB23F" w14:textId="71240330" w:rsidR="00B42A63" w:rsidRDefault="000A217D">
          <w:pPr>
            <w:pStyle w:val="TOC2"/>
            <w:tabs>
              <w:tab w:val="right" w:leader="dot" w:pos="9350"/>
            </w:tabs>
            <w:rPr>
              <w:rFonts w:asciiTheme="minorHAnsi" w:hAnsiTheme="minorHAnsi"/>
              <w:noProof/>
              <w:sz w:val="22"/>
              <w:lang w:val="en-GB" w:eastAsia="en-GB"/>
            </w:rPr>
          </w:pPr>
          <w:hyperlink w:anchor="_Toc499814935" w:history="1">
            <w:r w:rsidR="00B42A63" w:rsidRPr="0080417F">
              <w:rPr>
                <w:rStyle w:val="Hyperlink"/>
                <w:noProof/>
              </w:rPr>
              <w:t>Care home setting</w:t>
            </w:r>
            <w:r w:rsidR="00B42A63">
              <w:rPr>
                <w:noProof/>
                <w:webHidden/>
              </w:rPr>
              <w:tab/>
            </w:r>
            <w:r w:rsidR="00B42A63">
              <w:rPr>
                <w:noProof/>
                <w:webHidden/>
              </w:rPr>
              <w:fldChar w:fldCharType="begin"/>
            </w:r>
            <w:r w:rsidR="00B42A63">
              <w:rPr>
                <w:noProof/>
                <w:webHidden/>
              </w:rPr>
              <w:instrText xml:space="preserve"> PAGEREF _Toc499814935 \h </w:instrText>
            </w:r>
            <w:r w:rsidR="00B42A63">
              <w:rPr>
                <w:noProof/>
                <w:webHidden/>
              </w:rPr>
            </w:r>
            <w:r w:rsidR="00B42A63">
              <w:rPr>
                <w:noProof/>
                <w:webHidden/>
              </w:rPr>
              <w:fldChar w:fldCharType="separate"/>
            </w:r>
            <w:r w:rsidR="00514EE1">
              <w:rPr>
                <w:noProof/>
                <w:webHidden/>
              </w:rPr>
              <w:t>31</w:t>
            </w:r>
            <w:r w:rsidR="00B42A63">
              <w:rPr>
                <w:noProof/>
                <w:webHidden/>
              </w:rPr>
              <w:fldChar w:fldCharType="end"/>
            </w:r>
          </w:hyperlink>
        </w:p>
        <w:p w14:paraId="209BDF00" w14:textId="178C80C8" w:rsidR="00B42A63" w:rsidRDefault="000A217D">
          <w:pPr>
            <w:pStyle w:val="TOC3"/>
            <w:tabs>
              <w:tab w:val="right" w:leader="dot" w:pos="9350"/>
            </w:tabs>
            <w:rPr>
              <w:rFonts w:asciiTheme="minorHAnsi" w:hAnsiTheme="minorHAnsi"/>
              <w:noProof/>
              <w:sz w:val="22"/>
              <w:lang w:val="en-GB" w:eastAsia="en-GB"/>
            </w:rPr>
          </w:pPr>
          <w:hyperlink w:anchor="_Toc499814936" w:history="1">
            <w:r w:rsidR="00B42A63" w:rsidRPr="0080417F">
              <w:rPr>
                <w:rStyle w:val="Hyperlink"/>
                <w:noProof/>
              </w:rPr>
              <w:t>Summary</w:t>
            </w:r>
            <w:r w:rsidR="00B42A63">
              <w:rPr>
                <w:noProof/>
                <w:webHidden/>
              </w:rPr>
              <w:tab/>
            </w:r>
            <w:r w:rsidR="00B42A63">
              <w:rPr>
                <w:noProof/>
                <w:webHidden/>
              </w:rPr>
              <w:fldChar w:fldCharType="begin"/>
            </w:r>
            <w:r w:rsidR="00B42A63">
              <w:rPr>
                <w:noProof/>
                <w:webHidden/>
              </w:rPr>
              <w:instrText xml:space="preserve"> PAGEREF _Toc499814936 \h </w:instrText>
            </w:r>
            <w:r w:rsidR="00B42A63">
              <w:rPr>
                <w:noProof/>
                <w:webHidden/>
              </w:rPr>
            </w:r>
            <w:r w:rsidR="00B42A63">
              <w:rPr>
                <w:noProof/>
                <w:webHidden/>
              </w:rPr>
              <w:fldChar w:fldCharType="separate"/>
            </w:r>
            <w:r w:rsidR="00514EE1">
              <w:rPr>
                <w:noProof/>
                <w:webHidden/>
              </w:rPr>
              <w:t>33</w:t>
            </w:r>
            <w:r w:rsidR="00B42A63">
              <w:rPr>
                <w:noProof/>
                <w:webHidden/>
              </w:rPr>
              <w:fldChar w:fldCharType="end"/>
            </w:r>
          </w:hyperlink>
        </w:p>
        <w:p w14:paraId="16C6BAC0" w14:textId="081E7830" w:rsidR="00B42A63" w:rsidRDefault="000A217D">
          <w:pPr>
            <w:pStyle w:val="TOC2"/>
            <w:tabs>
              <w:tab w:val="right" w:leader="dot" w:pos="9350"/>
            </w:tabs>
            <w:rPr>
              <w:rFonts w:asciiTheme="minorHAnsi" w:hAnsiTheme="minorHAnsi"/>
              <w:noProof/>
              <w:sz w:val="22"/>
              <w:lang w:val="en-GB" w:eastAsia="en-GB"/>
            </w:rPr>
          </w:pPr>
          <w:hyperlink w:anchor="_Toc499814937" w:history="1">
            <w:r w:rsidR="00B42A63" w:rsidRPr="0080417F">
              <w:rPr>
                <w:rStyle w:val="Hyperlink"/>
                <w:noProof/>
              </w:rPr>
              <w:t>Hospital setting</w:t>
            </w:r>
            <w:r w:rsidR="00B42A63">
              <w:rPr>
                <w:noProof/>
                <w:webHidden/>
              </w:rPr>
              <w:tab/>
            </w:r>
            <w:r w:rsidR="00B42A63">
              <w:rPr>
                <w:noProof/>
                <w:webHidden/>
              </w:rPr>
              <w:fldChar w:fldCharType="begin"/>
            </w:r>
            <w:r w:rsidR="00B42A63">
              <w:rPr>
                <w:noProof/>
                <w:webHidden/>
              </w:rPr>
              <w:instrText xml:space="preserve"> PAGEREF _Toc499814937 \h </w:instrText>
            </w:r>
            <w:r w:rsidR="00B42A63">
              <w:rPr>
                <w:noProof/>
                <w:webHidden/>
              </w:rPr>
            </w:r>
            <w:r w:rsidR="00B42A63">
              <w:rPr>
                <w:noProof/>
                <w:webHidden/>
              </w:rPr>
              <w:fldChar w:fldCharType="separate"/>
            </w:r>
            <w:r w:rsidR="00514EE1">
              <w:rPr>
                <w:noProof/>
                <w:webHidden/>
              </w:rPr>
              <w:t>34</w:t>
            </w:r>
            <w:r w:rsidR="00B42A63">
              <w:rPr>
                <w:noProof/>
                <w:webHidden/>
              </w:rPr>
              <w:fldChar w:fldCharType="end"/>
            </w:r>
          </w:hyperlink>
        </w:p>
        <w:p w14:paraId="60F7109E" w14:textId="4E9D2DF6" w:rsidR="00B42A63" w:rsidRDefault="000A217D">
          <w:pPr>
            <w:pStyle w:val="TOC3"/>
            <w:tabs>
              <w:tab w:val="right" w:leader="dot" w:pos="9350"/>
            </w:tabs>
            <w:rPr>
              <w:rFonts w:asciiTheme="minorHAnsi" w:hAnsiTheme="minorHAnsi"/>
              <w:noProof/>
              <w:sz w:val="22"/>
              <w:lang w:val="en-GB" w:eastAsia="en-GB"/>
            </w:rPr>
          </w:pPr>
          <w:hyperlink w:anchor="_Toc499814938" w:history="1">
            <w:r w:rsidR="00B42A63" w:rsidRPr="0080417F">
              <w:rPr>
                <w:rStyle w:val="Hyperlink"/>
                <w:noProof/>
              </w:rPr>
              <w:t>Summary</w:t>
            </w:r>
            <w:r w:rsidR="00B42A63">
              <w:rPr>
                <w:noProof/>
                <w:webHidden/>
              </w:rPr>
              <w:tab/>
            </w:r>
            <w:r w:rsidR="00B42A63">
              <w:rPr>
                <w:noProof/>
                <w:webHidden/>
              </w:rPr>
              <w:fldChar w:fldCharType="begin"/>
            </w:r>
            <w:r w:rsidR="00B42A63">
              <w:rPr>
                <w:noProof/>
                <w:webHidden/>
              </w:rPr>
              <w:instrText xml:space="preserve"> PAGEREF _Toc499814938 \h </w:instrText>
            </w:r>
            <w:r w:rsidR="00B42A63">
              <w:rPr>
                <w:noProof/>
                <w:webHidden/>
              </w:rPr>
            </w:r>
            <w:r w:rsidR="00B42A63">
              <w:rPr>
                <w:noProof/>
                <w:webHidden/>
              </w:rPr>
              <w:fldChar w:fldCharType="separate"/>
            </w:r>
            <w:r w:rsidR="00514EE1">
              <w:rPr>
                <w:noProof/>
                <w:webHidden/>
              </w:rPr>
              <w:t>35</w:t>
            </w:r>
            <w:r w:rsidR="00B42A63">
              <w:rPr>
                <w:noProof/>
                <w:webHidden/>
              </w:rPr>
              <w:fldChar w:fldCharType="end"/>
            </w:r>
          </w:hyperlink>
        </w:p>
        <w:p w14:paraId="0145786F" w14:textId="32D8BF79" w:rsidR="00B42A63" w:rsidRDefault="000A217D">
          <w:pPr>
            <w:pStyle w:val="TOC2"/>
            <w:tabs>
              <w:tab w:val="right" w:leader="dot" w:pos="9350"/>
            </w:tabs>
            <w:rPr>
              <w:rFonts w:asciiTheme="minorHAnsi" w:hAnsiTheme="minorHAnsi"/>
              <w:noProof/>
              <w:sz w:val="22"/>
              <w:lang w:val="en-GB" w:eastAsia="en-GB"/>
            </w:rPr>
          </w:pPr>
          <w:hyperlink w:anchor="_Toc499814939" w:history="1">
            <w:r w:rsidR="00B42A63" w:rsidRPr="0080417F">
              <w:rPr>
                <w:rStyle w:val="Hyperlink"/>
                <w:noProof/>
              </w:rPr>
              <w:t>Community setting</w:t>
            </w:r>
            <w:r w:rsidR="00B42A63">
              <w:rPr>
                <w:noProof/>
                <w:webHidden/>
              </w:rPr>
              <w:tab/>
            </w:r>
            <w:r w:rsidR="00B42A63">
              <w:rPr>
                <w:noProof/>
                <w:webHidden/>
              </w:rPr>
              <w:fldChar w:fldCharType="begin"/>
            </w:r>
            <w:r w:rsidR="00B42A63">
              <w:rPr>
                <w:noProof/>
                <w:webHidden/>
              </w:rPr>
              <w:instrText xml:space="preserve"> PAGEREF _Toc499814939 \h </w:instrText>
            </w:r>
            <w:r w:rsidR="00B42A63">
              <w:rPr>
                <w:noProof/>
                <w:webHidden/>
              </w:rPr>
            </w:r>
            <w:r w:rsidR="00B42A63">
              <w:rPr>
                <w:noProof/>
                <w:webHidden/>
              </w:rPr>
              <w:fldChar w:fldCharType="separate"/>
            </w:r>
            <w:r w:rsidR="00514EE1">
              <w:rPr>
                <w:noProof/>
                <w:webHidden/>
              </w:rPr>
              <w:t>35</w:t>
            </w:r>
            <w:r w:rsidR="00B42A63">
              <w:rPr>
                <w:noProof/>
                <w:webHidden/>
              </w:rPr>
              <w:fldChar w:fldCharType="end"/>
            </w:r>
          </w:hyperlink>
        </w:p>
        <w:p w14:paraId="6129F78A" w14:textId="7D7B70D6" w:rsidR="00B42A63" w:rsidRDefault="000A217D">
          <w:pPr>
            <w:pStyle w:val="TOC3"/>
            <w:tabs>
              <w:tab w:val="right" w:leader="dot" w:pos="9350"/>
            </w:tabs>
            <w:rPr>
              <w:rFonts w:asciiTheme="minorHAnsi" w:hAnsiTheme="minorHAnsi"/>
              <w:noProof/>
              <w:sz w:val="22"/>
              <w:lang w:val="en-GB" w:eastAsia="en-GB"/>
            </w:rPr>
          </w:pPr>
          <w:hyperlink w:anchor="_Toc499814940" w:history="1">
            <w:r w:rsidR="00B42A63" w:rsidRPr="0080417F">
              <w:rPr>
                <w:rStyle w:val="Hyperlink"/>
                <w:noProof/>
              </w:rPr>
              <w:t>Summary</w:t>
            </w:r>
            <w:r w:rsidR="00B42A63">
              <w:rPr>
                <w:noProof/>
                <w:webHidden/>
              </w:rPr>
              <w:tab/>
            </w:r>
            <w:r w:rsidR="00B42A63">
              <w:rPr>
                <w:noProof/>
                <w:webHidden/>
              </w:rPr>
              <w:fldChar w:fldCharType="begin"/>
            </w:r>
            <w:r w:rsidR="00B42A63">
              <w:rPr>
                <w:noProof/>
                <w:webHidden/>
              </w:rPr>
              <w:instrText xml:space="preserve"> PAGEREF _Toc499814940 \h </w:instrText>
            </w:r>
            <w:r w:rsidR="00B42A63">
              <w:rPr>
                <w:noProof/>
                <w:webHidden/>
              </w:rPr>
            </w:r>
            <w:r w:rsidR="00B42A63">
              <w:rPr>
                <w:noProof/>
                <w:webHidden/>
              </w:rPr>
              <w:fldChar w:fldCharType="separate"/>
            </w:r>
            <w:r w:rsidR="00514EE1">
              <w:rPr>
                <w:noProof/>
                <w:webHidden/>
              </w:rPr>
              <w:t>37</w:t>
            </w:r>
            <w:r w:rsidR="00B42A63">
              <w:rPr>
                <w:noProof/>
                <w:webHidden/>
              </w:rPr>
              <w:fldChar w:fldCharType="end"/>
            </w:r>
          </w:hyperlink>
        </w:p>
        <w:p w14:paraId="220A5256" w14:textId="5F69D86C" w:rsidR="00B42A63" w:rsidRDefault="000A217D">
          <w:pPr>
            <w:pStyle w:val="TOC1"/>
            <w:tabs>
              <w:tab w:val="right" w:leader="dot" w:pos="9350"/>
            </w:tabs>
            <w:rPr>
              <w:rFonts w:asciiTheme="minorHAnsi" w:hAnsiTheme="minorHAnsi"/>
              <w:noProof/>
              <w:sz w:val="22"/>
              <w:lang w:val="en-GB" w:eastAsia="en-GB"/>
            </w:rPr>
          </w:pPr>
          <w:hyperlink w:anchor="_Toc499814941" w:history="1">
            <w:r w:rsidR="00B42A63" w:rsidRPr="0080417F">
              <w:rPr>
                <w:rStyle w:val="Hyperlink"/>
                <w:noProof/>
              </w:rPr>
              <w:t>Policies and guidelines</w:t>
            </w:r>
            <w:r w:rsidR="00B42A63">
              <w:rPr>
                <w:noProof/>
                <w:webHidden/>
              </w:rPr>
              <w:tab/>
            </w:r>
            <w:r w:rsidR="00B42A63">
              <w:rPr>
                <w:noProof/>
                <w:webHidden/>
              </w:rPr>
              <w:fldChar w:fldCharType="begin"/>
            </w:r>
            <w:r w:rsidR="00B42A63">
              <w:rPr>
                <w:noProof/>
                <w:webHidden/>
              </w:rPr>
              <w:instrText xml:space="preserve"> PAGEREF _Toc499814941 \h </w:instrText>
            </w:r>
            <w:r w:rsidR="00B42A63">
              <w:rPr>
                <w:noProof/>
                <w:webHidden/>
              </w:rPr>
            </w:r>
            <w:r w:rsidR="00B42A63">
              <w:rPr>
                <w:noProof/>
                <w:webHidden/>
              </w:rPr>
              <w:fldChar w:fldCharType="separate"/>
            </w:r>
            <w:r w:rsidR="00514EE1">
              <w:rPr>
                <w:noProof/>
                <w:webHidden/>
              </w:rPr>
              <w:t>38</w:t>
            </w:r>
            <w:r w:rsidR="00B42A63">
              <w:rPr>
                <w:noProof/>
                <w:webHidden/>
              </w:rPr>
              <w:fldChar w:fldCharType="end"/>
            </w:r>
          </w:hyperlink>
        </w:p>
        <w:p w14:paraId="2BAE5D19" w14:textId="316E42F3" w:rsidR="004C5100" w:rsidRDefault="004C5100" w:rsidP="004C5100">
          <w:pPr>
            <w:rPr>
              <w:noProof/>
            </w:rPr>
          </w:pPr>
          <w:r>
            <w:rPr>
              <w:b/>
              <w:bCs/>
              <w:noProof/>
            </w:rPr>
            <w:fldChar w:fldCharType="end"/>
          </w:r>
        </w:p>
      </w:sdtContent>
    </w:sdt>
    <w:p w14:paraId="519ABAAB" w14:textId="630C7FEA" w:rsidR="0022047A" w:rsidRPr="00727961" w:rsidRDefault="000111FA" w:rsidP="00C671CF">
      <w:pPr>
        <w:pStyle w:val="Heading1"/>
      </w:pPr>
      <w:bookmarkStart w:id="0" w:name="_Toc499814915"/>
      <w:r w:rsidRPr="00727961">
        <w:lastRenderedPageBreak/>
        <w:t>INTRODUCTION</w:t>
      </w:r>
      <w:bookmarkEnd w:id="0"/>
    </w:p>
    <w:p w14:paraId="1F7B2B8A" w14:textId="77777777" w:rsidR="009F470C" w:rsidRPr="00727961" w:rsidRDefault="00DE5BB7" w:rsidP="009F470C">
      <w:pPr>
        <w:spacing w:line="276" w:lineRule="auto"/>
        <w:ind w:firstLine="708"/>
      </w:pPr>
      <w:r w:rsidRPr="00727961">
        <w:t>Evidence</w:t>
      </w:r>
      <w:r w:rsidR="00EB3AB6" w:rsidRPr="00727961">
        <w:t xml:space="preserve"> shows that settings have an important influence on what, why and how people eat. Settings such as the home or the workplace are much more than</w:t>
      </w:r>
      <w:r w:rsidRPr="00727961">
        <w:t xml:space="preserve"> simply ‘context’ or</w:t>
      </w:r>
      <w:r w:rsidR="00EB3AB6" w:rsidRPr="00727961">
        <w:t xml:space="preserve"> ‘environmental factors’</w:t>
      </w:r>
      <w:r w:rsidRPr="00727961">
        <w:t xml:space="preserve"> that direct behaviour. Rather</w:t>
      </w:r>
      <w:r w:rsidR="00EB3AB6" w:rsidRPr="00727961">
        <w:t>,</w:t>
      </w:r>
      <w:r w:rsidRPr="00727961">
        <w:t xml:space="preserve"> settings give rise to </w:t>
      </w:r>
      <w:r w:rsidR="00EB3AB6" w:rsidRPr="00727961">
        <w:t>meanings</w:t>
      </w:r>
      <w:r w:rsidRPr="00727961">
        <w:t xml:space="preserve">, routines and material interactions that are essential elements of the lived experience. Although there is extensive research on the role of settings in the lives of children, young people, families, and working age people, settings-based perspectives are less clearly </w:t>
      </w:r>
      <w:r w:rsidR="00D126AF" w:rsidRPr="00727961">
        <w:t>conceptualis</w:t>
      </w:r>
      <w:r w:rsidR="007C1180" w:rsidRPr="00727961">
        <w:t>ed or investigated</w:t>
      </w:r>
      <w:r w:rsidRPr="00727961">
        <w:t xml:space="preserve"> with regard to older people.  </w:t>
      </w:r>
      <w:r w:rsidR="00602649" w:rsidRPr="00727961">
        <w:t xml:space="preserve">Whereas there has been considerable attention on the </w:t>
      </w:r>
      <w:r w:rsidR="007C1180" w:rsidRPr="00727961">
        <w:t xml:space="preserve">dietary and </w:t>
      </w:r>
      <w:r w:rsidR="00602649" w:rsidRPr="00727961">
        <w:t>nutrient co</w:t>
      </w:r>
      <w:r w:rsidR="007C1180" w:rsidRPr="00727961">
        <w:t>ntents of older people’s food, especially in clinical contexts</w:t>
      </w:r>
      <w:r w:rsidR="00602649" w:rsidRPr="00727961">
        <w:t>,</w:t>
      </w:r>
      <w:r w:rsidR="007C1180" w:rsidRPr="00727961">
        <w:t xml:space="preserve"> little evidence has been collated on the role that food settings play</w:t>
      </w:r>
      <w:r w:rsidR="00602649" w:rsidRPr="00727961">
        <w:t xml:space="preserve"> in the health and wellbeing of older people</w:t>
      </w:r>
      <w:r w:rsidR="007C1180" w:rsidRPr="00727961">
        <w:t xml:space="preserve">. </w:t>
      </w:r>
    </w:p>
    <w:p w14:paraId="406E7F5E" w14:textId="5B2B98F1" w:rsidR="00492FC0" w:rsidRPr="00727961" w:rsidRDefault="007C1180" w:rsidP="009F470C">
      <w:pPr>
        <w:spacing w:line="276" w:lineRule="auto"/>
        <w:ind w:firstLine="708"/>
      </w:pPr>
      <w:r w:rsidRPr="00727961">
        <w:t>The purpose of this bibliography is to bring together evidence from a</w:t>
      </w:r>
      <w:r w:rsidR="004C5100">
        <w:t xml:space="preserve"> variety of fields and </w:t>
      </w:r>
      <w:r w:rsidRPr="00727961">
        <w:t xml:space="preserve">to identify common themes, key learning and gaps in the literature. The backdrop to this review is </w:t>
      </w:r>
      <w:r w:rsidR="00FE723A" w:rsidRPr="00727961">
        <w:t xml:space="preserve">the </w:t>
      </w:r>
      <w:r w:rsidR="00492FC0" w:rsidRPr="00727961">
        <w:t xml:space="preserve">Food for Life Better Care (FFL BC) </w:t>
      </w:r>
      <w:r w:rsidR="00FE723A" w:rsidRPr="00727961">
        <w:t>programme</w:t>
      </w:r>
      <w:r w:rsidR="004C5100">
        <w:t xml:space="preserve">: </w:t>
      </w:r>
      <w:r w:rsidRPr="00727961">
        <w:t xml:space="preserve">an initiative led </w:t>
      </w:r>
      <w:r w:rsidR="00D126AF" w:rsidRPr="00727961">
        <w:t xml:space="preserve">by </w:t>
      </w:r>
      <w:r w:rsidRPr="00727961">
        <w:t>the Soil Assoc</w:t>
      </w:r>
      <w:r w:rsidR="00E95CBD" w:rsidRPr="00727961">
        <w:t>i</w:t>
      </w:r>
      <w:r w:rsidRPr="00727961">
        <w:t>ation with the stated aim</w:t>
      </w:r>
      <w:r w:rsidR="00FE723A" w:rsidRPr="00727961">
        <w:t xml:space="preserve"> t</w:t>
      </w:r>
      <w:r w:rsidR="00492FC0" w:rsidRPr="00727961">
        <w:t xml:space="preserve">o use </w:t>
      </w:r>
      <w:r w:rsidR="00FE723A" w:rsidRPr="00727961">
        <w:t xml:space="preserve">the power of </w:t>
      </w:r>
      <w:r w:rsidR="00D31227">
        <w:t xml:space="preserve">good </w:t>
      </w:r>
      <w:r w:rsidR="00492FC0" w:rsidRPr="00727961">
        <w:t xml:space="preserve">food </w:t>
      </w:r>
      <w:r w:rsidR="00C23973" w:rsidRPr="00727961">
        <w:t xml:space="preserve">to improve the </w:t>
      </w:r>
      <w:r w:rsidR="00492FC0" w:rsidRPr="00727961">
        <w:t xml:space="preserve">health </w:t>
      </w:r>
      <w:r w:rsidR="00C23973" w:rsidRPr="00727961">
        <w:t>and wellbeing of older people</w:t>
      </w:r>
      <w:r w:rsidR="00492FC0" w:rsidRPr="00727961">
        <w:t xml:space="preserve"> </w:t>
      </w:r>
      <w:r w:rsidR="00C23973" w:rsidRPr="00727961">
        <w:t>and bring communities together to reduce loneliness</w:t>
      </w:r>
      <w:r w:rsidR="004C5100">
        <w:t xml:space="preserve">. </w:t>
      </w:r>
      <w:r w:rsidR="00492FC0" w:rsidRPr="00727961">
        <w:t>Th</w:t>
      </w:r>
      <w:r w:rsidR="00DB720D" w:rsidRPr="00727961">
        <w:t>e FFL BC programme looks at the way that the food environment can be enhanced in different settings to support the nutrition and overall wellbeing</w:t>
      </w:r>
      <w:r w:rsidR="00492FC0" w:rsidRPr="00727961">
        <w:t xml:space="preserve"> of older people</w:t>
      </w:r>
      <w:r w:rsidR="00DB720D" w:rsidRPr="00727961">
        <w:t>.</w:t>
      </w:r>
      <w:r w:rsidR="00492FC0" w:rsidRPr="00727961">
        <w:t xml:space="preserve"> </w:t>
      </w:r>
      <w:r w:rsidR="00DB720D" w:rsidRPr="00727961">
        <w:t xml:space="preserve"> </w:t>
      </w:r>
    </w:p>
    <w:p w14:paraId="612DAC3C" w14:textId="7478825F" w:rsidR="00BB5A59" w:rsidRPr="00727961" w:rsidRDefault="007C1180" w:rsidP="009F470C">
      <w:pPr>
        <w:spacing w:line="276" w:lineRule="auto"/>
        <w:ind w:firstLine="708"/>
      </w:pPr>
      <w:r w:rsidRPr="00727961">
        <w:t>Our</w:t>
      </w:r>
      <w:r w:rsidR="00BB5A59" w:rsidRPr="00727961">
        <w:t xml:space="preserve"> initial stage </w:t>
      </w:r>
      <w:r w:rsidR="00DB720D" w:rsidRPr="00727961">
        <w:t xml:space="preserve">in </w:t>
      </w:r>
      <w:r w:rsidR="00BB5A59" w:rsidRPr="00727961">
        <w:t>eva</w:t>
      </w:r>
      <w:r w:rsidRPr="00727961">
        <w:t>luating the FFL BC activities has been</w:t>
      </w:r>
      <w:r w:rsidR="00BB5A59" w:rsidRPr="00727961">
        <w:t xml:space="preserve"> to explore the academic literature </w:t>
      </w:r>
      <w:r w:rsidR="004C5100">
        <w:t>on</w:t>
      </w:r>
      <w:r w:rsidR="00DB720D" w:rsidRPr="00727961">
        <w:t xml:space="preserve"> state of research and practice</w:t>
      </w:r>
      <w:r w:rsidR="00F03D19" w:rsidRPr="00727961">
        <w:t>s</w:t>
      </w:r>
      <w:r w:rsidR="00DB720D" w:rsidRPr="00727961">
        <w:t xml:space="preserve"> surrounding the use of food, particularly the food environment, in improv</w:t>
      </w:r>
      <w:r w:rsidR="00C86BC6" w:rsidRPr="00727961">
        <w:t xml:space="preserve">ing the health and wellbeing of older people. The scope of this annotated </w:t>
      </w:r>
      <w:r w:rsidR="00D201F0" w:rsidRPr="00727961">
        <w:t xml:space="preserve">literature does not concern itself with much detail into the clinical impact of food on older people. Rather, it </w:t>
      </w:r>
      <w:r w:rsidR="00BB5A59" w:rsidRPr="00727961">
        <w:t xml:space="preserve">takes a </w:t>
      </w:r>
      <w:r w:rsidR="00727961" w:rsidRPr="00727961">
        <w:t>much</w:t>
      </w:r>
      <w:r w:rsidR="00BB5A59" w:rsidRPr="00727961">
        <w:t xml:space="preserve"> focused stance</w:t>
      </w:r>
      <w:r w:rsidR="00D201F0" w:rsidRPr="00727961">
        <w:t xml:space="preserve">, where it focuses on the role of the food environment </w:t>
      </w:r>
      <w:r w:rsidR="00F464CC" w:rsidRPr="00727961">
        <w:t xml:space="preserve">on </w:t>
      </w:r>
      <w:r w:rsidR="00C86BC6" w:rsidRPr="00727961">
        <w:t xml:space="preserve">the wellbeing </w:t>
      </w:r>
      <w:r w:rsidR="00D201F0" w:rsidRPr="00727961">
        <w:t xml:space="preserve">of older people. </w:t>
      </w:r>
    </w:p>
    <w:p w14:paraId="739F970C" w14:textId="0308ECF2" w:rsidR="0015636B" w:rsidRDefault="004C5100" w:rsidP="009F470C">
      <w:pPr>
        <w:spacing w:line="276" w:lineRule="auto"/>
        <w:ind w:firstLine="708"/>
      </w:pPr>
      <w:r>
        <w:t>T</w:t>
      </w:r>
      <w:r w:rsidR="00D201F0" w:rsidRPr="00727961">
        <w:t>he an</w:t>
      </w:r>
      <w:r>
        <w:t xml:space="preserve">notated </w:t>
      </w:r>
      <w:r w:rsidR="00D201F0" w:rsidRPr="00727961">
        <w:t xml:space="preserve">bibliography is organised </w:t>
      </w:r>
      <w:r w:rsidR="008A3610" w:rsidRPr="00727961">
        <w:t xml:space="preserve">into </w:t>
      </w:r>
      <w:r w:rsidR="002E6A3D" w:rsidRPr="00727961">
        <w:t xml:space="preserve">three broad </w:t>
      </w:r>
      <w:r w:rsidR="008A3610" w:rsidRPr="00727961">
        <w:t>themes: the problem of malnutrition among older people; interventions or activities to reduce malnutrition and improve the health and wellbeing of older people; and ev</w:t>
      </w:r>
      <w:r>
        <w:t xml:space="preserve">idence of effectiveness of </w:t>
      </w:r>
      <w:r w:rsidR="008A3610" w:rsidRPr="00727961">
        <w:t>interv</w:t>
      </w:r>
      <w:r>
        <w:t>entions</w:t>
      </w:r>
      <w:r w:rsidR="008A3610" w:rsidRPr="00727961">
        <w:t>. Under e</w:t>
      </w:r>
      <w:r>
        <w:t>ach theme, we have organised works</w:t>
      </w:r>
      <w:r w:rsidR="008A3610" w:rsidRPr="00727961">
        <w:t xml:space="preserve"> based on their focus on care home (</w:t>
      </w:r>
      <w:r w:rsidR="009275C1" w:rsidRPr="00727961">
        <w:t>including</w:t>
      </w:r>
      <w:r w:rsidR="008A3610" w:rsidRPr="00727961">
        <w:t xml:space="preserve"> nursing home and other instiutionalised living facilities), hospital (</w:t>
      </w:r>
      <w:r w:rsidR="009275C1" w:rsidRPr="00727961">
        <w:t>including</w:t>
      </w:r>
      <w:r w:rsidR="0015636B" w:rsidRPr="00727961">
        <w:t xml:space="preserve"> acute, subacute or any form of hospital care)</w:t>
      </w:r>
      <w:r w:rsidR="008A3610" w:rsidRPr="00727961">
        <w:t xml:space="preserve"> and community </w:t>
      </w:r>
      <w:r w:rsidR="0015636B" w:rsidRPr="00727961">
        <w:t>(</w:t>
      </w:r>
      <w:r w:rsidR="009275C1" w:rsidRPr="00727961">
        <w:t xml:space="preserve">including </w:t>
      </w:r>
      <w:r w:rsidR="0015636B" w:rsidRPr="00727961">
        <w:t xml:space="preserve">home </w:t>
      </w:r>
      <w:r w:rsidR="009275C1" w:rsidRPr="00727961">
        <w:t>and informal community spaces</w:t>
      </w:r>
      <w:r w:rsidR="0015636B" w:rsidRPr="00727961">
        <w:t xml:space="preserve">) </w:t>
      </w:r>
      <w:r w:rsidR="008A3610" w:rsidRPr="00727961">
        <w:t xml:space="preserve">settings. A summary of </w:t>
      </w:r>
      <w:r w:rsidR="009275C1" w:rsidRPr="00727961">
        <w:t xml:space="preserve">the literature is provided </w:t>
      </w:r>
      <w:r w:rsidR="009275C1" w:rsidRPr="00727961">
        <w:lastRenderedPageBreak/>
        <w:t>for each setting, along with</w:t>
      </w:r>
      <w:r w:rsidR="008A3610" w:rsidRPr="00727961">
        <w:t xml:space="preserve"> relevant food-related policies or guidelines for older people in the UK</w:t>
      </w:r>
      <w:r w:rsidR="0015636B" w:rsidRPr="00727961">
        <w:t xml:space="preserve">. </w:t>
      </w:r>
    </w:p>
    <w:p w14:paraId="0876B484" w14:textId="77777777" w:rsidR="00981776" w:rsidRPr="00727961" w:rsidRDefault="00981776" w:rsidP="001F5FB8">
      <w:pPr>
        <w:spacing w:line="276" w:lineRule="auto"/>
        <w:ind w:firstLine="708"/>
        <w:jc w:val="left"/>
      </w:pPr>
    </w:p>
    <w:p w14:paraId="595090D5" w14:textId="4BE68570" w:rsidR="003624D5" w:rsidRPr="003D71C8" w:rsidRDefault="003624D5" w:rsidP="00C671CF">
      <w:pPr>
        <w:pStyle w:val="Heading1"/>
      </w:pPr>
      <w:bookmarkStart w:id="1" w:name="_Toc499814916"/>
      <w:r w:rsidRPr="003D71C8">
        <w:t>Methods</w:t>
      </w:r>
      <w:bookmarkEnd w:id="1"/>
    </w:p>
    <w:p w14:paraId="282D72E9" w14:textId="2DE93E29" w:rsidR="00242BB6" w:rsidRPr="00727961" w:rsidRDefault="009275C1" w:rsidP="00242BB6">
      <w:pPr>
        <w:ind w:firstLine="708"/>
        <w:rPr>
          <w:lang w:val="en-GB"/>
        </w:rPr>
      </w:pPr>
      <w:r w:rsidRPr="00727961">
        <w:rPr>
          <w:lang w:val="en-GB"/>
        </w:rPr>
        <w:t xml:space="preserve">The development of this bibliography builds on </w:t>
      </w:r>
      <w:r w:rsidR="00242BB6" w:rsidRPr="00727961">
        <w:rPr>
          <w:lang w:val="en-GB"/>
        </w:rPr>
        <w:t xml:space="preserve">a theoretical framework </w:t>
      </w:r>
      <w:r w:rsidR="004E0095" w:rsidRPr="00727961">
        <w:rPr>
          <w:lang w:val="en-GB"/>
        </w:rPr>
        <w:t>that postulates t</w:t>
      </w:r>
      <w:r w:rsidR="00242BB6" w:rsidRPr="00727961">
        <w:rPr>
          <w:lang w:val="en-GB"/>
        </w:rPr>
        <w:t xml:space="preserve">he influence of different settings on the food experiences of older people. </w:t>
      </w:r>
      <w:r w:rsidR="00D1798F" w:rsidRPr="00727961">
        <w:rPr>
          <w:lang w:val="en-GB"/>
        </w:rPr>
        <w:t>We</w:t>
      </w:r>
      <w:r w:rsidR="00242BB6" w:rsidRPr="00727961">
        <w:rPr>
          <w:lang w:val="en-GB"/>
        </w:rPr>
        <w:t xml:space="preserve"> then</w:t>
      </w:r>
      <w:r w:rsidR="00D1798F" w:rsidRPr="00727961">
        <w:rPr>
          <w:lang w:val="en-GB"/>
        </w:rPr>
        <w:t xml:space="preserve"> developed a search </w:t>
      </w:r>
      <w:r w:rsidR="008D1324" w:rsidRPr="00727961">
        <w:rPr>
          <w:lang w:val="en-GB"/>
        </w:rPr>
        <w:t xml:space="preserve">strategy </w:t>
      </w:r>
      <w:r w:rsidR="00D1798F" w:rsidRPr="00727961">
        <w:rPr>
          <w:lang w:val="en-GB"/>
        </w:rPr>
        <w:t xml:space="preserve">to guide us in </w:t>
      </w:r>
      <w:r w:rsidR="00AF5FC2" w:rsidRPr="00727961">
        <w:rPr>
          <w:lang w:val="en-GB"/>
        </w:rPr>
        <w:t xml:space="preserve">obtaining </w:t>
      </w:r>
      <w:r w:rsidR="00D1798F" w:rsidRPr="00727961">
        <w:rPr>
          <w:lang w:val="en-GB"/>
        </w:rPr>
        <w:t>literature on the topic</w:t>
      </w:r>
      <w:r w:rsidR="004E0095" w:rsidRPr="00727961">
        <w:rPr>
          <w:lang w:val="en-GB"/>
        </w:rPr>
        <w:t xml:space="preserve"> </w:t>
      </w:r>
      <w:r w:rsidR="00D1798F" w:rsidRPr="00727961">
        <w:rPr>
          <w:lang w:val="en-GB"/>
        </w:rPr>
        <w:t xml:space="preserve">- food settings and the health and wellbeing of older people. Thus, we </w:t>
      </w:r>
      <w:r w:rsidR="004E0095" w:rsidRPr="00727961">
        <w:rPr>
          <w:lang w:val="en-GB"/>
        </w:rPr>
        <w:t>limited our search to food-related aspects on the health and wellbeing of older people</w:t>
      </w:r>
      <w:r w:rsidR="008D1324" w:rsidRPr="00727961">
        <w:rPr>
          <w:lang w:val="en-GB"/>
        </w:rPr>
        <w:t xml:space="preserve"> in</w:t>
      </w:r>
      <w:r w:rsidR="004E0095" w:rsidRPr="00727961">
        <w:rPr>
          <w:lang w:val="en-GB"/>
        </w:rPr>
        <w:t xml:space="preserve"> </w:t>
      </w:r>
      <w:r w:rsidR="008D1324" w:rsidRPr="00727961">
        <w:rPr>
          <w:lang w:val="en-GB"/>
        </w:rPr>
        <w:t xml:space="preserve">care home, hospital </w:t>
      </w:r>
      <w:r w:rsidR="00D1798F" w:rsidRPr="00727961">
        <w:rPr>
          <w:lang w:val="en-GB"/>
        </w:rPr>
        <w:t>and community</w:t>
      </w:r>
      <w:r w:rsidR="004E0095" w:rsidRPr="00727961">
        <w:rPr>
          <w:lang w:val="en-GB"/>
        </w:rPr>
        <w:t xml:space="preserve"> settings</w:t>
      </w:r>
      <w:r w:rsidR="00D1798F" w:rsidRPr="00727961">
        <w:rPr>
          <w:lang w:val="en-GB"/>
        </w:rPr>
        <w:t xml:space="preserve">. </w:t>
      </w:r>
    </w:p>
    <w:p w14:paraId="6A758A83" w14:textId="2BDEAFE5" w:rsidR="009275C1" w:rsidRPr="00727961" w:rsidRDefault="00242BB6" w:rsidP="00242BB6">
      <w:pPr>
        <w:ind w:firstLine="708"/>
        <w:rPr>
          <w:lang w:val="en-GB"/>
        </w:rPr>
      </w:pPr>
      <w:r w:rsidRPr="00727961">
        <w:rPr>
          <w:lang w:val="en-GB"/>
        </w:rPr>
        <w:t xml:space="preserve">We searched the following academic databases </w:t>
      </w:r>
      <w:r w:rsidR="00780E8C">
        <w:rPr>
          <w:lang w:val="en-GB"/>
        </w:rPr>
        <w:t xml:space="preserve">with their default publication </w:t>
      </w:r>
      <w:r w:rsidR="002B38D9">
        <w:rPr>
          <w:lang w:val="en-GB"/>
        </w:rPr>
        <w:t xml:space="preserve">start </w:t>
      </w:r>
      <w:r w:rsidR="00ED4E04">
        <w:rPr>
          <w:lang w:val="en-GB"/>
        </w:rPr>
        <w:t>date un</w:t>
      </w:r>
      <w:r w:rsidR="002B38D9">
        <w:rPr>
          <w:lang w:val="en-GB"/>
        </w:rPr>
        <w:t xml:space="preserve">til </w:t>
      </w:r>
      <w:r w:rsidR="00ED4E04">
        <w:rPr>
          <w:lang w:val="en-GB"/>
        </w:rPr>
        <w:t xml:space="preserve">September </w:t>
      </w:r>
      <w:r w:rsidR="002B38D9">
        <w:rPr>
          <w:lang w:val="en-GB"/>
        </w:rPr>
        <w:t xml:space="preserve">2017 </w:t>
      </w:r>
      <w:r w:rsidRPr="00727961">
        <w:rPr>
          <w:lang w:val="en-GB"/>
        </w:rPr>
        <w:t xml:space="preserve">for relevant </w:t>
      </w:r>
      <w:r w:rsidR="002B38D9">
        <w:rPr>
          <w:lang w:val="en-GB"/>
        </w:rPr>
        <w:t>records (articles, reports and documents)</w:t>
      </w:r>
      <w:r w:rsidR="008D1324" w:rsidRPr="00727961">
        <w:rPr>
          <w:lang w:val="en-GB"/>
        </w:rPr>
        <w:t>:</w:t>
      </w:r>
      <w:r w:rsidRPr="00727961">
        <w:rPr>
          <w:lang w:val="en-GB"/>
        </w:rPr>
        <w:t xml:space="preserve"> Scopus, ASSIA (Applied Social Scie</w:t>
      </w:r>
      <w:r w:rsidR="00727961">
        <w:rPr>
          <w:lang w:val="en-GB"/>
        </w:rPr>
        <w:t>nces Index and Abstracts), Psyc</w:t>
      </w:r>
      <w:r w:rsidRPr="00727961">
        <w:rPr>
          <w:lang w:val="en-GB"/>
        </w:rPr>
        <w:t xml:space="preserve">INFO, CINAHL, MEDLINE and the Cochrane Library. </w:t>
      </w:r>
      <w:r w:rsidR="00D1798F" w:rsidRPr="00727961">
        <w:rPr>
          <w:lang w:val="en-GB"/>
        </w:rPr>
        <w:t xml:space="preserve">We used </w:t>
      </w:r>
      <w:r w:rsidRPr="00727961">
        <w:rPr>
          <w:lang w:val="en-GB"/>
        </w:rPr>
        <w:t xml:space="preserve">the following </w:t>
      </w:r>
      <w:r w:rsidR="00D1798F" w:rsidRPr="00727961">
        <w:rPr>
          <w:lang w:val="en-GB"/>
        </w:rPr>
        <w:t xml:space="preserve">search terms to </w:t>
      </w:r>
      <w:r w:rsidRPr="00727961">
        <w:rPr>
          <w:lang w:val="en-GB"/>
        </w:rPr>
        <w:t xml:space="preserve">obtain literature from the databases: </w:t>
      </w:r>
    </w:p>
    <w:p w14:paraId="2EF6B06D" w14:textId="09B05F3C" w:rsidR="009275C1" w:rsidRPr="00727961" w:rsidRDefault="00D1798F" w:rsidP="009275C1">
      <w:pPr>
        <w:ind w:left="708"/>
        <w:rPr>
          <w:lang w:val="en-GB"/>
        </w:rPr>
      </w:pPr>
      <w:r w:rsidRPr="00727961">
        <w:rPr>
          <w:lang w:val="en-GB"/>
        </w:rPr>
        <w:t>food, feed, eat, meal, nutrition, cook, gardening, food growing, dining, shopping, catering,</w:t>
      </w:r>
      <w:r w:rsidR="00987E3F" w:rsidRPr="00727961">
        <w:rPr>
          <w:lang w:val="en-GB"/>
        </w:rPr>
        <w:t xml:space="preserve"> health, wellbeing, isolation, loneliness, malnutrition, food supplement, oral supplement, hydration. </w:t>
      </w:r>
    </w:p>
    <w:p w14:paraId="435A871A" w14:textId="338F2DBC" w:rsidR="00242BB6" w:rsidRPr="000263B1" w:rsidRDefault="009275C1" w:rsidP="00242BB6">
      <w:pPr>
        <w:ind w:firstLine="708"/>
        <w:rPr>
          <w:lang w:val="en-GB"/>
        </w:rPr>
      </w:pPr>
      <w:r w:rsidRPr="000263B1">
        <w:rPr>
          <w:lang w:val="en-GB"/>
        </w:rPr>
        <w:t>T</w:t>
      </w:r>
      <w:r w:rsidR="00987E3F" w:rsidRPr="000263B1">
        <w:rPr>
          <w:lang w:val="en-GB"/>
        </w:rPr>
        <w:t xml:space="preserve">runcations </w:t>
      </w:r>
      <w:r w:rsidR="008D1324" w:rsidRPr="000263B1">
        <w:rPr>
          <w:lang w:val="en-GB"/>
        </w:rPr>
        <w:t xml:space="preserve">(e.g. asterisks ‘*’) </w:t>
      </w:r>
      <w:r w:rsidR="00987E3F" w:rsidRPr="000263B1">
        <w:rPr>
          <w:lang w:val="en-GB"/>
        </w:rPr>
        <w:t>were used on these search terms to get the widest possible search. Boolean terms, “AND” and “OR” were</w:t>
      </w:r>
      <w:r w:rsidR="008D1324" w:rsidRPr="000263B1">
        <w:rPr>
          <w:lang w:val="en-GB"/>
        </w:rPr>
        <w:t xml:space="preserve"> applied to </w:t>
      </w:r>
      <w:r w:rsidR="00987E3F" w:rsidRPr="000263B1">
        <w:rPr>
          <w:lang w:val="en-GB"/>
        </w:rPr>
        <w:t xml:space="preserve">the search terms to get the most relevant </w:t>
      </w:r>
      <w:r w:rsidR="00143177">
        <w:rPr>
          <w:lang w:val="en-GB"/>
        </w:rPr>
        <w:t>records</w:t>
      </w:r>
      <w:r w:rsidR="00987E3F" w:rsidRPr="000263B1">
        <w:rPr>
          <w:lang w:val="en-GB"/>
        </w:rPr>
        <w:t xml:space="preserve">. </w:t>
      </w:r>
      <w:r w:rsidR="00242BB6" w:rsidRPr="000263B1">
        <w:rPr>
          <w:lang w:val="en-GB"/>
        </w:rPr>
        <w:t>In addition, we requested relevant reports and documents on the topic from staff at the Soil Association working in the area of food and older people.</w:t>
      </w:r>
    </w:p>
    <w:p w14:paraId="1295D154" w14:textId="6C1F5DA3" w:rsidR="00987E3F" w:rsidRPr="00143177" w:rsidRDefault="00987E3F" w:rsidP="00143177">
      <w:pPr>
        <w:ind w:firstLine="708"/>
        <w:rPr>
          <w:highlight w:val="green"/>
          <w:lang w:val="en-GB"/>
        </w:rPr>
      </w:pPr>
      <w:r w:rsidRPr="000263B1">
        <w:rPr>
          <w:lang w:val="en-GB"/>
        </w:rPr>
        <w:t xml:space="preserve">All </w:t>
      </w:r>
      <w:r w:rsidR="002B38D9">
        <w:rPr>
          <w:lang w:val="en-GB"/>
        </w:rPr>
        <w:t>records</w:t>
      </w:r>
      <w:r w:rsidR="00242BB6" w:rsidRPr="000263B1">
        <w:rPr>
          <w:lang w:val="en-GB"/>
        </w:rPr>
        <w:t xml:space="preserve"> i</w:t>
      </w:r>
      <w:r w:rsidRPr="000263B1">
        <w:rPr>
          <w:lang w:val="en-GB"/>
        </w:rPr>
        <w:t xml:space="preserve">dentified </w:t>
      </w:r>
      <w:r w:rsidR="00242BB6" w:rsidRPr="000263B1">
        <w:rPr>
          <w:lang w:val="en-GB"/>
        </w:rPr>
        <w:t xml:space="preserve">through our search process </w:t>
      </w:r>
      <w:r w:rsidRPr="000263B1">
        <w:rPr>
          <w:lang w:val="en-GB"/>
        </w:rPr>
        <w:t xml:space="preserve">were exported to a </w:t>
      </w:r>
      <w:r w:rsidR="00242BB6" w:rsidRPr="000263B1">
        <w:rPr>
          <w:lang w:val="en-GB"/>
        </w:rPr>
        <w:t>reference</w:t>
      </w:r>
      <w:r w:rsidRPr="000263B1">
        <w:rPr>
          <w:lang w:val="en-GB"/>
        </w:rPr>
        <w:t xml:space="preserve"> manage</w:t>
      </w:r>
      <w:r w:rsidR="00242BB6" w:rsidRPr="000263B1">
        <w:rPr>
          <w:lang w:val="en-GB"/>
        </w:rPr>
        <w:t>r software, Ref</w:t>
      </w:r>
      <w:r w:rsidRPr="000263B1">
        <w:rPr>
          <w:lang w:val="en-GB"/>
        </w:rPr>
        <w:t xml:space="preserve">Works, where duplicates were </w:t>
      </w:r>
      <w:r w:rsidR="008D1324" w:rsidRPr="000263B1">
        <w:rPr>
          <w:lang w:val="en-GB"/>
        </w:rPr>
        <w:t>removed,</w:t>
      </w:r>
      <w:r w:rsidRPr="000263B1">
        <w:rPr>
          <w:lang w:val="en-GB"/>
        </w:rPr>
        <w:t xml:space="preserve"> and the bibliographic </w:t>
      </w:r>
      <w:r w:rsidR="00457E26" w:rsidRPr="000263B1">
        <w:rPr>
          <w:lang w:val="en-GB"/>
        </w:rPr>
        <w:t>summary</w:t>
      </w:r>
      <w:r w:rsidRPr="000263B1">
        <w:rPr>
          <w:lang w:val="en-GB"/>
        </w:rPr>
        <w:t xml:space="preserve"> of the re</w:t>
      </w:r>
      <w:r w:rsidR="00143177">
        <w:rPr>
          <w:lang w:val="en-GB"/>
        </w:rPr>
        <w:t>cords</w:t>
      </w:r>
      <w:r w:rsidRPr="000263B1">
        <w:rPr>
          <w:lang w:val="en-GB"/>
        </w:rPr>
        <w:t xml:space="preserve"> were </w:t>
      </w:r>
      <w:r w:rsidR="00457E26" w:rsidRPr="000263B1">
        <w:rPr>
          <w:lang w:val="en-GB"/>
        </w:rPr>
        <w:t>generated</w:t>
      </w:r>
      <w:r w:rsidRPr="000263B1">
        <w:rPr>
          <w:lang w:val="en-GB"/>
        </w:rPr>
        <w:t xml:space="preserve">. </w:t>
      </w:r>
      <w:r w:rsidR="00457E26" w:rsidRPr="000263B1">
        <w:rPr>
          <w:lang w:val="en-GB"/>
        </w:rPr>
        <w:t xml:space="preserve">When </w:t>
      </w:r>
      <w:r w:rsidRPr="000263B1">
        <w:rPr>
          <w:lang w:val="en-GB"/>
        </w:rPr>
        <w:t>re</w:t>
      </w:r>
      <w:r w:rsidR="00143177">
        <w:rPr>
          <w:lang w:val="en-GB"/>
        </w:rPr>
        <w:t xml:space="preserve">cords </w:t>
      </w:r>
      <w:r w:rsidRPr="000263B1">
        <w:rPr>
          <w:lang w:val="en-GB"/>
        </w:rPr>
        <w:t xml:space="preserve">could not be </w:t>
      </w:r>
      <w:r w:rsidR="008D1324" w:rsidRPr="000263B1">
        <w:rPr>
          <w:lang w:val="en-GB"/>
        </w:rPr>
        <w:t>ex</w:t>
      </w:r>
      <w:r w:rsidR="00457E26" w:rsidRPr="000263B1">
        <w:rPr>
          <w:lang w:val="en-GB"/>
        </w:rPr>
        <w:t>ported</w:t>
      </w:r>
      <w:r w:rsidRPr="000263B1">
        <w:rPr>
          <w:lang w:val="en-GB"/>
        </w:rPr>
        <w:t xml:space="preserve"> to </w:t>
      </w:r>
      <w:r w:rsidR="00457E26" w:rsidRPr="000263B1">
        <w:rPr>
          <w:lang w:val="en-GB"/>
        </w:rPr>
        <w:t>RefWorks</w:t>
      </w:r>
      <w:r w:rsidRPr="000263B1">
        <w:rPr>
          <w:lang w:val="en-GB"/>
        </w:rPr>
        <w:t xml:space="preserve">, the annotations were done manually. </w:t>
      </w:r>
      <w:r w:rsidR="00BA5B2F" w:rsidRPr="00143177">
        <w:rPr>
          <w:lang w:val="en-GB"/>
        </w:rPr>
        <w:t xml:space="preserve">The final selection of </w:t>
      </w:r>
      <w:r w:rsidR="00780E8C">
        <w:rPr>
          <w:lang w:val="en-GB"/>
        </w:rPr>
        <w:t>102</w:t>
      </w:r>
      <w:r w:rsidR="000263B1" w:rsidRPr="00143177">
        <w:rPr>
          <w:lang w:val="en-GB"/>
        </w:rPr>
        <w:t xml:space="preserve"> </w:t>
      </w:r>
      <w:r w:rsidR="00143177" w:rsidRPr="00143177">
        <w:rPr>
          <w:lang w:val="en-GB"/>
        </w:rPr>
        <w:t xml:space="preserve">records </w:t>
      </w:r>
      <w:r w:rsidR="00BA5B2F" w:rsidRPr="00143177">
        <w:rPr>
          <w:lang w:val="en-GB"/>
        </w:rPr>
        <w:t xml:space="preserve">presented </w:t>
      </w:r>
      <w:r w:rsidR="00780E8C">
        <w:rPr>
          <w:lang w:val="en-GB"/>
        </w:rPr>
        <w:t xml:space="preserve">in this annotated bibliography </w:t>
      </w:r>
      <w:r w:rsidR="00BA5B2F" w:rsidRPr="00143177">
        <w:rPr>
          <w:lang w:val="en-GB"/>
        </w:rPr>
        <w:t>were derived from screening</w:t>
      </w:r>
      <w:r w:rsidR="002B38D9">
        <w:rPr>
          <w:lang w:val="en-GB"/>
        </w:rPr>
        <w:t xml:space="preserve"> </w:t>
      </w:r>
      <w:r w:rsidR="00BA5B2F" w:rsidRPr="00143177">
        <w:rPr>
          <w:lang w:val="en-GB"/>
        </w:rPr>
        <w:t xml:space="preserve">and categorisation of </w:t>
      </w:r>
      <w:r w:rsidR="00143177" w:rsidRPr="00143177">
        <w:rPr>
          <w:lang w:val="en-GB"/>
        </w:rPr>
        <w:t>5,488 records</w:t>
      </w:r>
      <w:r w:rsidR="00BA5B2F" w:rsidRPr="00143177">
        <w:rPr>
          <w:lang w:val="en-GB"/>
        </w:rPr>
        <w:t>. The annotations were produced through</w:t>
      </w:r>
      <w:r w:rsidRPr="00143177">
        <w:rPr>
          <w:lang w:val="en-GB"/>
        </w:rPr>
        <w:t xml:space="preserve"> reading t</w:t>
      </w:r>
      <w:r w:rsidR="00457E26" w:rsidRPr="00143177">
        <w:rPr>
          <w:lang w:val="en-GB"/>
        </w:rPr>
        <w:t>he</w:t>
      </w:r>
      <w:r w:rsidRPr="00143177">
        <w:rPr>
          <w:lang w:val="en-GB"/>
        </w:rPr>
        <w:t xml:space="preserve"> </w:t>
      </w:r>
      <w:r w:rsidR="00457E26" w:rsidRPr="00143177">
        <w:rPr>
          <w:lang w:val="en-GB"/>
        </w:rPr>
        <w:t>abstracts</w:t>
      </w:r>
      <w:r w:rsidR="00BA5B2F" w:rsidRPr="00143177">
        <w:rPr>
          <w:lang w:val="en-GB"/>
        </w:rPr>
        <w:t xml:space="preserve"> and full text of each </w:t>
      </w:r>
      <w:r w:rsidR="00780E8C">
        <w:rPr>
          <w:lang w:val="en-GB"/>
        </w:rPr>
        <w:t>record</w:t>
      </w:r>
      <w:r w:rsidRPr="00143177">
        <w:rPr>
          <w:lang w:val="en-GB"/>
        </w:rPr>
        <w:t>.</w:t>
      </w:r>
      <w:r>
        <w:rPr>
          <w:lang w:val="en-GB"/>
        </w:rPr>
        <w:t xml:space="preserve"> </w:t>
      </w:r>
      <w:r w:rsidR="00780E8C">
        <w:rPr>
          <w:lang w:val="en-GB"/>
        </w:rPr>
        <w:t>Only records published in English Language are presented in this annotated bibliography.</w:t>
      </w:r>
    </w:p>
    <w:p w14:paraId="1DC07C22" w14:textId="6E0B0607" w:rsidR="00F61A69" w:rsidRDefault="00F61A69" w:rsidP="00981776">
      <w:pPr>
        <w:rPr>
          <w:lang w:val="en-GB"/>
        </w:rPr>
      </w:pPr>
    </w:p>
    <w:p w14:paraId="240FF21B" w14:textId="331A6073" w:rsidR="0022047A" w:rsidRPr="000111FA" w:rsidRDefault="00F8373A" w:rsidP="00C671CF">
      <w:pPr>
        <w:pStyle w:val="Heading1"/>
      </w:pPr>
      <w:bookmarkStart w:id="2" w:name="_Toc499814917"/>
      <w:r>
        <w:lastRenderedPageBreak/>
        <w:t>Key for</w:t>
      </w:r>
      <w:r w:rsidR="0022047A">
        <w:t xml:space="preserve"> type of </w:t>
      </w:r>
      <w:r w:rsidR="00903CBE">
        <w:t>literature</w:t>
      </w:r>
      <w:bookmarkEnd w:id="2"/>
      <w:r w:rsidR="0022047A">
        <w:t xml:space="preserve">  </w:t>
      </w:r>
    </w:p>
    <w:p w14:paraId="5EB6544A" w14:textId="648686E4" w:rsidR="00AD1886" w:rsidRDefault="00AD1886" w:rsidP="00AD1886">
      <w:pPr>
        <w:spacing w:line="480" w:lineRule="auto"/>
      </w:pPr>
      <w:r>
        <w:rPr>
          <w:b/>
        </w:rPr>
        <w:t>AJ</w:t>
      </w:r>
      <w:r>
        <w:t xml:space="preserve"> = </w:t>
      </w:r>
      <w:r w:rsidR="00903CBE">
        <w:t>Academic Journal article</w:t>
      </w:r>
    </w:p>
    <w:p w14:paraId="34D6EA78" w14:textId="2875E33A" w:rsidR="00AD1886" w:rsidRDefault="00AD1886" w:rsidP="0022047A">
      <w:pPr>
        <w:spacing w:line="480" w:lineRule="auto"/>
      </w:pPr>
      <w:r>
        <w:rPr>
          <w:b/>
        </w:rPr>
        <w:t xml:space="preserve">G </w:t>
      </w:r>
      <w:r>
        <w:t>= Guideline</w:t>
      </w:r>
      <w:r w:rsidR="00A50F46">
        <w:t>s</w:t>
      </w:r>
      <w:r>
        <w:t xml:space="preserve"> </w:t>
      </w:r>
    </w:p>
    <w:p w14:paraId="49181269" w14:textId="496910CE" w:rsidR="00AD1886" w:rsidRPr="00AD1886" w:rsidRDefault="00AD1886" w:rsidP="0022047A">
      <w:pPr>
        <w:spacing w:line="480" w:lineRule="auto"/>
      </w:pPr>
      <w:r>
        <w:rPr>
          <w:b/>
        </w:rPr>
        <w:t xml:space="preserve">NR </w:t>
      </w:r>
      <w:r>
        <w:t>= Narrative Review</w:t>
      </w:r>
    </w:p>
    <w:p w14:paraId="12C7B80C" w14:textId="58592F17" w:rsidR="0022047A" w:rsidRDefault="00AD1886" w:rsidP="0022047A">
      <w:pPr>
        <w:spacing w:line="480" w:lineRule="auto"/>
      </w:pPr>
      <w:r>
        <w:rPr>
          <w:b/>
        </w:rPr>
        <w:t>S</w:t>
      </w:r>
      <w:r w:rsidR="0022047A" w:rsidRPr="00644CBF">
        <w:rPr>
          <w:b/>
        </w:rPr>
        <w:t>R</w:t>
      </w:r>
      <w:r w:rsidR="0022047A">
        <w:t xml:space="preserve"> = Systematic Review </w:t>
      </w:r>
    </w:p>
    <w:p w14:paraId="2D3949F9" w14:textId="0C09EFF8" w:rsidR="0022047A" w:rsidRDefault="0022047A" w:rsidP="0022047A">
      <w:pPr>
        <w:spacing w:line="480" w:lineRule="auto"/>
      </w:pPr>
      <w:r w:rsidRPr="00644CBF">
        <w:rPr>
          <w:b/>
        </w:rPr>
        <w:t>R</w:t>
      </w:r>
      <w:r>
        <w:t>= Report</w:t>
      </w:r>
    </w:p>
    <w:p w14:paraId="7447B48A" w14:textId="22100F3D" w:rsidR="00AD1886" w:rsidRPr="000111FA" w:rsidRDefault="00AD1886" w:rsidP="0022047A">
      <w:pPr>
        <w:spacing w:line="480" w:lineRule="auto"/>
      </w:pPr>
      <w:r w:rsidRPr="00644CBF">
        <w:rPr>
          <w:b/>
        </w:rPr>
        <w:t xml:space="preserve">** </w:t>
      </w:r>
      <w:r>
        <w:t>= Proposed research</w:t>
      </w:r>
    </w:p>
    <w:p w14:paraId="0CFA186D" w14:textId="4719BA95" w:rsidR="00903CBE" w:rsidRDefault="00903CBE" w:rsidP="00037954">
      <w:pPr>
        <w:spacing w:line="276" w:lineRule="auto"/>
        <w:rPr>
          <w:lang w:val="en-GB"/>
        </w:rPr>
      </w:pPr>
      <w:r w:rsidRPr="00037954">
        <w:rPr>
          <w:lang w:val="en-GB"/>
        </w:rPr>
        <w:t>We used abbreviations (AJ, G, NR, SR, R, **) to denote the type of literature in our bibliographic presentations. Our classification of the type of literature used here is only arbitrary and does not represent a clear distinction between types of literature. Thus, there are several cross overs in our classification. For instance, a systematic review (SR) or a narratives review (NR) can both be classified as academic journal articles. We have therefore, used our classification for organisational purposes only.</w:t>
      </w:r>
    </w:p>
    <w:p w14:paraId="4117C104" w14:textId="77777777" w:rsidR="00981776" w:rsidRPr="00037954" w:rsidRDefault="00981776" w:rsidP="00037954">
      <w:pPr>
        <w:spacing w:line="276" w:lineRule="auto"/>
        <w:rPr>
          <w:lang w:val="en-GB"/>
        </w:rPr>
      </w:pPr>
    </w:p>
    <w:p w14:paraId="5DC09009" w14:textId="5D0C49CD" w:rsidR="00E31E3C" w:rsidRPr="003D71C8" w:rsidRDefault="00E31E3C" w:rsidP="00C671CF">
      <w:pPr>
        <w:pStyle w:val="Heading1"/>
      </w:pPr>
      <w:bookmarkStart w:id="3" w:name="_Toc499814918"/>
      <w:r w:rsidRPr="003D71C8">
        <w:t>Theoretical framework</w:t>
      </w:r>
      <w:bookmarkEnd w:id="3"/>
    </w:p>
    <w:p w14:paraId="00E5589C" w14:textId="6A08F997" w:rsidR="00E31E3C" w:rsidRDefault="00E31E3C" w:rsidP="00037954">
      <w:pPr>
        <w:spacing w:line="276" w:lineRule="auto"/>
        <w:rPr>
          <w:b/>
          <w:lang w:val="en-GB"/>
        </w:rPr>
      </w:pPr>
      <w:r w:rsidRPr="00A405E0">
        <w:rPr>
          <w:lang w:val="en-GB"/>
        </w:rPr>
        <w:t xml:space="preserve">In order to inform the review, we developed a framework to help conceptualise the role of settings in food-related experiences of older people. Figure 1 is the first draft developed. It is intended to show the relative importance of different settings for people in older age, and to illustrate changes over the course of time. The framework builds on various sources of evidence including data on employment patterns, household residence patterns and food consumption, hospital and care home residence.  </w:t>
      </w:r>
    </w:p>
    <w:p w14:paraId="79850E8B" w14:textId="77777777" w:rsidR="00E31E3C" w:rsidRDefault="00E31E3C" w:rsidP="00E31E3C">
      <w:pPr>
        <w:rPr>
          <w:b/>
          <w:lang w:val="en-GB"/>
        </w:rPr>
      </w:pPr>
    </w:p>
    <w:p w14:paraId="106A6CC1" w14:textId="77777777" w:rsidR="00E31E3C" w:rsidRDefault="00E31E3C" w:rsidP="00E31E3C">
      <w:pPr>
        <w:rPr>
          <w:b/>
          <w:lang w:val="en-GB"/>
        </w:rPr>
      </w:pPr>
    </w:p>
    <w:p w14:paraId="300D2E32" w14:textId="058CF1F0" w:rsidR="00E31E3C" w:rsidRDefault="00E31E3C" w:rsidP="00E31E3C">
      <w:pPr>
        <w:rPr>
          <w:lang w:val="en-GB"/>
        </w:rPr>
        <w:sectPr w:rsidR="00E31E3C" w:rsidSect="000E3DBA">
          <w:footerReference w:type="default" r:id="rId18"/>
          <w:type w:val="continuous"/>
          <w:pgSz w:w="12240" w:h="15840"/>
          <w:pgMar w:top="1440" w:right="1440" w:bottom="1440" w:left="1440" w:header="720" w:footer="720" w:gutter="0"/>
          <w:cols w:space="720"/>
          <w:docGrid w:linePitch="381"/>
        </w:sectPr>
      </w:pPr>
    </w:p>
    <w:p w14:paraId="04B1F49B" w14:textId="77777777" w:rsidR="00E31E3C" w:rsidRDefault="00E31E3C" w:rsidP="00E31E3C">
      <w:pPr>
        <w:keepNext/>
      </w:pPr>
      <w:r w:rsidRPr="003624D5">
        <w:rPr>
          <w:noProof/>
          <w:lang w:val="en-GB" w:eastAsia="en-GB"/>
        </w:rPr>
        <w:lastRenderedPageBreak/>
        <w:drawing>
          <wp:inline distT="0" distB="0" distL="0" distR="0" wp14:anchorId="0E474C32" wp14:editId="6042D1FC">
            <wp:extent cx="8839200" cy="506581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1950"/>
                    <a:stretch/>
                  </pic:blipFill>
                  <pic:spPr bwMode="auto">
                    <a:xfrm>
                      <a:off x="0" y="0"/>
                      <a:ext cx="8867169" cy="5081840"/>
                    </a:xfrm>
                    <a:prstGeom prst="rect">
                      <a:avLst/>
                    </a:prstGeom>
                    <a:ln>
                      <a:noFill/>
                    </a:ln>
                    <a:extLst>
                      <a:ext uri="{53640926-AAD7-44D8-BBD7-CCE9431645EC}">
                        <a14:shadowObscured xmlns:a14="http://schemas.microsoft.com/office/drawing/2010/main"/>
                      </a:ext>
                    </a:extLst>
                  </pic:spPr>
                </pic:pic>
              </a:graphicData>
            </a:graphic>
          </wp:inline>
        </w:drawing>
      </w:r>
    </w:p>
    <w:p w14:paraId="3A0199E1" w14:textId="11FD95A7" w:rsidR="00E31E3C" w:rsidRPr="003D71C8" w:rsidRDefault="00E31E3C" w:rsidP="00981776">
      <w:pPr>
        <w:pStyle w:val="Caption"/>
        <w:jc w:val="left"/>
        <w:rPr>
          <w:b/>
          <w:i w:val="0"/>
          <w:color w:val="auto"/>
          <w:lang w:val="en-GB"/>
        </w:rPr>
        <w:sectPr w:rsidR="00E31E3C" w:rsidRPr="003D71C8" w:rsidSect="003624D5">
          <w:pgSz w:w="15840" w:h="12240" w:orient="landscape"/>
          <w:pgMar w:top="1440" w:right="1440" w:bottom="1440" w:left="1440" w:header="720" w:footer="720" w:gutter="0"/>
          <w:cols w:space="720"/>
          <w:titlePg/>
          <w:docGrid w:linePitch="299"/>
        </w:sectPr>
      </w:pPr>
      <w:r w:rsidRPr="003D71C8">
        <w:rPr>
          <w:b/>
          <w:i w:val="0"/>
          <w:color w:val="auto"/>
        </w:rPr>
        <w:t xml:space="preserve">Figure </w:t>
      </w:r>
      <w:r w:rsidRPr="003D71C8">
        <w:rPr>
          <w:b/>
          <w:i w:val="0"/>
          <w:color w:val="auto"/>
        </w:rPr>
        <w:fldChar w:fldCharType="begin"/>
      </w:r>
      <w:r w:rsidRPr="003D71C8">
        <w:rPr>
          <w:b/>
          <w:i w:val="0"/>
          <w:color w:val="auto"/>
        </w:rPr>
        <w:instrText xml:space="preserve"> SEQ Figure \* ARABIC </w:instrText>
      </w:r>
      <w:r w:rsidRPr="003D71C8">
        <w:rPr>
          <w:b/>
          <w:i w:val="0"/>
          <w:color w:val="auto"/>
        </w:rPr>
        <w:fldChar w:fldCharType="separate"/>
      </w:r>
      <w:r w:rsidR="00514EE1">
        <w:rPr>
          <w:b/>
          <w:i w:val="0"/>
          <w:noProof/>
          <w:color w:val="auto"/>
        </w:rPr>
        <w:t>1</w:t>
      </w:r>
      <w:r w:rsidRPr="003D71C8">
        <w:rPr>
          <w:b/>
          <w:i w:val="0"/>
          <w:color w:val="auto"/>
        </w:rPr>
        <w:fldChar w:fldCharType="end"/>
      </w:r>
      <w:r w:rsidRPr="003D71C8">
        <w:rPr>
          <w:b/>
          <w:i w:val="0"/>
          <w:color w:val="auto"/>
        </w:rPr>
        <w:t>: Food Settings in Older Age: a</w:t>
      </w:r>
      <w:r w:rsidR="0075398D">
        <w:rPr>
          <w:b/>
          <w:i w:val="0"/>
          <w:color w:val="auto"/>
        </w:rPr>
        <w:t xml:space="preserve"> theoretical framework</w:t>
      </w:r>
    </w:p>
    <w:p w14:paraId="6A790FB9" w14:textId="2DD00069" w:rsidR="00E31E3C" w:rsidRPr="003D71C8" w:rsidRDefault="00E31E3C" w:rsidP="00E31E3C">
      <w:pPr>
        <w:pStyle w:val="Caption"/>
        <w:keepNext/>
        <w:rPr>
          <w:b/>
          <w:i w:val="0"/>
          <w:color w:val="auto"/>
        </w:rPr>
      </w:pPr>
      <w:r w:rsidRPr="003D71C8">
        <w:rPr>
          <w:b/>
          <w:i w:val="0"/>
          <w:color w:val="auto"/>
        </w:rPr>
        <w:lastRenderedPageBreak/>
        <w:t xml:space="preserve">Table </w:t>
      </w:r>
      <w:r w:rsidRPr="003D71C8">
        <w:rPr>
          <w:b/>
          <w:i w:val="0"/>
          <w:color w:val="auto"/>
        </w:rPr>
        <w:fldChar w:fldCharType="begin"/>
      </w:r>
      <w:r w:rsidRPr="003D71C8">
        <w:rPr>
          <w:b/>
          <w:i w:val="0"/>
          <w:color w:val="auto"/>
        </w:rPr>
        <w:instrText xml:space="preserve"> SEQ Table \* ARABIC </w:instrText>
      </w:r>
      <w:r w:rsidRPr="003D71C8">
        <w:rPr>
          <w:b/>
          <w:i w:val="0"/>
          <w:color w:val="auto"/>
        </w:rPr>
        <w:fldChar w:fldCharType="separate"/>
      </w:r>
      <w:r w:rsidR="00514EE1">
        <w:rPr>
          <w:b/>
          <w:i w:val="0"/>
          <w:noProof/>
          <w:color w:val="auto"/>
        </w:rPr>
        <w:t>1</w:t>
      </w:r>
      <w:r w:rsidRPr="003D71C8">
        <w:rPr>
          <w:b/>
          <w:i w:val="0"/>
          <w:color w:val="auto"/>
        </w:rPr>
        <w:fldChar w:fldCharType="end"/>
      </w:r>
      <w:r w:rsidRPr="003D71C8">
        <w:rPr>
          <w:b/>
          <w:i w:val="0"/>
          <w:color w:val="auto"/>
        </w:rPr>
        <w:t xml:space="preserve"> Key to Figure 1</w:t>
      </w:r>
    </w:p>
    <w:tbl>
      <w:tblPr>
        <w:tblStyle w:val="TableGrid"/>
        <w:tblW w:w="0" w:type="auto"/>
        <w:tblLook w:val="04A0" w:firstRow="1" w:lastRow="0" w:firstColumn="1" w:lastColumn="0" w:noHBand="0" w:noVBand="1"/>
      </w:tblPr>
      <w:tblGrid>
        <w:gridCol w:w="2547"/>
        <w:gridCol w:w="6803"/>
      </w:tblGrid>
      <w:tr w:rsidR="00E31E3C" w:rsidRPr="003624D5" w14:paraId="5EBF0EA5" w14:textId="77777777" w:rsidTr="005E487D">
        <w:tc>
          <w:tcPr>
            <w:tcW w:w="2547" w:type="dxa"/>
          </w:tcPr>
          <w:p w14:paraId="415D14E2" w14:textId="77777777" w:rsidR="00E31E3C" w:rsidRPr="003624D5" w:rsidRDefault="00E31E3C" w:rsidP="005E487D">
            <w:pPr>
              <w:spacing w:after="160" w:line="259" w:lineRule="auto"/>
              <w:rPr>
                <w:rFonts w:eastAsiaTheme="minorEastAsia"/>
                <w:b/>
              </w:rPr>
            </w:pPr>
            <w:r>
              <w:rPr>
                <w:rFonts w:eastAsiaTheme="minorEastAsia"/>
                <w:b/>
              </w:rPr>
              <w:t xml:space="preserve">Label </w:t>
            </w:r>
          </w:p>
        </w:tc>
        <w:tc>
          <w:tcPr>
            <w:tcW w:w="6803" w:type="dxa"/>
          </w:tcPr>
          <w:p w14:paraId="2AF6F26D" w14:textId="77777777" w:rsidR="00E31E3C" w:rsidRPr="003D71C8" w:rsidRDefault="00E31E3C" w:rsidP="005E487D">
            <w:pPr>
              <w:spacing w:after="160" w:line="259" w:lineRule="auto"/>
              <w:rPr>
                <w:rFonts w:eastAsiaTheme="minorEastAsia"/>
                <w:b/>
              </w:rPr>
            </w:pPr>
            <w:r w:rsidRPr="003D71C8">
              <w:rPr>
                <w:rFonts w:eastAsiaTheme="minorEastAsia"/>
                <w:b/>
              </w:rPr>
              <w:t>Brief explanation</w:t>
            </w:r>
          </w:p>
        </w:tc>
      </w:tr>
      <w:tr w:rsidR="00E31E3C" w:rsidRPr="003624D5" w14:paraId="582B1D97" w14:textId="77777777" w:rsidTr="005E487D">
        <w:tc>
          <w:tcPr>
            <w:tcW w:w="2547" w:type="dxa"/>
          </w:tcPr>
          <w:p w14:paraId="62A1C1FB" w14:textId="77777777" w:rsidR="00E31E3C" w:rsidRPr="003624D5" w:rsidRDefault="00E31E3C" w:rsidP="005E487D">
            <w:pPr>
              <w:spacing w:after="160" w:line="259" w:lineRule="auto"/>
              <w:rPr>
                <w:rFonts w:eastAsiaTheme="minorEastAsia"/>
              </w:rPr>
            </w:pPr>
            <w:r w:rsidRPr="003624D5">
              <w:rPr>
                <w:rFonts w:eastAsiaTheme="minorEastAsia"/>
              </w:rPr>
              <w:t>Workplace</w:t>
            </w:r>
          </w:p>
        </w:tc>
        <w:tc>
          <w:tcPr>
            <w:tcW w:w="6803" w:type="dxa"/>
          </w:tcPr>
          <w:p w14:paraId="729BA58E" w14:textId="77777777" w:rsidR="00E31E3C" w:rsidRPr="003624D5" w:rsidRDefault="00E31E3C" w:rsidP="005E487D">
            <w:pPr>
              <w:spacing w:after="160" w:line="259" w:lineRule="auto"/>
              <w:rPr>
                <w:rFonts w:eastAsiaTheme="minorEastAsia"/>
              </w:rPr>
            </w:pPr>
            <w:r w:rsidRPr="003624D5">
              <w:rPr>
                <w:rFonts w:eastAsiaTheme="minorEastAsia"/>
              </w:rPr>
              <w:t>As people retire the workplace becomes less important as a food consumption environment</w:t>
            </w:r>
            <w:r>
              <w:rPr>
                <w:rFonts w:eastAsiaTheme="minorEastAsia"/>
              </w:rPr>
              <w:t xml:space="preserve">. Workplace studies do not feature in this report. </w:t>
            </w:r>
          </w:p>
        </w:tc>
      </w:tr>
      <w:tr w:rsidR="00E31E3C" w:rsidRPr="003624D5" w14:paraId="6CAB6DF0" w14:textId="77777777" w:rsidTr="005E487D">
        <w:tc>
          <w:tcPr>
            <w:tcW w:w="2547" w:type="dxa"/>
          </w:tcPr>
          <w:p w14:paraId="091AFE01" w14:textId="77777777" w:rsidR="00E31E3C" w:rsidRPr="003624D5" w:rsidRDefault="00E31E3C" w:rsidP="005E487D">
            <w:pPr>
              <w:spacing w:after="160" w:line="259" w:lineRule="auto"/>
              <w:rPr>
                <w:rFonts w:eastAsiaTheme="minorEastAsia"/>
              </w:rPr>
            </w:pPr>
            <w:r w:rsidRPr="003624D5">
              <w:rPr>
                <w:rFonts w:eastAsiaTheme="minorEastAsia"/>
              </w:rPr>
              <w:t>“Community” Eating at Home</w:t>
            </w:r>
          </w:p>
        </w:tc>
        <w:tc>
          <w:tcPr>
            <w:tcW w:w="6803" w:type="dxa"/>
          </w:tcPr>
          <w:p w14:paraId="6B8F1F2A" w14:textId="77777777" w:rsidR="00E31E3C" w:rsidRPr="003624D5" w:rsidRDefault="00E31E3C" w:rsidP="005E487D">
            <w:pPr>
              <w:spacing w:after="160" w:line="259" w:lineRule="auto"/>
              <w:rPr>
                <w:rFonts w:eastAsiaTheme="minorEastAsia"/>
              </w:rPr>
            </w:pPr>
            <w:r w:rsidRPr="003624D5">
              <w:rPr>
                <w:rFonts w:eastAsiaTheme="minorEastAsia"/>
              </w:rPr>
              <w:t xml:space="preserve">Eating at home is the main environment in which people eat. This rises in importance after retirement. Towards the end of life other settings become more influential. </w:t>
            </w:r>
          </w:p>
        </w:tc>
      </w:tr>
      <w:tr w:rsidR="00E31E3C" w:rsidRPr="003624D5" w14:paraId="46FE85AA" w14:textId="77777777" w:rsidTr="005E487D">
        <w:tc>
          <w:tcPr>
            <w:tcW w:w="2547" w:type="dxa"/>
          </w:tcPr>
          <w:p w14:paraId="07A58EBF" w14:textId="77777777" w:rsidR="00E31E3C" w:rsidRPr="003624D5" w:rsidRDefault="00E31E3C" w:rsidP="005E487D">
            <w:pPr>
              <w:spacing w:after="160" w:line="259" w:lineRule="auto"/>
              <w:rPr>
                <w:rFonts w:eastAsiaTheme="minorEastAsia"/>
              </w:rPr>
            </w:pPr>
            <w:r w:rsidRPr="003624D5">
              <w:rPr>
                <w:rFonts w:eastAsiaTheme="minorEastAsia"/>
              </w:rPr>
              <w:t>“Community” Eating at home alone”</w:t>
            </w:r>
          </w:p>
        </w:tc>
        <w:tc>
          <w:tcPr>
            <w:tcW w:w="6803" w:type="dxa"/>
          </w:tcPr>
          <w:p w14:paraId="7561E0EB" w14:textId="77777777" w:rsidR="00E31E3C" w:rsidRPr="003624D5" w:rsidRDefault="00E31E3C" w:rsidP="005E487D">
            <w:pPr>
              <w:spacing w:after="160" w:line="259" w:lineRule="auto"/>
              <w:rPr>
                <w:rFonts w:eastAsiaTheme="minorEastAsia"/>
              </w:rPr>
            </w:pPr>
            <w:r w:rsidRPr="003624D5">
              <w:rPr>
                <w:rFonts w:eastAsiaTheme="minorEastAsia"/>
              </w:rPr>
              <w:t>As people age, the proportion routinely eating at home alone increases</w:t>
            </w:r>
          </w:p>
        </w:tc>
      </w:tr>
      <w:tr w:rsidR="00E31E3C" w:rsidRPr="003624D5" w14:paraId="58E12185" w14:textId="77777777" w:rsidTr="005E487D">
        <w:tc>
          <w:tcPr>
            <w:tcW w:w="2547" w:type="dxa"/>
          </w:tcPr>
          <w:p w14:paraId="2D5AB2FC" w14:textId="77777777" w:rsidR="00E31E3C" w:rsidRPr="003624D5" w:rsidRDefault="00E31E3C" w:rsidP="005E487D">
            <w:pPr>
              <w:spacing w:after="160" w:line="259" w:lineRule="auto"/>
              <w:rPr>
                <w:rFonts w:eastAsiaTheme="minorEastAsia"/>
              </w:rPr>
            </w:pPr>
            <w:r w:rsidRPr="003624D5">
              <w:rPr>
                <w:rFonts w:eastAsiaTheme="minorEastAsia"/>
              </w:rPr>
              <w:t>“Community” Eating out</w:t>
            </w:r>
          </w:p>
        </w:tc>
        <w:tc>
          <w:tcPr>
            <w:tcW w:w="6803" w:type="dxa"/>
          </w:tcPr>
          <w:p w14:paraId="0B913A6D" w14:textId="77777777" w:rsidR="00E31E3C" w:rsidRPr="003624D5" w:rsidRDefault="00E31E3C" w:rsidP="005E487D">
            <w:pPr>
              <w:spacing w:after="160" w:line="259" w:lineRule="auto"/>
              <w:rPr>
                <w:rFonts w:eastAsiaTheme="minorEastAsia"/>
              </w:rPr>
            </w:pPr>
            <w:r w:rsidRPr="003624D5">
              <w:rPr>
                <w:rFonts w:eastAsiaTheme="minorEastAsia"/>
              </w:rPr>
              <w:t xml:space="preserve">This includes purchasing meals and drinks in cafes, restaurants, pubs and similar venues. As people grow older this gradually becomes less of a part of everyday life. </w:t>
            </w:r>
          </w:p>
          <w:p w14:paraId="5D7B2902" w14:textId="77777777" w:rsidR="00E31E3C" w:rsidRPr="003624D5" w:rsidRDefault="00E31E3C" w:rsidP="005E487D">
            <w:pPr>
              <w:spacing w:after="160" w:line="259" w:lineRule="auto"/>
              <w:rPr>
                <w:rFonts w:eastAsiaTheme="minorEastAsia"/>
                <w:i/>
              </w:rPr>
            </w:pPr>
            <w:r w:rsidRPr="003624D5">
              <w:rPr>
                <w:rFonts w:eastAsiaTheme="minorEastAsia"/>
                <w:i/>
              </w:rPr>
              <w:t>No evidence to support this, just a contention</w:t>
            </w:r>
          </w:p>
        </w:tc>
      </w:tr>
      <w:tr w:rsidR="00E31E3C" w:rsidRPr="003624D5" w14:paraId="7E7688D7" w14:textId="77777777" w:rsidTr="005E487D">
        <w:tc>
          <w:tcPr>
            <w:tcW w:w="2547" w:type="dxa"/>
          </w:tcPr>
          <w:p w14:paraId="4FCFC574" w14:textId="77777777" w:rsidR="00E31E3C" w:rsidRPr="003624D5" w:rsidRDefault="00E31E3C" w:rsidP="005E487D">
            <w:pPr>
              <w:spacing w:after="160" w:line="259" w:lineRule="auto"/>
              <w:jc w:val="left"/>
              <w:rPr>
                <w:rFonts w:eastAsiaTheme="minorEastAsia"/>
              </w:rPr>
            </w:pPr>
            <w:r w:rsidRPr="003624D5">
              <w:rPr>
                <w:rFonts w:eastAsiaTheme="minorEastAsia"/>
              </w:rPr>
              <w:t>“Community” Supported social meals</w:t>
            </w:r>
          </w:p>
        </w:tc>
        <w:tc>
          <w:tcPr>
            <w:tcW w:w="6803" w:type="dxa"/>
          </w:tcPr>
          <w:p w14:paraId="70D6E0AF" w14:textId="77777777" w:rsidR="00E31E3C" w:rsidRPr="003624D5" w:rsidRDefault="00E31E3C" w:rsidP="005E487D">
            <w:pPr>
              <w:spacing w:after="160" w:line="259" w:lineRule="auto"/>
              <w:rPr>
                <w:rFonts w:eastAsiaTheme="minorEastAsia"/>
              </w:rPr>
            </w:pPr>
            <w:r w:rsidRPr="003624D5">
              <w:rPr>
                <w:rFonts w:eastAsiaTheme="minorEastAsia"/>
              </w:rPr>
              <w:t>These are settings where the meals are provided with a social purpose – usually with a subsidy. Examples include lunch clubs, day centres etc. These are a relatively minor part of life for most people.</w:t>
            </w:r>
          </w:p>
        </w:tc>
      </w:tr>
      <w:tr w:rsidR="00E31E3C" w:rsidRPr="003624D5" w14:paraId="0E91306D" w14:textId="77777777" w:rsidTr="005E487D">
        <w:tc>
          <w:tcPr>
            <w:tcW w:w="2547" w:type="dxa"/>
          </w:tcPr>
          <w:p w14:paraId="246C9645" w14:textId="77777777" w:rsidR="00E31E3C" w:rsidRPr="003624D5" w:rsidRDefault="00E31E3C" w:rsidP="005E487D">
            <w:pPr>
              <w:spacing w:after="160" w:line="259" w:lineRule="auto"/>
              <w:rPr>
                <w:rFonts w:eastAsiaTheme="minorEastAsia"/>
              </w:rPr>
            </w:pPr>
            <w:r w:rsidRPr="003624D5">
              <w:rPr>
                <w:rFonts w:eastAsiaTheme="minorEastAsia"/>
              </w:rPr>
              <w:t>Care Home</w:t>
            </w:r>
          </w:p>
        </w:tc>
        <w:tc>
          <w:tcPr>
            <w:tcW w:w="6803" w:type="dxa"/>
          </w:tcPr>
          <w:p w14:paraId="74CD99C6" w14:textId="77777777" w:rsidR="00E31E3C" w:rsidRPr="003624D5" w:rsidRDefault="00E31E3C" w:rsidP="005E487D">
            <w:pPr>
              <w:spacing w:after="160" w:line="259" w:lineRule="auto"/>
              <w:rPr>
                <w:rFonts w:eastAsiaTheme="minorEastAsia"/>
              </w:rPr>
            </w:pPr>
            <w:r w:rsidRPr="003624D5">
              <w:rPr>
                <w:rFonts w:eastAsiaTheme="minorEastAsia"/>
              </w:rPr>
              <w:t>Care home settings become increasingly important for old older age population</w:t>
            </w:r>
          </w:p>
        </w:tc>
      </w:tr>
      <w:tr w:rsidR="00E31E3C" w:rsidRPr="003624D5" w14:paraId="01723434" w14:textId="77777777" w:rsidTr="005E487D">
        <w:tc>
          <w:tcPr>
            <w:tcW w:w="2547" w:type="dxa"/>
          </w:tcPr>
          <w:p w14:paraId="72FB83DC" w14:textId="77777777" w:rsidR="00E31E3C" w:rsidRPr="003624D5" w:rsidRDefault="00E31E3C" w:rsidP="005E487D">
            <w:pPr>
              <w:spacing w:after="160" w:line="259" w:lineRule="auto"/>
              <w:rPr>
                <w:rFonts w:eastAsiaTheme="minorEastAsia"/>
              </w:rPr>
            </w:pPr>
            <w:r w:rsidRPr="003624D5">
              <w:rPr>
                <w:rFonts w:eastAsiaTheme="minorEastAsia"/>
              </w:rPr>
              <w:t>Hospital</w:t>
            </w:r>
          </w:p>
        </w:tc>
        <w:tc>
          <w:tcPr>
            <w:tcW w:w="6803" w:type="dxa"/>
          </w:tcPr>
          <w:p w14:paraId="35FE8CF4" w14:textId="77777777" w:rsidR="00E31E3C" w:rsidRPr="003624D5" w:rsidRDefault="00E31E3C" w:rsidP="005E487D">
            <w:pPr>
              <w:spacing w:after="160" w:line="259" w:lineRule="auto"/>
              <w:rPr>
                <w:rFonts w:eastAsiaTheme="minorEastAsia"/>
              </w:rPr>
            </w:pPr>
            <w:r w:rsidRPr="003624D5">
              <w:rPr>
                <w:rFonts w:eastAsiaTheme="minorEastAsia"/>
              </w:rPr>
              <w:t xml:space="preserve">Hospitals as a food setting are not a major part of most people’s lives, but this setting becomes increasingly important in the period towards the end of life for many people. </w:t>
            </w:r>
          </w:p>
        </w:tc>
      </w:tr>
    </w:tbl>
    <w:p w14:paraId="15494DEA" w14:textId="77777777" w:rsidR="00E31E3C" w:rsidRPr="003624D5" w:rsidRDefault="00E31E3C" w:rsidP="00E31E3C">
      <w:pPr>
        <w:rPr>
          <w:lang w:val="en-GB"/>
        </w:rPr>
      </w:pPr>
    </w:p>
    <w:p w14:paraId="383EC521" w14:textId="77777777" w:rsidR="00E31E3C" w:rsidRPr="003624D5" w:rsidRDefault="00E31E3C" w:rsidP="00E31E3C">
      <w:pPr>
        <w:rPr>
          <w:lang w:val="en-GB"/>
        </w:rPr>
      </w:pPr>
      <w:r w:rsidRPr="003624D5">
        <w:rPr>
          <w:lang w:val="en-GB"/>
        </w:rPr>
        <w:t xml:space="preserve">The visual appearance of the theoretical framework changes when applied </w:t>
      </w:r>
      <w:r>
        <w:rPr>
          <w:lang w:val="en-GB"/>
        </w:rPr>
        <w:t xml:space="preserve">to </w:t>
      </w:r>
      <w:r w:rsidRPr="003624D5">
        <w:rPr>
          <w:lang w:val="en-GB"/>
        </w:rPr>
        <w:t>different social groups.</w:t>
      </w:r>
      <w:r>
        <w:rPr>
          <w:lang w:val="en-GB"/>
        </w:rPr>
        <w:t xml:space="preserve"> </w:t>
      </w:r>
      <w:r w:rsidRPr="003624D5">
        <w:rPr>
          <w:lang w:val="en-GB"/>
        </w:rPr>
        <w:t>For example, eating out features more</w:t>
      </w:r>
      <w:r>
        <w:rPr>
          <w:lang w:val="en-GB"/>
        </w:rPr>
        <w:t xml:space="preserve"> strongly for high income group; care homes and hospital eating experiences may feature more strongly in the experiences of</w:t>
      </w:r>
      <w:r w:rsidRPr="003624D5">
        <w:rPr>
          <w:lang w:val="en-GB"/>
        </w:rPr>
        <w:t xml:space="preserve"> low income groups</w:t>
      </w:r>
      <w:r>
        <w:rPr>
          <w:lang w:val="en-GB"/>
        </w:rPr>
        <w:t xml:space="preserve">. </w:t>
      </w:r>
    </w:p>
    <w:p w14:paraId="4BD3AF95" w14:textId="7B676076" w:rsidR="00E31E3C" w:rsidRPr="00E31E3C" w:rsidRDefault="00E31E3C" w:rsidP="003624D5">
      <w:r w:rsidRPr="000111FA">
        <w:br w:type="page"/>
      </w:r>
    </w:p>
    <w:p w14:paraId="2E2E5D39" w14:textId="12035C68" w:rsidR="003F6B7B" w:rsidRPr="00E20815" w:rsidRDefault="003F6B7B" w:rsidP="00C671CF">
      <w:pPr>
        <w:pStyle w:val="Heading1"/>
      </w:pPr>
      <w:bookmarkStart w:id="4" w:name="_Toc499814919"/>
      <w:r w:rsidRPr="00E20815">
        <w:lastRenderedPageBreak/>
        <w:t>ANNOTATED BIBLIOGRAPHY</w:t>
      </w:r>
      <w:bookmarkEnd w:id="4"/>
    </w:p>
    <w:p w14:paraId="184DDA4F" w14:textId="77777777" w:rsidR="000F3126" w:rsidRPr="000F3126" w:rsidRDefault="000F3126" w:rsidP="007C4EC9">
      <w:pPr>
        <w:rPr>
          <w:sz w:val="2"/>
        </w:rPr>
      </w:pPr>
    </w:p>
    <w:p w14:paraId="5EFFEBE0" w14:textId="0139150E" w:rsidR="00903CBE" w:rsidRDefault="00780E8C" w:rsidP="007C4EC9">
      <w:r>
        <w:t xml:space="preserve">The annotated bibliography is organised </w:t>
      </w:r>
      <w:r w:rsidR="009679EC">
        <w:t xml:space="preserve">into </w:t>
      </w:r>
      <w:r>
        <w:t xml:space="preserve">four main themes: </w:t>
      </w:r>
      <w:r w:rsidR="00981776">
        <w:t>Diet-related ill health</w:t>
      </w:r>
      <w:r w:rsidR="001F5FB8">
        <w:t xml:space="preserve"> in key settings</w:t>
      </w:r>
      <w:r>
        <w:t>, Intervention/ Activities, Evidence and Policy/ Guidelines</w:t>
      </w:r>
      <w:r w:rsidR="00903CBE">
        <w:t>.</w:t>
      </w:r>
    </w:p>
    <w:p w14:paraId="43BB144C" w14:textId="22D3CACD" w:rsidR="000111FA" w:rsidRPr="000111FA" w:rsidRDefault="00F8373A" w:rsidP="00C671CF">
      <w:pPr>
        <w:pStyle w:val="Heading1"/>
      </w:pPr>
      <w:bookmarkStart w:id="5" w:name="_Toc499814920"/>
      <w:r>
        <w:t>Diet-related ill heath in key settings</w:t>
      </w:r>
      <w:bookmarkEnd w:id="5"/>
      <w:r w:rsidR="00BB52E1">
        <w:t xml:space="preserve"> </w:t>
      </w:r>
    </w:p>
    <w:p w14:paraId="2BC0CDC7" w14:textId="4ED261B7" w:rsidR="00641C9C" w:rsidRDefault="00E20815" w:rsidP="00F8373A">
      <w:r>
        <w:t>We present</w:t>
      </w:r>
      <w:r w:rsidR="00D16A0B">
        <w:t xml:space="preserve"> annotated literature documenting prevalence, risk factors and health and cost implication</w:t>
      </w:r>
      <w:r w:rsidR="00876891">
        <w:t>s</w:t>
      </w:r>
      <w:r w:rsidR="00D16A0B">
        <w:t xml:space="preserve"> of malnutrition among older people in care, hospital and community settings</w:t>
      </w:r>
      <w:r>
        <w:t xml:space="preserve"> under this section</w:t>
      </w:r>
      <w:r w:rsidR="00D16A0B">
        <w:t xml:space="preserve">. </w:t>
      </w:r>
    </w:p>
    <w:p w14:paraId="7B06711C" w14:textId="70819AEF" w:rsidR="000111FA" w:rsidRDefault="00BB52E1" w:rsidP="000F3126">
      <w:pPr>
        <w:pStyle w:val="Heading2"/>
      </w:pPr>
      <w:bookmarkStart w:id="6" w:name="_Toc499814921"/>
      <w:r>
        <w:t xml:space="preserve">Care </w:t>
      </w:r>
      <w:r w:rsidR="00B713B4">
        <w:t xml:space="preserve">home </w:t>
      </w:r>
      <w:r>
        <w:t>setting</w:t>
      </w:r>
      <w:bookmarkEnd w:id="6"/>
    </w:p>
    <w:p w14:paraId="39A1DC25" w14:textId="4E65204F" w:rsidR="0043074F" w:rsidRDefault="00876891" w:rsidP="00BB52E1">
      <w:r>
        <w:rPr>
          <w:b/>
        </w:rPr>
        <w:t xml:space="preserve">NR: </w:t>
      </w:r>
      <w:r w:rsidR="00BB52E1">
        <w:t xml:space="preserve">Agarwal, E., Marshall, S., Miller, M., &amp; Isenring, E. (2016). Optimising nutrition in residential aged care: A narrative review. </w:t>
      </w:r>
      <w:r w:rsidR="00BB52E1" w:rsidRPr="00DB655C">
        <w:rPr>
          <w:i/>
        </w:rPr>
        <w:t>Maturitas</w:t>
      </w:r>
      <w:r w:rsidR="00E20815">
        <w:rPr>
          <w:i/>
        </w:rPr>
        <w:t xml:space="preserve"> </w:t>
      </w:r>
      <w:r w:rsidR="00E20815">
        <w:t>[online]</w:t>
      </w:r>
      <w:r w:rsidR="00BB52E1">
        <w:t>, 92, 70-78.</w:t>
      </w:r>
      <w:r w:rsidR="00E20815">
        <w:t xml:space="preserve"> [Accessed </w:t>
      </w:r>
      <w:r w:rsidR="0021069B">
        <w:t>12 September 2017].</w:t>
      </w:r>
      <w:r w:rsidR="00BB52E1">
        <w:t xml:space="preserve">  </w:t>
      </w:r>
    </w:p>
    <w:p w14:paraId="118746DE" w14:textId="77777777" w:rsidR="00F36665" w:rsidRDefault="00F36665" w:rsidP="00BB52E1">
      <w:r>
        <w:t>This narrative review summarises</w:t>
      </w:r>
      <w:r w:rsidR="0043074F">
        <w:t xml:space="preserve"> literature on identification, prevalence, risk factors</w:t>
      </w:r>
      <w:r w:rsidR="00B45056">
        <w:t xml:space="preserve"> and </w:t>
      </w:r>
      <w:r w:rsidR="0043074F">
        <w:t xml:space="preserve">effects of malnutrition </w:t>
      </w:r>
      <w:r>
        <w:t xml:space="preserve">among older people in </w:t>
      </w:r>
      <w:r w:rsidR="0043074F">
        <w:t>residential aged care</w:t>
      </w:r>
      <w:r>
        <w:t xml:space="preserve">. </w:t>
      </w:r>
    </w:p>
    <w:p w14:paraId="0DB67ACF" w14:textId="77777777" w:rsidR="00D636C7" w:rsidRDefault="00D636C7" w:rsidP="00BB52E1"/>
    <w:p w14:paraId="2C92079B" w14:textId="6AD58BD1" w:rsidR="00F36665" w:rsidRDefault="00876891" w:rsidP="00BB52E1">
      <w:r>
        <w:rPr>
          <w:b/>
        </w:rPr>
        <w:t xml:space="preserve">AJ: </w:t>
      </w:r>
      <w:r w:rsidR="00BB52E1">
        <w:t xml:space="preserve">Arvanitakis, M., Beck, A., Coppens, P., De Man, F., Elia, M., Hébuterne, X., . . . Lochs, H. (2008). Nutrition in care homes and home care: How to implement adequate strategies (report of the </w:t>
      </w:r>
      <w:r w:rsidR="00D0156F">
        <w:t>Brussels</w:t>
      </w:r>
      <w:r w:rsidR="00BB52E1">
        <w:t xml:space="preserve"> forum (22–23 November 2007)). </w:t>
      </w:r>
      <w:r w:rsidR="00BB52E1" w:rsidRPr="00D636C7">
        <w:rPr>
          <w:i/>
        </w:rPr>
        <w:t>Clinical Nutrition</w:t>
      </w:r>
      <w:r w:rsidR="00760712">
        <w:rPr>
          <w:i/>
        </w:rPr>
        <w:t xml:space="preserve"> </w:t>
      </w:r>
      <w:r w:rsidR="00760712">
        <w:t>[online]</w:t>
      </w:r>
      <w:r w:rsidR="00BB52E1">
        <w:t>, 27(4), 481-488.</w:t>
      </w:r>
      <w:r w:rsidR="00760712">
        <w:t xml:space="preserve"> [Accessed 15 September 201</w:t>
      </w:r>
      <w:r w:rsidR="009A3A64">
        <w:t>7</w:t>
      </w:r>
      <w:r w:rsidR="00760712">
        <w:t>]</w:t>
      </w:r>
      <w:r w:rsidR="00BB52E1">
        <w:t xml:space="preserve">  </w:t>
      </w:r>
    </w:p>
    <w:p w14:paraId="793A85D2" w14:textId="65D2CE80" w:rsidR="00F36665" w:rsidRDefault="00F36665" w:rsidP="00D636C7">
      <w:r>
        <w:t xml:space="preserve">This report presents the findings of a forum </w:t>
      </w:r>
      <w:r w:rsidR="00D636C7">
        <w:t xml:space="preserve">that </w:t>
      </w:r>
      <w:r>
        <w:t>discuss</w:t>
      </w:r>
      <w:r w:rsidR="00D636C7">
        <w:t>ed</w:t>
      </w:r>
      <w:r>
        <w:t xml:space="preserve"> the prevalence, causes and consequences of undernutrition in care institutions and </w:t>
      </w:r>
      <w:r w:rsidR="00D636C7">
        <w:t xml:space="preserve">recommendations on </w:t>
      </w:r>
      <w:r>
        <w:t xml:space="preserve">strategies </w:t>
      </w:r>
      <w:r w:rsidR="00D636C7">
        <w:t xml:space="preserve">to </w:t>
      </w:r>
      <w:r>
        <w:t xml:space="preserve">ensure adequate nutrition in care settings. The forum consisted of </w:t>
      </w:r>
      <w:r w:rsidR="00D636C7">
        <w:t>representatives from patient associations and people</w:t>
      </w:r>
      <w:r>
        <w:t xml:space="preserve"> from nutritional, medical</w:t>
      </w:r>
      <w:r w:rsidR="00D636C7">
        <w:t>,</w:t>
      </w:r>
      <w:r>
        <w:t xml:space="preserve"> </w:t>
      </w:r>
      <w:r w:rsidR="00A75A36">
        <w:t>commercial and political backgrounds</w:t>
      </w:r>
      <w:r w:rsidR="00D636C7">
        <w:t xml:space="preserve">. </w:t>
      </w:r>
    </w:p>
    <w:p w14:paraId="552CB230" w14:textId="77777777" w:rsidR="00D636C7" w:rsidRDefault="00D636C7" w:rsidP="00BB52E1"/>
    <w:p w14:paraId="2EBCC0AB" w14:textId="59DB22F0" w:rsidR="00D636C7" w:rsidRDefault="007C4EC9" w:rsidP="00BB52E1">
      <w:r>
        <w:rPr>
          <w:b/>
        </w:rPr>
        <w:t xml:space="preserve">SR: </w:t>
      </w:r>
      <w:r w:rsidR="00BB52E1">
        <w:t>Bell, C. L., Tamura, B. K., Masaki, K. H., &amp; Amella, E. J. (2013). Prevalence and measures of nutritional compromise among nursing home patients: Weight loss, low body mass index, malnutrition, and feeding dependency, a systematic review of the literature</w:t>
      </w:r>
      <w:r w:rsidR="00BB52E1" w:rsidRPr="00D636C7">
        <w:rPr>
          <w:i/>
        </w:rPr>
        <w:t>. Journal of the American Medical Directors Association</w:t>
      </w:r>
      <w:r w:rsidR="00760712">
        <w:rPr>
          <w:i/>
        </w:rPr>
        <w:t xml:space="preserve"> </w:t>
      </w:r>
      <w:r w:rsidR="00760712">
        <w:t>[online]</w:t>
      </w:r>
      <w:r w:rsidR="00BB52E1">
        <w:t>, 14(2), 94-100.</w:t>
      </w:r>
      <w:r w:rsidR="009A3A64">
        <w:t xml:space="preserve"> [Accessed 15 September 2017</w:t>
      </w:r>
      <w:r w:rsidR="00760712">
        <w:t>].</w:t>
      </w:r>
      <w:r w:rsidR="00BB52E1">
        <w:t xml:space="preserve">  </w:t>
      </w:r>
    </w:p>
    <w:p w14:paraId="1A3822CF" w14:textId="77777777" w:rsidR="00BB52E1" w:rsidRDefault="00D636C7" w:rsidP="00BB52E1">
      <w:r>
        <w:lastRenderedPageBreak/>
        <w:t>This systematic review exa</w:t>
      </w:r>
      <w:r w:rsidR="00D0156F">
        <w:t>mines and synthesises</w:t>
      </w:r>
      <w:r>
        <w:t xml:space="preserve"> the literature on the definition and prevalence of nutritional problems in care homes. </w:t>
      </w:r>
      <w:r w:rsidR="00BB52E1">
        <w:t xml:space="preserve">  </w:t>
      </w:r>
    </w:p>
    <w:p w14:paraId="769C2BFF" w14:textId="77777777" w:rsidR="00D636C7" w:rsidRDefault="00D636C7" w:rsidP="00BB52E1"/>
    <w:p w14:paraId="6050DCCE" w14:textId="1804F54C" w:rsidR="00D636C7" w:rsidRDefault="007C4EC9" w:rsidP="00BB52E1">
      <w:r>
        <w:rPr>
          <w:b/>
        </w:rPr>
        <w:t xml:space="preserve">AJ: </w:t>
      </w:r>
      <w:r w:rsidR="00BB52E1">
        <w:t xml:space="preserve">Bell, C. L., Lee, A. S., &amp; Tamura, B. K. (2015). Malnutrition in the nursing home. </w:t>
      </w:r>
      <w:r w:rsidR="00BB52E1" w:rsidRPr="00DB655C">
        <w:rPr>
          <w:i/>
        </w:rPr>
        <w:t>Current Opinion in Clinical Nutrition and Metabolic Care</w:t>
      </w:r>
      <w:r w:rsidR="00760712">
        <w:rPr>
          <w:i/>
        </w:rPr>
        <w:t xml:space="preserve"> </w:t>
      </w:r>
      <w:r w:rsidR="00760712">
        <w:t>[online]</w:t>
      </w:r>
      <w:r w:rsidR="00BB52E1">
        <w:t>, 18(1), 17-23.</w:t>
      </w:r>
      <w:r w:rsidR="009A3A64">
        <w:t xml:space="preserve"> [Accessed 15 September 2017]</w:t>
      </w:r>
      <w:r w:rsidR="00760712">
        <w:t>.</w:t>
      </w:r>
      <w:r w:rsidR="00BB52E1">
        <w:t xml:space="preserve"> </w:t>
      </w:r>
    </w:p>
    <w:p w14:paraId="1933BEC1" w14:textId="77777777" w:rsidR="00BB52E1" w:rsidRDefault="00BB52E1" w:rsidP="00BB52E1">
      <w:r>
        <w:t xml:space="preserve">A review </w:t>
      </w:r>
      <w:r w:rsidR="0066397A">
        <w:t xml:space="preserve">that summarises the prevalence, risk factors and consequences of malnutrition in care homes and potentially beneficial interventions to tackle malnutrition in care homes. </w:t>
      </w:r>
    </w:p>
    <w:p w14:paraId="7129A583" w14:textId="77777777" w:rsidR="00D636C7" w:rsidRDefault="00D636C7" w:rsidP="00BB52E1"/>
    <w:p w14:paraId="65BF83A8" w14:textId="15B99F94" w:rsidR="0066397A" w:rsidRDefault="007C4EC9" w:rsidP="00BB52E1">
      <w:r>
        <w:rPr>
          <w:b/>
        </w:rPr>
        <w:t xml:space="preserve">AJ: </w:t>
      </w:r>
      <w:r w:rsidR="00BB52E1">
        <w:t>Bolmsjö, B. B., Jakobsson, U., Mölstad, S., Östgren, C. J., &amp; Midlöv, P. (2015)</w:t>
      </w:r>
      <w:r>
        <w:t>. The nutritional situation in S</w:t>
      </w:r>
      <w:r w:rsidR="00BB52E1">
        <w:t xml:space="preserve">wedish nursing homes–a longitudinal study. </w:t>
      </w:r>
      <w:r w:rsidR="00BB52E1" w:rsidRPr="00DB655C">
        <w:rPr>
          <w:i/>
        </w:rPr>
        <w:t>Archives of Gerontology and Geriatrics</w:t>
      </w:r>
      <w:r w:rsidR="00760712">
        <w:rPr>
          <w:i/>
        </w:rPr>
        <w:t xml:space="preserve"> </w:t>
      </w:r>
      <w:r w:rsidR="00760712">
        <w:t>[online]</w:t>
      </w:r>
      <w:r w:rsidR="00BB52E1">
        <w:t>, 60(1), 128-133. </w:t>
      </w:r>
      <w:r w:rsidR="009A3A64">
        <w:t>[Accessed 16 September 2017</w:t>
      </w:r>
      <w:r w:rsidR="00760712">
        <w:t xml:space="preserve">].  </w:t>
      </w:r>
      <w:r w:rsidR="00BB52E1">
        <w:t xml:space="preserve"> </w:t>
      </w:r>
    </w:p>
    <w:p w14:paraId="7F2AA19D" w14:textId="77777777" w:rsidR="00BB52E1" w:rsidRDefault="0066397A" w:rsidP="00BB52E1">
      <w:r>
        <w:t xml:space="preserve">A 24-month longitudinal study describing the prevalence of malnutrition among older people in a Swedish nursing home. Survival rates were also computed among malnourished and well-nourished individuals.  </w:t>
      </w:r>
    </w:p>
    <w:p w14:paraId="2186FF38" w14:textId="77777777" w:rsidR="0066397A" w:rsidRDefault="0066397A" w:rsidP="00BB52E1"/>
    <w:p w14:paraId="52F9D27F" w14:textId="33363312" w:rsidR="0066397A" w:rsidRDefault="007C4EC9" w:rsidP="00BB52E1">
      <w:r>
        <w:rPr>
          <w:b/>
        </w:rPr>
        <w:t xml:space="preserve">AJ: </w:t>
      </w:r>
      <w:r w:rsidR="00BB52E1">
        <w:t xml:space="preserve">Carlsson, M., Haglin, L., Rosendahl, E., &amp; Gustafson, Y. (2013). Poor nutritional status is associated with urinary tract infection among older people living in residential care facilities. </w:t>
      </w:r>
      <w:r w:rsidR="00BB52E1" w:rsidRPr="00DB655C">
        <w:rPr>
          <w:i/>
        </w:rPr>
        <w:t>The Journal of Nutrition, Health &amp; Aging</w:t>
      </w:r>
      <w:r w:rsidR="00760712">
        <w:rPr>
          <w:i/>
        </w:rPr>
        <w:t xml:space="preserve"> </w:t>
      </w:r>
      <w:r w:rsidR="00760712">
        <w:t>[online]</w:t>
      </w:r>
      <w:r w:rsidR="00BB52E1">
        <w:t xml:space="preserve">, </w:t>
      </w:r>
      <w:r w:rsidR="00B34BFE">
        <w:t>17 (2)</w:t>
      </w:r>
      <w:r w:rsidR="00BB52E1">
        <w:t>, 1-6. </w:t>
      </w:r>
      <w:r w:rsidR="009A3A64">
        <w:t>[Accessed 15 September 2017</w:t>
      </w:r>
      <w:r w:rsidR="00760712">
        <w:t>]</w:t>
      </w:r>
    </w:p>
    <w:p w14:paraId="550D3318" w14:textId="77777777" w:rsidR="00483943" w:rsidRDefault="0066397A" w:rsidP="00BB52E1">
      <w:r>
        <w:t xml:space="preserve">A cross-sectional study to determine the factors associated with poor nutritional status among residents of nine care institutions </w:t>
      </w:r>
      <w:r w:rsidR="00483943">
        <w:t>in Umea, Sweden.</w:t>
      </w:r>
    </w:p>
    <w:p w14:paraId="766DFB34" w14:textId="77777777" w:rsidR="00BB52E1" w:rsidRDefault="00BB52E1" w:rsidP="00BB52E1">
      <w:r>
        <w:t xml:space="preserve">  </w:t>
      </w:r>
    </w:p>
    <w:p w14:paraId="744AF1C6" w14:textId="4746A924" w:rsidR="00483943" w:rsidRDefault="00F17FF6" w:rsidP="00BB52E1">
      <w:r>
        <w:rPr>
          <w:b/>
        </w:rPr>
        <w:t xml:space="preserve">AJ: </w:t>
      </w:r>
      <w:r w:rsidR="00BB52E1">
        <w:t xml:space="preserve">Carrier, N., Ouellet, D., &amp; West, G. E. (2007). Nursing home food services linked with risk of malnutrition. </w:t>
      </w:r>
      <w:r w:rsidR="00BB52E1" w:rsidRPr="00B34BFE">
        <w:rPr>
          <w:i/>
        </w:rPr>
        <w:t>Canadian Journal of Dietetic Practice and Research</w:t>
      </w:r>
      <w:r w:rsidR="00760712">
        <w:t xml:space="preserve"> [online]</w:t>
      </w:r>
      <w:r w:rsidR="00BB52E1">
        <w:t>, 68(1)</w:t>
      </w:r>
      <w:r w:rsidR="00760712">
        <w:t>, 14</w:t>
      </w:r>
      <w:r w:rsidR="009A3A64">
        <w:t>-20. [Accessed 16 September 2017</w:t>
      </w:r>
      <w:r w:rsidR="00760712">
        <w:t>]</w:t>
      </w:r>
    </w:p>
    <w:p w14:paraId="7A2A2ABE" w14:textId="77777777" w:rsidR="00BB52E1" w:rsidRDefault="00483943" w:rsidP="00BB52E1">
      <w:r>
        <w:t>A cross-sectional study investigates the characteristics of food services and their relationship with risk of malnutrition among care home residents.</w:t>
      </w:r>
    </w:p>
    <w:p w14:paraId="3EB6B7EE" w14:textId="77777777" w:rsidR="00483943" w:rsidRDefault="00483943" w:rsidP="00BB52E1"/>
    <w:p w14:paraId="02BAF783" w14:textId="550EBA81" w:rsidR="00483943" w:rsidRDefault="00F17FF6" w:rsidP="00BB52E1">
      <w:r>
        <w:rPr>
          <w:b/>
        </w:rPr>
        <w:lastRenderedPageBreak/>
        <w:t xml:space="preserve">AJ: </w:t>
      </w:r>
      <w:r w:rsidR="00BB52E1">
        <w:t xml:space="preserve">Chan, M., Lim, Y., Ernest, A., &amp; Tan, T. (2010). Nutritional assessment in an </w:t>
      </w:r>
      <w:r w:rsidR="00B34BFE">
        <w:t>Asian</w:t>
      </w:r>
      <w:r w:rsidR="00BB52E1">
        <w:t xml:space="preserve"> nursing home and its association with mortality. </w:t>
      </w:r>
      <w:r w:rsidR="00BB52E1" w:rsidRPr="00B34BFE">
        <w:rPr>
          <w:i/>
        </w:rPr>
        <w:t>The Journal of Nutrition, Health &amp; Aging</w:t>
      </w:r>
      <w:r w:rsidR="00760712">
        <w:rPr>
          <w:i/>
        </w:rPr>
        <w:t xml:space="preserve"> </w:t>
      </w:r>
      <w:r w:rsidR="00760712">
        <w:t>[online]</w:t>
      </w:r>
      <w:r w:rsidR="00BB52E1">
        <w:t xml:space="preserve">, 14(1), 23-28.  </w:t>
      </w:r>
      <w:r w:rsidR="009A3A64">
        <w:t>[Accessed 15 September 2017</w:t>
      </w:r>
      <w:r w:rsidR="00760712">
        <w:t>] </w:t>
      </w:r>
    </w:p>
    <w:p w14:paraId="59B60C18" w14:textId="4FF90FD0" w:rsidR="00BB52E1" w:rsidRDefault="00483943" w:rsidP="00483943">
      <w:r>
        <w:t xml:space="preserve">A cross-sectional study investigates the nutritional status of residents of a nursing home in Singapore and prospectively collects mortality data to determine the association of nutritional status and risk of mortality. </w:t>
      </w:r>
      <w:r w:rsidR="00BB52E1">
        <w:t xml:space="preserve">  </w:t>
      </w:r>
    </w:p>
    <w:p w14:paraId="20E07568" w14:textId="77777777" w:rsidR="00134336" w:rsidRDefault="00134336" w:rsidP="00483943"/>
    <w:p w14:paraId="2CBEE205" w14:textId="73BD5AAC" w:rsidR="004E1C38" w:rsidRDefault="00F17FF6" w:rsidP="00BB52E1">
      <w:r>
        <w:rPr>
          <w:b/>
        </w:rPr>
        <w:t xml:space="preserve">AJ: </w:t>
      </w:r>
      <w:r w:rsidR="00BB52E1">
        <w:t xml:space="preserve">Donini, L. M., Neri, B., De Chiara, S., Poggiogalle, E., &amp; Muscaritoli, M. (2013). Nutritional care in a nursing home in Italy. </w:t>
      </w:r>
      <w:r w:rsidR="00BB52E1" w:rsidRPr="00B34BFE">
        <w:rPr>
          <w:i/>
        </w:rPr>
        <w:t>PLoS One</w:t>
      </w:r>
      <w:r w:rsidR="00760712">
        <w:rPr>
          <w:i/>
        </w:rPr>
        <w:t xml:space="preserve"> </w:t>
      </w:r>
      <w:r w:rsidR="00760712">
        <w:t>[online]</w:t>
      </w:r>
      <w:r w:rsidR="00BB52E1">
        <w:t xml:space="preserve">, 8(2), e55804.  </w:t>
      </w:r>
      <w:r w:rsidR="009A3A64">
        <w:t>[Accessed 15 September 2017</w:t>
      </w:r>
      <w:r w:rsidR="00760712">
        <w:t>] </w:t>
      </w:r>
    </w:p>
    <w:p w14:paraId="31F1B17C" w14:textId="77777777" w:rsidR="00BB52E1" w:rsidRDefault="001B3130" w:rsidP="001B3130">
      <w:r>
        <w:t xml:space="preserve">A study that cross-sectionally describes the nutritional status of residents in a nursing home in Italy. </w:t>
      </w:r>
    </w:p>
    <w:p w14:paraId="2032A975" w14:textId="77777777" w:rsidR="001B3130" w:rsidRDefault="001B3130" w:rsidP="001B3130"/>
    <w:p w14:paraId="529BA4F3" w14:textId="6E60677C" w:rsidR="001B3130" w:rsidRDefault="00F17FF6" w:rsidP="00BB52E1">
      <w:r>
        <w:rPr>
          <w:b/>
        </w:rPr>
        <w:t xml:space="preserve">AJ: </w:t>
      </w:r>
      <w:r w:rsidR="00BB52E1">
        <w:t xml:space="preserve">Doumit, J. H., Nasser, R. N., &amp; Hanna, D. R. (2014). Nutritional and health status among nursing home residents in </w:t>
      </w:r>
      <w:r w:rsidR="001B3130">
        <w:t>Lebanon</w:t>
      </w:r>
      <w:r w:rsidR="00BB52E1">
        <w:t xml:space="preserve">: Comparison across gender in a national cross-sectional study. </w:t>
      </w:r>
      <w:r w:rsidR="00BB52E1" w:rsidRPr="00B34BFE">
        <w:rPr>
          <w:i/>
        </w:rPr>
        <w:t>BMC Public Health</w:t>
      </w:r>
      <w:r w:rsidR="00760712">
        <w:rPr>
          <w:i/>
        </w:rPr>
        <w:t xml:space="preserve"> </w:t>
      </w:r>
      <w:r w:rsidR="00760712">
        <w:t>[online]</w:t>
      </w:r>
      <w:r w:rsidR="00BB52E1">
        <w:t xml:space="preserve">, 14(1), 629.  </w:t>
      </w:r>
      <w:r w:rsidR="009A3A64">
        <w:t>[Accessed 15 September 2017</w:t>
      </w:r>
      <w:r w:rsidR="00760712">
        <w:t>] </w:t>
      </w:r>
    </w:p>
    <w:p w14:paraId="3813E801" w14:textId="77777777" w:rsidR="00BB52E1" w:rsidRDefault="001B3130" w:rsidP="00BB52E1">
      <w:r>
        <w:t>Compares the socio-economic, health and nutritional status of men and women in thirty-six nursing homes in Lebanon.</w:t>
      </w:r>
      <w:r w:rsidR="00BB52E1">
        <w:t xml:space="preserve">  </w:t>
      </w:r>
    </w:p>
    <w:p w14:paraId="6EB82D27" w14:textId="77777777" w:rsidR="00B34BFE" w:rsidRDefault="00B34BFE" w:rsidP="00BB52E1"/>
    <w:p w14:paraId="2AA91340" w14:textId="006F71D9" w:rsidR="001B3130" w:rsidRDefault="00F17FF6" w:rsidP="00BB52E1">
      <w:r>
        <w:rPr>
          <w:b/>
        </w:rPr>
        <w:t xml:space="preserve">AJ: </w:t>
      </w:r>
      <w:r w:rsidR="00BB52E1">
        <w:t xml:space="preserve">Dunn, </w:t>
      </w:r>
      <w:r w:rsidR="009A3A64">
        <w:t>H., &amp; Moore, T. (2017</w:t>
      </w:r>
      <w:r w:rsidR="00BB52E1">
        <w:t xml:space="preserve">). 'You can't be forcing food down 'em': Nursing home carers' perceptions of residents' dining needs. </w:t>
      </w:r>
      <w:r w:rsidR="00BB52E1" w:rsidRPr="00B34BFE">
        <w:rPr>
          <w:i/>
        </w:rPr>
        <w:t>Journal of Health Psychology</w:t>
      </w:r>
      <w:r w:rsidR="00760712">
        <w:rPr>
          <w:i/>
        </w:rPr>
        <w:t xml:space="preserve"> </w:t>
      </w:r>
      <w:r w:rsidR="00760712">
        <w:t>[online]</w:t>
      </w:r>
      <w:r w:rsidR="00BB52E1">
        <w:t xml:space="preserve">, 21(5), 619-627. </w:t>
      </w:r>
      <w:r w:rsidR="00760712">
        <w:t>[Accessed 15 September 2015] </w:t>
      </w:r>
    </w:p>
    <w:p w14:paraId="33544F40" w14:textId="77777777" w:rsidR="00BB52E1" w:rsidRDefault="001B3130" w:rsidP="00BB52E1">
      <w:r>
        <w:t>Interviews analysed in a qualitative study to understand staff</w:t>
      </w:r>
      <w:r w:rsidR="00BB52E1">
        <w:t xml:space="preserve"> perspectives of the nutritional needs of residents. </w:t>
      </w:r>
    </w:p>
    <w:p w14:paraId="44710B4A" w14:textId="77777777" w:rsidR="001B3130" w:rsidRDefault="001B3130" w:rsidP="00BB52E1"/>
    <w:p w14:paraId="3FCAE2D6" w14:textId="5F55BB2D" w:rsidR="001B3130" w:rsidRDefault="00F17FF6" w:rsidP="00BB52E1">
      <w:r>
        <w:rPr>
          <w:b/>
        </w:rPr>
        <w:t xml:space="preserve">AJ: </w:t>
      </w:r>
      <w:r w:rsidR="00BB52E1">
        <w:t xml:space="preserve">Dunne, A. (2009). Malnutrition in care homes: Improving nutritional status. </w:t>
      </w:r>
      <w:r w:rsidR="00BB52E1" w:rsidRPr="00B34BFE">
        <w:rPr>
          <w:i/>
        </w:rPr>
        <w:t>Nursing and Residential Care</w:t>
      </w:r>
      <w:r w:rsidR="00760712">
        <w:rPr>
          <w:i/>
        </w:rPr>
        <w:t xml:space="preserve"> </w:t>
      </w:r>
      <w:r w:rsidR="00760712">
        <w:t>[online]</w:t>
      </w:r>
      <w:r w:rsidR="00BB52E1">
        <w:t xml:space="preserve">, 11(9), 437-442.  </w:t>
      </w:r>
      <w:r w:rsidR="009A3A64">
        <w:t>[Accessed 15 September 2017</w:t>
      </w:r>
      <w:r w:rsidR="00760712">
        <w:t>] </w:t>
      </w:r>
    </w:p>
    <w:p w14:paraId="656CF41F" w14:textId="77777777" w:rsidR="005A7FCC" w:rsidRDefault="00BB52E1" w:rsidP="001B3130">
      <w:r>
        <w:t xml:space="preserve">An account of malnutrition in care homes </w:t>
      </w:r>
      <w:r w:rsidR="005A7FCC">
        <w:t xml:space="preserve">in the UK </w:t>
      </w:r>
      <w:r w:rsidR="001B3130">
        <w:t>is provided</w:t>
      </w:r>
      <w:r w:rsidR="005A7FCC">
        <w:t xml:space="preserve">, that </w:t>
      </w:r>
      <w:r w:rsidR="001B3130">
        <w:t>discusses the prevalence</w:t>
      </w:r>
      <w:r w:rsidR="005A7FCC">
        <w:t xml:space="preserve"> </w:t>
      </w:r>
      <w:r w:rsidR="001B3130">
        <w:t xml:space="preserve">and screening </w:t>
      </w:r>
      <w:r w:rsidR="005A7FCC">
        <w:t xml:space="preserve">of </w:t>
      </w:r>
      <w:r w:rsidR="001B3130">
        <w:t xml:space="preserve">malnutrition. </w:t>
      </w:r>
      <w:r w:rsidR="005A7FCC">
        <w:t>Practical</w:t>
      </w:r>
      <w:r w:rsidR="001B3130">
        <w:t xml:space="preserve"> steps to improve </w:t>
      </w:r>
      <w:r w:rsidR="005A7FCC">
        <w:t>nutrition</w:t>
      </w:r>
      <w:r w:rsidR="001B3130">
        <w:t xml:space="preserve"> among care home residents are also presented</w:t>
      </w:r>
      <w:r w:rsidR="005A7FCC">
        <w:t xml:space="preserve">. </w:t>
      </w:r>
    </w:p>
    <w:p w14:paraId="2AA18F57" w14:textId="567C6EFF" w:rsidR="005A7FCC" w:rsidRDefault="00F17FF6" w:rsidP="00BB52E1">
      <w:r>
        <w:rPr>
          <w:b/>
        </w:rPr>
        <w:lastRenderedPageBreak/>
        <w:t xml:space="preserve">AJ: </w:t>
      </w:r>
      <w:r w:rsidR="00BB52E1">
        <w:t xml:space="preserve">Gaskill, D., Black, L. J., Isenring, E. A., Hassall, S., Sanders, F., &amp; Bauer, J. D. (2008). Malnutrition prevalence and nutrition issues in residential aged care facilities. </w:t>
      </w:r>
      <w:r w:rsidR="00BB52E1" w:rsidRPr="00B34BFE">
        <w:rPr>
          <w:i/>
        </w:rPr>
        <w:t>Australasian Journal on Ageing</w:t>
      </w:r>
      <w:r w:rsidR="00760712">
        <w:rPr>
          <w:i/>
        </w:rPr>
        <w:t xml:space="preserve"> </w:t>
      </w:r>
      <w:r w:rsidR="00760712">
        <w:t>[online]</w:t>
      </w:r>
      <w:r w:rsidR="00BB52E1">
        <w:t xml:space="preserve">, 27(4), 189-194.  </w:t>
      </w:r>
      <w:r w:rsidR="009A3A64">
        <w:t>[Accessed 16 September 2017</w:t>
      </w:r>
      <w:r w:rsidR="00760712">
        <w:t>] </w:t>
      </w:r>
    </w:p>
    <w:p w14:paraId="1304C045" w14:textId="77777777" w:rsidR="00BB52E1" w:rsidRDefault="005A7FCC" w:rsidP="005A7FCC">
      <w:r>
        <w:t xml:space="preserve">The findings of the descriptive component of a pre-and post-test study design are presented to show the prevalence of malnutrition and nutritional issues among 342 older people living in residential aged care facilities in Australia. </w:t>
      </w:r>
    </w:p>
    <w:p w14:paraId="3850CB5E" w14:textId="77777777" w:rsidR="005A7FCC" w:rsidRDefault="005A7FCC" w:rsidP="005A7FCC"/>
    <w:p w14:paraId="0E96A6C0" w14:textId="714CBBA0" w:rsidR="003B12E7" w:rsidRDefault="00F17FF6" w:rsidP="00BB52E1">
      <w:r>
        <w:rPr>
          <w:b/>
        </w:rPr>
        <w:t xml:space="preserve">AJ: </w:t>
      </w:r>
      <w:r w:rsidR="00BB52E1">
        <w:t xml:space="preserve">Gordon, A. L., Franklin, M., Bradshaw, L., Logan, P., Elliott, R., &amp; Gladman, J. R. (2013). Health status of UK care home residents: A cohort study. </w:t>
      </w:r>
      <w:r w:rsidR="00BB52E1" w:rsidRPr="00B34BFE">
        <w:rPr>
          <w:i/>
        </w:rPr>
        <w:t>Age and Ageing</w:t>
      </w:r>
      <w:r w:rsidR="00760712">
        <w:rPr>
          <w:i/>
        </w:rPr>
        <w:t xml:space="preserve"> </w:t>
      </w:r>
      <w:r w:rsidR="009A3A64">
        <w:t>[online], 43(1), 97-103. [Accessed 15 September 2017] </w:t>
      </w:r>
    </w:p>
    <w:p w14:paraId="4487BFCF" w14:textId="6B166829" w:rsidR="003B12E7" w:rsidRDefault="003B12E7" w:rsidP="003B12E7">
      <w:r>
        <w:t>Detail</w:t>
      </w:r>
      <w:r w:rsidR="00A75A36">
        <w:t>ed</w:t>
      </w:r>
      <w:r>
        <w:t xml:space="preserve"> description of the </w:t>
      </w:r>
      <w:r w:rsidRPr="003B12E7">
        <w:t>health status and healthcare resource</w:t>
      </w:r>
      <w:r w:rsidR="00CE2D3A">
        <w:t>s</w:t>
      </w:r>
      <w:r w:rsidRPr="003B12E7">
        <w:t xml:space="preserve"> </w:t>
      </w:r>
      <w:r>
        <w:t xml:space="preserve">of residents </w:t>
      </w:r>
      <w:r w:rsidR="00B34BFE">
        <w:t xml:space="preserve">of </w:t>
      </w:r>
      <w:r w:rsidR="00CE2D3A">
        <w:t xml:space="preserve">care, nursing and residential institutions </w:t>
      </w:r>
      <w:r>
        <w:t xml:space="preserve">in the </w:t>
      </w:r>
      <w:r w:rsidRPr="003B12E7">
        <w:t>UK</w:t>
      </w:r>
      <w:r w:rsidR="00CE2D3A">
        <w:t xml:space="preserve"> through a </w:t>
      </w:r>
      <w:r>
        <w:t>180-day longitudinal cohort study</w:t>
      </w:r>
      <w:r w:rsidR="00CE2D3A">
        <w:t>.</w:t>
      </w:r>
    </w:p>
    <w:p w14:paraId="26D63A8C" w14:textId="77777777" w:rsidR="003B12E7" w:rsidRDefault="003B12E7" w:rsidP="00BB52E1"/>
    <w:p w14:paraId="0390D83E" w14:textId="041C5C9E" w:rsidR="00CE2D3A" w:rsidRDefault="00F17FF6" w:rsidP="00BB52E1">
      <w:r>
        <w:rPr>
          <w:b/>
        </w:rPr>
        <w:t xml:space="preserve">AJ: </w:t>
      </w:r>
      <w:r w:rsidR="00BB52E1">
        <w:t xml:space="preserve">Grieger, J. A., Nowson, C. A., &amp; Ackland, L. M. (2009). Nutritional and functional status indicators in residents of a long-term care facility. </w:t>
      </w:r>
      <w:r w:rsidR="00BB52E1" w:rsidRPr="00B34BFE">
        <w:rPr>
          <w:i/>
        </w:rPr>
        <w:t>Journal of Nutrition for the Elderly</w:t>
      </w:r>
      <w:r w:rsidR="009A3A64">
        <w:rPr>
          <w:i/>
        </w:rPr>
        <w:t xml:space="preserve"> </w:t>
      </w:r>
      <w:r w:rsidR="009A3A64">
        <w:t>[online]</w:t>
      </w:r>
      <w:r w:rsidR="00BB52E1">
        <w:t>, 28(1), 47-60. </w:t>
      </w:r>
      <w:r w:rsidR="009A3A64">
        <w:t>[Accessed 16 September 2017] </w:t>
      </w:r>
    </w:p>
    <w:p w14:paraId="66C46BA8" w14:textId="77777777" w:rsidR="00BB52E1" w:rsidRDefault="00B32799" w:rsidP="00B32799">
      <w:r>
        <w:t xml:space="preserve">A cross-sectional study examines the association between scores from the Mini Nutritional Assessment (MNA), Geriatric Depression Scale (GDS), and Katz Activities of Daily Living (ADL) and nutritional status and mobility of residents in long-term residential care. </w:t>
      </w:r>
    </w:p>
    <w:p w14:paraId="18630186" w14:textId="77777777" w:rsidR="00B32799" w:rsidRDefault="00B32799" w:rsidP="00B32799"/>
    <w:p w14:paraId="293E1DF7" w14:textId="1BE3BCE2" w:rsidR="00B32799" w:rsidRDefault="00F17FF6" w:rsidP="00BB52E1">
      <w:r>
        <w:rPr>
          <w:b/>
        </w:rPr>
        <w:t xml:space="preserve">AJ: </w:t>
      </w:r>
      <w:r w:rsidR="00BB52E1">
        <w:t xml:space="preserve">Lou, M., Dai, Y., Huang, G., &amp; Yu, P. (2007). Nutritional status and health outcomes for older people with dementia living in institutions. </w:t>
      </w:r>
      <w:r w:rsidR="00BB52E1" w:rsidRPr="00B34BFE">
        <w:rPr>
          <w:i/>
        </w:rPr>
        <w:t>Journal of Advanced Nursing</w:t>
      </w:r>
      <w:r w:rsidR="009A3A64">
        <w:rPr>
          <w:i/>
        </w:rPr>
        <w:t xml:space="preserve"> </w:t>
      </w:r>
      <w:r w:rsidR="009A3A64">
        <w:t>[online]</w:t>
      </w:r>
      <w:r w:rsidR="00BB52E1">
        <w:t xml:space="preserve">, 60(5), 470-477.  </w:t>
      </w:r>
      <w:r w:rsidR="009A3A64">
        <w:t>[Accessed 15 September 2017] </w:t>
      </w:r>
    </w:p>
    <w:p w14:paraId="4F104D9E" w14:textId="77777777" w:rsidR="00BB52E1" w:rsidRDefault="003D5095" w:rsidP="00BB52E1">
      <w:r>
        <w:t xml:space="preserve">A 3-month study that </w:t>
      </w:r>
      <w:r w:rsidR="001E6936">
        <w:t xml:space="preserve">examines changes in nutritional status and </w:t>
      </w:r>
      <w:r w:rsidR="00B34BFE">
        <w:t>associated</w:t>
      </w:r>
      <w:r w:rsidR="001E6936">
        <w:t xml:space="preserve"> factors among </w:t>
      </w:r>
      <w:r w:rsidR="00BB52E1">
        <w:t xml:space="preserve">older people with dementia </w:t>
      </w:r>
      <w:r w:rsidR="001E6936">
        <w:t xml:space="preserve">living in two residential care facilities in Taiwan. </w:t>
      </w:r>
      <w:r w:rsidR="00BB52E1">
        <w:t xml:space="preserve">  </w:t>
      </w:r>
    </w:p>
    <w:p w14:paraId="3F7E8BC7" w14:textId="77777777" w:rsidR="00B32799" w:rsidRDefault="00B32799" w:rsidP="00BB52E1"/>
    <w:p w14:paraId="74C521EA" w14:textId="54B33B0D" w:rsidR="001E6936" w:rsidRDefault="00F17FF6" w:rsidP="00BB52E1">
      <w:r>
        <w:rPr>
          <w:b/>
        </w:rPr>
        <w:t xml:space="preserve">AJ: </w:t>
      </w:r>
      <w:r w:rsidR="00BB52E1">
        <w:t xml:space="preserve">Merrell, J., Philpin, S., Warring, J., Hobby, D., &amp; Gregory, V. (2012). Addressing the nutritional needs of older people in residential care homes. </w:t>
      </w:r>
      <w:r w:rsidR="00BB52E1" w:rsidRPr="00B34BFE">
        <w:rPr>
          <w:i/>
        </w:rPr>
        <w:t>Health &amp; Social Care in the Community</w:t>
      </w:r>
      <w:r w:rsidR="009A3A64">
        <w:rPr>
          <w:i/>
        </w:rPr>
        <w:t xml:space="preserve"> </w:t>
      </w:r>
      <w:r w:rsidR="009A3A64">
        <w:t>[online]</w:t>
      </w:r>
      <w:r w:rsidR="00BB52E1">
        <w:t xml:space="preserve">, 20(2), 208-215.  </w:t>
      </w:r>
      <w:r w:rsidR="009A3A64">
        <w:t>[Accessed 15 September 2017] </w:t>
      </w:r>
    </w:p>
    <w:p w14:paraId="49B2F8EE" w14:textId="77777777" w:rsidR="001E6936" w:rsidRDefault="001E6936" w:rsidP="001E6936">
      <w:r>
        <w:lastRenderedPageBreak/>
        <w:t xml:space="preserve">The factors that influence the nutritional care of residents in </w:t>
      </w:r>
      <w:r w:rsidR="00B34BFE">
        <w:t>residential</w:t>
      </w:r>
      <w:r>
        <w:t xml:space="preserve"> care homes in two local authorities in Wales were explored in a qualitative study.</w:t>
      </w:r>
    </w:p>
    <w:p w14:paraId="7204A417" w14:textId="77777777" w:rsidR="001E6936" w:rsidRDefault="001E6936" w:rsidP="00BB52E1"/>
    <w:p w14:paraId="3717FA32" w14:textId="7CAC6168" w:rsidR="001E6936" w:rsidRDefault="00F17FF6" w:rsidP="00BB52E1">
      <w:r>
        <w:rPr>
          <w:b/>
        </w:rPr>
        <w:t xml:space="preserve">AJ: </w:t>
      </w:r>
      <w:r w:rsidR="00BB52E1">
        <w:t xml:space="preserve">Muurinen, S., Savikko, N., Soini, H., Suominen, M., &amp; Pitkälä, K. (2015). Nutrition and psychological well-being among long-term care residents with dementia. </w:t>
      </w:r>
      <w:r w:rsidR="00BB52E1" w:rsidRPr="00B34BFE">
        <w:rPr>
          <w:i/>
        </w:rPr>
        <w:t>The Journal of Nutrition, Health &amp; Aging</w:t>
      </w:r>
      <w:r w:rsidR="009A3A64">
        <w:rPr>
          <w:i/>
        </w:rPr>
        <w:t xml:space="preserve"> </w:t>
      </w:r>
      <w:r w:rsidR="009A3A64">
        <w:t>[online]</w:t>
      </w:r>
      <w:r w:rsidR="00BB52E1">
        <w:t xml:space="preserve">, 19(2), 178-182.  </w:t>
      </w:r>
      <w:r w:rsidR="009A3A64">
        <w:t>[Accessed 15 September 2017] </w:t>
      </w:r>
    </w:p>
    <w:p w14:paraId="2DE6231C" w14:textId="77777777" w:rsidR="001E6936" w:rsidRDefault="001E6936" w:rsidP="001E6936">
      <w:r>
        <w:t>A cross-sectional study conducted in 2011 investigates the</w:t>
      </w:r>
      <w:r w:rsidR="00107E36">
        <w:t xml:space="preserve"> association between nutritional status </w:t>
      </w:r>
      <w:r>
        <w:t>and psychological wellbeing of people with dementia who live in nursing homes.</w:t>
      </w:r>
    </w:p>
    <w:p w14:paraId="70DDC5EE" w14:textId="77777777" w:rsidR="001E6936" w:rsidRDefault="001E6936" w:rsidP="00BB52E1"/>
    <w:p w14:paraId="06FF36B9" w14:textId="3B5FBEE7" w:rsidR="001E6936" w:rsidRDefault="00F17FF6" w:rsidP="00BB52E1">
      <w:r>
        <w:rPr>
          <w:b/>
        </w:rPr>
        <w:t xml:space="preserve">AJ: </w:t>
      </w:r>
      <w:r w:rsidR="00BB52E1">
        <w:t xml:space="preserve">Neyens, J., Halfens, R., Spreeuwenberg, M., Meijers, J., Luiking, Y., Verlaan, G., &amp; Schols, J. (2013). Malnutrition is associated with an increased risk of falls and impaired activity in elderly patients in </w:t>
      </w:r>
      <w:r w:rsidR="00B34BFE">
        <w:t>Dutch</w:t>
      </w:r>
      <w:r w:rsidR="00BB52E1">
        <w:t xml:space="preserve"> residential long-term care (LTC): A cross-sectional study. </w:t>
      </w:r>
      <w:r w:rsidR="00BB52E1" w:rsidRPr="00B34BFE">
        <w:rPr>
          <w:i/>
        </w:rPr>
        <w:t>Archives of Gerontology and Geriatrics</w:t>
      </w:r>
      <w:r w:rsidR="009A3A64">
        <w:rPr>
          <w:i/>
        </w:rPr>
        <w:t xml:space="preserve"> </w:t>
      </w:r>
      <w:r w:rsidR="009A3A64">
        <w:t xml:space="preserve">[online], 56(1), 265-269. [Accessed 16 September 2017]  </w:t>
      </w:r>
    </w:p>
    <w:p w14:paraId="07E3030B" w14:textId="77777777" w:rsidR="001E6936" w:rsidRDefault="001E6936" w:rsidP="00BB52E1">
      <w:r>
        <w:t xml:space="preserve">Secondary analysis of data examines the relationship between malnutrition, activity and falls among residents in long-term care in Holland. </w:t>
      </w:r>
    </w:p>
    <w:p w14:paraId="2AF87A70" w14:textId="77777777" w:rsidR="00BB52E1" w:rsidRDefault="00BB52E1" w:rsidP="00BB52E1">
      <w:r>
        <w:t xml:space="preserve">  </w:t>
      </w:r>
    </w:p>
    <w:p w14:paraId="197DF26E" w14:textId="0456CEB6" w:rsidR="00107E36" w:rsidRDefault="00F17FF6" w:rsidP="00BB52E1">
      <w:r>
        <w:rPr>
          <w:b/>
        </w:rPr>
        <w:t xml:space="preserve">AJ: </w:t>
      </w:r>
      <w:r w:rsidR="00BB52E1">
        <w:t xml:space="preserve">Noronha, M. B., Cunha, N. A., Araújo, D. A., Abrunhosa, S. F., Rocha, A. N., &amp; Amaral, T. F. (2015). Undernutrition, serum vitamin B12, folic acid and depressive symptoms in older adults. </w:t>
      </w:r>
      <w:r w:rsidR="00BB52E1" w:rsidRPr="00B34BFE">
        <w:rPr>
          <w:i/>
        </w:rPr>
        <w:t>Nutrición Hospitalaria</w:t>
      </w:r>
      <w:r w:rsidR="009A3A64">
        <w:rPr>
          <w:i/>
        </w:rPr>
        <w:t xml:space="preserve"> </w:t>
      </w:r>
      <w:r w:rsidR="009A3A64">
        <w:t>[online]</w:t>
      </w:r>
      <w:r w:rsidR="00BB52E1">
        <w:t>, 32(1), 354-361. </w:t>
      </w:r>
      <w:r w:rsidR="009A3A64">
        <w:t>[Accessed 10 September 2017] </w:t>
      </w:r>
    </w:p>
    <w:p w14:paraId="0FCA3457" w14:textId="77777777" w:rsidR="00BB52E1" w:rsidRDefault="00107E36" w:rsidP="00BB52E1">
      <w:r>
        <w:t xml:space="preserve">A cross-sectional study identifies an association between risk of malnutrition and depression among 84 older people living in care homes. </w:t>
      </w:r>
    </w:p>
    <w:p w14:paraId="5B46A0EE" w14:textId="77777777" w:rsidR="00B34BFE" w:rsidRDefault="00B34BFE" w:rsidP="00BB52E1"/>
    <w:p w14:paraId="3F98B48F" w14:textId="0410E4E2" w:rsidR="00107E36" w:rsidRDefault="00F17FF6" w:rsidP="00BB52E1">
      <w:r>
        <w:rPr>
          <w:b/>
        </w:rPr>
        <w:t xml:space="preserve">AJ: </w:t>
      </w:r>
      <w:r w:rsidR="00B34BFE" w:rsidRPr="00B34BFE">
        <w:t xml:space="preserve">Sahin, S., Tasar, P.T., Simsek, H., Çicek, Z., Eskiizmirli, H., Aykar, F.S., Sahin, F. and Akcicek, F </w:t>
      </w:r>
      <w:r w:rsidR="00BB52E1">
        <w:t xml:space="preserve">(2016). Prevalence of anemia and malnutrition and their association in elderly nursing home residents. </w:t>
      </w:r>
      <w:r w:rsidR="00BB52E1" w:rsidRPr="00B34BFE">
        <w:rPr>
          <w:i/>
        </w:rPr>
        <w:t>Aging Clinical and Experimental Research</w:t>
      </w:r>
      <w:r w:rsidR="009A3A64">
        <w:rPr>
          <w:i/>
        </w:rPr>
        <w:t xml:space="preserve"> </w:t>
      </w:r>
      <w:r w:rsidR="009A3A64">
        <w:t>[online]</w:t>
      </w:r>
      <w:r w:rsidR="00BB52E1">
        <w:t>, 28(5), 857-862. </w:t>
      </w:r>
      <w:r w:rsidR="009A3A64">
        <w:t xml:space="preserve"> [Accessed 16 September 2017]  </w:t>
      </w:r>
      <w:r w:rsidR="00BB52E1">
        <w:t xml:space="preserve"> </w:t>
      </w:r>
    </w:p>
    <w:p w14:paraId="6053B394" w14:textId="3C8896C3" w:rsidR="00107E36" w:rsidRDefault="00107E36" w:rsidP="00BB52E1">
      <w:r>
        <w:t xml:space="preserve">This cross-sectional study establishes a link between </w:t>
      </w:r>
      <w:r w:rsidR="00B34BFE">
        <w:t>malnutrition</w:t>
      </w:r>
      <w:r>
        <w:t xml:space="preserve"> and anaemia using residents in a care home in Turkey as the sample population. </w:t>
      </w:r>
    </w:p>
    <w:p w14:paraId="27AB951B" w14:textId="4998574B" w:rsidR="00107E36" w:rsidRDefault="00F17FF6" w:rsidP="00BB52E1">
      <w:r>
        <w:rPr>
          <w:b/>
        </w:rPr>
        <w:lastRenderedPageBreak/>
        <w:t xml:space="preserve">AJ: </w:t>
      </w:r>
      <w:r w:rsidR="00BB52E1">
        <w:t xml:space="preserve">Shah, S. M., Carey, I. M., Harris, T., DeWilde, S., &amp; Cook, D. G. (2013). Mortality in older care home residents in </w:t>
      </w:r>
      <w:r w:rsidR="00107E36">
        <w:t>England</w:t>
      </w:r>
      <w:r w:rsidR="00A75A36">
        <w:t xml:space="preserve"> and W</w:t>
      </w:r>
      <w:r w:rsidR="00BB52E1">
        <w:t xml:space="preserve">ales. </w:t>
      </w:r>
      <w:r w:rsidR="00BB52E1" w:rsidRPr="00B34BFE">
        <w:rPr>
          <w:i/>
        </w:rPr>
        <w:t>Age and Ageing</w:t>
      </w:r>
      <w:r w:rsidR="009A3A64">
        <w:rPr>
          <w:i/>
        </w:rPr>
        <w:t xml:space="preserve"> </w:t>
      </w:r>
      <w:r w:rsidR="009A3A64">
        <w:t>[online]</w:t>
      </w:r>
      <w:r w:rsidR="00BB52E1">
        <w:t xml:space="preserve">, 42(2), 209-215.  </w:t>
      </w:r>
      <w:r w:rsidR="009A3A64">
        <w:t>[Accessed 15 September 2017] </w:t>
      </w:r>
    </w:p>
    <w:p w14:paraId="7C83FBA1" w14:textId="51C0A02B" w:rsidR="00BB52E1" w:rsidRDefault="00107E36" w:rsidP="00FA5655">
      <w:r>
        <w:t xml:space="preserve">This cohort study describes </w:t>
      </w:r>
      <w:r w:rsidR="00FA5655">
        <w:t xml:space="preserve">the predictors of </w:t>
      </w:r>
      <w:r>
        <w:t>1</w:t>
      </w:r>
      <w:r w:rsidRPr="00107E36">
        <w:t xml:space="preserve">-year mortality </w:t>
      </w:r>
      <w:r w:rsidR="00FA5655">
        <w:t xml:space="preserve">of older people in care homes in England and Wales by comparing data from 9,772 </w:t>
      </w:r>
      <w:r>
        <w:t xml:space="preserve">older people </w:t>
      </w:r>
      <w:r w:rsidRPr="00107E36">
        <w:t>in care home</w:t>
      </w:r>
      <w:r w:rsidR="00FA5655">
        <w:t xml:space="preserve">s to 354,306 older people </w:t>
      </w:r>
      <w:r w:rsidRPr="00107E36">
        <w:t>resident</w:t>
      </w:r>
      <w:r w:rsidR="00FA5655">
        <w:t xml:space="preserve">s in the </w:t>
      </w:r>
      <w:r w:rsidRPr="00107E36">
        <w:t>community</w:t>
      </w:r>
      <w:r w:rsidR="00FA5655">
        <w:t xml:space="preserve">. </w:t>
      </w:r>
      <w:r w:rsidRPr="00107E36">
        <w:t xml:space="preserve"> </w:t>
      </w:r>
    </w:p>
    <w:p w14:paraId="65CD7F77" w14:textId="77777777" w:rsidR="00A75A36" w:rsidRDefault="00A75A36" w:rsidP="00FA5655"/>
    <w:p w14:paraId="6E5952FC" w14:textId="2D2ABB54" w:rsidR="00FA5655" w:rsidRDefault="00F17FF6" w:rsidP="00BB52E1">
      <w:r>
        <w:rPr>
          <w:b/>
        </w:rPr>
        <w:t xml:space="preserve">AJ: </w:t>
      </w:r>
      <w:r w:rsidR="00BB52E1">
        <w:t xml:space="preserve">Smoliner, C., Norman, K., Wagner, K., Hartig, W., Lochs, H., &amp; Pirlich, M. (2009). Malnutrition and depression in the institutionalised elderly. </w:t>
      </w:r>
      <w:r w:rsidR="00BB52E1" w:rsidRPr="00B34BFE">
        <w:rPr>
          <w:i/>
        </w:rPr>
        <w:t>British Journal of Nutrition</w:t>
      </w:r>
      <w:r w:rsidR="009A3A64">
        <w:rPr>
          <w:i/>
        </w:rPr>
        <w:t xml:space="preserve"> </w:t>
      </w:r>
      <w:r w:rsidR="009A3A64">
        <w:t>[online]</w:t>
      </w:r>
      <w:r w:rsidR="00BB52E1">
        <w:t xml:space="preserve">, 102(11), 1663-1667.  </w:t>
      </w:r>
      <w:r w:rsidR="009A3A64">
        <w:t>[Accessed 12 September 2017] </w:t>
      </w:r>
    </w:p>
    <w:p w14:paraId="73D1855B" w14:textId="77777777" w:rsidR="00FA5655" w:rsidRDefault="00FA5655" w:rsidP="00BB52E1">
      <w:r w:rsidRPr="00FA5655">
        <w:t xml:space="preserve">The </w:t>
      </w:r>
      <w:r>
        <w:t xml:space="preserve">relationship between </w:t>
      </w:r>
      <w:r w:rsidRPr="00FA5655">
        <w:t>nutritional status and depressi</w:t>
      </w:r>
      <w:r>
        <w:t xml:space="preserve">on among care home residents and their impact on self-caring capacity and quality of life was investigated in this cross-sectional study. </w:t>
      </w:r>
    </w:p>
    <w:p w14:paraId="47F5DEFB" w14:textId="77777777" w:rsidR="00FA5655" w:rsidRDefault="00FA5655" w:rsidP="00BB52E1"/>
    <w:p w14:paraId="3E7824D1" w14:textId="008649E2" w:rsidR="00FA5655" w:rsidRDefault="00F17FF6" w:rsidP="00BB52E1">
      <w:r>
        <w:rPr>
          <w:b/>
        </w:rPr>
        <w:t xml:space="preserve">AJ: </w:t>
      </w:r>
      <w:r w:rsidR="00BB52E1">
        <w:t xml:space="preserve">Ulger, Z., Halil, M., Cankurtaran, M., Yavuz, B., Yesil, Y., Kuyumcu, M. E., . . . Abbasoglu, O. (2013). Malnutrition in </w:t>
      </w:r>
      <w:r>
        <w:t>Turkish</w:t>
      </w:r>
      <w:r w:rsidR="00BB52E1">
        <w:t xml:space="preserve"> nursing homes: A correlate of short term mortality. </w:t>
      </w:r>
      <w:r w:rsidR="00BB52E1" w:rsidRPr="00B34BFE">
        <w:rPr>
          <w:i/>
        </w:rPr>
        <w:t>The Journal of Nutrition, Health &amp; Aging</w:t>
      </w:r>
      <w:r w:rsidR="009A3A64">
        <w:rPr>
          <w:i/>
        </w:rPr>
        <w:t xml:space="preserve"> </w:t>
      </w:r>
      <w:r w:rsidR="009A3A64">
        <w:t>[online]</w:t>
      </w:r>
      <w:r w:rsidR="00BB52E1">
        <w:t xml:space="preserve">, 17(4), 305-309.  </w:t>
      </w:r>
      <w:r w:rsidR="009A3A64">
        <w:t>[Accessed 22 September 2017] </w:t>
      </w:r>
    </w:p>
    <w:p w14:paraId="22293367" w14:textId="7F24D07E" w:rsidR="00BB52E1" w:rsidRDefault="00FA5655" w:rsidP="00BB52E1">
      <w:r>
        <w:t xml:space="preserve">A cross-sectional study determines an association between malnutrition and mortality risk among residents in care homes. </w:t>
      </w:r>
      <w:r w:rsidR="00BB52E1">
        <w:t> </w:t>
      </w:r>
    </w:p>
    <w:p w14:paraId="425F768C" w14:textId="6D69D9E4" w:rsidR="00F17FF6" w:rsidRDefault="00F17FF6" w:rsidP="00BB52E1"/>
    <w:p w14:paraId="10D8FA0A" w14:textId="61F4D4C2" w:rsidR="00F17FF6" w:rsidRPr="00BB52E1" w:rsidRDefault="00F17FF6" w:rsidP="000F3126">
      <w:pPr>
        <w:pStyle w:val="Heading3"/>
      </w:pPr>
      <w:bookmarkStart w:id="7" w:name="_Toc499814922"/>
      <w:r>
        <w:t>S</w:t>
      </w:r>
      <w:r w:rsidR="000F3126">
        <w:t>ummary</w:t>
      </w:r>
      <w:bookmarkEnd w:id="7"/>
    </w:p>
    <w:p w14:paraId="565DC11B" w14:textId="6F9B0D8F" w:rsidR="00B713B4" w:rsidRDefault="00B713B4" w:rsidP="00B713B4">
      <w:r>
        <w:t>•Variable prevalence rates of malnutrition in care home settings have been estimated among studies</w:t>
      </w:r>
      <w:r w:rsidR="00727AAD">
        <w:t xml:space="preserve"> - p</w:t>
      </w:r>
      <w:r>
        <w:t>revalence rates reported range from</w:t>
      </w:r>
      <w:r w:rsidR="00A75A36">
        <w:t xml:space="preserve"> </w:t>
      </w:r>
      <w:r>
        <w:t xml:space="preserve">1.5% to 66.5%. </w:t>
      </w:r>
    </w:p>
    <w:p w14:paraId="78D9268B" w14:textId="27B4CF3E" w:rsidR="00B713B4" w:rsidRDefault="00B713B4" w:rsidP="00B713B4">
      <w:r>
        <w:t xml:space="preserve">•In the UK malnutrition prevalence have been estimated at 30%. </w:t>
      </w:r>
    </w:p>
    <w:p w14:paraId="30337797" w14:textId="67959C6F" w:rsidR="00B713B4" w:rsidRDefault="00727AAD" w:rsidP="00B713B4">
      <w:r>
        <w:t>•</w:t>
      </w:r>
      <w:r w:rsidR="00B713B4">
        <w:t xml:space="preserve">Among people with dementia, the prevalence of malnutrition </w:t>
      </w:r>
      <w:r>
        <w:t xml:space="preserve">varies </w:t>
      </w:r>
      <w:r w:rsidR="009679EC">
        <w:t xml:space="preserve">from </w:t>
      </w:r>
      <w:r w:rsidR="00B713B4">
        <w:t xml:space="preserve">18% to 28%. </w:t>
      </w:r>
    </w:p>
    <w:p w14:paraId="4F28753D" w14:textId="150DEB34" w:rsidR="00B713B4" w:rsidRDefault="00B713B4" w:rsidP="00B713B4">
      <w:r>
        <w:t>•Risk of malnutrition is relatively higher than malnutrition itself in care homes and studies have reported malnutrition risk pr</w:t>
      </w:r>
      <w:r w:rsidR="00727AAD">
        <w:t xml:space="preserve">evalence </w:t>
      </w:r>
      <w:r w:rsidR="009679EC">
        <w:t xml:space="preserve">ranging from </w:t>
      </w:r>
      <w:r w:rsidR="00727AAD">
        <w:t xml:space="preserve">27.6% to 66%. </w:t>
      </w:r>
      <w:r>
        <w:t xml:space="preserve"> </w:t>
      </w:r>
    </w:p>
    <w:p w14:paraId="056A3A1C" w14:textId="002378D8" w:rsidR="00B713B4" w:rsidRDefault="00B713B4" w:rsidP="00B713B4">
      <w:r>
        <w:t>•</w:t>
      </w:r>
      <w:r w:rsidR="00D115E5">
        <w:t>Risk factors to ma</w:t>
      </w:r>
      <w:r>
        <w:t xml:space="preserve">lnutrition in care home settings </w:t>
      </w:r>
      <w:r w:rsidR="00D115E5">
        <w:t xml:space="preserve">are multifactorial and </w:t>
      </w:r>
      <w:r>
        <w:t xml:space="preserve">include medical, social, environmental, organisational and financial factors. </w:t>
      </w:r>
    </w:p>
    <w:p w14:paraId="5743E477" w14:textId="03EA4A1A" w:rsidR="00B713B4" w:rsidRDefault="00B713B4" w:rsidP="00B713B4">
      <w:r>
        <w:lastRenderedPageBreak/>
        <w:t>•Among people with dementia, poor nutritional status, eating little of the food offered, having meals alone and not having snacks are associated with poor psychological wellbeing.</w:t>
      </w:r>
    </w:p>
    <w:p w14:paraId="62A08E15" w14:textId="4AACFF38" w:rsidR="00B713B4" w:rsidRDefault="00B713B4" w:rsidP="00B713B4">
      <w:r>
        <w:t>•Staff in care homes fail to recognise the psychosocial aspects of mealtimes.</w:t>
      </w:r>
    </w:p>
    <w:p w14:paraId="4477A833" w14:textId="3B6EFB7B" w:rsidR="00B713B4" w:rsidRDefault="00B713B4" w:rsidP="00B713B4">
      <w:r>
        <w:t>•There is more focus on nutritional intake and malnutrition-related clinical outcomes in care homes – little attention is given to the food ambiance or social element to food.</w:t>
      </w:r>
    </w:p>
    <w:p w14:paraId="23B739A3" w14:textId="45CE743F" w:rsidR="00B713B4" w:rsidRDefault="00B713B4" w:rsidP="00B713B4">
      <w:r>
        <w:t>•Adverse outcomes of malnutrition include risk of infections, mortality, falls, pressure ulcers and hospital admissions, leading to higher healthcare costs and poorer quality of life.</w:t>
      </w:r>
    </w:p>
    <w:p w14:paraId="3B299735" w14:textId="77777777" w:rsidR="00B713B4" w:rsidRPr="00BB52E1" w:rsidRDefault="00B713B4" w:rsidP="00B713B4"/>
    <w:p w14:paraId="01AA6A49" w14:textId="341384D3" w:rsidR="000F3126" w:rsidRDefault="000F3126" w:rsidP="000F3126">
      <w:pPr>
        <w:pStyle w:val="Heading2"/>
      </w:pPr>
      <w:bookmarkStart w:id="8" w:name="_Toc499814923"/>
      <w:r>
        <w:t>Hospital setting</w:t>
      </w:r>
      <w:bookmarkEnd w:id="8"/>
    </w:p>
    <w:p w14:paraId="5928E8F8" w14:textId="4CAB6245" w:rsidR="00F91295" w:rsidRDefault="005E487D" w:rsidP="00DB655C">
      <w:r>
        <w:rPr>
          <w:b/>
        </w:rPr>
        <w:t xml:space="preserve">AJ: </w:t>
      </w:r>
      <w:r w:rsidR="00DB655C">
        <w:t xml:space="preserve">Agarwal, E., Ferguson, M., Banks, M., Bauer, J., Capra, S., &amp; Isenring, E. (2012). Nutritional status and dietary intake of acute care patients: Results from the nutrition care day survey 2010. </w:t>
      </w:r>
      <w:r w:rsidR="00DB655C" w:rsidRPr="006F7665">
        <w:rPr>
          <w:i/>
        </w:rPr>
        <w:t>Clinical Nutrition</w:t>
      </w:r>
      <w:r w:rsidR="009A3A64">
        <w:rPr>
          <w:i/>
        </w:rPr>
        <w:t xml:space="preserve"> </w:t>
      </w:r>
      <w:r w:rsidR="009A3A64">
        <w:t>[online]</w:t>
      </w:r>
      <w:r w:rsidR="00DB655C" w:rsidRPr="006F7665">
        <w:rPr>
          <w:i/>
        </w:rPr>
        <w:t>,</w:t>
      </w:r>
      <w:r w:rsidR="00DB655C">
        <w:t xml:space="preserve"> 31(1), 41-</w:t>
      </w:r>
      <w:r w:rsidR="00F91295">
        <w:t xml:space="preserve"> </w:t>
      </w:r>
      <w:r w:rsidR="00DB655C">
        <w:t>47.</w:t>
      </w:r>
      <w:r w:rsidR="009A3A64">
        <w:t xml:space="preserve"> [Accessed 14 September 2017]  </w:t>
      </w:r>
      <w:r w:rsidR="00DB655C">
        <w:t>  </w:t>
      </w:r>
    </w:p>
    <w:p w14:paraId="117E69E8" w14:textId="77777777" w:rsidR="00F91295" w:rsidRDefault="00F91295" w:rsidP="00F91295">
      <w:r>
        <w:t>Malnutrition and poor food intake were established as risk factors to risk of mortality among hospital adult patients</w:t>
      </w:r>
    </w:p>
    <w:p w14:paraId="39B1ADC4" w14:textId="77777777" w:rsidR="00F91295" w:rsidRDefault="00F91295" w:rsidP="00DB655C"/>
    <w:p w14:paraId="706412CA" w14:textId="219E5797" w:rsidR="00F91295" w:rsidRDefault="005E487D" w:rsidP="00DB655C">
      <w:r>
        <w:rPr>
          <w:b/>
        </w:rPr>
        <w:t xml:space="preserve">AJ: </w:t>
      </w:r>
      <w:r w:rsidR="00DB655C">
        <w:t xml:space="preserve">Alzahrani, S. H., El Sayed, I. A., &amp; Alshamrani, S. M. (2016). Prevalence and factors associated with geriatric malnutrition in an outpatient clinic of a teaching hospital in </w:t>
      </w:r>
      <w:r w:rsidR="006F7665">
        <w:t>Jeddah</w:t>
      </w:r>
      <w:r w:rsidR="00DB655C">
        <w:t xml:space="preserve">, </w:t>
      </w:r>
      <w:r w:rsidR="006F7665">
        <w:t>Saudi</w:t>
      </w:r>
      <w:r w:rsidR="00DB655C">
        <w:t xml:space="preserve"> </w:t>
      </w:r>
      <w:r w:rsidR="006F7665">
        <w:t>Arabia</w:t>
      </w:r>
      <w:r w:rsidR="00DB655C">
        <w:t xml:space="preserve">. </w:t>
      </w:r>
      <w:r w:rsidR="00DB655C" w:rsidRPr="006F7665">
        <w:rPr>
          <w:i/>
        </w:rPr>
        <w:t>Annals of Saudi Medicine</w:t>
      </w:r>
      <w:r w:rsidR="0017733A">
        <w:rPr>
          <w:i/>
        </w:rPr>
        <w:t xml:space="preserve"> </w:t>
      </w:r>
      <w:r w:rsidR="0017733A">
        <w:t>[online]</w:t>
      </w:r>
      <w:r w:rsidR="00DB655C">
        <w:t xml:space="preserve">, 36(5), 346.  </w:t>
      </w:r>
      <w:r w:rsidR="0017733A">
        <w:t>[Accessed 15 September 2017]    </w:t>
      </w:r>
    </w:p>
    <w:p w14:paraId="4A31C060" w14:textId="77777777" w:rsidR="00F91295" w:rsidRDefault="00F91295" w:rsidP="00DB655C">
      <w:r>
        <w:t>This cross-sectional study investigates the prevalence and determinants of malnutrition among older people in a geriatric clinic.</w:t>
      </w:r>
    </w:p>
    <w:p w14:paraId="71ADF96A" w14:textId="77777777" w:rsidR="00F91295" w:rsidRDefault="00F91295" w:rsidP="00DB655C"/>
    <w:p w14:paraId="3A464FD8" w14:textId="03B73F95" w:rsidR="00F91295" w:rsidRDefault="005E487D" w:rsidP="00DB655C">
      <w:r>
        <w:rPr>
          <w:b/>
        </w:rPr>
        <w:t xml:space="preserve">AJ: </w:t>
      </w:r>
      <w:r w:rsidR="00DB655C">
        <w:t xml:space="preserve">Charlton, K., Nichols, C., Bowden, S., Milosavljevic, M., Lambert, K., Barone, L., . . . Batterham, M. (2012). Poor nutritional status of older subacute patients predicts clinical outcomes and mortality at 18 months of follow-up. </w:t>
      </w:r>
      <w:r w:rsidR="00DB655C" w:rsidRPr="006F7665">
        <w:rPr>
          <w:i/>
        </w:rPr>
        <w:t>European Journal of Clinical Nutrition</w:t>
      </w:r>
      <w:r w:rsidR="0017733A">
        <w:rPr>
          <w:i/>
        </w:rPr>
        <w:t xml:space="preserve"> </w:t>
      </w:r>
      <w:r w:rsidR="0017733A">
        <w:t>[online]</w:t>
      </w:r>
      <w:r w:rsidR="00DB655C">
        <w:t>, 66(11), 1224. </w:t>
      </w:r>
      <w:r w:rsidR="0017733A">
        <w:t>[Accessed 11 September 2017]    </w:t>
      </w:r>
    </w:p>
    <w:p w14:paraId="3671E085" w14:textId="77777777" w:rsidR="00F91295" w:rsidRDefault="00F91295" w:rsidP="00F91295">
      <w:r>
        <w:lastRenderedPageBreak/>
        <w:t>A retrospective analysis of admission records of older people in two acute hospitals was carried out to assess the association between nutritional status at hospital admission and clinical outcomes following an 18-month period.</w:t>
      </w:r>
    </w:p>
    <w:p w14:paraId="49BF19FE" w14:textId="77777777" w:rsidR="00F91295" w:rsidRDefault="00F91295" w:rsidP="00F91295"/>
    <w:p w14:paraId="435510A5" w14:textId="15FA87BD" w:rsidR="00F91295" w:rsidRDefault="005E487D" w:rsidP="00DB655C">
      <w:r>
        <w:rPr>
          <w:b/>
        </w:rPr>
        <w:t xml:space="preserve">AJ: </w:t>
      </w:r>
      <w:r w:rsidR="00DB655C">
        <w:t xml:space="preserve">Eide, H. D., Halvorsen, K., &amp; Almendingen, K. (2015). Barriers to nutritional care for the undernourished hospitalised elderly: Perspectives of nurses. </w:t>
      </w:r>
      <w:r w:rsidR="00DB655C" w:rsidRPr="006F7665">
        <w:rPr>
          <w:i/>
        </w:rPr>
        <w:t>Journal of Clinical Nursing</w:t>
      </w:r>
      <w:r w:rsidR="0017733A">
        <w:rPr>
          <w:i/>
        </w:rPr>
        <w:t xml:space="preserve"> </w:t>
      </w:r>
      <w:r w:rsidR="0017733A">
        <w:t>[online]</w:t>
      </w:r>
      <w:r w:rsidR="00DB655C">
        <w:t xml:space="preserve">, 24(5-6), 696-706.  </w:t>
      </w:r>
      <w:r w:rsidR="0017733A">
        <w:t>[Accessed 12 September 2017]    </w:t>
      </w:r>
    </w:p>
    <w:p w14:paraId="316C6EF2" w14:textId="77777777" w:rsidR="00DB655C" w:rsidRDefault="0052243D" w:rsidP="00DB655C">
      <w:r>
        <w:t>Interviews from focus group di</w:t>
      </w:r>
      <w:r w:rsidR="006F7665">
        <w:t>scussions with nurses identify</w:t>
      </w:r>
      <w:r>
        <w:t xml:space="preserve"> the b</w:t>
      </w:r>
      <w:r w:rsidR="00DB655C">
        <w:t xml:space="preserve">arriers to nutritional care in </w:t>
      </w:r>
      <w:r w:rsidR="006F7665">
        <w:t>a university hospital in Norway.</w:t>
      </w:r>
    </w:p>
    <w:p w14:paraId="27E90E0F" w14:textId="77777777" w:rsidR="006F7665" w:rsidRDefault="006F7665" w:rsidP="00DB655C"/>
    <w:p w14:paraId="32CD2E9D" w14:textId="316E1B55" w:rsidR="0052243D" w:rsidRDefault="005E487D" w:rsidP="00DB655C">
      <w:r>
        <w:rPr>
          <w:b/>
        </w:rPr>
        <w:t xml:space="preserve">AJ: </w:t>
      </w:r>
      <w:r w:rsidR="00DB655C">
        <w:t xml:space="preserve">Gomes, F., Emery, P. W., &amp; Weekes, C. E. (2016). Risk of malnutrition is an independent predictor of mortality, length </w:t>
      </w:r>
      <w:r w:rsidR="006F7665">
        <w:t>of hospital stay, and hospitalis</w:t>
      </w:r>
      <w:r w:rsidR="00DB655C">
        <w:t xml:space="preserve">ation costs in stroke patients. </w:t>
      </w:r>
      <w:r w:rsidR="00DB655C" w:rsidRPr="006F7665">
        <w:rPr>
          <w:i/>
        </w:rPr>
        <w:t>Journal of Stroke and Cerebrovascular Diseases</w:t>
      </w:r>
      <w:r w:rsidR="0017733A">
        <w:rPr>
          <w:i/>
        </w:rPr>
        <w:t xml:space="preserve"> </w:t>
      </w:r>
      <w:r w:rsidR="0017733A">
        <w:t>[online]</w:t>
      </w:r>
      <w:r w:rsidR="00DB655C">
        <w:t xml:space="preserve">, 25(4), 799-806.  </w:t>
      </w:r>
      <w:r w:rsidR="0017733A">
        <w:t>[Accessed 15 September 2017]    </w:t>
      </w:r>
    </w:p>
    <w:p w14:paraId="04821CB9" w14:textId="77777777" w:rsidR="0052243D" w:rsidRDefault="0052243D" w:rsidP="00DB655C">
      <w:r>
        <w:t xml:space="preserve">Examines the predictive ability </w:t>
      </w:r>
      <w:r w:rsidRPr="0052243D">
        <w:t xml:space="preserve">of the Malnutrition Universal Screening Tool (MUST) </w:t>
      </w:r>
      <w:r>
        <w:t>on p</w:t>
      </w:r>
      <w:r w:rsidRPr="0052243D">
        <w:t xml:space="preserve">oor </w:t>
      </w:r>
      <w:r>
        <w:t xml:space="preserve">health </w:t>
      </w:r>
      <w:r w:rsidRPr="0052243D">
        <w:t>outcomes</w:t>
      </w:r>
      <w:r>
        <w:t xml:space="preserve"> among </w:t>
      </w:r>
      <w:r w:rsidRPr="0052243D">
        <w:t>stroke patients</w:t>
      </w:r>
      <w:r>
        <w:t>.</w:t>
      </w:r>
    </w:p>
    <w:p w14:paraId="0E9496F6" w14:textId="77777777" w:rsidR="00DB655C" w:rsidRDefault="0052243D" w:rsidP="00DB655C">
      <w:r w:rsidRPr="0052243D">
        <w:t xml:space="preserve"> </w:t>
      </w:r>
    </w:p>
    <w:p w14:paraId="75702638" w14:textId="08C5E5F6" w:rsidR="0052243D" w:rsidRDefault="005E487D" w:rsidP="00DB655C">
      <w:r>
        <w:rPr>
          <w:b/>
        </w:rPr>
        <w:t xml:space="preserve">AJ: </w:t>
      </w:r>
      <w:r w:rsidR="00DB655C">
        <w:t xml:space="preserve">Mudge, A. M., Ross, L. J., Young, A. M., Isenring, E. A., &amp; Banks, M. D. (2011). Helping understand nutritional gaps in the elderly (HUNGER): A prospective study of patient factors associated with inadequate nutritional intake in older medical inpatients. </w:t>
      </w:r>
      <w:r w:rsidR="00DB655C" w:rsidRPr="00A5394E">
        <w:rPr>
          <w:i/>
        </w:rPr>
        <w:t>Clinical Nutrition</w:t>
      </w:r>
      <w:r w:rsidR="0017733A">
        <w:rPr>
          <w:i/>
        </w:rPr>
        <w:t xml:space="preserve"> </w:t>
      </w:r>
      <w:r w:rsidR="0017733A">
        <w:t>[online]</w:t>
      </w:r>
      <w:r w:rsidR="00DB655C">
        <w:t xml:space="preserve">, 30(3), 320-325.  </w:t>
      </w:r>
      <w:r w:rsidR="0017733A">
        <w:t>[Accessed 14 September 2017]    </w:t>
      </w:r>
    </w:p>
    <w:p w14:paraId="6A771DCA" w14:textId="77777777" w:rsidR="0052243D" w:rsidRDefault="0052243D" w:rsidP="0052243D">
      <w:r>
        <w:t xml:space="preserve">A prospective cohort study examines prevalence and </w:t>
      </w:r>
      <w:r w:rsidR="00922C23">
        <w:t xml:space="preserve">patient-related risk factors </w:t>
      </w:r>
      <w:r w:rsidR="00A5394E">
        <w:t>to malnutrition</w:t>
      </w:r>
      <w:r w:rsidR="00922C23">
        <w:t xml:space="preserve">. </w:t>
      </w:r>
    </w:p>
    <w:p w14:paraId="76BEBA80" w14:textId="77777777" w:rsidR="00922C23" w:rsidRDefault="00922C23" w:rsidP="00DB655C"/>
    <w:p w14:paraId="0E05C4D4" w14:textId="7FB6DE88" w:rsidR="00922C23" w:rsidRDefault="005E487D" w:rsidP="00DB655C">
      <w:r>
        <w:rPr>
          <w:b/>
        </w:rPr>
        <w:t xml:space="preserve">AJ: </w:t>
      </w:r>
      <w:r w:rsidR="00DB655C">
        <w:t xml:space="preserve">Planas, M., Álvarez-Hernández, J., León-Sanz, M., Celaya-Pérez, S., Araujo, K., &amp; De Lorenzo, A. G. (2016). Prevalence of hospital malnutrition in cancer patients: A sub-analysis of the PREDyCES® study. </w:t>
      </w:r>
      <w:r w:rsidR="00DB655C" w:rsidRPr="00A5394E">
        <w:rPr>
          <w:i/>
        </w:rPr>
        <w:t>Supportive Care in Cancer</w:t>
      </w:r>
      <w:r w:rsidR="0017733A">
        <w:rPr>
          <w:i/>
        </w:rPr>
        <w:t xml:space="preserve"> </w:t>
      </w:r>
      <w:r w:rsidR="0017733A">
        <w:t>[online]</w:t>
      </w:r>
      <w:r w:rsidR="00DB655C">
        <w:t>, 24(1), 429-435. </w:t>
      </w:r>
      <w:r w:rsidR="0017733A">
        <w:t>[Accessed 14 September 2017]    </w:t>
      </w:r>
    </w:p>
    <w:p w14:paraId="0E5CA41A" w14:textId="77777777" w:rsidR="00DB655C" w:rsidRDefault="00922C23" w:rsidP="00922C23">
      <w:r>
        <w:t>This cross-sectional multi-centre study presents results on the prevalence of risk of malnutrition and associated clinical and economic outcomes of oncology patients.</w:t>
      </w:r>
    </w:p>
    <w:p w14:paraId="13103DEF" w14:textId="77777777" w:rsidR="00BB34C6" w:rsidRDefault="00BB34C6" w:rsidP="00922C23"/>
    <w:p w14:paraId="7124AE0C" w14:textId="3919E6D4" w:rsidR="00BB34C6" w:rsidRDefault="005E487D" w:rsidP="00DB655C">
      <w:r>
        <w:rPr>
          <w:b/>
        </w:rPr>
        <w:lastRenderedPageBreak/>
        <w:t xml:space="preserve">AJ: </w:t>
      </w:r>
      <w:r w:rsidR="00DB655C">
        <w:t xml:space="preserve">Rasheed, S., &amp; Woods, R. (2014). An investigation into the association between nutritional status and quality of life in older people admitted to hospital. </w:t>
      </w:r>
      <w:r w:rsidR="00DB655C" w:rsidRPr="00A5394E">
        <w:rPr>
          <w:i/>
        </w:rPr>
        <w:t>Journal of Human Nutrition and Dietetics</w:t>
      </w:r>
      <w:r w:rsidR="0017733A">
        <w:rPr>
          <w:i/>
        </w:rPr>
        <w:t xml:space="preserve"> </w:t>
      </w:r>
      <w:r w:rsidR="0017733A">
        <w:t>[online]</w:t>
      </w:r>
      <w:r w:rsidR="00DB655C">
        <w:t xml:space="preserve">, 27(2), 142-151.  </w:t>
      </w:r>
      <w:r w:rsidR="0017733A">
        <w:t>[Accessed 15 September 2017]    </w:t>
      </w:r>
    </w:p>
    <w:p w14:paraId="2735F35A" w14:textId="5BC8E206" w:rsidR="00BB34C6" w:rsidRDefault="00BB34C6" w:rsidP="00DB655C">
      <w:r>
        <w:t>This prospective cross-sectional study examines the relationship between malnutrition and quality</w:t>
      </w:r>
      <w:r w:rsidR="000F3126">
        <w:t xml:space="preserve"> of</w:t>
      </w:r>
      <w:r>
        <w:t xml:space="preserve"> life among older inpatients.</w:t>
      </w:r>
      <w:r w:rsidR="00DB655C">
        <w:t> </w:t>
      </w:r>
    </w:p>
    <w:p w14:paraId="5BC59A3C" w14:textId="77777777" w:rsidR="00DB655C" w:rsidRDefault="00DB655C" w:rsidP="00DB655C">
      <w:r>
        <w:t xml:space="preserve"> </w:t>
      </w:r>
    </w:p>
    <w:p w14:paraId="46BAE822" w14:textId="6E11FA1E" w:rsidR="00BB34C6" w:rsidRDefault="005E487D" w:rsidP="00DB655C">
      <w:r>
        <w:rPr>
          <w:b/>
        </w:rPr>
        <w:t xml:space="preserve">AJ: </w:t>
      </w:r>
      <w:r w:rsidR="00DB655C">
        <w:t xml:space="preserve">Söderström, L., Adolfsson, E. T., Rosenblad, A., Frid, H., Saletti, A., &amp; Bergkvist, L. (2013). Mealtime habits and meal provision are associated with malnutrition among elderly patients admitted to hospital. </w:t>
      </w:r>
      <w:r w:rsidR="00DB655C" w:rsidRPr="00A5394E">
        <w:rPr>
          <w:i/>
        </w:rPr>
        <w:t>Clinical Nutrition</w:t>
      </w:r>
      <w:r w:rsidR="0017733A">
        <w:rPr>
          <w:i/>
        </w:rPr>
        <w:t xml:space="preserve"> </w:t>
      </w:r>
      <w:r w:rsidR="0017733A">
        <w:t>[online]</w:t>
      </w:r>
      <w:r w:rsidR="00DB655C">
        <w:t xml:space="preserve">, 32(2), 281-288.  </w:t>
      </w:r>
      <w:r w:rsidR="0017733A">
        <w:t>[Accessed 16 September 2017]    </w:t>
      </w:r>
    </w:p>
    <w:p w14:paraId="0B682F41" w14:textId="77777777" w:rsidR="00BB34C6" w:rsidRDefault="00BB34C6" w:rsidP="00BB34C6">
      <w:r>
        <w:t>The relationship between mealtime habits, meal provision, and malnutrition were examined in this cross-sectional study involving older people admitted to a hospital.</w:t>
      </w:r>
    </w:p>
    <w:p w14:paraId="36E98E5B" w14:textId="77777777" w:rsidR="00DB655C" w:rsidRDefault="00DB655C" w:rsidP="00BB34C6">
      <w:r>
        <w:t xml:space="preserve"> </w:t>
      </w:r>
    </w:p>
    <w:p w14:paraId="3907064F" w14:textId="0D70D037" w:rsidR="00BB34C6" w:rsidRDefault="005E487D" w:rsidP="00DB655C">
      <w:r>
        <w:rPr>
          <w:b/>
        </w:rPr>
        <w:t xml:space="preserve">SR: </w:t>
      </w:r>
      <w:r w:rsidR="00DB655C">
        <w:rPr>
          <w:rFonts w:hint="eastAsia"/>
        </w:rPr>
        <w:t>Thomas, J. M., Cooney, L. M., &amp; Fried, T. R. (2013). Systematic review: Health</w:t>
      </w:r>
      <w:r w:rsidR="00DB655C">
        <w:rPr>
          <w:rFonts w:hint="eastAsia"/>
        </w:rPr>
        <w:t>‐</w:t>
      </w:r>
      <w:r w:rsidR="00DB655C">
        <w:rPr>
          <w:rFonts w:hint="eastAsia"/>
        </w:rPr>
        <w:t xml:space="preserve">Related characteristics of elderly hospitalized adults and nursing home residents associated with </w:t>
      </w:r>
      <w:r w:rsidR="009679EC">
        <w:t>s</w:t>
      </w:r>
      <w:r w:rsidR="00DB655C">
        <w:rPr>
          <w:rFonts w:hint="eastAsia"/>
        </w:rPr>
        <w:t>hort</w:t>
      </w:r>
      <w:r w:rsidR="00DB655C">
        <w:rPr>
          <w:rFonts w:hint="eastAsia"/>
        </w:rPr>
        <w:t>‐</w:t>
      </w:r>
      <w:r w:rsidR="009679EC">
        <w:t>t</w:t>
      </w:r>
      <w:r w:rsidR="00DB655C">
        <w:rPr>
          <w:rFonts w:hint="eastAsia"/>
        </w:rPr>
        <w:t xml:space="preserve">erm mortality. </w:t>
      </w:r>
      <w:r w:rsidR="00DB655C" w:rsidRPr="00A5394E">
        <w:rPr>
          <w:rFonts w:hint="eastAsia"/>
          <w:i/>
        </w:rPr>
        <w:t>Journal of the American Geriatrics Society</w:t>
      </w:r>
      <w:r w:rsidR="0017733A">
        <w:rPr>
          <w:i/>
        </w:rPr>
        <w:t xml:space="preserve"> </w:t>
      </w:r>
      <w:r w:rsidR="0017733A">
        <w:t>[online]</w:t>
      </w:r>
      <w:r w:rsidR="00DB655C">
        <w:rPr>
          <w:rFonts w:hint="eastAsia"/>
        </w:rPr>
        <w:t>, 61(6), 902-91</w:t>
      </w:r>
      <w:r w:rsidR="00DB655C">
        <w:t xml:space="preserve">1.  </w:t>
      </w:r>
      <w:r w:rsidR="0017733A">
        <w:t>[Accessed 10 September 2017]    </w:t>
      </w:r>
    </w:p>
    <w:p w14:paraId="5D89E8F4" w14:textId="7117F10A" w:rsidR="00DB655C" w:rsidRDefault="00BB34C6" w:rsidP="00DB655C">
      <w:r>
        <w:t xml:space="preserve">In the quest </w:t>
      </w:r>
      <w:r w:rsidR="00A5394E">
        <w:t xml:space="preserve">to </w:t>
      </w:r>
      <w:r>
        <w:t xml:space="preserve">identify the </w:t>
      </w:r>
      <w:r w:rsidR="0092581C">
        <w:t xml:space="preserve">health-related </w:t>
      </w:r>
      <w:r>
        <w:t xml:space="preserve">factors </w:t>
      </w:r>
      <w:r w:rsidR="0092581C">
        <w:t>associated with mortality among adults admitted to hospital, this review identifies nutrition as a r</w:t>
      </w:r>
      <w:r w:rsidR="000F3126">
        <w:t xml:space="preserve">isk </w:t>
      </w:r>
      <w:r w:rsidR="0092581C">
        <w:t xml:space="preserve">factor to mortality among hospitalised adults. </w:t>
      </w:r>
    </w:p>
    <w:p w14:paraId="0EBAB3D5" w14:textId="77777777" w:rsidR="0092581C" w:rsidRDefault="0092581C" w:rsidP="00DB655C"/>
    <w:p w14:paraId="2B91A807" w14:textId="3043C5BB" w:rsidR="0092581C" w:rsidRDefault="005E487D" w:rsidP="00DB655C">
      <w:r>
        <w:rPr>
          <w:b/>
        </w:rPr>
        <w:t xml:space="preserve">AJ: </w:t>
      </w:r>
      <w:r w:rsidR="00DB655C">
        <w:t xml:space="preserve">Vaudin, A., &amp; Sahyoun, N. R. (2015). Food anxiety is associated with poor health status among recently hospital-discharged older adults. </w:t>
      </w:r>
      <w:r w:rsidR="00DB655C" w:rsidRPr="00A5394E">
        <w:rPr>
          <w:i/>
        </w:rPr>
        <w:t>Journal of Nutrition in Gerontology and Geriatrics</w:t>
      </w:r>
      <w:r w:rsidR="0017733A">
        <w:rPr>
          <w:i/>
        </w:rPr>
        <w:t xml:space="preserve"> </w:t>
      </w:r>
      <w:r w:rsidR="0017733A">
        <w:t>[online]</w:t>
      </w:r>
      <w:r w:rsidR="00DB655C">
        <w:t>, 34(2), 245-262. </w:t>
      </w:r>
      <w:r w:rsidR="0017733A">
        <w:t>[Accessed 11 September 2017]    </w:t>
      </w:r>
    </w:p>
    <w:p w14:paraId="0DE7F07C" w14:textId="77777777" w:rsidR="00DB655C" w:rsidRDefault="0092581C" w:rsidP="00DB655C">
      <w:r>
        <w:t>This study describes the food anxiety of older people at three different time points in their</w:t>
      </w:r>
      <w:r w:rsidR="00A5394E">
        <w:t xml:space="preserve"> hospitalis</w:t>
      </w:r>
      <w:r>
        <w:t>ation journey – p</w:t>
      </w:r>
      <w:r w:rsidR="00A5394E">
        <w:t>rior, during and post hospitalis</w:t>
      </w:r>
      <w:r>
        <w:t xml:space="preserve">ation. </w:t>
      </w:r>
    </w:p>
    <w:p w14:paraId="160173A8" w14:textId="77777777" w:rsidR="0092581C" w:rsidRDefault="0092581C" w:rsidP="00DB655C"/>
    <w:p w14:paraId="50BEA6C2" w14:textId="31FA11D2" w:rsidR="0092581C" w:rsidRDefault="00122D86" w:rsidP="00DB655C">
      <w:r>
        <w:rPr>
          <w:b/>
        </w:rPr>
        <w:t xml:space="preserve">AJ: </w:t>
      </w:r>
      <w:r w:rsidR="00DB655C">
        <w:t xml:space="preserve">Wong, S., Graham, A., Green, D., Hirani, S., Grimble, G., &amp; Forbes, A. (2012). Meal provision in a UK national spinal injury centre: A qualitative audit of service users and stakeholders. </w:t>
      </w:r>
      <w:r w:rsidR="00DB655C" w:rsidRPr="00A5394E">
        <w:rPr>
          <w:i/>
        </w:rPr>
        <w:t>Spinal Cord</w:t>
      </w:r>
      <w:r w:rsidR="0017733A">
        <w:rPr>
          <w:i/>
        </w:rPr>
        <w:t xml:space="preserve"> </w:t>
      </w:r>
      <w:r w:rsidR="0017733A">
        <w:t>[online]</w:t>
      </w:r>
      <w:r w:rsidR="00DB655C">
        <w:t xml:space="preserve">, 50(10), 772.  </w:t>
      </w:r>
      <w:r w:rsidR="0017733A">
        <w:t>[Accessed 15 September 2017]    </w:t>
      </w:r>
    </w:p>
    <w:p w14:paraId="3D103931" w14:textId="2AAA96D1" w:rsidR="00DB655C" w:rsidRDefault="0092581C" w:rsidP="00DB655C">
      <w:r>
        <w:lastRenderedPageBreak/>
        <w:t>This survey describes perspectives of patients and stakeholders on patient food and satisfaction with food provision.</w:t>
      </w:r>
    </w:p>
    <w:p w14:paraId="5C157925" w14:textId="77777777" w:rsidR="00C671CF" w:rsidRDefault="00C671CF" w:rsidP="00DB655C"/>
    <w:p w14:paraId="6113C531" w14:textId="1EC97A2B" w:rsidR="00122D86" w:rsidRDefault="00122D86" w:rsidP="000F3126">
      <w:pPr>
        <w:pStyle w:val="Heading3"/>
      </w:pPr>
      <w:bookmarkStart w:id="9" w:name="_Toc499814924"/>
      <w:r>
        <w:t>S</w:t>
      </w:r>
      <w:r w:rsidR="000F3126">
        <w:t>ummary</w:t>
      </w:r>
      <w:bookmarkEnd w:id="9"/>
    </w:p>
    <w:p w14:paraId="6B4FD472" w14:textId="7E191D82" w:rsidR="00122D86" w:rsidRDefault="00122D86" w:rsidP="00122D86">
      <w:r>
        <w:t xml:space="preserve">•Malnutrition prevalence rates among older people in hospitals varies widely </w:t>
      </w:r>
      <w:r w:rsidR="009679EC">
        <w:t xml:space="preserve">from </w:t>
      </w:r>
      <w:r>
        <w:t>5.3% to 32%.</w:t>
      </w:r>
    </w:p>
    <w:p w14:paraId="7095F81F" w14:textId="4B58A1C6" w:rsidR="00122D86" w:rsidRDefault="00122D86" w:rsidP="00122D86">
      <w:r>
        <w:t>•Risk of malnutrition in hospital settings ranges from 32.9% to 55%.</w:t>
      </w:r>
    </w:p>
    <w:p w14:paraId="446135F3" w14:textId="77777777" w:rsidR="00122D86" w:rsidRDefault="00122D86" w:rsidP="00122D86">
      <w:r>
        <w:t>•Risk factors to malnutrition in hospital settings include long overnight fast, being female, living alone, few eating episodes, and not cooking independently.</w:t>
      </w:r>
    </w:p>
    <w:p w14:paraId="1D5C26A4" w14:textId="4CC09036" w:rsidR="00122D86" w:rsidRDefault="00122D86" w:rsidP="00122D86">
      <w:r>
        <w:t>•Barriers to nutritional care in hospitals include loneliness in nutritional care, a need for competence in nutritional care, low flexibility in food service practices, system failure in nutritional care and ignoring nutritional care.</w:t>
      </w:r>
    </w:p>
    <w:p w14:paraId="7343314D" w14:textId="08F83994" w:rsidR="00122D86" w:rsidRDefault="00122D86" w:rsidP="00122D86">
      <w:r>
        <w:t>•Assistance with feeding is a significant risk factor to malnutrition among older people in medical wards.</w:t>
      </w:r>
    </w:p>
    <w:p w14:paraId="73C73B00" w14:textId="14FA65DB" w:rsidR="00122D86" w:rsidRDefault="00122D86" w:rsidP="00122D86">
      <w:r>
        <w:t>•Patients at risk of malnutrition during their stay in hospital lack sufficient nutritional support at discharge.</w:t>
      </w:r>
    </w:p>
    <w:p w14:paraId="5CDE9143" w14:textId="58240CE9" w:rsidR="00122D86" w:rsidRDefault="00122D86" w:rsidP="00122D86">
      <w:r>
        <w:t>•Main factors that are associated with reduced meal intake in hospitalised patients are reduced intake during the previous week, confinement to bed, female sex, younger age, older age and low body mass inde</w:t>
      </w:r>
      <w:r w:rsidR="00C810B8">
        <w:t>x</w:t>
      </w:r>
      <w:r>
        <w:t>.</w:t>
      </w:r>
    </w:p>
    <w:p w14:paraId="523D986A" w14:textId="0E8CDC31" w:rsidR="00122D86" w:rsidRDefault="00122D86" w:rsidP="00122D86">
      <w:r>
        <w:t>•Malnutrition increases length of stay in hospital, readmissions rates and mortality</w:t>
      </w:r>
      <w:r w:rsidR="00C810B8">
        <w:t>.</w:t>
      </w:r>
    </w:p>
    <w:p w14:paraId="200CFBD8" w14:textId="168FC26B" w:rsidR="00122D86" w:rsidRDefault="00122D86" w:rsidP="00122D86">
      <w:r>
        <w:t>•Healthcare cost associated with patients at nutritional risk at discharge is significantly high</w:t>
      </w:r>
      <w:r w:rsidR="00C810B8">
        <w:t>er than well-nourished patients.</w:t>
      </w:r>
    </w:p>
    <w:p w14:paraId="2D263F13" w14:textId="7FE621F2" w:rsidR="00122D86" w:rsidRDefault="00122D86" w:rsidP="00122D86">
      <w:r>
        <w:t>•Risk of malnutrition is significantly linked to poorer quality of life</w:t>
      </w:r>
      <w:r w:rsidR="00C810B8">
        <w:t>.</w:t>
      </w:r>
    </w:p>
    <w:p w14:paraId="6E58AC7B" w14:textId="5514618E" w:rsidR="00122D86" w:rsidRDefault="00122D86" w:rsidP="00122D86">
      <w:r>
        <w:t xml:space="preserve">•Food anxiety (anxiety about ability to obtain enough food) </w:t>
      </w:r>
      <w:r w:rsidR="00C810B8">
        <w:t>i</w:t>
      </w:r>
      <w:r>
        <w:t>s significantly high</w:t>
      </w:r>
      <w:r w:rsidR="00C810B8">
        <w:t>er</w:t>
      </w:r>
      <w:r>
        <w:t xml:space="preserve"> during hospitalisation relative to prior admi</w:t>
      </w:r>
      <w:r w:rsidR="00C810B8">
        <w:t>ssion of patients into hospital.</w:t>
      </w:r>
    </w:p>
    <w:p w14:paraId="09EF76B5" w14:textId="52CC0D12" w:rsidR="00C810B8" w:rsidRDefault="00C810B8" w:rsidP="00122D86"/>
    <w:p w14:paraId="791E52DD" w14:textId="649256CB" w:rsidR="001F5FB8" w:rsidRDefault="001F5FB8" w:rsidP="00122D86"/>
    <w:p w14:paraId="5D18A91F" w14:textId="77777777" w:rsidR="001F5FB8" w:rsidRDefault="001F5FB8" w:rsidP="00122D86"/>
    <w:p w14:paraId="3CF086CD" w14:textId="7F69B0BE" w:rsidR="000F3126" w:rsidRDefault="000F3126" w:rsidP="000F3126">
      <w:pPr>
        <w:pStyle w:val="Heading2"/>
      </w:pPr>
      <w:bookmarkStart w:id="10" w:name="_Toc499814925"/>
      <w:r>
        <w:lastRenderedPageBreak/>
        <w:t>Community setting</w:t>
      </w:r>
      <w:bookmarkEnd w:id="10"/>
    </w:p>
    <w:p w14:paraId="58D787BA" w14:textId="7D8AA040" w:rsidR="00E20815" w:rsidRDefault="00E20815" w:rsidP="00E20815">
      <w:r>
        <w:rPr>
          <w:b/>
        </w:rPr>
        <w:t xml:space="preserve">SR: </w:t>
      </w:r>
      <w:r>
        <w:t xml:space="preserve">Abizanda, P., Sinclair, A., Barcons, N., Lizán, L., &amp; Rodríguez-Mañas, L. (2016). Costs of malnutrition in institutionalised and community-dwelling older adults: A systematic review. </w:t>
      </w:r>
      <w:r w:rsidRPr="0046767D">
        <w:rPr>
          <w:i/>
        </w:rPr>
        <w:t>Journal of the American Medical Directors Association</w:t>
      </w:r>
      <w:r w:rsidR="0017733A">
        <w:rPr>
          <w:i/>
        </w:rPr>
        <w:t xml:space="preserve"> </w:t>
      </w:r>
      <w:r w:rsidR="0017733A">
        <w:t>[online]</w:t>
      </w:r>
      <w:r>
        <w:t xml:space="preserve">, 17(1), 17-23.  </w:t>
      </w:r>
      <w:r w:rsidR="0017733A">
        <w:t>[Accessed 22 September 2017]    </w:t>
      </w:r>
    </w:p>
    <w:p w14:paraId="5F7EE29B" w14:textId="07AF5C1D" w:rsidR="00E20815" w:rsidRDefault="00E20815" w:rsidP="00E20815">
      <w:r>
        <w:t xml:space="preserve">This systematic review determines the cost of malnutrition in institutionalised and community settings from nine studies. The review also attempts to identify cost-effective interventions in reducing malnutrition in institutionalised and community settings.  </w:t>
      </w:r>
    </w:p>
    <w:p w14:paraId="07818983" w14:textId="77777777" w:rsidR="00E20815" w:rsidRDefault="00E20815" w:rsidP="008A2ED3"/>
    <w:p w14:paraId="63EEEF1C" w14:textId="119616D4" w:rsidR="008A2ED3" w:rsidRDefault="000F3126" w:rsidP="008A2ED3">
      <w:r>
        <w:rPr>
          <w:b/>
        </w:rPr>
        <w:t xml:space="preserve">AJ: </w:t>
      </w:r>
      <w:r w:rsidR="008A2ED3" w:rsidRPr="008A2ED3">
        <w:t xml:space="preserve">Guest, J. F., Panca, M., Baeyens, J., de Man, F., Ljungqvist, O., Pichard, C., . . . Wilson, L. (2011). Health economic impact of managing patients following a community-based diagnosis of malnutrition in the UK. </w:t>
      </w:r>
      <w:r w:rsidR="008A2ED3" w:rsidRPr="001279D1">
        <w:rPr>
          <w:i/>
        </w:rPr>
        <w:t>Clinical Nutrition</w:t>
      </w:r>
      <w:r w:rsidR="0017733A">
        <w:rPr>
          <w:i/>
        </w:rPr>
        <w:t xml:space="preserve"> </w:t>
      </w:r>
      <w:r w:rsidR="0017733A">
        <w:t>[online]</w:t>
      </w:r>
      <w:r w:rsidR="008A2ED3" w:rsidRPr="008A2ED3">
        <w:t xml:space="preserve">, 30(4), 422-429.  </w:t>
      </w:r>
      <w:r w:rsidR="0017733A">
        <w:t>[Accessed 19 September 2017]    </w:t>
      </w:r>
    </w:p>
    <w:p w14:paraId="6057F424" w14:textId="68EF5FA6" w:rsidR="000111FA" w:rsidRDefault="008A2ED3" w:rsidP="00855982">
      <w:r>
        <w:t xml:space="preserve">This </w:t>
      </w:r>
      <w:r w:rsidR="001279D1">
        <w:t xml:space="preserve">UK-based </w:t>
      </w:r>
      <w:r>
        <w:t xml:space="preserve">case-control study investigates impact of malnutrition on health outcomes and </w:t>
      </w:r>
      <w:r w:rsidR="00204C2E">
        <w:t xml:space="preserve">health </w:t>
      </w:r>
      <w:r>
        <w:t>resources using records</w:t>
      </w:r>
      <w:r w:rsidR="00204C2E">
        <w:t xml:space="preserve"> from the </w:t>
      </w:r>
      <w:r w:rsidR="00204C2E" w:rsidRPr="00204C2E">
        <w:t xml:space="preserve">Health Improvement Network (THIN) database </w:t>
      </w:r>
      <w:r>
        <w:t xml:space="preserve">of malnourished and non-malnourished </w:t>
      </w:r>
      <w:r w:rsidR="00204C2E">
        <w:t xml:space="preserve">older </w:t>
      </w:r>
      <w:r>
        <w:t>patients</w:t>
      </w:r>
      <w:r w:rsidR="00204C2E">
        <w:t xml:space="preserve">. </w:t>
      </w:r>
    </w:p>
    <w:p w14:paraId="4235538C" w14:textId="77777777" w:rsidR="001F5FB8" w:rsidRDefault="001F5FB8" w:rsidP="00855982"/>
    <w:p w14:paraId="10FD47AD" w14:textId="23AF7FEA" w:rsidR="00C810B8" w:rsidRPr="000E3DBA" w:rsidRDefault="000E3DBA" w:rsidP="000F3126">
      <w:pPr>
        <w:pStyle w:val="Heading3"/>
      </w:pPr>
      <w:bookmarkStart w:id="11" w:name="_Toc499814926"/>
      <w:r>
        <w:t>S</w:t>
      </w:r>
      <w:r w:rsidR="000F3126">
        <w:t>ummary</w:t>
      </w:r>
      <w:bookmarkEnd w:id="11"/>
    </w:p>
    <w:p w14:paraId="5825B1C3" w14:textId="51A5232C" w:rsidR="00C810B8" w:rsidRDefault="00C810B8" w:rsidP="00C810B8">
      <w:r>
        <w:t xml:space="preserve">•The cost of malnutrition per patient in the UK is estimated at 2.3 times more (£1,753 vs £750) in malnourished older people (mean age 63 years) compared to non-malnourished older people. </w:t>
      </w:r>
    </w:p>
    <w:p w14:paraId="166C3AAE" w14:textId="2866AF74" w:rsidR="00C810B8" w:rsidRPr="00C810B8" w:rsidRDefault="00C810B8" w:rsidP="00C810B8">
      <w:r>
        <w:t>•Cost of malnutrition is also higher among malnourished older people compared to non-malnourished older people in other European countries.</w:t>
      </w:r>
    </w:p>
    <w:p w14:paraId="6B32F337" w14:textId="74CF6859" w:rsidR="00AF2857" w:rsidRDefault="00AF2857" w:rsidP="00855982"/>
    <w:p w14:paraId="53E30E80" w14:textId="43782841" w:rsidR="001F5FB8" w:rsidRDefault="001F5FB8" w:rsidP="00855982"/>
    <w:p w14:paraId="73AD24C5" w14:textId="34B631C7" w:rsidR="001F5FB8" w:rsidRDefault="001F5FB8" w:rsidP="00855982"/>
    <w:p w14:paraId="4CA074A3" w14:textId="77777777" w:rsidR="001F5FB8" w:rsidRDefault="001F5FB8" w:rsidP="00855982"/>
    <w:p w14:paraId="3ED8C448" w14:textId="56715B1B" w:rsidR="000111FA" w:rsidRPr="000F3126" w:rsidRDefault="00F8373A" w:rsidP="00C671CF">
      <w:pPr>
        <w:pStyle w:val="Heading1"/>
      </w:pPr>
      <w:bookmarkStart w:id="12" w:name="_Toc499814927"/>
      <w:r>
        <w:lastRenderedPageBreak/>
        <w:t>I</w:t>
      </w:r>
      <w:r w:rsidR="005A61F4" w:rsidRPr="000F3126">
        <w:t>nterventions</w:t>
      </w:r>
      <w:r>
        <w:t>/activities</w:t>
      </w:r>
      <w:bookmarkEnd w:id="12"/>
    </w:p>
    <w:p w14:paraId="134302B5" w14:textId="51A2B77E" w:rsidR="00876891" w:rsidRDefault="004C46B5" w:rsidP="00876891">
      <w:r>
        <w:t xml:space="preserve">This section outlines interventions or activities that have examined the role of food in improving the health and wellbeing of older people across care home, hospital and community settings. </w:t>
      </w:r>
    </w:p>
    <w:p w14:paraId="3E8F3629" w14:textId="6C23299B" w:rsidR="004C46B5" w:rsidRDefault="004C46B5" w:rsidP="004C46B5">
      <w:pPr>
        <w:pStyle w:val="Heading2"/>
      </w:pPr>
      <w:bookmarkStart w:id="13" w:name="_Toc499814928"/>
      <w:r>
        <w:t>Care home setting</w:t>
      </w:r>
      <w:bookmarkEnd w:id="13"/>
    </w:p>
    <w:p w14:paraId="11ECAE42" w14:textId="7742F7C6" w:rsidR="00B45056" w:rsidRDefault="004C46B5" w:rsidP="00B45056">
      <w:r>
        <w:rPr>
          <w:b/>
        </w:rPr>
        <w:t>NR</w:t>
      </w:r>
      <w:r w:rsidR="005A61F4">
        <w:rPr>
          <w:b/>
        </w:rPr>
        <w:t xml:space="preserve">: </w:t>
      </w:r>
      <w:r w:rsidR="00B45056">
        <w:t xml:space="preserve">Agarwal, E., Marshall, S., Miller, M., &amp; Isenring, E. (2016). Optimising nutrition in residential aged care: A narrative review. </w:t>
      </w:r>
      <w:r w:rsidR="00B45056" w:rsidRPr="00BA5A28">
        <w:rPr>
          <w:i/>
        </w:rPr>
        <w:t>Maturitas</w:t>
      </w:r>
      <w:r w:rsidR="0017733A">
        <w:rPr>
          <w:i/>
        </w:rPr>
        <w:t xml:space="preserve"> </w:t>
      </w:r>
      <w:r w:rsidR="0017733A">
        <w:t>[online]</w:t>
      </w:r>
      <w:r w:rsidR="00B45056">
        <w:t xml:space="preserve">, 92, 70-78. </w:t>
      </w:r>
      <w:r w:rsidR="0017733A">
        <w:t>[Accessed 13 September 2017]    </w:t>
      </w:r>
    </w:p>
    <w:p w14:paraId="3FE5DADD" w14:textId="77777777" w:rsidR="00B45056" w:rsidRDefault="00B45056" w:rsidP="00B45056">
      <w:r w:rsidRPr="00B45056">
        <w:t xml:space="preserve">This narrative review summarises literature on </w:t>
      </w:r>
      <w:r>
        <w:t>interventions to manage m</w:t>
      </w:r>
      <w:r w:rsidRPr="00B45056">
        <w:t>alnutrition among older people in residential aged care.</w:t>
      </w:r>
    </w:p>
    <w:p w14:paraId="700A35A9" w14:textId="77777777" w:rsidR="00B45056" w:rsidRDefault="00B45056" w:rsidP="00B45056"/>
    <w:p w14:paraId="52B98B61" w14:textId="350857D7" w:rsidR="00B45056" w:rsidRDefault="005A61F4" w:rsidP="00B45056">
      <w:r>
        <w:rPr>
          <w:b/>
        </w:rPr>
        <w:t xml:space="preserve">AJ: </w:t>
      </w:r>
      <w:r w:rsidR="00B45056">
        <w:t xml:space="preserve">Barnes, S., Wasielewska, A., Raiswell, C., &amp; Drummond, B. (2013). Exploring the mealtime experience in residential care settings for older people: An observational study. </w:t>
      </w:r>
      <w:r w:rsidR="00B45056" w:rsidRPr="00BA5A28">
        <w:rPr>
          <w:i/>
        </w:rPr>
        <w:t>Health &amp; Social Care in the Community</w:t>
      </w:r>
      <w:r w:rsidR="0017733A">
        <w:rPr>
          <w:i/>
        </w:rPr>
        <w:t xml:space="preserve"> </w:t>
      </w:r>
      <w:r w:rsidR="0017733A">
        <w:t>[online]</w:t>
      </w:r>
      <w:r w:rsidR="00B45056">
        <w:t>, 21(4), 442-450.</w:t>
      </w:r>
      <w:r w:rsidR="0017733A" w:rsidRPr="0017733A">
        <w:t xml:space="preserve"> </w:t>
      </w:r>
      <w:r w:rsidR="0017733A">
        <w:t xml:space="preserve">[Accessed </w:t>
      </w:r>
      <w:r w:rsidR="009067B8">
        <w:t>17</w:t>
      </w:r>
      <w:r w:rsidR="0017733A">
        <w:t xml:space="preserve"> September 2017]    </w:t>
      </w:r>
    </w:p>
    <w:p w14:paraId="3324F329" w14:textId="77777777" w:rsidR="00B45056" w:rsidRDefault="00B45056" w:rsidP="00B45056">
      <w:r>
        <w:t xml:space="preserve">The Dementia Care Mapping tool was adapted and used to observe meal experiences in four residential care homes in Manchester, UK. </w:t>
      </w:r>
    </w:p>
    <w:p w14:paraId="2B914D74" w14:textId="77777777" w:rsidR="00B45056" w:rsidRDefault="00B45056" w:rsidP="00B45056"/>
    <w:p w14:paraId="005521A7" w14:textId="3022A4DA" w:rsidR="00B45056" w:rsidRDefault="005A61F4" w:rsidP="00B45056">
      <w:r>
        <w:rPr>
          <w:b/>
        </w:rPr>
        <w:t xml:space="preserve">AJ: </w:t>
      </w:r>
      <w:r w:rsidR="00B45056">
        <w:t xml:space="preserve">Bell, C. L., Lee, A. S., &amp; Tamura, B. K. (2015). Malnutrition in the nursing home. </w:t>
      </w:r>
      <w:r w:rsidR="00B45056" w:rsidRPr="00BA5A28">
        <w:rPr>
          <w:i/>
        </w:rPr>
        <w:t>Current Opinion in Clinical Nutrition and Metabolic Care</w:t>
      </w:r>
      <w:r w:rsidR="009067B8">
        <w:t xml:space="preserve"> [online]</w:t>
      </w:r>
      <w:r w:rsidR="00BA5A28">
        <w:t>, 18(1), 17-23.</w:t>
      </w:r>
      <w:r w:rsidR="009067B8" w:rsidRPr="009067B8">
        <w:t xml:space="preserve"> </w:t>
      </w:r>
      <w:r w:rsidR="009067B8">
        <w:t>[Accessed 15 September 2017]    </w:t>
      </w:r>
    </w:p>
    <w:p w14:paraId="5CF8B438" w14:textId="77777777" w:rsidR="00B45056" w:rsidRDefault="00EB79C1" w:rsidP="00B45056">
      <w:r>
        <w:t>I</w:t>
      </w:r>
      <w:r w:rsidR="00B45056">
        <w:t xml:space="preserve">nterventions to reduce malnutrition in the nursing home </w:t>
      </w:r>
      <w:r>
        <w:t>were discussed in this review.</w:t>
      </w:r>
    </w:p>
    <w:p w14:paraId="4C26BD28" w14:textId="77777777" w:rsidR="00EB79C1" w:rsidRDefault="00EB79C1" w:rsidP="00B45056"/>
    <w:p w14:paraId="05339694" w14:textId="14433C9C" w:rsidR="00B45056" w:rsidRDefault="005A61F4" w:rsidP="00B45056">
      <w:r>
        <w:rPr>
          <w:b/>
        </w:rPr>
        <w:t xml:space="preserve">AJ: </w:t>
      </w:r>
      <w:r w:rsidR="00B45056">
        <w:t xml:space="preserve">Cole, E. (2016). Supporting care home residents with hydration. </w:t>
      </w:r>
      <w:r w:rsidR="00B45056" w:rsidRPr="00BA5A28">
        <w:rPr>
          <w:i/>
        </w:rPr>
        <w:t>Nursing Older People</w:t>
      </w:r>
      <w:r w:rsidR="009067B8">
        <w:rPr>
          <w:i/>
        </w:rPr>
        <w:t xml:space="preserve"> </w:t>
      </w:r>
      <w:r w:rsidR="009067B8">
        <w:t>online]</w:t>
      </w:r>
      <w:r w:rsidR="00B45056">
        <w:t xml:space="preserve">, 28(7), 16-18. </w:t>
      </w:r>
      <w:r w:rsidR="009067B8">
        <w:t>[Accessed 15 September 2017]    </w:t>
      </w:r>
    </w:p>
    <w:p w14:paraId="27246696" w14:textId="21DB92EC" w:rsidR="00EB79C1" w:rsidRDefault="00EB79C1" w:rsidP="00B45056">
      <w:r>
        <w:t xml:space="preserve">Discusses the use of a </w:t>
      </w:r>
      <w:r w:rsidR="00B45056">
        <w:t>hydration toolki</w:t>
      </w:r>
      <w:r>
        <w:t>t</w:t>
      </w:r>
      <w:r w:rsidR="00B45056">
        <w:t xml:space="preserve"> </w:t>
      </w:r>
      <w:r>
        <w:t xml:space="preserve">to </w:t>
      </w:r>
      <w:r w:rsidR="00B45056">
        <w:t>improve</w:t>
      </w:r>
      <w:r>
        <w:t xml:space="preserve"> </w:t>
      </w:r>
      <w:r w:rsidR="00B45056">
        <w:t>fluid intake</w:t>
      </w:r>
      <w:r>
        <w:t xml:space="preserve"> by a care home in Great Britain</w:t>
      </w:r>
      <w:r w:rsidR="00B45056">
        <w:t xml:space="preserve">. </w:t>
      </w:r>
    </w:p>
    <w:p w14:paraId="7FA01C2E" w14:textId="77777777" w:rsidR="004C46B5" w:rsidRDefault="004C46B5" w:rsidP="00B45056"/>
    <w:p w14:paraId="67EAA3D6" w14:textId="0B8E5A9E" w:rsidR="00B45056" w:rsidRDefault="005A61F4" w:rsidP="00B45056">
      <w:r>
        <w:rPr>
          <w:b/>
        </w:rPr>
        <w:t xml:space="preserve">AJ: </w:t>
      </w:r>
      <w:r w:rsidR="00B45056">
        <w:t xml:space="preserve">Hutchison, R. (2012). Mealtime experiences: Enhancing quality of life. </w:t>
      </w:r>
      <w:r w:rsidR="00B45056" w:rsidRPr="00BA5A28">
        <w:rPr>
          <w:i/>
        </w:rPr>
        <w:t>Nursing &amp; Residential Care</w:t>
      </w:r>
      <w:r w:rsidR="009067B8">
        <w:rPr>
          <w:i/>
        </w:rPr>
        <w:t xml:space="preserve"> </w:t>
      </w:r>
      <w:r w:rsidR="009067B8">
        <w:t>[online]</w:t>
      </w:r>
      <w:r w:rsidR="00B45056">
        <w:t xml:space="preserve">, 14(8), 428-429. </w:t>
      </w:r>
      <w:r w:rsidR="009067B8">
        <w:t>[Accessed 25 September 2017]    </w:t>
      </w:r>
    </w:p>
    <w:p w14:paraId="2F9C3BAF" w14:textId="0734CDB0" w:rsidR="00B45056" w:rsidRDefault="00B45056" w:rsidP="00B45056">
      <w:r>
        <w:lastRenderedPageBreak/>
        <w:t xml:space="preserve">Perceptions of residents in a nursing home in the UK on their eating and mealtime experience were explored qualitatively through interviews and observations. </w:t>
      </w:r>
    </w:p>
    <w:p w14:paraId="0FC39209" w14:textId="77777777" w:rsidR="009067B8" w:rsidRDefault="009067B8" w:rsidP="00B45056"/>
    <w:p w14:paraId="0143463D" w14:textId="4B57005C" w:rsidR="00B45056" w:rsidRDefault="005A61F4" w:rsidP="00B45056">
      <w:r>
        <w:rPr>
          <w:b/>
        </w:rPr>
        <w:t xml:space="preserve">AJ: </w:t>
      </w:r>
      <w:r w:rsidR="00B45056">
        <w:t xml:space="preserve">Keller, H., Beck, A. M., &amp; Namasivayam, A. (2015). Improving food and fluid intake for older adults living in long-term care: A research agenda. </w:t>
      </w:r>
      <w:r w:rsidR="00B45056" w:rsidRPr="00BA5A28">
        <w:rPr>
          <w:i/>
        </w:rPr>
        <w:t>Journal of the American Medical Directors Association</w:t>
      </w:r>
      <w:r w:rsidR="009067B8">
        <w:rPr>
          <w:i/>
        </w:rPr>
        <w:t xml:space="preserve"> </w:t>
      </w:r>
      <w:r w:rsidR="009067B8">
        <w:t>[online]</w:t>
      </w:r>
      <w:r w:rsidR="00B45056">
        <w:t xml:space="preserve">, 16(2), 93-100. </w:t>
      </w:r>
      <w:r w:rsidR="009067B8">
        <w:t>[Accessed 15 September 2017]    </w:t>
      </w:r>
    </w:p>
    <w:p w14:paraId="0CEA4471" w14:textId="77777777" w:rsidR="00B45056" w:rsidRDefault="00425C46" w:rsidP="00B45056">
      <w:r>
        <w:t xml:space="preserve">This article presents discussions from international experts and stakeholders on the factors that influence food and fluid intake among people in long-term residential care. </w:t>
      </w:r>
    </w:p>
    <w:p w14:paraId="125051F6" w14:textId="77777777" w:rsidR="00BA5A28" w:rsidRDefault="00BA5A28" w:rsidP="00B45056"/>
    <w:p w14:paraId="2E64FE1B" w14:textId="03DC3DA8" w:rsidR="00B45056" w:rsidRDefault="005A61F4" w:rsidP="00B45056">
      <w:r>
        <w:rPr>
          <w:b/>
        </w:rPr>
        <w:t xml:space="preserve">AJ: </w:t>
      </w:r>
      <w:r w:rsidR="00B45056">
        <w:t xml:space="preserve">Kenkmann, A., &amp; Hooper, L. (2012). The restaurant within the home: Experiences of a restaurant-style dining provision in residential homes for older people. </w:t>
      </w:r>
      <w:r w:rsidR="00B45056" w:rsidRPr="00BA5A28">
        <w:rPr>
          <w:i/>
        </w:rPr>
        <w:t>Quality in Ageing &amp; Older Adults</w:t>
      </w:r>
      <w:r w:rsidR="009067B8">
        <w:rPr>
          <w:i/>
        </w:rPr>
        <w:t xml:space="preserve"> </w:t>
      </w:r>
      <w:r w:rsidR="009067B8">
        <w:t>[online]</w:t>
      </w:r>
      <w:r w:rsidR="00B45056">
        <w:t xml:space="preserve">, 13(2), 98-110. </w:t>
      </w:r>
      <w:r w:rsidR="009067B8">
        <w:t>[Accessed 10 September 2017]    </w:t>
      </w:r>
    </w:p>
    <w:p w14:paraId="737528AF" w14:textId="77777777" w:rsidR="00003541" w:rsidRDefault="00B45056" w:rsidP="00B45056">
      <w:r>
        <w:t>Unstructured interviews with residents and staff of care homes in Norfolk, England explored their experiences with new restaurant-style meal provision.</w:t>
      </w:r>
    </w:p>
    <w:p w14:paraId="70A6C615" w14:textId="77777777" w:rsidR="00B45056" w:rsidRDefault="00B45056" w:rsidP="00B45056">
      <w:r>
        <w:t xml:space="preserve"> </w:t>
      </w:r>
    </w:p>
    <w:p w14:paraId="490A09A4" w14:textId="59BA3548" w:rsidR="00B45056" w:rsidRDefault="005A61F4" w:rsidP="00B45056">
      <w:r>
        <w:rPr>
          <w:b/>
        </w:rPr>
        <w:t xml:space="preserve">AJ: </w:t>
      </w:r>
      <w:r w:rsidR="00B45056">
        <w:t xml:space="preserve">Mahadevan, M., Hartwell, H. J., Feldman, C. H., Ruzsilla, J. A., &amp; Raines, E. R. (2014). Assisted-living elderly and the mealtime experience. </w:t>
      </w:r>
      <w:r w:rsidR="00B45056" w:rsidRPr="00BA5A28">
        <w:rPr>
          <w:i/>
        </w:rPr>
        <w:t>Journal of Human Nutrition and Dietetics</w:t>
      </w:r>
      <w:r w:rsidR="009067B8">
        <w:rPr>
          <w:i/>
        </w:rPr>
        <w:t xml:space="preserve"> </w:t>
      </w:r>
      <w:r w:rsidR="009067B8">
        <w:t>[online]</w:t>
      </w:r>
      <w:r w:rsidR="00B45056">
        <w:t xml:space="preserve">, 27(2), 152-161. </w:t>
      </w:r>
      <w:r w:rsidR="009067B8">
        <w:t>[Accessed 11 September 2017]    </w:t>
      </w:r>
    </w:p>
    <w:p w14:paraId="2120B5B7" w14:textId="77777777" w:rsidR="00B45056" w:rsidRDefault="00B45056" w:rsidP="00B45056">
      <w:r>
        <w:t xml:space="preserve">The views of a group of residents was sought on their experiences during mealtimes to understand the factors that affect their wellbeing. Focus groups were used in the investigation and content analysis was used to analyse the data. </w:t>
      </w:r>
    </w:p>
    <w:p w14:paraId="7EE7FED9" w14:textId="77777777" w:rsidR="00003541" w:rsidRDefault="00003541" w:rsidP="00B45056"/>
    <w:p w14:paraId="2528D514" w14:textId="2F361789" w:rsidR="00B45056" w:rsidRDefault="005A61F4" w:rsidP="00B45056">
      <w:r>
        <w:rPr>
          <w:b/>
        </w:rPr>
        <w:t xml:space="preserve">AJ: </w:t>
      </w:r>
      <w:r w:rsidR="00B45056">
        <w:t xml:space="preserve">Merrell, J., Philpin, S., Warring, J., Hobby, D., &amp; Gregory, V. (2012). Addressing the nutritional needs of older people in residential care homes. </w:t>
      </w:r>
      <w:r w:rsidR="00B45056" w:rsidRPr="00BA5A28">
        <w:rPr>
          <w:i/>
        </w:rPr>
        <w:t>Health &amp; Social Care in the Community</w:t>
      </w:r>
      <w:r w:rsidR="009067B8">
        <w:rPr>
          <w:i/>
        </w:rPr>
        <w:t xml:space="preserve"> </w:t>
      </w:r>
      <w:r w:rsidR="009067B8">
        <w:t>[online]</w:t>
      </w:r>
      <w:r w:rsidR="00B45056">
        <w:t xml:space="preserve">, 20(2), 208-215. </w:t>
      </w:r>
      <w:r w:rsidR="009067B8">
        <w:t>[Accessed 16 September 2017]    </w:t>
      </w:r>
    </w:p>
    <w:p w14:paraId="2A8318B0" w14:textId="77777777" w:rsidR="00B45056" w:rsidRDefault="00B45056" w:rsidP="00B45056">
      <w:r>
        <w:t xml:space="preserve">This was a qualitative study in two nursing homes in Wales, UK, to explore the factors that influence nutritional care in these homes. One of the homes had a communal dining area and the other had dining facilities and their own kitchen. </w:t>
      </w:r>
    </w:p>
    <w:p w14:paraId="5B3B9FD6" w14:textId="7D61AB1D" w:rsidR="00B45056" w:rsidRDefault="005A61F4" w:rsidP="00B45056">
      <w:r>
        <w:rPr>
          <w:b/>
        </w:rPr>
        <w:t xml:space="preserve">AJ: </w:t>
      </w:r>
      <w:r w:rsidR="00B45056">
        <w:t xml:space="preserve">Murphy, J. L., Holmes, J., &amp; Brooks, C. (2017). Nutrition and dementia care: Developing an evidence-based model for nutritional care in nursing homes. </w:t>
      </w:r>
      <w:r w:rsidR="00B45056" w:rsidRPr="00BA5A28">
        <w:rPr>
          <w:i/>
        </w:rPr>
        <w:t>BMC Geriatric</w:t>
      </w:r>
      <w:r w:rsidR="00B45056">
        <w:t>s</w:t>
      </w:r>
      <w:r w:rsidR="009067B8">
        <w:t xml:space="preserve"> [online]</w:t>
      </w:r>
      <w:r w:rsidR="00B45056">
        <w:t xml:space="preserve">, 17(1), 55-55. </w:t>
      </w:r>
      <w:r w:rsidR="009067B8">
        <w:t>[Accessed 04 October 2017]    </w:t>
      </w:r>
    </w:p>
    <w:p w14:paraId="196FBBB3" w14:textId="77777777" w:rsidR="00B45056" w:rsidRDefault="00B45056" w:rsidP="00B45056">
      <w:r>
        <w:lastRenderedPageBreak/>
        <w:t xml:space="preserve">Focus group discussions and semi-structured interviews were conducted with those who provided nutritional support in nursing homes to develop a research informed model for understanding the complex nutritional problems associated with eating and drinking for people with dementia. </w:t>
      </w:r>
    </w:p>
    <w:p w14:paraId="6E807C2B" w14:textId="77777777" w:rsidR="00003541" w:rsidRDefault="00003541" w:rsidP="00B45056"/>
    <w:p w14:paraId="52287C06" w14:textId="4D72C158" w:rsidR="00B45056" w:rsidRDefault="005A61F4" w:rsidP="00B45056">
      <w:r>
        <w:rPr>
          <w:b/>
        </w:rPr>
        <w:t xml:space="preserve">AJ: </w:t>
      </w:r>
      <w:r w:rsidR="00B45056">
        <w:t xml:space="preserve">Nell, D., Neville, S., Bellew, R., O'Leary, C., &amp; Beck, K. L. (2016). Factors affecting optimal nutrition and hydration for people living in specialised dementia care units: A qualitative study of staff caregivers' perceptions. </w:t>
      </w:r>
      <w:r w:rsidR="00B45056" w:rsidRPr="00BA5A28">
        <w:rPr>
          <w:i/>
        </w:rPr>
        <w:t>Australasian Journal on Ageing</w:t>
      </w:r>
      <w:r w:rsidR="009067B8">
        <w:rPr>
          <w:i/>
        </w:rPr>
        <w:t xml:space="preserve"> </w:t>
      </w:r>
      <w:r w:rsidR="009067B8">
        <w:t>[online]</w:t>
      </w:r>
      <w:r w:rsidR="00B45056">
        <w:t xml:space="preserve">, 35(4), E1-E6. </w:t>
      </w:r>
      <w:r w:rsidR="009E43A4">
        <w:t>[Accessed 18 September 2017]    </w:t>
      </w:r>
    </w:p>
    <w:p w14:paraId="762ADC80" w14:textId="77777777" w:rsidR="00B45056" w:rsidRDefault="00B45056" w:rsidP="00B45056">
      <w:r>
        <w:t xml:space="preserve">Staff perceptions about factors influencing good nutrition and hydration among individuals in specialised dementia care units were explored through semi-structured interviewing. </w:t>
      </w:r>
    </w:p>
    <w:p w14:paraId="655A1109" w14:textId="77777777" w:rsidR="00003541" w:rsidRDefault="00003541" w:rsidP="00B45056"/>
    <w:p w14:paraId="4B4C6DE5" w14:textId="09F0C7C2" w:rsidR="00B45056" w:rsidRDefault="005A61F4" w:rsidP="00B45056">
      <w:r>
        <w:rPr>
          <w:b/>
        </w:rPr>
        <w:t xml:space="preserve">AJ: </w:t>
      </w:r>
      <w:r w:rsidR="00B45056">
        <w:t xml:space="preserve">Nijs, K., de Graaf, C., van Staveren, W.,A., &amp; de Groot, L.,C.P.G.M. (2009). Malnutrition and mealtime ambiance in nursing homes. </w:t>
      </w:r>
      <w:r w:rsidR="00B45056" w:rsidRPr="00BA5A28">
        <w:rPr>
          <w:i/>
        </w:rPr>
        <w:t>Journal of the American Medical Directors Association</w:t>
      </w:r>
      <w:r w:rsidR="009E43A4">
        <w:rPr>
          <w:i/>
        </w:rPr>
        <w:t xml:space="preserve"> </w:t>
      </w:r>
      <w:r w:rsidR="009E43A4">
        <w:t>[online]</w:t>
      </w:r>
      <w:r w:rsidR="00B45056">
        <w:t xml:space="preserve">, 10(4), 226-229. </w:t>
      </w:r>
      <w:r w:rsidR="009E43A4">
        <w:t>[Accessed 15 September 2017]    </w:t>
      </w:r>
    </w:p>
    <w:p w14:paraId="4E20CC0C" w14:textId="77777777" w:rsidR="00B45056" w:rsidRDefault="00B45056" w:rsidP="00B45056">
      <w:r>
        <w:t xml:space="preserve">The theory or mechanism underpinning meal ambiance stimulus is discussed in this article with reference to other study results and recommendations for practice. </w:t>
      </w:r>
    </w:p>
    <w:p w14:paraId="5B40CABD" w14:textId="77777777" w:rsidR="00003541" w:rsidRDefault="00003541" w:rsidP="00B45056"/>
    <w:p w14:paraId="5FAEA174" w14:textId="7F9A08B6" w:rsidR="00B45056" w:rsidRDefault="005A61F4" w:rsidP="00B45056">
      <w:r>
        <w:rPr>
          <w:b/>
        </w:rPr>
        <w:t xml:space="preserve">AJ: </w:t>
      </w:r>
      <w:r w:rsidR="00B45056">
        <w:t xml:space="preserve">Palacios-Ceña, D., Losa-Iglesias, M., Cachón-Pérez, J. M., Gómez-Pérez, D., Gómez-Calero, C., &amp; Fernández-de-las-Peñas, C. (2013). Is the mealtime experience in nursing homes understood? A qualitative study. </w:t>
      </w:r>
      <w:r w:rsidR="00B45056" w:rsidRPr="005A61F4">
        <w:rPr>
          <w:i/>
        </w:rPr>
        <w:t>Geriatrics &amp; Gerontology International</w:t>
      </w:r>
      <w:r w:rsidR="009E43A4">
        <w:rPr>
          <w:i/>
        </w:rPr>
        <w:t xml:space="preserve"> </w:t>
      </w:r>
      <w:r w:rsidR="009E43A4">
        <w:t>[online]</w:t>
      </w:r>
      <w:r w:rsidR="00B45056">
        <w:t xml:space="preserve">, 13(2), 482-489. </w:t>
      </w:r>
      <w:r w:rsidR="009E43A4">
        <w:t>[Accessed 19 September 2017]    </w:t>
      </w:r>
    </w:p>
    <w:p w14:paraId="4974D574" w14:textId="77777777" w:rsidR="0069261A" w:rsidRDefault="0069261A" w:rsidP="00B45056">
      <w:r>
        <w:t>This qualitative research explores the mealtime experience of residents in a nursing home</w:t>
      </w:r>
      <w:r w:rsidR="00B45056">
        <w:t>.</w:t>
      </w:r>
    </w:p>
    <w:p w14:paraId="222D95B7" w14:textId="77777777" w:rsidR="00B45056" w:rsidRDefault="00B45056" w:rsidP="00B45056">
      <w:r>
        <w:t xml:space="preserve"> </w:t>
      </w:r>
    </w:p>
    <w:p w14:paraId="49D54766" w14:textId="5ED1FFD7" w:rsidR="00B45056" w:rsidRDefault="005A61F4" w:rsidP="00B45056">
      <w:r>
        <w:rPr>
          <w:b/>
        </w:rPr>
        <w:t xml:space="preserve">AJ: </w:t>
      </w:r>
      <w:r w:rsidR="00B45056">
        <w:t xml:space="preserve">Philpin, S., Merrell, J., Warring, J., Gregory, V., &amp; Hobby, D. (2011). Sociocultural context of nutrition in care homes. </w:t>
      </w:r>
      <w:r w:rsidR="00B45056" w:rsidRPr="00BA5A28">
        <w:rPr>
          <w:i/>
        </w:rPr>
        <w:t>Nursing Older People</w:t>
      </w:r>
      <w:r w:rsidR="009E43A4">
        <w:rPr>
          <w:i/>
        </w:rPr>
        <w:t xml:space="preserve"> </w:t>
      </w:r>
      <w:r w:rsidR="009E43A4">
        <w:t>[online]</w:t>
      </w:r>
      <w:r w:rsidR="00B45056">
        <w:t xml:space="preserve">, 23(4), 24-30. </w:t>
      </w:r>
      <w:r w:rsidR="009E43A4">
        <w:t>[Accessed 15 September 2017]    </w:t>
      </w:r>
    </w:p>
    <w:p w14:paraId="1620FD8E" w14:textId="77777777" w:rsidR="00B45056" w:rsidRDefault="00B45056" w:rsidP="00B45056">
      <w:r>
        <w:t>A qualitativ</w:t>
      </w:r>
      <w:r w:rsidR="0069261A">
        <w:t xml:space="preserve">e research </w:t>
      </w:r>
      <w:r w:rsidR="00BA5A28">
        <w:t xml:space="preserve">that </w:t>
      </w:r>
      <w:r>
        <w:t>investigate</w:t>
      </w:r>
      <w:r w:rsidR="0069261A">
        <w:t>s</w:t>
      </w:r>
      <w:r>
        <w:t xml:space="preserve"> factors that influenced nutritional care provided in two different types of residential care settings. Participants were staff members, managers and residents of the care homes and their informal carers. </w:t>
      </w:r>
    </w:p>
    <w:p w14:paraId="03A8D9D4" w14:textId="5D802472" w:rsidR="00B45056" w:rsidRDefault="005A61F4" w:rsidP="00B45056">
      <w:r>
        <w:rPr>
          <w:b/>
        </w:rPr>
        <w:lastRenderedPageBreak/>
        <w:t xml:space="preserve">AJ: </w:t>
      </w:r>
      <w:r w:rsidR="00B45056">
        <w:t>Philpin, S., Merrell, J., Warring, J., Hobby, D., &amp; Gregory, V. (2014). Memories, identity and homeliness: The social construction of mealtimes in residential</w:t>
      </w:r>
      <w:r>
        <w:t xml:space="preserve"> care homes in South W</w:t>
      </w:r>
      <w:r w:rsidR="00B45056">
        <w:t xml:space="preserve">ales. </w:t>
      </w:r>
      <w:r w:rsidR="00B45056" w:rsidRPr="00BA5A28">
        <w:rPr>
          <w:i/>
        </w:rPr>
        <w:t>Ageing &amp; Society</w:t>
      </w:r>
      <w:r w:rsidR="009E43A4">
        <w:rPr>
          <w:i/>
        </w:rPr>
        <w:t xml:space="preserve"> </w:t>
      </w:r>
      <w:r w:rsidR="009E43A4">
        <w:t>[online]</w:t>
      </w:r>
      <w:r w:rsidR="00B45056">
        <w:t xml:space="preserve">, 34(5), 753-789. </w:t>
      </w:r>
      <w:r w:rsidR="009E43A4">
        <w:t>[Accessed 11 September 2017]    </w:t>
      </w:r>
    </w:p>
    <w:p w14:paraId="7FB94373" w14:textId="77777777" w:rsidR="00B45056" w:rsidRDefault="0069261A" w:rsidP="00B45056">
      <w:r>
        <w:t>Using a variety of qualitative methods, this research explored the f</w:t>
      </w:r>
      <w:r w:rsidR="00B45056">
        <w:t>actors affecting residents' experiences and understanding of mealtimes in a residential care</w:t>
      </w:r>
      <w:r w:rsidR="00BA5A28">
        <w:t xml:space="preserve"> home</w:t>
      </w:r>
      <w:r w:rsidR="00B45056">
        <w:t xml:space="preserve"> in South Wales </w:t>
      </w:r>
    </w:p>
    <w:p w14:paraId="015D7DC7" w14:textId="77777777" w:rsidR="0069261A" w:rsidRDefault="0069261A" w:rsidP="00B45056"/>
    <w:p w14:paraId="7AAEFD74" w14:textId="782863E0" w:rsidR="00B45056" w:rsidRDefault="005A61F4" w:rsidP="00B45056">
      <w:r>
        <w:rPr>
          <w:b/>
        </w:rPr>
        <w:t xml:space="preserve">AJ: </w:t>
      </w:r>
      <w:r w:rsidR="00B45056">
        <w:t xml:space="preserve">Ullman, S. (2009). The contribution of care home staff to nutrition and hydration. </w:t>
      </w:r>
      <w:r w:rsidR="00B45056" w:rsidRPr="00BA5A28">
        <w:rPr>
          <w:i/>
        </w:rPr>
        <w:t>Nursing and Residential Care</w:t>
      </w:r>
      <w:r w:rsidR="009E43A4">
        <w:rPr>
          <w:i/>
        </w:rPr>
        <w:t xml:space="preserve"> </w:t>
      </w:r>
      <w:r w:rsidR="009E43A4">
        <w:t>[online]</w:t>
      </w:r>
      <w:r w:rsidR="00B45056">
        <w:t xml:space="preserve">, 11(3), 128-134. </w:t>
      </w:r>
      <w:r w:rsidR="009E43A4">
        <w:t>[Accessed 15 September 2017]    </w:t>
      </w:r>
    </w:p>
    <w:p w14:paraId="263E33E5" w14:textId="77777777" w:rsidR="00B45056" w:rsidRDefault="00B45056" w:rsidP="00B45056">
      <w:r>
        <w:t xml:space="preserve">Sue Ullman describes how good nutrition, hydration and enjoyable mealtimes can improve the health and wellbeing of older people </w:t>
      </w:r>
    </w:p>
    <w:p w14:paraId="3B5994A9" w14:textId="77777777" w:rsidR="0069261A" w:rsidRDefault="0069261A" w:rsidP="00B45056"/>
    <w:p w14:paraId="76A8E145" w14:textId="1D01AA3E" w:rsidR="00B45056" w:rsidRDefault="005A61F4" w:rsidP="00B45056">
      <w:r>
        <w:rPr>
          <w:b/>
        </w:rPr>
        <w:t xml:space="preserve">AJ: </w:t>
      </w:r>
      <w:r w:rsidR="00B45056">
        <w:t xml:space="preserve">Ullrich, S., McCutcheon, H., &amp; Parker, B. (2011). Reclaiming time for nursing practice in nutritional care: Outcomes of implementing protected mealtimes in a residential aged care setting. </w:t>
      </w:r>
      <w:r w:rsidR="00B45056" w:rsidRPr="00BA5A28">
        <w:rPr>
          <w:i/>
        </w:rPr>
        <w:t>Journal of Clinical Nursing</w:t>
      </w:r>
      <w:r w:rsidR="009E43A4">
        <w:rPr>
          <w:i/>
        </w:rPr>
        <w:t xml:space="preserve"> </w:t>
      </w:r>
      <w:r w:rsidR="009E43A4">
        <w:t>[online]</w:t>
      </w:r>
      <w:r w:rsidR="00B45056">
        <w:t xml:space="preserve">, 20(9), 1339-1348. </w:t>
      </w:r>
      <w:r w:rsidR="009E43A4">
        <w:t>[Accessed 23 September 2017]    </w:t>
      </w:r>
    </w:p>
    <w:p w14:paraId="47D71804" w14:textId="77777777" w:rsidR="00593882" w:rsidRDefault="004B7BC5" w:rsidP="00593882">
      <w:r>
        <w:t xml:space="preserve">This </w:t>
      </w:r>
      <w:r w:rsidRPr="004B7BC5">
        <w:t>qualitative</w:t>
      </w:r>
      <w:r w:rsidR="00593882">
        <w:t xml:space="preserve"> study examines the nutritional care and the mealtime experience of older people in a residential care setting; with particular focus on pr</w:t>
      </w:r>
      <w:r w:rsidR="00B45056">
        <w:t>otected meal time</w:t>
      </w:r>
      <w:r w:rsidR="00593882">
        <w:t>s.</w:t>
      </w:r>
    </w:p>
    <w:p w14:paraId="21C12659" w14:textId="77777777" w:rsidR="00B45056" w:rsidRDefault="00B45056" w:rsidP="00593882">
      <w:r>
        <w:t xml:space="preserve"> </w:t>
      </w:r>
    </w:p>
    <w:p w14:paraId="09E8F675" w14:textId="7CC99B85" w:rsidR="00B45056" w:rsidRDefault="005A61F4" w:rsidP="00B45056">
      <w:r>
        <w:rPr>
          <w:b/>
        </w:rPr>
        <w:t xml:space="preserve">SR: </w:t>
      </w:r>
      <w:r w:rsidR="00F7557E" w:rsidRPr="00F7557E">
        <w:t xml:space="preserve">Watkins, R., Goodwin, V.A., Abbott, R.A., Backhouse, A., Moore, D. and Tarrant, M. (2017) Attitudes, perceptions and experiences of mealtimes among residents and staff in care homes for older adults: A systematic review of the qualitative literature. </w:t>
      </w:r>
      <w:r w:rsidR="00F7557E" w:rsidRPr="00F7557E">
        <w:rPr>
          <w:i/>
        </w:rPr>
        <w:t>Geriatric Nursing</w:t>
      </w:r>
      <w:r w:rsidR="009E43A4">
        <w:rPr>
          <w:i/>
        </w:rPr>
        <w:t xml:space="preserve"> </w:t>
      </w:r>
      <w:r w:rsidR="009E43A4">
        <w:t>[online]</w:t>
      </w:r>
      <w:r w:rsidR="00F7557E" w:rsidRPr="00F7557E">
        <w:t xml:space="preserve">. 38 (4), pp.325-333. </w:t>
      </w:r>
      <w:r w:rsidR="009E43A4">
        <w:t>[Accessed 23 September 2017]    </w:t>
      </w:r>
    </w:p>
    <w:p w14:paraId="49439CFA" w14:textId="77777777" w:rsidR="00B45056" w:rsidRDefault="00B45056" w:rsidP="00B45056">
      <w:r>
        <w:t>This review synthesised literature on the atti</w:t>
      </w:r>
      <w:r w:rsidR="00F7557E">
        <w:t>tudes, perceptions and mealtime</w:t>
      </w:r>
      <w:r>
        <w:t xml:space="preserve"> experiences of care home residents and staff in contributing to </w:t>
      </w:r>
      <w:r w:rsidR="00F7557E">
        <w:t xml:space="preserve">reducing </w:t>
      </w:r>
      <w:r>
        <w:t xml:space="preserve">malnutrition of care home residents. </w:t>
      </w:r>
    </w:p>
    <w:p w14:paraId="48DC4D93" w14:textId="6D6D493E" w:rsidR="00B45056" w:rsidRDefault="005A61F4" w:rsidP="00B45056">
      <w:r>
        <w:rPr>
          <w:b/>
        </w:rPr>
        <w:t xml:space="preserve">AJ: </w:t>
      </w:r>
      <w:r w:rsidR="00B45056">
        <w:t xml:space="preserve">Winterburn, S. (2009). Residents' choice of and control over food in care homes. </w:t>
      </w:r>
      <w:r w:rsidR="00B45056" w:rsidRPr="00F7557E">
        <w:rPr>
          <w:i/>
        </w:rPr>
        <w:t>Nursing Older People</w:t>
      </w:r>
      <w:r w:rsidR="009E43A4">
        <w:rPr>
          <w:i/>
        </w:rPr>
        <w:t xml:space="preserve"> </w:t>
      </w:r>
      <w:r w:rsidR="009E43A4">
        <w:t>[online]</w:t>
      </w:r>
      <w:r w:rsidR="00B45056">
        <w:t xml:space="preserve">, 21(3), 34-37. </w:t>
      </w:r>
      <w:r w:rsidR="009E43A4">
        <w:t>[Accessed 21 September 2017]    </w:t>
      </w:r>
    </w:p>
    <w:p w14:paraId="4698DD9D" w14:textId="1F5F832D" w:rsidR="008B2055" w:rsidRDefault="008B2055" w:rsidP="00B45056">
      <w:r>
        <w:t>From interviews with chefs and nursing staff, this qualitative study explores care home residents’ choice and control over their meals.</w:t>
      </w:r>
    </w:p>
    <w:p w14:paraId="717AA85F" w14:textId="77777777" w:rsidR="008B2055" w:rsidRDefault="008B2055" w:rsidP="00B45056"/>
    <w:p w14:paraId="099A4AA3" w14:textId="17CBAAC7" w:rsidR="00B45056" w:rsidRDefault="005A61F4" w:rsidP="00B45056">
      <w:r>
        <w:rPr>
          <w:b/>
        </w:rPr>
        <w:lastRenderedPageBreak/>
        <w:t xml:space="preserve">AJ: </w:t>
      </w:r>
      <w:r w:rsidR="00B45056">
        <w:t>Wu</w:t>
      </w:r>
      <w:bookmarkStart w:id="14" w:name="_GoBack"/>
      <w:bookmarkEnd w:id="14"/>
      <w:r w:rsidR="00B45056">
        <w:t xml:space="preserve">, S., &amp; Barker, J. C. (2008). Hot tea and juk: The institutional meaning of food for </w:t>
      </w:r>
      <w:r w:rsidR="004C46B5">
        <w:t>Chinese</w:t>
      </w:r>
      <w:r w:rsidR="00B45056">
        <w:t xml:space="preserve"> elders in an </w:t>
      </w:r>
      <w:r w:rsidR="004C46B5">
        <w:t>American</w:t>
      </w:r>
      <w:r w:rsidR="00B45056">
        <w:t xml:space="preserve"> nursing home. </w:t>
      </w:r>
      <w:r w:rsidR="00B45056" w:rsidRPr="00F7557E">
        <w:rPr>
          <w:i/>
        </w:rPr>
        <w:t>Journal of Gerontological Nursing</w:t>
      </w:r>
      <w:r w:rsidR="009E43A4">
        <w:rPr>
          <w:i/>
        </w:rPr>
        <w:t xml:space="preserve"> </w:t>
      </w:r>
      <w:r w:rsidR="009E43A4">
        <w:t>[online]</w:t>
      </w:r>
      <w:r w:rsidR="00B45056" w:rsidRPr="00F7557E">
        <w:rPr>
          <w:i/>
        </w:rPr>
        <w:t xml:space="preserve">, </w:t>
      </w:r>
      <w:r w:rsidR="00B45056" w:rsidRPr="009E43A4">
        <w:t>34(11), 46-54.</w:t>
      </w:r>
      <w:r w:rsidR="00B45056">
        <w:t xml:space="preserve"> </w:t>
      </w:r>
    </w:p>
    <w:p w14:paraId="7F2E0815" w14:textId="3ECD05BA" w:rsidR="00B45056" w:rsidRDefault="008B2055" w:rsidP="00B45056">
      <w:r>
        <w:t>This qualitative enquiry describes the f</w:t>
      </w:r>
      <w:r w:rsidR="00B45056">
        <w:t>ood and mealtime experience</w:t>
      </w:r>
      <w:r w:rsidR="00F7557E">
        <w:t>s</w:t>
      </w:r>
      <w:r w:rsidR="00B45056">
        <w:t xml:space="preserve"> </w:t>
      </w:r>
      <w:r>
        <w:t xml:space="preserve">of </w:t>
      </w:r>
      <w:r w:rsidR="00B45056">
        <w:t>Chinese residents, family members and staff in a nursing home in America</w:t>
      </w:r>
      <w:r>
        <w:t>.</w:t>
      </w:r>
    </w:p>
    <w:p w14:paraId="5A6188FC" w14:textId="287772F1" w:rsidR="005A61F4" w:rsidRDefault="005A61F4" w:rsidP="00B45056"/>
    <w:p w14:paraId="0981485E" w14:textId="303F9A55" w:rsidR="005A61F4" w:rsidRPr="000E3DBA" w:rsidRDefault="005A61F4" w:rsidP="000E3DBA">
      <w:pPr>
        <w:pStyle w:val="Heading3"/>
      </w:pPr>
      <w:bookmarkStart w:id="15" w:name="_Toc499814929"/>
      <w:r w:rsidRPr="000E3DBA">
        <w:t>S</w:t>
      </w:r>
      <w:r w:rsidR="004C46B5">
        <w:t>ummary</w:t>
      </w:r>
      <w:bookmarkEnd w:id="15"/>
    </w:p>
    <w:p w14:paraId="18FBAD2D" w14:textId="21F88F2B" w:rsidR="005A61F4" w:rsidRDefault="005A61F4" w:rsidP="005A61F4">
      <w:r>
        <w:t>•A deeper understanding of the sociocultural context of eating and drinking in residential care settings could inform nutritional programmes and interventions.</w:t>
      </w:r>
    </w:p>
    <w:p w14:paraId="3034B13C" w14:textId="34313FA7" w:rsidR="00886F9D" w:rsidRDefault="00886F9D" w:rsidP="00886F9D">
      <w:r>
        <w:t>•Strategies to ensure positive nutritional and clinical outcomes go beyond improving the nutritional value of food to encompass other factors such as the mealtime ambiance.</w:t>
      </w:r>
    </w:p>
    <w:p w14:paraId="6063A742" w14:textId="39ED6C58" w:rsidR="00886F9D" w:rsidRDefault="00886F9D" w:rsidP="00886F9D">
      <w:r>
        <w:t>•Mealtime ambiance increases food intake by serving as an external stimulus to facilitate increases in food intake.</w:t>
      </w:r>
    </w:p>
    <w:p w14:paraId="31932B89" w14:textId="7597C7AC" w:rsidR="005A61F4" w:rsidRDefault="005A61F4" w:rsidP="005A61F4">
      <w:r>
        <w:t>•Protected meal time is feasible in a residential aged care setting.</w:t>
      </w:r>
    </w:p>
    <w:p w14:paraId="55981854" w14:textId="573A7311" w:rsidR="005A61F4" w:rsidRDefault="005A61F4" w:rsidP="005A61F4">
      <w:r>
        <w:t xml:space="preserve"> •Organisational and staff support are key in enhancing the meal experiences of residents.</w:t>
      </w:r>
    </w:p>
    <w:p w14:paraId="4CCBB68A" w14:textId="2AE91BF9" w:rsidR="005A61F4" w:rsidRDefault="005A61F4" w:rsidP="005A61F4">
      <w:r>
        <w:t>•Food service factors significantly associated with risk of malnutrition include food packages, lids, and dishes that are difficult to manipulate, bulk food-delivery systems, overall food satisfaction, menu cycle length, and porcelain dishes</w:t>
      </w:r>
      <w:r w:rsidR="00886F9D">
        <w:t>.</w:t>
      </w:r>
    </w:p>
    <w:p w14:paraId="6BB73341" w14:textId="655D0DEA" w:rsidR="005A61F4" w:rsidRDefault="005A61F4" w:rsidP="005A61F4">
      <w:r>
        <w:t xml:space="preserve">•Nutritional intake and </w:t>
      </w:r>
      <w:r w:rsidR="004C46B5">
        <w:t xml:space="preserve">quality of life </w:t>
      </w:r>
      <w:r>
        <w:t xml:space="preserve">can be improved by ensuring a pleasing mealtime experience for </w:t>
      </w:r>
      <w:r w:rsidR="00886F9D">
        <w:t>residents in care institutions.</w:t>
      </w:r>
    </w:p>
    <w:p w14:paraId="6E36487C" w14:textId="335FCB20" w:rsidR="005A61F4" w:rsidRDefault="005A61F4" w:rsidP="005A61F4">
      <w:r>
        <w:t>•Interventions to address the determinants of food and fluid intake should include social interactions of residents at mealtime; self-feeding ability; the dining environment; the attitudes, knowledge, and skills of staff; adequate time to eat/availability of staff to provide assistance; sensory properties of the food; hospitality and mealtime logistics; choice and variety in the dining experience; and nutrient density of food</w:t>
      </w:r>
      <w:r w:rsidR="00886F9D">
        <w:t>.</w:t>
      </w:r>
    </w:p>
    <w:p w14:paraId="3387B143" w14:textId="7E4A257B" w:rsidR="005A61F4" w:rsidRDefault="005A61F4" w:rsidP="005A61F4">
      <w:r>
        <w:t>•Factors</w:t>
      </w:r>
      <w:r w:rsidR="00886F9D">
        <w:t xml:space="preserve"> that affect the </w:t>
      </w:r>
      <w:r>
        <w:t xml:space="preserve">wellbeing of </w:t>
      </w:r>
      <w:r w:rsidR="00886F9D">
        <w:t xml:space="preserve">older people </w:t>
      </w:r>
      <w:r>
        <w:t xml:space="preserve">during mealtimes </w:t>
      </w:r>
      <w:r w:rsidR="00886F9D">
        <w:t xml:space="preserve">include </w:t>
      </w:r>
      <w:r>
        <w:t xml:space="preserve">being able to make healthy food choices, interacting and socialising with staff, family and friends during mealtimes and having a tasty meal in an environment that is warm and </w:t>
      </w:r>
      <w:r w:rsidR="00886F9D">
        <w:t>inviting.</w:t>
      </w:r>
    </w:p>
    <w:p w14:paraId="08E1157E" w14:textId="46300E3B" w:rsidR="005A61F4" w:rsidRDefault="005A61F4" w:rsidP="005A61F4">
      <w:r>
        <w:t xml:space="preserve">•Understanding the social importance of residents' mealtimes in nursing homes would help address resident's expectations. As a result, this will help to improve food service </w:t>
      </w:r>
      <w:r w:rsidR="00886F9D">
        <w:t>and resident's quality of life.</w:t>
      </w:r>
    </w:p>
    <w:p w14:paraId="761604DA" w14:textId="77A7790F" w:rsidR="005A61F4" w:rsidRDefault="005A61F4" w:rsidP="005A61F4">
      <w:r>
        <w:lastRenderedPageBreak/>
        <w:t>•A multidisciplinary and coordinated approach is advocated as a potential solution to improve the health and nutrition o</w:t>
      </w:r>
      <w:r w:rsidR="00886F9D">
        <w:t>f care home residents in the UK.</w:t>
      </w:r>
    </w:p>
    <w:p w14:paraId="7BB44754" w14:textId="45705C3B" w:rsidR="005A61F4" w:rsidRDefault="005A61F4" w:rsidP="005A61F4">
      <w:r>
        <w:t>•There is a need for further training for care home staff regarding the importance of nutrition in maintaining health in older people, use of nutritional screening and special dietary needs. Shared nutrition training between health and social care staff needs expansion and policy implications in terms of an enhanced regulatory focus on maintaining nutritional needs in care homes.</w:t>
      </w:r>
    </w:p>
    <w:p w14:paraId="028F2A04" w14:textId="77777777" w:rsidR="00886F9D" w:rsidRPr="000111FA" w:rsidRDefault="00886F9D" w:rsidP="005A61F4"/>
    <w:p w14:paraId="23CE1F20" w14:textId="01987430" w:rsidR="000111FA" w:rsidRDefault="004C46B5" w:rsidP="00106185">
      <w:pPr>
        <w:pStyle w:val="Heading2"/>
      </w:pPr>
      <w:bookmarkStart w:id="16" w:name="_Toc499814930"/>
      <w:r>
        <w:t>H</w:t>
      </w:r>
      <w:r w:rsidR="006F0CD2">
        <w:t>ospital setting</w:t>
      </w:r>
      <w:bookmarkEnd w:id="16"/>
      <w:r w:rsidR="006F0CD2">
        <w:t xml:space="preserve"> </w:t>
      </w:r>
    </w:p>
    <w:p w14:paraId="358CDF66" w14:textId="629891CA" w:rsidR="006F0CD2" w:rsidRDefault="00106185" w:rsidP="006F0CD2">
      <w:r>
        <w:rPr>
          <w:b/>
        </w:rPr>
        <w:t xml:space="preserve">AJ: </w:t>
      </w:r>
      <w:r w:rsidR="006F0CD2">
        <w:t xml:space="preserve">Furman, E. (2014). The theory of compromised eating behavior. </w:t>
      </w:r>
      <w:r w:rsidR="006F0CD2" w:rsidRPr="00895F6B">
        <w:rPr>
          <w:i/>
        </w:rPr>
        <w:t>Research in Gerontological Nursing</w:t>
      </w:r>
      <w:r w:rsidR="00CE1BDC">
        <w:rPr>
          <w:i/>
        </w:rPr>
        <w:t xml:space="preserve"> </w:t>
      </w:r>
      <w:r w:rsidR="00CE1BDC">
        <w:t>[online]</w:t>
      </w:r>
      <w:r w:rsidR="006F0CD2">
        <w:t xml:space="preserve">, 7(2), 78-86. </w:t>
      </w:r>
      <w:r w:rsidR="00CE1BDC">
        <w:t>[Accessed 15 September 2017]    </w:t>
      </w:r>
    </w:p>
    <w:p w14:paraId="78631E8C" w14:textId="77777777" w:rsidR="008B2055" w:rsidRDefault="008B2055" w:rsidP="008B2055">
      <w:r>
        <w:t>Ellen Furman attempts to develop a theory that explains the social processes affecting eating habits of older people admitted to hospital.</w:t>
      </w:r>
    </w:p>
    <w:p w14:paraId="0D97E08A" w14:textId="77777777" w:rsidR="006F0CD2" w:rsidRDefault="008B2055" w:rsidP="008B2055">
      <w:r>
        <w:t xml:space="preserve"> </w:t>
      </w:r>
    </w:p>
    <w:p w14:paraId="168DD564" w14:textId="43A8BED8" w:rsidR="006F0CD2" w:rsidRDefault="00106185" w:rsidP="006F0CD2">
      <w:r>
        <w:rPr>
          <w:b/>
        </w:rPr>
        <w:t xml:space="preserve">AJ: </w:t>
      </w:r>
      <w:r w:rsidR="006F0CD2">
        <w:t xml:space="preserve">Johns, N., Hartwell, H., &amp; Morgan, M. (2010). Improving the provision of meals in hospital. </w:t>
      </w:r>
      <w:r w:rsidR="009679EC">
        <w:t>The</w:t>
      </w:r>
      <w:r w:rsidR="006F0CD2">
        <w:t xml:space="preserve"> patients' viewpoint. </w:t>
      </w:r>
      <w:r w:rsidR="006F0CD2" w:rsidRPr="00895F6B">
        <w:rPr>
          <w:i/>
        </w:rPr>
        <w:t>Appetite</w:t>
      </w:r>
      <w:r w:rsidR="00CE1BDC">
        <w:rPr>
          <w:i/>
        </w:rPr>
        <w:t xml:space="preserve"> </w:t>
      </w:r>
      <w:r w:rsidR="00CE1BDC">
        <w:t>[online]</w:t>
      </w:r>
      <w:r w:rsidR="006F0CD2">
        <w:t xml:space="preserve">, 54(1), 181-185. </w:t>
      </w:r>
      <w:r w:rsidR="00CE1BDC">
        <w:t>[Accessed 16 September 2017]    </w:t>
      </w:r>
    </w:p>
    <w:p w14:paraId="5A402D33" w14:textId="77777777" w:rsidR="008B2055" w:rsidRDefault="00895F6B" w:rsidP="006F0CD2">
      <w:r>
        <w:t>The views of p</w:t>
      </w:r>
      <w:r w:rsidR="006F0CD2">
        <w:t xml:space="preserve">atients at an NHS hospital in South England </w:t>
      </w:r>
      <w:r>
        <w:t xml:space="preserve">on the provision of hospital meals are presented </w:t>
      </w:r>
      <w:r w:rsidR="008B2055">
        <w:t>in this qualitative enquiry</w:t>
      </w:r>
      <w:r w:rsidR="006F0CD2">
        <w:t>.</w:t>
      </w:r>
      <w:r>
        <w:t xml:space="preserve"> </w:t>
      </w:r>
    </w:p>
    <w:p w14:paraId="6B12EF7E" w14:textId="77777777" w:rsidR="006F0CD2" w:rsidRDefault="006F0CD2" w:rsidP="006F0CD2">
      <w:r>
        <w:t xml:space="preserve"> </w:t>
      </w:r>
    </w:p>
    <w:p w14:paraId="507A992D" w14:textId="522DA3F9" w:rsidR="006F0CD2" w:rsidRDefault="00106185" w:rsidP="006F0CD2">
      <w:r>
        <w:rPr>
          <w:b/>
        </w:rPr>
        <w:t xml:space="preserve">AJ: </w:t>
      </w:r>
      <w:r w:rsidR="006F0CD2">
        <w:t xml:space="preserve">Johnson, A., &amp; Baum, F. (2001). Health promoting hospitals: A typology of different organizational approaches to health promotion. </w:t>
      </w:r>
      <w:r w:rsidR="006F0CD2" w:rsidRPr="00895F6B">
        <w:rPr>
          <w:i/>
        </w:rPr>
        <w:t>Health Promotion International</w:t>
      </w:r>
      <w:r w:rsidR="00CE1BDC">
        <w:rPr>
          <w:i/>
        </w:rPr>
        <w:t xml:space="preserve"> </w:t>
      </w:r>
      <w:r w:rsidR="00CE1BDC">
        <w:t>online]</w:t>
      </w:r>
      <w:r w:rsidR="006F0CD2">
        <w:t xml:space="preserve">, 16(3), 281-287. </w:t>
      </w:r>
      <w:r w:rsidR="00CE1BDC">
        <w:t>[Accessed 15 September 2017]    </w:t>
      </w:r>
    </w:p>
    <w:p w14:paraId="0A533C7A" w14:textId="77777777" w:rsidR="006F0CD2" w:rsidRDefault="008B2055" w:rsidP="006F0CD2">
      <w:r>
        <w:t>This article discusses h</w:t>
      </w:r>
      <w:r w:rsidR="006F0CD2">
        <w:t>ealth p</w:t>
      </w:r>
      <w:r>
        <w:t>romotion activities in hospital settings</w:t>
      </w:r>
      <w:r w:rsidR="006F0CD2">
        <w:t xml:space="preserve"> </w:t>
      </w:r>
    </w:p>
    <w:p w14:paraId="3643C1BA" w14:textId="77777777" w:rsidR="00895F6B" w:rsidRDefault="00895F6B" w:rsidP="006F0CD2"/>
    <w:p w14:paraId="606BD941" w14:textId="56019585" w:rsidR="006F0CD2" w:rsidRDefault="00106185" w:rsidP="006F0CD2">
      <w:r>
        <w:rPr>
          <w:b/>
        </w:rPr>
        <w:t xml:space="preserve">AJ: </w:t>
      </w:r>
      <w:r w:rsidR="006F0CD2">
        <w:t xml:space="preserve">Roberts, H. C., De Wet, S., Porter, K., Rood, G., Diaper, N., Robison, J., . . . Robinson, S. (2014). The feasibility and acceptability of training volunteer mealtime assistants to help older acute hospital inpatients: The </w:t>
      </w:r>
      <w:r w:rsidR="00895F6B">
        <w:t>Southampton</w:t>
      </w:r>
      <w:r w:rsidR="006F0CD2">
        <w:t xml:space="preserve"> mealtime assistance study. </w:t>
      </w:r>
      <w:r w:rsidR="006F0CD2" w:rsidRPr="00895F6B">
        <w:rPr>
          <w:i/>
        </w:rPr>
        <w:t>Journal of Clinical Nursing</w:t>
      </w:r>
      <w:r w:rsidR="00CE1BDC">
        <w:rPr>
          <w:i/>
        </w:rPr>
        <w:t xml:space="preserve"> </w:t>
      </w:r>
      <w:r w:rsidR="00CE1BDC">
        <w:t>[online]</w:t>
      </w:r>
      <w:r w:rsidR="006F0CD2">
        <w:t xml:space="preserve">, 23(21-22), 3240-3249. </w:t>
      </w:r>
      <w:r w:rsidR="00CE1BDC">
        <w:t>[Accessed 17 September 2017]    </w:t>
      </w:r>
    </w:p>
    <w:p w14:paraId="247A86E7" w14:textId="77777777" w:rsidR="006F0CD2" w:rsidRDefault="006F0CD2" w:rsidP="006F0CD2">
      <w:r>
        <w:lastRenderedPageBreak/>
        <w:t xml:space="preserve">Interviews and focus group discussions were used to assess the feasibility of and acceptability of training volunteers to assist female patients during mealtimes in a </w:t>
      </w:r>
      <w:r w:rsidR="00EF08CE">
        <w:t>hospital</w:t>
      </w:r>
      <w:r>
        <w:t xml:space="preserve"> in Southampton. </w:t>
      </w:r>
    </w:p>
    <w:p w14:paraId="0B96222A" w14:textId="77777777" w:rsidR="00EF08CE" w:rsidRDefault="00EF08CE" w:rsidP="006F0CD2"/>
    <w:p w14:paraId="19A95B5C" w14:textId="672CD6F2" w:rsidR="006F0CD2" w:rsidRDefault="00106185" w:rsidP="006F0CD2">
      <w:r>
        <w:rPr>
          <w:b/>
        </w:rPr>
        <w:t xml:space="preserve">AJ: </w:t>
      </w:r>
      <w:r w:rsidR="006F0CD2">
        <w:t xml:space="preserve">Ross, L. J., Mudge, A. M., Young, A. M., &amp; Banks, M. (2011). Everyone's problem but nobody's job: Staff perceptions and explanations for poor nutritional intake in older medical patients. </w:t>
      </w:r>
      <w:r w:rsidR="006F0CD2" w:rsidRPr="00895F6B">
        <w:rPr>
          <w:i/>
        </w:rPr>
        <w:t>Nutrition &amp; Dietetics</w:t>
      </w:r>
      <w:r w:rsidR="00CE1BDC">
        <w:rPr>
          <w:i/>
        </w:rPr>
        <w:t xml:space="preserve"> </w:t>
      </w:r>
      <w:r w:rsidR="00CE1BDC">
        <w:t>[online]</w:t>
      </w:r>
      <w:r w:rsidR="006F0CD2">
        <w:t>, 68(1), 41-46.</w:t>
      </w:r>
      <w:r w:rsidR="00CE1BDC" w:rsidRPr="00CE1BDC">
        <w:t xml:space="preserve"> </w:t>
      </w:r>
      <w:r w:rsidR="00CE1BDC">
        <w:t>[Accessed 28 September 2017]    </w:t>
      </w:r>
    </w:p>
    <w:p w14:paraId="11229172" w14:textId="77777777" w:rsidR="006F0CD2" w:rsidRDefault="006F0CD2" w:rsidP="006F0CD2">
      <w:r>
        <w:t xml:space="preserve">Three staff focus groups were carried out to understand the potential contextual and cultural barriers to feeding older adults in hospital. </w:t>
      </w:r>
    </w:p>
    <w:p w14:paraId="76327EA7" w14:textId="77777777" w:rsidR="00EF08CE" w:rsidRDefault="00EF08CE" w:rsidP="006F0CD2"/>
    <w:p w14:paraId="0A31CE5F" w14:textId="5F630FAC" w:rsidR="006F0CD2" w:rsidRDefault="00106185" w:rsidP="006F0CD2">
      <w:r>
        <w:rPr>
          <w:b/>
        </w:rPr>
        <w:t xml:space="preserve">AJ: </w:t>
      </w:r>
      <w:r w:rsidR="00090B9B" w:rsidRPr="00090B9B">
        <w:t>Schindler, K., Themessl-Huber, M., Hiesmayr, M., Kosak, S., Lainscak, M., Laviano, A., Ljungqvist, O., Mouhieddine, M., Schneider, S., de van der Schueren, M., Schutz, T., Schuh, C., Singer, P., Bauer, P. and Pichard, C.</w:t>
      </w:r>
      <w:r w:rsidR="00090B9B">
        <w:t xml:space="preserve"> </w:t>
      </w:r>
      <w:r w:rsidR="006F0CD2">
        <w:t xml:space="preserve">(2016). To eat or not to eat? </w:t>
      </w:r>
      <w:r w:rsidR="009679EC">
        <w:t>Indicators</w:t>
      </w:r>
      <w:r w:rsidR="006F0CD2">
        <w:t xml:space="preserve"> for reduced food intake in 91,245 patients hospitalized on nutrition</w:t>
      </w:r>
      <w:r w:rsidR="00EF08CE">
        <w:t xml:space="preserve"> </w:t>
      </w:r>
      <w:r w:rsidR="006F0CD2">
        <w:t xml:space="preserve">Days 2006-2014 in 56 countries worldwide: A descriptive analysis. </w:t>
      </w:r>
      <w:r w:rsidR="006F0CD2" w:rsidRPr="00895F6B">
        <w:rPr>
          <w:i/>
        </w:rPr>
        <w:t>The American Journal of Clinical Nutrition</w:t>
      </w:r>
      <w:r w:rsidR="00CE1BDC">
        <w:rPr>
          <w:i/>
        </w:rPr>
        <w:t xml:space="preserve"> </w:t>
      </w:r>
      <w:r w:rsidR="00CE1BDC">
        <w:t>[online]</w:t>
      </w:r>
      <w:r w:rsidR="006F0CD2">
        <w:t xml:space="preserve">, 104(5), 1393-1402. </w:t>
      </w:r>
      <w:r w:rsidR="00CE1BDC">
        <w:t>[Accessed 15 September 2017]    </w:t>
      </w:r>
    </w:p>
    <w:p w14:paraId="33C6D62C" w14:textId="77777777" w:rsidR="006F0CD2" w:rsidRDefault="00EF08CE" w:rsidP="006F0CD2">
      <w:r>
        <w:t xml:space="preserve">Secondary data analysis was carried to describe the </w:t>
      </w:r>
      <w:r w:rsidR="006F0CD2">
        <w:t xml:space="preserve">factors that are associated with reduced meal intake in hospitalized patients </w:t>
      </w:r>
      <w:r>
        <w:t>and geographical differences in relation to these factors.</w:t>
      </w:r>
    </w:p>
    <w:p w14:paraId="6E1330A5" w14:textId="77777777" w:rsidR="00EF08CE" w:rsidRDefault="00EF08CE" w:rsidP="006F0CD2"/>
    <w:p w14:paraId="713E21E6" w14:textId="2AC49FD4" w:rsidR="006F0CD2" w:rsidRDefault="00106185" w:rsidP="006F0CD2">
      <w:r>
        <w:rPr>
          <w:b/>
        </w:rPr>
        <w:t xml:space="preserve">AJ: </w:t>
      </w:r>
      <w:r w:rsidR="006F0CD2">
        <w:t xml:space="preserve">Walton, K. (2012). Improving opportunities for food service and dietetics practice in hospitals and residential aged care facilities. </w:t>
      </w:r>
      <w:r w:rsidR="006F0CD2" w:rsidRPr="00090B9B">
        <w:rPr>
          <w:i/>
        </w:rPr>
        <w:t>Nutrition &amp; Dietetics</w:t>
      </w:r>
      <w:r w:rsidR="00CE1BDC">
        <w:rPr>
          <w:i/>
        </w:rPr>
        <w:t xml:space="preserve"> </w:t>
      </w:r>
      <w:r w:rsidR="00CE1BDC">
        <w:t>[online]</w:t>
      </w:r>
      <w:r w:rsidR="006F0CD2">
        <w:t xml:space="preserve">, 69(3), 222-225. </w:t>
      </w:r>
      <w:r w:rsidR="00CE1BDC">
        <w:t>[Accessed 15 September 2017]    </w:t>
      </w:r>
    </w:p>
    <w:p w14:paraId="77A76D69" w14:textId="77777777" w:rsidR="006F0CD2" w:rsidRDefault="00EF08CE" w:rsidP="006F0CD2">
      <w:r>
        <w:t xml:space="preserve">This narrative review tries to present the role that dietitians play in food provision in </w:t>
      </w:r>
      <w:r w:rsidR="006F0CD2">
        <w:t xml:space="preserve">healthcare settings </w:t>
      </w:r>
    </w:p>
    <w:p w14:paraId="6D1D54E5" w14:textId="77777777" w:rsidR="00EF08CE" w:rsidRDefault="00EF08CE" w:rsidP="006F0CD2"/>
    <w:p w14:paraId="194EC9DC" w14:textId="3674EB7E" w:rsidR="006F0CD2" w:rsidRDefault="00106185" w:rsidP="006F0CD2">
      <w:r>
        <w:rPr>
          <w:b/>
        </w:rPr>
        <w:t xml:space="preserve">AJ: </w:t>
      </w:r>
      <w:r w:rsidR="006F0CD2">
        <w:t xml:space="preserve">Walton, K., Williams, P., &amp; Tapsell, L. (2012). Improving food services for elderly, long-stay patients in </w:t>
      </w:r>
      <w:r>
        <w:t>Australian</w:t>
      </w:r>
      <w:r w:rsidR="006F0CD2">
        <w:t xml:space="preserve"> hospitals: Adding food fortification, assistance with packaging and feeding assistance. </w:t>
      </w:r>
      <w:r w:rsidR="006F0CD2" w:rsidRPr="00090B9B">
        <w:rPr>
          <w:i/>
        </w:rPr>
        <w:t>Nutrition &amp; Dietetics</w:t>
      </w:r>
      <w:r w:rsidR="00CE1BDC">
        <w:rPr>
          <w:i/>
        </w:rPr>
        <w:t xml:space="preserve"> </w:t>
      </w:r>
      <w:r w:rsidR="00CE1BDC">
        <w:t>[online]</w:t>
      </w:r>
      <w:r w:rsidR="006F0CD2">
        <w:t xml:space="preserve">, 69(2), 137-144. </w:t>
      </w:r>
      <w:r w:rsidR="00CE1BDC">
        <w:t>[</w:t>
      </w:r>
      <w:r w:rsidR="009C56A3">
        <w:t>Accessed 29</w:t>
      </w:r>
      <w:r w:rsidR="00CE1BDC">
        <w:t xml:space="preserve"> August 2017]    </w:t>
      </w:r>
    </w:p>
    <w:p w14:paraId="7EA2A95A" w14:textId="77777777" w:rsidR="006F0CD2" w:rsidRDefault="00EF08CE" w:rsidP="006F0CD2">
      <w:r>
        <w:lastRenderedPageBreak/>
        <w:t>This</w:t>
      </w:r>
      <w:r w:rsidR="006F0CD2">
        <w:t xml:space="preserve"> survey highlight</w:t>
      </w:r>
      <w:r>
        <w:t>s</w:t>
      </w:r>
      <w:r w:rsidR="006F0CD2">
        <w:t xml:space="preserve"> barriers and feasible opportunities to enhance nutrition support </w:t>
      </w:r>
      <w:r>
        <w:t>for</w:t>
      </w:r>
      <w:r w:rsidR="006F0CD2">
        <w:t xml:space="preserve"> elderly, long-stay patients in Australian hospitals. </w:t>
      </w:r>
    </w:p>
    <w:p w14:paraId="4147D6E2" w14:textId="77777777" w:rsidR="00EF08CE" w:rsidRDefault="00EF08CE" w:rsidP="006F0CD2"/>
    <w:p w14:paraId="7C0B793C" w14:textId="551116A8" w:rsidR="006F0CD2" w:rsidRDefault="00106185" w:rsidP="006F0CD2">
      <w:r>
        <w:rPr>
          <w:b/>
        </w:rPr>
        <w:t xml:space="preserve">AJ: </w:t>
      </w:r>
      <w:r w:rsidR="006F0CD2">
        <w:t xml:space="preserve">Walton, K., Williams, P., Tapsell, L., Hoyle, M., Shen, Z. W., Gladman, L., &amp; Nurka, M. (2013). Observations of mealtimes in hospital aged care rehabilitation wards. </w:t>
      </w:r>
      <w:r w:rsidR="006F0CD2" w:rsidRPr="00090B9B">
        <w:rPr>
          <w:i/>
        </w:rPr>
        <w:t>Appetite</w:t>
      </w:r>
      <w:r w:rsidR="00CE1BDC">
        <w:rPr>
          <w:i/>
        </w:rPr>
        <w:t xml:space="preserve"> </w:t>
      </w:r>
      <w:r w:rsidR="00CE1BDC">
        <w:t>[online]</w:t>
      </w:r>
      <w:r w:rsidR="006F0CD2">
        <w:t>, 67, 16-21.</w:t>
      </w:r>
      <w:r w:rsidR="00CE1BDC">
        <w:t xml:space="preserve"> [Accessed 15 September 2017]   </w:t>
      </w:r>
    </w:p>
    <w:p w14:paraId="5F36EA88" w14:textId="4CF43A5D" w:rsidR="006F0CD2" w:rsidRDefault="006F0CD2" w:rsidP="006F0CD2">
      <w:r>
        <w:t xml:space="preserve">Observations were carried out on the environmental factors that are associated with adequate food consumption of patients in a hospital setting. </w:t>
      </w:r>
    </w:p>
    <w:p w14:paraId="506FD1E2" w14:textId="51DAAB97" w:rsidR="00336EC3" w:rsidRDefault="00336EC3" w:rsidP="006F0CD2"/>
    <w:p w14:paraId="4CF595DF" w14:textId="42B17378" w:rsidR="00336EC3" w:rsidRPr="000E3DBA" w:rsidRDefault="00336EC3" w:rsidP="000E3DBA">
      <w:pPr>
        <w:pStyle w:val="Heading3"/>
      </w:pPr>
      <w:bookmarkStart w:id="17" w:name="_Toc499814931"/>
      <w:r w:rsidRPr="000E3DBA">
        <w:t>S</w:t>
      </w:r>
      <w:r w:rsidR="004C46B5">
        <w:t>ummary</w:t>
      </w:r>
      <w:bookmarkEnd w:id="17"/>
    </w:p>
    <w:p w14:paraId="3DAF9D8C" w14:textId="1CEEFE34" w:rsidR="00336EC3" w:rsidRDefault="004C46B5" w:rsidP="00336EC3">
      <w:r>
        <w:t>•Mealtime</w:t>
      </w:r>
      <w:r w:rsidR="00336EC3">
        <w:t xml:space="preserve"> is an integral part of care in healthcare settings.</w:t>
      </w:r>
    </w:p>
    <w:p w14:paraId="153BD828" w14:textId="73384D16" w:rsidR="00336EC3" w:rsidRDefault="00336EC3" w:rsidP="00336EC3">
      <w:r>
        <w:t>•Interventions that enhance the meaning of food and mealtimes for older adult</w:t>
      </w:r>
      <w:r w:rsidR="004C46B5">
        <w:t>s</w:t>
      </w:r>
      <w:r>
        <w:t xml:space="preserve"> during hospitalisation, may improve dietary intake and nutritional outcomes.</w:t>
      </w:r>
    </w:p>
    <w:p w14:paraId="30063918" w14:textId="71A36604" w:rsidR="00336EC3" w:rsidRDefault="00336EC3" w:rsidP="00336EC3">
      <w:r>
        <w:t>•Prioritising mealtimes and taking a multidisciplinary approach to nutrition in the hospital will help overcome the barriers to good nutritional status of patients in the hospital.</w:t>
      </w:r>
    </w:p>
    <w:p w14:paraId="0AB105D9" w14:textId="77777777" w:rsidR="00336EC3" w:rsidRDefault="00336EC3" w:rsidP="00336EC3">
      <w:r>
        <w:t>•Food intake appears to be better in hospitals when meals are consumed communally in a dining room.</w:t>
      </w:r>
    </w:p>
    <w:p w14:paraId="31B250A5" w14:textId="0339D5D5" w:rsidR="00336EC3" w:rsidRDefault="00336EC3" w:rsidP="00336EC3">
      <w:r>
        <w:t>•There is a need for protected mealtimes in hospital wards.</w:t>
      </w:r>
    </w:p>
    <w:p w14:paraId="5A55DB3C" w14:textId="5823EF6C" w:rsidR="00336EC3" w:rsidRPr="00336EC3" w:rsidRDefault="00336EC3" w:rsidP="00336EC3">
      <w:r>
        <w:t xml:space="preserve">•Multilevel and multidisciplinary interventions based on a shared understanding of food and nutrition as an </w:t>
      </w:r>
      <w:r w:rsidR="004C46B5">
        <w:t>vital component</w:t>
      </w:r>
      <w:r>
        <w:t xml:space="preserve"> of hospital care are essential to improve dietary intake and reduce the risk of adverse clinical outcomes.</w:t>
      </w:r>
    </w:p>
    <w:p w14:paraId="6C4E007D" w14:textId="77777777" w:rsidR="00AF2857" w:rsidRDefault="00AF2857" w:rsidP="006F0CD2"/>
    <w:p w14:paraId="58D0476F" w14:textId="4E90BCCB" w:rsidR="006F0CD2" w:rsidRDefault="006F0CD2" w:rsidP="006F0CD2">
      <w:pPr>
        <w:pStyle w:val="Heading2"/>
      </w:pPr>
      <w:bookmarkStart w:id="18" w:name="_Toc499814932"/>
      <w:r>
        <w:t>Community setting</w:t>
      </w:r>
      <w:bookmarkEnd w:id="18"/>
    </w:p>
    <w:p w14:paraId="495159F8" w14:textId="4EA2C08F" w:rsidR="006F0CD2" w:rsidRDefault="002C1F84" w:rsidP="006F0CD2">
      <w:r>
        <w:rPr>
          <w:b/>
        </w:rPr>
        <w:t>**</w:t>
      </w:r>
      <w:r w:rsidR="006F0CD2">
        <w:t>Aalborg University. (2014). Scientists will improve the eating experience for the elderly</w:t>
      </w:r>
      <w:r w:rsidR="00090B9B">
        <w:t xml:space="preserve">. Available from: </w:t>
      </w:r>
      <w:hyperlink r:id="rId20" w:history="1">
        <w:r w:rsidR="00090B9B" w:rsidRPr="009E6C83">
          <w:rPr>
            <w:rStyle w:val="Hyperlink"/>
          </w:rPr>
          <w:t>http://www.inside.aau.dk/nyheder/aaudk/vis/forskere-vil-forbedre-madoplevelsen-for-aeldre.cid322297</w:t>
        </w:r>
      </w:hyperlink>
      <w:r w:rsidR="00090B9B">
        <w:t xml:space="preserve"> [Accessed 02 October 2017].</w:t>
      </w:r>
    </w:p>
    <w:p w14:paraId="50F56778" w14:textId="77777777" w:rsidR="006F0CD2" w:rsidRDefault="006F0CD2" w:rsidP="006F0CD2">
      <w:r>
        <w:t>Improving food experience of older people in the community through a food delivery intervention - opportunity to improve dietary intake among older people in the community</w:t>
      </w:r>
    </w:p>
    <w:p w14:paraId="718F4167" w14:textId="77777777" w:rsidR="00830526" w:rsidRDefault="00830526" w:rsidP="006F0CD2"/>
    <w:p w14:paraId="1FCD1251" w14:textId="5862EE40" w:rsidR="006F0CD2" w:rsidRDefault="002C1F84" w:rsidP="006F0CD2">
      <w:r>
        <w:rPr>
          <w:b/>
        </w:rPr>
        <w:t xml:space="preserve">R: </w:t>
      </w:r>
      <w:r w:rsidR="006F0CD2">
        <w:t xml:space="preserve">Brighton &amp; Hove Food Partnership (2015). </w:t>
      </w:r>
      <w:r w:rsidR="006F0CD2" w:rsidRPr="00114BDC">
        <w:rPr>
          <w:i/>
        </w:rPr>
        <w:t xml:space="preserve">Eating together:  exploring the role of lunch clubs and shared meals in </w:t>
      </w:r>
      <w:r w:rsidR="00090B9B" w:rsidRPr="00114BDC">
        <w:rPr>
          <w:i/>
        </w:rPr>
        <w:t>Brighton</w:t>
      </w:r>
      <w:r w:rsidR="006F0CD2" w:rsidRPr="00114BDC">
        <w:rPr>
          <w:i/>
        </w:rPr>
        <w:t xml:space="preserve"> &amp; </w:t>
      </w:r>
      <w:r w:rsidR="00090B9B" w:rsidRPr="00114BDC">
        <w:rPr>
          <w:i/>
        </w:rPr>
        <w:t>H</w:t>
      </w:r>
      <w:r w:rsidR="006F0CD2" w:rsidRPr="00114BDC">
        <w:rPr>
          <w:i/>
        </w:rPr>
        <w:t>ove</w:t>
      </w:r>
      <w:r w:rsidR="006F0CD2">
        <w:t xml:space="preserve">. </w:t>
      </w:r>
      <w:r w:rsidR="00114BDC">
        <w:t xml:space="preserve">Report: </w:t>
      </w:r>
      <w:r w:rsidR="006F0CD2">
        <w:t xml:space="preserve">Brighton &amp; Hove Food Partnership. </w:t>
      </w:r>
    </w:p>
    <w:p w14:paraId="194477AF" w14:textId="77777777" w:rsidR="006F0CD2" w:rsidRDefault="00830526" w:rsidP="006F0CD2">
      <w:r>
        <w:t>T</w:t>
      </w:r>
      <w:r w:rsidR="006F0CD2">
        <w:t xml:space="preserve">he role that shared meals play in the social and nutritional fabric of Brighton &amp; Hove, including gaps and opportunities </w:t>
      </w:r>
    </w:p>
    <w:p w14:paraId="72B02846" w14:textId="77777777" w:rsidR="00187C96" w:rsidRDefault="00187C96" w:rsidP="006F0CD2"/>
    <w:p w14:paraId="6B05EC01" w14:textId="55584B0F" w:rsidR="006F0CD2" w:rsidRDefault="002C1F84" w:rsidP="006F0CD2">
      <w:r>
        <w:rPr>
          <w:b/>
        </w:rPr>
        <w:t xml:space="preserve">AJ: </w:t>
      </w:r>
      <w:r w:rsidR="00114BDC" w:rsidRPr="00114BDC">
        <w:t>Buys, D.R., Marler, M.L., Robinson, C.O., Hamlin, C.M. and Locher, J.</w:t>
      </w:r>
      <w:r w:rsidR="00114BDC">
        <w:t xml:space="preserve"> </w:t>
      </w:r>
      <w:r w:rsidR="006F0CD2">
        <w:t xml:space="preserve">(2011). Recruitment of volunteers for a home-delivered meals programme serving homebound older adults: A theoretically derived programme among faith communities. </w:t>
      </w:r>
      <w:r w:rsidR="006F0CD2" w:rsidRPr="00114BDC">
        <w:rPr>
          <w:i/>
        </w:rPr>
        <w:t>Public Health Nutrition</w:t>
      </w:r>
      <w:r w:rsidR="00073B1B">
        <w:rPr>
          <w:i/>
        </w:rPr>
        <w:t xml:space="preserve"> </w:t>
      </w:r>
      <w:r w:rsidR="00073B1B">
        <w:t>[online]</w:t>
      </w:r>
      <w:r w:rsidR="006F0CD2">
        <w:t xml:space="preserve">, 14(8), 1473-1478. </w:t>
      </w:r>
      <w:r w:rsidR="00073B1B">
        <w:t>[Accessed 14 September 2017]    </w:t>
      </w:r>
    </w:p>
    <w:p w14:paraId="5D3BD5D4" w14:textId="77777777" w:rsidR="006F0CD2" w:rsidRDefault="00187C96" w:rsidP="00187C96">
      <w:r>
        <w:t xml:space="preserve">The design of a theoretically-driven community project to increase the participation of volunteers in a Meals on Wheels intervention. </w:t>
      </w:r>
    </w:p>
    <w:p w14:paraId="5B86FC68" w14:textId="77777777" w:rsidR="00187C96" w:rsidRDefault="00187C96" w:rsidP="006F0CD2"/>
    <w:p w14:paraId="648E0C2D" w14:textId="5B889AF5" w:rsidR="006F0CD2" w:rsidRDefault="002C1F84" w:rsidP="006F0CD2">
      <w:r>
        <w:rPr>
          <w:b/>
        </w:rPr>
        <w:t xml:space="preserve">AJ: </w:t>
      </w:r>
      <w:r w:rsidR="006F0CD2">
        <w:t xml:space="preserve">Dera, M., &amp; Woodham, D. (2017). Treating malnutrition in the community. </w:t>
      </w:r>
      <w:r w:rsidR="006F0CD2" w:rsidRPr="00114BDC">
        <w:rPr>
          <w:i/>
        </w:rPr>
        <w:t>Nursing and Residential Care</w:t>
      </w:r>
      <w:r w:rsidR="00073B1B">
        <w:rPr>
          <w:i/>
        </w:rPr>
        <w:t xml:space="preserve"> </w:t>
      </w:r>
      <w:r w:rsidR="00073B1B">
        <w:t>[online]</w:t>
      </w:r>
      <w:r w:rsidR="006F0CD2">
        <w:t xml:space="preserve">, 19(3), 140-145. </w:t>
      </w:r>
      <w:r w:rsidR="00073B1B">
        <w:t>[Accessed 15 August 2017]    </w:t>
      </w:r>
    </w:p>
    <w:p w14:paraId="387617DA" w14:textId="77777777" w:rsidR="006F0CD2" w:rsidRDefault="008033A0" w:rsidP="008033A0">
      <w:r>
        <w:t xml:space="preserve">This article describes the dangers associated with malnutrition among older people living in the community. </w:t>
      </w:r>
    </w:p>
    <w:p w14:paraId="257DE98D" w14:textId="77777777" w:rsidR="008033A0" w:rsidRDefault="008033A0" w:rsidP="008033A0"/>
    <w:p w14:paraId="6A759A84" w14:textId="0C06380D" w:rsidR="006F0CD2" w:rsidRDefault="002C1F84" w:rsidP="006F0CD2">
      <w:r>
        <w:rPr>
          <w:b/>
        </w:rPr>
        <w:t xml:space="preserve">AJ: </w:t>
      </w:r>
      <w:r w:rsidR="006F0CD2">
        <w:t xml:space="preserve">Marshall, S., Agarwal, E., Young, A., &amp; Isenring, E. (2017). Role of domiciliary and family carers in individualised nutrition support for older adults living in the community. </w:t>
      </w:r>
      <w:r w:rsidR="006F0CD2" w:rsidRPr="00114BDC">
        <w:rPr>
          <w:i/>
        </w:rPr>
        <w:t>Maturitas</w:t>
      </w:r>
      <w:r w:rsidR="00073B1B">
        <w:rPr>
          <w:i/>
        </w:rPr>
        <w:t xml:space="preserve"> </w:t>
      </w:r>
      <w:r w:rsidR="00073B1B">
        <w:t>[online]</w:t>
      </w:r>
      <w:r w:rsidR="006F0CD2">
        <w:t>, 98, 20-29.</w:t>
      </w:r>
      <w:r w:rsidR="00073B1B">
        <w:t xml:space="preserve"> [Accessed 16 September 2017]    </w:t>
      </w:r>
      <w:r w:rsidR="006F0CD2">
        <w:t xml:space="preserve"> </w:t>
      </w:r>
    </w:p>
    <w:p w14:paraId="3CB5A10E" w14:textId="1F990AA9" w:rsidR="006F0CD2" w:rsidRDefault="006F0CD2" w:rsidP="006F0CD2">
      <w:r>
        <w:t xml:space="preserve">This review provides insight into the role of both domiciliary and family carers in providing individualised nutrition support for older, community-dwelling adults with malnutrition. </w:t>
      </w:r>
    </w:p>
    <w:p w14:paraId="1EF06D88" w14:textId="2DFC493E" w:rsidR="00114BDC" w:rsidRDefault="002C1F84" w:rsidP="006F0CD2">
      <w:r>
        <w:rPr>
          <w:b/>
        </w:rPr>
        <w:t xml:space="preserve">AJ: </w:t>
      </w:r>
      <w:r w:rsidR="006F0CD2">
        <w:t>Romero-Ortuno, R., Casey, A., Cunningham, C., Squires, S., Prendergast, D., Kenny, R., &amp; Lawlor, B. (2011). Psychosocial and functional correlates of nutrition among community-dwelling older adults in Ireland</w:t>
      </w:r>
      <w:r w:rsidR="006F0CD2" w:rsidRPr="00114BDC">
        <w:rPr>
          <w:i/>
        </w:rPr>
        <w:t>. Journal of Nutrition, Health &amp; Aging</w:t>
      </w:r>
      <w:r w:rsidR="00073B1B">
        <w:rPr>
          <w:i/>
        </w:rPr>
        <w:t xml:space="preserve"> </w:t>
      </w:r>
      <w:r w:rsidR="00073B1B">
        <w:t>[online]</w:t>
      </w:r>
      <w:r w:rsidR="006F0CD2">
        <w:t xml:space="preserve">, 15(7), 527-531. </w:t>
      </w:r>
      <w:r w:rsidR="00073B1B">
        <w:t>[Accessed 15 September 2017]    </w:t>
      </w:r>
    </w:p>
    <w:p w14:paraId="08A6ACE9" w14:textId="77777777" w:rsidR="006F0CD2" w:rsidRDefault="008033A0" w:rsidP="006F0CD2">
      <w:r>
        <w:t>C</w:t>
      </w:r>
      <w:r w:rsidR="006F0CD2">
        <w:t>orrelates of nutrition between community-dwelling older adults in Ireland were</w:t>
      </w:r>
      <w:r>
        <w:t xml:space="preserve"> investigated in this observational study. </w:t>
      </w:r>
      <w:r w:rsidR="006F0CD2">
        <w:t xml:space="preserve"> </w:t>
      </w:r>
    </w:p>
    <w:p w14:paraId="7D442A74" w14:textId="77777777" w:rsidR="008033A0" w:rsidRDefault="008033A0" w:rsidP="006F0CD2"/>
    <w:p w14:paraId="3B1D8CBE" w14:textId="28BF2380" w:rsidR="006F0CD2" w:rsidRDefault="002C1F84" w:rsidP="00114BDC">
      <w:r>
        <w:rPr>
          <w:b/>
        </w:rPr>
        <w:lastRenderedPageBreak/>
        <w:t xml:space="preserve">AJ: </w:t>
      </w:r>
      <w:r w:rsidR="006F0CD2">
        <w:t xml:space="preserve">Thomas, N., &amp; Emond, R. (2017). Living alone but eating together: Exploring lunch clubs as a dining out experience. </w:t>
      </w:r>
      <w:r w:rsidR="006F0CD2" w:rsidRPr="00114BDC">
        <w:rPr>
          <w:i/>
        </w:rPr>
        <w:t>Appetite</w:t>
      </w:r>
      <w:r w:rsidR="00073B1B">
        <w:rPr>
          <w:i/>
        </w:rPr>
        <w:t xml:space="preserve"> </w:t>
      </w:r>
      <w:r w:rsidR="00073B1B">
        <w:t>[online]</w:t>
      </w:r>
      <w:r w:rsidR="006F0CD2">
        <w:t xml:space="preserve">, </w:t>
      </w:r>
      <w:r w:rsidR="00114BDC">
        <w:t>xxx (2017) 1-7</w:t>
      </w:r>
      <w:r w:rsidR="00073B1B">
        <w:t>. [Accessed 10 September 2017]    </w:t>
      </w:r>
    </w:p>
    <w:p w14:paraId="77AD1E60" w14:textId="77777777" w:rsidR="006F0CD2" w:rsidRDefault="006F0CD2" w:rsidP="006F0CD2">
      <w:r>
        <w:t xml:space="preserve">Perceptions and preferences of ten older people towards domestic and communal meals in South East Scotland </w:t>
      </w:r>
      <w:r w:rsidR="008033A0">
        <w:t xml:space="preserve">were explored in this qualitative study. </w:t>
      </w:r>
    </w:p>
    <w:p w14:paraId="47734269" w14:textId="77777777" w:rsidR="008033A0" w:rsidRDefault="008033A0" w:rsidP="006F0CD2"/>
    <w:p w14:paraId="2BC78199" w14:textId="4F8E8CB7" w:rsidR="006F0CD2" w:rsidRDefault="002C1F84" w:rsidP="006F0CD2">
      <w:r>
        <w:rPr>
          <w:b/>
        </w:rPr>
        <w:t xml:space="preserve">AJ: </w:t>
      </w:r>
      <w:r w:rsidR="006F0CD2">
        <w:t xml:space="preserve">Watkinson-Powell, A., Barnes, S., Lovatt, M., Wasielewska, A., &amp; Drummond, B. (2014). Food provision for older people receiving home care from the perspectives of home-care workers. </w:t>
      </w:r>
      <w:r w:rsidR="006F0CD2" w:rsidRPr="00114BDC">
        <w:rPr>
          <w:i/>
        </w:rPr>
        <w:t>Health &amp; Social Care in the Community</w:t>
      </w:r>
      <w:r w:rsidR="00073B1B">
        <w:rPr>
          <w:i/>
        </w:rPr>
        <w:t xml:space="preserve"> </w:t>
      </w:r>
      <w:r w:rsidR="00073B1B">
        <w:t>[online]</w:t>
      </w:r>
      <w:r w:rsidR="006F0CD2">
        <w:t xml:space="preserve">, 22(5), 553-560. </w:t>
      </w:r>
      <w:r w:rsidR="00073B1B">
        <w:t xml:space="preserve"> [Accessed 08 September 2017]    </w:t>
      </w:r>
    </w:p>
    <w:p w14:paraId="1FC3A10D" w14:textId="77777777" w:rsidR="006F0CD2" w:rsidRPr="006F0CD2" w:rsidRDefault="008033A0" w:rsidP="006F0CD2">
      <w:r>
        <w:t>A qualitative s</w:t>
      </w:r>
      <w:r w:rsidR="006F0CD2">
        <w:t xml:space="preserve">tudy conducted in a large city in North England to explore barriers and facilitators to food provision for older people receiving home care. </w:t>
      </w:r>
    </w:p>
    <w:p w14:paraId="3008A94A" w14:textId="77777777" w:rsidR="002C1F84" w:rsidRDefault="002C1F84"/>
    <w:p w14:paraId="726B1718" w14:textId="4D754668" w:rsidR="002C1F84" w:rsidRDefault="002C1F84" w:rsidP="002C1F84">
      <w:pPr>
        <w:pStyle w:val="Heading3"/>
      </w:pPr>
      <w:bookmarkStart w:id="19" w:name="_Toc499814933"/>
      <w:r>
        <w:t>S</w:t>
      </w:r>
      <w:r w:rsidR="004C46B5">
        <w:t>ummary</w:t>
      </w:r>
      <w:bookmarkEnd w:id="19"/>
    </w:p>
    <w:p w14:paraId="53C0AB29" w14:textId="4B8B9C0A" w:rsidR="002C1F84" w:rsidRDefault="002C1F84" w:rsidP="002C1F84">
      <w:r>
        <w:t>•A “food first approach”, where nutritious food is provided, and food intake is encouraged, is recommended as an initial stage of tackling malnutrition before the consideration of other strategies such as food fortification and oral nutritional supplements.</w:t>
      </w:r>
    </w:p>
    <w:p w14:paraId="21733736" w14:textId="095BDAE6" w:rsidR="002C1F84" w:rsidRDefault="002C1F84" w:rsidP="002C1F84">
      <w:r>
        <w:t>•Improving food delivery experience among older people may serve as a potentially useful intervention in reducing malnutrition among older people living in the community.</w:t>
      </w:r>
    </w:p>
    <w:p w14:paraId="5C19DAFF" w14:textId="69530561" w:rsidR="002C1F84" w:rsidRDefault="002C1F84" w:rsidP="002C1F84">
      <w:r>
        <w:t>•Shared meal provision can potentially reduce social isolation among older people living in the community.</w:t>
      </w:r>
    </w:p>
    <w:p w14:paraId="66F3544E" w14:textId="4E0E2C23" w:rsidR="002C1F84" w:rsidRDefault="002C1F84" w:rsidP="002C1F84">
      <w:r>
        <w:t>•Faith communities can be a reliable source for recruiting volunteers to support food-based interventions for older people in the community.</w:t>
      </w:r>
    </w:p>
    <w:p w14:paraId="1FF63537" w14:textId="437D4353" w:rsidR="002C1F84" w:rsidRDefault="002C1F84" w:rsidP="002C1F84">
      <w:r>
        <w:t>•Domiciliary carers may have a role in malnutrition interventions when supported by health professionals. Interventions such as group education, skill-development workshops and telehealth demonstrate promise and have significantly improved outcomes in older adults with dementia. More research is needed to demonstrate the efficacy of engaging with domiciliary and family carers of older adults in the general community.</w:t>
      </w:r>
    </w:p>
    <w:p w14:paraId="436442A4" w14:textId="62301E5B" w:rsidR="002C1F84" w:rsidRDefault="002C1F84" w:rsidP="002C1F84">
      <w:r>
        <w:lastRenderedPageBreak/>
        <w:t xml:space="preserve">•Significant correlates of nutrition among community-dwelling older adults include mobility and social support. </w:t>
      </w:r>
    </w:p>
    <w:p w14:paraId="178B809F" w14:textId="2C184D9D" w:rsidR="002C1F84" w:rsidRDefault="002C1F84" w:rsidP="002C1F84">
      <w:r>
        <w:t xml:space="preserve">•Considerable time pressures limit home-care workers in their ability to socially engage with service users at mealtimes, or provide them with anything other than ready meals. </w:t>
      </w:r>
      <w:r w:rsidR="004C46B5">
        <w:t>•</w:t>
      </w:r>
      <w:r>
        <w:t xml:space="preserve">Enabling choice is considered more important than providing a healthy diet, but choice is limited by food availability and reliance on families for shopping. </w:t>
      </w:r>
    </w:p>
    <w:p w14:paraId="2F063ABA" w14:textId="0CDFA1AB" w:rsidR="000111FA" w:rsidRPr="000111FA" w:rsidRDefault="002C1F84" w:rsidP="002C1F84">
      <w:r>
        <w:t>•Home-care workers receive little nutritional training and are not involved by healthcare professionals in the management of malnutrition.</w:t>
      </w:r>
      <w:r w:rsidR="000111FA" w:rsidRPr="000111FA">
        <w:br w:type="page"/>
      </w:r>
    </w:p>
    <w:p w14:paraId="1D07C498" w14:textId="31670EA6" w:rsidR="000111FA" w:rsidRPr="00C671CF" w:rsidRDefault="00F8373A" w:rsidP="00C671CF">
      <w:pPr>
        <w:pStyle w:val="Heading1"/>
      </w:pPr>
      <w:bookmarkStart w:id="20" w:name="_Toc499814934"/>
      <w:r w:rsidRPr="00C671CF">
        <w:lastRenderedPageBreak/>
        <w:t>E</w:t>
      </w:r>
      <w:r w:rsidR="006F0CD2" w:rsidRPr="00C671CF">
        <w:t xml:space="preserve">vidence </w:t>
      </w:r>
      <w:r w:rsidRPr="00C671CF">
        <w:t>of what works</w:t>
      </w:r>
      <w:bookmarkEnd w:id="20"/>
    </w:p>
    <w:p w14:paraId="348D5BEC" w14:textId="3F6D4F51" w:rsidR="004C46B5" w:rsidRDefault="004C46B5" w:rsidP="004C46B5">
      <w:r>
        <w:t>Under this theme, we lay out the evidence of what works in using food to improve the health and wellbeing of older people in care home, hospital and community settings.</w:t>
      </w:r>
    </w:p>
    <w:p w14:paraId="4E0DB896" w14:textId="7A915596" w:rsidR="000111FA" w:rsidRDefault="004C46B5" w:rsidP="006F0CD2">
      <w:pPr>
        <w:pStyle w:val="Heading2"/>
      </w:pPr>
      <w:bookmarkStart w:id="21" w:name="_Toc499814935"/>
      <w:r>
        <w:t>C</w:t>
      </w:r>
      <w:r w:rsidR="006F0CD2">
        <w:t xml:space="preserve">are </w:t>
      </w:r>
      <w:r w:rsidR="005F3133">
        <w:t xml:space="preserve">home </w:t>
      </w:r>
      <w:r w:rsidR="006F0CD2">
        <w:t>setting</w:t>
      </w:r>
      <w:bookmarkEnd w:id="21"/>
    </w:p>
    <w:p w14:paraId="7F6F2343" w14:textId="60C1DD4D" w:rsidR="006F0CD2" w:rsidRDefault="00FE1F64" w:rsidP="006F0CD2">
      <w:r>
        <w:rPr>
          <w:b/>
        </w:rPr>
        <w:t xml:space="preserve">AJ: </w:t>
      </w:r>
      <w:r w:rsidR="006F0CD2">
        <w:t xml:space="preserve">Carrier, N., West, G. E., &amp; Ouellet, D. (2009). Dining experience, foodservices and staffing are associated with quality of life in elderly nursing home residents. </w:t>
      </w:r>
      <w:r w:rsidR="006F0CD2" w:rsidRPr="00114BDC">
        <w:rPr>
          <w:i/>
        </w:rPr>
        <w:t>The Journal of Nutrition,</w:t>
      </w:r>
      <w:r w:rsidR="00114BDC" w:rsidRPr="00114BDC">
        <w:rPr>
          <w:i/>
        </w:rPr>
        <w:t xml:space="preserve"> </w:t>
      </w:r>
      <w:r w:rsidR="006F0CD2" w:rsidRPr="00114BDC">
        <w:rPr>
          <w:i/>
        </w:rPr>
        <w:t>Health &amp; Aging</w:t>
      </w:r>
      <w:r w:rsidR="00F77AC2">
        <w:rPr>
          <w:i/>
        </w:rPr>
        <w:t xml:space="preserve"> </w:t>
      </w:r>
      <w:r w:rsidR="00F77AC2">
        <w:t>[online]</w:t>
      </w:r>
      <w:r w:rsidR="006F0CD2" w:rsidRPr="00114BDC">
        <w:rPr>
          <w:i/>
        </w:rPr>
        <w:t>,</w:t>
      </w:r>
      <w:r w:rsidR="006F0CD2">
        <w:t xml:space="preserve"> 13(6), 565-570. </w:t>
      </w:r>
      <w:r w:rsidR="00F77AC2">
        <w:t xml:space="preserve">[Accessed </w:t>
      </w:r>
      <w:r w:rsidR="00F84DFD">
        <w:t xml:space="preserve">30 August </w:t>
      </w:r>
      <w:r w:rsidR="00F77AC2">
        <w:t>2017]    </w:t>
      </w:r>
    </w:p>
    <w:p w14:paraId="65A8BA32" w14:textId="77777777" w:rsidR="00980CDF" w:rsidRDefault="00980CDF" w:rsidP="006F0CD2">
      <w:r>
        <w:t xml:space="preserve">This cross-sectional study </w:t>
      </w:r>
      <w:r w:rsidR="00114BDC">
        <w:t>explores the</w:t>
      </w:r>
      <w:r>
        <w:t xml:space="preserve"> relationship between dining experience, food provision services and staff-related factors and quality of life of residents in care settings.</w:t>
      </w:r>
    </w:p>
    <w:p w14:paraId="14FC0FEB" w14:textId="77777777" w:rsidR="00980CDF" w:rsidRDefault="00980CDF" w:rsidP="006F0CD2"/>
    <w:p w14:paraId="24FB7899" w14:textId="19F914D8" w:rsidR="006F0CD2" w:rsidRDefault="00FE1F64" w:rsidP="006F0CD2">
      <w:r>
        <w:rPr>
          <w:b/>
        </w:rPr>
        <w:t xml:space="preserve">AJ: </w:t>
      </w:r>
      <w:r w:rsidR="006F0CD2">
        <w:t>Charras, K., &amp; Frémontier, M. (2010). Sh</w:t>
      </w:r>
      <w:r w:rsidR="00114BDC">
        <w:t>aring meals with institutionalis</w:t>
      </w:r>
      <w:r w:rsidR="006F0CD2">
        <w:t xml:space="preserve">ed people with dementia: A natural experiment. </w:t>
      </w:r>
      <w:r w:rsidR="006F0CD2" w:rsidRPr="00114BDC">
        <w:rPr>
          <w:i/>
        </w:rPr>
        <w:t>Journal of Gerontological Social Work</w:t>
      </w:r>
      <w:r w:rsidR="00F84DFD">
        <w:rPr>
          <w:i/>
        </w:rPr>
        <w:t xml:space="preserve"> </w:t>
      </w:r>
      <w:r w:rsidR="00F84DFD">
        <w:t>[online]</w:t>
      </w:r>
      <w:r w:rsidR="006F0CD2">
        <w:t xml:space="preserve">, 53(5), 436-448. </w:t>
      </w:r>
      <w:r w:rsidR="00F84DFD">
        <w:t>[Accessed 06 September 2017]    </w:t>
      </w:r>
    </w:p>
    <w:p w14:paraId="5E4E5155" w14:textId="77777777" w:rsidR="00980CDF" w:rsidRDefault="00980CDF" w:rsidP="006F0CD2">
      <w:r>
        <w:t>A natural experiment investigates the impact of s</w:t>
      </w:r>
      <w:r w:rsidR="006F0CD2">
        <w:t>hared mealtimes</w:t>
      </w:r>
      <w:r>
        <w:t xml:space="preserve"> for people with dementia living in residential care. </w:t>
      </w:r>
    </w:p>
    <w:p w14:paraId="7D931C37" w14:textId="77777777" w:rsidR="006F0CD2" w:rsidRDefault="006F0CD2" w:rsidP="006F0CD2">
      <w:r>
        <w:t xml:space="preserve"> </w:t>
      </w:r>
    </w:p>
    <w:p w14:paraId="0FAE713B" w14:textId="64519C7C" w:rsidR="006F0CD2" w:rsidRDefault="00FE1F64" w:rsidP="006F0CD2">
      <w:r>
        <w:rPr>
          <w:b/>
        </w:rPr>
        <w:t xml:space="preserve">AJ: </w:t>
      </w:r>
      <w:r w:rsidR="006F0CD2">
        <w:t xml:space="preserve">Crogan, N. L., Dupler, A. E., Short, R., &amp; Heaton, G. (2013). Food choice can improve nursing home resident meal service satisfaction and nutritional status. </w:t>
      </w:r>
      <w:r w:rsidR="006F0CD2" w:rsidRPr="00114BDC">
        <w:rPr>
          <w:i/>
        </w:rPr>
        <w:t>Journal of Gerontological Nursing</w:t>
      </w:r>
      <w:r w:rsidR="00F84DFD">
        <w:rPr>
          <w:i/>
        </w:rPr>
        <w:t xml:space="preserve"> </w:t>
      </w:r>
      <w:r w:rsidR="00F84DFD">
        <w:t>[online]</w:t>
      </w:r>
      <w:r w:rsidR="006F0CD2" w:rsidRPr="00114BDC">
        <w:rPr>
          <w:i/>
        </w:rPr>
        <w:t>,</w:t>
      </w:r>
      <w:r w:rsidR="006F0CD2">
        <w:t xml:space="preserve"> 39(5), 38-45. </w:t>
      </w:r>
      <w:r w:rsidR="00F84DFD">
        <w:t>[Accessed 06 September 2017]    </w:t>
      </w:r>
    </w:p>
    <w:p w14:paraId="323A92AA" w14:textId="77777777" w:rsidR="00FD1320" w:rsidRDefault="006F0CD2" w:rsidP="006F0CD2">
      <w:r>
        <w:t xml:space="preserve">A </w:t>
      </w:r>
      <w:r w:rsidR="00980CDF">
        <w:t xml:space="preserve">two-group repeated measure design examines the feasibility of a </w:t>
      </w:r>
      <w:r>
        <w:t>food</w:t>
      </w:r>
      <w:r w:rsidR="00980CDF">
        <w:t xml:space="preserve">-based intervention focusing on food choice and the impact of this intervention on the nutritional status </w:t>
      </w:r>
      <w:r w:rsidR="00114BDC">
        <w:t xml:space="preserve">of residents in </w:t>
      </w:r>
      <w:r w:rsidR="00980CDF">
        <w:t>care home</w:t>
      </w:r>
      <w:r w:rsidR="00FD1320">
        <w:t>s.</w:t>
      </w:r>
    </w:p>
    <w:p w14:paraId="0C19605F" w14:textId="77777777" w:rsidR="00FD1320" w:rsidRDefault="00FD1320" w:rsidP="006F0CD2"/>
    <w:p w14:paraId="4492E378" w14:textId="51EA6936" w:rsidR="006F0CD2" w:rsidRDefault="00FE1F64" w:rsidP="006F0CD2">
      <w:r>
        <w:rPr>
          <w:b/>
        </w:rPr>
        <w:t xml:space="preserve">SR: </w:t>
      </w:r>
      <w:r w:rsidR="006F0CD2">
        <w:rPr>
          <w:rFonts w:hint="eastAsia"/>
        </w:rPr>
        <w:t xml:space="preserve">Green, S. M., Martin, H. J., Roberts, H. C., &amp; Sayer, A. A. (2011). A systematic review of the use of volunteers to improve mealtime care of adult patients or residents in institutional settings. </w:t>
      </w:r>
      <w:r w:rsidR="006F0CD2" w:rsidRPr="00114BDC">
        <w:rPr>
          <w:rFonts w:hint="eastAsia"/>
          <w:i/>
        </w:rPr>
        <w:t>Journal of Clinical Nursing</w:t>
      </w:r>
      <w:r w:rsidR="00F84DFD">
        <w:rPr>
          <w:i/>
        </w:rPr>
        <w:t xml:space="preserve"> </w:t>
      </w:r>
      <w:r w:rsidR="00F84DFD">
        <w:t>[online]</w:t>
      </w:r>
      <w:r w:rsidR="006F0CD2">
        <w:rPr>
          <w:rFonts w:hint="eastAsia"/>
        </w:rPr>
        <w:t>, 20(13</w:t>
      </w:r>
      <w:r w:rsidR="006F0CD2">
        <w:rPr>
          <w:rFonts w:hint="eastAsia"/>
        </w:rPr>
        <w:t>‐</w:t>
      </w:r>
      <w:r w:rsidR="006F0CD2">
        <w:rPr>
          <w:rFonts w:hint="eastAsia"/>
        </w:rPr>
        <w:t xml:space="preserve">14), 1810-1823. </w:t>
      </w:r>
      <w:r w:rsidR="00F84DFD">
        <w:t>[Accessed 30 August 2017]    </w:t>
      </w:r>
    </w:p>
    <w:p w14:paraId="522D4CF5" w14:textId="77777777" w:rsidR="006F0CD2" w:rsidRDefault="006F0CD2" w:rsidP="006F0CD2">
      <w:r>
        <w:t xml:space="preserve">Use of volunteers in mealtime care </w:t>
      </w:r>
      <w:r w:rsidR="00DE0D9E">
        <w:t xml:space="preserve">was explored in this systematic review of the literature. </w:t>
      </w:r>
    </w:p>
    <w:p w14:paraId="2EEE2F18" w14:textId="77777777" w:rsidR="00DE0D9E" w:rsidRDefault="00DE0D9E" w:rsidP="006F0CD2"/>
    <w:p w14:paraId="02916844" w14:textId="34F46897" w:rsidR="006F0CD2" w:rsidRDefault="00FE1F64" w:rsidP="006F0CD2">
      <w:r>
        <w:rPr>
          <w:b/>
        </w:rPr>
        <w:lastRenderedPageBreak/>
        <w:t xml:space="preserve">AJ: </w:t>
      </w:r>
      <w:r w:rsidR="006F0CD2">
        <w:t xml:space="preserve">Kenkmann, A., Price, G. M., Bolton, J., &amp; Hooper, L. (2010). Health, wellbeing and nutritional status of older people living in UK care homes: An exploratory evaluation of changes in food and drink provision. </w:t>
      </w:r>
      <w:r w:rsidR="006F0CD2" w:rsidRPr="00114BDC">
        <w:rPr>
          <w:i/>
        </w:rPr>
        <w:t>BMC Geriatrics</w:t>
      </w:r>
      <w:r w:rsidR="00F84DFD">
        <w:rPr>
          <w:i/>
        </w:rPr>
        <w:t xml:space="preserve"> </w:t>
      </w:r>
      <w:r w:rsidR="00F84DFD">
        <w:t>[online]</w:t>
      </w:r>
      <w:r w:rsidR="006F0CD2">
        <w:t xml:space="preserve">, 10, 28-28. </w:t>
      </w:r>
      <w:r w:rsidR="00F84DFD">
        <w:t>[Accessed 06 September 2017]    </w:t>
      </w:r>
    </w:p>
    <w:p w14:paraId="1F59A331" w14:textId="77777777" w:rsidR="00DE0D9E" w:rsidRDefault="006F0CD2" w:rsidP="006F0CD2">
      <w:r>
        <w:t>Th</w:t>
      </w:r>
      <w:r w:rsidR="00DE0D9E">
        <w:t xml:space="preserve">e impact on the health of care home residents of an </w:t>
      </w:r>
      <w:r>
        <w:t>intervention in UK care homes</w:t>
      </w:r>
      <w:r w:rsidR="00114BDC">
        <w:t xml:space="preserve"> is investigated in this study. The intervention comprises </w:t>
      </w:r>
      <w:r>
        <w:t>of improved dining atmosphere, greater food choice, extended restaurant hou</w:t>
      </w:r>
      <w:r w:rsidR="00114BDC">
        <w:t>rs, and readily available snack</w:t>
      </w:r>
      <w:r>
        <w:t xml:space="preserve"> and drink</w:t>
      </w:r>
      <w:r w:rsidR="00114BDC">
        <w:t xml:space="preserve"> machines.</w:t>
      </w:r>
    </w:p>
    <w:p w14:paraId="4CD641E7" w14:textId="77777777" w:rsidR="00DE0D9E" w:rsidRDefault="00DE0D9E" w:rsidP="006F0CD2"/>
    <w:p w14:paraId="52AB271D" w14:textId="67DB7DCB" w:rsidR="006F0CD2" w:rsidRDefault="00FE1F64" w:rsidP="006F0CD2">
      <w:r>
        <w:rPr>
          <w:b/>
        </w:rPr>
        <w:t xml:space="preserve">AJ: </w:t>
      </w:r>
      <w:r w:rsidR="006F0CD2">
        <w:t xml:space="preserve">Mamhidir, A., Karlsson, I., Norberg, A., &amp; Mona, K. (2007). Weight increase in patients with dementia, and alteration in meal routines and meal environment after integrity promoting care. </w:t>
      </w:r>
      <w:r w:rsidR="006F0CD2" w:rsidRPr="00114BDC">
        <w:rPr>
          <w:i/>
        </w:rPr>
        <w:t>Journal of Clinical Nursing</w:t>
      </w:r>
      <w:r w:rsidR="00F84DFD">
        <w:rPr>
          <w:i/>
        </w:rPr>
        <w:t xml:space="preserve"> </w:t>
      </w:r>
      <w:r w:rsidR="00F84DFD">
        <w:t>[online]</w:t>
      </w:r>
      <w:r w:rsidR="006F0CD2">
        <w:t xml:space="preserve">, 16(5), 987-996. </w:t>
      </w:r>
      <w:r w:rsidR="00F84DFD">
        <w:t>[Accessed 30 August 2017]    </w:t>
      </w:r>
    </w:p>
    <w:p w14:paraId="0B086878" w14:textId="77777777" w:rsidR="00DE0D9E" w:rsidRDefault="00DE0D9E" w:rsidP="006F0CD2">
      <w:r>
        <w:t>Effects of altering the mealtime environment on the w</w:t>
      </w:r>
      <w:r w:rsidR="006F0CD2">
        <w:t>eight</w:t>
      </w:r>
      <w:r>
        <w:t xml:space="preserve"> of people with dementia living in a care home.</w:t>
      </w:r>
    </w:p>
    <w:p w14:paraId="5C9C6A68" w14:textId="77777777" w:rsidR="006F0CD2" w:rsidRDefault="006F0CD2" w:rsidP="006F0CD2">
      <w:r>
        <w:t xml:space="preserve"> </w:t>
      </w:r>
    </w:p>
    <w:p w14:paraId="77AAF510" w14:textId="67DF4A41" w:rsidR="006F0CD2" w:rsidRDefault="00FE1F64" w:rsidP="006F0CD2">
      <w:r>
        <w:rPr>
          <w:b/>
        </w:rPr>
        <w:t xml:space="preserve">AJ: </w:t>
      </w:r>
      <w:r w:rsidR="006F0CD2">
        <w:t xml:space="preserve">Nijs, K. A., De Graaf, C., Siebelink, E., Blauw, Y. H., Vanneste, V., Kok, F. J., &amp; Van Staveren, W. A. (2006). Effect of family-style meals on energy intake and risk of malnutrition in </w:t>
      </w:r>
      <w:r>
        <w:t>Dutch</w:t>
      </w:r>
      <w:r w:rsidR="006F0CD2">
        <w:t xml:space="preserve"> nursing home residents: A randomized controlled trial. The </w:t>
      </w:r>
      <w:r w:rsidR="006F0CD2" w:rsidRPr="00E54C2A">
        <w:rPr>
          <w:i/>
        </w:rPr>
        <w:t>Journals of Gerontology Series A: Biological Sciences and Medical Sciences</w:t>
      </w:r>
      <w:r w:rsidR="00F84DFD">
        <w:rPr>
          <w:i/>
        </w:rPr>
        <w:t xml:space="preserve"> </w:t>
      </w:r>
      <w:r w:rsidR="00F84DFD">
        <w:t>[online]</w:t>
      </w:r>
      <w:r w:rsidR="006F0CD2">
        <w:t xml:space="preserve">, 61(9), 935-942. </w:t>
      </w:r>
      <w:r w:rsidR="00F84DFD">
        <w:t>[Accessed 13 September 2017]    </w:t>
      </w:r>
    </w:p>
    <w:p w14:paraId="74886C7B" w14:textId="77777777" w:rsidR="006F0CD2" w:rsidRDefault="00B23912" w:rsidP="006F0CD2">
      <w:r>
        <w:t>Effects of f</w:t>
      </w:r>
      <w:r w:rsidR="006F0CD2">
        <w:t xml:space="preserve">amily-style dining experience (relative to control) </w:t>
      </w:r>
      <w:r>
        <w:t xml:space="preserve">on the </w:t>
      </w:r>
      <w:r w:rsidR="006F0CD2">
        <w:t>risk of malnutrition (assessed with Mini Nutritional Assessment) and energy intake</w:t>
      </w:r>
      <w:r>
        <w:t xml:space="preserve"> is evaluated in this study</w:t>
      </w:r>
      <w:r w:rsidR="006F0CD2">
        <w:t xml:space="preserve">. </w:t>
      </w:r>
    </w:p>
    <w:p w14:paraId="30B6ACAF" w14:textId="77777777" w:rsidR="00B23912" w:rsidRDefault="00B23912" w:rsidP="006F0CD2"/>
    <w:p w14:paraId="6B0B951B" w14:textId="70438822" w:rsidR="006F0CD2" w:rsidRDefault="00FE1F64" w:rsidP="006F0CD2">
      <w:r>
        <w:rPr>
          <w:b/>
        </w:rPr>
        <w:t xml:space="preserve">AJ: </w:t>
      </w:r>
      <w:r w:rsidR="006F0CD2">
        <w:t xml:space="preserve">Parsons, E. L., Stratton, R. J., Cawood, A. L., Smith, T. R., &amp; Elia, M. (2017). Oral nutritional supplements in a randomised trial are more effective than dietary advice at improving quality of life in malnourished care home residents. </w:t>
      </w:r>
      <w:r w:rsidR="006F0CD2" w:rsidRPr="00E54C2A">
        <w:rPr>
          <w:i/>
        </w:rPr>
        <w:t>Clinical Nutrition</w:t>
      </w:r>
      <w:r w:rsidR="00F84DFD">
        <w:rPr>
          <w:i/>
        </w:rPr>
        <w:t xml:space="preserve"> </w:t>
      </w:r>
      <w:r w:rsidR="00F84DFD">
        <w:t>[online]</w:t>
      </w:r>
      <w:r w:rsidR="006F0CD2">
        <w:t xml:space="preserve">, 36(1), 134-142. </w:t>
      </w:r>
      <w:r w:rsidR="00F84DFD">
        <w:t>[Accessed 18 September 2017]    </w:t>
      </w:r>
    </w:p>
    <w:p w14:paraId="36641D5A" w14:textId="77777777" w:rsidR="00B23912" w:rsidRDefault="00B23912" w:rsidP="006F0CD2">
      <w:r>
        <w:t xml:space="preserve">Comparing the use of oral nutritional supplements </w:t>
      </w:r>
      <w:r w:rsidR="006F0CD2">
        <w:t xml:space="preserve">(relative to dietary advice) </w:t>
      </w:r>
      <w:r>
        <w:t xml:space="preserve">on </w:t>
      </w:r>
      <w:r w:rsidR="006F0CD2">
        <w:t>quality of life among residents in care home</w:t>
      </w:r>
      <w:r>
        <w:t>.</w:t>
      </w:r>
    </w:p>
    <w:p w14:paraId="39C6D8F1" w14:textId="77777777" w:rsidR="006F0CD2" w:rsidRDefault="006F0CD2" w:rsidP="006F0CD2">
      <w:r>
        <w:t xml:space="preserve"> </w:t>
      </w:r>
    </w:p>
    <w:p w14:paraId="1C7D67D3" w14:textId="73446FD8" w:rsidR="006F0CD2" w:rsidRDefault="00FE1F64" w:rsidP="006F0CD2">
      <w:r>
        <w:rPr>
          <w:b/>
        </w:rPr>
        <w:lastRenderedPageBreak/>
        <w:t xml:space="preserve">AJ: </w:t>
      </w:r>
      <w:r w:rsidR="006F0CD2">
        <w:rPr>
          <w:rFonts w:hint="eastAsia"/>
        </w:rPr>
        <w:t xml:space="preserve">Tse, M. M. Y. (2010). Therapeutic effects of an indoor gardening programme for older people living in nursing homes. </w:t>
      </w:r>
      <w:r w:rsidR="006F0CD2" w:rsidRPr="00E54C2A">
        <w:rPr>
          <w:rFonts w:hint="eastAsia"/>
          <w:i/>
        </w:rPr>
        <w:t>Journal of Clinical Nursing</w:t>
      </w:r>
      <w:r w:rsidR="00F84DFD">
        <w:rPr>
          <w:i/>
        </w:rPr>
        <w:t xml:space="preserve"> </w:t>
      </w:r>
      <w:r w:rsidR="00F84DFD">
        <w:t>[online]</w:t>
      </w:r>
      <w:r w:rsidR="006F0CD2">
        <w:rPr>
          <w:rFonts w:hint="eastAsia"/>
        </w:rPr>
        <w:t>, 19(7</w:t>
      </w:r>
      <w:r w:rsidR="006F0CD2">
        <w:rPr>
          <w:rFonts w:hint="eastAsia"/>
        </w:rPr>
        <w:t>‐</w:t>
      </w:r>
      <w:r w:rsidR="006F0CD2">
        <w:rPr>
          <w:rFonts w:hint="eastAsia"/>
        </w:rPr>
        <w:t xml:space="preserve">8), 949-958. </w:t>
      </w:r>
      <w:r w:rsidR="00F84DFD">
        <w:t>[Accessed 13 September 2017]    </w:t>
      </w:r>
    </w:p>
    <w:p w14:paraId="1204CE11" w14:textId="77777777" w:rsidR="00B23912" w:rsidRDefault="00B23912" w:rsidP="006F0CD2">
      <w:r>
        <w:t>Findings of an evaluation of an i</w:t>
      </w:r>
      <w:r w:rsidR="006F0CD2">
        <w:t xml:space="preserve">ndoor gardening programme </w:t>
      </w:r>
      <w:r>
        <w:t xml:space="preserve">on </w:t>
      </w:r>
      <w:r w:rsidR="006F0CD2">
        <w:t xml:space="preserve">loneliness and satisfaction </w:t>
      </w:r>
      <w:r>
        <w:t>is presented in this article.</w:t>
      </w:r>
    </w:p>
    <w:p w14:paraId="5D620F6E" w14:textId="77777777" w:rsidR="006F0CD2" w:rsidRDefault="006F0CD2" w:rsidP="006F0CD2">
      <w:r>
        <w:t xml:space="preserve"> </w:t>
      </w:r>
    </w:p>
    <w:p w14:paraId="15F6E414" w14:textId="60FA2126" w:rsidR="006F0CD2" w:rsidRDefault="00FE1F64" w:rsidP="006F0CD2">
      <w:r>
        <w:rPr>
          <w:b/>
        </w:rPr>
        <w:t xml:space="preserve">SR: </w:t>
      </w:r>
      <w:r w:rsidR="006F0CD2">
        <w:t xml:space="preserve">Whear, R., Abbott, R., Thompson-Coon, J., Bethel, A., Rogers, M., Hemsley, A., . . . Stein, K. (2014). Effectiveness of mealtime interventions on behavior symptoms of people with dementia living in care homes: A systematic review. </w:t>
      </w:r>
      <w:r w:rsidR="006F0CD2" w:rsidRPr="00E54C2A">
        <w:rPr>
          <w:i/>
        </w:rPr>
        <w:t>Journal of the American Medical Directors Association</w:t>
      </w:r>
      <w:r w:rsidR="00F84DFD">
        <w:rPr>
          <w:i/>
        </w:rPr>
        <w:t xml:space="preserve"> </w:t>
      </w:r>
      <w:r w:rsidR="00F84DFD">
        <w:t>[online]</w:t>
      </w:r>
      <w:r w:rsidR="006F0CD2">
        <w:t xml:space="preserve">, 15(3), 185-193. </w:t>
      </w:r>
      <w:r w:rsidR="00F84DFD">
        <w:t>[Accessed 30 August 2017]    </w:t>
      </w:r>
    </w:p>
    <w:p w14:paraId="3B988312" w14:textId="2B08B146" w:rsidR="006F0CD2" w:rsidRDefault="00E54C2A" w:rsidP="006F0CD2">
      <w:r>
        <w:t>This review</w:t>
      </w:r>
      <w:r w:rsidR="00B23912">
        <w:t xml:space="preserve"> appraises the evidence o</w:t>
      </w:r>
      <w:r>
        <w:t>n</w:t>
      </w:r>
      <w:r w:rsidR="00B23912">
        <w:t xml:space="preserve"> the use </w:t>
      </w:r>
      <w:r>
        <w:t xml:space="preserve">of </w:t>
      </w:r>
      <w:r w:rsidR="00B23912">
        <w:t>m</w:t>
      </w:r>
      <w:r w:rsidR="006F0CD2">
        <w:t xml:space="preserve">ealtime interventions </w:t>
      </w:r>
      <w:r w:rsidR="00B23912">
        <w:t xml:space="preserve">on </w:t>
      </w:r>
      <w:r>
        <w:t>the behavioural</w:t>
      </w:r>
      <w:r w:rsidR="006F0CD2">
        <w:t xml:space="preserve"> symptoms of people with dementia. </w:t>
      </w:r>
    </w:p>
    <w:p w14:paraId="0785A04D" w14:textId="0650CA34" w:rsidR="00FE1F64" w:rsidRDefault="00FE1F64" w:rsidP="006F0CD2"/>
    <w:p w14:paraId="6469D2E1" w14:textId="520B6659" w:rsidR="00FE1F64" w:rsidRDefault="00FE1F64" w:rsidP="00FE1F64">
      <w:pPr>
        <w:pStyle w:val="Heading3"/>
      </w:pPr>
      <w:bookmarkStart w:id="22" w:name="_Toc499814936"/>
      <w:r>
        <w:t>S</w:t>
      </w:r>
      <w:r w:rsidR="004C46B5">
        <w:t>ummary</w:t>
      </w:r>
      <w:bookmarkEnd w:id="22"/>
    </w:p>
    <w:p w14:paraId="75D729F8" w14:textId="439659D9" w:rsidR="00FE1F64" w:rsidRDefault="00E6240D" w:rsidP="00FE1F64">
      <w:r>
        <w:t>•M</w:t>
      </w:r>
      <w:r w:rsidR="00FE1F64">
        <w:t xml:space="preserve">ealtime interventions such as music, changes to food service, dining environment alteration, and group conversation tend to improve behavioural symptoms of people with dementia, although study quality </w:t>
      </w:r>
      <w:r>
        <w:t>i</w:t>
      </w:r>
      <w:r w:rsidR="00FE1F64">
        <w:t>s assessed to be poor, limiting the generalisability of t</w:t>
      </w:r>
      <w:r>
        <w:t>he findings</w:t>
      </w:r>
      <w:r w:rsidR="00FE1F64">
        <w:t>.</w:t>
      </w:r>
    </w:p>
    <w:p w14:paraId="5A71F380" w14:textId="6D82EE04" w:rsidR="00FE1F64" w:rsidRDefault="00FE1F64" w:rsidP="00FE1F64">
      <w:r>
        <w:t>•</w:t>
      </w:r>
      <w:r w:rsidR="00E6240D">
        <w:t>B</w:t>
      </w:r>
      <w:r>
        <w:t>eneficial interventions to reduce malnutrition in nursing home</w:t>
      </w:r>
      <w:r w:rsidR="00E6240D">
        <w:t xml:space="preserve">s </w:t>
      </w:r>
      <w:r>
        <w:t>include dietary supplements, greater resident role in food choice, and staff training programmes</w:t>
      </w:r>
      <w:r w:rsidR="00E6240D">
        <w:t>.</w:t>
      </w:r>
    </w:p>
    <w:p w14:paraId="60974F56" w14:textId="028EC002" w:rsidR="00FE1F64" w:rsidRDefault="00FE1F64" w:rsidP="00FE1F64">
      <w:r>
        <w:t xml:space="preserve">•There is some evidence that volunteers can improve mealtime care of residents in institutional </w:t>
      </w:r>
      <w:r w:rsidR="00DE47B9">
        <w:t xml:space="preserve">care </w:t>
      </w:r>
      <w:r>
        <w:t>settings by increasing satisfaction of patient</w:t>
      </w:r>
      <w:r w:rsidR="00DE47B9">
        <w:t xml:space="preserve">s, relatives </w:t>
      </w:r>
      <w:r>
        <w:t xml:space="preserve">and staff </w:t>
      </w:r>
      <w:r w:rsidR="00DE47B9">
        <w:t xml:space="preserve">in relation to </w:t>
      </w:r>
      <w:r>
        <w:t>meal-time assistance. However, few well designed studies</w:t>
      </w:r>
      <w:r w:rsidR="00DE47B9">
        <w:t xml:space="preserve"> support this</w:t>
      </w:r>
      <w:r>
        <w:t xml:space="preserve">. </w:t>
      </w:r>
    </w:p>
    <w:p w14:paraId="27CB8E47" w14:textId="50D97A8D" w:rsidR="00FE1F64" w:rsidRDefault="00FE1F64" w:rsidP="00FE1F64">
      <w:r>
        <w:t>•Indoor gardening programme decreases loneliness and improves satisfaction among</w:t>
      </w:r>
      <w:r w:rsidR="00E6240D">
        <w:t xml:space="preserve"> care home residents.</w:t>
      </w:r>
    </w:p>
    <w:p w14:paraId="471E132F" w14:textId="45C00FE3" w:rsidR="00FE1F64" w:rsidRDefault="00FE1F64" w:rsidP="00FE1F64">
      <w:r>
        <w:t xml:space="preserve">•Oral nutritional supplements </w:t>
      </w:r>
      <w:r w:rsidR="00E6240D">
        <w:t xml:space="preserve">(ONS) </w:t>
      </w:r>
      <w:r>
        <w:t>relative to dietary adv</w:t>
      </w:r>
      <w:r w:rsidR="00E6240D">
        <w:t>ice</w:t>
      </w:r>
      <w:r>
        <w:t xml:space="preserve"> improves quality of life among residents in a c</w:t>
      </w:r>
      <w:r w:rsidR="00E6240D">
        <w:t xml:space="preserve">are home </w:t>
      </w:r>
      <w:r>
        <w:t>and use of ONS may have an impact in reducing healthcare cost by reducing mal</w:t>
      </w:r>
      <w:r w:rsidR="00E6240D">
        <w:t>nutrition</w:t>
      </w:r>
      <w:r>
        <w:t xml:space="preserve">. </w:t>
      </w:r>
    </w:p>
    <w:p w14:paraId="67D2C04C" w14:textId="485BA459" w:rsidR="00FE1F64" w:rsidRDefault="00FE1F64" w:rsidP="00FE1F64">
      <w:r>
        <w:t>•Shared mealtimes improve weight gain among care home residents and improves nutritional experiences of residents and carers.</w:t>
      </w:r>
    </w:p>
    <w:p w14:paraId="1B2815BA" w14:textId="609E9997" w:rsidR="00FE1F64" w:rsidRDefault="00FE1F64" w:rsidP="00FE1F64">
      <w:r>
        <w:t>•Improvement in meal environments improves weight among r</w:t>
      </w:r>
      <w:r w:rsidR="00E6240D">
        <w:t>esidents</w:t>
      </w:r>
      <w:r>
        <w:t>.</w:t>
      </w:r>
    </w:p>
    <w:p w14:paraId="64E91F08" w14:textId="356EA0D9" w:rsidR="006F0CD2" w:rsidRDefault="00FE1F64" w:rsidP="006F0CD2">
      <w:r>
        <w:lastRenderedPageBreak/>
        <w:t>•Family-style dining experience reduces risk of malnutrition and inc</w:t>
      </w:r>
      <w:r w:rsidR="00E6240D">
        <w:t>reases energy intake.</w:t>
      </w:r>
    </w:p>
    <w:p w14:paraId="422CD4CE" w14:textId="77777777" w:rsidR="00E6240D" w:rsidRDefault="00E6240D" w:rsidP="006F0CD2"/>
    <w:p w14:paraId="62993179" w14:textId="05059BD3" w:rsidR="00DE47B9" w:rsidRDefault="00DE47B9" w:rsidP="00DE47B9">
      <w:pPr>
        <w:pStyle w:val="Heading2"/>
      </w:pPr>
      <w:bookmarkStart w:id="23" w:name="_Toc499814937"/>
      <w:r>
        <w:t>Hospital setting</w:t>
      </w:r>
      <w:bookmarkEnd w:id="23"/>
    </w:p>
    <w:p w14:paraId="7E6AF35F" w14:textId="4C229CD0" w:rsidR="006F0CD2" w:rsidRDefault="00254307" w:rsidP="006F0CD2">
      <w:r>
        <w:rPr>
          <w:b/>
        </w:rPr>
        <w:t xml:space="preserve">AJ: </w:t>
      </w:r>
      <w:r w:rsidR="006F0CD2">
        <w:t xml:space="preserve">Chan, J., &amp; Carpenter, C. (2015). An evaluation of a pilot protected mealtime program in a </w:t>
      </w:r>
      <w:r w:rsidR="00DE47B9">
        <w:t>Canadian</w:t>
      </w:r>
      <w:r w:rsidR="006F0CD2">
        <w:t xml:space="preserve"> hospital. </w:t>
      </w:r>
      <w:r w:rsidR="006F0CD2" w:rsidRPr="00E54C2A">
        <w:rPr>
          <w:i/>
        </w:rPr>
        <w:t>Canadian Journal of Dietetic Practice and Research</w:t>
      </w:r>
      <w:r w:rsidR="00F84DFD">
        <w:rPr>
          <w:i/>
        </w:rPr>
        <w:t xml:space="preserve"> </w:t>
      </w:r>
      <w:r w:rsidR="00F84DFD">
        <w:t>[online]</w:t>
      </w:r>
      <w:r w:rsidR="006F0CD2">
        <w:t>, 76(2), 81-85.</w:t>
      </w:r>
      <w:r w:rsidR="00F84DFD">
        <w:t xml:space="preserve"> [Accessed 13 September 2017]    </w:t>
      </w:r>
      <w:r w:rsidR="006F0CD2">
        <w:t xml:space="preserve"> </w:t>
      </w:r>
    </w:p>
    <w:p w14:paraId="680788BB" w14:textId="77777777" w:rsidR="006F0CD2" w:rsidRDefault="00B23912" w:rsidP="006F0CD2">
      <w:r>
        <w:t>Evaluation of the effect of a p</w:t>
      </w:r>
      <w:r w:rsidR="006F0CD2">
        <w:t xml:space="preserve">rotected mealtime programme in a hospital </w:t>
      </w:r>
      <w:r>
        <w:t xml:space="preserve">on </w:t>
      </w:r>
      <w:r w:rsidR="006F0CD2">
        <w:t xml:space="preserve">mealtime experiences and patient care </w:t>
      </w:r>
    </w:p>
    <w:p w14:paraId="04156CA4" w14:textId="77777777" w:rsidR="00B23912" w:rsidRDefault="00B23912" w:rsidP="006F0CD2"/>
    <w:p w14:paraId="44F588F9" w14:textId="0F9499E3" w:rsidR="006F0CD2" w:rsidRDefault="00254307" w:rsidP="006F0CD2">
      <w:r>
        <w:rPr>
          <w:b/>
        </w:rPr>
        <w:t xml:space="preserve">AJ: </w:t>
      </w:r>
      <w:r w:rsidR="006F0CD2">
        <w:t xml:space="preserve">Hope, K., Ferguson, M., Reidlinger, D. P., &amp; Agarwal, E. (2017). “I don’t eat when I’m sick”: Older people’s food and mealtime experiences in hospital. </w:t>
      </w:r>
      <w:r w:rsidR="006F0CD2" w:rsidRPr="00E54C2A">
        <w:rPr>
          <w:i/>
        </w:rPr>
        <w:t>Maturitas</w:t>
      </w:r>
      <w:r w:rsidR="00F84DFD">
        <w:rPr>
          <w:i/>
        </w:rPr>
        <w:t xml:space="preserve"> </w:t>
      </w:r>
      <w:r w:rsidR="00F84DFD">
        <w:t>[online]</w:t>
      </w:r>
      <w:r w:rsidR="006F0CD2">
        <w:t xml:space="preserve">, 97, 6-13. </w:t>
      </w:r>
      <w:r w:rsidR="00F84DFD">
        <w:t>[Accessed 13 September 2017]   </w:t>
      </w:r>
    </w:p>
    <w:p w14:paraId="1A94978B" w14:textId="77777777" w:rsidR="006F0CD2" w:rsidRDefault="0081577A" w:rsidP="0081577A">
      <w:r>
        <w:t xml:space="preserve">The factors leading to poor </w:t>
      </w:r>
      <w:r w:rsidR="006F0CD2">
        <w:t xml:space="preserve">dietary intake </w:t>
      </w:r>
      <w:r>
        <w:t xml:space="preserve">among </w:t>
      </w:r>
      <w:r w:rsidR="006F0CD2">
        <w:t xml:space="preserve">older hospital patients </w:t>
      </w:r>
      <w:r>
        <w:t xml:space="preserve">were explored in this qualitative research. </w:t>
      </w:r>
    </w:p>
    <w:p w14:paraId="5186763A" w14:textId="77777777" w:rsidR="0081577A" w:rsidRDefault="0081577A" w:rsidP="0081577A"/>
    <w:p w14:paraId="2E727AE5" w14:textId="16F4DB11" w:rsidR="006F0CD2" w:rsidRDefault="00254307" w:rsidP="006F0CD2">
      <w:r>
        <w:rPr>
          <w:b/>
        </w:rPr>
        <w:t xml:space="preserve">AJ: </w:t>
      </w:r>
      <w:r w:rsidR="006F0CD2">
        <w:t xml:space="preserve">Huang, C., Dutkowski, K., Fuller, A., &amp; Walton, K. (2015). Evaluation of a pilot volunteer feeding assistance program: Influences on the dietary intakes of elderly hospitalised patients and lessons learnt. </w:t>
      </w:r>
      <w:r w:rsidR="006F0CD2" w:rsidRPr="00E54C2A">
        <w:rPr>
          <w:i/>
        </w:rPr>
        <w:t>The Journal of Nutrition, Health &amp; Aging</w:t>
      </w:r>
      <w:r w:rsidR="00F84DFD">
        <w:t xml:space="preserve"> [online]</w:t>
      </w:r>
      <w:r w:rsidR="006F0CD2">
        <w:t xml:space="preserve">, 19(2), 206-210. </w:t>
      </w:r>
      <w:r w:rsidR="00F84DFD">
        <w:t>[Accessed 30 August 2017]    </w:t>
      </w:r>
    </w:p>
    <w:p w14:paraId="78E16546" w14:textId="77777777" w:rsidR="0081577A" w:rsidRDefault="0081577A" w:rsidP="006F0CD2">
      <w:r>
        <w:t>This study evaluated the effects of a v</w:t>
      </w:r>
      <w:r w:rsidR="006F0CD2">
        <w:t xml:space="preserve">olunteer feeding assistance programme </w:t>
      </w:r>
      <w:r>
        <w:t xml:space="preserve">on dietary intake </w:t>
      </w:r>
      <w:r w:rsidR="00E54C2A">
        <w:t xml:space="preserve">of </w:t>
      </w:r>
      <w:r w:rsidR="006F0CD2">
        <w:t xml:space="preserve">older </w:t>
      </w:r>
      <w:r>
        <w:t>inpatients</w:t>
      </w:r>
    </w:p>
    <w:p w14:paraId="79F73692" w14:textId="77777777" w:rsidR="006F0CD2" w:rsidRDefault="006F0CD2" w:rsidP="006F0CD2">
      <w:r>
        <w:t xml:space="preserve"> </w:t>
      </w:r>
    </w:p>
    <w:p w14:paraId="1BF580E4" w14:textId="5E57411D" w:rsidR="006F0CD2" w:rsidRDefault="00254307" w:rsidP="006F0CD2">
      <w:r>
        <w:rPr>
          <w:b/>
        </w:rPr>
        <w:t xml:space="preserve">SR: </w:t>
      </w:r>
      <w:r w:rsidR="006F0CD2">
        <w:t xml:space="preserve">Hubbard, G. P., Elia, M., Holdoway, A., &amp; Stratton, R. J. (2012). A systematic review of compliance to oral nutritional supplements. </w:t>
      </w:r>
      <w:r w:rsidR="006F0CD2" w:rsidRPr="00E54C2A">
        <w:rPr>
          <w:i/>
        </w:rPr>
        <w:t>Clinical Nutrition</w:t>
      </w:r>
      <w:r w:rsidR="00F84DFD">
        <w:rPr>
          <w:i/>
        </w:rPr>
        <w:t xml:space="preserve"> </w:t>
      </w:r>
      <w:r w:rsidR="00F84DFD">
        <w:t>[online]</w:t>
      </w:r>
      <w:r w:rsidR="006F0CD2">
        <w:t xml:space="preserve">, 31(3), 293-312. </w:t>
      </w:r>
      <w:r w:rsidR="00F84DFD">
        <w:t>[Accessed 15 September 2017]    </w:t>
      </w:r>
    </w:p>
    <w:p w14:paraId="345E7C6D" w14:textId="77777777" w:rsidR="0081577A" w:rsidRDefault="0081577A" w:rsidP="006F0CD2">
      <w:r>
        <w:t xml:space="preserve">This review summarises the findings of previous studies on patient compliance with oral nutritional supplements. </w:t>
      </w:r>
    </w:p>
    <w:p w14:paraId="2C50762A" w14:textId="3B1AD8E9" w:rsidR="006F0CD2" w:rsidRDefault="00254307" w:rsidP="006F0CD2">
      <w:r>
        <w:rPr>
          <w:b/>
        </w:rPr>
        <w:t xml:space="preserve">AJ: </w:t>
      </w:r>
      <w:r w:rsidR="006F0CD2">
        <w:t xml:space="preserve">Porter, J., Haines, T. P., &amp; Truby, H. (2017). The efficacy of protected mealtimes in hospitalised patients: A stepped wedge cluster randomised controlled trial. </w:t>
      </w:r>
      <w:r w:rsidR="006F0CD2" w:rsidRPr="00E54C2A">
        <w:rPr>
          <w:i/>
        </w:rPr>
        <w:t>BMC Medicine</w:t>
      </w:r>
      <w:r w:rsidR="00F84DFD">
        <w:rPr>
          <w:i/>
        </w:rPr>
        <w:t xml:space="preserve"> </w:t>
      </w:r>
      <w:r w:rsidR="00F84DFD">
        <w:t>[online]</w:t>
      </w:r>
      <w:r w:rsidR="006F0CD2">
        <w:t xml:space="preserve">, 15(1), 25. </w:t>
      </w:r>
      <w:r w:rsidR="00F84DFD">
        <w:t>[Accessed 10 September 2017]    </w:t>
      </w:r>
    </w:p>
    <w:p w14:paraId="25D1F4A3" w14:textId="2AFCA518" w:rsidR="006F0CD2" w:rsidRDefault="00DE47B9" w:rsidP="006F0CD2">
      <w:r>
        <w:lastRenderedPageBreak/>
        <w:t>A randomis</w:t>
      </w:r>
      <w:r w:rsidR="0081577A">
        <w:t>ed controlled trial to assess the effect of a p</w:t>
      </w:r>
      <w:r w:rsidR="006F0CD2">
        <w:t xml:space="preserve">rotected mealtime intervention </w:t>
      </w:r>
      <w:r w:rsidR="0081577A">
        <w:t xml:space="preserve">on energy and protein intake of patients in subacute </w:t>
      </w:r>
      <w:r>
        <w:t xml:space="preserve">hospital </w:t>
      </w:r>
      <w:r w:rsidR="0081577A">
        <w:t>setting.</w:t>
      </w:r>
      <w:r w:rsidR="006F0CD2">
        <w:t xml:space="preserve"> </w:t>
      </w:r>
    </w:p>
    <w:p w14:paraId="02A2E0B8" w14:textId="77777777" w:rsidR="0081577A" w:rsidRDefault="0081577A" w:rsidP="006F0CD2"/>
    <w:p w14:paraId="3D939B9B" w14:textId="6B8C7539" w:rsidR="006F0CD2" w:rsidRDefault="00254307" w:rsidP="006F0CD2">
      <w:r>
        <w:rPr>
          <w:b/>
        </w:rPr>
        <w:t xml:space="preserve">AJ: </w:t>
      </w:r>
      <w:r w:rsidR="00E54C2A" w:rsidRPr="00E54C2A">
        <w:t xml:space="preserve">Robison, J., Pilgrim, A.L., Rood, G., Diaper, N., Elia, M., Jackson, A.A., Cooper, C., Aihie Sayer, A., Robinson, S. and Roberts, H.C. </w:t>
      </w:r>
      <w:r w:rsidR="006F0CD2">
        <w:t xml:space="preserve">(2015). Can trained volunteers make a difference at mealtimes for older people in hospital? A qualitative study of the views and experience of nurses, patients, relatives and volunteers in the Southampton mealtime assistance study. </w:t>
      </w:r>
      <w:r w:rsidR="006F0CD2" w:rsidRPr="00E54C2A">
        <w:rPr>
          <w:i/>
        </w:rPr>
        <w:t>International Journal of Older People Nursing</w:t>
      </w:r>
      <w:r w:rsidR="00F84DFD">
        <w:rPr>
          <w:i/>
        </w:rPr>
        <w:t xml:space="preserve"> </w:t>
      </w:r>
      <w:r w:rsidR="00F84DFD">
        <w:t>[online]</w:t>
      </w:r>
      <w:r w:rsidR="006F0CD2">
        <w:t xml:space="preserve">, 10(2), 136-145. </w:t>
      </w:r>
      <w:r w:rsidR="00F84DFD">
        <w:t>[Accessed 16 September 2017]    </w:t>
      </w:r>
    </w:p>
    <w:p w14:paraId="62C55BF4" w14:textId="613DE3D6" w:rsidR="0089384F" w:rsidRDefault="0089384F" w:rsidP="0089384F">
      <w:r>
        <w:t xml:space="preserve">This qualitative study explores the impact of the use of volunteers in improving the meal experience of older hospitalised patients. </w:t>
      </w:r>
    </w:p>
    <w:p w14:paraId="1E5A6A00" w14:textId="5709C94B" w:rsidR="00254307" w:rsidRDefault="00254307" w:rsidP="0089384F"/>
    <w:p w14:paraId="2D7C2E85" w14:textId="592C3D69" w:rsidR="00254307" w:rsidRDefault="00254307" w:rsidP="00254307">
      <w:pPr>
        <w:pStyle w:val="Heading3"/>
      </w:pPr>
      <w:bookmarkStart w:id="24" w:name="_Toc499814938"/>
      <w:r>
        <w:t>S</w:t>
      </w:r>
      <w:r w:rsidR="00DE47B9">
        <w:t>ummary</w:t>
      </w:r>
      <w:bookmarkEnd w:id="24"/>
    </w:p>
    <w:p w14:paraId="6C92124E" w14:textId="0E52101F" w:rsidR="00254307" w:rsidRDefault="00254307" w:rsidP="00254307">
      <w:r>
        <w:t>•Protected mealtime programme improves mealtime experiences and patient care.</w:t>
      </w:r>
    </w:p>
    <w:p w14:paraId="3AD51DEB" w14:textId="7E2C0CA0" w:rsidR="00254307" w:rsidRDefault="00254307" w:rsidP="00254307">
      <w:r>
        <w:t>•Volunteer feeding assistance programme tends to improve the dietary intake of older people in hospital.</w:t>
      </w:r>
    </w:p>
    <w:p w14:paraId="1CE98349" w14:textId="5FBED2D7" w:rsidR="00254307" w:rsidRDefault="00254307" w:rsidP="00254307">
      <w:r>
        <w:t>•Trained volunteers positively impact on mealtime experiences of older people in hospitals.</w:t>
      </w:r>
    </w:p>
    <w:p w14:paraId="455E42DD" w14:textId="26E6D0B3" w:rsidR="00254307" w:rsidRDefault="00254307" w:rsidP="00254307">
      <w:r>
        <w:t>•There is some evidence of good patient compliance with ONS in healthcare settings.</w:t>
      </w:r>
    </w:p>
    <w:p w14:paraId="48659DE5" w14:textId="2483D980" w:rsidR="006F0CD2" w:rsidRDefault="006F0CD2" w:rsidP="006F0CD2"/>
    <w:p w14:paraId="7F9D49C5" w14:textId="6C6FF7F6" w:rsidR="00DE47B9" w:rsidRDefault="00DE47B9" w:rsidP="00DE47B9">
      <w:pPr>
        <w:pStyle w:val="Heading2"/>
      </w:pPr>
      <w:bookmarkStart w:id="25" w:name="_Toc499814939"/>
      <w:r>
        <w:t>Community setting</w:t>
      </w:r>
      <w:bookmarkEnd w:id="25"/>
    </w:p>
    <w:p w14:paraId="7BA2C44F" w14:textId="324DFA23" w:rsidR="006F0CD2" w:rsidRDefault="000F26FB" w:rsidP="006F0CD2">
      <w:r>
        <w:rPr>
          <w:b/>
        </w:rPr>
        <w:t xml:space="preserve">AJ: </w:t>
      </w:r>
      <w:r w:rsidR="006F0CD2">
        <w:rPr>
          <w:rFonts w:hint="eastAsia"/>
        </w:rPr>
        <w:t xml:space="preserve">Burke, D., Jennings, M., McClinchy, J., Masey, H., Westwood, D., &amp; Dickinson, A. (2011). Community luncheon clubs benefit the </w:t>
      </w:r>
      <w:r w:rsidR="00E54C2A">
        <w:rPr>
          <w:rFonts w:hint="eastAsia"/>
        </w:rPr>
        <w:t>nutritional and social wel</w:t>
      </w:r>
      <w:r w:rsidR="00E54C2A">
        <w:t>l</w:t>
      </w:r>
      <w:r w:rsidR="006F0CD2">
        <w:rPr>
          <w:rFonts w:hint="eastAsia"/>
        </w:rPr>
        <w:t xml:space="preserve">being of free living older people. </w:t>
      </w:r>
      <w:r w:rsidR="006F0CD2" w:rsidRPr="00E54C2A">
        <w:rPr>
          <w:rFonts w:hint="eastAsia"/>
          <w:i/>
        </w:rPr>
        <w:t>Journal of Human Nutrition and Dietetics</w:t>
      </w:r>
      <w:r w:rsidR="00F84DFD">
        <w:rPr>
          <w:i/>
        </w:rPr>
        <w:t xml:space="preserve"> [</w:t>
      </w:r>
      <w:r w:rsidR="00F84DFD">
        <w:t>online]</w:t>
      </w:r>
      <w:r w:rsidR="006F0CD2">
        <w:rPr>
          <w:rFonts w:hint="eastAsia"/>
        </w:rPr>
        <w:t xml:space="preserve">, 24(3), 278-278. </w:t>
      </w:r>
      <w:r w:rsidR="00F84DFD">
        <w:t>[Accessed 13 September 2017]    </w:t>
      </w:r>
    </w:p>
    <w:p w14:paraId="2E51F5A0" w14:textId="77777777" w:rsidR="008059F4" w:rsidRDefault="008059F4" w:rsidP="006F0CD2">
      <w:r>
        <w:t>This study investigates the effect of meals provided in the community on the health and wellbeing of older people living in the community.</w:t>
      </w:r>
    </w:p>
    <w:p w14:paraId="1948B665" w14:textId="77777777" w:rsidR="008059F4" w:rsidRDefault="008059F4" w:rsidP="006F0CD2"/>
    <w:p w14:paraId="158A0E2C" w14:textId="3CB0FB1D" w:rsidR="006F0CD2" w:rsidRDefault="00DE47B9" w:rsidP="006F0CD2">
      <w:r>
        <w:rPr>
          <w:b/>
        </w:rPr>
        <w:t>SR</w:t>
      </w:r>
      <w:r w:rsidR="000F26FB">
        <w:rPr>
          <w:b/>
        </w:rPr>
        <w:t xml:space="preserve">: </w:t>
      </w:r>
      <w:r w:rsidR="006F0CD2">
        <w:t xml:space="preserve">Campbell, A. D., Godfryd, A., Buys, D. R., &amp; Locher, J. L. (2015). Does participation in home-delivered meals programs improve outcomes for older adults? </w:t>
      </w:r>
      <w:r w:rsidR="009679EC">
        <w:lastRenderedPageBreak/>
        <w:t>Results</w:t>
      </w:r>
      <w:r w:rsidR="006F0CD2">
        <w:t xml:space="preserve"> of a systematic review</w:t>
      </w:r>
      <w:r w:rsidR="006F0CD2" w:rsidRPr="00E54C2A">
        <w:rPr>
          <w:i/>
        </w:rPr>
        <w:t>. Journal of Nutrition in Gerontology and Geriatrics</w:t>
      </w:r>
      <w:r w:rsidR="00F84DFD">
        <w:rPr>
          <w:i/>
        </w:rPr>
        <w:t xml:space="preserve"> </w:t>
      </w:r>
      <w:r w:rsidR="00F84DFD">
        <w:t>[online]</w:t>
      </w:r>
      <w:r w:rsidR="006F0CD2">
        <w:t xml:space="preserve">, 34(2), 124-167. </w:t>
      </w:r>
      <w:r w:rsidR="00F84DFD">
        <w:t>[Accessed 30 August 2017]    </w:t>
      </w:r>
    </w:p>
    <w:p w14:paraId="6C4E5A6A" w14:textId="77777777" w:rsidR="006F0CD2" w:rsidRDefault="008059F4" w:rsidP="006F0CD2">
      <w:r>
        <w:t xml:space="preserve">This review appraises the literature on the effect of home-delivered meals on the health of older people living in the community. </w:t>
      </w:r>
    </w:p>
    <w:p w14:paraId="14EF89B3" w14:textId="77777777" w:rsidR="008059F4" w:rsidRDefault="008059F4" w:rsidP="006F0CD2"/>
    <w:p w14:paraId="44824ECD" w14:textId="184CCD4C" w:rsidR="006F0CD2" w:rsidRDefault="000F26FB" w:rsidP="006F0CD2">
      <w:r>
        <w:rPr>
          <w:b/>
        </w:rPr>
        <w:t xml:space="preserve">SR: </w:t>
      </w:r>
      <w:r w:rsidR="006F0CD2">
        <w:t>Elia, M., Normand, C., Lav</w:t>
      </w:r>
      <w:r w:rsidR="008059F4">
        <w:t xml:space="preserve">iano, A., &amp; Norman, K. (2016). </w:t>
      </w:r>
      <w:r w:rsidR="006F0CD2">
        <w:t xml:space="preserve">A systematic review of the cost and cost effectiveness of using standard oral nutritional supplements in community and care home settings. </w:t>
      </w:r>
      <w:r w:rsidR="006F0CD2" w:rsidRPr="00E54C2A">
        <w:rPr>
          <w:i/>
        </w:rPr>
        <w:t>Clinical Nutrition</w:t>
      </w:r>
      <w:r w:rsidR="00F84DFD">
        <w:rPr>
          <w:i/>
        </w:rPr>
        <w:t xml:space="preserve"> </w:t>
      </w:r>
      <w:r w:rsidR="00F84DFD">
        <w:t>[online]</w:t>
      </w:r>
      <w:r w:rsidR="006F0CD2">
        <w:t xml:space="preserve">, 35(1), 125-137. </w:t>
      </w:r>
      <w:r w:rsidR="00F84DFD">
        <w:t>[Accessed 13 September 2017]    </w:t>
      </w:r>
    </w:p>
    <w:p w14:paraId="5615DFD8" w14:textId="77777777" w:rsidR="006F0CD2" w:rsidRDefault="008059F4" w:rsidP="006F0CD2">
      <w:r>
        <w:t xml:space="preserve">This review examines the cost-effectiveness of oral nutritional supplements in improving the health of older people living in the community or care homes. </w:t>
      </w:r>
    </w:p>
    <w:p w14:paraId="2039455A" w14:textId="77777777" w:rsidR="008059F4" w:rsidRDefault="008059F4" w:rsidP="006F0CD2"/>
    <w:p w14:paraId="5026460A" w14:textId="33189A76" w:rsidR="006F0CD2" w:rsidRDefault="000F26FB" w:rsidP="006F0CD2">
      <w:r>
        <w:rPr>
          <w:b/>
        </w:rPr>
        <w:t xml:space="preserve">AJ: </w:t>
      </w:r>
      <w:r w:rsidR="006F0CD2">
        <w:t xml:space="preserve">Francis, S. L., MacNab, L., &amp; Shelley, M. (2014). A theory-based newsletter nutrition education program reduces nutritional risk and improves dietary intake for congregate meal participants. </w:t>
      </w:r>
      <w:r w:rsidR="006F0CD2" w:rsidRPr="00E54C2A">
        <w:rPr>
          <w:i/>
        </w:rPr>
        <w:t>Journal of Nutrition in Gerontology and Geriatrics</w:t>
      </w:r>
      <w:r w:rsidR="00F84DFD">
        <w:rPr>
          <w:i/>
        </w:rPr>
        <w:t xml:space="preserve"> </w:t>
      </w:r>
      <w:r w:rsidR="00F84DFD">
        <w:t>[online]</w:t>
      </w:r>
      <w:r w:rsidR="006F0CD2">
        <w:t xml:space="preserve">, 33(2), 91-107. </w:t>
      </w:r>
      <w:r w:rsidR="00F84DFD">
        <w:t>[Accessed 30 August 2017]    </w:t>
      </w:r>
    </w:p>
    <w:p w14:paraId="6759DE3F" w14:textId="77777777" w:rsidR="006F0CD2" w:rsidRDefault="008059F4" w:rsidP="006F0CD2">
      <w:r>
        <w:t>Evaluating the impact of t</w:t>
      </w:r>
      <w:r w:rsidR="006F0CD2">
        <w:t xml:space="preserve">heory-based Chef Charles (CC) programme (treatment) </w:t>
      </w:r>
      <w:r>
        <w:t xml:space="preserve">in </w:t>
      </w:r>
      <w:r w:rsidR="006F0CD2">
        <w:t xml:space="preserve">reducing nutritional risk and dietary practices </w:t>
      </w:r>
      <w:r>
        <w:t>against t</w:t>
      </w:r>
      <w:r w:rsidR="006F0CD2">
        <w:t>raditional CC program</w:t>
      </w:r>
      <w:r>
        <w:t>me</w:t>
      </w:r>
      <w:r w:rsidR="006F0CD2">
        <w:t xml:space="preserve">. </w:t>
      </w:r>
    </w:p>
    <w:p w14:paraId="7DB0174F" w14:textId="77777777" w:rsidR="008059F4" w:rsidRDefault="008059F4" w:rsidP="006F0CD2"/>
    <w:p w14:paraId="677B3EA3" w14:textId="0596B0E7" w:rsidR="006F0CD2" w:rsidRDefault="000F26FB" w:rsidP="006F0CD2">
      <w:r>
        <w:rPr>
          <w:b/>
        </w:rPr>
        <w:t xml:space="preserve">AJ: </w:t>
      </w:r>
      <w:r w:rsidR="006F0CD2">
        <w:t xml:space="preserve">Same, A., Lee, E. A. L., McNamara, B., &amp; Rosenwax, L. (2016). The value of a gardening service for the frail elderly and people with a disability living in the community. </w:t>
      </w:r>
      <w:r w:rsidR="006F0CD2" w:rsidRPr="00E54C2A">
        <w:rPr>
          <w:i/>
        </w:rPr>
        <w:t>Home Health Care Management &amp; Practice</w:t>
      </w:r>
      <w:r w:rsidR="00F84DFD">
        <w:rPr>
          <w:i/>
        </w:rPr>
        <w:t xml:space="preserve"> </w:t>
      </w:r>
      <w:r w:rsidR="00F84DFD">
        <w:t>[online]</w:t>
      </w:r>
      <w:r w:rsidR="006F0CD2">
        <w:t xml:space="preserve">, 28(4), 256-261. </w:t>
      </w:r>
      <w:r w:rsidR="00F84DFD">
        <w:t>[Accessed 17 September 2017]    </w:t>
      </w:r>
    </w:p>
    <w:p w14:paraId="7E1EE6AD" w14:textId="77777777" w:rsidR="008059F4" w:rsidRDefault="008059F4" w:rsidP="006F0CD2">
      <w:r>
        <w:t>The effects of a g</w:t>
      </w:r>
      <w:r w:rsidR="006F0CD2">
        <w:t xml:space="preserve">ardening programme </w:t>
      </w:r>
      <w:r>
        <w:t xml:space="preserve">on older people with disability residing in the community </w:t>
      </w:r>
      <w:r w:rsidR="009629E7">
        <w:t xml:space="preserve">were </w:t>
      </w:r>
      <w:r>
        <w:t xml:space="preserve">investigated through this research. </w:t>
      </w:r>
    </w:p>
    <w:p w14:paraId="02847788" w14:textId="77777777" w:rsidR="00E54C2A" w:rsidRDefault="00E54C2A" w:rsidP="006F0CD2"/>
    <w:p w14:paraId="2EEA5979" w14:textId="4AC0002D" w:rsidR="00E54C2A" w:rsidRDefault="000F26FB" w:rsidP="00E54C2A">
      <w:r>
        <w:rPr>
          <w:b/>
        </w:rPr>
        <w:t xml:space="preserve">AJ: </w:t>
      </w:r>
      <w:r w:rsidR="00E54C2A">
        <w:t xml:space="preserve">Wilson, A., &amp; Dennison, K. (2011). Meals on wheels service: Knowledge and perceptions of health professionals and older adults. </w:t>
      </w:r>
      <w:r w:rsidR="00E54C2A" w:rsidRPr="00E54C2A">
        <w:rPr>
          <w:i/>
        </w:rPr>
        <w:t>Nutrition &amp; Dietetics</w:t>
      </w:r>
      <w:r w:rsidR="00F84DFD">
        <w:rPr>
          <w:i/>
        </w:rPr>
        <w:t xml:space="preserve"> </w:t>
      </w:r>
      <w:r w:rsidR="00F84DFD">
        <w:t>[online]</w:t>
      </w:r>
      <w:r w:rsidR="00E54C2A">
        <w:t xml:space="preserve">, 68(2), 155-160. </w:t>
      </w:r>
      <w:r w:rsidR="00F84DFD">
        <w:t>[Accessed 30 August 2017]    </w:t>
      </w:r>
    </w:p>
    <w:p w14:paraId="6F775238" w14:textId="7C6C0071" w:rsidR="00E54C2A" w:rsidRDefault="00E54C2A" w:rsidP="00E54C2A">
      <w:r>
        <w:t xml:space="preserve">This mixed methods study explores the knowledge and perceptions of GPs, practice nurses and older adults </w:t>
      </w:r>
      <w:r w:rsidR="009629E7">
        <w:t xml:space="preserve">living </w:t>
      </w:r>
      <w:r>
        <w:t>in the community on a meals</w:t>
      </w:r>
      <w:r w:rsidR="00F84DFD">
        <w:t>-</w:t>
      </w:r>
      <w:r>
        <w:t>on</w:t>
      </w:r>
      <w:r w:rsidR="00F84DFD">
        <w:t>-</w:t>
      </w:r>
      <w:r>
        <w:t xml:space="preserve">wheels service. </w:t>
      </w:r>
    </w:p>
    <w:p w14:paraId="6809ED43" w14:textId="5BF7971A" w:rsidR="006F0CD2" w:rsidRDefault="009361D4" w:rsidP="006F0CD2">
      <w:r>
        <w:rPr>
          <w:b/>
        </w:rPr>
        <w:lastRenderedPageBreak/>
        <w:t xml:space="preserve">SR: </w:t>
      </w:r>
      <w:r w:rsidR="006F0CD2">
        <w:t xml:space="preserve">Young, K., Bunn, F., Trivedi, D., &amp; Dickinson, A. (2011). Nutritional education for community dwelling older people: A systematic review of randomised controlled trials. </w:t>
      </w:r>
      <w:r w:rsidR="006F0CD2" w:rsidRPr="009629E7">
        <w:rPr>
          <w:i/>
        </w:rPr>
        <w:t>International Journal of Nursing Studies</w:t>
      </w:r>
      <w:r w:rsidR="00F84DFD">
        <w:rPr>
          <w:i/>
        </w:rPr>
        <w:t xml:space="preserve"> </w:t>
      </w:r>
      <w:r w:rsidR="00F84DFD">
        <w:t>[online]</w:t>
      </w:r>
      <w:r w:rsidR="006F0CD2">
        <w:t xml:space="preserve">, 48(6), 751-780. </w:t>
      </w:r>
      <w:r w:rsidR="00F84DFD">
        <w:t>[Accessed 16 September 2017]    </w:t>
      </w:r>
    </w:p>
    <w:p w14:paraId="5FE01FDE" w14:textId="77777777" w:rsidR="00404F24" w:rsidRDefault="008059F4" w:rsidP="006F0CD2">
      <w:r>
        <w:t xml:space="preserve">This review synthesises the evidence around </w:t>
      </w:r>
      <w:r w:rsidR="00404F24">
        <w:t>the health impacts of nutritional education interventions.</w:t>
      </w:r>
    </w:p>
    <w:p w14:paraId="34338382" w14:textId="4A8C9A67" w:rsidR="006F0CD2" w:rsidRDefault="006F0CD2" w:rsidP="006F0CD2"/>
    <w:p w14:paraId="0F0C509D" w14:textId="1319126E" w:rsidR="009361D4" w:rsidRDefault="009361D4" w:rsidP="009361D4">
      <w:pPr>
        <w:pStyle w:val="Heading3"/>
      </w:pPr>
      <w:bookmarkStart w:id="26" w:name="_Toc499814940"/>
      <w:r>
        <w:t>S</w:t>
      </w:r>
      <w:r w:rsidR="00DE47B9">
        <w:t>ummary</w:t>
      </w:r>
      <w:bookmarkEnd w:id="26"/>
    </w:p>
    <w:p w14:paraId="44C7D9A2" w14:textId="71F926FA" w:rsidR="009361D4" w:rsidRDefault="009361D4" w:rsidP="009361D4">
      <w:r>
        <w:t xml:space="preserve">•Community luncheon clubs improve </w:t>
      </w:r>
      <w:r w:rsidR="00DE47B9">
        <w:t xml:space="preserve">the </w:t>
      </w:r>
      <w:r>
        <w:t>social wellbeing of older</w:t>
      </w:r>
      <w:r w:rsidR="00DE47B9">
        <w:t xml:space="preserve"> people</w:t>
      </w:r>
      <w:r>
        <w:t>.</w:t>
      </w:r>
    </w:p>
    <w:p w14:paraId="41F4FF95" w14:textId="0870FFA2" w:rsidR="009361D4" w:rsidRDefault="009361D4" w:rsidP="009361D4">
      <w:r>
        <w:t>•There is insufficient research to assess the effectiveness of home-delivered meals programmes.</w:t>
      </w:r>
    </w:p>
    <w:p w14:paraId="6EFDC7E6" w14:textId="7492166C" w:rsidR="009361D4" w:rsidRDefault="009361D4" w:rsidP="009361D4">
      <w:r>
        <w:t>•ONS are cost-effective in improving clinical-related outcomes in the community.</w:t>
      </w:r>
    </w:p>
    <w:p w14:paraId="0024AAE7" w14:textId="16F079C3" w:rsidR="009361D4" w:rsidRDefault="009361D4" w:rsidP="009361D4">
      <w:r>
        <w:t xml:space="preserve">•Gardening programme has positive impacts on independence and emotional wellbeing. </w:t>
      </w:r>
    </w:p>
    <w:p w14:paraId="17F669C3" w14:textId="281F473E" w:rsidR="009361D4" w:rsidRPr="009361D4" w:rsidRDefault="009361D4" w:rsidP="009361D4">
      <w:r>
        <w:t>•Nutritional education or advice can positively affect physical function and diet, whilst complex interventions with nutritional education as a component, can reduce depression in people over 65years who live at home.</w:t>
      </w:r>
    </w:p>
    <w:p w14:paraId="3748CF5E" w14:textId="77777777" w:rsidR="006F0CD2" w:rsidRDefault="006F0CD2" w:rsidP="006F0CD2"/>
    <w:p w14:paraId="7F482B60" w14:textId="77777777" w:rsidR="006F0CD2" w:rsidRDefault="006F0CD2">
      <w:r>
        <w:br w:type="page"/>
      </w:r>
    </w:p>
    <w:p w14:paraId="0EB5071A" w14:textId="1BB685CD" w:rsidR="006F0CD2" w:rsidRPr="000111FA" w:rsidRDefault="00F8373A" w:rsidP="00C671CF">
      <w:pPr>
        <w:pStyle w:val="Heading1"/>
      </w:pPr>
      <w:bookmarkStart w:id="27" w:name="_Toc499814941"/>
      <w:r>
        <w:lastRenderedPageBreak/>
        <w:t>Policies and</w:t>
      </w:r>
      <w:r w:rsidR="006F0CD2">
        <w:t xml:space="preserve"> guidelines</w:t>
      </w:r>
      <w:bookmarkEnd w:id="27"/>
      <w:r w:rsidR="006F0CD2">
        <w:t xml:space="preserve"> </w:t>
      </w:r>
    </w:p>
    <w:p w14:paraId="14B2B0EB" w14:textId="36663321" w:rsidR="00321796" w:rsidRDefault="00321796" w:rsidP="00DB5F57">
      <w:r>
        <w:t>This section annotates relevant policy documents, guidelines or reports on food and older people.</w:t>
      </w:r>
    </w:p>
    <w:p w14:paraId="51DE226C" w14:textId="73EAE07A" w:rsidR="00DB5F57" w:rsidRPr="00DB5F57" w:rsidRDefault="00C93EEA" w:rsidP="00DB5F57">
      <w:r>
        <w:rPr>
          <w:b/>
        </w:rPr>
        <w:t xml:space="preserve">R: </w:t>
      </w:r>
      <w:r w:rsidR="00DB5F57" w:rsidRPr="00DB5F57">
        <w:t>T</w:t>
      </w:r>
      <w:r w:rsidR="00DB5F57">
        <w:t xml:space="preserve">he </w:t>
      </w:r>
      <w:r w:rsidR="00DB5F57" w:rsidRPr="00DB5F57">
        <w:t>C</w:t>
      </w:r>
      <w:r w:rsidR="00DB5F57">
        <w:t xml:space="preserve">aroline Walker Trust (2004) </w:t>
      </w:r>
      <w:r w:rsidR="00DB5F57" w:rsidRPr="00DB5F57">
        <w:rPr>
          <w:i/>
        </w:rPr>
        <w:t>Eating well for older people</w:t>
      </w:r>
      <w:r w:rsidR="00D977CC">
        <w:rPr>
          <w:i/>
        </w:rPr>
        <w:t>:</w:t>
      </w:r>
      <w:r w:rsidR="00D977CC" w:rsidRPr="00D977CC">
        <w:t xml:space="preserve"> </w:t>
      </w:r>
      <w:r w:rsidR="00D977CC" w:rsidRPr="00D977CC">
        <w:rPr>
          <w:i/>
        </w:rPr>
        <w:t>Practical and nutritional guidelines for food in residential and nursing homes and for community meals</w:t>
      </w:r>
      <w:r w:rsidR="00D977CC">
        <w:t>.</w:t>
      </w:r>
      <w:r w:rsidR="00DB5F57">
        <w:t xml:space="preserve"> </w:t>
      </w:r>
      <w:r w:rsidR="00D977CC" w:rsidRPr="00D977CC">
        <w:t>Report of an expert working group</w:t>
      </w:r>
      <w:r w:rsidR="00D977CC">
        <w:t xml:space="preserve">. </w:t>
      </w:r>
      <w:r w:rsidR="00DB5F57">
        <w:t xml:space="preserve">Second Edition. Wordworks: </w:t>
      </w:r>
      <w:r w:rsidR="00DB5F57" w:rsidRPr="00DB5F57">
        <w:t xml:space="preserve"> London</w:t>
      </w:r>
    </w:p>
    <w:p w14:paraId="51DB68FE" w14:textId="77777777" w:rsidR="000111FA" w:rsidRDefault="00D977CC" w:rsidP="006F0CD2">
      <w:r>
        <w:t>This document provides nutritional guidelines for older people in residential and care homes</w:t>
      </w:r>
    </w:p>
    <w:p w14:paraId="6957B75B" w14:textId="77777777" w:rsidR="00487E62" w:rsidRDefault="00487E62" w:rsidP="006F0CD2"/>
    <w:p w14:paraId="65220B27" w14:textId="0A9EE42B" w:rsidR="00D977CC" w:rsidRDefault="003334E6" w:rsidP="006F0CD2">
      <w:r>
        <w:rPr>
          <w:b/>
        </w:rPr>
        <w:t xml:space="preserve">R: </w:t>
      </w:r>
      <w:r w:rsidR="00487E62" w:rsidRPr="00487E62">
        <w:t>Crawley</w:t>
      </w:r>
      <w:r w:rsidR="00487E62">
        <w:t xml:space="preserve">. H. and </w:t>
      </w:r>
      <w:r w:rsidR="00487E62" w:rsidRPr="00487E62">
        <w:t>Hocking</w:t>
      </w:r>
      <w:r w:rsidR="00487E62">
        <w:t>, E. (2011)</w:t>
      </w:r>
      <w:r w:rsidR="00487E62" w:rsidRPr="00487E62">
        <w:t xml:space="preserve"> </w:t>
      </w:r>
      <w:r w:rsidR="00D977CC" w:rsidRPr="00487E62">
        <w:rPr>
          <w:i/>
        </w:rPr>
        <w:t>Eating well: supporting older people and older people with dementia</w:t>
      </w:r>
      <w:r w:rsidR="00487E62">
        <w:rPr>
          <w:i/>
        </w:rPr>
        <w:t>: A Practical Guide</w:t>
      </w:r>
      <w:r w:rsidR="00487E62">
        <w:t xml:space="preserve">. </w:t>
      </w:r>
      <w:r w:rsidR="00487E62" w:rsidRPr="00487E62">
        <w:t>The Caroline Walker Trust</w:t>
      </w:r>
      <w:r w:rsidR="00487E62">
        <w:t>: London</w:t>
      </w:r>
    </w:p>
    <w:p w14:paraId="6612C2FD" w14:textId="557915F7" w:rsidR="00487E62" w:rsidRDefault="00803EC4" w:rsidP="00803EC4">
      <w:r>
        <w:t>T</w:t>
      </w:r>
      <w:r w:rsidR="00AF2857">
        <w:t xml:space="preserve">his </w:t>
      </w:r>
      <w:r>
        <w:t xml:space="preserve">report </w:t>
      </w:r>
      <w:r w:rsidR="005F79CA">
        <w:t xml:space="preserve">explains the reasons for good nutrition among older people </w:t>
      </w:r>
      <w:r w:rsidR="00AF2857">
        <w:t xml:space="preserve">and </w:t>
      </w:r>
      <w:r w:rsidR="005F79CA">
        <w:t>recommends the types and amounts of food required to meet the nutritional needs of older people and people with dementia.</w:t>
      </w:r>
    </w:p>
    <w:p w14:paraId="78CF4C5B" w14:textId="77777777" w:rsidR="005F79CA" w:rsidRDefault="005F79CA" w:rsidP="00803EC4"/>
    <w:p w14:paraId="43B14734" w14:textId="4BD6EBE7" w:rsidR="00487E62" w:rsidRDefault="003334E6" w:rsidP="006F0CD2">
      <w:r>
        <w:rPr>
          <w:b/>
        </w:rPr>
        <w:t xml:space="preserve">G: </w:t>
      </w:r>
      <w:r w:rsidR="005F79CA" w:rsidRPr="005F79CA">
        <w:t>The Caroline Walker Trust</w:t>
      </w:r>
      <w:r w:rsidR="005F79CA">
        <w:t xml:space="preserve"> (2014) </w:t>
      </w:r>
      <w:r w:rsidR="005F79CA" w:rsidRPr="005F79CA">
        <w:t>Eating well for Adults: Balanced Meals Photo Resource</w:t>
      </w:r>
      <w:r w:rsidR="005F79CA">
        <w:t xml:space="preserve">. Available from:  </w:t>
      </w:r>
      <w:hyperlink r:id="rId21" w:history="1">
        <w:r w:rsidR="005F79CA" w:rsidRPr="009E6C83">
          <w:rPr>
            <w:rStyle w:val="Hyperlink"/>
          </w:rPr>
          <w:t>http://www.cwt.org.uk/publications/?action=search</w:t>
        </w:r>
      </w:hyperlink>
      <w:r w:rsidR="005F79CA">
        <w:t xml:space="preserve"> [Accessed 02 October 2017].</w:t>
      </w:r>
    </w:p>
    <w:p w14:paraId="03057162" w14:textId="77777777" w:rsidR="005F79CA" w:rsidRDefault="005F79CA" w:rsidP="006F0CD2">
      <w:r>
        <w:t xml:space="preserve">A </w:t>
      </w:r>
      <w:r w:rsidRPr="005F79CA">
        <w:t>PowerPoin</w:t>
      </w:r>
      <w:r>
        <w:t xml:space="preserve">t folder of files, photos and notes on several meals and recipes for adults. </w:t>
      </w:r>
    </w:p>
    <w:p w14:paraId="02DB67C4" w14:textId="77777777" w:rsidR="005F79CA" w:rsidRDefault="005F79CA" w:rsidP="006F0CD2"/>
    <w:p w14:paraId="36286F4C" w14:textId="0424C968" w:rsidR="00487E62" w:rsidRDefault="003334E6" w:rsidP="00487E62">
      <w:r>
        <w:rPr>
          <w:b/>
        </w:rPr>
        <w:t xml:space="preserve">G: </w:t>
      </w:r>
      <w:r w:rsidR="005F79CA">
        <w:t xml:space="preserve">VOICES (1998) </w:t>
      </w:r>
      <w:r w:rsidR="005F79CA" w:rsidRPr="005F79CA">
        <w:rPr>
          <w:i/>
        </w:rPr>
        <w:t>Eating Well for Older People with Dementia</w:t>
      </w:r>
      <w:r w:rsidR="005F79CA">
        <w:rPr>
          <w:i/>
        </w:rPr>
        <w:t xml:space="preserve">. </w:t>
      </w:r>
      <w:r w:rsidR="005F79CA">
        <w:t xml:space="preserve">VOICES: </w:t>
      </w:r>
      <w:r w:rsidR="00487E62">
        <w:t>London:</w:t>
      </w:r>
    </w:p>
    <w:p w14:paraId="48427DB6" w14:textId="77777777" w:rsidR="00BC4EAE" w:rsidRDefault="00BC4EAE" w:rsidP="00BC4EAE">
      <w:r>
        <w:t xml:space="preserve">This guideline looks at the nutritional aspect of care for people with dementia. The guideline also offers practical and nutritional recommendations for people with dementia who live in residential and nursing homes.  </w:t>
      </w:r>
    </w:p>
    <w:p w14:paraId="39DD8FC6" w14:textId="77777777" w:rsidR="00420649" w:rsidRDefault="00420649" w:rsidP="00BC4EAE"/>
    <w:p w14:paraId="03E184E9" w14:textId="1C9E60ED" w:rsidR="00420649" w:rsidRDefault="003334E6" w:rsidP="00DC27D4">
      <w:pPr>
        <w:jc w:val="left"/>
      </w:pPr>
      <w:r>
        <w:rPr>
          <w:b/>
        </w:rPr>
        <w:t xml:space="preserve">G: </w:t>
      </w:r>
      <w:r w:rsidR="00420649">
        <w:t xml:space="preserve">National Association of Care Catering (year) </w:t>
      </w:r>
      <w:r w:rsidR="00420649" w:rsidRPr="00420649">
        <w:rPr>
          <w:i/>
        </w:rPr>
        <w:t>NACC recommended standards for older people in residential, day care and community meals</w:t>
      </w:r>
      <w:r w:rsidR="00420649">
        <w:t xml:space="preserve">. Available from: </w:t>
      </w:r>
      <w:hyperlink r:id="rId22" w:history="1">
        <w:r w:rsidR="00420649" w:rsidRPr="00884746">
          <w:rPr>
            <w:rStyle w:val="Hyperlink"/>
          </w:rPr>
          <w:t>http://www.thenacc.co.uk/shop/product/Nutritional+Standards+for+Adults</w:t>
        </w:r>
      </w:hyperlink>
      <w:r w:rsidR="00420649">
        <w:t xml:space="preserve"> [Accessed 03 October 2017]</w:t>
      </w:r>
    </w:p>
    <w:p w14:paraId="7DB49A49" w14:textId="77777777" w:rsidR="00420649" w:rsidRDefault="00420649" w:rsidP="00BC4EAE">
      <w:r>
        <w:t>Provides recommendations on the amount of nutrient and fluid intake for older people</w:t>
      </w:r>
    </w:p>
    <w:sectPr w:rsidR="00420649" w:rsidSect="00C74CC8">
      <w:headerReference w:type="default" r:id="rId23"/>
      <w:footerReference w:type="default" r:id="rId24"/>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28ECD" w14:textId="77777777" w:rsidR="000A217D" w:rsidRDefault="000A217D" w:rsidP="00855982">
      <w:pPr>
        <w:spacing w:after="0" w:line="240" w:lineRule="auto"/>
      </w:pPr>
      <w:r>
        <w:separator/>
      </w:r>
    </w:p>
  </w:endnote>
  <w:endnote w:type="continuationSeparator" w:id="0">
    <w:p w14:paraId="4AE559C8" w14:textId="77777777" w:rsidR="000A217D" w:rsidRDefault="000A217D"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454660"/>
      <w:docPartObj>
        <w:docPartGallery w:val="Page Numbers (Bottom of Page)"/>
        <w:docPartUnique/>
      </w:docPartObj>
    </w:sdtPr>
    <w:sdtEndPr>
      <w:rPr>
        <w:noProof/>
      </w:rPr>
    </w:sdtEndPr>
    <w:sdtContent>
      <w:p w14:paraId="3226E98C" w14:textId="583D0545" w:rsidR="00981776" w:rsidRDefault="00981776">
        <w:pPr>
          <w:pStyle w:val="Footer"/>
          <w:jc w:val="right"/>
        </w:pPr>
        <w:r>
          <w:fldChar w:fldCharType="begin"/>
        </w:r>
        <w:r>
          <w:instrText xml:space="preserve"> PAGE   \* MERGEFORMAT </w:instrText>
        </w:r>
        <w:r>
          <w:fldChar w:fldCharType="separate"/>
        </w:r>
        <w:r w:rsidR="005D6F96">
          <w:rPr>
            <w:noProof/>
          </w:rPr>
          <w:t>3</w:t>
        </w:r>
        <w:r>
          <w:rPr>
            <w:noProof/>
          </w:rPr>
          <w:fldChar w:fldCharType="end"/>
        </w:r>
      </w:p>
    </w:sdtContent>
  </w:sdt>
  <w:p w14:paraId="6B4D35A2" w14:textId="2DEB2CEA" w:rsidR="00981776" w:rsidRDefault="00981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8415"/>
      <w:docPartObj>
        <w:docPartGallery w:val="Page Numbers (Bottom of Page)"/>
        <w:docPartUnique/>
      </w:docPartObj>
    </w:sdtPr>
    <w:sdtEndPr>
      <w:rPr>
        <w:noProof/>
      </w:rPr>
    </w:sdtEndPr>
    <w:sdtContent>
      <w:p w14:paraId="728E8391" w14:textId="3E0DCC67" w:rsidR="00981776" w:rsidRDefault="00981776">
        <w:pPr>
          <w:pStyle w:val="Footer"/>
        </w:pPr>
        <w:r>
          <w:fldChar w:fldCharType="begin"/>
        </w:r>
        <w:r>
          <w:instrText xml:space="preserve"> PAGE   \* MERGEFORMAT </w:instrText>
        </w:r>
        <w:r>
          <w:fldChar w:fldCharType="separate"/>
        </w:r>
        <w:r w:rsidR="005D6F96">
          <w:rPr>
            <w:noProof/>
          </w:rPr>
          <w:t>37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10E78" w14:textId="77777777" w:rsidR="000A217D" w:rsidRDefault="000A217D" w:rsidP="00855982">
      <w:pPr>
        <w:spacing w:after="0" w:line="240" w:lineRule="auto"/>
      </w:pPr>
      <w:r>
        <w:separator/>
      </w:r>
    </w:p>
  </w:footnote>
  <w:footnote w:type="continuationSeparator" w:id="0">
    <w:p w14:paraId="46FB4B71" w14:textId="77777777" w:rsidR="000A217D" w:rsidRDefault="000A217D"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E6A2" w14:textId="2239AF13" w:rsidR="00981776" w:rsidRDefault="00981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5230A"/>
    <w:multiLevelType w:val="hybridMultilevel"/>
    <w:tmpl w:val="10D86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E97A53"/>
    <w:multiLevelType w:val="hybridMultilevel"/>
    <w:tmpl w:val="24E85732"/>
    <w:lvl w:ilvl="0" w:tplc="7A8E3F7E">
      <w:start w:val="1"/>
      <w:numFmt w:val="bullet"/>
      <w:suff w:val="nothing"/>
      <w:lvlText w:val=""/>
      <w:lvlJc w:val="left"/>
      <w:pPr>
        <w:ind w:left="57" w:firstLine="30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CC10125"/>
    <w:multiLevelType w:val="hybridMultilevel"/>
    <w:tmpl w:val="64AEE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D4F3530"/>
    <w:multiLevelType w:val="hybridMultilevel"/>
    <w:tmpl w:val="612EB1E0"/>
    <w:lvl w:ilvl="0" w:tplc="7A8E3F7E">
      <w:start w:val="1"/>
      <w:numFmt w:val="bullet"/>
      <w:suff w:val="nothing"/>
      <w:lvlText w:val=""/>
      <w:lvlJc w:val="left"/>
      <w:pPr>
        <w:ind w:left="57" w:firstLine="30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6B7DFC"/>
    <w:multiLevelType w:val="hybridMultilevel"/>
    <w:tmpl w:val="FADEC62A"/>
    <w:lvl w:ilvl="0" w:tplc="DF1E356C">
      <w:start w:val="1"/>
      <w:numFmt w:val="bullet"/>
      <w:suff w:val="nothing"/>
      <w:lvlText w:val=""/>
      <w:lvlJc w:val="left"/>
      <w:pPr>
        <w:ind w:left="0" w:firstLine="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CA509E5"/>
    <w:multiLevelType w:val="hybridMultilevel"/>
    <w:tmpl w:val="60FAC1D6"/>
    <w:lvl w:ilvl="0" w:tplc="3E10519C">
      <w:start w:val="1"/>
      <w:numFmt w:val="bullet"/>
      <w:suff w:val="nothing"/>
      <w:lvlText w:val=""/>
      <w:lvlJc w:val="left"/>
      <w:pPr>
        <w:ind w:left="0" w:firstLine="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4F40A1"/>
    <w:multiLevelType w:val="hybridMultilevel"/>
    <w:tmpl w:val="3036D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7C449FE"/>
    <w:multiLevelType w:val="hybridMultilevel"/>
    <w:tmpl w:val="8E083FEC"/>
    <w:lvl w:ilvl="0" w:tplc="D7B25AEC">
      <w:start w:val="1"/>
      <w:numFmt w:val="bullet"/>
      <w:suff w:val="nothing"/>
      <w:lvlText w:val=""/>
      <w:lvlJc w:val="left"/>
      <w:pPr>
        <w:ind w:left="0" w:firstLine="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DF7A33"/>
    <w:multiLevelType w:val="hybridMultilevel"/>
    <w:tmpl w:val="8E720E8A"/>
    <w:lvl w:ilvl="0" w:tplc="ED4AF2C2">
      <w:start w:val="1"/>
      <w:numFmt w:val="bullet"/>
      <w:suff w:val="nothing"/>
      <w:lvlText w:val=""/>
      <w:lvlJc w:val="left"/>
      <w:pPr>
        <w:ind w:left="0" w:firstLine="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66966CE"/>
    <w:multiLevelType w:val="hybridMultilevel"/>
    <w:tmpl w:val="3524190E"/>
    <w:lvl w:ilvl="0" w:tplc="B65C6C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7212A7"/>
    <w:multiLevelType w:val="hybridMultilevel"/>
    <w:tmpl w:val="191A62EC"/>
    <w:lvl w:ilvl="0" w:tplc="937EE4FC">
      <w:start w:val="1"/>
      <w:numFmt w:val="bullet"/>
      <w:suff w:val="nothing"/>
      <w:lvlText w:val=""/>
      <w:lvlJc w:val="left"/>
      <w:pPr>
        <w:ind w:left="0" w:firstLine="42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39B1EDE"/>
    <w:multiLevelType w:val="hybridMultilevel"/>
    <w:tmpl w:val="834691BA"/>
    <w:lvl w:ilvl="0" w:tplc="11CE6B02">
      <w:start w:val="1"/>
      <w:numFmt w:val="bullet"/>
      <w:suff w:val="nothing"/>
      <w:lvlText w:val=""/>
      <w:lvlJc w:val="left"/>
      <w:pPr>
        <w:ind w:left="0" w:firstLine="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364643"/>
    <w:multiLevelType w:val="hybridMultilevel"/>
    <w:tmpl w:val="D8523980"/>
    <w:lvl w:ilvl="0" w:tplc="7A8E3F7E">
      <w:start w:val="1"/>
      <w:numFmt w:val="bullet"/>
      <w:suff w:val="nothing"/>
      <w:lvlText w:val=""/>
      <w:lvlJc w:val="left"/>
      <w:pPr>
        <w:ind w:left="57" w:firstLine="30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BA5455"/>
    <w:multiLevelType w:val="hybridMultilevel"/>
    <w:tmpl w:val="87322606"/>
    <w:lvl w:ilvl="0" w:tplc="1032A886">
      <w:start w:val="1"/>
      <w:numFmt w:val="bullet"/>
      <w:suff w:val="nothing"/>
      <w:lvlText w:val=""/>
      <w:lvlJc w:val="left"/>
      <w:pPr>
        <w:ind w:left="0" w:firstLine="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15D66"/>
    <w:multiLevelType w:val="hybridMultilevel"/>
    <w:tmpl w:val="FA9263E4"/>
    <w:lvl w:ilvl="0" w:tplc="7622676C">
      <w:start w:val="1"/>
      <w:numFmt w:val="bullet"/>
      <w:suff w:val="nothing"/>
      <w:lvlText w:val=""/>
      <w:lvlJc w:val="left"/>
      <w:pPr>
        <w:ind w:left="0" w:firstLine="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04CC3"/>
    <w:multiLevelType w:val="hybridMultilevel"/>
    <w:tmpl w:val="53B0E71C"/>
    <w:lvl w:ilvl="0" w:tplc="7A8E3F7E">
      <w:start w:val="1"/>
      <w:numFmt w:val="bullet"/>
      <w:suff w:val="nothing"/>
      <w:lvlText w:val=""/>
      <w:lvlJc w:val="left"/>
      <w:pPr>
        <w:ind w:left="57" w:firstLine="30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1"/>
  </w:num>
  <w:num w:numId="14">
    <w:abstractNumId w:val="27"/>
  </w:num>
  <w:num w:numId="15">
    <w:abstractNumId w:val="13"/>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0"/>
  </w:num>
  <w:num w:numId="29">
    <w:abstractNumId w:val="25"/>
  </w:num>
  <w:num w:numId="30">
    <w:abstractNumId w:val="32"/>
  </w:num>
  <w:num w:numId="31">
    <w:abstractNumId w:val="18"/>
  </w:num>
  <w:num w:numId="32">
    <w:abstractNumId w:val="23"/>
  </w:num>
  <w:num w:numId="33">
    <w:abstractNumId w:val="29"/>
  </w:num>
  <w:num w:numId="34">
    <w:abstractNumId w:val="30"/>
  </w:num>
  <w:num w:numId="35">
    <w:abstractNumId w:val="16"/>
  </w:num>
  <w:num w:numId="36">
    <w:abstractNumId w:val="28"/>
  </w:num>
  <w:num w:numId="37">
    <w:abstractNumId w:val="33"/>
  </w:num>
  <w:num w:numId="38">
    <w:abstractNumId w:val="12"/>
  </w:num>
  <w:num w:numId="39">
    <w:abstractNumId w:val="31"/>
  </w:num>
  <w:num w:numId="40">
    <w:abstractNumId w:val="21"/>
  </w:num>
  <w:num w:numId="41">
    <w:abstractNumId w:val="24"/>
  </w:num>
  <w:num w:numId="42">
    <w:abstractNumId w:val="15"/>
  </w:num>
  <w:num w:numId="43">
    <w:abstractNumId w:val="10"/>
  </w:num>
  <w:num w:numId="44">
    <w:abstractNumId w:val="2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FA"/>
    <w:rsid w:val="00003541"/>
    <w:rsid w:val="00007483"/>
    <w:rsid w:val="000111FA"/>
    <w:rsid w:val="00017EC9"/>
    <w:rsid w:val="00023122"/>
    <w:rsid w:val="000263B1"/>
    <w:rsid w:val="00037954"/>
    <w:rsid w:val="00040CB8"/>
    <w:rsid w:val="00073B1B"/>
    <w:rsid w:val="00074E7B"/>
    <w:rsid w:val="00090B9B"/>
    <w:rsid w:val="00096C04"/>
    <w:rsid w:val="000A217D"/>
    <w:rsid w:val="000A70E2"/>
    <w:rsid w:val="000B58E7"/>
    <w:rsid w:val="000B73FB"/>
    <w:rsid w:val="000C4EB2"/>
    <w:rsid w:val="000D70CC"/>
    <w:rsid w:val="000E3DBA"/>
    <w:rsid w:val="000F26FB"/>
    <w:rsid w:val="000F3126"/>
    <w:rsid w:val="000F6FF3"/>
    <w:rsid w:val="00106185"/>
    <w:rsid w:val="00106CA4"/>
    <w:rsid w:val="00107E36"/>
    <w:rsid w:val="00114BDC"/>
    <w:rsid w:val="001170D2"/>
    <w:rsid w:val="00122D86"/>
    <w:rsid w:val="00125310"/>
    <w:rsid w:val="001279D1"/>
    <w:rsid w:val="00134336"/>
    <w:rsid w:val="00135AE5"/>
    <w:rsid w:val="00136E5B"/>
    <w:rsid w:val="00143177"/>
    <w:rsid w:val="00150DCC"/>
    <w:rsid w:val="0015636B"/>
    <w:rsid w:val="0017733A"/>
    <w:rsid w:val="00187C96"/>
    <w:rsid w:val="001B3130"/>
    <w:rsid w:val="001B6C13"/>
    <w:rsid w:val="001D4362"/>
    <w:rsid w:val="001E3374"/>
    <w:rsid w:val="001E6936"/>
    <w:rsid w:val="001F278E"/>
    <w:rsid w:val="001F5FB8"/>
    <w:rsid w:val="00204BBC"/>
    <w:rsid w:val="00204C2E"/>
    <w:rsid w:val="0021069B"/>
    <w:rsid w:val="0022047A"/>
    <w:rsid w:val="00242BB6"/>
    <w:rsid w:val="00254307"/>
    <w:rsid w:val="00286D73"/>
    <w:rsid w:val="002B38D9"/>
    <w:rsid w:val="002B7563"/>
    <w:rsid w:val="002C1F84"/>
    <w:rsid w:val="002E2DEE"/>
    <w:rsid w:val="002E6A3D"/>
    <w:rsid w:val="002F452A"/>
    <w:rsid w:val="00321796"/>
    <w:rsid w:val="00327D82"/>
    <w:rsid w:val="003334E6"/>
    <w:rsid w:val="00336EC3"/>
    <w:rsid w:val="003624D5"/>
    <w:rsid w:val="003861C6"/>
    <w:rsid w:val="003A4423"/>
    <w:rsid w:val="003B12E7"/>
    <w:rsid w:val="003B2F1A"/>
    <w:rsid w:val="003B6B60"/>
    <w:rsid w:val="003C1F96"/>
    <w:rsid w:val="003D5095"/>
    <w:rsid w:val="003D71C8"/>
    <w:rsid w:val="003F6B7B"/>
    <w:rsid w:val="00404F24"/>
    <w:rsid w:val="00420649"/>
    <w:rsid w:val="00425C46"/>
    <w:rsid w:val="0043074F"/>
    <w:rsid w:val="00453343"/>
    <w:rsid w:val="00457E26"/>
    <w:rsid w:val="0046767D"/>
    <w:rsid w:val="00483943"/>
    <w:rsid w:val="00487E62"/>
    <w:rsid w:val="004928FF"/>
    <w:rsid w:val="00492FC0"/>
    <w:rsid w:val="0049351A"/>
    <w:rsid w:val="004A174C"/>
    <w:rsid w:val="004B7BC5"/>
    <w:rsid w:val="004C46B5"/>
    <w:rsid w:val="004C5100"/>
    <w:rsid w:val="004E0095"/>
    <w:rsid w:val="004E1C38"/>
    <w:rsid w:val="005115D2"/>
    <w:rsid w:val="00514EE1"/>
    <w:rsid w:val="0052243D"/>
    <w:rsid w:val="005229DA"/>
    <w:rsid w:val="00526788"/>
    <w:rsid w:val="00542521"/>
    <w:rsid w:val="0054792C"/>
    <w:rsid w:val="005708A3"/>
    <w:rsid w:val="00593882"/>
    <w:rsid w:val="005A3D54"/>
    <w:rsid w:val="005A61F4"/>
    <w:rsid w:val="005A7FCC"/>
    <w:rsid w:val="005C62CA"/>
    <w:rsid w:val="005D6F96"/>
    <w:rsid w:val="005E2107"/>
    <w:rsid w:val="005E487D"/>
    <w:rsid w:val="005F3133"/>
    <w:rsid w:val="005F79CA"/>
    <w:rsid w:val="00602649"/>
    <w:rsid w:val="0063206A"/>
    <w:rsid w:val="00641C9C"/>
    <w:rsid w:val="00644CBF"/>
    <w:rsid w:val="006528E6"/>
    <w:rsid w:val="00655681"/>
    <w:rsid w:val="00657CF2"/>
    <w:rsid w:val="006611B6"/>
    <w:rsid w:val="0066397A"/>
    <w:rsid w:val="006655A9"/>
    <w:rsid w:val="00681D17"/>
    <w:rsid w:val="00682110"/>
    <w:rsid w:val="0069261A"/>
    <w:rsid w:val="006B655C"/>
    <w:rsid w:val="006F0CD2"/>
    <w:rsid w:val="006F1FB5"/>
    <w:rsid w:val="006F7665"/>
    <w:rsid w:val="00727961"/>
    <w:rsid w:val="00727AAD"/>
    <w:rsid w:val="007467FE"/>
    <w:rsid w:val="0075398D"/>
    <w:rsid w:val="00760712"/>
    <w:rsid w:val="00761618"/>
    <w:rsid w:val="00774445"/>
    <w:rsid w:val="00780E8C"/>
    <w:rsid w:val="007833A7"/>
    <w:rsid w:val="00783939"/>
    <w:rsid w:val="007B3240"/>
    <w:rsid w:val="007C1180"/>
    <w:rsid w:val="007C4EC9"/>
    <w:rsid w:val="008033A0"/>
    <w:rsid w:val="00803EC4"/>
    <w:rsid w:val="008059F4"/>
    <w:rsid w:val="008130A1"/>
    <w:rsid w:val="0081577A"/>
    <w:rsid w:val="00830526"/>
    <w:rsid w:val="0083545C"/>
    <w:rsid w:val="00835471"/>
    <w:rsid w:val="00855982"/>
    <w:rsid w:val="00876891"/>
    <w:rsid w:val="0088508E"/>
    <w:rsid w:val="00886F9D"/>
    <w:rsid w:val="0089384F"/>
    <w:rsid w:val="00895F6B"/>
    <w:rsid w:val="008A2ED3"/>
    <w:rsid w:val="008A3610"/>
    <w:rsid w:val="008B2055"/>
    <w:rsid w:val="008B42F6"/>
    <w:rsid w:val="008D1324"/>
    <w:rsid w:val="00903CBE"/>
    <w:rsid w:val="009067B8"/>
    <w:rsid w:val="00922C23"/>
    <w:rsid w:val="0092581C"/>
    <w:rsid w:val="009275C1"/>
    <w:rsid w:val="009361D4"/>
    <w:rsid w:val="009629E7"/>
    <w:rsid w:val="009679EC"/>
    <w:rsid w:val="00980CDF"/>
    <w:rsid w:val="00981776"/>
    <w:rsid w:val="009865B8"/>
    <w:rsid w:val="00987E3F"/>
    <w:rsid w:val="00993526"/>
    <w:rsid w:val="009A3A64"/>
    <w:rsid w:val="009C2B59"/>
    <w:rsid w:val="009C56A3"/>
    <w:rsid w:val="009E0E5C"/>
    <w:rsid w:val="009E43A4"/>
    <w:rsid w:val="009F470C"/>
    <w:rsid w:val="00A10484"/>
    <w:rsid w:val="00A208D7"/>
    <w:rsid w:val="00A405E0"/>
    <w:rsid w:val="00A50F46"/>
    <w:rsid w:val="00A5394E"/>
    <w:rsid w:val="00A6781B"/>
    <w:rsid w:val="00A74194"/>
    <w:rsid w:val="00A75A36"/>
    <w:rsid w:val="00A84C1B"/>
    <w:rsid w:val="00AA124F"/>
    <w:rsid w:val="00AA2F1A"/>
    <w:rsid w:val="00AA392C"/>
    <w:rsid w:val="00AA6A60"/>
    <w:rsid w:val="00AB5570"/>
    <w:rsid w:val="00AD1886"/>
    <w:rsid w:val="00AD4350"/>
    <w:rsid w:val="00AF2857"/>
    <w:rsid w:val="00AF5FC2"/>
    <w:rsid w:val="00B17CC8"/>
    <w:rsid w:val="00B23912"/>
    <w:rsid w:val="00B23A89"/>
    <w:rsid w:val="00B264D8"/>
    <w:rsid w:val="00B32799"/>
    <w:rsid w:val="00B34BFE"/>
    <w:rsid w:val="00B42A63"/>
    <w:rsid w:val="00B45056"/>
    <w:rsid w:val="00B61AAF"/>
    <w:rsid w:val="00B713B4"/>
    <w:rsid w:val="00B73D7E"/>
    <w:rsid w:val="00B83B6D"/>
    <w:rsid w:val="00B904BB"/>
    <w:rsid w:val="00BA5A28"/>
    <w:rsid w:val="00BA5B2F"/>
    <w:rsid w:val="00BB34C6"/>
    <w:rsid w:val="00BB52E1"/>
    <w:rsid w:val="00BB584F"/>
    <w:rsid w:val="00BB5A59"/>
    <w:rsid w:val="00BC4EAE"/>
    <w:rsid w:val="00BD0D94"/>
    <w:rsid w:val="00BE3A62"/>
    <w:rsid w:val="00BE48EE"/>
    <w:rsid w:val="00C23973"/>
    <w:rsid w:val="00C36D50"/>
    <w:rsid w:val="00C671CF"/>
    <w:rsid w:val="00C73160"/>
    <w:rsid w:val="00C74CC8"/>
    <w:rsid w:val="00C810B8"/>
    <w:rsid w:val="00C86BC6"/>
    <w:rsid w:val="00C93EEA"/>
    <w:rsid w:val="00C94707"/>
    <w:rsid w:val="00CA083F"/>
    <w:rsid w:val="00CA5DA2"/>
    <w:rsid w:val="00CA7204"/>
    <w:rsid w:val="00CC064F"/>
    <w:rsid w:val="00CD52F8"/>
    <w:rsid w:val="00CE1BDC"/>
    <w:rsid w:val="00CE2D3A"/>
    <w:rsid w:val="00CF579D"/>
    <w:rsid w:val="00D0156F"/>
    <w:rsid w:val="00D115E5"/>
    <w:rsid w:val="00D126AF"/>
    <w:rsid w:val="00D16A0B"/>
    <w:rsid w:val="00D1798F"/>
    <w:rsid w:val="00D201F0"/>
    <w:rsid w:val="00D31227"/>
    <w:rsid w:val="00D351B2"/>
    <w:rsid w:val="00D573B6"/>
    <w:rsid w:val="00D60BDC"/>
    <w:rsid w:val="00D636C7"/>
    <w:rsid w:val="00D811ED"/>
    <w:rsid w:val="00D96CA3"/>
    <w:rsid w:val="00D977CC"/>
    <w:rsid w:val="00DB5F57"/>
    <w:rsid w:val="00DB655C"/>
    <w:rsid w:val="00DB720D"/>
    <w:rsid w:val="00DC27D4"/>
    <w:rsid w:val="00DD7030"/>
    <w:rsid w:val="00DE0D9E"/>
    <w:rsid w:val="00DE47B9"/>
    <w:rsid w:val="00DE5BB7"/>
    <w:rsid w:val="00E079B6"/>
    <w:rsid w:val="00E20815"/>
    <w:rsid w:val="00E21A1E"/>
    <w:rsid w:val="00E31E3C"/>
    <w:rsid w:val="00E336C2"/>
    <w:rsid w:val="00E418CA"/>
    <w:rsid w:val="00E47B28"/>
    <w:rsid w:val="00E54C2A"/>
    <w:rsid w:val="00E6240D"/>
    <w:rsid w:val="00E91568"/>
    <w:rsid w:val="00E95CBD"/>
    <w:rsid w:val="00EB3AB6"/>
    <w:rsid w:val="00EB79C1"/>
    <w:rsid w:val="00ED4E04"/>
    <w:rsid w:val="00EE5EEB"/>
    <w:rsid w:val="00EF08CE"/>
    <w:rsid w:val="00EF4AF6"/>
    <w:rsid w:val="00F03D19"/>
    <w:rsid w:val="00F16DA0"/>
    <w:rsid w:val="00F17FF6"/>
    <w:rsid w:val="00F23EC5"/>
    <w:rsid w:val="00F32B74"/>
    <w:rsid w:val="00F36665"/>
    <w:rsid w:val="00F464CC"/>
    <w:rsid w:val="00F61A69"/>
    <w:rsid w:val="00F6256C"/>
    <w:rsid w:val="00F73D0D"/>
    <w:rsid w:val="00F74089"/>
    <w:rsid w:val="00F7557E"/>
    <w:rsid w:val="00F77AC2"/>
    <w:rsid w:val="00F81B96"/>
    <w:rsid w:val="00F8373A"/>
    <w:rsid w:val="00F84CF3"/>
    <w:rsid w:val="00F84DFD"/>
    <w:rsid w:val="00F91295"/>
    <w:rsid w:val="00FA4224"/>
    <w:rsid w:val="00FA5655"/>
    <w:rsid w:val="00FB2222"/>
    <w:rsid w:val="00FB2ABC"/>
    <w:rsid w:val="00FD1320"/>
    <w:rsid w:val="00FD262C"/>
    <w:rsid w:val="00FE1F64"/>
    <w:rsid w:val="00FE723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C2E24"/>
  <w15:docId w15:val="{6E474DDE-3B28-4021-B194-0D29A5B3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56F"/>
    <w:pPr>
      <w:jc w:val="both"/>
    </w:pPr>
    <w:rPr>
      <w:rFonts w:ascii="Garamond" w:hAnsi="Garamond"/>
      <w:sz w:val="28"/>
    </w:rPr>
  </w:style>
  <w:style w:type="paragraph" w:styleId="Heading1">
    <w:name w:val="heading 1"/>
    <w:basedOn w:val="Normal"/>
    <w:next w:val="Normal"/>
    <w:link w:val="Heading1Char"/>
    <w:uiPriority w:val="9"/>
    <w:qFormat/>
    <w:rsid w:val="00C671CF"/>
    <w:pPr>
      <w:keepNext/>
      <w:keepLines/>
      <w:pBdr>
        <w:bottom w:val="single" w:sz="4" w:space="1" w:color="595959" w:themeColor="text1" w:themeTint="A6"/>
      </w:pBdr>
      <w:spacing w:before="360"/>
      <w:outlineLvl w:val="0"/>
    </w:pPr>
    <w:rPr>
      <w:rFonts w:eastAsiaTheme="majorEastAsia" w:cstheme="majorBidi"/>
      <w:b/>
      <w:bCs/>
      <w:smallCaps/>
      <w:color w:val="0070C0"/>
      <w:sz w:val="32"/>
      <w:szCs w:val="32"/>
    </w:rPr>
  </w:style>
  <w:style w:type="paragraph" w:styleId="Heading2">
    <w:name w:val="heading 2"/>
    <w:basedOn w:val="Normal"/>
    <w:next w:val="Normal"/>
    <w:link w:val="Heading2Char"/>
    <w:uiPriority w:val="9"/>
    <w:unhideWhenUsed/>
    <w:qFormat/>
    <w:rsid w:val="00F74089"/>
    <w:pPr>
      <w:keepNext/>
      <w:keepLines/>
      <w:spacing w:before="360" w:after="0"/>
      <w:outlineLvl w:val="1"/>
    </w:pPr>
    <w:rPr>
      <w:rFonts w:eastAsiaTheme="majorEastAsia" w:cstheme="majorBidi"/>
      <w:b/>
      <w:bCs/>
      <w:smallCaps/>
      <w:color w:val="0070C0"/>
      <w:szCs w:val="28"/>
    </w:rPr>
  </w:style>
  <w:style w:type="paragraph" w:styleId="Heading3">
    <w:name w:val="heading 3"/>
    <w:basedOn w:val="Normal"/>
    <w:next w:val="Normal"/>
    <w:link w:val="Heading3Char"/>
    <w:uiPriority w:val="9"/>
    <w:unhideWhenUsed/>
    <w:qFormat/>
    <w:rsid w:val="00641C9C"/>
    <w:pPr>
      <w:keepNext/>
      <w:keepLines/>
      <w:spacing w:before="200" w:after="0"/>
      <w:outlineLvl w:val="2"/>
    </w:pPr>
    <w:rPr>
      <w:rFonts w:eastAsiaTheme="majorEastAsia" w:cstheme="majorBidi"/>
      <w:b/>
      <w:bCs/>
      <w:color w:val="0070C0"/>
    </w:rPr>
  </w:style>
  <w:style w:type="paragraph" w:styleId="Heading4">
    <w:name w:val="heading 4"/>
    <w:basedOn w:val="Normal"/>
    <w:next w:val="Normal"/>
    <w:link w:val="Heading4Char"/>
    <w:uiPriority w:val="9"/>
    <w:unhideWhenUsed/>
    <w:qFormat/>
    <w:rsid w:val="00A75A36"/>
    <w:pPr>
      <w:keepNext/>
      <w:keepLines/>
      <w:spacing w:before="200" w:after="0"/>
      <w:outlineLvl w:val="3"/>
    </w:pPr>
    <w:rPr>
      <w:rFonts w:eastAsiaTheme="majorEastAsia" w:cstheme="majorBidi"/>
      <w:b/>
      <w:bCs/>
      <w:i/>
      <w:iCs/>
      <w:color w:val="0070C0"/>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B23A89"/>
    <w:pPr>
      <w:spacing w:after="0" w:line="240" w:lineRule="auto"/>
      <w:contextualSpacing/>
    </w:pPr>
    <w:rPr>
      <w:rFonts w:eastAsiaTheme="majorEastAsia" w:cstheme="majorBidi"/>
      <w:b/>
      <w:color w:val="0070C0"/>
      <w:sz w:val="36"/>
      <w:szCs w:val="56"/>
    </w:rPr>
  </w:style>
  <w:style w:type="character" w:customStyle="1" w:styleId="TitleChar">
    <w:name w:val="Title Char"/>
    <w:basedOn w:val="DefaultParagraphFont"/>
    <w:link w:val="Title"/>
    <w:uiPriority w:val="1"/>
    <w:rsid w:val="00B23A89"/>
    <w:rPr>
      <w:rFonts w:ascii="Garamond" w:eastAsiaTheme="majorEastAsia" w:hAnsi="Garamond" w:cstheme="majorBidi"/>
      <w:b/>
      <w:color w:val="0070C0"/>
      <w:sz w:val="3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C671CF"/>
    <w:rPr>
      <w:rFonts w:ascii="Garamond" w:eastAsiaTheme="majorEastAsia" w:hAnsi="Garamond" w:cstheme="majorBidi"/>
      <w:b/>
      <w:bCs/>
      <w:smallCaps/>
      <w:color w:val="0070C0"/>
      <w:sz w:val="32"/>
      <w:szCs w:val="32"/>
    </w:rPr>
  </w:style>
  <w:style w:type="character" w:customStyle="1" w:styleId="Heading2Char">
    <w:name w:val="Heading 2 Char"/>
    <w:basedOn w:val="DefaultParagraphFont"/>
    <w:link w:val="Heading2"/>
    <w:uiPriority w:val="9"/>
    <w:rsid w:val="00F74089"/>
    <w:rPr>
      <w:rFonts w:ascii="Garamond" w:eastAsiaTheme="majorEastAsia" w:hAnsi="Garamond" w:cstheme="majorBidi"/>
      <w:b/>
      <w:bCs/>
      <w:smallCaps/>
      <w:color w:val="0070C0"/>
      <w:sz w:val="28"/>
      <w:szCs w:val="28"/>
    </w:rPr>
  </w:style>
  <w:style w:type="character" w:customStyle="1" w:styleId="Heading3Char">
    <w:name w:val="Heading 3 Char"/>
    <w:basedOn w:val="DefaultParagraphFont"/>
    <w:link w:val="Heading3"/>
    <w:uiPriority w:val="9"/>
    <w:rsid w:val="00641C9C"/>
    <w:rPr>
      <w:rFonts w:ascii="Garamond" w:eastAsiaTheme="majorEastAsia" w:hAnsi="Garamond" w:cstheme="majorBidi"/>
      <w:b/>
      <w:bCs/>
      <w:color w:val="0070C0"/>
      <w:sz w:val="28"/>
    </w:rPr>
  </w:style>
  <w:style w:type="character" w:customStyle="1" w:styleId="Heading4Char">
    <w:name w:val="Heading 4 Char"/>
    <w:basedOn w:val="DefaultParagraphFont"/>
    <w:link w:val="Heading4"/>
    <w:uiPriority w:val="9"/>
    <w:rsid w:val="00A75A36"/>
    <w:rPr>
      <w:rFonts w:ascii="Garamond" w:eastAsiaTheme="majorEastAsia" w:hAnsi="Garamond" w:cstheme="majorBidi"/>
      <w:b/>
      <w:bCs/>
      <w:i/>
      <w:iCs/>
      <w:color w:val="0070C0"/>
      <w:sz w:val="28"/>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character" w:customStyle="1" w:styleId="UnresolvedMention1">
    <w:name w:val="Unresolved Mention1"/>
    <w:basedOn w:val="DefaultParagraphFont"/>
    <w:uiPriority w:val="99"/>
    <w:semiHidden/>
    <w:unhideWhenUsed/>
    <w:rsid w:val="00EB79C1"/>
    <w:rPr>
      <w:color w:val="808080"/>
      <w:shd w:val="clear" w:color="auto" w:fill="E6E6E6"/>
    </w:rPr>
  </w:style>
  <w:style w:type="table" w:styleId="TableGrid">
    <w:name w:val="Table Grid"/>
    <w:basedOn w:val="TableNormal"/>
    <w:uiPriority w:val="39"/>
    <w:rsid w:val="00B17CC8"/>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7CC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B17CC8"/>
    <w:pPr>
      <w:spacing w:after="0" w:line="480" w:lineRule="auto"/>
      <w:ind w:left="720"/>
      <w:contextualSpacing/>
    </w:pPr>
    <w:rPr>
      <w:rFonts w:cs="Times New Roman"/>
      <w:sz w:val="24"/>
      <w:szCs w:val="24"/>
      <w:lang w:val="en-GB" w:eastAsia="en-GB"/>
    </w:rPr>
  </w:style>
  <w:style w:type="paragraph" w:styleId="TOC1">
    <w:name w:val="toc 1"/>
    <w:basedOn w:val="Normal"/>
    <w:next w:val="Normal"/>
    <w:autoRedefine/>
    <w:uiPriority w:val="39"/>
    <w:unhideWhenUsed/>
    <w:rsid w:val="000F6FF3"/>
    <w:pPr>
      <w:spacing w:after="100"/>
    </w:pPr>
  </w:style>
  <w:style w:type="paragraph" w:styleId="TOC2">
    <w:name w:val="toc 2"/>
    <w:basedOn w:val="Normal"/>
    <w:next w:val="Normal"/>
    <w:autoRedefine/>
    <w:uiPriority w:val="39"/>
    <w:unhideWhenUsed/>
    <w:rsid w:val="000F6FF3"/>
    <w:pPr>
      <w:spacing w:after="100"/>
      <w:ind w:left="280"/>
    </w:pPr>
  </w:style>
  <w:style w:type="paragraph" w:styleId="TOC3">
    <w:name w:val="toc 3"/>
    <w:basedOn w:val="Normal"/>
    <w:next w:val="Normal"/>
    <w:autoRedefine/>
    <w:uiPriority w:val="39"/>
    <w:unhideWhenUsed/>
    <w:rsid w:val="000F6FF3"/>
    <w:pPr>
      <w:spacing w:after="100"/>
      <w:ind w:left="560"/>
    </w:pPr>
  </w:style>
  <w:style w:type="paragraph" w:styleId="TOC4">
    <w:name w:val="toc 4"/>
    <w:basedOn w:val="Normal"/>
    <w:next w:val="Normal"/>
    <w:autoRedefine/>
    <w:uiPriority w:val="39"/>
    <w:unhideWhenUsed/>
    <w:rsid w:val="00993526"/>
    <w:pPr>
      <w:spacing w:after="100"/>
      <w:ind w:left="840"/>
    </w:pPr>
  </w:style>
  <w:style w:type="paragraph" w:styleId="NoSpacing">
    <w:name w:val="No Spacing"/>
    <w:link w:val="NoSpacingChar"/>
    <w:uiPriority w:val="1"/>
    <w:qFormat/>
    <w:rsid w:val="007C4EC9"/>
    <w:pPr>
      <w:spacing w:after="0" w:line="240" w:lineRule="auto"/>
    </w:pPr>
    <w:rPr>
      <w:lang w:eastAsia="en-US"/>
    </w:rPr>
  </w:style>
  <w:style w:type="character" w:customStyle="1" w:styleId="NoSpacingChar">
    <w:name w:val="No Spacing Char"/>
    <w:basedOn w:val="DefaultParagraphFont"/>
    <w:link w:val="NoSpacing"/>
    <w:uiPriority w:val="1"/>
    <w:rsid w:val="007C4EC9"/>
    <w:rPr>
      <w:lang w:eastAsia="en-US"/>
    </w:rPr>
  </w:style>
  <w:style w:type="character" w:styleId="EndnoteReference">
    <w:name w:val="endnote reference"/>
    <w:basedOn w:val="DefaultParagraphFont"/>
    <w:uiPriority w:val="99"/>
    <w:semiHidden/>
    <w:unhideWhenUsed/>
    <w:rsid w:val="00C36D50"/>
    <w:rPr>
      <w:vertAlign w:val="superscript"/>
    </w:rPr>
  </w:style>
  <w:style w:type="character" w:styleId="FootnoteReference">
    <w:name w:val="footnote reference"/>
    <w:basedOn w:val="DefaultParagraphFont"/>
    <w:uiPriority w:val="99"/>
    <w:semiHidden/>
    <w:unhideWhenUsed/>
    <w:rsid w:val="00C36D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13782">
      <w:bodyDiv w:val="1"/>
      <w:marLeft w:val="0"/>
      <w:marRight w:val="0"/>
      <w:marTop w:val="0"/>
      <w:marBottom w:val="0"/>
      <w:divBdr>
        <w:top w:val="none" w:sz="0" w:space="0" w:color="auto"/>
        <w:left w:val="none" w:sz="0" w:space="0" w:color="auto"/>
        <w:bottom w:val="none" w:sz="0" w:space="0" w:color="auto"/>
        <w:right w:val="none" w:sz="0" w:space="0" w:color="auto"/>
      </w:divBdr>
    </w:div>
    <w:div w:id="468941356">
      <w:bodyDiv w:val="1"/>
      <w:marLeft w:val="0"/>
      <w:marRight w:val="0"/>
      <w:marTop w:val="0"/>
      <w:marBottom w:val="0"/>
      <w:divBdr>
        <w:top w:val="none" w:sz="0" w:space="0" w:color="auto"/>
        <w:left w:val="none" w:sz="0" w:space="0" w:color="auto"/>
        <w:bottom w:val="none" w:sz="0" w:space="0" w:color="auto"/>
        <w:right w:val="none" w:sz="0" w:space="0" w:color="auto"/>
      </w:divBdr>
    </w:div>
    <w:div w:id="511335544">
      <w:bodyDiv w:val="1"/>
      <w:marLeft w:val="0"/>
      <w:marRight w:val="0"/>
      <w:marTop w:val="0"/>
      <w:marBottom w:val="0"/>
      <w:divBdr>
        <w:top w:val="none" w:sz="0" w:space="0" w:color="auto"/>
        <w:left w:val="none" w:sz="0" w:space="0" w:color="auto"/>
        <w:bottom w:val="none" w:sz="0" w:space="0" w:color="auto"/>
        <w:right w:val="none" w:sz="0" w:space="0" w:color="auto"/>
      </w:divBdr>
      <w:divsChild>
        <w:div w:id="63455728">
          <w:marLeft w:val="0"/>
          <w:marRight w:val="0"/>
          <w:marTop w:val="0"/>
          <w:marBottom w:val="0"/>
          <w:divBdr>
            <w:top w:val="none" w:sz="0" w:space="0" w:color="auto"/>
            <w:left w:val="none" w:sz="0" w:space="0" w:color="auto"/>
            <w:bottom w:val="none" w:sz="0" w:space="0" w:color="auto"/>
            <w:right w:val="none" w:sz="0" w:space="0" w:color="auto"/>
          </w:divBdr>
          <w:divsChild>
            <w:div w:id="690570562">
              <w:marLeft w:val="0"/>
              <w:marRight w:val="0"/>
              <w:marTop w:val="0"/>
              <w:marBottom w:val="0"/>
              <w:divBdr>
                <w:top w:val="none" w:sz="0" w:space="0" w:color="auto"/>
                <w:left w:val="none" w:sz="0" w:space="0" w:color="auto"/>
                <w:bottom w:val="none" w:sz="0" w:space="0" w:color="auto"/>
                <w:right w:val="none" w:sz="0" w:space="0" w:color="auto"/>
              </w:divBdr>
              <w:divsChild>
                <w:div w:id="1751461879">
                  <w:marLeft w:val="0"/>
                  <w:marRight w:val="0"/>
                  <w:marTop w:val="0"/>
                  <w:marBottom w:val="0"/>
                  <w:divBdr>
                    <w:top w:val="none" w:sz="0" w:space="0" w:color="auto"/>
                    <w:left w:val="none" w:sz="0" w:space="0" w:color="auto"/>
                    <w:bottom w:val="none" w:sz="0" w:space="0" w:color="auto"/>
                    <w:right w:val="none" w:sz="0" w:space="0" w:color="auto"/>
                  </w:divBdr>
                  <w:divsChild>
                    <w:div w:id="1822430819">
                      <w:marLeft w:val="0"/>
                      <w:marRight w:val="0"/>
                      <w:marTop w:val="0"/>
                      <w:marBottom w:val="0"/>
                      <w:divBdr>
                        <w:top w:val="none" w:sz="0" w:space="0" w:color="auto"/>
                        <w:left w:val="none" w:sz="0" w:space="0" w:color="auto"/>
                        <w:bottom w:val="none" w:sz="0" w:space="0" w:color="auto"/>
                        <w:right w:val="none" w:sz="0" w:space="0" w:color="auto"/>
                      </w:divBdr>
                      <w:divsChild>
                        <w:div w:id="1819884918">
                          <w:marLeft w:val="0"/>
                          <w:marRight w:val="0"/>
                          <w:marTop w:val="0"/>
                          <w:marBottom w:val="0"/>
                          <w:divBdr>
                            <w:top w:val="none" w:sz="0" w:space="0" w:color="auto"/>
                            <w:left w:val="none" w:sz="0" w:space="0" w:color="auto"/>
                            <w:bottom w:val="none" w:sz="0" w:space="0" w:color="auto"/>
                            <w:right w:val="none" w:sz="0" w:space="0" w:color="auto"/>
                          </w:divBdr>
                          <w:divsChild>
                            <w:div w:id="282545500">
                              <w:marLeft w:val="0"/>
                              <w:marRight w:val="0"/>
                              <w:marTop w:val="0"/>
                              <w:marBottom w:val="0"/>
                              <w:divBdr>
                                <w:top w:val="none" w:sz="0" w:space="0" w:color="auto"/>
                                <w:left w:val="none" w:sz="0" w:space="0" w:color="auto"/>
                                <w:bottom w:val="none" w:sz="0" w:space="0" w:color="auto"/>
                                <w:right w:val="none" w:sz="0" w:space="0" w:color="auto"/>
                              </w:divBdr>
                              <w:divsChild>
                                <w:div w:id="428160624">
                                  <w:marLeft w:val="0"/>
                                  <w:marRight w:val="0"/>
                                  <w:marTop w:val="0"/>
                                  <w:marBottom w:val="0"/>
                                  <w:divBdr>
                                    <w:top w:val="none" w:sz="0" w:space="0" w:color="auto"/>
                                    <w:left w:val="none" w:sz="0" w:space="0" w:color="auto"/>
                                    <w:bottom w:val="none" w:sz="0" w:space="0" w:color="auto"/>
                                    <w:right w:val="none" w:sz="0" w:space="0" w:color="auto"/>
                                  </w:divBdr>
                                  <w:divsChild>
                                    <w:div w:id="1012073586">
                                      <w:marLeft w:val="0"/>
                                      <w:marRight w:val="0"/>
                                      <w:marTop w:val="0"/>
                                      <w:marBottom w:val="0"/>
                                      <w:divBdr>
                                        <w:top w:val="none" w:sz="0" w:space="0" w:color="auto"/>
                                        <w:left w:val="none" w:sz="0" w:space="0" w:color="auto"/>
                                        <w:bottom w:val="none" w:sz="0" w:space="0" w:color="auto"/>
                                        <w:right w:val="none" w:sz="0" w:space="0" w:color="auto"/>
                                      </w:divBdr>
                                      <w:divsChild>
                                        <w:div w:id="1694185317">
                                          <w:marLeft w:val="0"/>
                                          <w:marRight w:val="0"/>
                                          <w:marTop w:val="0"/>
                                          <w:marBottom w:val="0"/>
                                          <w:divBdr>
                                            <w:top w:val="none" w:sz="0" w:space="0" w:color="auto"/>
                                            <w:left w:val="none" w:sz="0" w:space="0" w:color="auto"/>
                                            <w:bottom w:val="none" w:sz="0" w:space="0" w:color="auto"/>
                                            <w:right w:val="none" w:sz="0" w:space="0" w:color="auto"/>
                                          </w:divBdr>
                                          <w:divsChild>
                                            <w:div w:id="1063523108">
                                              <w:marLeft w:val="0"/>
                                              <w:marRight w:val="0"/>
                                              <w:marTop w:val="0"/>
                                              <w:marBottom w:val="0"/>
                                              <w:divBdr>
                                                <w:top w:val="none" w:sz="0" w:space="0" w:color="auto"/>
                                                <w:left w:val="none" w:sz="0" w:space="0" w:color="auto"/>
                                                <w:bottom w:val="none" w:sz="0" w:space="0" w:color="auto"/>
                                                <w:right w:val="none" w:sz="0" w:space="0" w:color="auto"/>
                                              </w:divBdr>
                                              <w:divsChild>
                                                <w:div w:id="843666436">
                                                  <w:marLeft w:val="0"/>
                                                  <w:marRight w:val="0"/>
                                                  <w:marTop w:val="0"/>
                                                  <w:marBottom w:val="0"/>
                                                  <w:divBdr>
                                                    <w:top w:val="none" w:sz="0" w:space="0" w:color="auto"/>
                                                    <w:left w:val="none" w:sz="0" w:space="0" w:color="auto"/>
                                                    <w:bottom w:val="none" w:sz="0" w:space="0" w:color="auto"/>
                                                    <w:right w:val="none" w:sz="0" w:space="0" w:color="auto"/>
                                                  </w:divBdr>
                                                  <w:divsChild>
                                                    <w:div w:id="1443841280">
                                                      <w:marLeft w:val="0"/>
                                                      <w:marRight w:val="0"/>
                                                      <w:marTop w:val="0"/>
                                                      <w:marBottom w:val="0"/>
                                                      <w:divBdr>
                                                        <w:top w:val="none" w:sz="0" w:space="0" w:color="auto"/>
                                                        <w:left w:val="none" w:sz="0" w:space="0" w:color="auto"/>
                                                        <w:bottom w:val="none" w:sz="0" w:space="0" w:color="auto"/>
                                                        <w:right w:val="none" w:sz="0" w:space="0" w:color="auto"/>
                                                      </w:divBdr>
                                                      <w:divsChild>
                                                        <w:div w:id="1486050916">
                                                          <w:marLeft w:val="0"/>
                                                          <w:marRight w:val="0"/>
                                                          <w:marTop w:val="0"/>
                                                          <w:marBottom w:val="0"/>
                                                          <w:divBdr>
                                                            <w:top w:val="none" w:sz="0" w:space="0" w:color="auto"/>
                                                            <w:left w:val="none" w:sz="0" w:space="0" w:color="auto"/>
                                                            <w:bottom w:val="none" w:sz="0" w:space="0" w:color="auto"/>
                                                            <w:right w:val="none" w:sz="0" w:space="0" w:color="auto"/>
                                                          </w:divBdr>
                                                          <w:divsChild>
                                                            <w:div w:id="1662536138">
                                                              <w:marLeft w:val="0"/>
                                                              <w:marRight w:val="0"/>
                                                              <w:marTop w:val="0"/>
                                                              <w:marBottom w:val="120"/>
                                                              <w:divBdr>
                                                                <w:top w:val="none" w:sz="0" w:space="0" w:color="auto"/>
                                                                <w:left w:val="none" w:sz="0" w:space="0" w:color="auto"/>
                                                                <w:bottom w:val="none" w:sz="0" w:space="0" w:color="auto"/>
                                                                <w:right w:val="none" w:sz="0" w:space="0" w:color="auto"/>
                                                              </w:divBdr>
                                                              <w:divsChild>
                                                                <w:div w:id="771440480">
                                                                  <w:marLeft w:val="0"/>
                                                                  <w:marRight w:val="0"/>
                                                                  <w:marTop w:val="0"/>
                                                                  <w:marBottom w:val="0"/>
                                                                  <w:divBdr>
                                                                    <w:top w:val="none" w:sz="0" w:space="0" w:color="auto"/>
                                                                    <w:left w:val="none" w:sz="0" w:space="0" w:color="auto"/>
                                                                    <w:bottom w:val="none" w:sz="0" w:space="0" w:color="auto"/>
                                                                    <w:right w:val="none" w:sz="0" w:space="0" w:color="auto"/>
                                                                  </w:divBdr>
                                                                  <w:divsChild>
                                                                    <w:div w:id="176965276">
                                                                      <w:marLeft w:val="0"/>
                                                                      <w:marRight w:val="0"/>
                                                                      <w:marTop w:val="0"/>
                                                                      <w:marBottom w:val="0"/>
                                                                      <w:divBdr>
                                                                        <w:top w:val="none" w:sz="0" w:space="0" w:color="auto"/>
                                                                        <w:left w:val="none" w:sz="0" w:space="0" w:color="auto"/>
                                                                        <w:bottom w:val="none" w:sz="0" w:space="0" w:color="auto"/>
                                                                        <w:right w:val="none" w:sz="0" w:space="0" w:color="auto"/>
                                                                      </w:divBdr>
                                                                    </w:div>
                                                                    <w:div w:id="746461475">
                                                                      <w:marLeft w:val="0"/>
                                                                      <w:marRight w:val="0"/>
                                                                      <w:marTop w:val="0"/>
                                                                      <w:marBottom w:val="0"/>
                                                                      <w:divBdr>
                                                                        <w:top w:val="none" w:sz="0" w:space="0" w:color="auto"/>
                                                                        <w:left w:val="none" w:sz="0" w:space="0" w:color="auto"/>
                                                                        <w:bottom w:val="none" w:sz="0" w:space="0" w:color="auto"/>
                                                                        <w:right w:val="none" w:sz="0" w:space="0" w:color="auto"/>
                                                                      </w:divBdr>
                                                                    </w:div>
                                                                    <w:div w:id="1506702631">
                                                                      <w:marLeft w:val="0"/>
                                                                      <w:marRight w:val="0"/>
                                                                      <w:marTop w:val="0"/>
                                                                      <w:marBottom w:val="0"/>
                                                                      <w:divBdr>
                                                                        <w:top w:val="none" w:sz="0" w:space="0" w:color="auto"/>
                                                                        <w:left w:val="none" w:sz="0" w:space="0" w:color="auto"/>
                                                                        <w:bottom w:val="none" w:sz="0" w:space="0" w:color="auto"/>
                                                                        <w:right w:val="none" w:sz="0" w:space="0" w:color="auto"/>
                                                                      </w:divBdr>
                                                                    </w:div>
                                                                    <w:div w:id="17174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6070470">
      <w:bodyDiv w:val="1"/>
      <w:marLeft w:val="0"/>
      <w:marRight w:val="0"/>
      <w:marTop w:val="0"/>
      <w:marBottom w:val="0"/>
      <w:divBdr>
        <w:top w:val="none" w:sz="0" w:space="0" w:color="auto"/>
        <w:left w:val="none" w:sz="0" w:space="0" w:color="auto"/>
        <w:bottom w:val="none" w:sz="0" w:space="0" w:color="auto"/>
        <w:right w:val="none" w:sz="0" w:space="0" w:color="auto"/>
      </w:divBdr>
    </w:div>
    <w:div w:id="1504391145">
      <w:bodyDiv w:val="1"/>
      <w:marLeft w:val="0"/>
      <w:marRight w:val="0"/>
      <w:marTop w:val="0"/>
      <w:marBottom w:val="0"/>
      <w:divBdr>
        <w:top w:val="none" w:sz="0" w:space="0" w:color="auto"/>
        <w:left w:val="none" w:sz="0" w:space="0" w:color="auto"/>
        <w:bottom w:val="none" w:sz="0" w:space="0" w:color="auto"/>
        <w:right w:val="none" w:sz="0" w:space="0" w:color="auto"/>
      </w:divBdr>
    </w:div>
    <w:div w:id="19557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wt.org.uk/publications/?action=search"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Donnelly@soilassociation.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odforlife.org.uk" TargetMode="External"/><Relationship Id="rId20" Type="http://schemas.openxmlformats.org/officeDocument/2006/relationships/hyperlink" Target="http://www.inside.aau.dk/nyheder/aaudk/vis/forskere-vil-forbedre-madoplevelsen-for-aeldre.cid32229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tthew.Jones@uwe.ac.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a.Ismail@uwe.ac.uk" TargetMode="External"/><Relationship Id="rId22" Type="http://schemas.openxmlformats.org/officeDocument/2006/relationships/hyperlink" Target="http://www.thenacc.co.uk/shop/product/Nutritional+Standards+for+Adul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_000\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4.xml><?xml version="1.0" encoding="utf-8"?>
<ds:datastoreItem xmlns:ds="http://schemas.openxmlformats.org/officeDocument/2006/customXml" ds:itemID="{0E8622EE-BD3E-49D9-93E3-9BC3791D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5</TotalTime>
  <Pages>38</Pages>
  <Words>9812</Words>
  <Characters>55929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_</vt:lpstr>
    </vt:vector>
  </TitlesOfParts>
  <Company>Soil Association</Company>
  <LinksUpToDate>false</LinksUpToDate>
  <CharactersWithSpaces>65610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Sanda Ismail</dc:creator>
  <cp:lastModifiedBy>Sanda Ismail</cp:lastModifiedBy>
  <cp:revision>5</cp:revision>
  <cp:lastPrinted>2017-11-09T18:46:00Z</cp:lastPrinted>
  <dcterms:created xsi:type="dcterms:W3CDTF">2017-11-30T14:19:00Z</dcterms:created>
  <dcterms:modified xsi:type="dcterms:W3CDTF">2017-11-30T14:39:00Z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