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6F47E" w14:textId="77777777" w:rsidR="00917BAD" w:rsidRPr="00544715" w:rsidRDefault="00917BAD" w:rsidP="00917BAD">
      <w:pPr>
        <w:pStyle w:val="Title"/>
        <w:jc w:val="left"/>
      </w:pPr>
      <w:r>
        <w:t>Measuring compliance with minimum wages</w:t>
      </w:r>
    </w:p>
    <w:p w14:paraId="08AE4D69" w14:textId="77777777" w:rsidR="00917BAD" w:rsidRDefault="00917BAD" w:rsidP="00917BAD">
      <w:pPr>
        <w:pStyle w:val="Subtitle"/>
      </w:pPr>
      <w:r>
        <w:t>Felix Ritchie</w:t>
      </w:r>
      <w:r w:rsidR="00A11C42">
        <w:t>*</w:t>
      </w:r>
      <w:r>
        <w:t xml:space="preserve">, </w:t>
      </w:r>
      <w:proofErr w:type="spellStart"/>
      <w:r>
        <w:t>Michail</w:t>
      </w:r>
      <w:proofErr w:type="spellEnd"/>
      <w:r>
        <w:t xml:space="preserve"> </w:t>
      </w:r>
      <w:proofErr w:type="spellStart"/>
      <w:r>
        <w:t>Veliziotis</w:t>
      </w:r>
      <w:proofErr w:type="spellEnd"/>
      <w:r w:rsidR="00A11C42">
        <w:t>**</w:t>
      </w:r>
      <w:r>
        <w:t xml:space="preserve">, </w:t>
      </w:r>
      <w:r w:rsidR="00C2432A">
        <w:t>Hilary Drew</w:t>
      </w:r>
      <w:r w:rsidR="00A11C42">
        <w:t>*</w:t>
      </w:r>
      <w:r w:rsidR="00C2432A">
        <w:t xml:space="preserve">, </w:t>
      </w:r>
      <w:r>
        <w:t xml:space="preserve">and Damian </w:t>
      </w:r>
      <w:proofErr w:type="spellStart"/>
      <w:r>
        <w:t>Whittard</w:t>
      </w:r>
      <w:proofErr w:type="spellEnd"/>
      <w:r w:rsidR="00A11C42">
        <w:t>*</w:t>
      </w:r>
    </w:p>
    <w:p w14:paraId="21DC5B23" w14:textId="77777777" w:rsidR="00FE207E" w:rsidRPr="004641A4" w:rsidRDefault="00A11C42" w:rsidP="00A11C42">
      <w:pPr>
        <w:pStyle w:val="Subtitle"/>
        <w:numPr>
          <w:ilvl w:val="0"/>
          <w:numId w:val="0"/>
        </w:numPr>
        <w:rPr>
          <w:sz w:val="24"/>
          <w:szCs w:val="24"/>
        </w:rPr>
      </w:pPr>
      <w:r w:rsidRPr="004641A4">
        <w:rPr>
          <w:i w:val="0"/>
          <w:iCs w:val="0"/>
          <w:sz w:val="24"/>
          <w:szCs w:val="24"/>
        </w:rPr>
        <w:t>*</w:t>
      </w:r>
      <w:r w:rsidRPr="004641A4">
        <w:rPr>
          <w:sz w:val="24"/>
          <w:szCs w:val="24"/>
        </w:rPr>
        <w:t xml:space="preserve"> </w:t>
      </w:r>
      <w:r w:rsidR="00917BAD" w:rsidRPr="004641A4">
        <w:rPr>
          <w:sz w:val="24"/>
          <w:szCs w:val="24"/>
        </w:rPr>
        <w:t>Bristol Business School, University of the West of England, Bristol</w:t>
      </w:r>
    </w:p>
    <w:p w14:paraId="1DA104B7" w14:textId="77777777" w:rsidR="00A11C42" w:rsidRPr="004641A4" w:rsidRDefault="00A11C42" w:rsidP="00FE03CD">
      <w:pPr>
        <w:pStyle w:val="Subtitle"/>
        <w:rPr>
          <w:sz w:val="24"/>
          <w:szCs w:val="24"/>
        </w:rPr>
      </w:pPr>
      <w:r w:rsidRPr="004641A4">
        <w:rPr>
          <w:sz w:val="24"/>
          <w:szCs w:val="24"/>
        </w:rPr>
        <w:t>** Southampton Business School, University of Southampton</w:t>
      </w:r>
    </w:p>
    <w:p w14:paraId="6415BA28" w14:textId="1A4F31F5" w:rsidR="006A59B0" w:rsidRDefault="006A59B0">
      <w:pPr>
        <w:rPr>
          <w:rStyle w:val="IntenseEmphasis"/>
          <w:b w:val="0"/>
          <w:i w:val="0"/>
          <w:color w:val="auto"/>
        </w:rPr>
      </w:pPr>
      <w:r w:rsidRPr="006A59B0">
        <w:rPr>
          <w:rStyle w:val="IntenseEmphasis"/>
          <w:b w:val="0"/>
          <w:i w:val="0"/>
          <w:color w:val="auto"/>
        </w:rPr>
        <w:t>C</w:t>
      </w:r>
      <w:r>
        <w:rPr>
          <w:rStyle w:val="IntenseEmphasis"/>
          <w:b w:val="0"/>
          <w:i w:val="0"/>
          <w:color w:val="auto"/>
        </w:rPr>
        <w:t>o</w:t>
      </w:r>
      <w:r w:rsidRPr="006A59B0">
        <w:rPr>
          <w:rStyle w:val="IntenseEmphasis"/>
          <w:b w:val="0"/>
          <w:i w:val="0"/>
          <w:color w:val="auto"/>
        </w:rPr>
        <w:t>rrespond</w:t>
      </w:r>
      <w:r>
        <w:rPr>
          <w:rStyle w:val="IntenseEmphasis"/>
          <w:b w:val="0"/>
          <w:i w:val="0"/>
          <w:color w:val="auto"/>
        </w:rPr>
        <w:t>i</w:t>
      </w:r>
      <w:r w:rsidRPr="006A59B0">
        <w:rPr>
          <w:rStyle w:val="IntenseEmphasis"/>
          <w:b w:val="0"/>
          <w:i w:val="0"/>
          <w:color w:val="auto"/>
        </w:rPr>
        <w:t>ng autho</w:t>
      </w:r>
      <w:r>
        <w:rPr>
          <w:rStyle w:val="IntenseEmphasis"/>
          <w:b w:val="0"/>
          <w:i w:val="0"/>
          <w:color w:val="auto"/>
        </w:rPr>
        <w:t xml:space="preserve">r: Felix Ritchie, Bristol Centre for Economics and Finance, Bristol Business School, University of the West of England, </w:t>
      </w:r>
      <w:proofErr w:type="spellStart"/>
      <w:r>
        <w:rPr>
          <w:rStyle w:val="IntenseEmphasis"/>
          <w:b w:val="0"/>
          <w:i w:val="0"/>
          <w:color w:val="auto"/>
        </w:rPr>
        <w:t>Coldharbour</w:t>
      </w:r>
      <w:proofErr w:type="spellEnd"/>
      <w:r>
        <w:rPr>
          <w:rStyle w:val="IntenseEmphasis"/>
          <w:b w:val="0"/>
          <w:i w:val="0"/>
          <w:color w:val="auto"/>
        </w:rPr>
        <w:t xml:space="preserve"> Lane Bristol BS16 1QY UK. </w:t>
      </w:r>
      <w:proofErr w:type="gramStart"/>
      <w:r>
        <w:rPr>
          <w:rStyle w:val="IntenseEmphasis"/>
          <w:b w:val="0"/>
          <w:i w:val="0"/>
          <w:color w:val="auto"/>
        </w:rPr>
        <w:t>Tel +44 (0) 117 32 81319.</w:t>
      </w:r>
      <w:proofErr w:type="gramEnd"/>
      <w:r>
        <w:rPr>
          <w:rStyle w:val="IntenseEmphasis"/>
          <w:b w:val="0"/>
          <w:i w:val="0"/>
          <w:color w:val="auto"/>
        </w:rPr>
        <w:t xml:space="preserve"> Email: </w:t>
      </w:r>
      <w:hyperlink r:id="rId9" w:history="1">
        <w:r w:rsidRPr="00C93B10">
          <w:rPr>
            <w:rStyle w:val="Hyperlink"/>
          </w:rPr>
          <w:t>felix.ritchie@uwe.ac.uk</w:t>
        </w:r>
      </w:hyperlink>
      <w:r>
        <w:rPr>
          <w:rStyle w:val="IntenseEmphasis"/>
          <w:b w:val="0"/>
          <w:i w:val="0"/>
          <w:color w:val="auto"/>
        </w:rPr>
        <w:t xml:space="preserve">. </w:t>
      </w:r>
    </w:p>
    <w:p w14:paraId="05AE321D" w14:textId="77777777" w:rsidR="006A59B0" w:rsidRDefault="006A59B0"/>
    <w:p w14:paraId="4D2EDA2D" w14:textId="4E07118F" w:rsidR="006A59B0" w:rsidRDefault="0049342B" w:rsidP="00FA68F7">
      <w:r>
        <w:t>A</w:t>
      </w:r>
      <w:r w:rsidR="006A59B0">
        <w:t>bstract</w:t>
      </w:r>
    </w:p>
    <w:p w14:paraId="2668890C" w14:textId="1974DC52" w:rsidR="00FA68F7" w:rsidRDefault="00FA68F7" w:rsidP="00FA68F7">
      <w:r>
        <w:t xml:space="preserve">Identifying genuine underpayment of minimum wages is not straightforward. Some well-known statistical issues affect the measurement of compliance rates, but factors such as processing or behavioural </w:t>
      </w:r>
      <w:r w:rsidR="006A59B0">
        <w:t>influences</w:t>
      </w:r>
      <w:r>
        <w:t xml:space="preserve"> amongst respondents can also have an impact. We study the quantitative measurement of non-compliance</w:t>
      </w:r>
      <w:r w:rsidR="004641A4">
        <w:t xml:space="preserve"> with the minimum wage</w:t>
      </w:r>
      <w:r>
        <w:t xml:space="preserve">, using UK apprentices (who have particularly high non-compliance rates) as </w:t>
      </w:r>
      <w:r w:rsidR="004641A4">
        <w:t>a case study</w:t>
      </w:r>
      <w:r>
        <w:t xml:space="preserve">. We show that understanding </w:t>
      </w:r>
      <w:r w:rsidR="004641A4">
        <w:t xml:space="preserve">the </w:t>
      </w:r>
      <w:r>
        <w:t>institutional and behavioural context can be invaluable, as can triangulation of different sources. While the binary nature of compliance makes such problems easier to identify and evaluate, this analysis holds wider lessons for the understanding of the characteristics of large and complex datasets.</w:t>
      </w:r>
    </w:p>
    <w:p w14:paraId="24C83D4B" w14:textId="77777777" w:rsidR="002F28EE" w:rsidRPr="006A59B0" w:rsidRDefault="002F28EE" w:rsidP="006A59B0">
      <w:r w:rsidRPr="006A59B0">
        <w:rPr>
          <w:rStyle w:val="IntenseEmphasis"/>
          <w:b w:val="0"/>
          <w:i w:val="0"/>
          <w:color w:val="auto"/>
        </w:rPr>
        <w:t>JEL codes:</w:t>
      </w:r>
      <w:r w:rsidRPr="006A59B0">
        <w:t xml:space="preserve">  </w:t>
      </w:r>
      <w:r w:rsidR="006315E3" w:rsidRPr="006A59B0">
        <w:t>C18, C55, C81, C83, J31, J38</w:t>
      </w:r>
    </w:p>
    <w:p w14:paraId="30E424D0" w14:textId="77777777" w:rsidR="00312E46" w:rsidRPr="006A59B0" w:rsidRDefault="00312E46" w:rsidP="006A59B0">
      <w:r w:rsidRPr="006A59B0">
        <w:rPr>
          <w:rStyle w:val="IntenseEmphasis"/>
          <w:b w:val="0"/>
          <w:i w:val="0"/>
          <w:color w:val="auto"/>
        </w:rPr>
        <w:t>Key words</w:t>
      </w:r>
      <w:r w:rsidRPr="006A59B0">
        <w:rPr>
          <w:b/>
          <w:i/>
        </w:rPr>
        <w:t>:</w:t>
      </w:r>
      <w:r w:rsidRPr="006A59B0">
        <w:t xml:space="preserve"> minimum wage; non-compliance; measurement error; data quality</w:t>
      </w:r>
    </w:p>
    <w:p w14:paraId="1AA0BFF9" w14:textId="77777777" w:rsidR="006A59B0" w:rsidRDefault="006A59B0">
      <w:r>
        <w:lastRenderedPageBreak/>
        <w:t>Acknowledgements</w:t>
      </w:r>
    </w:p>
    <w:p w14:paraId="4653A239" w14:textId="23F162BD" w:rsidR="002F28EE" w:rsidRDefault="002F28EE">
      <w:r>
        <w:t xml:space="preserve">This paper brings together results from four research projects funded by the UK Low Pay Commission 2012-2016: Fry and Ritchie (2013), Ritchie, </w:t>
      </w:r>
      <w:proofErr w:type="spellStart"/>
      <w:r>
        <w:t>Whittard</w:t>
      </w:r>
      <w:proofErr w:type="spellEnd"/>
      <w:r>
        <w:t xml:space="preserve"> and Dawson (2014), Drew, Ritchie and </w:t>
      </w:r>
      <w:proofErr w:type="spellStart"/>
      <w:r>
        <w:t>Veliziotis</w:t>
      </w:r>
      <w:proofErr w:type="spellEnd"/>
      <w:r>
        <w:t xml:space="preserve"> (2015a, 2015b, 2016). We are grateful to LPC for the comments and discussion on those reports, to participants at the LPC’s research conferences</w:t>
      </w:r>
      <w:r w:rsidR="00515654">
        <w:t xml:space="preserve"> and the Scottish Economic Society conference</w:t>
      </w:r>
      <w:r>
        <w:t>, and to discussants of our presentations.</w:t>
      </w:r>
      <w:r w:rsidR="00102782">
        <w:t xml:space="preserve"> We are also grateful for the comments of </w:t>
      </w:r>
      <w:r w:rsidR="00B8592C">
        <w:t>Andrea</w:t>
      </w:r>
      <w:r w:rsidR="00102782">
        <w:t xml:space="preserve"> </w:t>
      </w:r>
      <w:proofErr w:type="spellStart"/>
      <w:r w:rsidR="00102782">
        <w:t>Garnero</w:t>
      </w:r>
      <w:proofErr w:type="spellEnd"/>
      <w:r w:rsidR="00102782">
        <w:t xml:space="preserve"> </w:t>
      </w:r>
      <w:r w:rsidR="00004588">
        <w:t xml:space="preserve">and Sarah Brown </w:t>
      </w:r>
      <w:r w:rsidR="00102782">
        <w:t>on early drafts.</w:t>
      </w:r>
    </w:p>
    <w:p w14:paraId="11834059" w14:textId="77777777" w:rsidR="002F28EE" w:rsidRDefault="002F28EE" w:rsidP="00CF6AB4">
      <w:r>
        <w:t xml:space="preserve">Statistical results presented in this paper using ASHE or LFS data are </w:t>
      </w:r>
      <w:r w:rsidR="00CF6AB4">
        <w:t xml:space="preserve">Crown Copyright. The use of the ONS statistical data in this work does not imply the endorsement of the ONS in relation to the interpretation or analysis of the statistical data. This work uses research datasets which may not exactly reproduce National Statistics aggregates. All statistical results in the paper are generated from ONS data </w:t>
      </w:r>
      <w:r w:rsidR="00102782">
        <w:t xml:space="preserve">or the Apprentice Pay Survey </w:t>
      </w:r>
      <w:r w:rsidR="00CF6AB4">
        <w:t>by the authors, unless otherwise stated. A</w:t>
      </w:r>
      <w:r>
        <w:t xml:space="preserve">ccess to the </w:t>
      </w:r>
      <w:r w:rsidR="00102782">
        <w:t xml:space="preserve">ASHE </w:t>
      </w:r>
      <w:r>
        <w:t>data was given by the Office for National Statistics under project no. 12016. Access to APS data was granted by the Department for Business Industry and Skills.</w:t>
      </w:r>
    </w:p>
    <w:p w14:paraId="73484F6D" w14:textId="0C843BCB" w:rsidR="00CF6AB4" w:rsidRDefault="002F28EE">
      <w:r>
        <w:t>The views expressed in this paper are those of the authors and may not reflect the views of the Low Pay Commission, ONS</w:t>
      </w:r>
      <w:r w:rsidR="002F6CBE">
        <w:t xml:space="preserve"> or</w:t>
      </w:r>
      <w:r>
        <w:t xml:space="preserve"> BIS. All errors and omissions are the responsibility of the authors.</w:t>
      </w:r>
    </w:p>
    <w:p w14:paraId="381BF22C" w14:textId="77777777" w:rsidR="002E0E72" w:rsidRDefault="002E0E72"/>
    <w:p w14:paraId="23265947" w14:textId="77777777" w:rsidR="00B824C0" w:rsidRPr="00D957C5" w:rsidRDefault="00B824C0" w:rsidP="002E0E72">
      <w:pPr>
        <w:rPr>
          <w:i/>
          <w:sz w:val="24"/>
        </w:rPr>
        <w:sectPr w:rsidR="00B824C0" w:rsidRPr="00D957C5" w:rsidSect="00FA550B">
          <w:footerReference w:type="default" r:id="rId10"/>
          <w:pgSz w:w="11906" w:h="16838"/>
          <w:pgMar w:top="1440" w:right="1440" w:bottom="1440" w:left="1440" w:header="708" w:footer="708" w:gutter="0"/>
          <w:cols w:space="708"/>
          <w:docGrid w:linePitch="360"/>
        </w:sectPr>
      </w:pPr>
    </w:p>
    <w:p w14:paraId="113BC3B9" w14:textId="04B57DFC" w:rsidR="004F1F6F" w:rsidRPr="006A59B0" w:rsidRDefault="004F1F6F" w:rsidP="006A59B0">
      <w:pPr>
        <w:pStyle w:val="Heading1"/>
      </w:pPr>
      <w:r w:rsidRPr="006A59B0">
        <w:lastRenderedPageBreak/>
        <w:t>Introduction</w:t>
      </w:r>
    </w:p>
    <w:p w14:paraId="3CD05C43" w14:textId="55F0595C" w:rsidR="00AE53ED" w:rsidRDefault="009100B3">
      <w:r>
        <w:t>Minimum wages are widespread</w:t>
      </w:r>
      <w:r w:rsidR="00BF6DA2">
        <w:t xml:space="preserve">, particularly </w:t>
      </w:r>
      <w:r w:rsidR="00F52D64">
        <w:t>in high-income countries</w:t>
      </w:r>
      <w:r w:rsidR="00386E07">
        <w:t xml:space="preserve"> (HICs</w:t>
      </w:r>
      <w:proofErr w:type="gramStart"/>
      <w:r w:rsidR="00386E07">
        <w:t>)</w:t>
      </w:r>
      <w:r w:rsidR="00417A51">
        <w:t>-</w:t>
      </w:r>
      <w:proofErr w:type="gramEnd"/>
      <w:r>
        <w:t xml:space="preserve"> 22 out of 28 EU countries </w:t>
      </w:r>
      <w:r w:rsidR="00730066">
        <w:t xml:space="preserve">(26 out of 34 OECD countries) </w:t>
      </w:r>
      <w:r>
        <w:t xml:space="preserve">had a statutory minimum wage in 2015, </w:t>
      </w:r>
      <w:r w:rsidR="00F52D64">
        <w:t xml:space="preserve">and most of the others had </w:t>
      </w:r>
      <w:r w:rsidR="002E5CF4">
        <w:t>various</w:t>
      </w:r>
      <w:r w:rsidR="00F52D64">
        <w:t xml:space="preserve"> </w:t>
      </w:r>
      <w:r w:rsidR="002E5CF4">
        <w:t xml:space="preserve">wage floors determined by </w:t>
      </w:r>
      <w:r w:rsidR="00F52D64">
        <w:t>collective agreement</w:t>
      </w:r>
      <w:r w:rsidR="002E5CF4">
        <w:t>s</w:t>
      </w:r>
      <w:r w:rsidR="00F52D64">
        <w:t xml:space="preserve"> (</w:t>
      </w:r>
      <w:r w:rsidR="0049342B">
        <w:t>1, 2)</w:t>
      </w:r>
      <w:r w:rsidR="00F52D64">
        <w:t>.</w:t>
      </w:r>
      <w:r w:rsidR="00F25CD5">
        <w:t xml:space="preserve"> Minimum wages are seen by their supporters as a key part of the social infrastructure, and by some policy makers as a way to </w:t>
      </w:r>
      <w:r w:rsidR="00AE53ED">
        <w:t xml:space="preserve">shift the burden of in-work social security </w:t>
      </w:r>
      <w:r w:rsidR="00495FBE">
        <w:t xml:space="preserve">expenditure </w:t>
      </w:r>
      <w:r w:rsidR="00AE53ED">
        <w:t>from the state to the employer (</w:t>
      </w:r>
      <w:r w:rsidR="0049342B">
        <w:t>3</w:t>
      </w:r>
      <w:r w:rsidR="00AE53ED">
        <w:t>).</w:t>
      </w:r>
      <w:r w:rsidR="00CC283E">
        <w:t xml:space="preserve"> </w:t>
      </w:r>
      <w:r w:rsidR="00AE53ED">
        <w:t>Ensuring that wages paid are compliant with the statutory minimum is therefore not just a legal necessity but imp</w:t>
      </w:r>
      <w:r w:rsidR="00C16E8C">
        <w:t>ortant to social policy.</w:t>
      </w:r>
      <w:r w:rsidR="00CF6AB4">
        <w:t xml:space="preserve"> Enforcement agencies use estimates of non-compliance to allocate </w:t>
      </w:r>
      <w:r w:rsidR="002122E5">
        <w:t xml:space="preserve">monitoring </w:t>
      </w:r>
      <w:r w:rsidR="00CF6AB4">
        <w:t>resources effectively.</w:t>
      </w:r>
    </w:p>
    <w:p w14:paraId="207037D4" w14:textId="77777777" w:rsidR="00CC283E" w:rsidRDefault="00660849">
      <w:r>
        <w:t xml:space="preserve">Studies generally assume that non-compliance is accurately measured. </w:t>
      </w:r>
      <w:r w:rsidR="00CC283E">
        <w:t xml:space="preserve">However, the binary nature of the </w:t>
      </w:r>
      <w:r w:rsidR="00895C3E">
        <w:t>compliance measure</w:t>
      </w:r>
      <w:r w:rsidR="00CC283E">
        <w:t xml:space="preserve"> (is the wage </w:t>
      </w:r>
      <w:r w:rsidR="00C35561">
        <w:t>lawful or not?</w:t>
      </w:r>
      <w:r w:rsidR="00CC283E">
        <w:t>) can cause problems for analysis. Consider</w:t>
      </w:r>
      <w:r w:rsidR="00D54763">
        <w:t xml:space="preserve"> </w:t>
      </w:r>
      <w:r w:rsidR="00624FF5">
        <w:t xml:space="preserve">what happens if the </w:t>
      </w:r>
      <w:r w:rsidR="004D7F63">
        <w:t xml:space="preserve">true wage peaks at the minimum but the </w:t>
      </w:r>
      <w:r w:rsidR="00624FF5">
        <w:t xml:space="preserve">observed wage is </w:t>
      </w:r>
      <w:r w:rsidR="00CC283E">
        <w:t xml:space="preserve">measured with a randomly distributed error with mean zero. Estimates of the mean </w:t>
      </w:r>
      <w:r w:rsidR="00057EE3">
        <w:t xml:space="preserve">and median </w:t>
      </w:r>
      <w:r w:rsidR="00CC283E">
        <w:t>wage are un</w:t>
      </w:r>
      <w:r w:rsidR="00057EE3">
        <w:t>biased</w:t>
      </w:r>
      <w:r w:rsidR="00CC283E">
        <w:t xml:space="preserve"> but</w:t>
      </w:r>
      <w:r w:rsidR="00057EE3">
        <w:t xml:space="preserve"> non-compliance </w:t>
      </w:r>
      <w:r w:rsidR="00D54763">
        <w:t>exceeds the true value:</w:t>
      </w:r>
      <w:r w:rsidR="00057EE3">
        <w:t xml:space="preserve"> the increased dispersion of wages around the minimum wage level </w:t>
      </w:r>
      <w:r w:rsidR="00D54763">
        <w:t>generates</w:t>
      </w:r>
      <w:r w:rsidR="00057EE3">
        <w:t xml:space="preserve"> </w:t>
      </w:r>
      <w:r w:rsidR="00004A74">
        <w:t>more</w:t>
      </w:r>
      <w:r w:rsidR="00057EE3">
        <w:t xml:space="preserve"> observations falling on the ‘wrong’ side of the line.</w:t>
      </w:r>
      <w:r w:rsidR="00624FF5">
        <w:t xml:space="preserve"> </w:t>
      </w:r>
    </w:p>
    <w:p w14:paraId="0C1A906B" w14:textId="6F138EBD" w:rsidR="002F744D" w:rsidRDefault="002122E5">
      <w:r>
        <w:t xml:space="preserve">There has been little research on </w:t>
      </w:r>
      <w:r w:rsidR="00D54763">
        <w:t>the accuracy of non-compliance data</w:t>
      </w:r>
      <w:r>
        <w:t xml:space="preserve"> in the economic</w:t>
      </w:r>
      <w:r w:rsidR="00D33A58">
        <w:t>s</w:t>
      </w:r>
      <w:r w:rsidR="00D54763">
        <w:t>, employment</w:t>
      </w:r>
      <w:r>
        <w:t xml:space="preserve"> </w:t>
      </w:r>
      <w:r w:rsidR="00417A51">
        <w:t xml:space="preserve">studies </w:t>
      </w:r>
      <w:r>
        <w:t>or statistic</w:t>
      </w:r>
      <w:r w:rsidR="00D33A58">
        <w:t>s</w:t>
      </w:r>
      <w:r>
        <w:t xml:space="preserve"> literature. </w:t>
      </w:r>
      <w:r w:rsidR="002F744D">
        <w:t>S</w:t>
      </w:r>
      <w:r>
        <w:t>everal papers have looked at non-compliance</w:t>
      </w:r>
      <w:r w:rsidR="002F744D">
        <w:t xml:space="preserve"> rates in low – and middle-income countries (LMICs)</w:t>
      </w:r>
      <w:r>
        <w:t xml:space="preserve">, but </w:t>
      </w:r>
      <w:r w:rsidR="002F744D">
        <w:t xml:space="preserve">these </w:t>
      </w:r>
      <w:r>
        <w:t>are so high as to make accurate measurement a refinement</w:t>
      </w:r>
      <w:r w:rsidR="004D7F63">
        <w:t xml:space="preserve"> rather than </w:t>
      </w:r>
      <w:r w:rsidR="00417A51">
        <w:t xml:space="preserve">an </w:t>
      </w:r>
      <w:r w:rsidR="004D7F63">
        <w:t>essential</w:t>
      </w:r>
      <w:r w:rsidR="00417A51">
        <w:t xml:space="preserve"> issue</w:t>
      </w:r>
      <w:r>
        <w:t>. In contrast</w:t>
      </w:r>
      <w:r w:rsidR="00417A51">
        <w:t>,</w:t>
      </w:r>
      <w:r>
        <w:t xml:space="preserve"> non-compliance </w:t>
      </w:r>
      <w:r w:rsidR="002F744D">
        <w:t xml:space="preserve">in HICs </w:t>
      </w:r>
      <w:r>
        <w:t xml:space="preserve">is typically very </w:t>
      </w:r>
      <w:r w:rsidR="00400337">
        <w:t xml:space="preserve">low </w:t>
      </w:r>
      <w:r w:rsidR="002F744D">
        <w:t>(</w:t>
      </w:r>
      <w:r w:rsidR="0049342B">
        <w:t>4</w:t>
      </w:r>
      <w:r w:rsidR="002F744D">
        <w:t xml:space="preserve">) </w:t>
      </w:r>
      <w:r>
        <w:t xml:space="preserve">and so </w:t>
      </w:r>
      <w:r w:rsidR="002F744D">
        <w:t>accurate</w:t>
      </w:r>
      <w:r>
        <w:t xml:space="preserve"> measurement can make a substantial difference to non-compliance rates and subsequent policy </w:t>
      </w:r>
      <w:r w:rsidR="00400337">
        <w:t>analyses</w:t>
      </w:r>
      <w:r>
        <w:t>.</w:t>
      </w:r>
    </w:p>
    <w:p w14:paraId="72230886" w14:textId="7EE7EB87" w:rsidR="00A76646" w:rsidRDefault="002122E5" w:rsidP="00A76646">
      <w:r>
        <w:t>Despite the importance of accurate measurement in HICs, the literature is largely limited to a handful o</w:t>
      </w:r>
      <w:r w:rsidR="00D84A08">
        <w:t>f papers from the last century</w:t>
      </w:r>
      <w:r>
        <w:t>.</w:t>
      </w:r>
      <w:r w:rsidR="002F744D">
        <w:t xml:space="preserve"> </w:t>
      </w:r>
      <w:r w:rsidR="00A76646">
        <w:t>One might expect policymaker</w:t>
      </w:r>
      <w:r w:rsidR="004D7F63">
        <w:t>s</w:t>
      </w:r>
      <w:r w:rsidR="002F744D">
        <w:t xml:space="preserve"> and regulators, who have a direct interest</w:t>
      </w:r>
      <w:r w:rsidR="002F6CBE">
        <w:t>,</w:t>
      </w:r>
      <w:r w:rsidR="00A76646">
        <w:t xml:space="preserve"> to fill the gap in the academic literature, </w:t>
      </w:r>
      <w:r w:rsidR="002F744D">
        <w:t>but they</w:t>
      </w:r>
      <w:r w:rsidR="00D84A08">
        <w:t xml:space="preserve"> </w:t>
      </w:r>
      <w:r w:rsidR="002F744D">
        <w:t>s</w:t>
      </w:r>
      <w:r w:rsidR="00D84A08">
        <w:t xml:space="preserve">eem reluctant to </w:t>
      </w:r>
      <w:r w:rsidR="002F744D">
        <w:t>do so</w:t>
      </w:r>
      <w:r w:rsidR="00D84A08">
        <w:t xml:space="preserve">. With the </w:t>
      </w:r>
      <w:r w:rsidR="00D84A08">
        <w:lastRenderedPageBreak/>
        <w:t>exception of the UK, very few agencies have carried out specific analyses of non-compliance rates.</w:t>
      </w:r>
      <w:r w:rsidR="00A76646">
        <w:t xml:space="preserve"> The US Bureau of </w:t>
      </w:r>
      <w:proofErr w:type="spellStart"/>
      <w:r w:rsidR="00A76646">
        <w:t>Labor</w:t>
      </w:r>
      <w:proofErr w:type="spellEnd"/>
      <w:r w:rsidR="00A76646">
        <w:t xml:space="preserve"> Statistics website has no analysis of non-compliance</w:t>
      </w:r>
      <w:r w:rsidR="002F744D">
        <w:t>, arguing (</w:t>
      </w:r>
      <w:r w:rsidR="00F14890">
        <w:t>5: Technical Notes</w:t>
      </w:r>
      <w:r w:rsidR="00A76646">
        <w:t xml:space="preserve">) </w:t>
      </w:r>
      <w:r w:rsidR="002F744D">
        <w:t>t</w:t>
      </w:r>
      <w:r w:rsidR="00A76646">
        <w:t xml:space="preserve">hat deriving an hourly wage leads to excessive measurement error. The </w:t>
      </w:r>
      <w:r w:rsidR="002F6CBE">
        <w:t>New Zealand</w:t>
      </w:r>
      <w:r w:rsidR="00A76646">
        <w:t xml:space="preserve"> Ministry of Business Innovation and Employment produces </w:t>
      </w:r>
      <w:r w:rsidR="00400337">
        <w:t xml:space="preserve">relevant </w:t>
      </w:r>
      <w:r w:rsidR="00A76646">
        <w:t>numbers but no analysis</w:t>
      </w:r>
      <w:r w:rsidR="00F14890">
        <w:t xml:space="preserve"> (6)</w:t>
      </w:r>
      <w:r w:rsidR="00374605">
        <w:t>, while t</w:t>
      </w:r>
      <w:r w:rsidR="00A76646">
        <w:t>he Australian Fair Work Commission has commissioned over fifty research reports since 2006 but only one (</w:t>
      </w:r>
      <w:r w:rsidR="00F14890">
        <w:t>7</w:t>
      </w:r>
      <w:r w:rsidR="00A76646">
        <w:t xml:space="preserve">) directly addresses non-compliance. Moreover, both Antipodean ministries note that there </w:t>
      </w:r>
      <w:r w:rsidR="00400337">
        <w:t>are</w:t>
      </w:r>
      <w:r w:rsidR="00A76646">
        <w:t xml:space="preserve"> insufficient data to distinguish genuine non-compliance from misreporting (</w:t>
      </w:r>
      <w:r w:rsidR="00F14890">
        <w:t>6, 7</w:t>
      </w:r>
      <w:r w:rsidR="00A76646">
        <w:t>).</w:t>
      </w:r>
    </w:p>
    <w:p w14:paraId="450AEA99" w14:textId="58EC9B08" w:rsidR="00855109" w:rsidRDefault="00296DD3" w:rsidP="00D84A08">
      <w:r>
        <w:t xml:space="preserve">There is therefore a substantial gap in the literature. </w:t>
      </w:r>
      <w:r w:rsidR="00D84A08">
        <w:t>This paper aims to address th</w:t>
      </w:r>
      <w:r>
        <w:t>at gap</w:t>
      </w:r>
      <w:r w:rsidR="00D84A08">
        <w:t xml:space="preserve"> by analysing the sequence of events that lead from wage payment to policy inference, via the collection of quantitative data. We then apply this framework to study a particular case, non-compliance rates for </w:t>
      </w:r>
      <w:r w:rsidR="00374605">
        <w:t xml:space="preserve">UK </w:t>
      </w:r>
      <w:r w:rsidR="00D84A08">
        <w:t xml:space="preserve">apprentices. In the analysis, we pay particular attention to the effect of data collection processes, an area </w:t>
      </w:r>
      <w:r w:rsidR="00400337">
        <w:t>that</w:t>
      </w:r>
      <w:r w:rsidR="00D84A08">
        <w:t xml:space="preserve"> is often overlooked when studying the statistical characteristics of data.</w:t>
      </w:r>
      <w:r w:rsidR="00317C23">
        <w:t xml:space="preserve"> </w:t>
      </w:r>
    </w:p>
    <w:p w14:paraId="4ED6DB67" w14:textId="6C78CFBD" w:rsidR="007C7F69" w:rsidRDefault="00FA199B" w:rsidP="00483F09">
      <w:r>
        <w:t xml:space="preserve">The rest of this paper proceeds as follows. </w:t>
      </w:r>
      <w:r w:rsidR="00C55038">
        <w:t xml:space="preserve">The next section reviews </w:t>
      </w:r>
      <w:r>
        <w:t xml:space="preserve">the </w:t>
      </w:r>
      <w:r w:rsidR="00C55038">
        <w:t>relevant</w:t>
      </w:r>
      <w:r w:rsidR="00483F09">
        <w:t xml:space="preserve"> literature</w:t>
      </w:r>
      <w:r w:rsidR="0047732B">
        <w:t xml:space="preserve">. </w:t>
      </w:r>
      <w:r w:rsidR="00483F09">
        <w:t xml:space="preserve">Section </w:t>
      </w:r>
      <w:r w:rsidR="0047732B">
        <w:t>three</w:t>
      </w:r>
      <w:r w:rsidR="00483F09">
        <w:t xml:space="preserve"> revisits the </w:t>
      </w:r>
      <w:r>
        <w:t xml:space="preserve">data </w:t>
      </w:r>
      <w:r w:rsidR="00483F09">
        <w:t>production process and considers the problems that may arise at each stage</w:t>
      </w:r>
      <w:r w:rsidR="00374605">
        <w:t>; s</w:t>
      </w:r>
      <w:r w:rsidR="003C0491">
        <w:t>ection f</w:t>
      </w:r>
      <w:r w:rsidR="00374605">
        <w:t xml:space="preserve">our then applies this </w:t>
      </w:r>
      <w:r w:rsidR="00400337">
        <w:t>framework to</w:t>
      </w:r>
      <w:r w:rsidR="003C0491">
        <w:t xml:space="preserve"> the specific case of </w:t>
      </w:r>
      <w:r w:rsidR="00374605">
        <w:t xml:space="preserve">UK </w:t>
      </w:r>
      <w:r w:rsidR="00D62C58">
        <w:t>apprentices.</w:t>
      </w:r>
      <w:r w:rsidR="00141777">
        <w:t xml:space="preserve"> </w:t>
      </w:r>
      <w:r>
        <w:t>Finally, s</w:t>
      </w:r>
      <w:r w:rsidR="00483F09">
        <w:t xml:space="preserve">ection </w:t>
      </w:r>
      <w:r w:rsidR="00374605">
        <w:t>five</w:t>
      </w:r>
      <w:r w:rsidR="00BF3E15">
        <w:t xml:space="preserve"> </w:t>
      </w:r>
      <w:r w:rsidR="00483F09">
        <w:t>concludes by considering the wider lessons for statistical analysis, particularly given</w:t>
      </w:r>
      <w:r w:rsidR="00BF3E15">
        <w:t xml:space="preserve"> </w:t>
      </w:r>
      <w:r>
        <w:t xml:space="preserve">the </w:t>
      </w:r>
      <w:r w:rsidR="00BF3E15">
        <w:t xml:space="preserve">likely future use of </w:t>
      </w:r>
      <w:r>
        <w:t xml:space="preserve">more </w:t>
      </w:r>
      <w:r w:rsidR="00BF3E15">
        <w:t>complex data sources.</w:t>
      </w:r>
    </w:p>
    <w:p w14:paraId="0686B703" w14:textId="3FCF4876" w:rsidR="004049FC" w:rsidRDefault="004049FC" w:rsidP="00483F09">
      <w:r w:rsidRPr="00400337">
        <w:t>In this paper we focus on the measurement of non-compliance through statistical sources. One of the major problems in non-compliance is the existence of the informal, unmeasured, economy where non-compliance is thought to be much more common (</w:t>
      </w:r>
      <w:r w:rsidR="00233F61">
        <w:t>8</w:t>
      </w:r>
      <w:r w:rsidRPr="00400337">
        <w:t>). This is typically identified through qualitative research methods (</w:t>
      </w:r>
      <w:r w:rsidR="00233F61">
        <w:t xml:space="preserve">9, 10, </w:t>
      </w:r>
      <w:proofErr w:type="gramStart"/>
      <w:r w:rsidR="00233F61">
        <w:t>11</w:t>
      </w:r>
      <w:proofErr w:type="gramEnd"/>
      <w:r w:rsidRPr="00400337">
        <w:t xml:space="preserve">) and so </w:t>
      </w:r>
      <w:r>
        <w:t xml:space="preserve">it is </w:t>
      </w:r>
      <w:r w:rsidRPr="00400337">
        <w:t>outside the scope of this paper.</w:t>
      </w:r>
    </w:p>
    <w:p w14:paraId="14C4B46F" w14:textId="77777777" w:rsidR="00684187" w:rsidRDefault="00716CC9" w:rsidP="006A59B0">
      <w:pPr>
        <w:pStyle w:val="Heading1"/>
      </w:pPr>
      <w:r>
        <w:lastRenderedPageBreak/>
        <w:t>Previous work on</w:t>
      </w:r>
      <w:r w:rsidR="007C7F69">
        <w:t xml:space="preserve"> non-compliance</w:t>
      </w:r>
    </w:p>
    <w:p w14:paraId="594ABB5F" w14:textId="7EF58997" w:rsidR="00A76646" w:rsidRDefault="005648D5" w:rsidP="00A76646">
      <w:r>
        <w:t xml:space="preserve">In their </w:t>
      </w:r>
      <w:r w:rsidR="00FE207E">
        <w:t>extensive survey of the literature on minimum wages</w:t>
      </w:r>
      <w:r>
        <w:t xml:space="preserve">, </w:t>
      </w:r>
      <w:proofErr w:type="spellStart"/>
      <w:r>
        <w:t>Belman</w:t>
      </w:r>
      <w:proofErr w:type="spellEnd"/>
      <w:r>
        <w:t xml:space="preserve"> and Wolfson (</w:t>
      </w:r>
      <w:r w:rsidR="00233F61">
        <w:t>12</w:t>
      </w:r>
      <w:r>
        <w:t>)</w:t>
      </w:r>
      <w:r w:rsidR="00FE207E">
        <w:t xml:space="preserve"> </w:t>
      </w:r>
      <w:r w:rsidR="00BF6DA2">
        <w:t>report</w:t>
      </w:r>
      <w:r w:rsidR="00FE207E">
        <w:t xml:space="preserve"> over 200 policy and academic papers published in English between 1992 and 2013 on minimum wages. However, a </w:t>
      </w:r>
      <w:r w:rsidR="004D7F63">
        <w:t>formal</w:t>
      </w:r>
      <w:r w:rsidR="00D33A58">
        <w:t xml:space="preserve"> literature</w:t>
      </w:r>
      <w:r w:rsidR="00FE207E">
        <w:t xml:space="preserve"> search indicates barely a handful of </w:t>
      </w:r>
      <w:r w:rsidR="00D33A58">
        <w:t xml:space="preserve">academic </w:t>
      </w:r>
      <w:r w:rsidR="00FE207E">
        <w:t xml:space="preserve">papers on non-compliance, and only two </w:t>
      </w:r>
      <w:r w:rsidR="00BF6DA2">
        <w:t xml:space="preserve">focusing </w:t>
      </w:r>
      <w:r w:rsidR="00FE207E">
        <w:t xml:space="preserve">on </w:t>
      </w:r>
      <w:r>
        <w:t xml:space="preserve">its </w:t>
      </w:r>
      <w:r w:rsidR="00FE207E">
        <w:t>measurement.</w:t>
      </w:r>
      <w:r w:rsidR="00750554">
        <w:t xml:space="preserve"> Similarly, a literature review on non-compliance commissioned by the UK Low Pay Commission (LPC) largely turned up </w:t>
      </w:r>
      <w:r>
        <w:t xml:space="preserve">only </w:t>
      </w:r>
      <w:r w:rsidR="00750554">
        <w:t xml:space="preserve">reports and evidence submitted to </w:t>
      </w:r>
      <w:r w:rsidR="00233F61">
        <w:t>the LPC itself (13</w:t>
      </w:r>
      <w:r w:rsidR="00750554">
        <w:t>).</w:t>
      </w:r>
    </w:p>
    <w:p w14:paraId="23031C6E" w14:textId="78E34DF6" w:rsidR="00710377" w:rsidRDefault="00BE42C3" w:rsidP="00A76646">
      <w:r>
        <w:t>E</w:t>
      </w:r>
      <w:r w:rsidR="00D33A58">
        <w:t>arl</w:t>
      </w:r>
      <w:r w:rsidR="00A76646">
        <w:t>y</w:t>
      </w:r>
      <w:r w:rsidR="00D33A58">
        <w:t xml:space="preserve"> </w:t>
      </w:r>
      <w:r w:rsidR="00A76646">
        <w:t>academic analysis</w:t>
      </w:r>
      <w:r w:rsidR="00D33A58">
        <w:t xml:space="preserve"> (</w:t>
      </w:r>
      <w:r w:rsidR="00233F61">
        <w:t>14-20</w:t>
      </w:r>
      <w:r w:rsidR="00D33A58">
        <w:t>)</w:t>
      </w:r>
      <w:r w:rsidR="00BD6201">
        <w:t xml:space="preserve"> </w:t>
      </w:r>
      <w:r w:rsidR="00F13478">
        <w:t xml:space="preserve">focused on </w:t>
      </w:r>
      <w:r w:rsidR="00FE207E">
        <w:t>understand</w:t>
      </w:r>
      <w:r w:rsidR="00F13478">
        <w:t>ing</w:t>
      </w:r>
      <w:r w:rsidR="00FE207E">
        <w:t xml:space="preserve"> t</w:t>
      </w:r>
      <w:r w:rsidR="007B2CA3">
        <w:t>h</w:t>
      </w:r>
      <w:r w:rsidR="00FE207E">
        <w:t>e drivers of non-compliance</w:t>
      </w:r>
      <w:r w:rsidR="00F13478">
        <w:t xml:space="preserve"> in HICs</w:t>
      </w:r>
      <w:r w:rsidR="00FE207E">
        <w:t xml:space="preserve">. </w:t>
      </w:r>
      <w:r w:rsidR="002F6CBE">
        <w:t xml:space="preserve">Using US data, </w:t>
      </w:r>
      <w:proofErr w:type="spellStart"/>
      <w:r>
        <w:t>Gramlich</w:t>
      </w:r>
      <w:proofErr w:type="spellEnd"/>
      <w:r>
        <w:t xml:space="preserve"> et al (</w:t>
      </w:r>
      <w:r w:rsidR="00233F61">
        <w:t>14</w:t>
      </w:r>
      <w:r>
        <w:t xml:space="preserve">) showed </w:t>
      </w:r>
      <w:r w:rsidR="00400337">
        <w:t xml:space="preserve">statistical </w:t>
      </w:r>
      <w:r w:rsidR="006706BD">
        <w:t>relationships between non-compl</w:t>
      </w:r>
      <w:r>
        <w:t>i</w:t>
      </w:r>
      <w:r w:rsidR="006706BD">
        <w:t>a</w:t>
      </w:r>
      <w:r>
        <w:t>nce and other variables</w:t>
      </w:r>
      <w:r w:rsidR="006706BD">
        <w:t xml:space="preserve">. </w:t>
      </w:r>
      <w:proofErr w:type="spellStart"/>
      <w:r w:rsidR="006706BD">
        <w:t>A</w:t>
      </w:r>
      <w:r>
        <w:t>shenfelter</w:t>
      </w:r>
      <w:proofErr w:type="spellEnd"/>
      <w:r>
        <w:t xml:space="preserve"> and Smith (</w:t>
      </w:r>
      <w:r w:rsidR="00233F61">
        <w:t>15</w:t>
      </w:r>
      <w:r>
        <w:t xml:space="preserve">) </w:t>
      </w:r>
      <w:r w:rsidR="006706BD">
        <w:t xml:space="preserve">used the same data but </w:t>
      </w:r>
      <w:r>
        <w:t xml:space="preserve">developed a cost-benefit </w:t>
      </w:r>
      <w:r w:rsidR="00400337">
        <w:t>framework that</w:t>
      </w:r>
      <w:r>
        <w:t xml:space="preserve"> provided the theoretical template for </w:t>
      </w:r>
      <w:r w:rsidR="006706BD">
        <w:t>later</w:t>
      </w:r>
      <w:r>
        <w:t xml:space="preserve"> papers.</w:t>
      </w:r>
    </w:p>
    <w:p w14:paraId="49667789" w14:textId="57DD0644" w:rsidR="00FE207E" w:rsidRDefault="00DF00C7" w:rsidP="007C7F69">
      <w:r>
        <w:t>For these papers, the accuracy of the non-compliance measure is of secondary importance</w:t>
      </w:r>
      <w:r w:rsidR="006706BD">
        <w:t>:</w:t>
      </w:r>
      <w:r>
        <w:t xml:space="preserve"> small variations do not materially affect the broad functional relationships being identified (for example, between non-compliance</w:t>
      </w:r>
      <w:r w:rsidR="00F24331">
        <w:t xml:space="preserve"> rates</w:t>
      </w:r>
      <w:r>
        <w:t xml:space="preserve"> and industry or occupation). </w:t>
      </w:r>
      <w:proofErr w:type="gramStart"/>
      <w:r w:rsidR="00710377">
        <w:t xml:space="preserve">Even </w:t>
      </w:r>
      <w:r w:rsidR="00400337">
        <w:t xml:space="preserve"> studies</w:t>
      </w:r>
      <w:proofErr w:type="gramEnd"/>
      <w:r w:rsidR="00400337">
        <w:t xml:space="preserve"> that </w:t>
      </w:r>
      <w:r w:rsidR="00710377">
        <w:t xml:space="preserve">specifically </w:t>
      </w:r>
      <w:r w:rsidR="00400337">
        <w:t xml:space="preserve">estimate </w:t>
      </w:r>
      <w:r w:rsidR="00710377">
        <w:t xml:space="preserve">the probability of non-compliance </w:t>
      </w:r>
      <w:r w:rsidR="00F24331">
        <w:t xml:space="preserve">at </w:t>
      </w:r>
      <w:r w:rsidR="00400337">
        <w:t xml:space="preserve">the </w:t>
      </w:r>
      <w:r w:rsidR="00F24331">
        <w:t xml:space="preserve">individual level </w:t>
      </w:r>
      <w:r w:rsidR="00710377">
        <w:t>(e</w:t>
      </w:r>
      <w:r w:rsidR="001D2D47">
        <w:t>.</w:t>
      </w:r>
      <w:r w:rsidR="00710377">
        <w:t>g</w:t>
      </w:r>
      <w:r w:rsidR="001D2D47">
        <w:t>.</w:t>
      </w:r>
      <w:r w:rsidR="00710377">
        <w:t xml:space="preserve"> </w:t>
      </w:r>
      <w:r w:rsidR="00233F61">
        <w:t>1, 21, 22, 23</w:t>
      </w:r>
      <w:r w:rsidR="00710377">
        <w:t>)</w:t>
      </w:r>
      <w:r w:rsidR="00400337">
        <w:t>,</w:t>
      </w:r>
      <w:r w:rsidR="00710377">
        <w:t xml:space="preserve"> the quantitative and qualitative results do not seem to be sensitive to the particular definition</w:t>
      </w:r>
      <w:r w:rsidR="00F24331">
        <w:t xml:space="preserve"> of non-compliance used.</w:t>
      </w:r>
    </w:p>
    <w:p w14:paraId="7B0498DC" w14:textId="42174622" w:rsidR="00E6680A" w:rsidRDefault="006706BD" w:rsidP="007C7F69">
      <w:r>
        <w:t xml:space="preserve">These papers </w:t>
      </w:r>
      <w:r w:rsidR="00E6680A">
        <w:t xml:space="preserve">recognise </w:t>
      </w:r>
      <w:r>
        <w:t xml:space="preserve">potential </w:t>
      </w:r>
      <w:r w:rsidR="00E6680A">
        <w:t xml:space="preserve">measurement problems. Three solutions are generally </w:t>
      </w:r>
      <w:r w:rsidR="00400337">
        <w:t>implemented</w:t>
      </w:r>
      <w:r>
        <w:t>:</w:t>
      </w:r>
    </w:p>
    <w:p w14:paraId="7A6924CF" w14:textId="102E5C9C" w:rsidR="00994547" w:rsidRDefault="00E6680A" w:rsidP="00994547">
      <w:pPr>
        <w:pStyle w:val="ListParagraph"/>
        <w:numPr>
          <w:ilvl w:val="0"/>
          <w:numId w:val="2"/>
        </w:numPr>
      </w:pPr>
      <w:r>
        <w:t>Fuzziness: wages ‘close enough’ to the minimum wage may be considered as compliant</w:t>
      </w:r>
      <w:r w:rsidR="00400337">
        <w:t>.</w:t>
      </w:r>
    </w:p>
    <w:p w14:paraId="2EB600D4" w14:textId="5DA37E0C" w:rsidR="00994547" w:rsidRDefault="00994547" w:rsidP="00994547">
      <w:pPr>
        <w:pStyle w:val="ListParagraph"/>
        <w:numPr>
          <w:ilvl w:val="0"/>
          <w:numId w:val="2"/>
        </w:numPr>
      </w:pPr>
      <w:r>
        <w:t>Quality restrictions: only high-quality data are used</w:t>
      </w:r>
      <w:r w:rsidR="00400337">
        <w:t>.</w:t>
      </w:r>
    </w:p>
    <w:p w14:paraId="174A8096" w14:textId="64278719" w:rsidR="00994547" w:rsidRDefault="00994547" w:rsidP="00994547">
      <w:pPr>
        <w:pStyle w:val="ListParagraph"/>
        <w:numPr>
          <w:ilvl w:val="0"/>
          <w:numId w:val="2"/>
        </w:numPr>
      </w:pPr>
      <w:r>
        <w:t>Triangulation: data sou</w:t>
      </w:r>
      <w:r w:rsidR="00F356DC">
        <w:t>r</w:t>
      </w:r>
      <w:r>
        <w:t>ces with different characteristics are checked for consistent findings</w:t>
      </w:r>
      <w:r w:rsidR="00400337">
        <w:t>.</w:t>
      </w:r>
    </w:p>
    <w:p w14:paraId="2033BD7B" w14:textId="32874615" w:rsidR="002820F1" w:rsidRDefault="00994547" w:rsidP="007C7F69">
      <w:r>
        <w:t xml:space="preserve">For example, </w:t>
      </w:r>
      <w:proofErr w:type="spellStart"/>
      <w:r>
        <w:t>Ashenfelter</w:t>
      </w:r>
      <w:proofErr w:type="spellEnd"/>
      <w:r>
        <w:t xml:space="preserve"> and Smith (</w:t>
      </w:r>
      <w:r w:rsidR="00233F61">
        <w:t>15</w:t>
      </w:r>
      <w:r>
        <w:t xml:space="preserve">) do all three: they treat a wage as </w:t>
      </w:r>
      <w:r w:rsidR="00E63DF2">
        <w:t xml:space="preserve">being </w:t>
      </w:r>
      <w:r>
        <w:t xml:space="preserve">at the minimum if it is within +/- 5 cents, they restrict analysis to stated hourly wages rather than calculating wages for </w:t>
      </w:r>
      <w:r>
        <w:lastRenderedPageBreak/>
        <w:t xml:space="preserve">the non-hourly paid, and they compare results from </w:t>
      </w:r>
      <w:r w:rsidR="00E63DF2">
        <w:t xml:space="preserve">both </w:t>
      </w:r>
      <w:r>
        <w:t>employee and employer surveys.</w:t>
      </w:r>
      <w:r w:rsidR="009C6A29">
        <w:t xml:space="preserve"> In </w:t>
      </w:r>
      <w:r w:rsidR="00400337">
        <w:t>theory,</w:t>
      </w:r>
      <w:r w:rsidR="009C6A29">
        <w:t xml:space="preserve"> this ensures that only high-quality and robust analysis is carried</w:t>
      </w:r>
      <w:r w:rsidR="00400337">
        <w:t xml:space="preserve"> out</w:t>
      </w:r>
      <w:r w:rsidR="009C6A29">
        <w:t>; but it could also be argued that such methods bias analyses towards ‘good’ employers</w:t>
      </w:r>
      <w:r w:rsidR="006706BD">
        <w:t xml:space="preserve"> who are likely to pay lawful wages</w:t>
      </w:r>
      <w:r w:rsidR="009C6A29">
        <w:t>.</w:t>
      </w:r>
    </w:p>
    <w:p w14:paraId="14CFDBF6" w14:textId="2A3752F7" w:rsidR="00E6680A" w:rsidRDefault="00BD6201" w:rsidP="007C7F69">
      <w:r>
        <w:t xml:space="preserve">Since 2000, the focus of non-compliance </w:t>
      </w:r>
      <w:r w:rsidR="00E63DF2">
        <w:t xml:space="preserve">analyses </w:t>
      </w:r>
      <w:r>
        <w:t xml:space="preserve">has shifted to </w:t>
      </w:r>
      <w:r w:rsidR="00386E07">
        <w:t>LMICs</w:t>
      </w:r>
      <w:r>
        <w:t xml:space="preserve">, particularly Latin America and sub-Saharan Africa </w:t>
      </w:r>
      <w:r w:rsidR="00E63DF2">
        <w:t xml:space="preserve">(see, </w:t>
      </w:r>
      <w:r>
        <w:t xml:space="preserve">for example, </w:t>
      </w:r>
      <w:r w:rsidR="007F4C09">
        <w:t>23-26</w:t>
      </w:r>
      <w:r w:rsidR="002820F1">
        <w:t>)</w:t>
      </w:r>
      <w:r>
        <w:t xml:space="preserve">. These papers rarely consider </w:t>
      </w:r>
      <w:r w:rsidR="00E63DF2">
        <w:t xml:space="preserve">issues concerning </w:t>
      </w:r>
      <w:r>
        <w:t>the accuracy of the data.</w:t>
      </w:r>
      <w:r w:rsidR="00C606B5">
        <w:t xml:space="preserve"> </w:t>
      </w:r>
      <w:r>
        <w:t xml:space="preserve">One reason may be </w:t>
      </w:r>
      <w:r w:rsidR="00D52B7E">
        <w:t xml:space="preserve">that </w:t>
      </w:r>
      <w:r w:rsidR="00E63DF2">
        <w:t xml:space="preserve">the </w:t>
      </w:r>
      <w:r w:rsidR="00D52B7E">
        <w:t xml:space="preserve">data </w:t>
      </w:r>
      <w:r w:rsidR="00E63DF2">
        <w:t>are</w:t>
      </w:r>
      <w:r w:rsidR="00D52B7E">
        <w:t xml:space="preserve"> relatively limited; for example, </w:t>
      </w:r>
      <w:proofErr w:type="spellStart"/>
      <w:r w:rsidR="00D52B7E">
        <w:t>Strobl</w:t>
      </w:r>
      <w:proofErr w:type="spellEnd"/>
      <w:r w:rsidR="00D52B7E">
        <w:t xml:space="preserve"> and Walsh (</w:t>
      </w:r>
      <w:r w:rsidR="007F4C09">
        <w:t>24</w:t>
      </w:r>
      <w:r w:rsidR="00D52B7E">
        <w:t>) only had categorical data</w:t>
      </w:r>
      <w:r w:rsidR="00E63DF2">
        <w:t xml:space="preserve">, while </w:t>
      </w:r>
      <w:r w:rsidR="00D52B7E">
        <w:t>Ye et al (</w:t>
      </w:r>
      <w:r w:rsidR="007F4C09">
        <w:t>23</w:t>
      </w:r>
      <w:r w:rsidR="00D52B7E">
        <w:t>) only had annual wages</w:t>
      </w:r>
      <w:r w:rsidR="00C606B5">
        <w:t xml:space="preserve">, while </w:t>
      </w:r>
      <w:r w:rsidR="00D52B7E">
        <w:t>supplementary payments were not accurately identified.</w:t>
      </w:r>
      <w:r w:rsidR="00D676F2">
        <w:t xml:space="preserve"> </w:t>
      </w:r>
      <w:r w:rsidR="00D52B7E">
        <w:t xml:space="preserve">However, a more likely reason is the </w:t>
      </w:r>
      <w:r w:rsidR="00C15EDA">
        <w:t xml:space="preserve">very </w:t>
      </w:r>
      <w:r w:rsidR="00D52B7E">
        <w:t xml:space="preserve">high rates of non-compliance </w:t>
      </w:r>
      <w:r w:rsidR="00386E07">
        <w:t>in LMICs</w:t>
      </w:r>
      <w:r w:rsidR="00C15EDA">
        <w:t xml:space="preserve">. Cross-country studies such as </w:t>
      </w:r>
      <w:r w:rsidR="007F4C09">
        <w:t>(26-29</w:t>
      </w:r>
      <w:r w:rsidR="00C15EDA">
        <w:t xml:space="preserve">) show compliance levels </w:t>
      </w:r>
      <w:r w:rsidR="00D676F2">
        <w:t>w</w:t>
      </w:r>
      <w:r w:rsidR="00C15EDA">
        <w:t xml:space="preserve">ell below 100%; </w:t>
      </w:r>
      <w:r w:rsidR="00D676F2">
        <w:t>for</w:t>
      </w:r>
      <w:r w:rsidR="002E0E72">
        <w:t xml:space="preserve"> Mali</w:t>
      </w:r>
      <w:r w:rsidR="000A2881">
        <w:t xml:space="preserve">, </w:t>
      </w:r>
      <w:r w:rsidR="009C6A29">
        <w:t>Rani et al (2</w:t>
      </w:r>
      <w:r w:rsidR="007F4C09">
        <w:t>8</w:t>
      </w:r>
      <w:r w:rsidR="009C6A29">
        <w:t xml:space="preserve">) estimate </w:t>
      </w:r>
      <w:r w:rsidR="002E0E72">
        <w:t xml:space="preserve">compliance </w:t>
      </w:r>
      <w:r w:rsidR="009C6A29">
        <w:t>at</w:t>
      </w:r>
      <w:r w:rsidR="002E0E72">
        <w:t xml:space="preserve"> </w:t>
      </w:r>
      <w:r w:rsidR="009C6A29">
        <w:t xml:space="preserve">only </w:t>
      </w:r>
      <w:r w:rsidR="002E0E72">
        <w:t>10%.</w:t>
      </w:r>
      <w:r w:rsidR="00C15EDA">
        <w:t xml:space="preserve"> </w:t>
      </w:r>
      <w:r w:rsidR="00D676F2">
        <w:t>S</w:t>
      </w:r>
      <w:r w:rsidR="006F6C97">
        <w:t xml:space="preserve">mall </w:t>
      </w:r>
      <w:r w:rsidR="00C15EDA">
        <w:t>inaccuracies in the data</w:t>
      </w:r>
      <w:r w:rsidR="006F6C97">
        <w:t xml:space="preserve"> </w:t>
      </w:r>
      <w:r w:rsidR="00D676F2">
        <w:t>a</w:t>
      </w:r>
      <w:r w:rsidR="006F6C97">
        <w:t>re less important</w:t>
      </w:r>
      <w:r w:rsidR="00C15EDA">
        <w:t xml:space="preserve">, as these </w:t>
      </w:r>
      <w:r w:rsidR="00D676F2">
        <w:t>do not</w:t>
      </w:r>
      <w:r w:rsidR="00D52B7E">
        <w:t xml:space="preserve"> change results substantially.</w:t>
      </w:r>
      <w:r w:rsidR="00053275">
        <w:t xml:space="preserve"> For example, Yamada (2</w:t>
      </w:r>
      <w:r w:rsidR="007F4C09">
        <w:t>5,</w:t>
      </w:r>
      <w:r w:rsidR="00053275">
        <w:t xml:space="preserve"> p</w:t>
      </w:r>
      <w:r w:rsidR="00E63DF2">
        <w:t>.</w:t>
      </w:r>
      <w:r w:rsidR="00053275">
        <w:t>46) notes that allow</w:t>
      </w:r>
      <w:r w:rsidR="00D676F2">
        <w:t xml:space="preserve">ing </w:t>
      </w:r>
      <w:r w:rsidR="00053275">
        <w:t>for measurement error does change compliance rates, but with compliance below 40% in all sectors, findings are very robust to alternative specifications.</w:t>
      </w:r>
    </w:p>
    <w:p w14:paraId="05363B6C" w14:textId="3E567AB0" w:rsidR="00F13478" w:rsidRDefault="00F13478" w:rsidP="00F13478">
      <w:r>
        <w:t>In recent years there has been a resurgence of interest in non-compli</w:t>
      </w:r>
      <w:r w:rsidR="00A76646">
        <w:t>a</w:t>
      </w:r>
      <w:r>
        <w:t xml:space="preserve">nce in HICs, largely </w:t>
      </w:r>
      <w:r w:rsidR="00B0129E">
        <w:t xml:space="preserve">driven by </w:t>
      </w:r>
      <w:r w:rsidR="00C606B5">
        <w:t>OECD</w:t>
      </w:r>
      <w:r w:rsidR="00B0129E">
        <w:t xml:space="preserve">-sponsored research and </w:t>
      </w:r>
      <w:proofErr w:type="gramStart"/>
      <w:r w:rsidR="00B0129E">
        <w:t>an awareness</w:t>
      </w:r>
      <w:proofErr w:type="gramEnd"/>
      <w:r w:rsidR="00B0129E">
        <w:t xml:space="preserve"> that the high compliance rates in</w:t>
      </w:r>
      <w:r w:rsidR="00A76646">
        <w:t xml:space="preserve"> t</w:t>
      </w:r>
      <w:r w:rsidR="00B0129E">
        <w:t>h</w:t>
      </w:r>
      <w:r w:rsidR="00A76646">
        <w:t>e</w:t>
      </w:r>
      <w:r w:rsidR="00B0129E">
        <w:t xml:space="preserve"> OECD are not problem-free. </w:t>
      </w:r>
      <w:r>
        <w:t xml:space="preserve">For example, </w:t>
      </w:r>
      <w:proofErr w:type="spellStart"/>
      <w:r>
        <w:t>Kampelman</w:t>
      </w:r>
      <w:r w:rsidR="007F4C09">
        <w:t>n</w:t>
      </w:r>
      <w:proofErr w:type="spellEnd"/>
      <w:r>
        <w:t xml:space="preserve"> et al (</w:t>
      </w:r>
      <w:r w:rsidR="007F4C09">
        <w:t>4</w:t>
      </w:r>
      <w:r>
        <w:t xml:space="preserve">) repeatedly highlight the </w:t>
      </w:r>
      <w:r w:rsidR="00D676F2">
        <w:t>impact</w:t>
      </w:r>
      <w:r>
        <w:t xml:space="preserve"> of measurement error on non-compliance estimates in Europe. In response, they provide alternative measures of non-compliance where the true minimum wage is reduced by 25% to produce ‘lower bound’ estimates. </w:t>
      </w:r>
      <w:proofErr w:type="spellStart"/>
      <w:r>
        <w:t>Garnero</w:t>
      </w:r>
      <w:proofErr w:type="spellEnd"/>
      <w:r>
        <w:t xml:space="preserve"> et al (</w:t>
      </w:r>
      <w:r w:rsidR="007F4C09">
        <w:t>1</w:t>
      </w:r>
      <w:r>
        <w:t>) allow both 25% and 15% margins of error, although this is partly to allow for approximate compliance in countries where the minimum wage is bargained rather than statutory.</w:t>
      </w:r>
    </w:p>
    <w:p w14:paraId="0C92438D" w14:textId="0AADE480" w:rsidR="00C13295" w:rsidRDefault="00C13295" w:rsidP="007C7F69">
      <w:r>
        <w:t xml:space="preserve">Finally, there is the question of what is meant by ‘non-compliance’. </w:t>
      </w:r>
      <w:proofErr w:type="spellStart"/>
      <w:r>
        <w:t>Bhorat</w:t>
      </w:r>
      <w:proofErr w:type="spellEnd"/>
      <w:r>
        <w:t xml:space="preserve"> et al (</w:t>
      </w:r>
      <w:r w:rsidR="007F4C09">
        <w:t>30</w:t>
      </w:r>
      <w:r>
        <w:t xml:space="preserve">) </w:t>
      </w:r>
      <w:r w:rsidR="009C6A29">
        <w:t>argue</w:t>
      </w:r>
      <w:r>
        <w:t xml:space="preserve"> that there is a qualitative difference between one or two cents below the minimum wage and being paid a dollar or euro below. </w:t>
      </w:r>
      <w:r w:rsidR="00D676F2">
        <w:t>T</w:t>
      </w:r>
      <w:r>
        <w:t>hey propose a weight</w:t>
      </w:r>
      <w:r w:rsidR="00D676F2">
        <w:t>ed index</w:t>
      </w:r>
      <w:r>
        <w:t xml:space="preserve"> such that trivial violations are ignorable, and </w:t>
      </w:r>
      <w:r>
        <w:lastRenderedPageBreak/>
        <w:t xml:space="preserve">which usefully includes counts and linear summations among its special cases. Applying their methodology to South Africa, they find a correlation between the number </w:t>
      </w:r>
      <w:r w:rsidR="00D676F2">
        <w:t xml:space="preserve">and scale </w:t>
      </w:r>
      <w:r>
        <w:t>of violations. Ham (</w:t>
      </w:r>
      <w:r w:rsidR="007F4C09">
        <w:t>31</w:t>
      </w:r>
      <w:r>
        <w:t xml:space="preserve">) </w:t>
      </w:r>
      <w:r w:rsidR="00D676F2">
        <w:t>c</w:t>
      </w:r>
      <w:r>
        <w:t xml:space="preserve">omes to the same conclusion using data from Honduras. </w:t>
      </w:r>
    </w:p>
    <w:p w14:paraId="62363D3B" w14:textId="078C3BDF" w:rsidR="00951D53" w:rsidRDefault="00951D53" w:rsidP="00296DD3">
      <w:r>
        <w:t xml:space="preserve">In sum, academic researchers are prepared to live with inaccuracies in the measurement of non-compliance because the scale relationships they are interested in are not sensitive to the particular specification. However, this finding may arise because many analyses use ad hoc adjustments to deal with low-quality or missing data, leading to the circular argument that low-quality data shows that high-quality data </w:t>
      </w:r>
      <w:r w:rsidR="00C606B5">
        <w:t xml:space="preserve">are </w:t>
      </w:r>
      <w:r>
        <w:t>not needed.</w:t>
      </w:r>
    </w:p>
    <w:p w14:paraId="55D7E570" w14:textId="2A4CA002" w:rsidR="0000656B" w:rsidRDefault="00951D53" w:rsidP="00296DD3">
      <w:r>
        <w:t>This seems to have influenced regul</w:t>
      </w:r>
      <w:r w:rsidR="005F73F4">
        <w:t>a</w:t>
      </w:r>
      <w:r>
        <w:t>tors and policy analysts</w:t>
      </w:r>
      <w:r w:rsidR="00C606B5">
        <w:t>,</w:t>
      </w:r>
      <w:r>
        <w:t xml:space="preserve"> who have largely ignored the issue of accurate measurement of non-compliance. </w:t>
      </w:r>
      <w:r w:rsidR="00D676F2">
        <w:t>O</w:t>
      </w:r>
      <w:r w:rsidR="00A76646">
        <w:t xml:space="preserve">ne </w:t>
      </w:r>
      <w:r w:rsidR="00296DD3">
        <w:t>would</w:t>
      </w:r>
      <w:r w:rsidR="00A76646">
        <w:t xml:space="preserve"> expect</w:t>
      </w:r>
      <w:r>
        <w:t xml:space="preserve"> those producing and using </w:t>
      </w:r>
      <w:r w:rsidR="00A76646">
        <w:t xml:space="preserve">compliance statistics </w:t>
      </w:r>
      <w:r w:rsidR="00296DD3">
        <w:t>to be</w:t>
      </w:r>
      <w:r w:rsidR="00A76646">
        <w:t xml:space="preserve"> </w:t>
      </w:r>
      <w:r>
        <w:t>concerned about</w:t>
      </w:r>
      <w:r w:rsidR="00A76646">
        <w:t xml:space="preserve"> the accuracy of the measures. However, </w:t>
      </w:r>
      <w:r w:rsidR="00D676F2">
        <w:t>as noted in the Introduct</w:t>
      </w:r>
      <w:r>
        <w:t>i</w:t>
      </w:r>
      <w:r w:rsidR="00D676F2">
        <w:t xml:space="preserve">on, </w:t>
      </w:r>
      <w:r>
        <w:t xml:space="preserve">there seems relatively little interest </w:t>
      </w:r>
      <w:r w:rsidR="00A76646">
        <w:t xml:space="preserve">among </w:t>
      </w:r>
      <w:r>
        <w:t xml:space="preserve">such </w:t>
      </w:r>
      <w:r w:rsidR="00A76646">
        <w:t>bodies</w:t>
      </w:r>
      <w:r w:rsidR="005F73F4">
        <w:t xml:space="preserve">. </w:t>
      </w:r>
      <w:r w:rsidR="00296DD3">
        <w:t>The exception is the UK: t</w:t>
      </w:r>
      <w:r w:rsidR="0048511D">
        <w:t xml:space="preserve">he </w:t>
      </w:r>
      <w:r w:rsidR="00E66E32">
        <w:t xml:space="preserve">literature review </w:t>
      </w:r>
      <w:r w:rsidR="007F4C09">
        <w:t>(13)</w:t>
      </w:r>
      <w:r w:rsidR="00E66E32">
        <w:t xml:space="preserve"> confirmed that most of what is known about non-compliance in the UK is derived from reports commissioned by the L</w:t>
      </w:r>
      <w:r w:rsidR="00296DD3">
        <w:t xml:space="preserve">ow Pay </w:t>
      </w:r>
      <w:r>
        <w:t>C</w:t>
      </w:r>
      <w:r w:rsidR="00296DD3">
        <w:t>ommission (LPC)</w:t>
      </w:r>
      <w:r w:rsidR="00E66E32">
        <w:t>, or from evidence submitted to the LPC’s annual consultation exercise:</w:t>
      </w:r>
    </w:p>
    <w:p w14:paraId="5689CDD5" w14:textId="65965149" w:rsidR="0000656B" w:rsidRDefault="0000656B" w:rsidP="0000656B">
      <w:pPr>
        <w:ind w:left="720"/>
      </w:pPr>
      <w:r>
        <w:t>“…</w:t>
      </w:r>
      <w:r w:rsidRPr="0000656B">
        <w:t>although it has rarely been an explicit part of our remit from the Government, we have always reported on the evidence gathered on compliance and enforcement matters through our consultation processes, and regarded this as an integral part of our role in advising on the minimum wage.</w:t>
      </w:r>
      <w:r>
        <w:t xml:space="preserve">” </w:t>
      </w:r>
      <w:proofErr w:type="gramStart"/>
      <w:r>
        <w:t>(</w:t>
      </w:r>
      <w:r w:rsidR="007F4C09">
        <w:t>32</w:t>
      </w:r>
      <w:r>
        <w:t>, p</w:t>
      </w:r>
      <w:r w:rsidR="008D4D14">
        <w:t>.</w:t>
      </w:r>
      <w:r>
        <w:t>199</w:t>
      </w:r>
      <w:r w:rsidR="0048511D">
        <w:t>)</w:t>
      </w:r>
      <w:r>
        <w:t>.</w:t>
      </w:r>
      <w:proofErr w:type="gramEnd"/>
    </w:p>
    <w:p w14:paraId="7FAA3D8A" w14:textId="1619ECF2" w:rsidR="00902F11" w:rsidRDefault="00810F6A" w:rsidP="00951D53">
      <w:r>
        <w:t>A</w:t>
      </w:r>
      <w:r w:rsidR="0047732B">
        <w:t>nalyses</w:t>
      </w:r>
      <w:r>
        <w:t xml:space="preserve"> such as </w:t>
      </w:r>
      <w:r w:rsidR="007F4C09">
        <w:t xml:space="preserve">the </w:t>
      </w:r>
      <w:r>
        <w:t>LPC</w:t>
      </w:r>
      <w:r w:rsidR="007F4C09">
        <w:t xml:space="preserve">’s </w:t>
      </w:r>
      <w:r>
        <w:t>2017</w:t>
      </w:r>
      <w:r w:rsidR="007F4C09">
        <w:t xml:space="preserve"> review (33)</w:t>
      </w:r>
      <w:r w:rsidR="00902F11">
        <w:t>, based on quantitative and qualitative research,</w:t>
      </w:r>
      <w:r w:rsidR="0047732B">
        <w:t xml:space="preserve"> explicitly reference concerns over the accuracy of non-compliance estimates, particularly since </w:t>
      </w:r>
      <w:r w:rsidR="007F4C09">
        <w:t>early reports (34, 35)</w:t>
      </w:r>
      <w:r w:rsidR="0047732B">
        <w:t xml:space="preserve"> </w:t>
      </w:r>
      <w:r w:rsidR="009C6A29">
        <w:t>described</w:t>
      </w:r>
      <w:r w:rsidR="0047732B">
        <w:t xml:space="preserve"> problems of processing and rounding. Le Roux et al (2</w:t>
      </w:r>
      <w:r w:rsidR="007F4C09">
        <w:t>1</w:t>
      </w:r>
      <w:r w:rsidR="0047732B">
        <w:t>) were the first to explicitly test the robustness of non-compliance estimates to data inaccuracies, and concluded that, like earlier academic analyses, multivariate relationships were not sensitive to these data limitations</w:t>
      </w:r>
      <w:r w:rsidR="00951D53">
        <w:t xml:space="preserve"> </w:t>
      </w:r>
      <w:r w:rsidR="00951D53">
        <w:lastRenderedPageBreak/>
        <w:t>(although simple counts were)</w:t>
      </w:r>
      <w:r w:rsidR="0047732B">
        <w:t>.</w:t>
      </w:r>
      <w:r w:rsidR="00296DD3">
        <w:t xml:space="preserve"> However, while there is an element of peer-review in the LPC’s annual research workshops, these findings have </w:t>
      </w:r>
      <w:r w:rsidR="00902F11">
        <w:t>stayed within the realm of ‘government report</w:t>
      </w:r>
      <w:r w:rsidR="00C606B5">
        <w:t>s</w:t>
      </w:r>
      <w:r w:rsidR="00902F11">
        <w:t>’ rather than adding to the academic research canon.</w:t>
      </w:r>
    </w:p>
    <w:p w14:paraId="4107DD2E" w14:textId="77777777" w:rsidR="00684187" w:rsidRDefault="00716CC9" w:rsidP="006A59B0">
      <w:pPr>
        <w:pStyle w:val="Heading1"/>
      </w:pPr>
      <w:r>
        <w:t xml:space="preserve">Identifying </w:t>
      </w:r>
      <w:r w:rsidR="008C430B">
        <w:t xml:space="preserve">genuine </w:t>
      </w:r>
      <w:r>
        <w:t>non-compliance</w:t>
      </w:r>
      <w:r w:rsidR="003C0491">
        <w:t xml:space="preserve"> in principle</w:t>
      </w:r>
    </w:p>
    <w:p w14:paraId="65BD05E6" w14:textId="4272B525" w:rsidR="00716CC9" w:rsidRDefault="004A72E6" w:rsidP="004A72E6">
      <w:r>
        <w:t xml:space="preserve">The </w:t>
      </w:r>
      <w:r w:rsidR="00C606B5">
        <w:t xml:space="preserve">aim of the </w:t>
      </w:r>
      <w:r>
        <w:t xml:space="preserve">analyst </w:t>
      </w:r>
      <w:r w:rsidR="00C606B5">
        <w:t xml:space="preserve">is </w:t>
      </w:r>
      <w:r>
        <w:t>to identify the amount and, ideally, the causes of non-compliance, but t</w:t>
      </w:r>
      <w:r w:rsidR="00BA4EA9">
        <w:t>here are several</w:t>
      </w:r>
      <w:r w:rsidR="008B321A">
        <w:t xml:space="preserve"> </w:t>
      </w:r>
      <w:r w:rsidR="00C606B5">
        <w:t>processes that</w:t>
      </w:r>
      <w:r w:rsidR="008B321A">
        <w:t xml:space="preserve"> occur </w:t>
      </w:r>
      <w:r w:rsidR="00BA4EA9">
        <w:t xml:space="preserve">between </w:t>
      </w:r>
      <w:r w:rsidR="00F8215C">
        <w:t>employer decisions and observable evidence</w:t>
      </w:r>
      <w:r w:rsidR="00BA4EA9">
        <w:t>:</w:t>
      </w:r>
    </w:p>
    <w:p w14:paraId="1F9840BE" w14:textId="77777777" w:rsidR="00716CC9" w:rsidRDefault="00716CC9" w:rsidP="008B321A">
      <w:pPr>
        <w:pStyle w:val="ListParagraph"/>
        <w:numPr>
          <w:ilvl w:val="0"/>
          <w:numId w:val="7"/>
        </w:numPr>
      </w:pPr>
      <w:r>
        <w:t xml:space="preserve">Employers </w:t>
      </w:r>
      <w:r w:rsidR="008B321A">
        <w:t xml:space="preserve">decide what </w:t>
      </w:r>
      <w:r>
        <w:t>to pay workers</w:t>
      </w:r>
      <w:r w:rsidR="00B134FC">
        <w:t>.</w:t>
      </w:r>
    </w:p>
    <w:p w14:paraId="2EF879FD" w14:textId="77777777" w:rsidR="00716CC9" w:rsidRDefault="00716CC9" w:rsidP="008B321A">
      <w:pPr>
        <w:pStyle w:val="ListParagraph"/>
        <w:numPr>
          <w:ilvl w:val="0"/>
          <w:numId w:val="7"/>
        </w:numPr>
      </w:pPr>
      <w:r>
        <w:t>Employers pay workers</w:t>
      </w:r>
      <w:r w:rsidR="00B134FC">
        <w:t>.</w:t>
      </w:r>
    </w:p>
    <w:p w14:paraId="0D6CA4E6" w14:textId="77777777" w:rsidR="00716CC9" w:rsidRDefault="00716CC9" w:rsidP="008B321A">
      <w:pPr>
        <w:pStyle w:val="ListParagraph"/>
        <w:numPr>
          <w:ilvl w:val="0"/>
          <w:numId w:val="7"/>
        </w:numPr>
      </w:pPr>
      <w:r>
        <w:t xml:space="preserve">A subset of those worker-employer interactions are </w:t>
      </w:r>
      <w:r w:rsidR="00030874">
        <w:t xml:space="preserve">identified for </w:t>
      </w:r>
      <w:r>
        <w:t>sampl</w:t>
      </w:r>
      <w:r w:rsidR="00030874">
        <w:t>ing</w:t>
      </w:r>
      <w:r w:rsidR="00B134FC">
        <w:t>.</w:t>
      </w:r>
    </w:p>
    <w:p w14:paraId="1BFEB1B2" w14:textId="77777777" w:rsidR="00716CC9" w:rsidRDefault="00716CC9" w:rsidP="008B321A">
      <w:pPr>
        <w:pStyle w:val="ListParagraph"/>
        <w:numPr>
          <w:ilvl w:val="0"/>
          <w:numId w:val="7"/>
        </w:numPr>
      </w:pPr>
      <w:r>
        <w:t>Hours and earnings information is gathered</w:t>
      </w:r>
      <w:r w:rsidR="008B321A">
        <w:t xml:space="preserve"> from those sampled</w:t>
      </w:r>
      <w:r w:rsidR="00B134FC">
        <w:t>.</w:t>
      </w:r>
    </w:p>
    <w:p w14:paraId="14F3BE9A" w14:textId="77777777" w:rsidR="00716CC9" w:rsidRDefault="00716CC9" w:rsidP="008B321A">
      <w:pPr>
        <w:pStyle w:val="ListParagraph"/>
        <w:numPr>
          <w:ilvl w:val="0"/>
          <w:numId w:val="7"/>
        </w:numPr>
      </w:pPr>
      <w:r>
        <w:t>Data are processed</w:t>
      </w:r>
      <w:r w:rsidR="008B321A">
        <w:t xml:space="preserve"> into suitable measures</w:t>
      </w:r>
      <w:r w:rsidR="00B134FC">
        <w:t>.</w:t>
      </w:r>
    </w:p>
    <w:p w14:paraId="65E3D19D" w14:textId="77777777" w:rsidR="00716CC9" w:rsidRDefault="00716CC9" w:rsidP="008B321A">
      <w:pPr>
        <w:pStyle w:val="ListParagraph"/>
        <w:numPr>
          <w:ilvl w:val="0"/>
          <w:numId w:val="7"/>
        </w:numPr>
      </w:pPr>
      <w:r>
        <w:t>Data are weighted</w:t>
      </w:r>
      <w:r w:rsidR="00B134FC">
        <w:t>.</w:t>
      </w:r>
    </w:p>
    <w:p w14:paraId="6FED72A9" w14:textId="77777777" w:rsidR="00716CC9" w:rsidRDefault="00716CC9" w:rsidP="008B321A">
      <w:pPr>
        <w:pStyle w:val="ListParagraph"/>
        <w:numPr>
          <w:ilvl w:val="0"/>
          <w:numId w:val="7"/>
        </w:numPr>
      </w:pPr>
      <w:r>
        <w:t>Compliance is calculated</w:t>
      </w:r>
      <w:r w:rsidR="00B134FC">
        <w:t>.</w:t>
      </w:r>
    </w:p>
    <w:p w14:paraId="0354BC8D" w14:textId="77777777" w:rsidR="00716CC9" w:rsidRDefault="00716CC9" w:rsidP="008B321A">
      <w:pPr>
        <w:pStyle w:val="ListParagraph"/>
        <w:numPr>
          <w:ilvl w:val="0"/>
          <w:numId w:val="7"/>
        </w:numPr>
      </w:pPr>
      <w:r>
        <w:t>Inferences are drawn</w:t>
      </w:r>
      <w:r w:rsidR="00B134FC">
        <w:t>.</w:t>
      </w:r>
    </w:p>
    <w:p w14:paraId="64D22A23" w14:textId="459C35A4" w:rsidR="008C430B" w:rsidRDefault="004A72E6">
      <w:r>
        <w:t>T</w:t>
      </w:r>
      <w:r w:rsidR="00904E1F">
        <w:t xml:space="preserve">he first two stages differ - the wage </w:t>
      </w:r>
      <w:r w:rsidR="00B134FC">
        <w:t xml:space="preserve">the </w:t>
      </w:r>
      <w:r w:rsidR="00F8215C">
        <w:t>employer intend</w:t>
      </w:r>
      <w:r w:rsidR="00904E1F">
        <w:t>s</w:t>
      </w:r>
      <w:r w:rsidR="00F8215C">
        <w:t xml:space="preserve"> to pay may not be the one that </w:t>
      </w:r>
      <w:r w:rsidR="00904E1F">
        <w:t>is actually paid</w:t>
      </w:r>
      <w:r>
        <w:t>; quantitative and qualitative findings from Drew et al</w:t>
      </w:r>
      <w:r w:rsidR="00C606B5">
        <w:t>.</w:t>
      </w:r>
      <w:r>
        <w:t xml:space="preserve"> (2016)</w:t>
      </w:r>
      <w:r w:rsidR="00904E1F">
        <w:t xml:space="preserve"> </w:t>
      </w:r>
      <w:r>
        <w:t>show that intended compliance is higher than actual compliance – and e</w:t>
      </w:r>
      <w:r w:rsidR="002E6C2D">
        <w:t xml:space="preserve">ach </w:t>
      </w:r>
      <w:r>
        <w:t xml:space="preserve">subsequent </w:t>
      </w:r>
      <w:r w:rsidR="002E6C2D">
        <w:t xml:space="preserve">stage </w:t>
      </w:r>
      <w:r>
        <w:t xml:space="preserve">can </w:t>
      </w:r>
      <w:r w:rsidR="002E6C2D">
        <w:t xml:space="preserve">affect the reliability of information available. This section considers stages </w:t>
      </w:r>
      <w:r w:rsidR="00402804">
        <w:t xml:space="preserve">(3) to (8) </w:t>
      </w:r>
      <w:r w:rsidR="002E6C2D">
        <w:t xml:space="preserve">in turn as a potential source of error. Many </w:t>
      </w:r>
      <w:r w:rsidR="00A75DA9">
        <w:t xml:space="preserve">of the examples come from the UK experience as this is the most scrutinised </w:t>
      </w:r>
      <w:r w:rsidR="002E6C2D">
        <w:t>minimum wage regime</w:t>
      </w:r>
      <w:r w:rsidR="00A75DA9">
        <w:t xml:space="preserve">, but we concentrate on the general scope for error. </w:t>
      </w:r>
    </w:p>
    <w:p w14:paraId="6DA77467" w14:textId="17BCED75" w:rsidR="00684187" w:rsidRDefault="00F53761" w:rsidP="006A59B0">
      <w:pPr>
        <w:pStyle w:val="Heading2"/>
      </w:pPr>
      <w:r w:rsidRPr="006A59B0">
        <w:t>Sampling</w:t>
      </w:r>
    </w:p>
    <w:p w14:paraId="4C2995A5" w14:textId="64D3DA69" w:rsidR="00AC1F4B" w:rsidRDefault="00446C61" w:rsidP="009D2A8C">
      <w:r>
        <w:t>The</w:t>
      </w:r>
      <w:r w:rsidR="009D2A8C">
        <w:t xml:space="preserve"> first concern is that </w:t>
      </w:r>
      <w:r w:rsidR="001C3B10">
        <w:t>there may be under-sampling of t</w:t>
      </w:r>
      <w:r w:rsidR="009D2A8C">
        <w:t xml:space="preserve">hose below the minimum wage. </w:t>
      </w:r>
      <w:r w:rsidR="002F6CBE">
        <w:t>For example, e</w:t>
      </w:r>
      <w:r w:rsidR="009D2A8C">
        <w:t xml:space="preserve">mployers paying below minimum wages </w:t>
      </w:r>
      <w:r w:rsidR="001C3B10">
        <w:t>are less likely</w:t>
      </w:r>
      <w:r w:rsidR="009D2A8C">
        <w:t xml:space="preserve"> to respond to official surveys. </w:t>
      </w:r>
      <w:r w:rsidR="000856AE">
        <w:lastRenderedPageBreak/>
        <w:t xml:space="preserve">Moreover, </w:t>
      </w:r>
      <w:r w:rsidR="002F6CBE">
        <w:t>e</w:t>
      </w:r>
      <w:r w:rsidR="009D2A8C">
        <w:t xml:space="preserve">mployees being paid below minimum wages are likely to be in jobs where the employer is ‘powerful’, in a psychological </w:t>
      </w:r>
      <w:r w:rsidR="00B134FC">
        <w:t xml:space="preserve">and sociological </w:t>
      </w:r>
      <w:r w:rsidR="009D2A8C">
        <w:t xml:space="preserve">sense, and so </w:t>
      </w:r>
      <w:r w:rsidR="001C3B10">
        <w:t xml:space="preserve">may be discouraged from </w:t>
      </w:r>
      <w:r w:rsidR="009D2A8C">
        <w:t xml:space="preserve">providing potentially negative information about </w:t>
      </w:r>
      <w:r w:rsidR="000856AE">
        <w:t xml:space="preserve">their </w:t>
      </w:r>
      <w:r w:rsidR="009D2A8C">
        <w:t xml:space="preserve">employer </w:t>
      </w:r>
      <w:r w:rsidR="002E6C2D">
        <w:t>(</w:t>
      </w:r>
      <w:r w:rsidR="007F4C09">
        <w:t>8</w:t>
      </w:r>
      <w:r w:rsidR="002E6C2D">
        <w:t>)</w:t>
      </w:r>
      <w:r w:rsidR="009D2A8C">
        <w:t>.</w:t>
      </w:r>
    </w:p>
    <w:p w14:paraId="725EA917" w14:textId="3A1176E3" w:rsidR="009D2A8C" w:rsidRDefault="00AC1F4B" w:rsidP="009D2A8C">
      <w:r>
        <w:t>A larger problem is the existence of the informal economy, where non-compliance is more likely to be found (</w:t>
      </w:r>
      <w:r w:rsidR="007F4C09">
        <w:t>8, 11</w:t>
      </w:r>
      <w:r>
        <w:t>)</w:t>
      </w:r>
      <w:r w:rsidR="001C3B10">
        <w:t>, and the population is by definition unknown</w:t>
      </w:r>
      <w:r>
        <w:t xml:space="preserve">. </w:t>
      </w:r>
      <w:r w:rsidR="000856AE">
        <w:t xml:space="preserve">Previous research </w:t>
      </w:r>
      <w:r w:rsidR="00A75DA9">
        <w:t>suggests</w:t>
      </w:r>
      <w:r w:rsidR="0073028B">
        <w:t xml:space="preserve"> </w:t>
      </w:r>
      <w:r w:rsidR="000856AE">
        <w:t xml:space="preserve">that </w:t>
      </w:r>
      <w:r w:rsidR="0073028B">
        <w:t xml:space="preserve">non-compliance is much more widespread amongst </w:t>
      </w:r>
      <w:r w:rsidR="002761CF">
        <w:t xml:space="preserve">groups such as </w:t>
      </w:r>
      <w:r w:rsidR="0073028B">
        <w:t xml:space="preserve">migrant workers, agricultural labourers, </w:t>
      </w:r>
      <w:r w:rsidR="002761CF">
        <w:t xml:space="preserve">or </w:t>
      </w:r>
      <w:r w:rsidR="0073028B">
        <w:t>family workers</w:t>
      </w:r>
      <w:r w:rsidR="005369A4">
        <w:t>, particularly if the</w:t>
      </w:r>
      <w:r w:rsidR="009B1EF1">
        <w:t>se workers</w:t>
      </w:r>
      <w:r w:rsidR="005369A4">
        <w:t xml:space="preserve"> are illegally</w:t>
      </w:r>
      <w:r w:rsidR="002761CF">
        <w:t xml:space="preserve"> </w:t>
      </w:r>
      <w:r w:rsidR="009B1EF1">
        <w:t xml:space="preserve">employed </w:t>
      </w:r>
      <w:r w:rsidR="002761CF">
        <w:t>(</w:t>
      </w:r>
      <w:r w:rsidR="00B134FC">
        <w:t xml:space="preserve">see </w:t>
      </w:r>
      <w:r w:rsidR="00E22A33">
        <w:t>28</w:t>
      </w:r>
      <w:r w:rsidR="00220A4F">
        <w:t xml:space="preserve"> for a range of developing countries</w:t>
      </w:r>
      <w:r w:rsidR="00A75DA9">
        <w:t xml:space="preserve">; </w:t>
      </w:r>
      <w:r w:rsidR="00E22A33">
        <w:t>31</w:t>
      </w:r>
      <w:r w:rsidR="00220A4F">
        <w:t xml:space="preserve"> for Honduras; </w:t>
      </w:r>
      <w:r w:rsidR="00E22A33">
        <w:t>9</w:t>
      </w:r>
      <w:r>
        <w:t xml:space="preserve">, </w:t>
      </w:r>
      <w:r w:rsidR="00E22A33">
        <w:t>11 and 32</w:t>
      </w:r>
      <w:r>
        <w:t xml:space="preserve"> </w:t>
      </w:r>
      <w:r w:rsidR="00220A4F">
        <w:t xml:space="preserve">for the UK; </w:t>
      </w:r>
      <w:r w:rsidR="000856AE">
        <w:t xml:space="preserve">however, </w:t>
      </w:r>
      <w:r w:rsidR="00E22A33">
        <w:t>36</w:t>
      </w:r>
      <w:r w:rsidR="00220A4F">
        <w:t xml:space="preserve"> find no supporting evidence in South Africa</w:t>
      </w:r>
      <w:r w:rsidR="002761CF">
        <w:t xml:space="preserve">). </w:t>
      </w:r>
      <w:r w:rsidR="00402804">
        <w:t>Wo</w:t>
      </w:r>
      <w:r w:rsidR="009D2A8C">
        <w:t xml:space="preserve">rkers in these groups are likely to face substantial pressure </w:t>
      </w:r>
      <w:r w:rsidR="00F3530D">
        <w:t>not</w:t>
      </w:r>
      <w:r w:rsidR="009D2A8C">
        <w:t xml:space="preserve"> to respond to official request</w:t>
      </w:r>
      <w:r w:rsidR="001C3B10">
        <w:t>s</w:t>
      </w:r>
      <w:r w:rsidR="009D2A8C">
        <w:t xml:space="preserve"> for information</w:t>
      </w:r>
      <w:r>
        <w:t xml:space="preserve">; </w:t>
      </w:r>
      <w:r w:rsidR="001C3B10">
        <w:t xml:space="preserve">or </w:t>
      </w:r>
      <w:r>
        <w:t>they may collud</w:t>
      </w:r>
      <w:r w:rsidR="001C3B10">
        <w:t>e</w:t>
      </w:r>
      <w:r>
        <w:t xml:space="preserve"> with employers to exploit social support systems (</w:t>
      </w:r>
      <w:r w:rsidR="00E22A33">
        <w:t>9</w:t>
      </w:r>
      <w:r>
        <w:t>).</w:t>
      </w:r>
      <w:r w:rsidR="00B64D9E">
        <w:t xml:space="preserve"> </w:t>
      </w:r>
    </w:p>
    <w:p w14:paraId="3489C281" w14:textId="427442AD" w:rsidR="00D316B3" w:rsidRDefault="005369A4">
      <w:r>
        <w:t xml:space="preserve">There are concerns about </w:t>
      </w:r>
      <w:r w:rsidRPr="009B1EF1">
        <w:rPr>
          <w:i/>
        </w:rPr>
        <w:t>de facto</w:t>
      </w:r>
      <w:r>
        <w:t xml:space="preserve"> employees </w:t>
      </w:r>
      <w:r w:rsidR="001C3B10">
        <w:t>mis</w:t>
      </w:r>
      <w:r>
        <w:t>classified as ‘self-employed’ specifically to avoid employment regulations</w:t>
      </w:r>
      <w:r w:rsidR="00AC1F4B">
        <w:t xml:space="preserve"> (</w:t>
      </w:r>
      <w:r w:rsidR="00E22A33">
        <w:t>11</w:t>
      </w:r>
      <w:r w:rsidR="00AC1F4B">
        <w:t>)</w:t>
      </w:r>
      <w:r>
        <w:t xml:space="preserve">. </w:t>
      </w:r>
      <w:r w:rsidR="001C3B10">
        <w:t xml:space="preserve">Employee surveys typically ask </w:t>
      </w:r>
      <w:r w:rsidR="009D2A8C">
        <w:t xml:space="preserve">individuals </w:t>
      </w:r>
      <w:r w:rsidR="001C3B10">
        <w:t xml:space="preserve">to </w:t>
      </w:r>
      <w:r w:rsidR="009D2A8C">
        <w:t>self-report their employment status</w:t>
      </w:r>
      <w:r w:rsidR="001C3B10">
        <w:t xml:space="preserve">; it may not be </w:t>
      </w:r>
      <w:r w:rsidR="00171C7C">
        <w:t xml:space="preserve">easy </w:t>
      </w:r>
      <w:r w:rsidR="001C3B10">
        <w:t xml:space="preserve">for an agency worker </w:t>
      </w:r>
      <w:r w:rsidR="000856AE">
        <w:t xml:space="preserve">to </w:t>
      </w:r>
      <w:r w:rsidR="001C3B10">
        <w:t xml:space="preserve">accurately identify </w:t>
      </w:r>
      <w:r w:rsidR="00D316B3">
        <w:t xml:space="preserve">this, even with knowledge of </w:t>
      </w:r>
      <w:r w:rsidR="000856AE">
        <w:t xml:space="preserve">her </w:t>
      </w:r>
      <w:r w:rsidR="00D316B3">
        <w:t>contract.</w:t>
      </w:r>
    </w:p>
    <w:p w14:paraId="23F79F1D" w14:textId="7C32834A" w:rsidR="000A7198" w:rsidRDefault="00D316B3" w:rsidP="009D2A8C">
      <w:r>
        <w:t>F</w:t>
      </w:r>
      <w:r w:rsidR="005369A4">
        <w:t xml:space="preserve">inally, there is the question of timing. </w:t>
      </w:r>
      <w:r w:rsidR="000A7198">
        <w:t xml:space="preserve">Consider </w:t>
      </w:r>
      <w:r w:rsidR="00220A4F">
        <w:t xml:space="preserve">collecting </w:t>
      </w:r>
      <w:r w:rsidR="009B1EF1">
        <w:t xml:space="preserve">wage </w:t>
      </w:r>
      <w:r w:rsidR="000A7198">
        <w:t xml:space="preserve">data </w:t>
      </w:r>
      <w:r w:rsidR="00220A4F">
        <w:t xml:space="preserve">shortly after the minimum wage has increased, and identifying </w:t>
      </w:r>
      <w:r w:rsidR="000856AE">
        <w:t>wages that</w:t>
      </w:r>
      <w:r w:rsidR="000A7198">
        <w:t xml:space="preserve"> fall below the new </w:t>
      </w:r>
      <w:r w:rsidR="00935A10">
        <w:t>minimum</w:t>
      </w:r>
      <w:r w:rsidR="000A7198">
        <w:t>, but not the old</w:t>
      </w:r>
      <w:r w:rsidR="009B1EF1">
        <w:t xml:space="preserve"> one</w:t>
      </w:r>
      <w:r w:rsidR="000A7198">
        <w:t>. There are three possibilities:</w:t>
      </w:r>
    </w:p>
    <w:p w14:paraId="6D9FE39D" w14:textId="125817E8" w:rsidR="000A7198" w:rsidRDefault="000A7198" w:rsidP="000A7198">
      <w:pPr>
        <w:pStyle w:val="ListParagraph"/>
        <w:numPr>
          <w:ilvl w:val="0"/>
          <w:numId w:val="16"/>
        </w:numPr>
      </w:pPr>
      <w:r>
        <w:t xml:space="preserve">The ‘reference </w:t>
      </w:r>
      <w:r w:rsidR="00220A4F">
        <w:t>period</w:t>
      </w:r>
      <w:r>
        <w:t xml:space="preserve">’ </w:t>
      </w:r>
      <w:r w:rsidR="000856AE">
        <w:t xml:space="preserve">of the interview </w:t>
      </w:r>
      <w:r>
        <w:t xml:space="preserve">is the </w:t>
      </w:r>
      <w:r w:rsidR="00220A4F">
        <w:t>period wh</w:t>
      </w:r>
      <w:r>
        <w:t xml:space="preserve">en the old </w:t>
      </w:r>
      <w:r w:rsidR="00935A10">
        <w:t xml:space="preserve">minimum </w:t>
      </w:r>
      <w:r>
        <w:t>applied (</w:t>
      </w:r>
      <w:r w:rsidR="00A80B9E">
        <w:t xml:space="preserve">the wage is </w:t>
      </w:r>
      <w:r>
        <w:t>compliant)</w:t>
      </w:r>
      <w:r w:rsidR="00935A10">
        <w:t>.</w:t>
      </w:r>
    </w:p>
    <w:p w14:paraId="29EBF433" w14:textId="77777777" w:rsidR="000A7198" w:rsidRDefault="000A7198" w:rsidP="000A7198">
      <w:pPr>
        <w:pStyle w:val="ListParagraph"/>
        <w:numPr>
          <w:ilvl w:val="0"/>
          <w:numId w:val="16"/>
        </w:numPr>
      </w:pPr>
      <w:r>
        <w:t>The uprating has been delayed but will be implemented with back pay (</w:t>
      </w:r>
      <w:r w:rsidR="00A80B9E">
        <w:t xml:space="preserve">the wage is </w:t>
      </w:r>
      <w:r>
        <w:t xml:space="preserve">not compliant at present, but </w:t>
      </w:r>
      <w:r w:rsidR="00A80B9E">
        <w:t xml:space="preserve">the issue </w:t>
      </w:r>
      <w:r>
        <w:t>will be resolved)</w:t>
      </w:r>
      <w:r w:rsidR="00935A10">
        <w:t>.</w:t>
      </w:r>
    </w:p>
    <w:p w14:paraId="5C040D3C" w14:textId="77777777" w:rsidR="000A7198" w:rsidRDefault="000A7198" w:rsidP="000A7198">
      <w:pPr>
        <w:pStyle w:val="ListParagraph"/>
        <w:numPr>
          <w:ilvl w:val="0"/>
          <w:numId w:val="16"/>
        </w:numPr>
      </w:pPr>
      <w:r>
        <w:t>The uprating has not been paid and will not be backdated if it is paid (</w:t>
      </w:r>
      <w:r w:rsidR="00A80B9E">
        <w:t xml:space="preserve">the wage is </w:t>
      </w:r>
      <w:r>
        <w:t>non-compliant)</w:t>
      </w:r>
      <w:r w:rsidR="00935A10">
        <w:t>.</w:t>
      </w:r>
    </w:p>
    <w:p w14:paraId="227CA64B" w14:textId="2C0A7377" w:rsidR="000A7198" w:rsidRDefault="000A7198" w:rsidP="000A7198">
      <w:r>
        <w:lastRenderedPageBreak/>
        <w:t xml:space="preserve">The second </w:t>
      </w:r>
      <w:r w:rsidR="00A80B9E">
        <w:t xml:space="preserve">case </w:t>
      </w:r>
      <w:r>
        <w:t>is problematic: it is not clear whether this should be marked as ‘compliant’ or not</w:t>
      </w:r>
      <w:r w:rsidR="001F455E">
        <w:t xml:space="preserve">. It is also unclear how to distinguish </w:t>
      </w:r>
      <w:r w:rsidR="00935A10">
        <w:t xml:space="preserve">between </w:t>
      </w:r>
      <w:r w:rsidR="001F455E">
        <w:t>the last two cases</w:t>
      </w:r>
      <w:r w:rsidR="00935A10">
        <w:t>.</w:t>
      </w:r>
      <w:r>
        <w:t xml:space="preserve"> </w:t>
      </w:r>
      <w:r w:rsidR="00935A10">
        <w:t>N</w:t>
      </w:r>
      <w:r w:rsidR="00220A4F">
        <w:t xml:space="preserve">o </w:t>
      </w:r>
      <w:r w:rsidR="000856AE">
        <w:t>large-scale</w:t>
      </w:r>
      <w:r w:rsidR="00220A4F">
        <w:t xml:space="preserve"> su</w:t>
      </w:r>
      <w:r w:rsidR="001F455E">
        <w:t>r</w:t>
      </w:r>
      <w:r w:rsidR="00220A4F">
        <w:t xml:space="preserve">vey </w:t>
      </w:r>
      <w:r w:rsidR="001F455E">
        <w:t xml:space="preserve">of earnings in any country </w:t>
      </w:r>
      <w:r w:rsidR="00220A4F">
        <w:t>appear</w:t>
      </w:r>
      <w:r w:rsidR="001F455E">
        <w:t>s</w:t>
      </w:r>
      <w:r w:rsidR="00220A4F">
        <w:t xml:space="preserve"> to </w:t>
      </w:r>
      <w:r>
        <w:t xml:space="preserve">collect information later in the </w:t>
      </w:r>
      <w:r w:rsidR="000856AE">
        <w:t>year that</w:t>
      </w:r>
      <w:r w:rsidR="001F455E">
        <w:t xml:space="preserve"> would allow the analys</w:t>
      </w:r>
      <w:r w:rsidR="003B797A">
        <w:t>t</w:t>
      </w:r>
      <w:r w:rsidR="001F455E">
        <w:t xml:space="preserve"> </w:t>
      </w:r>
      <w:r>
        <w:t xml:space="preserve">to distinguish delayed payment from non-payment. </w:t>
      </w:r>
      <w:proofErr w:type="spellStart"/>
      <w:r>
        <w:t>Ormerod</w:t>
      </w:r>
      <w:proofErr w:type="spellEnd"/>
      <w:r>
        <w:t xml:space="preserve"> and Ritchie (</w:t>
      </w:r>
      <w:r w:rsidR="00E22A33">
        <w:t>35</w:t>
      </w:r>
      <w:r>
        <w:t>) noted that</w:t>
      </w:r>
      <w:r w:rsidR="001F455E">
        <w:t xml:space="preserve">, in the UK, </w:t>
      </w:r>
      <w:r>
        <w:t xml:space="preserve">simple non-compliance rates </w:t>
      </w:r>
      <w:r w:rsidR="00A80B9E">
        <w:t xml:space="preserve">fall </w:t>
      </w:r>
      <w:r>
        <w:t xml:space="preserve">continuously through the year, but that the pace </w:t>
      </w:r>
      <w:r w:rsidR="00A80B9E">
        <w:t>of this fall settles</w:t>
      </w:r>
      <w:r>
        <w:t xml:space="preserve"> down after two quarters</w:t>
      </w:r>
      <w:r w:rsidR="000856AE">
        <w:t>.</w:t>
      </w:r>
      <w:r w:rsidR="001F455E">
        <w:t xml:space="preserve"> </w:t>
      </w:r>
      <w:r w:rsidR="000856AE">
        <w:t>H</w:t>
      </w:r>
      <w:r w:rsidR="001F455E">
        <w:t xml:space="preserve">owever, while the implication is that this is </w:t>
      </w:r>
      <w:r w:rsidR="000856AE">
        <w:t xml:space="preserve">a form of </w:t>
      </w:r>
      <w:r w:rsidR="001F455E">
        <w:t>delayed wage-setting, it cannot be tested directly and cannot identify whether back pay is being paid</w:t>
      </w:r>
      <w:r w:rsidR="00A80B9E">
        <w:t>.</w:t>
      </w:r>
    </w:p>
    <w:p w14:paraId="7684FE41" w14:textId="77777777" w:rsidR="00F53761" w:rsidRDefault="00F53761" w:rsidP="006A59B0">
      <w:pPr>
        <w:pStyle w:val="Heading2"/>
      </w:pPr>
      <w:r>
        <w:t>Data quality</w:t>
      </w:r>
    </w:p>
    <w:p w14:paraId="671AF162" w14:textId="5BCD5108" w:rsidR="005F1A90" w:rsidRDefault="002761CF" w:rsidP="00F53761">
      <w:r>
        <w:t xml:space="preserve">The standard assumption is that employer data </w:t>
      </w:r>
      <w:r w:rsidR="00EE032B">
        <w:t xml:space="preserve">are of </w:t>
      </w:r>
      <w:r>
        <w:t>high</w:t>
      </w:r>
      <w:r w:rsidR="00EE032B">
        <w:t>er</w:t>
      </w:r>
      <w:r>
        <w:t xml:space="preserve"> quality </w:t>
      </w:r>
      <w:r w:rsidR="00EE032B">
        <w:t>since they are</w:t>
      </w:r>
      <w:r>
        <w:t xml:space="preserve"> derived from pay records. There is some evidence </w:t>
      </w:r>
      <w:r w:rsidR="00CD4E61">
        <w:t xml:space="preserve">supporting </w:t>
      </w:r>
      <w:r>
        <w:t>this</w:t>
      </w:r>
      <w:r w:rsidR="00D844AD">
        <w:t xml:space="preserve"> </w:t>
      </w:r>
      <w:r>
        <w:t>(</w:t>
      </w:r>
      <w:r w:rsidR="00F85C84">
        <w:t xml:space="preserve">for example, </w:t>
      </w:r>
      <w:r w:rsidR="00D844AD">
        <w:t xml:space="preserve">in the UK, </w:t>
      </w:r>
      <w:r w:rsidR="00E22A33">
        <w:t>34 and 37</w:t>
      </w:r>
      <w:r w:rsidR="00D844AD">
        <w:t xml:space="preserve">; </w:t>
      </w:r>
      <w:r w:rsidR="00E22A33">
        <w:t xml:space="preserve">in the US, 15; </w:t>
      </w:r>
      <w:r w:rsidR="00D844AD">
        <w:t>elsewhere</w:t>
      </w:r>
      <w:r w:rsidR="000856AE">
        <w:t>,</w:t>
      </w:r>
      <w:r w:rsidR="00D844AD">
        <w:t xml:space="preserve"> </w:t>
      </w:r>
      <w:r w:rsidR="00E22A33">
        <w:t>6, 12</w:t>
      </w:r>
      <w:r w:rsidR="00D844AD">
        <w:t>)</w:t>
      </w:r>
      <w:r>
        <w:t>.</w:t>
      </w:r>
      <w:r w:rsidR="000856AE">
        <w:t xml:space="preserve"> </w:t>
      </w:r>
      <w:r w:rsidR="00CD4E61">
        <w:t xml:space="preserve">However, this </w:t>
      </w:r>
      <w:r w:rsidR="005F1A90">
        <w:t xml:space="preserve">assumption has </w:t>
      </w:r>
      <w:r w:rsidR="00CD4E61">
        <w:t xml:space="preserve">also </w:t>
      </w:r>
      <w:r w:rsidR="005F1A90">
        <w:t xml:space="preserve">been questioned: as paying below </w:t>
      </w:r>
      <w:r w:rsidR="00033282">
        <w:t>a statutory minimum wage</w:t>
      </w:r>
      <w:r w:rsidR="005F1A90">
        <w:t xml:space="preserve"> is an offence, employers may not want to submit such </w:t>
      </w:r>
      <w:r w:rsidR="00CD4E61">
        <w:t xml:space="preserve">non-compliant </w:t>
      </w:r>
      <w:r w:rsidR="005F1A90">
        <w:t xml:space="preserve">wages, and </w:t>
      </w:r>
      <w:r w:rsidR="00CD4E61">
        <w:t xml:space="preserve">they </w:t>
      </w:r>
      <w:r w:rsidR="005F1A90">
        <w:t>may adjust the data before reporting</w:t>
      </w:r>
      <w:r w:rsidR="005E49B2">
        <w:t xml:space="preserve"> (</w:t>
      </w:r>
      <w:r w:rsidR="00E22A33">
        <w:t>22</w:t>
      </w:r>
      <w:r w:rsidR="005E49B2">
        <w:t>)</w:t>
      </w:r>
      <w:r w:rsidR="005F1A90">
        <w:t>.</w:t>
      </w:r>
    </w:p>
    <w:p w14:paraId="3223F7BD" w14:textId="3BABD170" w:rsidR="002761CF" w:rsidRDefault="00E22A33" w:rsidP="00F53761">
      <w:r>
        <w:t>LPC (32</w:t>
      </w:r>
      <w:r w:rsidR="005369A4">
        <w:t>) also notes the scope for collusion between employer and employee</w:t>
      </w:r>
      <w:r w:rsidR="0043145A">
        <w:t xml:space="preserve">: an employee </w:t>
      </w:r>
      <w:r w:rsidR="00CD4E61">
        <w:t xml:space="preserve">may be </w:t>
      </w:r>
      <w:r w:rsidR="0043145A">
        <w:t xml:space="preserve">paid below the </w:t>
      </w:r>
      <w:r w:rsidR="00D844AD">
        <w:t xml:space="preserve">minimum wage </w:t>
      </w:r>
      <w:r w:rsidR="0043145A">
        <w:t xml:space="preserve">but </w:t>
      </w:r>
      <w:r w:rsidR="00CD4E61">
        <w:t xml:space="preserve">the </w:t>
      </w:r>
      <w:r w:rsidR="0043145A">
        <w:t xml:space="preserve">reported hours </w:t>
      </w:r>
      <w:r w:rsidR="00CD4E61">
        <w:t xml:space="preserve">may at the same time be </w:t>
      </w:r>
      <w:r w:rsidR="0043145A">
        <w:t xml:space="preserve">adjusted downwards to meet the </w:t>
      </w:r>
      <w:r w:rsidR="00D844AD">
        <w:t>minimum wage</w:t>
      </w:r>
      <w:r w:rsidR="0043145A">
        <w:t xml:space="preserve"> </w:t>
      </w:r>
      <w:r w:rsidR="00CD4E61">
        <w:t>threshold</w:t>
      </w:r>
      <w:r w:rsidR="00D844AD">
        <w:t xml:space="preserve">; this could, for example, be used to allow </w:t>
      </w:r>
      <w:r w:rsidR="0043145A">
        <w:t>the employee to claim welfare benefits based on part-time working.</w:t>
      </w:r>
      <w:r w:rsidR="00171C7C" w:rsidRPr="00171C7C">
        <w:t xml:space="preserve"> </w:t>
      </w:r>
      <w:r w:rsidR="00171C7C">
        <w:t>Metcalf (</w:t>
      </w:r>
      <w:r>
        <w:t>8</w:t>
      </w:r>
      <w:r w:rsidR="00171C7C">
        <w:t>) notes that in family-operated businesses, an hourly wage is not relevant:  workers receive a daily or weekly wage and are required to put the hours in as necessary. Hours are then adjusted as necessary if reporting is requested by an authority.</w:t>
      </w:r>
      <w:r w:rsidR="000856AE">
        <w:t xml:space="preserve"> Similar to</w:t>
      </w:r>
      <w:r w:rsidR="00033282">
        <w:t xml:space="preserve"> the sampling issue, t</w:t>
      </w:r>
      <w:r w:rsidR="00386D12">
        <w:t xml:space="preserve">he </w:t>
      </w:r>
      <w:r w:rsidR="005F1A90">
        <w:t xml:space="preserve">scale of </w:t>
      </w:r>
      <w:r w:rsidR="00CD4E61">
        <w:t xml:space="preserve">such </w:t>
      </w:r>
      <w:r w:rsidR="00386D12">
        <w:t>deliberate misreporting</w:t>
      </w:r>
      <w:r w:rsidR="005F1A90">
        <w:t xml:space="preserve"> is fundamentally unknowable</w:t>
      </w:r>
      <w:r w:rsidR="00171C7C">
        <w:t>, because by definition the data collected are all that the respondent feels able to deliver</w:t>
      </w:r>
      <w:r w:rsidR="00CD4E61">
        <w:t>.</w:t>
      </w:r>
      <w:r w:rsidR="005F1A90">
        <w:t xml:space="preserve"> </w:t>
      </w:r>
    </w:p>
    <w:p w14:paraId="28E3EEB2" w14:textId="16E7FCD2" w:rsidR="00967D1A" w:rsidRDefault="00D316B3" w:rsidP="006B6EAA">
      <w:r>
        <w:t>Even if the data</w:t>
      </w:r>
      <w:r w:rsidR="000C5156">
        <w:t xml:space="preserve"> are honestly provided, </w:t>
      </w:r>
      <w:r>
        <w:t>recall bias presents problems</w:t>
      </w:r>
      <w:r w:rsidR="000C5156">
        <w:t>.</w:t>
      </w:r>
      <w:r w:rsidR="005365F5">
        <w:t xml:space="preserve"> </w:t>
      </w:r>
      <w:r w:rsidR="00E22A33">
        <w:t>I</w:t>
      </w:r>
      <w:r w:rsidR="005365F5">
        <w:t xml:space="preserve">n the UK </w:t>
      </w:r>
      <w:r w:rsidR="00CD4E61">
        <w:t xml:space="preserve">the </w:t>
      </w:r>
      <w:r w:rsidR="00EA06D1">
        <w:t xml:space="preserve">rounding of wage data </w:t>
      </w:r>
      <w:r w:rsidR="00977E17">
        <w:t>in employee surveys</w:t>
      </w:r>
      <w:r w:rsidR="00EA06D1">
        <w:t xml:space="preserve"> is </w:t>
      </w:r>
      <w:r w:rsidR="000856AE">
        <w:t xml:space="preserve">a </w:t>
      </w:r>
      <w:r w:rsidR="00EA06D1">
        <w:t xml:space="preserve">well-established </w:t>
      </w:r>
      <w:r w:rsidR="00045878">
        <w:t>phenomeno</w:t>
      </w:r>
      <w:r w:rsidR="00977E17">
        <w:t>n</w:t>
      </w:r>
      <w:r w:rsidR="00CD4E61">
        <w:t xml:space="preserve"> </w:t>
      </w:r>
      <w:r>
        <w:t>affect</w:t>
      </w:r>
      <w:r w:rsidR="00D70807">
        <w:t>ing</w:t>
      </w:r>
      <w:r w:rsidR="00EA06D1">
        <w:t xml:space="preserve"> non-compliance</w:t>
      </w:r>
      <w:r w:rsidR="00E22A33" w:rsidRPr="00E22A33">
        <w:t xml:space="preserve"> </w:t>
      </w:r>
      <w:r w:rsidR="00E22A33">
        <w:t xml:space="preserve">(35, 38, </w:t>
      </w:r>
      <w:proofErr w:type="gramStart"/>
      <w:r w:rsidR="00E22A33">
        <w:t>39</w:t>
      </w:r>
      <w:proofErr w:type="gramEnd"/>
      <w:r w:rsidR="00E22A33">
        <w:t>)</w:t>
      </w:r>
      <w:r w:rsidR="00EA06D1">
        <w:t xml:space="preserve">. </w:t>
      </w:r>
      <w:r w:rsidR="00967D1A">
        <w:lastRenderedPageBreak/>
        <w:t>Fry and Ritchie (</w:t>
      </w:r>
      <w:r w:rsidR="00E22A33">
        <w:t>38</w:t>
      </w:r>
      <w:r w:rsidR="00967D1A">
        <w:t>) predict</w:t>
      </w:r>
      <w:r>
        <w:t>ed</w:t>
      </w:r>
      <w:r w:rsidR="00967D1A">
        <w:t xml:space="preserve"> distributions for </w:t>
      </w:r>
      <w:r>
        <w:t xml:space="preserve">a major </w:t>
      </w:r>
      <w:r w:rsidR="00A65261">
        <w:t>employee</w:t>
      </w:r>
      <w:r w:rsidR="00033282">
        <w:t xml:space="preserve"> survey</w:t>
      </w:r>
      <w:r w:rsidR="00D70807">
        <w:t>, arguing that a minimum wage of £4.98 would lead many employees to report £5.00</w:t>
      </w:r>
      <w:r w:rsidR="00033282">
        <w:t xml:space="preserve">. </w:t>
      </w:r>
      <w:r w:rsidR="000C5156">
        <w:t xml:space="preserve">Their estimates were </w:t>
      </w:r>
      <w:r w:rsidR="00045878">
        <w:t>too conservative</w:t>
      </w:r>
      <w:r w:rsidR="000C5156">
        <w:t xml:space="preserve">: </w:t>
      </w:r>
      <w:r w:rsidR="000C5156" w:rsidRPr="000856AE">
        <w:rPr>
          <w:i/>
        </w:rPr>
        <w:t>all</w:t>
      </w:r>
      <w:r w:rsidR="000C5156" w:rsidRPr="000856AE">
        <w:t xml:space="preserve"> </w:t>
      </w:r>
      <w:r w:rsidR="000C5156" w:rsidRPr="000856AE">
        <w:rPr>
          <w:i/>
        </w:rPr>
        <w:t>employees</w:t>
      </w:r>
      <w:r w:rsidR="000C5156">
        <w:t xml:space="preserve"> reported £5.00 or above, despite employer </w:t>
      </w:r>
      <w:proofErr w:type="gramStart"/>
      <w:r w:rsidR="000C5156">
        <w:t>data showing</w:t>
      </w:r>
      <w:proofErr w:type="gramEnd"/>
      <w:r w:rsidR="000C5156">
        <w:t xml:space="preserve"> considerable numbers at £4.98.</w:t>
      </w:r>
    </w:p>
    <w:p w14:paraId="4B48DEC2" w14:textId="2CB82AC0" w:rsidR="00977E17" w:rsidRDefault="000C5156">
      <w:r>
        <w:t>The</w:t>
      </w:r>
      <w:r w:rsidR="00977E17">
        <w:t xml:space="preserve"> evidence from the UK (to date, the only country where this appears to have been studied in detail) suggests that</w:t>
      </w:r>
      <w:r>
        <w:t xml:space="preserve"> r</w:t>
      </w:r>
      <w:r w:rsidR="002D72EC">
        <w:t>ounding</w:t>
      </w:r>
      <w:r w:rsidR="00977E17">
        <w:t xml:space="preserve"> in employee surveys</w:t>
      </w:r>
      <w:r w:rsidR="002D72EC">
        <w:t xml:space="preserve"> </w:t>
      </w:r>
      <w:r w:rsidR="000A7A0B">
        <w:t>is persistent, time</w:t>
      </w:r>
      <w:r w:rsidR="0047794E">
        <w:t xml:space="preserve">- and </w:t>
      </w:r>
      <w:r w:rsidR="000A7A0B">
        <w:t>scale</w:t>
      </w:r>
      <w:r w:rsidR="0047794E">
        <w:t>-</w:t>
      </w:r>
      <w:r w:rsidR="000A7A0B">
        <w:t xml:space="preserve">invariant, and </w:t>
      </w:r>
      <w:r w:rsidR="002D72EC">
        <w:t xml:space="preserve">occurs at the </w:t>
      </w:r>
      <w:r w:rsidR="00D018E5">
        <w:t xml:space="preserve">point </w:t>
      </w:r>
      <w:r w:rsidR="002D72EC">
        <w:t>of data collection: hourly-paid work</w:t>
      </w:r>
      <w:r w:rsidR="00D018E5">
        <w:t>er</w:t>
      </w:r>
      <w:r w:rsidR="002D72EC">
        <w:t xml:space="preserve">s round hourly wages, </w:t>
      </w:r>
      <w:r w:rsidR="00D018E5">
        <w:t xml:space="preserve">the </w:t>
      </w:r>
      <w:r w:rsidR="002D72EC">
        <w:t xml:space="preserve">weekly paid round weekly wages, and salaried workers round </w:t>
      </w:r>
      <w:r w:rsidR="00D018E5">
        <w:t xml:space="preserve">their </w:t>
      </w:r>
      <w:r w:rsidR="002D72EC">
        <w:t>salaries</w:t>
      </w:r>
      <w:r w:rsidR="00A65261">
        <w:t>. C</w:t>
      </w:r>
      <w:r w:rsidR="00EB4174">
        <w:t>hecking documentation when responding to the survey reduces the chance of rounding (</w:t>
      </w:r>
      <w:r w:rsidR="00261DF2">
        <w:t>39, 40</w:t>
      </w:r>
      <w:r w:rsidR="00EB4174">
        <w:t>)</w:t>
      </w:r>
      <w:r w:rsidR="00A65261">
        <w:t xml:space="preserve">, and </w:t>
      </w:r>
      <w:r w:rsidR="00977E17">
        <w:t>Le Roux et al (2</w:t>
      </w:r>
      <w:r w:rsidR="00261DF2">
        <w:t>1</w:t>
      </w:r>
      <w:r w:rsidR="00977E17">
        <w:t>) show that this can have a considerable impact on the compliance rate.</w:t>
      </w:r>
    </w:p>
    <w:p w14:paraId="459685E1" w14:textId="154A4B92" w:rsidR="00F85C84" w:rsidRDefault="000A7A0B">
      <w:r>
        <w:t>Th</w:t>
      </w:r>
      <w:r w:rsidR="00977E17">
        <w:t>ese</w:t>
      </w:r>
      <w:r>
        <w:t xml:space="preserve"> findings </w:t>
      </w:r>
      <w:r w:rsidR="00977E17">
        <w:t xml:space="preserve">in terms of wages </w:t>
      </w:r>
      <w:r>
        <w:t xml:space="preserve">are so far restricted to the UK but the persistence of such results suggests that this is a human </w:t>
      </w:r>
      <w:r w:rsidR="00CE349C">
        <w:t>phenomenon that</w:t>
      </w:r>
      <w:r>
        <w:t xml:space="preserve"> would be reproduced in other countries</w:t>
      </w:r>
      <w:r w:rsidR="00977E17">
        <w:t>. A similar preference for human-friendly, approximate responses is</w:t>
      </w:r>
      <w:r w:rsidR="00CE349C">
        <w:t>, for example,</w:t>
      </w:r>
      <w:r w:rsidR="00977E17">
        <w:t xml:space="preserve"> well established in fields such as environmental evaluation</w:t>
      </w:r>
      <w:r w:rsidR="005365F5">
        <w:t>,</w:t>
      </w:r>
      <w:r w:rsidR="00977E17">
        <w:t xml:space="preserve"> where respondents gravitate to</w:t>
      </w:r>
      <w:r w:rsidR="00CE349C">
        <w:t>wards</w:t>
      </w:r>
      <w:r w:rsidR="00977E17">
        <w:t xml:space="preserve"> </w:t>
      </w:r>
      <w:r w:rsidR="00CE349C">
        <w:t xml:space="preserve">focal </w:t>
      </w:r>
      <w:r w:rsidR="00977E17">
        <w:t>points in round numbers of pounds, dollars or euros</w:t>
      </w:r>
      <w:r w:rsidR="00CA40BF">
        <w:t xml:space="preserve"> (</w:t>
      </w:r>
      <w:r w:rsidR="00261DF2">
        <w:t>see 41</w:t>
      </w:r>
      <w:r w:rsidR="00CA40BF">
        <w:t>, for example)</w:t>
      </w:r>
      <w:r w:rsidR="00977E17">
        <w:t>.</w:t>
      </w:r>
    </w:p>
    <w:p w14:paraId="3A9AD491" w14:textId="3C782D9F" w:rsidR="00897E99" w:rsidRDefault="00952BFA">
      <w:r>
        <w:t>Notwithstanding</w:t>
      </w:r>
      <w:r w:rsidR="0005644D">
        <w:t xml:space="preserve"> the problems of dishonest or rounded responses, respondents may simply fail to </w:t>
      </w:r>
      <w:r w:rsidR="005E7C3C">
        <w:t>provide accurate information</w:t>
      </w:r>
      <w:r w:rsidR="005365F5">
        <w:t xml:space="preserve"> </w:t>
      </w:r>
      <w:r w:rsidR="000A7A0B">
        <w:t>through</w:t>
      </w:r>
      <w:r w:rsidR="005365F5">
        <w:t>, for example,</w:t>
      </w:r>
      <w:r w:rsidR="000A7A0B">
        <w:t xml:space="preserve"> inability to account for breaks accurately, or failure to understand the questions being asked. </w:t>
      </w:r>
      <w:r w:rsidR="00897E99">
        <w:t xml:space="preserve">Such errors are unlikely to be </w:t>
      </w:r>
      <w:r w:rsidR="00261DF2">
        <w:t xml:space="preserve">corrected by the respondents; </w:t>
      </w:r>
      <w:r w:rsidR="00897E99">
        <w:t xml:space="preserve">human thinking is </w:t>
      </w:r>
      <w:r w:rsidR="00650590">
        <w:t xml:space="preserve">less focused on evaluating actions and </w:t>
      </w:r>
      <w:r w:rsidR="00897E99">
        <w:t xml:space="preserve">much more focused on rationalising </w:t>
      </w:r>
      <w:r w:rsidR="00650590">
        <w:t>them post-factum</w:t>
      </w:r>
      <w:r w:rsidR="00261DF2">
        <w:t xml:space="preserve"> (42)</w:t>
      </w:r>
      <w:r w:rsidR="00897E99">
        <w:t xml:space="preserve">. </w:t>
      </w:r>
    </w:p>
    <w:p w14:paraId="60D9919F" w14:textId="38F60CD4" w:rsidR="0005644D" w:rsidRDefault="000A7A0B">
      <w:r>
        <w:t xml:space="preserve">Sometimes these may be amenable to retrospective adjustment. </w:t>
      </w:r>
      <w:r w:rsidR="005E7C3C">
        <w:t>Griffiths et al (</w:t>
      </w:r>
      <w:r w:rsidR="00261DF2">
        <w:t>34</w:t>
      </w:r>
      <w:r w:rsidR="005E7C3C">
        <w:t>) improve</w:t>
      </w:r>
      <w:r w:rsidR="00D70807">
        <w:t>d</w:t>
      </w:r>
      <w:r w:rsidR="005E7C3C">
        <w:t xml:space="preserve"> </w:t>
      </w:r>
      <w:r w:rsidR="00D70807">
        <w:t>accuracy</w:t>
      </w:r>
      <w:r w:rsidR="005E7C3C">
        <w:t xml:space="preserve"> </w:t>
      </w:r>
      <w:r w:rsidR="00D70807">
        <w:t xml:space="preserve">in an employer survey </w:t>
      </w:r>
      <w:r w:rsidR="005E7C3C">
        <w:t xml:space="preserve">by </w:t>
      </w:r>
      <w:r w:rsidR="00D70807">
        <w:t>studying</w:t>
      </w:r>
      <w:r w:rsidR="00A65261">
        <w:t xml:space="preserve"> </w:t>
      </w:r>
      <w:r w:rsidR="00D70807">
        <w:t>inconsistencies in wage components (for example, overtime hours matched with overtime pay)</w:t>
      </w:r>
      <w:r w:rsidR="005E7C3C">
        <w:t>.</w:t>
      </w:r>
      <w:r w:rsidR="00650590">
        <w:t xml:space="preserve"> In other cases, there may be only the identification of </w:t>
      </w:r>
      <w:r w:rsidR="00650590">
        <w:lastRenderedPageBreak/>
        <w:t>the problem: Drew et al (</w:t>
      </w:r>
      <w:r w:rsidR="00261DF2">
        <w:t>43</w:t>
      </w:r>
      <w:r w:rsidR="00650590">
        <w:t xml:space="preserve">) </w:t>
      </w:r>
      <w:r w:rsidR="00D70807">
        <w:t>show</w:t>
      </w:r>
      <w:r w:rsidR="00650590">
        <w:t xml:space="preserve"> that </w:t>
      </w:r>
      <w:proofErr w:type="gramStart"/>
      <w:r w:rsidR="00A65261">
        <w:t>hours</w:t>
      </w:r>
      <w:proofErr w:type="gramEnd"/>
      <w:r w:rsidR="00650590">
        <w:t xml:space="preserve"> data </w:t>
      </w:r>
      <w:r w:rsidR="00CE349C">
        <w:t xml:space="preserve">are </w:t>
      </w:r>
      <w:r w:rsidR="00650590">
        <w:t xml:space="preserve">clearly missing from </w:t>
      </w:r>
      <w:r w:rsidR="00D70807">
        <w:t xml:space="preserve">an </w:t>
      </w:r>
      <w:r w:rsidR="00650590">
        <w:t xml:space="preserve">employee </w:t>
      </w:r>
      <w:r w:rsidR="00D70807">
        <w:t>dataset</w:t>
      </w:r>
      <w:r w:rsidR="00650590">
        <w:t>, but there is no information which can fill in the gaps.</w:t>
      </w:r>
    </w:p>
    <w:p w14:paraId="15B45D87" w14:textId="5F94800D" w:rsidR="008161B9" w:rsidRDefault="00D70807" w:rsidP="00F53761">
      <w:r>
        <w:t>N</w:t>
      </w:r>
      <w:r w:rsidR="00650590">
        <w:t>ot all employees are paid time-based earnings</w:t>
      </w:r>
      <w:r w:rsidR="009B2F5F">
        <w:t>.</w:t>
      </w:r>
      <w:r w:rsidR="005365F5">
        <w:t xml:space="preserve"> </w:t>
      </w:r>
      <w:r w:rsidR="00650590">
        <w:t>Employees may be paid piece</w:t>
      </w:r>
      <w:r w:rsidR="009B2F5F">
        <w:t>-rates, for example in agriculture, textiles, or home-based work; these appear to be more common in developing countries. There is a conceptual problem with asserting whether a piece-rate worker is under</w:t>
      </w:r>
      <w:r w:rsidR="005365F5">
        <w:t>-</w:t>
      </w:r>
      <w:r w:rsidR="009B2F5F">
        <w:t xml:space="preserve">paid or not: does a slow worker have the right to the same hourly wage as a fast worker? In some countries, minimum wages for piece-rate workers are based on </w:t>
      </w:r>
      <w:r w:rsidR="008161B9">
        <w:t xml:space="preserve">an </w:t>
      </w:r>
      <w:r w:rsidR="009B2F5F">
        <w:t xml:space="preserve">average </w:t>
      </w:r>
      <w:r w:rsidR="008161B9">
        <w:t>time to completion, but calc</w:t>
      </w:r>
      <w:r w:rsidR="00F85C84">
        <w:t>ul</w:t>
      </w:r>
      <w:r w:rsidR="008161B9">
        <w:t>ating compliance requires much more information</w:t>
      </w:r>
      <w:r w:rsidR="005365F5">
        <w:t xml:space="preserve">. </w:t>
      </w:r>
      <w:r w:rsidR="008161B9">
        <w:t>The practical problems associat</w:t>
      </w:r>
      <w:r w:rsidR="00F85C84">
        <w:t>e</w:t>
      </w:r>
      <w:r w:rsidR="008161B9">
        <w:t xml:space="preserve">d with </w:t>
      </w:r>
      <w:r w:rsidR="00CE349C">
        <w:t>piecework</w:t>
      </w:r>
      <w:r w:rsidR="008161B9">
        <w:t xml:space="preserve"> are clear: </w:t>
      </w:r>
      <w:proofErr w:type="spellStart"/>
      <w:r w:rsidR="008161B9">
        <w:t>Gittleman</w:t>
      </w:r>
      <w:proofErr w:type="spellEnd"/>
      <w:r w:rsidR="008161B9">
        <w:t xml:space="preserve"> and Pierce </w:t>
      </w:r>
      <w:r w:rsidR="00CA40BF">
        <w:t>(</w:t>
      </w:r>
      <w:r w:rsidR="00261DF2">
        <w:t>44</w:t>
      </w:r>
      <w:r w:rsidR="00CA40BF">
        <w:t>)</w:t>
      </w:r>
      <w:r w:rsidR="00963B2D">
        <w:t>, for example,</w:t>
      </w:r>
      <w:r w:rsidR="00CA40BF">
        <w:t xml:space="preserve"> </w:t>
      </w:r>
      <w:r w:rsidR="008161B9">
        <w:t xml:space="preserve">note that </w:t>
      </w:r>
      <w:r w:rsidR="00963B2D">
        <w:t xml:space="preserve">only </w:t>
      </w:r>
      <w:r w:rsidR="008161B9">
        <w:t xml:space="preserve">total </w:t>
      </w:r>
      <w:r w:rsidR="00CE349C">
        <w:t>piecework</w:t>
      </w:r>
      <w:r w:rsidR="008161B9">
        <w:t xml:space="preserve"> remuneration is available in US data</w:t>
      </w:r>
      <w:r w:rsidR="00A65261">
        <w:t>, with no data on hours worked</w:t>
      </w:r>
      <w:r w:rsidR="008161B9">
        <w:t>. Finally, p</w:t>
      </w:r>
      <w:r w:rsidR="009B2F5F">
        <w:t>iece rates may also be associated with informal or hidden work (</w:t>
      </w:r>
      <w:r w:rsidR="00261DF2">
        <w:t>45</w:t>
      </w:r>
      <w:r w:rsidR="009B2F5F">
        <w:t>), making identification doubly difficult</w:t>
      </w:r>
      <w:r w:rsidR="008161B9">
        <w:t>.</w:t>
      </w:r>
    </w:p>
    <w:p w14:paraId="4374B293" w14:textId="6452B8AB" w:rsidR="005557E6" w:rsidRDefault="008161B9" w:rsidP="00F53761">
      <w:r>
        <w:t xml:space="preserve">Other problems include </w:t>
      </w:r>
      <w:r w:rsidR="00D018E5">
        <w:t xml:space="preserve">the </w:t>
      </w:r>
      <w:r w:rsidR="005369A4">
        <w:t>time spent travelling to work</w:t>
      </w:r>
      <w:r>
        <w:t xml:space="preserve"> (for example, for domiciliary care workers)</w:t>
      </w:r>
      <w:r w:rsidR="005369A4">
        <w:t xml:space="preserve">, </w:t>
      </w:r>
      <w:r>
        <w:t xml:space="preserve">tips, and bonuses or other incentive payments. It may not be clear (a) whether these </w:t>
      </w:r>
      <w:r w:rsidR="00B823C9" w:rsidRPr="004C385A">
        <w:rPr>
          <w:i/>
        </w:rPr>
        <w:t>should be</w:t>
      </w:r>
      <w:r>
        <w:t xml:space="preserve"> included in wage calculations</w:t>
      </w:r>
      <w:r w:rsidR="005365F5">
        <w:t>,</w:t>
      </w:r>
      <w:r>
        <w:t xml:space="preserve"> </w:t>
      </w:r>
      <w:r w:rsidR="00D42B56">
        <w:t>and (</w:t>
      </w:r>
      <w:r>
        <w:t xml:space="preserve">b) whether they </w:t>
      </w:r>
      <w:r w:rsidR="00B823C9" w:rsidRPr="004C385A">
        <w:rPr>
          <w:i/>
        </w:rPr>
        <w:t>are</w:t>
      </w:r>
      <w:r w:rsidR="00D42B56">
        <w:rPr>
          <w:i/>
        </w:rPr>
        <w:t xml:space="preserve"> actually</w:t>
      </w:r>
      <w:r>
        <w:t xml:space="preserve"> included in </w:t>
      </w:r>
      <w:r w:rsidR="002C199C">
        <w:t xml:space="preserve">collected data. </w:t>
      </w:r>
      <w:r w:rsidR="005369A4">
        <w:t>I</w:t>
      </w:r>
      <w:r>
        <w:t xml:space="preserve">f this information is not available (and in OECD countries, it seems </w:t>
      </w:r>
      <w:r w:rsidR="002C199C">
        <w:t>rare</w:t>
      </w:r>
      <w:r>
        <w:t>)</w:t>
      </w:r>
      <w:r w:rsidR="000A7A0B">
        <w:t>, accur</w:t>
      </w:r>
      <w:r w:rsidR="00033096">
        <w:t>a</w:t>
      </w:r>
      <w:r w:rsidR="000A7A0B">
        <w:t xml:space="preserve">te rates cannot </w:t>
      </w:r>
      <w:r w:rsidR="00033096">
        <w:t>be calculated.</w:t>
      </w:r>
    </w:p>
    <w:p w14:paraId="0F098885" w14:textId="2072AE74" w:rsidR="00B5079A" w:rsidRDefault="00B5079A" w:rsidP="00F53761">
      <w:r>
        <w:t xml:space="preserve">Labour market data </w:t>
      </w:r>
      <w:proofErr w:type="gramStart"/>
      <w:r>
        <w:t xml:space="preserve">collection </w:t>
      </w:r>
      <w:r w:rsidR="007A587B">
        <w:t>are</w:t>
      </w:r>
      <w:proofErr w:type="gramEnd"/>
      <w:r w:rsidR="007A587B">
        <w:t xml:space="preserve"> </w:t>
      </w:r>
      <w:r>
        <w:t xml:space="preserve">still dominated by surveys, but </w:t>
      </w:r>
      <w:r w:rsidR="007A587B">
        <w:t xml:space="preserve">they are </w:t>
      </w:r>
      <w:r>
        <w:t>increasingly being replaced by administrative data sources, particularly in high-income countries. Administrative data present different quality issues. These are less likely to be subject to recall bias, rounding, or other errors associated with questionnaire or survey data. However, they are also likely to have been cleaned and checked to meet the original data collector’s administrative purpose, not the statistical purposes</w:t>
      </w:r>
      <w:r w:rsidR="00684187">
        <w:t>; and they require individuals to have interacted consistently with the administrative source</w:t>
      </w:r>
      <w:r>
        <w:t xml:space="preserve">. </w:t>
      </w:r>
      <w:r w:rsidR="006B1497">
        <w:t xml:space="preserve">As </w:t>
      </w:r>
      <w:proofErr w:type="spellStart"/>
      <w:r w:rsidR="006B1497">
        <w:t>Oberski</w:t>
      </w:r>
      <w:proofErr w:type="spellEnd"/>
      <w:r w:rsidR="006B1497">
        <w:t xml:space="preserve"> et al (</w:t>
      </w:r>
      <w:r w:rsidR="00261DF2">
        <w:t>46</w:t>
      </w:r>
      <w:r w:rsidR="006B1497">
        <w:t xml:space="preserve">) point </w:t>
      </w:r>
      <w:proofErr w:type="gramStart"/>
      <w:r w:rsidR="006B1497">
        <w:t>out,</w:t>
      </w:r>
      <w:proofErr w:type="gramEnd"/>
      <w:r w:rsidR="006B1497">
        <w:t xml:space="preserve"> it is in the nature of administrative data that no ‘gold standard’ for quality checking exists: every administrative source will have errors deriving from a unique data collection process.</w:t>
      </w:r>
    </w:p>
    <w:p w14:paraId="7BC70BE3" w14:textId="77777777" w:rsidR="00F53761" w:rsidRDefault="0025724A" w:rsidP="006A59B0">
      <w:pPr>
        <w:pStyle w:val="Heading2"/>
      </w:pPr>
      <w:r>
        <w:lastRenderedPageBreak/>
        <w:t>Processing</w:t>
      </w:r>
    </w:p>
    <w:p w14:paraId="1E1FFECD" w14:textId="543ED3B2" w:rsidR="00504E4B" w:rsidRDefault="0047794E" w:rsidP="0025724A">
      <w:r>
        <w:t>R</w:t>
      </w:r>
      <w:r w:rsidR="0043145A">
        <w:t xml:space="preserve">esearchers </w:t>
      </w:r>
      <w:r w:rsidR="00CF21C0">
        <w:t>are in general</w:t>
      </w:r>
      <w:r w:rsidR="0043145A">
        <w:t xml:space="preserve"> </w:t>
      </w:r>
      <w:r w:rsidR="00684187">
        <w:t>aware of</w:t>
      </w:r>
      <w:r w:rsidR="0043145A">
        <w:t xml:space="preserve"> the statistical problem</w:t>
      </w:r>
      <w:r w:rsidR="003B5CFD">
        <w:t>s</w:t>
      </w:r>
      <w:r w:rsidR="0043145A">
        <w:t xml:space="preserve"> noted above</w:t>
      </w:r>
      <w:r w:rsidR="00684187">
        <w:t>, but rarely consider</w:t>
      </w:r>
      <w:r w:rsidR="0043145A">
        <w:t xml:space="preserve"> </w:t>
      </w:r>
      <w:r w:rsidR="00087B91">
        <w:t xml:space="preserve">the </w:t>
      </w:r>
      <w:r w:rsidR="00684187">
        <w:t>impact of statistical production processes</w:t>
      </w:r>
      <w:r w:rsidR="00CF21C0">
        <w:t>.</w:t>
      </w:r>
      <w:r w:rsidR="00D97BEF">
        <w:t xml:space="preserve"> </w:t>
      </w:r>
      <w:r w:rsidR="006B1497">
        <w:t xml:space="preserve">Statistics </w:t>
      </w:r>
      <w:r w:rsidR="002F6CBE">
        <w:t>N</w:t>
      </w:r>
      <w:r w:rsidR="00261DF2">
        <w:t xml:space="preserve">ew Zealand </w:t>
      </w:r>
      <w:r w:rsidR="006B1497">
        <w:t>is unusual in flagging up processing errors to researchers (</w:t>
      </w:r>
      <w:r w:rsidR="00261DF2">
        <w:t>47</w:t>
      </w:r>
      <w:r w:rsidR="006B1497">
        <w:t>)</w:t>
      </w:r>
      <w:r w:rsidR="00087B91">
        <w:t>.</w:t>
      </w:r>
      <w:r w:rsidR="009231F4">
        <w:t xml:space="preserve"> For a </w:t>
      </w:r>
      <w:r w:rsidR="00684187">
        <w:t xml:space="preserve">binary </w:t>
      </w:r>
      <w:r w:rsidR="009231F4">
        <w:t xml:space="preserve">question such as compliance, minor </w:t>
      </w:r>
      <w:r w:rsidR="001D3C20">
        <w:t>variations</w:t>
      </w:r>
      <w:r w:rsidR="009231F4">
        <w:t xml:space="preserve"> can have disproportionate effects</w:t>
      </w:r>
      <w:r w:rsidR="001D3C20">
        <w:t xml:space="preserve">. These need </w:t>
      </w:r>
      <w:r w:rsidR="002F6CBE">
        <w:t xml:space="preserve">not </w:t>
      </w:r>
      <w:r w:rsidR="001D3C20">
        <w:t>be errors:</w:t>
      </w:r>
      <w:r w:rsidR="009231F4">
        <w:t xml:space="preserve"> </w:t>
      </w:r>
      <w:r w:rsidR="00261DF2">
        <w:t>Griffiths et al (34)</w:t>
      </w:r>
      <w:r w:rsidR="00504E4B">
        <w:t xml:space="preserve"> </w:t>
      </w:r>
      <w:r w:rsidR="009231F4">
        <w:t>demonstrate</w:t>
      </w:r>
      <w:r w:rsidR="00B708EB">
        <w:t>d</w:t>
      </w:r>
      <w:r w:rsidR="009231F4">
        <w:t xml:space="preserve"> that </w:t>
      </w:r>
      <w:r w:rsidR="001D3C20">
        <w:t>changing precision to five or six decimal places increased non-compliance rates from 1.2% to 1.7%</w:t>
      </w:r>
      <w:r w:rsidR="00CE33D5">
        <w:t>.</w:t>
      </w:r>
    </w:p>
    <w:p w14:paraId="4C7EB159" w14:textId="16AAD2BD" w:rsidR="00CE33D5" w:rsidRDefault="00B708EB" w:rsidP="00F53761">
      <w:r>
        <w:t>Processing pose</w:t>
      </w:r>
      <w:r w:rsidR="001D3C20">
        <w:t>s</w:t>
      </w:r>
      <w:r>
        <w:t xml:space="preserve"> particular difficulties: </w:t>
      </w:r>
      <w:r w:rsidR="00CE33D5">
        <w:t>it is not clear where to look</w:t>
      </w:r>
      <w:r>
        <w:t xml:space="preserve"> for problems, particularly when using data from statistical offices</w:t>
      </w:r>
      <w:r w:rsidR="001D3C20">
        <w:t xml:space="preserve"> </w:t>
      </w:r>
      <w:proofErr w:type="gramStart"/>
      <w:r w:rsidR="001D3C20">
        <w:t>who</w:t>
      </w:r>
      <w:proofErr w:type="gramEnd"/>
      <w:r w:rsidR="001D3C20">
        <w:t xml:space="preserve"> are </w:t>
      </w:r>
      <w:r w:rsidR="00CE33D5">
        <w:t>not normally resourced to look at minor variations</w:t>
      </w:r>
      <w:r w:rsidR="001D3C20">
        <w:t>. I</w:t>
      </w:r>
      <w:r w:rsidR="00CE33D5">
        <w:t>n recent years the dominant model has become ‘statistical editing’</w:t>
      </w:r>
      <w:r w:rsidR="003B5CFD">
        <w:t>,</w:t>
      </w:r>
      <w:r w:rsidR="00CE33D5">
        <w:t xml:space="preserve"> where potential errors are only investigated if they substantially change </w:t>
      </w:r>
      <w:r>
        <w:t xml:space="preserve">the </w:t>
      </w:r>
      <w:r w:rsidR="00CE33D5">
        <w:t xml:space="preserve">statistical </w:t>
      </w:r>
      <w:r>
        <w:t>aggregates</w:t>
      </w:r>
      <w:r w:rsidR="00CE33D5">
        <w:t xml:space="preserve">. This generally applies to very large respondents, or ones in very </w:t>
      </w:r>
      <w:r w:rsidR="00E5721D">
        <w:t xml:space="preserve">small </w:t>
      </w:r>
      <w:r w:rsidR="00CE33D5">
        <w:t xml:space="preserve">sample groups. Neither of these applies to </w:t>
      </w:r>
      <w:r w:rsidR="000C1324">
        <w:t>low wage employees</w:t>
      </w:r>
      <w:r w:rsidR="001D3C20">
        <w:t>:</w:t>
      </w:r>
      <w:r w:rsidR="00F26D0A">
        <w:t xml:space="preserve"> </w:t>
      </w:r>
      <w:r w:rsidR="00CE33D5">
        <w:t xml:space="preserve">the wage estimates that </w:t>
      </w:r>
      <w:r w:rsidR="008161B9">
        <w:t>statistics offices produce</w:t>
      </w:r>
      <w:r w:rsidR="00CE33D5">
        <w:t xml:space="preserve"> are not materially affected by such errors. </w:t>
      </w:r>
      <w:r w:rsidR="006B1497">
        <w:t>As</w:t>
      </w:r>
      <w:r w:rsidR="00D97BEF">
        <w:t xml:space="preserve"> </w:t>
      </w:r>
      <w:r w:rsidR="006B1497">
        <w:t>a result, data on the low</w:t>
      </w:r>
      <w:r w:rsidR="00CF21C0">
        <w:t>-</w:t>
      </w:r>
      <w:r w:rsidR="006B1497">
        <w:t xml:space="preserve">waged </w:t>
      </w:r>
      <w:r w:rsidR="00CF21C0">
        <w:t xml:space="preserve">are </w:t>
      </w:r>
      <w:r w:rsidR="00D97BEF">
        <w:t>less</w:t>
      </w:r>
      <w:r w:rsidR="006B1497">
        <w:t xml:space="preserve"> likely to be checked.</w:t>
      </w:r>
    </w:p>
    <w:p w14:paraId="336689FC" w14:textId="77777777" w:rsidR="00DE1685" w:rsidRDefault="00F26D0A" w:rsidP="00F53761">
      <w:r>
        <w:t xml:space="preserve">For the statistical office to address this </w:t>
      </w:r>
      <w:r w:rsidR="008161B9">
        <w:t>requires willingness</w:t>
      </w:r>
      <w:r>
        <w:t>, sufficient knowledge</w:t>
      </w:r>
      <w:r w:rsidR="008161B9">
        <w:t xml:space="preserve"> to design check</w:t>
      </w:r>
      <w:r w:rsidR="00D97BEF">
        <w:t>s</w:t>
      </w:r>
      <w:r w:rsidR="008161B9">
        <w:t xml:space="preserve"> correctly, and appropriate </w:t>
      </w:r>
      <w:r w:rsidR="00D97BEF">
        <w:t>resources</w:t>
      </w:r>
      <w:r w:rsidR="008161B9">
        <w:t xml:space="preserve">. For example, </w:t>
      </w:r>
      <w:r w:rsidR="003B5CFD">
        <w:t xml:space="preserve">the </w:t>
      </w:r>
      <w:r w:rsidR="00D97BEF">
        <w:t xml:space="preserve">UK’s </w:t>
      </w:r>
      <w:r w:rsidR="00B708EB">
        <w:t xml:space="preserve">Office for National </w:t>
      </w:r>
      <w:r>
        <w:t>S</w:t>
      </w:r>
      <w:r w:rsidR="00B708EB">
        <w:t>tatistics (</w:t>
      </w:r>
      <w:r w:rsidR="00CE33D5">
        <w:t>ONS</w:t>
      </w:r>
      <w:r w:rsidR="00B708EB">
        <w:t>)</w:t>
      </w:r>
      <w:r w:rsidR="00CE33D5">
        <w:t xml:space="preserve"> has a specific rule</w:t>
      </w:r>
      <w:r w:rsidR="000C1324">
        <w:t>:</w:t>
      </w:r>
      <w:r w:rsidR="00CE33D5">
        <w:t xml:space="preserve"> check input data if it lead</w:t>
      </w:r>
      <w:r w:rsidR="00DE1685">
        <w:t>s</w:t>
      </w:r>
      <w:r w:rsidR="00CE33D5">
        <w:t xml:space="preserve"> to a</w:t>
      </w:r>
      <w:r w:rsidR="00DE1685">
        <w:t>n hourly wage</w:t>
      </w:r>
      <w:r w:rsidR="00CE33D5">
        <w:t xml:space="preserve"> being below the</w:t>
      </w:r>
      <w:r w:rsidR="008161B9">
        <w:t xml:space="preserve"> minimum wage.</w:t>
      </w:r>
      <w:r w:rsidR="00DE1685">
        <w:t xml:space="preserve"> However, ONS </w:t>
      </w:r>
      <w:r w:rsidR="0004427D">
        <w:t xml:space="preserve">is only resourced to </w:t>
      </w:r>
      <w:r w:rsidR="00DE1685">
        <w:t xml:space="preserve">check the accuracy of the </w:t>
      </w:r>
      <w:r w:rsidR="000C1324">
        <w:t>data recorded on its form</w:t>
      </w:r>
      <w:r w:rsidR="00DE1685">
        <w:t>, not whether the respondent arrived at the information correctly.</w:t>
      </w:r>
    </w:p>
    <w:p w14:paraId="7FC85C8A" w14:textId="2BE94A47" w:rsidR="00504E4B" w:rsidRDefault="0004427D" w:rsidP="00F53761">
      <w:r>
        <w:t xml:space="preserve">With </w:t>
      </w:r>
      <w:r w:rsidR="00DE1685">
        <w:t xml:space="preserve">household </w:t>
      </w:r>
      <w:r>
        <w:t xml:space="preserve">surveys (as opposed to data from employer administrative records), an extra element of processing error comes from the presence of the interviewer. </w:t>
      </w:r>
      <w:r w:rsidR="00963B2D">
        <w:t>One of the authors</w:t>
      </w:r>
      <w:r w:rsidR="000C1324">
        <w:t xml:space="preserve"> </w:t>
      </w:r>
      <w:r w:rsidR="00CF21C0">
        <w:t xml:space="preserve">of this paper </w:t>
      </w:r>
      <w:r w:rsidR="000C1324">
        <w:t>ha</w:t>
      </w:r>
      <w:r w:rsidR="00963B2D">
        <w:t>s</w:t>
      </w:r>
      <w:r w:rsidR="000C1324">
        <w:t xml:space="preserve"> observed household data collection </w:t>
      </w:r>
      <w:r>
        <w:t>in the UK</w:t>
      </w:r>
      <w:r w:rsidR="000C1324">
        <w:t xml:space="preserve">, and </w:t>
      </w:r>
      <w:r w:rsidR="00DE1685">
        <w:t>noted that interviewers do not sometimes record the full detail offered by respondents</w:t>
      </w:r>
      <w:r>
        <w:t>; there seems no reason to suspect that interviewers in other countries are any more or less diligent</w:t>
      </w:r>
      <w:r w:rsidR="00DE1685">
        <w:t xml:space="preserve">. </w:t>
      </w:r>
      <w:r>
        <w:t>On the other hand, i</w:t>
      </w:r>
      <w:r w:rsidR="00DE1685">
        <w:t xml:space="preserve">t is debatable how </w:t>
      </w:r>
      <w:r w:rsidR="00DE1685">
        <w:lastRenderedPageBreak/>
        <w:t>import</w:t>
      </w:r>
      <w:r w:rsidR="0074268B">
        <w:t>ant</w:t>
      </w:r>
      <w:r w:rsidR="00DE1685">
        <w:t xml:space="preserve"> this is, given the other problems in </w:t>
      </w:r>
      <w:r w:rsidR="000C1324">
        <w:t>answering accurately</w:t>
      </w:r>
      <w:r>
        <w:t>; t</w:t>
      </w:r>
      <w:r w:rsidR="003B5CFD">
        <w:t xml:space="preserve">he </w:t>
      </w:r>
      <w:r w:rsidR="00DE1685">
        <w:t xml:space="preserve">ONS did change its interviewer instructions after the publication of </w:t>
      </w:r>
      <w:r w:rsidR="00261DF2">
        <w:t>(35)</w:t>
      </w:r>
      <w:r w:rsidR="00DE1685">
        <w:t xml:space="preserve">, but this appeared to have </w:t>
      </w:r>
      <w:r w:rsidR="003B5CFD">
        <w:t xml:space="preserve">had </w:t>
      </w:r>
      <w:r w:rsidR="00DE1685">
        <w:t xml:space="preserve">little impact.  </w:t>
      </w:r>
    </w:p>
    <w:p w14:paraId="44930BB9" w14:textId="0D83F6CD" w:rsidR="00DE1685" w:rsidRDefault="00AC3CF0" w:rsidP="00F53761">
      <w:r>
        <w:t>Allowance for processing error is usually done through allowing wages within a band to be ‘compliant’.</w:t>
      </w:r>
      <w:r w:rsidR="00236AF5">
        <w:t xml:space="preserve"> </w:t>
      </w:r>
      <w:r w:rsidR="0004427D">
        <w:t xml:space="preserve">However, the </w:t>
      </w:r>
      <w:r>
        <w:t>band varies considerably.</w:t>
      </w:r>
      <w:r w:rsidR="0004427D">
        <w:t xml:space="preserve"> In the UK</w:t>
      </w:r>
      <w:r w:rsidR="00D97BEF">
        <w:t>,</w:t>
      </w:r>
      <w:r w:rsidR="0004427D">
        <w:t xml:space="preserve"> </w:t>
      </w:r>
      <w:r>
        <w:t xml:space="preserve">employer responses </w:t>
      </w:r>
      <w:r w:rsidR="00D97BEF">
        <w:t xml:space="preserve">are </w:t>
      </w:r>
      <w:r w:rsidR="0004427D">
        <w:t>typically rounded to the nearest penny</w:t>
      </w:r>
      <w:r w:rsidR="000C1324">
        <w:t xml:space="preserve"> </w:t>
      </w:r>
      <w:r w:rsidR="0004427D">
        <w:t>(</w:t>
      </w:r>
      <w:r w:rsidR="00261DF2">
        <w:t>39</w:t>
      </w:r>
      <w:r w:rsidR="0004427D">
        <w:t xml:space="preserve">) </w:t>
      </w:r>
      <w:r w:rsidR="00236AF5">
        <w:t xml:space="preserve">because the data are generally assumed to be </w:t>
      </w:r>
      <w:r>
        <w:t>precise</w:t>
      </w:r>
      <w:r w:rsidR="00D97BEF">
        <w:t>. I</w:t>
      </w:r>
      <w:r w:rsidR="00236AF5">
        <w:t xml:space="preserve">n contrast, </w:t>
      </w:r>
      <w:proofErr w:type="spellStart"/>
      <w:r w:rsidR="001E70D1">
        <w:t>Garnero</w:t>
      </w:r>
      <w:proofErr w:type="spellEnd"/>
      <w:r w:rsidR="001E70D1">
        <w:t xml:space="preserve"> et al (</w:t>
      </w:r>
      <w:r w:rsidR="00261DF2">
        <w:t>1, 22</w:t>
      </w:r>
      <w:r w:rsidR="001E70D1">
        <w:t>)</w:t>
      </w:r>
      <w:r w:rsidR="00236AF5">
        <w:t xml:space="preserve"> treated wages </w:t>
      </w:r>
      <w:r w:rsidR="003B5CFD">
        <w:t xml:space="preserve">up to </w:t>
      </w:r>
      <w:r w:rsidR="00236AF5">
        <w:t>25% below the minimum as ‘compl</w:t>
      </w:r>
      <w:r w:rsidR="00B37847">
        <w:t>iant</w:t>
      </w:r>
      <w:r w:rsidR="00236AF5">
        <w:t>’</w:t>
      </w:r>
      <w:r w:rsidR="00991481">
        <w:t>,</w:t>
      </w:r>
      <w:r w:rsidR="00236AF5">
        <w:t xml:space="preserve"> to allow for </w:t>
      </w:r>
      <w:r>
        <w:t xml:space="preserve">wider </w:t>
      </w:r>
      <w:r w:rsidR="00236AF5">
        <w:t>measurement error.</w:t>
      </w:r>
    </w:p>
    <w:p w14:paraId="5835A022" w14:textId="77777777" w:rsidR="00F53761" w:rsidRDefault="00C7352F" w:rsidP="006A59B0">
      <w:pPr>
        <w:pStyle w:val="Heading2"/>
      </w:pPr>
      <w:r>
        <w:t>Weighting</w:t>
      </w:r>
    </w:p>
    <w:p w14:paraId="1C4D0FB8" w14:textId="77777777" w:rsidR="0025724A" w:rsidRDefault="00C63A5B" w:rsidP="00F53761">
      <w:r>
        <w:t xml:space="preserve">Most data sources are sampled, and so </w:t>
      </w:r>
      <w:r w:rsidR="000C1324">
        <w:t xml:space="preserve">contain </w:t>
      </w:r>
      <w:r w:rsidR="00C7352F">
        <w:t xml:space="preserve">weights to produce population estimates. </w:t>
      </w:r>
      <w:r w:rsidR="0025724A">
        <w:t xml:space="preserve">These are based upon the </w:t>
      </w:r>
      <w:proofErr w:type="spellStart"/>
      <w:r w:rsidR="0025724A" w:rsidRPr="00B94DCE">
        <w:rPr>
          <w:i/>
        </w:rPr>
        <w:t>ex ante</w:t>
      </w:r>
      <w:proofErr w:type="spellEnd"/>
      <w:r w:rsidR="0025724A">
        <w:t xml:space="preserve"> sampling weights, adjusted for actual responses.</w:t>
      </w:r>
      <w:r w:rsidR="00D86863">
        <w:t xml:space="preserve"> The </w:t>
      </w:r>
      <w:r w:rsidR="00D86863" w:rsidRPr="00B94DCE">
        <w:rPr>
          <w:i/>
        </w:rPr>
        <w:t xml:space="preserve">ex </w:t>
      </w:r>
      <w:r w:rsidR="00B708EB" w:rsidRPr="00B94DCE">
        <w:rPr>
          <w:i/>
        </w:rPr>
        <w:t>post</w:t>
      </w:r>
      <w:r w:rsidR="00B708EB">
        <w:t xml:space="preserve"> adjusted</w:t>
      </w:r>
      <w:r w:rsidR="00D86863">
        <w:t xml:space="preserve"> weights should reflect the expected sampling problems addressed above. </w:t>
      </w:r>
    </w:p>
    <w:p w14:paraId="5360D7BD" w14:textId="57F8EC61" w:rsidR="00AC3CF0" w:rsidRDefault="00B708EB" w:rsidP="00E71B4A">
      <w:r>
        <w:t>Nevertheless, t</w:t>
      </w:r>
      <w:r w:rsidR="00D86863">
        <w:t xml:space="preserve">here is often limited opportunity to verify the accuracy of ex post sampling weights. </w:t>
      </w:r>
      <w:r w:rsidR="00E71B4A">
        <w:t xml:space="preserve">For example, in the UK there are three sources of information on the workforce: </w:t>
      </w:r>
      <w:r w:rsidR="003C04FD">
        <w:t>the Annual Survey of Hours and Earnings (</w:t>
      </w:r>
      <w:r w:rsidR="00E71B4A">
        <w:t>ASHE</w:t>
      </w:r>
      <w:r w:rsidR="003C04FD">
        <w:t>)</w:t>
      </w:r>
      <w:r w:rsidR="00E71B4A">
        <w:t xml:space="preserve">, </w:t>
      </w:r>
      <w:r w:rsidR="003C04FD">
        <w:t xml:space="preserve">the </w:t>
      </w:r>
      <w:r w:rsidR="00E71B4A">
        <w:t>L</w:t>
      </w:r>
      <w:r>
        <w:t>abour Force Survey (LFS)</w:t>
      </w:r>
      <w:r w:rsidR="00E71B4A">
        <w:t xml:space="preserve"> and the decennial Census. However, these are no</w:t>
      </w:r>
      <w:r w:rsidR="00C63A5B">
        <w:t>t</w:t>
      </w:r>
      <w:r w:rsidR="00E71B4A">
        <w:t xml:space="preserve"> independent:</w:t>
      </w:r>
      <w:r w:rsidR="00C7352F">
        <w:t xml:space="preserve"> ASHE weights are derived from the LFS</w:t>
      </w:r>
      <w:r w:rsidR="00E71B4A">
        <w:t xml:space="preserve">, </w:t>
      </w:r>
      <w:r w:rsidR="00C7352F">
        <w:t xml:space="preserve">whose weights are in turn derived from the decennial Census, with some </w:t>
      </w:r>
      <w:proofErr w:type="spellStart"/>
      <w:r w:rsidR="00B94DCE">
        <w:t>intercensal</w:t>
      </w:r>
      <w:proofErr w:type="spellEnd"/>
      <w:r w:rsidR="00B94DCE">
        <w:t xml:space="preserve"> </w:t>
      </w:r>
      <w:r w:rsidR="00C7352F">
        <w:t xml:space="preserve">adjustment. Hence, while these weights are the ‘best available estimate’, </w:t>
      </w:r>
      <w:r w:rsidR="00E71B4A">
        <w:t>triangulation between these sources to establish a ‘robust’ estimate is not statistically valid.</w:t>
      </w:r>
    </w:p>
    <w:p w14:paraId="45415BF4" w14:textId="6197F170" w:rsidR="0074268B" w:rsidRDefault="00E71B4A" w:rsidP="00E71B4A">
      <w:r>
        <w:t xml:space="preserve">It is possible to use administrative records (such as tax information) to provide an independent source, but this tends not to have the </w:t>
      </w:r>
      <w:r w:rsidR="003C04FD">
        <w:t xml:space="preserve">necessary </w:t>
      </w:r>
      <w:r>
        <w:t>detail</w:t>
      </w:r>
      <w:r w:rsidR="00216227">
        <w:t xml:space="preserve"> on respondent</w:t>
      </w:r>
      <w:r>
        <w:t xml:space="preserve"> </w:t>
      </w:r>
      <w:r w:rsidR="00216227">
        <w:t>characteristics</w:t>
      </w:r>
      <w:r>
        <w:t xml:space="preserve"> to allow stratification of estim</w:t>
      </w:r>
      <w:r w:rsidR="00216227">
        <w:t>a</w:t>
      </w:r>
      <w:r>
        <w:t>tes</w:t>
      </w:r>
      <w:r w:rsidR="00216227">
        <w:t>.</w:t>
      </w:r>
      <w:r>
        <w:t xml:space="preserve"> </w:t>
      </w:r>
      <w:r w:rsidR="00C63A5B">
        <w:t>Where data is wholly based on an administrative population, such as Statistics New Zealand’s Linked Employer-Employee Data (</w:t>
      </w:r>
      <w:r w:rsidR="00261DF2">
        <w:t>47</w:t>
      </w:r>
      <w:r w:rsidR="00C63A5B">
        <w:t>),</w:t>
      </w:r>
      <w:r w:rsidR="00B94DCE">
        <w:t xml:space="preserve"> </w:t>
      </w:r>
      <w:r w:rsidR="00C63A5B">
        <w:t xml:space="preserve">weighting is theoretically unnecessary but </w:t>
      </w:r>
      <w:r w:rsidR="00A9418B">
        <w:t xml:space="preserve">other surveys are still referenced </w:t>
      </w:r>
      <w:r w:rsidR="003C04FD">
        <w:t xml:space="preserve">for </w:t>
      </w:r>
      <w:r w:rsidR="00A9418B">
        <w:t>triangulation purposes.</w:t>
      </w:r>
    </w:p>
    <w:p w14:paraId="777187DD" w14:textId="77777777" w:rsidR="00D21D05" w:rsidRDefault="00D21D05" w:rsidP="006A59B0">
      <w:pPr>
        <w:pStyle w:val="Heading2"/>
      </w:pPr>
      <w:r>
        <w:lastRenderedPageBreak/>
        <w:t xml:space="preserve">Calculation of </w:t>
      </w:r>
      <w:r w:rsidR="00E5721D">
        <w:t xml:space="preserve">the </w:t>
      </w:r>
      <w:r>
        <w:t>non-c</w:t>
      </w:r>
      <w:r w:rsidR="00F53761">
        <w:t xml:space="preserve">ompliance </w:t>
      </w:r>
      <w:r>
        <w:t>rate</w:t>
      </w:r>
    </w:p>
    <w:p w14:paraId="59761C86" w14:textId="3ECC1B9D" w:rsidR="00B708EB" w:rsidRDefault="00B708EB" w:rsidP="00883469">
      <w:r>
        <w:t>The t</w:t>
      </w:r>
      <w:r w:rsidR="00C7352F">
        <w:t xml:space="preserve">ypical </w:t>
      </w:r>
      <w:r w:rsidR="00AC3CF0">
        <w:t>reported ‘rate’</w:t>
      </w:r>
      <w:r>
        <w:t xml:space="preserve"> is</w:t>
      </w:r>
      <w:r w:rsidR="00CA4A6C">
        <w:t xml:space="preserve"> the proportion non-compliant over the </w:t>
      </w:r>
      <w:r w:rsidR="00991481">
        <w:t xml:space="preserve">whole </w:t>
      </w:r>
      <w:r w:rsidR="00CA4A6C">
        <w:t>workforce</w:t>
      </w:r>
      <w:r>
        <w:t xml:space="preserve">, </w:t>
      </w:r>
      <w:r w:rsidR="00CA4A6C">
        <w:t xml:space="preserve">or at least the relevant age group. </w:t>
      </w:r>
      <w:r>
        <w:t>This answers the question “</w:t>
      </w:r>
      <w:r w:rsidR="00B94DCE">
        <w:t xml:space="preserve">what </w:t>
      </w:r>
      <w:proofErr w:type="gramStart"/>
      <w:r w:rsidR="00B94DCE">
        <w:t>proportion of</w:t>
      </w:r>
      <w:r>
        <w:t xml:space="preserve"> workers </w:t>
      </w:r>
      <w:r w:rsidR="00AC3CF0">
        <w:t xml:space="preserve">[in that age group] </w:t>
      </w:r>
      <w:r>
        <w:t>are</w:t>
      </w:r>
      <w:proofErr w:type="gramEnd"/>
      <w:r>
        <w:t xml:space="preserve"> being paid below the statutory minimum?”</w:t>
      </w:r>
    </w:p>
    <w:p w14:paraId="2331289B" w14:textId="018D6DC6" w:rsidR="00883469" w:rsidRDefault="00AC3CF0" w:rsidP="00883469">
      <w:r>
        <w:t>Some analyses use</w:t>
      </w:r>
      <w:r w:rsidR="00CA4A6C">
        <w:t xml:space="preserve"> a subset closer to the minimum wage. The rationale is that the </w:t>
      </w:r>
      <w:r w:rsidR="00A9418B">
        <w:t>minimum wage</w:t>
      </w:r>
      <w:r w:rsidR="00CA4A6C">
        <w:t xml:space="preserve"> </w:t>
      </w:r>
      <w:r w:rsidR="008418B1">
        <w:t xml:space="preserve">is </w:t>
      </w:r>
      <w:r w:rsidR="00CA4A6C">
        <w:t xml:space="preserve">not relevant for high-earners: non-compliance should instead answer the question “Out of the very low paid, </w:t>
      </w:r>
      <w:r w:rsidR="00B94DCE">
        <w:t xml:space="preserve">what proportion </w:t>
      </w:r>
      <w:r w:rsidR="00CA4A6C">
        <w:t xml:space="preserve">of those are not getting the statutory minimum?” </w:t>
      </w:r>
      <w:r w:rsidR="005711D0">
        <w:t xml:space="preserve">The difficulty </w:t>
      </w:r>
      <w:r w:rsidR="00991481">
        <w:t xml:space="preserve">here </w:t>
      </w:r>
      <w:r w:rsidR="005711D0">
        <w:t xml:space="preserve">is that </w:t>
      </w:r>
      <w:r w:rsidR="00E5721D">
        <w:t xml:space="preserve">the </w:t>
      </w:r>
      <w:r w:rsidR="005711D0">
        <w:t xml:space="preserve">number </w:t>
      </w:r>
      <w:r w:rsidR="00E5721D">
        <w:t xml:space="preserve">of </w:t>
      </w:r>
      <w:r w:rsidR="00216227">
        <w:t xml:space="preserve">‘low paid’ </w:t>
      </w:r>
      <w:r w:rsidR="005711D0">
        <w:t>employees</w:t>
      </w:r>
      <w:r w:rsidR="00216227">
        <w:t xml:space="preserve"> is a subjective measure. Should the denominator include all those at or below the minimum wage, or should it </w:t>
      </w:r>
      <w:r w:rsidR="008418B1">
        <w:t xml:space="preserve">also </w:t>
      </w:r>
      <w:r w:rsidR="00216227">
        <w:t>include some</w:t>
      </w:r>
      <w:r w:rsidR="00883469">
        <w:t xml:space="preserve"> above the minimum? </w:t>
      </w:r>
    </w:p>
    <w:p w14:paraId="2FEF99AD" w14:textId="38C537F4" w:rsidR="00AC3CF0" w:rsidRDefault="007C4F2D" w:rsidP="005557E6">
      <w:r>
        <w:t>In the UK, t</w:t>
      </w:r>
      <w:r w:rsidR="00D21D05">
        <w:t>he LPC define</w:t>
      </w:r>
      <w:r w:rsidR="00991481">
        <w:t>s</w:t>
      </w:r>
      <w:r w:rsidR="00D21D05">
        <w:t xml:space="preserve"> a ‘minimum wage worker’ as one earning </w:t>
      </w:r>
      <w:r w:rsidR="000E7A51">
        <w:t xml:space="preserve">the </w:t>
      </w:r>
      <w:r w:rsidR="001642B8">
        <w:t>minimum wage</w:t>
      </w:r>
      <w:r w:rsidR="000E7A51">
        <w:t xml:space="preserve"> plus </w:t>
      </w:r>
      <w:r w:rsidR="00755607">
        <w:t>4p (5p band including the rate)</w:t>
      </w:r>
      <w:r w:rsidR="008418B1">
        <w:t>.</w:t>
      </w:r>
      <w:r w:rsidR="00991481">
        <w:t xml:space="preserve"> </w:t>
      </w:r>
      <w:r w:rsidR="008418B1">
        <w:t>I</w:t>
      </w:r>
      <w:r w:rsidR="002D5D55">
        <w:t>n its 2016 report the LPC began reporting non-compliance as a proportion of both all workers and ‘minimum wage workers’.</w:t>
      </w:r>
      <w:r w:rsidR="00883469">
        <w:t xml:space="preserve"> </w:t>
      </w:r>
      <w:r w:rsidR="00D21D05">
        <w:t xml:space="preserve">However, </w:t>
      </w:r>
      <w:r w:rsidR="00644E9C">
        <w:t>Fry and Ritchie</w:t>
      </w:r>
      <w:r w:rsidR="00D21D05">
        <w:t xml:space="preserve"> (201</w:t>
      </w:r>
      <w:r w:rsidR="00644E9C">
        <w:t>3, p6</w:t>
      </w:r>
      <w:r w:rsidR="00D21D05">
        <w:t>) argue that th</w:t>
      </w:r>
      <w:r>
        <w:t>e LPC definition</w:t>
      </w:r>
      <w:r w:rsidR="00D21D05">
        <w:t xml:space="preserve"> ignore</w:t>
      </w:r>
      <w:r w:rsidR="00B94DCE">
        <w:t>s</w:t>
      </w:r>
      <w:r w:rsidR="00D21D05">
        <w:t xml:space="preserve"> the human propensity </w:t>
      </w:r>
      <w:r w:rsidR="00883469">
        <w:t>to pay (and report) at rounded numbers</w:t>
      </w:r>
      <w:r>
        <w:t>. T</w:t>
      </w:r>
      <w:r w:rsidR="00883469">
        <w:t xml:space="preserve">hey </w:t>
      </w:r>
      <w:r w:rsidR="00D21D05">
        <w:t>recommend</w:t>
      </w:r>
      <w:r>
        <w:t>ed</w:t>
      </w:r>
      <w:r w:rsidR="00D21D05">
        <w:t xml:space="preserve"> using “NMW up to </w:t>
      </w:r>
      <w:r w:rsidR="000E7A51">
        <w:t xml:space="preserve">the </w:t>
      </w:r>
      <w:r w:rsidR="00D21D05">
        <w:t>next 10p</w:t>
      </w:r>
      <w:r w:rsidR="00AC3CF0">
        <w:t xml:space="preserve"> rounding point</w:t>
      </w:r>
      <w:r w:rsidR="00D21D05">
        <w:t>”</w:t>
      </w:r>
      <w:r>
        <w:t>, claiming that this would reduce fluctuations in non-compliance rates caused by arbitrary shifts in the denominator</w:t>
      </w:r>
      <w:r w:rsidR="00D21D05">
        <w:t>. Under this definition</w:t>
      </w:r>
      <w:r w:rsidR="000E7A51">
        <w:t>,</w:t>
      </w:r>
      <w:r w:rsidR="00D21D05">
        <w:t xml:space="preserve"> an adult worker would be</w:t>
      </w:r>
      <w:r w:rsidR="000E7A51">
        <w:t xml:space="preserve"> </w:t>
      </w:r>
      <w:r w:rsidR="00B94DCE">
        <w:t xml:space="preserve">a </w:t>
      </w:r>
      <w:r w:rsidR="00D21D05">
        <w:t xml:space="preserve">“minimum wage” </w:t>
      </w:r>
      <w:r w:rsidR="00B94DCE">
        <w:t xml:space="preserve">one </w:t>
      </w:r>
      <w:r w:rsidR="000E7A51">
        <w:t xml:space="preserve">if </w:t>
      </w:r>
      <w:r w:rsidR="00D21D05">
        <w:t xml:space="preserve">being paid £6.00 in 2011 when the adult NMW was £5.93, whereas the LPC definition </w:t>
      </w:r>
      <w:r w:rsidR="00AC3CF0">
        <w:t>would exclude these workers</w:t>
      </w:r>
      <w:r>
        <w:t>.</w:t>
      </w:r>
    </w:p>
    <w:p w14:paraId="15E753BF" w14:textId="7963461B" w:rsidR="008F29C7" w:rsidRDefault="007C4F2D" w:rsidP="005557E6">
      <w:r>
        <w:t>O</w:t>
      </w:r>
      <w:r w:rsidR="008418B1" w:rsidRPr="008418B1">
        <w:t>verall, it is clear that the definition of the preferred ‘non-compliance rate’ is not unambiguous.</w:t>
      </w:r>
      <w:r w:rsidR="00AC3CF0">
        <w:t xml:space="preserve"> </w:t>
      </w:r>
      <w:proofErr w:type="spellStart"/>
      <w:r w:rsidR="00B824C0">
        <w:t>Bhorat</w:t>
      </w:r>
      <w:proofErr w:type="spellEnd"/>
      <w:r w:rsidR="00B824C0">
        <w:t xml:space="preserve"> et al (</w:t>
      </w:r>
      <w:r w:rsidR="00261DF2">
        <w:t>30</w:t>
      </w:r>
      <w:r w:rsidR="00B824C0">
        <w:t xml:space="preserve">) argue </w:t>
      </w:r>
      <w:r w:rsidR="000E7A51">
        <w:t xml:space="preserve">that </w:t>
      </w:r>
      <w:r w:rsidR="00B824C0">
        <w:t xml:space="preserve">any </w:t>
      </w:r>
      <w:r w:rsidR="00AC3CF0">
        <w:t xml:space="preserve">single </w:t>
      </w:r>
      <w:r w:rsidR="00B824C0">
        <w:t xml:space="preserve">‘rate’ is of limited information as it does not </w:t>
      </w:r>
      <w:r w:rsidR="000E7A51">
        <w:t xml:space="preserve">capture </w:t>
      </w:r>
      <w:r w:rsidR="00B824C0">
        <w:t>the scale of the problem</w:t>
      </w:r>
      <w:r w:rsidR="007923FF">
        <w:t>. They propose w</w:t>
      </w:r>
      <w:r w:rsidR="00F22D90">
        <w:t xml:space="preserve">eighting </w:t>
      </w:r>
      <w:r w:rsidR="007923FF">
        <w:t>underpayment</w:t>
      </w:r>
      <w:r w:rsidR="00F22D90">
        <w:t xml:space="preserve"> by</w:t>
      </w:r>
      <w:r w:rsidR="000E7A51">
        <w:t xml:space="preserve"> </w:t>
      </w:r>
      <w:r w:rsidR="00B824C0">
        <w:t xml:space="preserve">distance from the </w:t>
      </w:r>
      <w:r w:rsidR="00F22D90">
        <w:t>minimum</w:t>
      </w:r>
      <w:r w:rsidR="001642B8">
        <w:t xml:space="preserve">, in line with some poverty </w:t>
      </w:r>
      <w:r w:rsidR="00B94DCE">
        <w:t>indices</w:t>
      </w:r>
      <w:r w:rsidR="008418B1">
        <w:t>:</w:t>
      </w:r>
    </w:p>
    <w:p w14:paraId="66848E51" w14:textId="77777777" w:rsidR="008F29C7" w:rsidRPr="008F29C7" w:rsidRDefault="006A59B0" w:rsidP="005557E6">
      <w:pPr>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α</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&lt;</m:t>
              </m:r>
              <m:sSub>
                <m:sSubPr>
                  <m:ctrlPr>
                    <w:rPr>
                      <w:rFonts w:ascii="Cambria Math" w:hAnsi="Cambria Math"/>
                      <w:i/>
                    </w:rPr>
                  </m:ctrlPr>
                </m:sSubPr>
                <m:e>
                  <m:r>
                    <w:rPr>
                      <w:rFonts w:ascii="Cambria Math" w:hAnsi="Cambria Math"/>
                    </w:rPr>
                    <m:t>MW</m:t>
                  </m:r>
                </m:e>
                <m:sub>
                  <m:r>
                    <w:rPr>
                      <w:rFonts w:ascii="Cambria Math" w:hAnsi="Cambria Math"/>
                    </w:rPr>
                    <m:t>i</m:t>
                  </m:r>
                </m:sub>
              </m:sSub>
            </m:sub>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MW</m:t>
                              </m:r>
                            </m:e>
                            <m:sub>
                              <m:r>
                                <w:rPr>
                                  <w:rFonts w:ascii="Cambria Math" w:hAnsi="Cambria Math"/>
                                </w:rPr>
                                <m:t>i</m:t>
                              </m:r>
                            </m:sub>
                          </m:sSub>
                        </m:num>
                        <m:den>
                          <m:sSub>
                            <m:sSubPr>
                              <m:ctrlPr>
                                <w:rPr>
                                  <w:rFonts w:ascii="Cambria Math" w:hAnsi="Cambria Math"/>
                                  <w:i/>
                                </w:rPr>
                              </m:ctrlPr>
                            </m:sSubPr>
                            <m:e>
                              <m:r>
                                <w:rPr>
                                  <w:rFonts w:ascii="Cambria Math" w:hAnsi="Cambria Math"/>
                                </w:rPr>
                                <m:t>MW</m:t>
                              </m:r>
                            </m:e>
                            <m:sub>
                              <m:r>
                                <w:rPr>
                                  <w:rFonts w:ascii="Cambria Math" w:hAnsi="Cambria Math"/>
                                </w:rPr>
                                <m:t>i</m:t>
                              </m:r>
                            </m:sub>
                          </m:sSub>
                        </m:den>
                      </m:f>
                    </m:e>
                  </m:d>
                </m:e>
                <m:sup>
                  <m:r>
                    <w:rPr>
                      <w:rFonts w:ascii="Cambria Math" w:hAnsi="Cambria Math"/>
                    </w:rPr>
                    <m:t>α</m:t>
                  </m:r>
                </m:sup>
              </m:s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&lt;</m:t>
              </m:r>
              <m:sSub>
                <m:sSubPr>
                  <m:ctrlPr>
                    <w:rPr>
                      <w:rFonts w:ascii="Cambria Math" w:hAnsi="Cambria Math"/>
                      <w:i/>
                    </w:rPr>
                  </m:ctrlPr>
                </m:sSubPr>
                <m:e>
                  <m:r>
                    <w:rPr>
                      <w:rFonts w:ascii="Cambria Math" w:hAnsi="Cambria Math"/>
                    </w:rPr>
                    <m:t>MW</m:t>
                  </m:r>
                </m:e>
                <m:sub>
                  <m:r>
                    <w:rPr>
                      <w:rFonts w:ascii="Cambria Math" w:hAnsi="Cambria Math"/>
                    </w:rPr>
                    <m:t>i</m:t>
                  </m:r>
                </m:sub>
              </m:sSub>
            </m:sub>
          </m:sSub>
        </m:oMath>
      </m:oMathPara>
    </w:p>
    <w:p w14:paraId="0654A1A8" w14:textId="725DB51A" w:rsidR="008F29C7" w:rsidRDefault="00BF7104" w:rsidP="006E611D">
      <w:pPr>
        <w:rPr>
          <w:rFonts w:eastAsiaTheme="minorEastAsia"/>
        </w:rPr>
      </w:pPr>
      <w:r>
        <w:rPr>
          <w:rFonts w:eastAsiaTheme="minorEastAsia"/>
        </w:rPr>
        <w:lastRenderedPageBreak/>
        <w:t>T</w:t>
      </w:r>
      <w:r w:rsidR="008F29C7">
        <w:rPr>
          <w:rFonts w:eastAsiaTheme="minorEastAsia"/>
        </w:rPr>
        <w:t xml:space="preserve">he measure of interest, </w:t>
      </w:r>
      <w:r w:rsidR="008F29C7" w:rsidRPr="008418B1">
        <w:rPr>
          <w:rFonts w:eastAsiaTheme="minorEastAsia"/>
          <w:i/>
        </w:rPr>
        <w:t>m</w:t>
      </w:r>
      <w:r w:rsidR="00437625" w:rsidRPr="008418B1">
        <w:rPr>
          <w:rFonts w:eastAsiaTheme="minorEastAsia"/>
          <w:i/>
          <w:vertAlign w:val="subscript"/>
        </w:rPr>
        <w:t>α</w:t>
      </w:r>
      <w:r w:rsidR="008F29C7">
        <w:rPr>
          <w:rFonts w:eastAsiaTheme="minorEastAsia"/>
        </w:rPr>
        <w:t>, is calculated by summing the size of the gap from the minimum wage</w:t>
      </w:r>
      <w:r w:rsidR="006E611D">
        <w:rPr>
          <w:rFonts w:eastAsiaTheme="minorEastAsia"/>
        </w:rPr>
        <w:t>.</w:t>
      </w:r>
      <w:r w:rsidR="008F29C7">
        <w:rPr>
          <w:rFonts w:eastAsiaTheme="minorEastAsia"/>
        </w:rPr>
        <w:t xml:space="preserve"> </w:t>
      </w:r>
      <w:r w:rsidR="008343BD">
        <w:rPr>
          <w:rFonts w:eastAsiaTheme="minorEastAsia"/>
        </w:rPr>
        <w:t xml:space="preserve">The parameter </w:t>
      </w:r>
      <w:r w:rsidR="008343BD" w:rsidRPr="008418B1">
        <w:rPr>
          <w:rFonts w:ascii="Symbol" w:eastAsiaTheme="minorEastAsia" w:hAnsi="Symbol"/>
          <w:i/>
        </w:rPr>
        <w:t></w:t>
      </w:r>
      <w:r w:rsidR="008343BD" w:rsidRPr="008418B1">
        <w:rPr>
          <w:rFonts w:eastAsiaTheme="minorEastAsia"/>
          <w:i/>
        </w:rPr>
        <w:t xml:space="preserve"> </w:t>
      </w:r>
      <w:r w:rsidR="008343BD">
        <w:rPr>
          <w:rFonts w:eastAsiaTheme="minorEastAsia"/>
        </w:rPr>
        <w:t xml:space="preserve">weights the results, with </w:t>
      </w:r>
      <w:r w:rsidR="008343BD" w:rsidRPr="008418B1">
        <w:rPr>
          <w:rFonts w:ascii="Symbol" w:eastAsiaTheme="minorEastAsia" w:hAnsi="Symbol"/>
          <w:i/>
        </w:rPr>
        <w:t></w:t>
      </w:r>
      <w:r w:rsidR="008343BD">
        <w:rPr>
          <w:rFonts w:eastAsiaTheme="minorEastAsia"/>
        </w:rPr>
        <w:t xml:space="preserve"> =</w:t>
      </w:r>
      <w:r w:rsidR="008418B1">
        <w:rPr>
          <w:rFonts w:eastAsiaTheme="minorEastAsia"/>
        </w:rPr>
        <w:t xml:space="preserve"> </w:t>
      </w:r>
      <w:r w:rsidR="008343BD">
        <w:rPr>
          <w:rFonts w:eastAsiaTheme="minorEastAsia"/>
        </w:rPr>
        <w:t xml:space="preserve">1 creating a simple average </w:t>
      </w:r>
      <w:r w:rsidR="00865446">
        <w:rPr>
          <w:rFonts w:eastAsiaTheme="minorEastAsia"/>
        </w:rPr>
        <w:t>distance of wages below the MW</w:t>
      </w:r>
      <w:proofErr w:type="gramStart"/>
      <w:r w:rsidR="00C537EC">
        <w:rPr>
          <w:rFonts w:eastAsiaTheme="minorEastAsia"/>
        </w:rPr>
        <w:t>,</w:t>
      </w:r>
      <w:r w:rsidR="00C537EC" w:rsidRPr="00C537EC">
        <w:rPr>
          <w:rFonts w:ascii="Symbol" w:eastAsiaTheme="minorEastAsia" w:hAnsi="Symbol"/>
        </w:rPr>
        <w:t></w:t>
      </w:r>
      <w:proofErr w:type="gramEnd"/>
      <w:r w:rsidR="00C537EC" w:rsidRPr="008418B1">
        <w:rPr>
          <w:rFonts w:ascii="Symbol" w:eastAsiaTheme="minorEastAsia" w:hAnsi="Symbol"/>
          <w:i/>
        </w:rPr>
        <w:t></w:t>
      </w:r>
      <w:r w:rsidR="008418B1">
        <w:rPr>
          <w:rFonts w:eastAsiaTheme="minorEastAsia"/>
        </w:rPr>
        <w:t xml:space="preserve"> </w:t>
      </w:r>
      <w:r w:rsidR="00C537EC">
        <w:rPr>
          <w:rFonts w:eastAsiaTheme="minorEastAsia"/>
        </w:rPr>
        <w:t>=</w:t>
      </w:r>
      <w:r w:rsidR="008418B1">
        <w:rPr>
          <w:rFonts w:eastAsiaTheme="minorEastAsia"/>
        </w:rPr>
        <w:t xml:space="preserve"> </w:t>
      </w:r>
      <w:r w:rsidR="00C537EC">
        <w:rPr>
          <w:rFonts w:eastAsiaTheme="minorEastAsia"/>
        </w:rPr>
        <w:t xml:space="preserve">0 creating a count of violations, </w:t>
      </w:r>
      <w:r w:rsidR="00865446">
        <w:rPr>
          <w:rFonts w:eastAsiaTheme="minorEastAsia"/>
        </w:rPr>
        <w:t xml:space="preserve">and higher values placing more weight on large underpayments. </w:t>
      </w:r>
      <w:r w:rsidR="008418B1" w:rsidRPr="008418B1">
        <w:rPr>
          <w:rFonts w:ascii="Symbol" w:eastAsiaTheme="minorEastAsia" w:hAnsi="Symbol"/>
          <w:i/>
        </w:rPr>
        <w:t></w:t>
      </w:r>
      <w:r w:rsidR="008418B1">
        <w:rPr>
          <w:rFonts w:ascii="Symbol" w:eastAsiaTheme="minorEastAsia" w:hAnsi="Symbol"/>
          <w:i/>
        </w:rPr>
        <w:t></w:t>
      </w:r>
      <w:r w:rsidR="008418B1">
        <w:rPr>
          <w:rFonts w:ascii="Symbol" w:eastAsiaTheme="minorEastAsia" w:hAnsi="Symbol"/>
        </w:rPr>
        <w:t></w:t>
      </w:r>
      <w:r w:rsidR="008418B1">
        <w:rPr>
          <w:rFonts w:ascii="Symbol" w:eastAsiaTheme="minorEastAsia" w:hAnsi="Symbol"/>
        </w:rPr>
        <w:t></w:t>
      </w:r>
      <w:r w:rsidR="008418B1">
        <w:rPr>
          <w:rFonts w:ascii="Symbol" w:eastAsiaTheme="minorEastAsia" w:hAnsi="Symbol"/>
        </w:rPr>
        <w:t></w:t>
      </w:r>
      <w:r w:rsidR="00C537EC">
        <w:t xml:space="preserve"> has the additional advantage that it neatly deals with the problem of small inaccuracies in the data.</w:t>
      </w:r>
      <w:r w:rsidR="006E611D" w:rsidRPr="006E611D">
        <w:rPr>
          <w:rFonts w:eastAsiaTheme="minorEastAsia"/>
        </w:rPr>
        <w:t xml:space="preserve"> </w:t>
      </w:r>
      <w:proofErr w:type="spellStart"/>
      <w:r w:rsidR="006E611D">
        <w:t>Bhorat</w:t>
      </w:r>
      <w:proofErr w:type="spellEnd"/>
      <w:r w:rsidR="006E611D">
        <w:t xml:space="preserve"> et al</w:t>
      </w:r>
      <w:r w:rsidR="00B94DCE">
        <w:t>.</w:t>
      </w:r>
      <w:r w:rsidR="006E611D">
        <w:t xml:space="preserve"> </w:t>
      </w:r>
      <w:r w:rsidR="00B94DCE">
        <w:t>(</w:t>
      </w:r>
      <w:r w:rsidR="00261DF2">
        <w:t>30</w:t>
      </w:r>
      <w:r w:rsidR="00B94DCE">
        <w:t>)</w:t>
      </w:r>
      <w:r w:rsidR="006E611D">
        <w:t xml:space="preserve"> define their measure for the economy, with the measure set to zero for those earning at or above the minimum; we specify it </w:t>
      </w:r>
      <w:r w:rsidR="00B94DCE">
        <w:t xml:space="preserve">here </w:t>
      </w:r>
      <w:r w:rsidR="006E611D">
        <w:t>as the average per underpaid employee, which seems more relevant</w:t>
      </w:r>
      <w:r w:rsidR="006E611D">
        <w:rPr>
          <w:rFonts w:eastAsiaTheme="minorEastAsia"/>
        </w:rPr>
        <w:t>.</w:t>
      </w:r>
    </w:p>
    <w:p w14:paraId="77CA508B" w14:textId="039E80C1" w:rsidR="0039293B" w:rsidRDefault="00437625" w:rsidP="0039293B">
      <w:pPr>
        <w:rPr>
          <w:rFonts w:eastAsiaTheme="minorEastAsia"/>
        </w:rPr>
      </w:pPr>
      <w:r>
        <w:rPr>
          <w:rFonts w:eastAsiaTheme="minorEastAsia"/>
        </w:rPr>
        <w:t>The</w:t>
      </w:r>
      <w:r w:rsidR="00C537EC">
        <w:rPr>
          <w:rFonts w:eastAsiaTheme="minorEastAsia"/>
        </w:rPr>
        <w:t xml:space="preserve"> difficulty with these measures is interpreting </w:t>
      </w:r>
      <w:r w:rsidR="008418B1">
        <w:rPr>
          <w:rFonts w:eastAsiaTheme="minorEastAsia"/>
        </w:rPr>
        <w:t xml:space="preserve">the resulting </w:t>
      </w:r>
      <w:r w:rsidR="00C537EC">
        <w:rPr>
          <w:rFonts w:eastAsiaTheme="minorEastAsia"/>
        </w:rPr>
        <w:t>values</w:t>
      </w:r>
      <w:r>
        <w:rPr>
          <w:rFonts w:eastAsiaTheme="minorEastAsia"/>
        </w:rPr>
        <w:t>, particularly as no agency has yet adopted them and so there is no benchmark</w:t>
      </w:r>
      <w:r w:rsidR="00C537EC">
        <w:rPr>
          <w:rFonts w:eastAsiaTheme="minorEastAsia"/>
        </w:rPr>
        <w:t>. However,</w:t>
      </w:r>
      <w:r w:rsidR="00AE59DF">
        <w:rPr>
          <w:rFonts w:eastAsiaTheme="minorEastAsia"/>
        </w:rPr>
        <w:t xml:space="preserve"> informative </w:t>
      </w:r>
      <w:r w:rsidR="00AE59DF" w:rsidRPr="008418B1">
        <w:rPr>
          <w:rFonts w:eastAsiaTheme="minorEastAsia"/>
        </w:rPr>
        <w:t xml:space="preserve">relative </w:t>
      </w:r>
      <w:r w:rsidR="00AE59DF">
        <w:rPr>
          <w:rFonts w:eastAsiaTheme="minorEastAsia"/>
        </w:rPr>
        <w:t>wage effects can be drawn out</w:t>
      </w:r>
      <w:r w:rsidR="00C13A90">
        <w:rPr>
          <w:rFonts w:eastAsiaTheme="minorEastAsia"/>
        </w:rPr>
        <w:t xml:space="preserve">, to </w:t>
      </w:r>
      <w:r w:rsidR="00AE59DF">
        <w:rPr>
          <w:rFonts w:eastAsiaTheme="minorEastAsia"/>
        </w:rPr>
        <w:t>analyse variation over time</w:t>
      </w:r>
      <w:r w:rsidR="00C13A90">
        <w:rPr>
          <w:rFonts w:eastAsiaTheme="minorEastAsia"/>
        </w:rPr>
        <w:t xml:space="preserve"> </w:t>
      </w:r>
      <w:r w:rsidR="00C13A90">
        <w:rPr>
          <w:rFonts w:eastAsiaTheme="minorEastAsia"/>
        </w:rPr>
        <w:t>(48, 49)</w:t>
      </w:r>
      <w:r w:rsidR="00C13A90">
        <w:rPr>
          <w:rFonts w:eastAsiaTheme="minorEastAsia"/>
        </w:rPr>
        <w:t xml:space="preserve"> or </w:t>
      </w:r>
      <w:r w:rsidR="00AE59DF">
        <w:rPr>
          <w:rFonts w:eastAsiaTheme="minorEastAsia"/>
        </w:rPr>
        <w:t>changes over both time and countries</w:t>
      </w:r>
      <w:r w:rsidR="00C13A90">
        <w:rPr>
          <w:rFonts w:eastAsiaTheme="minorEastAsia"/>
        </w:rPr>
        <w:t xml:space="preserve"> (50)</w:t>
      </w:r>
      <w:r w:rsidR="00AE59DF">
        <w:rPr>
          <w:rFonts w:eastAsiaTheme="minorEastAsia"/>
        </w:rPr>
        <w:t xml:space="preserve">. </w:t>
      </w:r>
      <w:r>
        <w:rPr>
          <w:rFonts w:eastAsiaTheme="minorEastAsia"/>
        </w:rPr>
        <w:t>Ritchie et al (</w:t>
      </w:r>
      <w:r w:rsidR="00C13A90">
        <w:rPr>
          <w:rFonts w:eastAsiaTheme="minorEastAsia"/>
        </w:rPr>
        <w:t>49</w:t>
      </w:r>
      <w:r>
        <w:rPr>
          <w:rFonts w:eastAsiaTheme="minorEastAsia"/>
        </w:rPr>
        <w:t xml:space="preserve">) </w:t>
      </w:r>
      <w:r w:rsidR="00AE59DF">
        <w:rPr>
          <w:rFonts w:eastAsiaTheme="minorEastAsia"/>
        </w:rPr>
        <w:t xml:space="preserve">augment the </w:t>
      </w:r>
      <w:proofErr w:type="spellStart"/>
      <w:r w:rsidR="00AE59DF">
        <w:rPr>
          <w:rFonts w:eastAsiaTheme="minorEastAsia"/>
        </w:rPr>
        <w:t>Bhorat</w:t>
      </w:r>
      <w:proofErr w:type="spellEnd"/>
      <w:r w:rsidR="00AE59DF">
        <w:rPr>
          <w:rFonts w:eastAsiaTheme="minorEastAsia"/>
        </w:rPr>
        <w:t xml:space="preserve"> indexes with </w:t>
      </w:r>
      <w:r>
        <w:rPr>
          <w:rFonts w:eastAsiaTheme="minorEastAsia"/>
        </w:rPr>
        <w:t>a ‘penny index’ to show that the absolute size of underpayment appears to be relatively stable, and falling underpayment is due to the rise in the denominator value</w:t>
      </w:r>
      <w:r w:rsidR="0039293B">
        <w:rPr>
          <w:rFonts w:eastAsiaTheme="minorEastAsia"/>
        </w:rPr>
        <w:t>.</w:t>
      </w:r>
    </w:p>
    <w:p w14:paraId="2780CC46" w14:textId="77777777" w:rsidR="0039293B" w:rsidRDefault="0039293B" w:rsidP="006A59B0">
      <w:pPr>
        <w:pStyle w:val="Heading2"/>
        <w:rPr>
          <w:rFonts w:eastAsiaTheme="minorEastAsia"/>
        </w:rPr>
      </w:pPr>
      <w:r>
        <w:rPr>
          <w:rFonts w:eastAsiaTheme="minorEastAsia"/>
        </w:rPr>
        <w:t>Drawing inferences</w:t>
      </w:r>
    </w:p>
    <w:p w14:paraId="132962F0" w14:textId="77777777" w:rsidR="00A06536" w:rsidRDefault="000E7A51" w:rsidP="00D22753">
      <w:r>
        <w:t>What inferences</w:t>
      </w:r>
      <w:r w:rsidR="005557E6">
        <w:t xml:space="preserve"> can be drawn from compliance measures? </w:t>
      </w:r>
      <w:r w:rsidR="00A06536">
        <w:t>Most work on the minimum wage is carried out by economists, who tend to use data to test pre-identified hypotheses, and then interpret results with reference to those hypotheses. This approach has been criticised by statisticians, who argue that this approach encourages confirmation bias in analysis.</w:t>
      </w:r>
    </w:p>
    <w:p w14:paraId="35C54BEF" w14:textId="6B46CD6E" w:rsidR="00F36C66" w:rsidRDefault="00F36C66" w:rsidP="00D22753">
      <w:r>
        <w:t xml:space="preserve">More generally, econometric or statistical analysis is often plagued by the ‘identification problem’: several alternative theories are consistent with the same statistical finding. For example, the stylised fact that more education is associated with higher wages is consistent with human capital, search and </w:t>
      </w:r>
      <w:r w:rsidR="00B94DCE">
        <w:t xml:space="preserve">Marxian </w:t>
      </w:r>
      <w:r>
        <w:t>theories of the labour market.</w:t>
      </w:r>
    </w:p>
    <w:p w14:paraId="6CFED2E2" w14:textId="209E3E83" w:rsidR="00D22753" w:rsidRDefault="00AE59DF" w:rsidP="00F36C66">
      <w:r>
        <w:t xml:space="preserve">Alternative data sources can be used to help identification. Several countries produce employer and employee surveys, and these provide </w:t>
      </w:r>
      <w:r w:rsidR="00423E08">
        <w:t xml:space="preserve">scope for </w:t>
      </w:r>
      <w:r>
        <w:t xml:space="preserve">triangulation. </w:t>
      </w:r>
      <w:r w:rsidR="00F36C66">
        <w:t>F</w:t>
      </w:r>
      <w:r w:rsidR="00D62C58">
        <w:t>or example, Ritchie et al (</w:t>
      </w:r>
      <w:r w:rsidR="00C13A90">
        <w:t>39</w:t>
      </w:r>
      <w:r w:rsidR="00D62C58">
        <w:t xml:space="preserve">) show </w:t>
      </w:r>
      <w:r w:rsidR="00D62C58">
        <w:lastRenderedPageBreak/>
        <w:t xml:space="preserve">that, once genuine rounding behaviour by firms </w:t>
      </w:r>
      <w:r>
        <w:t xml:space="preserve">(identified in employer surveys) </w:t>
      </w:r>
      <w:r w:rsidR="00D62C58">
        <w:t xml:space="preserve">is taken into account, measurement error in </w:t>
      </w:r>
      <w:r>
        <w:t>employee surveys</w:t>
      </w:r>
      <w:r w:rsidR="00D62C58">
        <w:t xml:space="preserve"> </w:t>
      </w:r>
      <w:r w:rsidR="00D22753">
        <w:t xml:space="preserve">due to </w:t>
      </w:r>
      <w:r w:rsidR="00D62C58">
        <w:t>rounding appears to be entirely random.</w:t>
      </w:r>
      <w:r w:rsidR="00A52803">
        <w:t xml:space="preserve"> </w:t>
      </w:r>
      <w:r w:rsidR="00D22753">
        <w:t xml:space="preserve">However, it is rare to find clear results </w:t>
      </w:r>
      <w:r w:rsidR="00EA5045">
        <w:t>unambiguously</w:t>
      </w:r>
      <w:r w:rsidR="00D22753">
        <w:t xml:space="preserve"> aligned to theory. </w:t>
      </w:r>
      <w:r w:rsidR="00A52803">
        <w:t>Le Roux et al (2</w:t>
      </w:r>
      <w:r w:rsidR="00C13A90">
        <w:t>1</w:t>
      </w:r>
      <w:r w:rsidR="00A52803">
        <w:t>)</w:t>
      </w:r>
      <w:r w:rsidR="00D22753">
        <w:t>, for example,</w:t>
      </w:r>
      <w:r w:rsidR="00A52803">
        <w:t xml:space="preserve"> find that the </w:t>
      </w:r>
      <w:r w:rsidR="00EA5045">
        <w:t xml:space="preserve">different data sources </w:t>
      </w:r>
      <w:r w:rsidR="00A52803">
        <w:t xml:space="preserve">tell opposite stories </w:t>
      </w:r>
      <w:r w:rsidR="000E7A51">
        <w:t xml:space="preserve">concerning </w:t>
      </w:r>
      <w:r w:rsidR="00A52803">
        <w:t>the impact of the recession on non-compliance.</w:t>
      </w:r>
    </w:p>
    <w:p w14:paraId="06ED17C0" w14:textId="77777777" w:rsidR="00A75DA9" w:rsidRDefault="00A97D70" w:rsidP="006A59B0">
      <w:pPr>
        <w:pStyle w:val="Heading1"/>
      </w:pPr>
      <w:r>
        <w:t>Case study: m</w:t>
      </w:r>
      <w:r w:rsidR="0039293B">
        <w:t xml:space="preserve">easuring non-compliance amongst </w:t>
      </w:r>
      <w:r w:rsidR="0092437C">
        <w:t xml:space="preserve">UK </w:t>
      </w:r>
      <w:r w:rsidR="0039293B">
        <w:t>apprentices</w:t>
      </w:r>
    </w:p>
    <w:p w14:paraId="50B4C6BD" w14:textId="36FA11A0" w:rsidR="00A97D70" w:rsidRDefault="0092437C" w:rsidP="00A97D70">
      <w:r>
        <w:t xml:space="preserve">The previous section covered </w:t>
      </w:r>
      <w:r w:rsidR="00005A85">
        <w:t>the</w:t>
      </w:r>
      <w:r>
        <w:t xml:space="preserve"> factors affecting the estimates of non-compliance</w:t>
      </w:r>
      <w:r w:rsidR="00A97D70">
        <w:t xml:space="preserve">. </w:t>
      </w:r>
      <w:r>
        <w:t xml:space="preserve">We now </w:t>
      </w:r>
      <w:r w:rsidR="00686AC0">
        <w:t xml:space="preserve">proceed with </w:t>
      </w:r>
      <w:r>
        <w:t xml:space="preserve">a case study on measuring compliance </w:t>
      </w:r>
      <w:r w:rsidR="00686AC0">
        <w:t xml:space="preserve">among </w:t>
      </w:r>
      <w:r>
        <w:t>UK apprentices</w:t>
      </w:r>
      <w:r w:rsidR="00A97D70">
        <w:t>.</w:t>
      </w:r>
      <w:r w:rsidR="003653DE">
        <w:t xml:space="preserve"> We study the period 2011-2015 when the first assessments of appr</w:t>
      </w:r>
      <w:r w:rsidR="005506B2">
        <w:t>entice non-compliance were made, and we contrast the stories told by different information sources.</w:t>
      </w:r>
    </w:p>
    <w:p w14:paraId="42391E05" w14:textId="671C31A6" w:rsidR="0092437C" w:rsidRPr="0092437C" w:rsidRDefault="00C003AA" w:rsidP="00A97D70">
      <w:r>
        <w:t xml:space="preserve">We focus on </w:t>
      </w:r>
      <w:r w:rsidR="00071421">
        <w:t>apprentices</w:t>
      </w:r>
      <w:r w:rsidR="00A97D70">
        <w:t xml:space="preserve"> </w:t>
      </w:r>
      <w:r>
        <w:t>for four</w:t>
      </w:r>
      <w:r w:rsidR="0092437C">
        <w:t xml:space="preserve"> reasons. First, apprentice pay is more complicated than the standard </w:t>
      </w:r>
      <w:r w:rsidR="00A97D70">
        <w:t xml:space="preserve">UK </w:t>
      </w:r>
      <w:r w:rsidR="00005A85">
        <w:t>minimum</w:t>
      </w:r>
      <w:r w:rsidR="00A97D70">
        <w:t xml:space="preserve"> wage</w:t>
      </w:r>
      <w:r w:rsidR="00005A85">
        <w:t>;</w:t>
      </w:r>
      <w:r w:rsidR="0092437C">
        <w:t xml:space="preserve"> this seems to be </w:t>
      </w:r>
      <w:r w:rsidR="00A97D70">
        <w:t xml:space="preserve">partially responsible </w:t>
      </w:r>
      <w:r w:rsidR="0092437C">
        <w:t xml:space="preserve">for </w:t>
      </w:r>
      <w:r w:rsidR="00A97D70">
        <w:t>n</w:t>
      </w:r>
      <w:r w:rsidR="0092437C">
        <w:t xml:space="preserve">on-compliance. Second, a dedicated survey of apprentice pay is available to measure non-compliance, </w:t>
      </w:r>
      <w:r w:rsidR="00005A85">
        <w:t>allowing</w:t>
      </w:r>
      <w:r w:rsidR="0092437C">
        <w:t xml:space="preserve"> comparison with other data sources. Third, the survey was radically overhauled </w:t>
      </w:r>
      <w:r w:rsidR="00A97D70">
        <w:t>after two waves;</w:t>
      </w:r>
      <w:r w:rsidR="0092437C">
        <w:t xml:space="preserve"> the reasons for the overhaul shed light on expectations of respondent behaviour. Finally, the NMW for apprentices is considerably lower than for any other group; this may be a source of non-compliance in itself, as it increases the relative size of rounding errors.</w:t>
      </w:r>
    </w:p>
    <w:p w14:paraId="24418C18" w14:textId="77777777" w:rsidR="0039293B" w:rsidRDefault="00873144" w:rsidP="006A59B0">
      <w:pPr>
        <w:pStyle w:val="Heading2"/>
      </w:pPr>
      <w:r>
        <w:t xml:space="preserve">The minimum-wage context for UK apprentices </w:t>
      </w:r>
    </w:p>
    <w:p w14:paraId="01A84C3D" w14:textId="2375F1B1" w:rsidR="00A75DA9" w:rsidRDefault="00A75DA9" w:rsidP="00A75DA9">
      <w:r>
        <w:t xml:space="preserve">The </w:t>
      </w:r>
      <w:r w:rsidR="00A97D70">
        <w:t xml:space="preserve">statutory </w:t>
      </w:r>
      <w:r>
        <w:t>National Minimum Wage (</w:t>
      </w:r>
      <w:r w:rsidR="0039293B">
        <w:t xml:space="preserve">NMW) was </w:t>
      </w:r>
      <w:r>
        <w:t>introduced in the UK in 1999 for all employees aged 16 and over</w:t>
      </w:r>
      <w:r w:rsidR="00A97D70">
        <w:t>, with age-related rates set each October</w:t>
      </w:r>
      <w:r>
        <w:t xml:space="preserve">. </w:t>
      </w:r>
      <w:r w:rsidR="00A97D70">
        <w:t>Apprentices became eligible for a</w:t>
      </w:r>
      <w:r w:rsidR="008369CE">
        <w:t>n ‘apprentice rate’ (</w:t>
      </w:r>
      <w:r w:rsidR="00C81685">
        <w:t>NMW</w:t>
      </w:r>
      <w:r w:rsidR="008369CE">
        <w:t>AR)</w:t>
      </w:r>
      <w:r w:rsidR="00A97D70">
        <w:t xml:space="preserve"> </w:t>
      </w:r>
      <w:r w:rsidR="008369CE">
        <w:t>i</w:t>
      </w:r>
      <w:r w:rsidR="00A97D70">
        <w:t xml:space="preserve">n 2010. </w:t>
      </w:r>
      <w:r>
        <w:t xml:space="preserve">Table 1 presents the relevant rates for each year and group.  </w:t>
      </w:r>
    </w:p>
    <w:p w14:paraId="01EF0807" w14:textId="77777777" w:rsidR="003C0490" w:rsidRDefault="003C0490" w:rsidP="00A75DA9">
      <w:r>
        <w:lastRenderedPageBreak/>
        <w:t>[Table 1 here]</w:t>
      </w:r>
    </w:p>
    <w:p w14:paraId="0992A0A3" w14:textId="4A13962F" w:rsidR="00A75DA9" w:rsidRDefault="00A75DA9" w:rsidP="00A75DA9">
      <w:r>
        <w:t xml:space="preserve">The </w:t>
      </w:r>
      <w:r w:rsidR="008369CE">
        <w:t>NMWAR</w:t>
      </w:r>
      <w:r>
        <w:t xml:space="preserve"> is unusual in </w:t>
      </w:r>
      <w:r w:rsidR="008369CE">
        <w:t>having</w:t>
      </w:r>
      <w:r>
        <w:t xml:space="preserve"> both </w:t>
      </w:r>
      <w:r w:rsidR="003653DE">
        <w:t>a</w:t>
      </w:r>
      <w:r>
        <w:t>ge and year</w:t>
      </w:r>
      <w:r w:rsidR="0039293B">
        <w:t>-</w:t>
      </w:r>
      <w:r>
        <w:t>of</w:t>
      </w:r>
      <w:r w:rsidR="0039293B">
        <w:t>-</w:t>
      </w:r>
      <w:r>
        <w:t>training component</w:t>
      </w:r>
      <w:r w:rsidR="003653DE">
        <w:t>s</w:t>
      </w:r>
      <w:r>
        <w:t xml:space="preserve">. </w:t>
      </w:r>
      <w:r w:rsidR="003653DE">
        <w:t>The NMWAR applies to</w:t>
      </w:r>
      <w:r>
        <w:t xml:space="preserve"> apprentices on their first year of training or if they are </w:t>
      </w:r>
      <w:r w:rsidR="008369CE">
        <w:t>under 19</w:t>
      </w:r>
      <w:r>
        <w:t xml:space="preserve">; otherwise, the standard age-specific NMW applies. Note that the age boundary for the </w:t>
      </w:r>
      <w:r w:rsidR="008369CE">
        <w:t>NMW</w:t>
      </w:r>
      <w:r>
        <w:t xml:space="preserve">AR </w:t>
      </w:r>
      <w:r w:rsidR="008369CE">
        <w:t xml:space="preserve">(16-18) </w:t>
      </w:r>
      <w:r>
        <w:t>does not align with that of the standard NMW</w:t>
      </w:r>
      <w:r w:rsidR="0039293B">
        <w:t xml:space="preserve"> (16-17, 18-20)</w:t>
      </w:r>
      <w:r>
        <w:t>.</w:t>
      </w:r>
      <w:r w:rsidR="00D53DF9" w:rsidRPr="00D53DF9">
        <w:t xml:space="preserve"> </w:t>
      </w:r>
      <w:r w:rsidR="00D53DF9">
        <w:t xml:space="preserve">Measuring hours for apprentices is also more complicated: a minimum number of on- and off-the-job training </w:t>
      </w:r>
      <w:r w:rsidR="008369CE">
        <w:t>hours</w:t>
      </w:r>
      <w:r w:rsidR="00D53DF9">
        <w:t xml:space="preserve"> should be included in paid hours.</w:t>
      </w:r>
    </w:p>
    <w:p w14:paraId="59294197" w14:textId="77777777" w:rsidR="00A75DA9" w:rsidRDefault="00A75DA9" w:rsidP="00A75DA9">
      <w:r>
        <w:t>The O</w:t>
      </w:r>
      <w:r w:rsidR="006D5D81">
        <w:t>NS’</w:t>
      </w:r>
      <w:r w:rsidR="00D53DF9">
        <w:t xml:space="preserve"> </w:t>
      </w:r>
      <w:r>
        <w:t>Annual Survey of Hours and Earnings (ASHE)</w:t>
      </w:r>
      <w:r w:rsidR="00D32E09">
        <w:t xml:space="preserve"> </w:t>
      </w:r>
      <w:proofErr w:type="gramStart"/>
      <w:r w:rsidR="00D32E09">
        <w:t>collects</w:t>
      </w:r>
      <w:proofErr w:type="gramEnd"/>
      <w:r w:rsidR="00D32E09">
        <w:t xml:space="preserve"> data from employers</w:t>
      </w:r>
      <w:r w:rsidR="00D53DF9">
        <w:t xml:space="preserve"> on 1% of employees. This is the primary data source for low pay analysis in the UK, but it has only collected information to allow the analysis of apprentice pay since 201</w:t>
      </w:r>
      <w:r w:rsidR="006D5D81">
        <w:t>3</w:t>
      </w:r>
      <w:r w:rsidR="00D53DF9">
        <w:t xml:space="preserve">. </w:t>
      </w:r>
    </w:p>
    <w:p w14:paraId="1EC6166C" w14:textId="52496322" w:rsidR="00A75DA9" w:rsidRDefault="00ED3D1E" w:rsidP="00ED3D1E">
      <w:r>
        <w:t>In 2011</w:t>
      </w:r>
      <w:r w:rsidR="00527F17">
        <w:t>,</w:t>
      </w:r>
      <w:r>
        <w:t xml:space="preserve"> an Apprentice Pay Survey (APS) was commissioned to monitor specifically the impact of the new </w:t>
      </w:r>
      <w:r w:rsidR="00527F17">
        <w:t>NMW</w:t>
      </w:r>
      <w:r>
        <w:t xml:space="preserve">AR. It was a random sample of all those registered for an apprenticeship in the UK, with different levels of coverage across the four countries of the UK. </w:t>
      </w:r>
      <w:r w:rsidR="00C13A90">
        <w:t>The</w:t>
      </w:r>
      <w:r>
        <w:t xml:space="preserve"> 2011 and 2012 APS</w:t>
      </w:r>
      <w:r w:rsidR="00C13A90">
        <w:t xml:space="preserve"> are described in (51, 52)</w:t>
      </w:r>
      <w:r>
        <w:t>, respectively. The</w:t>
      </w:r>
      <w:r w:rsidR="003653DE">
        <w:t xml:space="preserve">se </w:t>
      </w:r>
      <w:r w:rsidR="00527F17">
        <w:t xml:space="preserve">surveys </w:t>
      </w:r>
      <w:r>
        <w:t>were heavily criticised (</w:t>
      </w:r>
      <w:r w:rsidR="00C13A90">
        <w:t>43</w:t>
      </w:r>
      <w:r>
        <w:t>), and in 2014 a completely redesigned APS went into the field</w:t>
      </w:r>
      <w:r w:rsidR="00C13A90">
        <w:t xml:space="preserve"> (53)</w:t>
      </w:r>
      <w:r>
        <w:t>.</w:t>
      </w:r>
    </w:p>
    <w:p w14:paraId="3056FB89" w14:textId="16CB13A3" w:rsidR="00ED3D1E" w:rsidRDefault="00A75DA9" w:rsidP="00A75DA9">
      <w:r>
        <w:t xml:space="preserve">Overall non-compliance with the NMW has been relatively stable at about 1% of the employed workforce. However, since the start of the recession, non-compliance amongst the under-21s </w:t>
      </w:r>
      <w:r w:rsidR="003653DE">
        <w:t xml:space="preserve">has risen </w:t>
      </w:r>
      <w:r>
        <w:t xml:space="preserve">substantially: from being relatively stable until 2009 at round 3.5%-4%, it has steadily increased and </w:t>
      </w:r>
      <w:r w:rsidR="003653DE">
        <w:t>in 2015 was</w:t>
      </w:r>
      <w:r>
        <w:t xml:space="preserve"> 8.5% for 16-17 year olds and 7% for those aged 18-20 (</w:t>
      </w:r>
      <w:r w:rsidR="00C13A90">
        <w:t>32</w:t>
      </w:r>
      <w:r>
        <w:t>).</w:t>
      </w:r>
    </w:p>
    <w:p w14:paraId="13FC897E" w14:textId="5AE42BF1" w:rsidR="00D957C5" w:rsidRDefault="00D957C5" w:rsidP="00F01F45">
      <w:r>
        <w:t>Non-compliance for apprentices is much higher than for other workers.</w:t>
      </w:r>
      <w:r w:rsidR="00F01F45">
        <w:t xml:space="preserve"> </w:t>
      </w:r>
      <w:r w:rsidR="00501F48">
        <w:t>LPC (</w:t>
      </w:r>
      <w:r w:rsidR="00C13A90">
        <w:t>32</w:t>
      </w:r>
      <w:r w:rsidR="00501F48">
        <w:t xml:space="preserve">) argues that most of this is due to the rising number of young apprentices. </w:t>
      </w:r>
      <w:r w:rsidR="00F01F45">
        <w:t xml:space="preserve">As well as being higher overall, rates are higher for those not on the </w:t>
      </w:r>
      <w:r w:rsidR="003653DE">
        <w:t>NMW</w:t>
      </w:r>
      <w:r w:rsidR="00F01F45">
        <w:t>AR, particularly for those aged 19-20</w:t>
      </w:r>
      <w:r w:rsidR="00501F48">
        <w:t xml:space="preserve"> </w:t>
      </w:r>
      <w:r w:rsidR="00527F17">
        <w:t>(</w:t>
      </w:r>
      <w:r w:rsidR="00501F48">
        <w:t>see Table 2</w:t>
      </w:r>
      <w:r w:rsidR="00527F17">
        <w:t>).</w:t>
      </w:r>
    </w:p>
    <w:p w14:paraId="540CA1B6" w14:textId="5F67FAAE" w:rsidR="003C0490" w:rsidRDefault="003C0490" w:rsidP="00D53DF9">
      <w:r>
        <w:t>[Table 2 here]</w:t>
      </w:r>
    </w:p>
    <w:p w14:paraId="04BF8414" w14:textId="03A4AC05" w:rsidR="00D53DF9" w:rsidRDefault="00D53DF9" w:rsidP="00D53DF9">
      <w:r>
        <w:lastRenderedPageBreak/>
        <w:t xml:space="preserve">The 2012 APS shows non-compliance rates of around 50% for 19-20 year old apprentices, while even higher rates are observed for some occupational sub-groups such as hairdressers (Drew et al, 2015a). </w:t>
      </w:r>
      <w:r w:rsidR="00501F48">
        <w:t xml:space="preserve">These findings are consistent across different datasets, years, and combinations of characteristics (such as apprenticeship framework or gender). </w:t>
      </w:r>
      <w:r>
        <w:t xml:space="preserve">As will be discussed below, </w:t>
      </w:r>
      <w:r w:rsidR="00501F48">
        <w:t xml:space="preserve">some of this is </w:t>
      </w:r>
      <w:r>
        <w:t xml:space="preserve">almost certainly </w:t>
      </w:r>
      <w:r w:rsidR="00501F48">
        <w:t>due to errors in survey design</w:t>
      </w:r>
      <w:r>
        <w:t>, but even so non-compliance rates for apprentices are significantly higher than for other workers.</w:t>
      </w:r>
    </w:p>
    <w:p w14:paraId="423AACA9" w14:textId="77777777" w:rsidR="00F305B6" w:rsidRDefault="00F305B6" w:rsidP="006B6EAA">
      <w:r>
        <w:t>We now proceed with the examination of the issues identified in the previous section</w:t>
      </w:r>
      <w:r w:rsidR="005E76C1">
        <w:t>, evaluating both the APS and ASHE as sources of information.</w:t>
      </w:r>
    </w:p>
    <w:p w14:paraId="5FFEAE7A" w14:textId="77777777" w:rsidR="00D53DF9" w:rsidRDefault="00D53DF9" w:rsidP="006A59B0">
      <w:pPr>
        <w:pStyle w:val="Heading2"/>
      </w:pPr>
      <w:r>
        <w:t>Non-compliance among UK apprentices</w:t>
      </w:r>
    </w:p>
    <w:p w14:paraId="48786B6A" w14:textId="77777777" w:rsidR="005C50A9" w:rsidRPr="00501F48" w:rsidRDefault="005C50A9" w:rsidP="00E37AE1">
      <w:pPr>
        <w:pStyle w:val="Heading3"/>
      </w:pPr>
      <w:r w:rsidRPr="00501F48">
        <w:t>Sampling</w:t>
      </w:r>
    </w:p>
    <w:p w14:paraId="4EBDAD54" w14:textId="77777777" w:rsidR="00A148C5" w:rsidRDefault="00A148C5" w:rsidP="00A148C5">
      <w:r>
        <w:t xml:space="preserve">A major criticism of government surveys is that these do not fully incorporate the ‘grey’, cash-in-hand or illegal economy. There are also concerns about </w:t>
      </w:r>
      <w:r w:rsidRPr="009B1EF1">
        <w:rPr>
          <w:i/>
        </w:rPr>
        <w:t>de facto</w:t>
      </w:r>
      <w:r>
        <w:t xml:space="preserve"> employees wrongly classified as ‘self-employed’ specifically to avoid employment regulations. By its nature, the extent of non-compliance because of these reasons is unknowable.</w:t>
      </w:r>
    </w:p>
    <w:p w14:paraId="5DAF57F7" w14:textId="286A063E" w:rsidR="005C50A9" w:rsidRDefault="00D53DF9" w:rsidP="005C50A9">
      <w:r>
        <w:t>F</w:t>
      </w:r>
      <w:r w:rsidR="00A148C5">
        <w:t xml:space="preserve">or the APS this problem appears to </w:t>
      </w:r>
      <w:r w:rsidR="00855842">
        <w:t xml:space="preserve">be </w:t>
      </w:r>
      <w:r w:rsidR="00A148C5">
        <w:t xml:space="preserve">addressed effectively. </w:t>
      </w:r>
      <w:r w:rsidR="00B37847">
        <w:t>The population of apprentices</w:t>
      </w:r>
      <w:r w:rsidR="005C50A9">
        <w:t xml:space="preserve"> is known with a great deal of certainty: only those registered count as apprentices, a</w:t>
      </w:r>
      <w:r w:rsidR="002D5D55">
        <w:t xml:space="preserve">nd this is the </w:t>
      </w:r>
      <w:r w:rsidR="00527F17">
        <w:t xml:space="preserve">sampling </w:t>
      </w:r>
      <w:r w:rsidR="005C50A9">
        <w:t>frame</w:t>
      </w:r>
      <w:r w:rsidR="00F305B6">
        <w:t xml:space="preserve"> for the APS</w:t>
      </w:r>
      <w:r w:rsidR="00501F48">
        <w:t xml:space="preserve"> (</w:t>
      </w:r>
      <w:r w:rsidR="005E76C1">
        <w:t xml:space="preserve">with </w:t>
      </w:r>
      <w:r w:rsidR="00501F48">
        <w:t xml:space="preserve">some </w:t>
      </w:r>
      <w:r w:rsidR="005E76C1">
        <w:t xml:space="preserve">rare </w:t>
      </w:r>
      <w:r w:rsidR="00501F48">
        <w:t xml:space="preserve">exceptions </w:t>
      </w:r>
      <w:r w:rsidR="00527F17">
        <w:t xml:space="preserve">due to </w:t>
      </w:r>
      <w:r w:rsidR="00501F48">
        <w:t>historical anomalies).</w:t>
      </w:r>
      <w:r w:rsidR="005C50A9">
        <w:t xml:space="preserve"> The APS is voluntary, and response rates are relatively low. Nevertheless, </w:t>
      </w:r>
      <w:r w:rsidR="00C13A90">
        <w:t xml:space="preserve">the survey designers argue reasonably </w:t>
      </w:r>
      <w:r w:rsidR="00C13A90">
        <w:t>(52</w:t>
      </w:r>
      <w:r w:rsidR="00C13A90">
        <w:t xml:space="preserve">, </w:t>
      </w:r>
      <w:r w:rsidR="00C13A90">
        <w:t xml:space="preserve">53) </w:t>
      </w:r>
      <w:r w:rsidR="005C50A9">
        <w:t>that the responses are representative of the apprentice population.</w:t>
      </w:r>
    </w:p>
    <w:p w14:paraId="2ACE8083" w14:textId="15886928" w:rsidR="00CE6405" w:rsidRDefault="005E76C1" w:rsidP="005C50A9">
      <w:r>
        <w:t xml:space="preserve">However, </w:t>
      </w:r>
      <w:r w:rsidR="00AB0893">
        <w:t xml:space="preserve">the </w:t>
      </w:r>
      <w:r w:rsidR="00CE6405">
        <w:t>timing</w:t>
      </w:r>
      <w:r w:rsidR="00AB0893">
        <w:t xml:space="preserve"> of the </w:t>
      </w:r>
      <w:r w:rsidR="00D53DF9">
        <w:t xml:space="preserve">2012 </w:t>
      </w:r>
      <w:r w:rsidR="00AB0893">
        <w:t>survey</w:t>
      </w:r>
      <w:r>
        <w:t xml:space="preserve"> is a major problem</w:t>
      </w:r>
      <w:r w:rsidR="00CE6405">
        <w:t xml:space="preserve">. The 2011 and 2014 surveys took place in the middle of </w:t>
      </w:r>
      <w:r w:rsidR="00AB0893">
        <w:t xml:space="preserve">each </w:t>
      </w:r>
      <w:r w:rsidR="00CE6405">
        <w:t>year</w:t>
      </w:r>
      <w:r w:rsidR="00AB0893">
        <w:t>,</w:t>
      </w:r>
      <w:r w:rsidR="00CE6405">
        <w:t xml:space="preserve"> when minimum wage adjustments tend to have settled down</w:t>
      </w:r>
      <w:r w:rsidR="00A148C5">
        <w:t xml:space="preserve"> (</w:t>
      </w:r>
      <w:r w:rsidR="0011526A">
        <w:t>38</w:t>
      </w:r>
      <w:r w:rsidR="00A148C5">
        <w:t>)</w:t>
      </w:r>
      <w:r w:rsidR="00CE6405">
        <w:t xml:space="preserve">. </w:t>
      </w:r>
      <w:r w:rsidR="00AB0893">
        <w:t>In contrast, t</w:t>
      </w:r>
      <w:r w:rsidR="00CE6405">
        <w:t xml:space="preserve">he 2012 APS went into the field in October 2012, just after the </w:t>
      </w:r>
      <w:r w:rsidR="00527F17">
        <w:t>minimum wage</w:t>
      </w:r>
      <w:r w:rsidR="00CE6405">
        <w:t xml:space="preserve"> had changed. It was therefore impossible to identify whether wages being paid at the previous year’s rate were legitimate or not.</w:t>
      </w:r>
    </w:p>
    <w:p w14:paraId="4F24FD00" w14:textId="77777777" w:rsidR="005C50A9" w:rsidRDefault="00CB1728" w:rsidP="005C50A9">
      <w:r>
        <w:lastRenderedPageBreak/>
        <w:t xml:space="preserve">While the APS </w:t>
      </w:r>
      <w:r w:rsidR="005E76C1">
        <w:t xml:space="preserve">response rate is seen as low but </w:t>
      </w:r>
      <w:r>
        <w:t xml:space="preserve">representative, </w:t>
      </w:r>
      <w:r w:rsidR="005E76C1">
        <w:t>more questions are raised by ASHE.</w:t>
      </w:r>
      <w:r w:rsidR="005C50A9">
        <w:t xml:space="preserve"> ASHE normally samples around 0.75% of the working population, but for apprentices the rate is </w:t>
      </w:r>
      <w:r w:rsidR="00DB5329">
        <w:t>less than half</w:t>
      </w:r>
      <w:r w:rsidR="005C50A9">
        <w:t xml:space="preserve"> that</w:t>
      </w:r>
      <w:r w:rsidR="00AB0893">
        <w:t xml:space="preserve"> (see Table 3)</w:t>
      </w:r>
      <w:r w:rsidR="005C50A9">
        <w:t>.</w:t>
      </w:r>
    </w:p>
    <w:p w14:paraId="6289BE20" w14:textId="77777777" w:rsidR="003C0490" w:rsidRDefault="003C0490" w:rsidP="005506B2">
      <w:r>
        <w:t>[Table 3 here]</w:t>
      </w:r>
    </w:p>
    <w:p w14:paraId="3A4C1A37" w14:textId="65A18E0D" w:rsidR="00B26FF5" w:rsidRDefault="00DB5329" w:rsidP="005506B2">
      <w:r>
        <w:t xml:space="preserve">It seems unlikely that the </w:t>
      </w:r>
      <w:r w:rsidR="00EB53B6">
        <w:t xml:space="preserve">apprentices in ASHE </w:t>
      </w:r>
      <w:r w:rsidR="00AB0893">
        <w:t xml:space="preserve">are </w:t>
      </w:r>
      <w:r w:rsidR="00EB53B6">
        <w:t>missing randomly. First,</w:t>
      </w:r>
      <w:r w:rsidR="00AB0893">
        <w:t xml:space="preserve"> </w:t>
      </w:r>
      <w:r w:rsidR="00871956">
        <w:t>absences from ASHE</w:t>
      </w:r>
      <w:r w:rsidR="00EB53B6">
        <w:t xml:space="preserve"> are disproportionately likely to be made up of low earners changing jobs frequently (</w:t>
      </w:r>
      <w:r w:rsidR="0011526A">
        <w:t>54</w:t>
      </w:r>
      <w:r w:rsidR="00EB53B6">
        <w:t xml:space="preserve">). </w:t>
      </w:r>
      <w:r w:rsidR="00205CDA">
        <w:t>Second</w:t>
      </w:r>
      <w:r w:rsidR="00B26FF5">
        <w:t>, Drew et al (</w:t>
      </w:r>
      <w:r w:rsidR="0011526A">
        <w:t>40</w:t>
      </w:r>
      <w:r w:rsidR="00B26FF5">
        <w:t>) observe that individuals who start an apprenticeship with their current employer are more likely to be paid at or above the relevant minimum wage</w:t>
      </w:r>
      <w:r w:rsidR="00AB0893">
        <w:t xml:space="preserve"> than those starting with a new employer</w:t>
      </w:r>
      <w:r w:rsidR="00B26FF5">
        <w:t xml:space="preserve">. Individuals who remain at their employer for longer are more likely to be identified in ASHE, which uses “latest known employer” information from </w:t>
      </w:r>
      <w:r w:rsidR="00AB0893">
        <w:t xml:space="preserve">the </w:t>
      </w:r>
      <w:r w:rsidR="00B26FF5">
        <w:t>HMRC to trace respondents.</w:t>
      </w:r>
      <w:r w:rsidR="00205CDA" w:rsidRPr="00205CDA">
        <w:t xml:space="preserve"> </w:t>
      </w:r>
      <w:r w:rsidR="00496F77">
        <w:t>Third</w:t>
      </w:r>
      <w:r w:rsidR="00205CDA">
        <w:t>, employers with poor administrative processes or using cash-in-hand payments are less likely to be identified by the HMRC.</w:t>
      </w:r>
      <w:r w:rsidR="005506B2" w:rsidRPr="005506B2">
        <w:t xml:space="preserve"> </w:t>
      </w:r>
      <w:r w:rsidR="005506B2">
        <w:t>In short, those apprentices recorded in ASHE are likely to be those in stable, long-term employment with an employer, with good and up-to-date record-keeping.</w:t>
      </w:r>
    </w:p>
    <w:p w14:paraId="14968494" w14:textId="77777777" w:rsidR="00DB5329" w:rsidRDefault="00B26FF5" w:rsidP="00EB53B6">
      <w:r>
        <w:t xml:space="preserve">This may explain why the ASHE </w:t>
      </w:r>
      <w:r w:rsidR="0015387F">
        <w:t xml:space="preserve">non-compliance </w:t>
      </w:r>
      <w:r>
        <w:t xml:space="preserve">rate is similar to </w:t>
      </w:r>
      <w:r w:rsidR="0015387F">
        <w:t xml:space="preserve">that calculated for </w:t>
      </w:r>
      <w:r>
        <w:t>those who use payslips to provide information</w:t>
      </w:r>
      <w:r w:rsidR="0015387F">
        <w:t xml:space="preserve"> in the APS 2014</w:t>
      </w:r>
      <w:r>
        <w:t>: we would expect these APS respondents to be in the same subset of organised PAYE-paying employers.</w:t>
      </w:r>
      <w:r w:rsidR="00DB5329">
        <w:t xml:space="preserve"> Table 4 shows the level of non-compliance in the APS by whether documentation is used </w:t>
      </w:r>
      <w:r w:rsidR="00A148C5">
        <w:t>or not.</w:t>
      </w:r>
    </w:p>
    <w:p w14:paraId="0186EC8B" w14:textId="77777777" w:rsidR="003C0490" w:rsidRDefault="003C0490" w:rsidP="005506B2">
      <w:r>
        <w:t>[Table 4 here]</w:t>
      </w:r>
    </w:p>
    <w:p w14:paraId="4D6DAACF" w14:textId="302D4865" w:rsidR="00EB53B6" w:rsidRDefault="00D53DF9" w:rsidP="005506B2">
      <w:r>
        <w:t>W</w:t>
      </w:r>
      <w:r w:rsidR="00A148C5">
        <w:t xml:space="preserve">hen information </w:t>
      </w:r>
      <w:r w:rsidR="00B8000C">
        <w:t xml:space="preserve">for </w:t>
      </w:r>
      <w:r w:rsidR="00A148C5">
        <w:t xml:space="preserve">both hours and pay is provided </w:t>
      </w:r>
      <w:r w:rsidR="00B8000C">
        <w:t xml:space="preserve">from </w:t>
      </w:r>
      <w:r w:rsidR="00A148C5">
        <w:t xml:space="preserve">a payslip, non-compliance rates in the APS and ASHE </w:t>
      </w:r>
      <w:r w:rsidR="00496F77">
        <w:t xml:space="preserve">(see </w:t>
      </w:r>
      <w:r w:rsidR="009D4289">
        <w:t xml:space="preserve">last row of Table 4 and </w:t>
      </w:r>
      <w:r w:rsidR="00496F77">
        <w:t xml:space="preserve">Table 2) </w:t>
      </w:r>
      <w:r w:rsidR="00A148C5">
        <w:t>become much more similar</w:t>
      </w:r>
      <w:r w:rsidR="00496F77">
        <w:t>.</w:t>
      </w:r>
      <w:r w:rsidR="005506B2">
        <w:t xml:space="preserve"> W</w:t>
      </w:r>
      <w:r w:rsidR="00EB53B6">
        <w:t>hile the APS and ASHE broadly agree on the non-compliance rates for fully documented earnings</w:t>
      </w:r>
      <w:r w:rsidR="00B8000C">
        <w:t xml:space="preserve"> and hours</w:t>
      </w:r>
      <w:r w:rsidR="00EB53B6">
        <w:t>, the low sampling rates for ASHE are likely to be biased towards compliant observations</w:t>
      </w:r>
      <w:r w:rsidR="00B8000C">
        <w:t>. H</w:t>
      </w:r>
      <w:r w:rsidR="00EB53B6">
        <w:t xml:space="preserve">ence, the ASHE non-compliance </w:t>
      </w:r>
      <w:r w:rsidR="00A50260">
        <w:t xml:space="preserve">estimate </w:t>
      </w:r>
      <w:r w:rsidR="00EB53B6">
        <w:t>can be taken as a ‘lower bound’ for non-compliance.</w:t>
      </w:r>
    </w:p>
    <w:p w14:paraId="033EB439" w14:textId="77777777" w:rsidR="005C50A9" w:rsidRDefault="005C50A9" w:rsidP="00E37AE1">
      <w:pPr>
        <w:pStyle w:val="Heading3"/>
      </w:pPr>
      <w:r>
        <w:lastRenderedPageBreak/>
        <w:t>Data quality</w:t>
      </w:r>
    </w:p>
    <w:p w14:paraId="3DC543BD" w14:textId="70445266" w:rsidR="00CE6405" w:rsidRDefault="00CE6405" w:rsidP="00CE6405">
      <w:r>
        <w:t>The 2011 and 2012 APS asked for wage data at the payment level: for hourly-paid workers, an hourly wage was recorded, for weekly</w:t>
      </w:r>
      <w:r w:rsidR="0015387F">
        <w:t>-</w:t>
      </w:r>
      <w:r>
        <w:t>paid a weekly wage, and so on. Standard hours were also recorded, so that a</w:t>
      </w:r>
      <w:r w:rsidR="0015387F">
        <w:t>n hourly</w:t>
      </w:r>
      <w:r>
        <w:t xml:space="preserve"> wage could be derived for the non-hourly paid.</w:t>
      </w:r>
      <w:r w:rsidR="009D4289">
        <w:t xml:space="preserve"> </w:t>
      </w:r>
      <w:r>
        <w:t xml:space="preserve">There is a substantial difference </w:t>
      </w:r>
      <w:r w:rsidR="0015387F">
        <w:t xml:space="preserve">in non-compliance </w:t>
      </w:r>
      <w:r>
        <w:t>between the hourly and the non-hour</w:t>
      </w:r>
      <w:r w:rsidR="001E14DD">
        <w:t>l</w:t>
      </w:r>
      <w:r>
        <w:t>y</w:t>
      </w:r>
      <w:r w:rsidR="001E14DD">
        <w:t xml:space="preserve"> paid</w:t>
      </w:r>
      <w:r w:rsidR="009D4289">
        <w:t xml:space="preserve"> (</w:t>
      </w:r>
      <w:r w:rsidR="005506B2">
        <w:t>see Table 5</w:t>
      </w:r>
      <w:r w:rsidR="009D4289">
        <w:t>)</w:t>
      </w:r>
      <w:r w:rsidR="0015387F">
        <w:t xml:space="preserve">. </w:t>
      </w:r>
    </w:p>
    <w:p w14:paraId="762597F3" w14:textId="77777777" w:rsidR="003C0490" w:rsidRDefault="003C0490" w:rsidP="00CE6405">
      <w:r>
        <w:t>[Table 5 here]</w:t>
      </w:r>
    </w:p>
    <w:p w14:paraId="55A0116E" w14:textId="1B4330CD" w:rsidR="00387584" w:rsidRDefault="001E14DD" w:rsidP="00CE6405">
      <w:r>
        <w:t xml:space="preserve">As with the </w:t>
      </w:r>
      <w:r w:rsidR="00A809CC">
        <w:t>other employee surveys in the UK</w:t>
      </w:r>
      <w:r>
        <w:t xml:space="preserve">, wages </w:t>
      </w:r>
      <w:r w:rsidR="0015387F">
        <w:t xml:space="preserve">in the APS </w:t>
      </w:r>
      <w:r>
        <w:t xml:space="preserve">are rounded at the pay period, which may account for some of the disparity in responses. However, the main cause for the difference </w:t>
      </w:r>
      <w:r w:rsidR="0015387F">
        <w:t xml:space="preserve">between the hourly and the non-hourly paid </w:t>
      </w:r>
      <w:r>
        <w:t>seems to be a mismatch between hours and earnings: the APS derived wage has a much wider distribution tha</w:t>
      </w:r>
      <w:r w:rsidR="00655007">
        <w:t>n</w:t>
      </w:r>
      <w:r>
        <w:t xml:space="preserve"> the hourly rate </w:t>
      </w:r>
      <w:r w:rsidR="009D4289">
        <w:t>(s</w:t>
      </w:r>
      <w:r w:rsidR="00A809CC">
        <w:t xml:space="preserve">ee Figure </w:t>
      </w:r>
      <w:r w:rsidR="009D4289">
        <w:t xml:space="preserve">1 </w:t>
      </w:r>
      <w:r w:rsidR="00A809CC">
        <w:t>for the 2014 data; similar results occur for 2011 and 2012</w:t>
      </w:r>
      <w:r w:rsidR="009D4289">
        <w:t>)</w:t>
      </w:r>
      <w:r w:rsidR="00A809CC">
        <w:t>.</w:t>
      </w:r>
    </w:p>
    <w:p w14:paraId="6C2AB90B" w14:textId="77777777" w:rsidR="003C0490" w:rsidRDefault="003C0490" w:rsidP="00CE6405">
      <w:r>
        <w:t>[Figure 1 here]</w:t>
      </w:r>
    </w:p>
    <w:p w14:paraId="4F1E6C11" w14:textId="3E09C193" w:rsidR="001E14DD" w:rsidRDefault="001E14DD" w:rsidP="00CE6405">
      <w:r>
        <w:t xml:space="preserve">Part of the confusion may be that the </w:t>
      </w:r>
      <w:r w:rsidR="0015387F">
        <w:t xml:space="preserve">2011 and 2012 </w:t>
      </w:r>
      <w:r w:rsidR="00A809CC">
        <w:t>APSs</w:t>
      </w:r>
      <w:r>
        <w:t xml:space="preserve"> asked for </w:t>
      </w:r>
      <w:r w:rsidR="0015387F">
        <w:t xml:space="preserve">both </w:t>
      </w:r>
      <w:r w:rsidR="009D4289">
        <w:t xml:space="preserve">working </w:t>
      </w:r>
      <w:r>
        <w:t xml:space="preserve">hours and training hours </w:t>
      </w:r>
      <w:r w:rsidR="009D4289">
        <w:t>(</w:t>
      </w:r>
      <w:r>
        <w:t>on- and off-</w:t>
      </w:r>
      <w:r w:rsidR="00A50260">
        <w:t>the-job</w:t>
      </w:r>
      <w:r w:rsidR="009D4289">
        <w:t>)</w:t>
      </w:r>
      <w:r>
        <w:t>.</w:t>
      </w:r>
      <w:r w:rsidR="0015387F">
        <w:t xml:space="preserve"> </w:t>
      </w:r>
      <w:r w:rsidR="0026639D">
        <w:t>T</w:t>
      </w:r>
      <w:r w:rsidR="0015387F">
        <w:t xml:space="preserve">here </w:t>
      </w:r>
      <w:r w:rsidR="0026639D">
        <w:t>was some</w:t>
      </w:r>
      <w:r w:rsidR="0015387F">
        <w:t xml:space="preserve"> ambiguity on how these questions should be answered,</w:t>
      </w:r>
      <w:r>
        <w:t xml:space="preserve"> and</w:t>
      </w:r>
      <w:r w:rsidR="0015387F">
        <w:t>,</w:t>
      </w:r>
      <w:r>
        <w:t xml:space="preserve"> hence</w:t>
      </w:r>
      <w:r w:rsidR="0015387F">
        <w:t>,</w:t>
      </w:r>
      <w:r>
        <w:t xml:space="preserve"> </w:t>
      </w:r>
      <w:r w:rsidR="0015387F">
        <w:t>the accuracy of the derived value for the hourly pay is questionable</w:t>
      </w:r>
      <w:r>
        <w:t xml:space="preserve">. This may explain why the hourly paid non-compliance rate is so much lower: it does not need an accurate estimate of hours. Some </w:t>
      </w:r>
      <w:r w:rsidR="0015387F">
        <w:t xml:space="preserve">further </w:t>
      </w:r>
      <w:r>
        <w:t xml:space="preserve">support for the idea </w:t>
      </w:r>
      <w:proofErr w:type="gramStart"/>
      <w:r>
        <w:t>that hours</w:t>
      </w:r>
      <w:proofErr w:type="gramEnd"/>
      <w:r>
        <w:t xml:space="preserve"> is the </w:t>
      </w:r>
      <w:r w:rsidR="0015387F">
        <w:t xml:space="preserve">main cause of the </w:t>
      </w:r>
      <w:r>
        <w:t>problem</w:t>
      </w:r>
      <w:r w:rsidR="004919E2">
        <w:t xml:space="preserve"> comes from comparing non-compliance rates by type of training received</w:t>
      </w:r>
      <w:r w:rsidR="0015387F">
        <w:t xml:space="preserve">. Table </w:t>
      </w:r>
      <w:r w:rsidR="00A50260">
        <w:t xml:space="preserve">6 </w:t>
      </w:r>
      <w:r w:rsidR="0015387F">
        <w:t xml:space="preserve">reports the relevant estimates. </w:t>
      </w:r>
    </w:p>
    <w:p w14:paraId="08D21462" w14:textId="77777777" w:rsidR="003C0490" w:rsidRDefault="003C0490" w:rsidP="00CE6405">
      <w:r>
        <w:t>[Table 6 here]</w:t>
      </w:r>
    </w:p>
    <w:p w14:paraId="71034A8D" w14:textId="51171A1A" w:rsidR="001E14DD" w:rsidRDefault="004919E2" w:rsidP="00CE6405">
      <w:r>
        <w:t xml:space="preserve">These concerns were raised in </w:t>
      </w:r>
      <w:r w:rsidR="0011526A">
        <w:t>(43)</w:t>
      </w:r>
      <w:r>
        <w:t xml:space="preserve">, and led to the overhaul of the APS. </w:t>
      </w:r>
      <w:r w:rsidR="0026639D">
        <w:t xml:space="preserve">The revised </w:t>
      </w:r>
      <w:r w:rsidR="00B613E4">
        <w:t xml:space="preserve">2014 </w:t>
      </w:r>
      <w:r>
        <w:t>APS only asked for total hours</w:t>
      </w:r>
      <w:r w:rsidR="005506B2">
        <w:t>,</w:t>
      </w:r>
      <w:r>
        <w:t xml:space="preserve"> </w:t>
      </w:r>
      <w:r w:rsidR="00C422BF">
        <w:t xml:space="preserve">and </w:t>
      </w:r>
      <w:r w:rsidR="005506B2">
        <w:t xml:space="preserve">did </w:t>
      </w:r>
      <w:r>
        <w:t xml:space="preserve">not </w:t>
      </w:r>
      <w:r w:rsidR="00387584">
        <w:t>break</w:t>
      </w:r>
      <w:r w:rsidR="005506B2">
        <w:t xml:space="preserve"> out training</w:t>
      </w:r>
      <w:r w:rsidR="00387584">
        <w:t xml:space="preserve"> </w:t>
      </w:r>
      <w:r w:rsidR="005506B2">
        <w:t>hours</w:t>
      </w:r>
      <w:r w:rsidR="00C422BF">
        <w:t>.</w:t>
      </w:r>
      <w:r w:rsidR="00387584">
        <w:t xml:space="preserve"> </w:t>
      </w:r>
      <w:r w:rsidR="00C422BF">
        <w:t>T</w:t>
      </w:r>
      <w:r w:rsidR="00387584">
        <w:t>he rationale seem</w:t>
      </w:r>
      <w:r w:rsidR="005506B2">
        <w:t>ed</w:t>
      </w:r>
      <w:r w:rsidR="00387584">
        <w:t xml:space="preserve"> to be that trying to get accurate detail had been shown to fail, and it was better to concentrate on a better, simpler, </w:t>
      </w:r>
      <w:r w:rsidR="00387584">
        <w:lastRenderedPageBreak/>
        <w:t xml:space="preserve">total </w:t>
      </w:r>
      <w:proofErr w:type="gramStart"/>
      <w:r w:rsidR="00387584">
        <w:t>hours</w:t>
      </w:r>
      <w:proofErr w:type="gramEnd"/>
      <w:r w:rsidR="00387584">
        <w:t xml:space="preserve"> measure. This demonstrates the tension between getting </w:t>
      </w:r>
      <w:r w:rsidR="00387584" w:rsidRPr="00A50260">
        <w:rPr>
          <w:i/>
        </w:rPr>
        <w:t>more</w:t>
      </w:r>
      <w:r w:rsidR="00387584">
        <w:t xml:space="preserve"> information and getting </w:t>
      </w:r>
      <w:r w:rsidR="00387584" w:rsidRPr="00A50260">
        <w:rPr>
          <w:i/>
        </w:rPr>
        <w:t>accurate</w:t>
      </w:r>
      <w:r w:rsidR="00387584">
        <w:t xml:space="preserve"> information.</w:t>
      </w:r>
    </w:p>
    <w:p w14:paraId="264FF20B" w14:textId="77777777" w:rsidR="00387584" w:rsidRDefault="00387584" w:rsidP="00CE6405">
      <w:r>
        <w:t xml:space="preserve">The 2014 APS also made more effort to get information from reliable </w:t>
      </w:r>
      <w:r w:rsidR="00B613E4">
        <w:t>sources</w:t>
      </w:r>
      <w:r w:rsidR="00C422BF">
        <w:t xml:space="preserve"> and,</w:t>
      </w:r>
      <w:r w:rsidR="00B613E4">
        <w:t xml:space="preserve"> specifically, </w:t>
      </w:r>
      <w:r w:rsidR="00C422BF">
        <w:t xml:space="preserve">from </w:t>
      </w:r>
      <w:r w:rsidR="00B613E4">
        <w:t>payslips</w:t>
      </w:r>
      <w:r>
        <w:t>. The result</w:t>
      </w:r>
      <w:r w:rsidR="00C422BF">
        <w:t>s</w:t>
      </w:r>
      <w:r>
        <w:t xml:space="preserve"> </w:t>
      </w:r>
      <w:r w:rsidR="003240E3">
        <w:t>supported the idea that employees tend to guess answers at focal points in the absence of any accurate information; non-compliance was much lower where documentation was consulted</w:t>
      </w:r>
      <w:r w:rsidR="00A809CC">
        <w:t xml:space="preserve"> (see Table 4, above)</w:t>
      </w:r>
      <w:r w:rsidR="003240E3">
        <w:t>.</w:t>
      </w:r>
    </w:p>
    <w:p w14:paraId="64055C59" w14:textId="648BC5AE" w:rsidR="003240E3" w:rsidRDefault="00C422BF" w:rsidP="00CE6405">
      <w:r>
        <w:t xml:space="preserve">Owing to the re-structuring of the survey, only </w:t>
      </w:r>
      <w:r w:rsidR="003240E3">
        <w:t xml:space="preserve">8% of apprentices </w:t>
      </w:r>
      <w:r>
        <w:t xml:space="preserve">in 2014 APS report </w:t>
      </w:r>
      <w:r w:rsidR="003240E3">
        <w:t>an hourly rate</w:t>
      </w:r>
      <w:r w:rsidR="00EB53B6">
        <w:t>. T</w:t>
      </w:r>
      <w:r w:rsidR="003240E3">
        <w:t xml:space="preserve">hese </w:t>
      </w:r>
      <w:r w:rsidR="00EB53B6">
        <w:t>observations</w:t>
      </w:r>
      <w:r w:rsidR="003240E3">
        <w:t xml:space="preserve"> </w:t>
      </w:r>
      <w:r>
        <w:t xml:space="preserve">also </w:t>
      </w:r>
      <w:r w:rsidR="003240E3">
        <w:t>show the lowest rates of non-compliance</w:t>
      </w:r>
      <w:r w:rsidR="00A809CC">
        <w:t xml:space="preserve"> (</w:t>
      </w:r>
      <w:r w:rsidR="00B159BB">
        <w:t xml:space="preserve">but </w:t>
      </w:r>
      <w:r w:rsidR="00A809CC">
        <w:t>note that the actual rate derived by dividing pay by hours worked gives a high</w:t>
      </w:r>
      <w:r w:rsidR="00B159BB">
        <w:t>er</w:t>
      </w:r>
      <w:r w:rsidR="00A809CC">
        <w:t xml:space="preserve"> non-compliance rate</w:t>
      </w:r>
      <w:r w:rsidR="00B159BB">
        <w:t xml:space="preserve">; this </w:t>
      </w:r>
      <w:r w:rsidR="00A809CC">
        <w:t>impl</w:t>
      </w:r>
      <w:r w:rsidR="00B159BB">
        <w:t>ies</w:t>
      </w:r>
      <w:r w:rsidR="00A809CC">
        <w:t xml:space="preserve"> that the hourly rate is </w:t>
      </w:r>
      <w:r w:rsidR="003240E3">
        <w:t xml:space="preserve">not </w:t>
      </w:r>
      <w:r w:rsidR="00EB53B6">
        <w:t xml:space="preserve">always </w:t>
      </w:r>
      <w:r w:rsidR="003240E3">
        <w:t xml:space="preserve">being </w:t>
      </w:r>
      <w:r w:rsidR="00EB53B6">
        <w:t>received</w:t>
      </w:r>
      <w:r w:rsidR="00A809CC">
        <w:t>)</w:t>
      </w:r>
      <w:r w:rsidR="003240E3">
        <w:t xml:space="preserve">. </w:t>
      </w:r>
      <w:r w:rsidR="00F7267C">
        <w:t>They are</w:t>
      </w:r>
      <w:r w:rsidR="00A50260">
        <w:t>,</w:t>
      </w:r>
      <w:r w:rsidR="00F7267C">
        <w:t xml:space="preserve"> however</w:t>
      </w:r>
      <w:r w:rsidR="00A50260">
        <w:t>,</w:t>
      </w:r>
      <w:r w:rsidR="00F7267C">
        <w:t xml:space="preserve"> close to the rates reported for those who </w:t>
      </w:r>
      <w:r w:rsidR="00472CE6">
        <w:t xml:space="preserve">do not report </w:t>
      </w:r>
      <w:r w:rsidR="00A50260">
        <w:t xml:space="preserve">an </w:t>
      </w:r>
      <w:r w:rsidR="00472CE6">
        <w:t xml:space="preserve">hourly pay but </w:t>
      </w:r>
      <w:r w:rsidR="00F7267C">
        <w:t xml:space="preserve">have both hours and pay </w:t>
      </w:r>
      <w:r>
        <w:t xml:space="preserve">taken from </w:t>
      </w:r>
      <w:r w:rsidR="00F7267C">
        <w:t>their payslip</w:t>
      </w:r>
      <w:r w:rsidR="00A50260">
        <w:t xml:space="preserve"> (see Table 4)</w:t>
      </w:r>
      <w:r w:rsidR="00472CE6">
        <w:t xml:space="preserve">. </w:t>
      </w:r>
      <w:r w:rsidR="00B159BB">
        <w:t xml:space="preserve">Thus although wage rates calculated from documented wages and hours might be the best measure of actual wages paid, </w:t>
      </w:r>
      <w:r w:rsidR="00F7267C">
        <w:t xml:space="preserve">stated </w:t>
      </w:r>
      <w:r w:rsidR="00B613E4">
        <w:t>rates</w:t>
      </w:r>
      <w:r w:rsidR="00F7267C">
        <w:t xml:space="preserve"> </w:t>
      </w:r>
      <w:r w:rsidR="00B159BB">
        <w:t>appear</w:t>
      </w:r>
      <w:r w:rsidR="00F7267C">
        <w:t xml:space="preserve"> more accurate than </w:t>
      </w:r>
      <w:r w:rsidR="00B159BB">
        <w:t xml:space="preserve">rates calculated from </w:t>
      </w:r>
      <w:r w:rsidR="00F7267C">
        <w:t>undocumented estimates of wages and hours</w:t>
      </w:r>
      <w:r w:rsidR="0011526A">
        <w:t xml:space="preserve">; this has also been </w:t>
      </w:r>
      <w:r w:rsidR="00B159BB">
        <w:t>report</w:t>
      </w:r>
      <w:r w:rsidR="0011526A">
        <w:t>ed</w:t>
      </w:r>
      <w:r w:rsidR="00B159BB">
        <w:t xml:space="preserve"> for the LFS employee data</w:t>
      </w:r>
      <w:r w:rsidR="0011526A">
        <w:t xml:space="preserve"> (38</w:t>
      </w:r>
      <w:r w:rsidR="00B159BB">
        <w:t>)</w:t>
      </w:r>
      <w:r w:rsidR="00F7267C">
        <w:t>.</w:t>
      </w:r>
      <w:r w:rsidR="003240E3">
        <w:t xml:space="preserve"> </w:t>
      </w:r>
    </w:p>
    <w:p w14:paraId="3CB49FB1" w14:textId="37F55FB5" w:rsidR="000832E7" w:rsidRDefault="00B159BB" w:rsidP="00CE6405">
      <w:r>
        <w:t xml:space="preserve">Recognising </w:t>
      </w:r>
      <w:r w:rsidR="005C46FD">
        <w:t xml:space="preserve">concerns over data quality, </w:t>
      </w:r>
      <w:r w:rsidR="000832E7">
        <w:t>Drew et al (</w:t>
      </w:r>
      <w:r w:rsidR="0011526A">
        <w:t>40</w:t>
      </w:r>
      <w:r w:rsidR="000832E7">
        <w:t>) carried out a qualitative analysis, interviewing apprentices, trainers and employers. This showed that</w:t>
      </w:r>
      <w:r>
        <w:t>,</w:t>
      </w:r>
      <w:r w:rsidR="000832E7">
        <w:t xml:space="preserve"> </w:t>
      </w:r>
      <w:r>
        <w:t>for</w:t>
      </w:r>
      <w:r w:rsidR="000832E7">
        <w:t xml:space="preserve"> the apprentices, ‘hours of work’ </w:t>
      </w:r>
      <w:r>
        <w:t>was a concept of little relevance</w:t>
      </w:r>
      <w:r w:rsidR="000832E7">
        <w:t xml:space="preserve">; what mattered was total take-home pay, not the hourly rate. Apprentices saw low wages during training as ‘serving one’s time’; they also assumed that employers were paying the correct wages. </w:t>
      </w:r>
      <w:r w:rsidR="0026639D">
        <w:t>D</w:t>
      </w:r>
      <w:r w:rsidR="000832E7">
        <w:t xml:space="preserve">ocumentation </w:t>
      </w:r>
      <w:r w:rsidR="0026639D">
        <w:t>remains the</w:t>
      </w:r>
      <w:r w:rsidR="000832E7">
        <w:t xml:space="preserve"> key to getting accurate information from apprentices</w:t>
      </w:r>
      <w:r w:rsidR="00472CE6">
        <w:t>.</w:t>
      </w:r>
      <w:r w:rsidR="000832E7">
        <w:t xml:space="preserve"> </w:t>
      </w:r>
    </w:p>
    <w:p w14:paraId="785F2F93" w14:textId="77777777" w:rsidR="00A462AF" w:rsidRDefault="009B6742" w:rsidP="009B6742">
      <w:r>
        <w:t xml:space="preserve">In summary, a large part of the initial non-compliance identified in APS appears to be a result of poor data quality, and possibly a naïve interpretation of the data when aggregate statistics are presented. </w:t>
      </w:r>
      <w:r w:rsidR="00A462AF">
        <w:t>In response, the 2014 APS has traded off less detail for more accurate information.</w:t>
      </w:r>
    </w:p>
    <w:p w14:paraId="76B11847" w14:textId="37060C66" w:rsidR="009B6742" w:rsidRPr="00CE6405" w:rsidRDefault="009B6742" w:rsidP="009B6742">
      <w:r>
        <w:lastRenderedPageBreak/>
        <w:t xml:space="preserve">Using the information on how the data </w:t>
      </w:r>
      <w:r w:rsidR="007D51E1">
        <w:t xml:space="preserve">were </w:t>
      </w:r>
      <w:r>
        <w:t xml:space="preserve">collected has shown that the data problems are psychologically plausible and indirectly supported. As data errors are more likely to lead to an overestimation of those paid below the NMW, this suggests that the APS could act as an ‘upper bound’ for the true non-compliance rate. </w:t>
      </w:r>
    </w:p>
    <w:p w14:paraId="02FD61FE" w14:textId="4028C7B3" w:rsidR="00F7267C" w:rsidRDefault="00A462AF" w:rsidP="00CE6405">
      <w:r>
        <w:t xml:space="preserve">In contrast to APS, </w:t>
      </w:r>
      <w:r w:rsidR="00F7267C">
        <w:t xml:space="preserve">ASHE should not suffer from the hours/wages problem: it simply asks the employer to record total paid-for hours. However, the question could be misinterpreted, and it could be that ASHE respondents are omitting training hours to keep pay above the minimum. </w:t>
      </w:r>
      <w:r w:rsidR="00CF302D">
        <w:t>T</w:t>
      </w:r>
      <w:r w:rsidR="005C46FD">
        <w:t xml:space="preserve">o investigate this we compared </w:t>
      </w:r>
      <w:r w:rsidR="00F7267C">
        <w:t>hours of apprentices and other employees</w:t>
      </w:r>
      <w:r w:rsidR="005C46FD">
        <w:t xml:space="preserve"> in ASHE</w:t>
      </w:r>
      <w:r w:rsidR="00F7267C">
        <w:t>, and concluded that there was no systematic difference</w:t>
      </w:r>
      <w:r w:rsidR="007D51E1">
        <w:t>. I</w:t>
      </w:r>
      <w:r w:rsidR="00F7267C">
        <w:t xml:space="preserve">f firms are under-reporting hours, it does not seem to be </w:t>
      </w:r>
      <w:r w:rsidR="007D51E1">
        <w:t xml:space="preserve">something </w:t>
      </w:r>
      <w:r w:rsidR="005C46FD">
        <w:t xml:space="preserve">consistent and statistically </w:t>
      </w:r>
      <w:r w:rsidR="00F7267C">
        <w:t xml:space="preserve">significant. </w:t>
      </w:r>
    </w:p>
    <w:p w14:paraId="4DA50D09" w14:textId="77777777" w:rsidR="005C50A9" w:rsidRDefault="007B3034" w:rsidP="00E37AE1">
      <w:pPr>
        <w:pStyle w:val="Heading3"/>
      </w:pPr>
      <w:r>
        <w:t>P</w:t>
      </w:r>
      <w:r w:rsidR="00472CE6">
        <w:t>rocessing</w:t>
      </w:r>
    </w:p>
    <w:p w14:paraId="4FF20237" w14:textId="599F6E2A" w:rsidR="004919E2" w:rsidRDefault="004919E2" w:rsidP="004919E2">
      <w:r>
        <w:t xml:space="preserve">A third problem with the APS </w:t>
      </w:r>
      <w:r w:rsidR="00472CE6">
        <w:t xml:space="preserve">2011 and 2012 </w:t>
      </w:r>
      <w:r>
        <w:t xml:space="preserve">was the </w:t>
      </w:r>
      <w:r w:rsidR="00102C15">
        <w:t>error-checking</w:t>
      </w:r>
      <w:r w:rsidR="00CF302D">
        <w:t xml:space="preserve"> process</w:t>
      </w:r>
      <w:r w:rsidR="00102C15">
        <w:t>. Each reported wage had a check value</w:t>
      </w:r>
      <w:r w:rsidR="00472CE6">
        <w:t>:</w:t>
      </w:r>
      <w:r w:rsidR="00102C15">
        <w:t xml:space="preserve"> if the reported wage was less than that, then the interviewer would get the interviewee to confirm results. For the 2011 APS the hourly-paid check was set at the </w:t>
      </w:r>
      <w:r w:rsidR="007D51E1">
        <w:t>NMW</w:t>
      </w:r>
      <w:r w:rsidR="00472CE6">
        <w:t>AR for that year</w:t>
      </w:r>
      <w:r w:rsidR="00102C15">
        <w:t>, £2.50 per hour. Unfortunately, this was retained in 2012</w:t>
      </w:r>
      <w:r w:rsidR="00472CE6">
        <w:t xml:space="preserve">, although the </w:t>
      </w:r>
      <w:r w:rsidR="007D51E1">
        <w:t>NMW</w:t>
      </w:r>
      <w:r w:rsidR="00472CE6">
        <w:t>AR had increased</w:t>
      </w:r>
      <w:r w:rsidR="00102C15">
        <w:t>. Moreover, the “50p” focal points are extremely popular when guessing responses</w:t>
      </w:r>
      <w:r w:rsidR="00855842">
        <w:t>:</w:t>
      </w:r>
      <w:r w:rsidR="00102C15">
        <w:t xml:space="preserve"> a third of </w:t>
      </w:r>
      <w:r w:rsidR="006D5D81">
        <w:t>employees</w:t>
      </w:r>
      <w:r w:rsidR="00102C15">
        <w:t xml:space="preserve"> report wages that are multiple</w:t>
      </w:r>
      <w:r w:rsidR="00472CE6">
        <w:t>s</w:t>
      </w:r>
      <w:r w:rsidR="00102C15">
        <w:t xml:space="preserve"> of 50p (</w:t>
      </w:r>
      <w:r w:rsidR="0011526A">
        <w:t>38</w:t>
      </w:r>
      <w:r w:rsidR="00102C15">
        <w:t>, Table 12). Thus, in the 2012 APS, many users reported a wage of £2.50, but it was impossible to tell if these were</w:t>
      </w:r>
      <w:r w:rsidR="00472CE6">
        <w:t xml:space="preserve">: </w:t>
      </w:r>
    </w:p>
    <w:p w14:paraId="124BD0B3" w14:textId="77777777" w:rsidR="00102C15" w:rsidRDefault="00102C15" w:rsidP="009379C7">
      <w:pPr>
        <w:pStyle w:val="ListParagraph"/>
        <w:numPr>
          <w:ilvl w:val="0"/>
          <w:numId w:val="18"/>
        </w:numPr>
      </w:pPr>
      <w:r>
        <w:t>Accurate and legitimate, as the pay period was before the new NMW came in</w:t>
      </w:r>
      <w:r w:rsidR="00472CE6">
        <w:t>.</w:t>
      </w:r>
    </w:p>
    <w:p w14:paraId="019218E8" w14:textId="77777777" w:rsidR="00102C15" w:rsidRDefault="00102C15" w:rsidP="009379C7">
      <w:pPr>
        <w:pStyle w:val="ListParagraph"/>
        <w:numPr>
          <w:ilvl w:val="0"/>
          <w:numId w:val="18"/>
        </w:numPr>
      </w:pPr>
      <w:r>
        <w:t xml:space="preserve">Accurate and unlawful, as the pay period was </w:t>
      </w:r>
      <w:r w:rsidR="00472CE6">
        <w:t xml:space="preserve">actually </w:t>
      </w:r>
      <w:r>
        <w:t>October or November</w:t>
      </w:r>
      <w:r w:rsidR="00472CE6">
        <w:t>.</w:t>
      </w:r>
    </w:p>
    <w:p w14:paraId="5CD22065" w14:textId="665F0AAF" w:rsidR="00102C15" w:rsidRDefault="00102C15" w:rsidP="009379C7">
      <w:pPr>
        <w:pStyle w:val="ListParagraph"/>
        <w:numPr>
          <w:ilvl w:val="0"/>
          <w:numId w:val="18"/>
        </w:numPr>
      </w:pPr>
      <w:r>
        <w:t xml:space="preserve">Inaccurate reporting by someone being paid </w:t>
      </w:r>
      <w:r w:rsidR="009379C7">
        <w:t xml:space="preserve">at or above </w:t>
      </w:r>
      <w:r>
        <w:t xml:space="preserve">the </w:t>
      </w:r>
      <w:r w:rsidR="007D51E1">
        <w:t>NMW</w:t>
      </w:r>
      <w:r>
        <w:t>AR</w:t>
      </w:r>
      <w:r w:rsidR="00472CE6">
        <w:t>.</w:t>
      </w:r>
    </w:p>
    <w:p w14:paraId="0431B1AA" w14:textId="6729C944" w:rsidR="00102C15" w:rsidRDefault="00102C15" w:rsidP="009379C7">
      <w:pPr>
        <w:pStyle w:val="ListParagraph"/>
        <w:numPr>
          <w:ilvl w:val="0"/>
          <w:numId w:val="18"/>
        </w:numPr>
      </w:pPr>
      <w:r>
        <w:t xml:space="preserve">Inaccurate reporting by someone being paid </w:t>
      </w:r>
      <w:r w:rsidR="009379C7">
        <w:t xml:space="preserve">something below </w:t>
      </w:r>
      <w:r>
        <w:t xml:space="preserve">the </w:t>
      </w:r>
      <w:r w:rsidR="007D51E1">
        <w:t>NMW</w:t>
      </w:r>
      <w:r>
        <w:t>AR</w:t>
      </w:r>
      <w:r w:rsidR="00472CE6">
        <w:t>.</w:t>
      </w:r>
    </w:p>
    <w:p w14:paraId="01798614" w14:textId="337CDC21" w:rsidR="009379C7" w:rsidRDefault="00855842" w:rsidP="004919E2">
      <w:r>
        <w:t>T</w:t>
      </w:r>
      <w:r w:rsidR="009379C7">
        <w:t>his was not picked up in initial processing</w:t>
      </w:r>
      <w:r w:rsidR="00472CE6">
        <w:t>.</w:t>
      </w:r>
      <w:r w:rsidR="009379C7">
        <w:t xml:space="preserve"> </w:t>
      </w:r>
      <w:r w:rsidR="00472CE6">
        <w:t>T</w:t>
      </w:r>
      <w:r w:rsidR="009379C7">
        <w:t>his single mass point thus contributed significantly to the in</w:t>
      </w:r>
      <w:r w:rsidR="006D5D81">
        <w:t>feasibly</w:t>
      </w:r>
      <w:r w:rsidR="009379C7">
        <w:t xml:space="preserve"> high non-compliance initially </w:t>
      </w:r>
      <w:r w:rsidR="00CF302D">
        <w:t>estimated from that year’s data</w:t>
      </w:r>
      <w:r w:rsidR="007D51E1">
        <w:t xml:space="preserve"> (see Table 2)</w:t>
      </w:r>
      <w:r w:rsidR="009379C7">
        <w:t>.</w:t>
      </w:r>
    </w:p>
    <w:p w14:paraId="2E194D09" w14:textId="77777777" w:rsidR="00A462AF" w:rsidRDefault="009379C7" w:rsidP="00A462AF">
      <w:r>
        <w:lastRenderedPageBreak/>
        <w:t xml:space="preserve">In ASHE, wage calculations </w:t>
      </w:r>
      <w:r w:rsidR="005C46FD">
        <w:t xml:space="preserve">are routinely rounded </w:t>
      </w:r>
      <w:r>
        <w:t xml:space="preserve">to the nearest penny. </w:t>
      </w:r>
      <w:r w:rsidR="00A462AF">
        <w:t>Hourly pay in ASHE is calculated by dividing weekly basic earnings by weekly basic hours. For the monthly paid, hours are still often specified on a weekly basis; in these cases, respondents are asked to multiply weekly hours by 4.348 to get a monthly total for both wages and hours. Respondents are also required to convert decimal times (e.g. 37.5 hours) into hours and minutes (37 hours, 30 minutes). Clearly, there is much scope for error, particularly as the ASHE questionnaire only has space for two decimal places.</w:t>
      </w:r>
    </w:p>
    <w:p w14:paraId="1BAD2CB6" w14:textId="501E0105" w:rsidR="009818F9" w:rsidRDefault="00A462AF" w:rsidP="009818F9">
      <w:r>
        <w:t>I</w:t>
      </w:r>
      <w:r w:rsidR="009379C7">
        <w:t xml:space="preserve">t was noted </w:t>
      </w:r>
      <w:r w:rsidR="007D51E1">
        <w:t xml:space="preserve">above </w:t>
      </w:r>
      <w:r w:rsidR="009379C7">
        <w:t xml:space="preserve">that there were a small but significant number of apprentices being paid one penny below the </w:t>
      </w:r>
      <w:r w:rsidR="007D51E1">
        <w:t>NMW</w:t>
      </w:r>
      <w:r w:rsidR="009379C7">
        <w:t xml:space="preserve">AR. </w:t>
      </w:r>
      <w:r w:rsidR="009818F9">
        <w:t>Table 7 shows the effect of allowing 1p below the NMW to be included as ‘compliant’.</w:t>
      </w:r>
    </w:p>
    <w:p w14:paraId="507CC678" w14:textId="77777777" w:rsidR="003C0490" w:rsidRDefault="003C0490" w:rsidP="009818F9">
      <w:r>
        <w:t>[Table 7 here]</w:t>
      </w:r>
    </w:p>
    <w:p w14:paraId="5CAC267D" w14:textId="5DD6D87D" w:rsidR="009818F9" w:rsidRDefault="009818F9" w:rsidP="009818F9">
      <w:r>
        <w:t xml:space="preserve">All of these apprentices affected by rounding were monthly paid, all had calculated hours, and all had a stated hourly wage equal to the </w:t>
      </w:r>
      <w:r w:rsidR="007D51E1">
        <w:t>NMW</w:t>
      </w:r>
      <w:r>
        <w:t xml:space="preserve">AR. </w:t>
      </w:r>
      <w:r w:rsidR="009379C7">
        <w:t xml:space="preserve">It seems </w:t>
      </w:r>
      <w:r w:rsidR="00F05997">
        <w:t>plausible</w:t>
      </w:r>
      <w:r w:rsidR="009379C7">
        <w:t xml:space="preserve"> that the </w:t>
      </w:r>
      <w:r w:rsidR="00F05997">
        <w:t>multiple</w:t>
      </w:r>
      <w:r w:rsidR="009379C7">
        <w:t xml:space="preserve"> calculations </w:t>
      </w:r>
      <w:r w:rsidR="007B3034">
        <w:t xml:space="preserve">(from weekly hours and monthly pay </w:t>
      </w:r>
      <w:r w:rsidR="009379C7">
        <w:t>to actual monthly wage</w:t>
      </w:r>
      <w:r w:rsidR="007B3034">
        <w:t>; then w</w:t>
      </w:r>
      <w:r w:rsidR="00F05997">
        <w:t>ages and hours as reported to ASHE</w:t>
      </w:r>
      <w:r w:rsidR="007B3034">
        <w:t>; ONS’ calculation of a w</w:t>
      </w:r>
      <w:r w:rsidR="009379C7">
        <w:t>eekly</w:t>
      </w:r>
      <w:r w:rsidR="00F05997">
        <w:t xml:space="preserve"> wage</w:t>
      </w:r>
      <w:r w:rsidR="009379C7">
        <w:t>, and then</w:t>
      </w:r>
      <w:r w:rsidR="007B3034">
        <w:t xml:space="preserve"> an</w:t>
      </w:r>
      <w:r w:rsidR="009379C7">
        <w:t xml:space="preserve"> hourly</w:t>
      </w:r>
      <w:r w:rsidR="00F05997">
        <w:t xml:space="preserve"> </w:t>
      </w:r>
      <w:r w:rsidR="007B3034">
        <w:t>one)</w:t>
      </w:r>
      <w:r w:rsidR="009379C7">
        <w:t xml:space="preserve">, were </w:t>
      </w:r>
      <w:r w:rsidR="00DD5B6B">
        <w:t xml:space="preserve">one of </w:t>
      </w:r>
      <w:r w:rsidR="009379C7">
        <w:t>the cause</w:t>
      </w:r>
      <w:r w:rsidR="00DD5B6B">
        <w:t>s</w:t>
      </w:r>
      <w:r w:rsidR="00F05997">
        <w:t xml:space="preserve"> of the under-payment. The numbers are small but sufficient to materially affect compliance rate</w:t>
      </w:r>
      <w:r>
        <w:t>s.</w:t>
      </w:r>
    </w:p>
    <w:p w14:paraId="534D754E" w14:textId="1191C5BA" w:rsidR="005C50A9" w:rsidRDefault="0092579B" w:rsidP="009818F9">
      <w:r>
        <w:t xml:space="preserve">This problem had not </w:t>
      </w:r>
      <w:r w:rsidR="009818F9">
        <w:t>been observed</w:t>
      </w:r>
      <w:r>
        <w:t xml:space="preserve"> in analyses of non-compliance before, as</w:t>
      </w:r>
      <w:r w:rsidR="009818F9">
        <w:t xml:space="preserve"> </w:t>
      </w:r>
      <w:r>
        <w:t>it was almost entirely limited to apprentices.</w:t>
      </w:r>
      <w:r w:rsidR="009818F9">
        <w:t xml:space="preserve"> </w:t>
      </w:r>
      <w:r>
        <w:t xml:space="preserve">The reasons for this are not entirely clear. </w:t>
      </w:r>
      <w:r w:rsidR="00854653">
        <w:t>The</w:t>
      </w:r>
      <w:r>
        <w:t xml:space="preserve"> best explanation seems to be that the very low level of the </w:t>
      </w:r>
      <w:r w:rsidR="007D51E1">
        <w:t>NMW</w:t>
      </w:r>
      <w:r>
        <w:t>AR provides more scope for rounding errors. This cannot be fully investigated</w:t>
      </w:r>
      <w:r w:rsidR="00854653">
        <w:t xml:space="preserve"> though</w:t>
      </w:r>
      <w:r>
        <w:t xml:space="preserve">, as the other NMWs have never been as low as the </w:t>
      </w:r>
      <w:r w:rsidR="007D51E1">
        <w:t>NMW</w:t>
      </w:r>
      <w:r>
        <w:t>AR.</w:t>
      </w:r>
    </w:p>
    <w:p w14:paraId="5D9A20C1" w14:textId="77777777" w:rsidR="005C50A9" w:rsidRDefault="005C50A9" w:rsidP="00E37AE1">
      <w:pPr>
        <w:pStyle w:val="Heading3"/>
      </w:pPr>
      <w:r>
        <w:t>Weighting</w:t>
      </w:r>
    </w:p>
    <w:p w14:paraId="7CE769C5" w14:textId="7781F8C3" w:rsidR="00F47CA9" w:rsidRDefault="0092579B" w:rsidP="0064208A">
      <w:r>
        <w:t xml:space="preserve">Weighting the APS is </w:t>
      </w:r>
      <w:r w:rsidR="009B0F15">
        <w:t xml:space="preserve">relatively </w:t>
      </w:r>
      <w:r>
        <w:t>uncontroversial, as it is felt to be representative of the population.</w:t>
      </w:r>
      <w:r w:rsidR="00CF302D">
        <w:t xml:space="preserve"> </w:t>
      </w:r>
      <w:r w:rsidR="00F47CA9">
        <w:t xml:space="preserve">In contrast, weighting the ASHE apprentice data is problematic. </w:t>
      </w:r>
      <w:r w:rsidR="0064208A">
        <w:t xml:space="preserve">ASHE </w:t>
      </w:r>
      <w:r w:rsidR="007D51E1">
        <w:t xml:space="preserve">includes </w:t>
      </w:r>
      <w:r w:rsidR="0064208A">
        <w:t xml:space="preserve">weights to produce population estimates, and an additional set of weights calculated specifically for low pay work. </w:t>
      </w:r>
      <w:r w:rsidR="00F47CA9">
        <w:t xml:space="preserve">As </w:t>
      </w:r>
      <w:r w:rsidR="00F47CA9">
        <w:lastRenderedPageBreak/>
        <w:t xml:space="preserve">noted above, ASHE is </w:t>
      </w:r>
      <w:r w:rsidR="00DD5B6B">
        <w:t xml:space="preserve">likely to be under-sampling </w:t>
      </w:r>
      <w:r w:rsidR="007D51E1">
        <w:t xml:space="preserve">the </w:t>
      </w:r>
      <w:r w:rsidR="00DD5B6B">
        <w:t xml:space="preserve">lower-paid </w:t>
      </w:r>
      <w:r w:rsidR="009B0F15">
        <w:t>(this is why we use the unweighted data in this paper</w:t>
      </w:r>
      <w:r w:rsidR="00CF302D">
        <w:t>; see Tables 2 and 7</w:t>
      </w:r>
      <w:r w:rsidR="009B0F15">
        <w:t>).</w:t>
      </w:r>
      <w:r w:rsidR="0064208A" w:rsidRPr="0064208A">
        <w:t xml:space="preserve"> </w:t>
      </w:r>
      <w:r w:rsidR="009818F9">
        <w:t xml:space="preserve">As a result, Drew et al (2016) recommended that the </w:t>
      </w:r>
      <w:r w:rsidR="0064208A">
        <w:t xml:space="preserve">weighted ASHE estimates </w:t>
      </w:r>
      <w:r w:rsidR="009B6742">
        <w:t xml:space="preserve">should be </w:t>
      </w:r>
      <w:r w:rsidR="0064208A">
        <w:t xml:space="preserve">taken as a lower </w:t>
      </w:r>
      <w:r w:rsidR="009818F9">
        <w:t xml:space="preserve">bound for </w:t>
      </w:r>
      <w:r w:rsidR="0064208A">
        <w:t>estimate</w:t>
      </w:r>
      <w:r w:rsidR="009818F9">
        <w:t>s</w:t>
      </w:r>
      <w:r w:rsidR="0064208A">
        <w:t xml:space="preserve"> of non-compliance.</w:t>
      </w:r>
    </w:p>
    <w:p w14:paraId="54D1ACB7" w14:textId="77777777" w:rsidR="005C50A9" w:rsidRDefault="005C50A9" w:rsidP="00E37AE1">
      <w:pPr>
        <w:pStyle w:val="Heading3"/>
      </w:pPr>
      <w:r>
        <w:t xml:space="preserve">Calculation of </w:t>
      </w:r>
      <w:r w:rsidR="009B0F15">
        <w:t xml:space="preserve">the </w:t>
      </w:r>
      <w:r>
        <w:t>non-compliance rate</w:t>
      </w:r>
    </w:p>
    <w:p w14:paraId="0ADBD5F4" w14:textId="77777777" w:rsidR="0092579B" w:rsidRDefault="0092579B" w:rsidP="0092579B">
      <w:r>
        <w:t xml:space="preserve">One aspect that is simplified for the </w:t>
      </w:r>
      <w:r w:rsidR="009B0F15">
        <w:t xml:space="preserve">apprentice </w:t>
      </w:r>
      <w:r>
        <w:t xml:space="preserve">data is calculation of the non-compliance rate. </w:t>
      </w:r>
      <w:r w:rsidR="00AF556D">
        <w:t>First</w:t>
      </w:r>
      <w:r w:rsidR="00CF302D">
        <w:t>,</w:t>
      </w:r>
      <w:r w:rsidR="00AF556D">
        <w:t xml:space="preserve"> “the proportion of apprentices paid below the statutory minimum” does not suffer </w:t>
      </w:r>
      <w:r w:rsidR="00CF302D">
        <w:t xml:space="preserve">from </w:t>
      </w:r>
      <w:r w:rsidR="00AF556D">
        <w:t>the same relevance problems as “the proportion of all workers paid below the statutory minimum”</w:t>
      </w:r>
      <w:r w:rsidR="0064208A">
        <w:t xml:space="preserve"> where ‘all workers’ </w:t>
      </w:r>
      <w:r w:rsidR="00CF302D">
        <w:t xml:space="preserve">also </w:t>
      </w:r>
      <w:r w:rsidR="0064208A">
        <w:t>includes bank</w:t>
      </w:r>
      <w:r w:rsidR="00296849">
        <w:t>ers and football</w:t>
      </w:r>
      <w:r w:rsidR="00CF302D">
        <w:t xml:space="preserve"> players</w:t>
      </w:r>
      <w:r w:rsidR="00AF556D">
        <w:t>. Second, as apprentices tend to be very low paid, there is little to be gained from defining a special “low-paid apprentice” category.</w:t>
      </w:r>
    </w:p>
    <w:p w14:paraId="2EABB394" w14:textId="10F0051D" w:rsidR="008957F5" w:rsidRPr="0092579B" w:rsidRDefault="008957F5" w:rsidP="0092579B">
      <w:r>
        <w:t xml:space="preserve">It is possible to create indices </w:t>
      </w:r>
      <w:r w:rsidR="007D51E1">
        <w:t xml:space="preserve">for Apprentice Pay </w:t>
      </w:r>
      <w:r>
        <w:t xml:space="preserve">as described in </w:t>
      </w:r>
      <w:r w:rsidR="00481669">
        <w:t xml:space="preserve">the formula for </w:t>
      </w:r>
      <m:oMath>
        <m:sSub>
          <m:sSubPr>
            <m:ctrlPr>
              <w:rPr>
                <w:rFonts w:ascii="Cambria Math" w:hAnsi="Cambria Math"/>
                <w:i/>
              </w:rPr>
            </m:ctrlPr>
          </m:sSubPr>
          <m:e>
            <m:r>
              <w:rPr>
                <w:rFonts w:ascii="Cambria Math" w:hAnsi="Cambria Math"/>
              </w:rPr>
              <m:t>m</m:t>
            </m:r>
          </m:e>
          <m:sub>
            <m:r>
              <w:rPr>
                <w:rFonts w:ascii="Cambria Math" w:hAnsi="Cambria Math"/>
              </w:rPr>
              <m:t>α</m:t>
            </m:r>
          </m:sub>
        </m:sSub>
      </m:oMath>
      <w:r w:rsidR="00481669">
        <w:rPr>
          <w:rFonts w:eastAsiaTheme="minorEastAsia"/>
        </w:rPr>
        <w:t xml:space="preserve"> above</w:t>
      </w:r>
      <w:r>
        <w:t xml:space="preserve">, using ASHE data. However, as apprentice pay is only available for three years, the numbers are small, and the data </w:t>
      </w:r>
      <w:r w:rsidR="0045157D">
        <w:t xml:space="preserve">appear </w:t>
      </w:r>
      <w:r>
        <w:t xml:space="preserve">to show the same pattern for all years, these are of limited value at present. </w:t>
      </w:r>
    </w:p>
    <w:p w14:paraId="0C15089D" w14:textId="77777777" w:rsidR="005C50A9" w:rsidRPr="00E37AE1" w:rsidRDefault="005C50A9" w:rsidP="00E37AE1">
      <w:pPr>
        <w:pStyle w:val="Heading3"/>
      </w:pPr>
      <w:r w:rsidRPr="00E37AE1">
        <w:t>Inferences</w:t>
      </w:r>
    </w:p>
    <w:p w14:paraId="1DF82C54" w14:textId="77777777" w:rsidR="005C50A9" w:rsidRDefault="00AF556D" w:rsidP="005C50A9">
      <w:r>
        <w:t xml:space="preserve">Drawing inferences from the apprentice pay data is also somewhat easier. For example, the much lower non-compliance rate </w:t>
      </w:r>
      <w:r w:rsidR="00A56568">
        <w:t>for</w:t>
      </w:r>
      <w:r>
        <w:t xml:space="preserve"> first</w:t>
      </w:r>
      <w:r w:rsidR="00A56568">
        <w:t>-</w:t>
      </w:r>
      <w:r>
        <w:t xml:space="preserve">year </w:t>
      </w:r>
      <w:r w:rsidR="00A56568">
        <w:t xml:space="preserve">apprentices </w:t>
      </w:r>
      <w:r>
        <w:t>is found in all breakdowns of the data, whether univariate or multivariate, and whether ASHE or APS is used (</w:t>
      </w:r>
      <w:r w:rsidR="00A56568">
        <w:t xml:space="preserve">see </w:t>
      </w:r>
      <w:r>
        <w:t xml:space="preserve">Drew et al 2015b, 2016). While statistical data cannot prove any particular explanation, this </w:t>
      </w:r>
      <w:r w:rsidR="008D4A41">
        <w:t>suggests</w:t>
      </w:r>
      <w:r>
        <w:t xml:space="preserve"> that the change in the rate in the second year </w:t>
      </w:r>
      <w:r w:rsidR="00A56568">
        <w:t xml:space="preserve">of the apprenticeship </w:t>
      </w:r>
      <w:r>
        <w:t xml:space="preserve">is causing problems. The fact that it appears in both the employer and employee data is </w:t>
      </w:r>
      <w:r w:rsidR="00A56568">
        <w:t xml:space="preserve">also </w:t>
      </w:r>
      <w:r>
        <w:t>strong evidence that it represents genuine non-compliance in wages paid, and not misreporting. Of course</w:t>
      </w:r>
      <w:r w:rsidR="00A56568">
        <w:t>,</w:t>
      </w:r>
      <w:r>
        <w:t xml:space="preserve"> </w:t>
      </w:r>
      <w:r w:rsidR="00A56568">
        <w:t>we still cannot</w:t>
      </w:r>
      <w:r>
        <w:t xml:space="preserve"> distinguish between whether such non-compliance is deliberate or caused by employer</w:t>
      </w:r>
      <w:r w:rsidR="0045157D">
        <w:t>s</w:t>
      </w:r>
      <w:r>
        <w:t>’ mistake</w:t>
      </w:r>
      <w:r w:rsidR="00A56568">
        <w:t xml:space="preserve">. To resolve this, qualitative evidence is needed. </w:t>
      </w:r>
    </w:p>
    <w:p w14:paraId="54C95C52" w14:textId="77777777" w:rsidR="005C50A9" w:rsidRDefault="005C50A9" w:rsidP="006A59B0">
      <w:pPr>
        <w:pStyle w:val="Heading2"/>
      </w:pPr>
      <w:r>
        <w:lastRenderedPageBreak/>
        <w:t>Summary</w:t>
      </w:r>
    </w:p>
    <w:p w14:paraId="4BE78C68" w14:textId="77777777" w:rsidR="009576B9" w:rsidRDefault="009576B9" w:rsidP="00AF556D">
      <w:r>
        <w:t>Broadly, the measurement of non-compliance amongst apprentices can be summarised</w:t>
      </w:r>
      <w:r w:rsidR="001F65A4">
        <w:t xml:space="preserve"> as follows</w:t>
      </w:r>
      <w:r>
        <w:t>:</w:t>
      </w:r>
    </w:p>
    <w:p w14:paraId="0D024AB9" w14:textId="77777777" w:rsidR="009576B9" w:rsidRDefault="009576B9" w:rsidP="009576B9">
      <w:pPr>
        <w:pStyle w:val="ListParagraph"/>
        <w:numPr>
          <w:ilvl w:val="0"/>
          <w:numId w:val="19"/>
        </w:numPr>
      </w:pPr>
      <w:r>
        <w:t xml:space="preserve">A clearly defined population </w:t>
      </w:r>
      <w:r w:rsidR="001F65A4">
        <w:t xml:space="preserve">simplifies the </w:t>
      </w:r>
      <w:r>
        <w:t>analysis</w:t>
      </w:r>
      <w:r w:rsidR="001F65A4">
        <w:t>.</w:t>
      </w:r>
    </w:p>
    <w:p w14:paraId="2BF965FD" w14:textId="69B5212E" w:rsidR="009576B9" w:rsidRDefault="009576B9" w:rsidP="009576B9">
      <w:pPr>
        <w:pStyle w:val="ListParagraph"/>
        <w:numPr>
          <w:ilvl w:val="0"/>
          <w:numId w:val="19"/>
        </w:numPr>
      </w:pPr>
      <w:r>
        <w:t xml:space="preserve">External information </w:t>
      </w:r>
      <w:r w:rsidR="008D4A41">
        <w:t xml:space="preserve">is necessary for understanding samples, such as the likely non-random </w:t>
      </w:r>
      <w:r>
        <w:t>under-</w:t>
      </w:r>
      <w:r w:rsidR="008D4A41">
        <w:t>representation in ASHE</w:t>
      </w:r>
      <w:r w:rsidR="00AD5471">
        <w:t>.</w:t>
      </w:r>
      <w:r w:rsidR="001F65A4">
        <w:t xml:space="preserve"> </w:t>
      </w:r>
    </w:p>
    <w:p w14:paraId="19CA5907" w14:textId="64C6CEBB" w:rsidR="009576B9" w:rsidRDefault="009576B9" w:rsidP="009576B9">
      <w:pPr>
        <w:pStyle w:val="ListParagraph"/>
        <w:numPr>
          <w:ilvl w:val="0"/>
          <w:numId w:val="19"/>
        </w:numPr>
      </w:pPr>
      <w:r>
        <w:t xml:space="preserve">Collecting detailed information </w:t>
      </w:r>
      <w:r w:rsidR="00A71F9F">
        <w:t>proved</w:t>
      </w:r>
      <w:r w:rsidR="001F65A4">
        <w:t xml:space="preserve"> </w:t>
      </w:r>
      <w:r>
        <w:t>inconsistent with collecting accurate information</w:t>
      </w:r>
      <w:r w:rsidR="008D4A41">
        <w:t xml:space="preserve"> from individuals</w:t>
      </w:r>
      <w:r w:rsidR="00AD5471">
        <w:t>.</w:t>
      </w:r>
    </w:p>
    <w:p w14:paraId="02C62B47" w14:textId="39F5C0CA" w:rsidR="009576B9" w:rsidRDefault="009576B9" w:rsidP="009576B9">
      <w:pPr>
        <w:pStyle w:val="ListParagraph"/>
        <w:numPr>
          <w:ilvl w:val="0"/>
          <w:numId w:val="19"/>
        </w:numPr>
      </w:pPr>
      <w:r>
        <w:t xml:space="preserve">A detailed study of the distributions </w:t>
      </w:r>
      <w:r w:rsidR="008D4A41">
        <w:t>can highlight</w:t>
      </w:r>
      <w:r>
        <w:t xml:space="preserve"> </w:t>
      </w:r>
      <w:r w:rsidR="008D4A41">
        <w:t xml:space="preserve">potential </w:t>
      </w:r>
      <w:r>
        <w:t>problems</w:t>
      </w:r>
      <w:r w:rsidR="00AD5471">
        <w:t>.</w:t>
      </w:r>
    </w:p>
    <w:p w14:paraId="0776EC15" w14:textId="23F1CB98" w:rsidR="008D4A41" w:rsidRDefault="008D4A41" w:rsidP="008D4A41">
      <w:pPr>
        <w:pStyle w:val="ListParagraph"/>
        <w:numPr>
          <w:ilvl w:val="0"/>
          <w:numId w:val="19"/>
        </w:numPr>
      </w:pPr>
      <w:r>
        <w:t>Interrogation of the data collection instrument helps understand problems, such as the concentration of responses at £2.50 in APS 2012</w:t>
      </w:r>
      <w:r w:rsidR="00AD5471">
        <w:t>.</w:t>
      </w:r>
    </w:p>
    <w:p w14:paraId="784B9853" w14:textId="0E1C4144" w:rsidR="009576B9" w:rsidRDefault="009576B9" w:rsidP="009576B9">
      <w:pPr>
        <w:pStyle w:val="ListParagraph"/>
        <w:numPr>
          <w:ilvl w:val="0"/>
          <w:numId w:val="19"/>
        </w:numPr>
      </w:pPr>
      <w:r>
        <w:t xml:space="preserve">Processing rules </w:t>
      </w:r>
      <w:r w:rsidR="008D4A41">
        <w:t xml:space="preserve">can </w:t>
      </w:r>
      <w:r>
        <w:t>affect the outcome</w:t>
      </w:r>
      <w:r w:rsidR="00AD5471">
        <w:t>.</w:t>
      </w:r>
    </w:p>
    <w:p w14:paraId="071FAFEB" w14:textId="6300E926" w:rsidR="009576B9" w:rsidRDefault="008D4A41" w:rsidP="009576B9">
      <w:pPr>
        <w:pStyle w:val="ListParagraph"/>
        <w:numPr>
          <w:ilvl w:val="0"/>
          <w:numId w:val="19"/>
        </w:numPr>
      </w:pPr>
      <w:r>
        <w:t>Triangulating two surveys</w:t>
      </w:r>
      <w:r w:rsidR="009576B9">
        <w:t xml:space="preserve"> </w:t>
      </w:r>
      <w:r w:rsidR="001F65A4">
        <w:t xml:space="preserve">allows </w:t>
      </w:r>
      <w:r w:rsidR="009576B9">
        <w:t>common features and differences to be identified</w:t>
      </w:r>
      <w:r>
        <w:t>.</w:t>
      </w:r>
    </w:p>
    <w:p w14:paraId="65AC73CE" w14:textId="34FD38D0" w:rsidR="008D4A41" w:rsidRDefault="008D4A41" w:rsidP="009576B9">
      <w:pPr>
        <w:pStyle w:val="ListParagraph"/>
        <w:numPr>
          <w:ilvl w:val="0"/>
          <w:numId w:val="19"/>
        </w:numPr>
      </w:pPr>
      <w:r>
        <w:t xml:space="preserve">Having both surveys also allows the idea of ‘lower’ and </w:t>
      </w:r>
      <w:r w:rsidR="00AD5471">
        <w:t>‘</w:t>
      </w:r>
      <w:r>
        <w:t>upper’ bound</w:t>
      </w:r>
      <w:r w:rsidR="00AD5471">
        <w:t xml:space="preserve"> estimate</w:t>
      </w:r>
      <w:r>
        <w:t xml:space="preserve"> to be developed</w:t>
      </w:r>
      <w:r w:rsidR="00AD5471">
        <w:t>.</w:t>
      </w:r>
    </w:p>
    <w:p w14:paraId="23E390D6" w14:textId="77777777" w:rsidR="00907713" w:rsidRDefault="00660AB1" w:rsidP="006A59B0">
      <w:pPr>
        <w:pStyle w:val="Heading1"/>
      </w:pPr>
      <w:r>
        <w:t>Conclusion</w:t>
      </w:r>
      <w:r w:rsidR="00907713">
        <w:t>s</w:t>
      </w:r>
    </w:p>
    <w:p w14:paraId="40C63DAB" w14:textId="559FA582" w:rsidR="00F42F47" w:rsidRDefault="00D54763" w:rsidP="00907713">
      <w:r>
        <w:t xml:space="preserve">Measurement problems can be seen as a technical matter, of interest mainly to data producers rather than researchers, and studied by statisticians rather than end users of data. </w:t>
      </w:r>
      <w:r w:rsidR="00F42F47">
        <w:t xml:space="preserve">This paper has </w:t>
      </w:r>
      <w:r>
        <w:t>shown that a solid understanding of the data collection process can have substantial benefits for research and policy analysis.</w:t>
      </w:r>
      <w:r w:rsidR="00AD5471">
        <w:t xml:space="preserve"> We </w:t>
      </w:r>
      <w:r>
        <w:t xml:space="preserve">have </w:t>
      </w:r>
      <w:r w:rsidR="00F42F47">
        <w:t>considered an under-researched area of the literature: how can we measure the level of non-compliance with minimum wage legislation? We have taken a step-by-step process which mimics the statistical processes that turn paid wages into population estimates</w:t>
      </w:r>
      <w:r w:rsidR="00AD5471">
        <w:t xml:space="preserve">. </w:t>
      </w:r>
      <w:r w:rsidR="00D56768">
        <w:t xml:space="preserve"> </w:t>
      </w:r>
    </w:p>
    <w:p w14:paraId="1038A091" w14:textId="77777777" w:rsidR="00E00510" w:rsidRDefault="00907713" w:rsidP="00C6381A">
      <w:r>
        <w:lastRenderedPageBreak/>
        <w:t>Minimum wages are part of the social and economic landscape in an increasing number of countries. Measuring and understanding compliance is important for the success of the policy to be evaluated, and for enforcement to be effectively targeted</w:t>
      </w:r>
      <w:r w:rsidR="00D56768">
        <w:t xml:space="preserve">. The lessons learned here are particularly relevant for high-income countries where a high level of compliance means that tiny variations in data quality can lead to substantial policy differences. </w:t>
      </w:r>
    </w:p>
    <w:p w14:paraId="67748D2D" w14:textId="77777777" w:rsidR="00907713" w:rsidRDefault="00D56768" w:rsidP="00F42F47">
      <w:r>
        <w:t xml:space="preserve">Although the yes-no nature of non-compliance makes it relatively easy to demonstrate the importance of knowledge of the data, these lessons can be applied to a wider understanding of data quality. Factors such as human preferences for round numbers are hard to deal with, but a good understanding of this may allow one to develop mitigating strategies. </w:t>
      </w:r>
      <w:r w:rsidR="00907713">
        <w:t xml:space="preserve">Many </w:t>
      </w:r>
      <w:r w:rsidR="004C331A">
        <w:t xml:space="preserve">studies </w:t>
      </w:r>
      <w:r w:rsidR="00907713">
        <w:t>talk about ‘measurement error’</w:t>
      </w:r>
      <w:r w:rsidR="009745AB">
        <w:t>,</w:t>
      </w:r>
      <w:r w:rsidR="00907713">
        <w:t xml:space="preserve"> but we have demonstrated that this can be composed of </w:t>
      </w:r>
      <w:r w:rsidR="00E00510">
        <w:t>several distinct elements</w:t>
      </w:r>
      <w:r w:rsidR="00907713">
        <w:t>:</w:t>
      </w:r>
    </w:p>
    <w:p w14:paraId="7D58E185" w14:textId="77777777" w:rsidR="00907713" w:rsidRDefault="008D4A41" w:rsidP="00907713">
      <w:pPr>
        <w:pStyle w:val="ListParagraph"/>
        <w:numPr>
          <w:ilvl w:val="0"/>
          <w:numId w:val="20"/>
        </w:numPr>
      </w:pPr>
      <w:r>
        <w:t>i</w:t>
      </w:r>
      <w:r w:rsidR="00907713">
        <w:t>nappropriate samples or population estimates</w:t>
      </w:r>
    </w:p>
    <w:p w14:paraId="55D093EA" w14:textId="77777777" w:rsidR="00907713" w:rsidRDefault="008D4A41" w:rsidP="00907713">
      <w:pPr>
        <w:pStyle w:val="ListParagraph"/>
        <w:numPr>
          <w:ilvl w:val="0"/>
          <w:numId w:val="20"/>
        </w:numPr>
      </w:pPr>
      <w:r>
        <w:t>t</w:t>
      </w:r>
      <w:r w:rsidR="00907713">
        <w:t>iming</w:t>
      </w:r>
      <w:r w:rsidR="004C331A">
        <w:t xml:space="preserve"> of survey </w:t>
      </w:r>
    </w:p>
    <w:p w14:paraId="3DC767BA" w14:textId="77777777" w:rsidR="00907713" w:rsidRDefault="008D4A41" w:rsidP="00907713">
      <w:pPr>
        <w:pStyle w:val="ListParagraph"/>
        <w:numPr>
          <w:ilvl w:val="0"/>
          <w:numId w:val="20"/>
        </w:numPr>
      </w:pPr>
      <w:r>
        <w:t>i</w:t>
      </w:r>
      <w:r w:rsidR="00907713">
        <w:t>nterpretation of questions</w:t>
      </w:r>
    </w:p>
    <w:p w14:paraId="25E31DBE" w14:textId="77777777" w:rsidR="00907713" w:rsidRDefault="008D4A41" w:rsidP="00907713">
      <w:pPr>
        <w:pStyle w:val="ListParagraph"/>
        <w:numPr>
          <w:ilvl w:val="0"/>
          <w:numId w:val="20"/>
        </w:numPr>
      </w:pPr>
      <w:r>
        <w:t>a</w:t>
      </w:r>
      <w:r w:rsidR="00907713">
        <w:t>bility to answer accurately</w:t>
      </w:r>
    </w:p>
    <w:p w14:paraId="14F8CD54" w14:textId="77777777" w:rsidR="00907713" w:rsidRDefault="008D4A41" w:rsidP="00907713">
      <w:pPr>
        <w:pStyle w:val="ListParagraph"/>
        <w:numPr>
          <w:ilvl w:val="0"/>
          <w:numId w:val="20"/>
        </w:numPr>
      </w:pPr>
      <w:r>
        <w:t>w</w:t>
      </w:r>
      <w:r w:rsidR="00907713">
        <w:t>illingness to answer honestly</w:t>
      </w:r>
    </w:p>
    <w:p w14:paraId="27E9D80C" w14:textId="77777777" w:rsidR="00907713" w:rsidRDefault="008D4A41" w:rsidP="00907713">
      <w:pPr>
        <w:pStyle w:val="ListParagraph"/>
        <w:numPr>
          <w:ilvl w:val="0"/>
          <w:numId w:val="20"/>
        </w:numPr>
      </w:pPr>
      <w:r>
        <w:t>e</w:t>
      </w:r>
      <w:r w:rsidR="00907713">
        <w:t xml:space="preserve">rrors introduced by </w:t>
      </w:r>
      <w:r w:rsidR="009745AB">
        <w:t xml:space="preserve">data </w:t>
      </w:r>
      <w:r w:rsidR="00907713">
        <w:t>processing</w:t>
      </w:r>
    </w:p>
    <w:p w14:paraId="5112179B" w14:textId="4427964F" w:rsidR="00D56768" w:rsidRDefault="00907713" w:rsidP="00E00510">
      <w:r>
        <w:t xml:space="preserve">In principle, all but the last of these </w:t>
      </w:r>
      <w:r w:rsidR="009A2DF1">
        <w:t>are familiar problems, and i</w:t>
      </w:r>
      <w:r w:rsidR="00ED7603">
        <w:t xml:space="preserve">t is a natural reaction to apply statistical tools to evaluate the </w:t>
      </w:r>
      <w:r w:rsidR="008E3CDD">
        <w:t xml:space="preserve">data </w:t>
      </w:r>
      <w:r w:rsidR="009A2DF1">
        <w:t>quality</w:t>
      </w:r>
      <w:r w:rsidR="00ED7603">
        <w:t xml:space="preserve">. </w:t>
      </w:r>
      <w:r>
        <w:t xml:space="preserve">In practice, </w:t>
      </w:r>
      <w:r w:rsidR="008E3CDD">
        <w:t xml:space="preserve">as </w:t>
      </w:r>
      <w:r>
        <w:t>this paper has shown</w:t>
      </w:r>
      <w:r w:rsidR="008E3CDD">
        <w:t>,</w:t>
      </w:r>
      <w:r>
        <w:t xml:space="preserve"> addressing th</w:t>
      </w:r>
      <w:r w:rsidR="001F3D3C">
        <w:t>ese issues</w:t>
      </w:r>
      <w:r>
        <w:t xml:space="preserve"> </w:t>
      </w:r>
      <w:r w:rsidR="009A2DF1">
        <w:t>can</w:t>
      </w:r>
      <w:r w:rsidR="008E3CDD">
        <w:t xml:space="preserve"> </w:t>
      </w:r>
      <w:r>
        <w:t xml:space="preserve">require an extensive </w:t>
      </w:r>
      <w:r w:rsidR="00ED7603">
        <w:t xml:space="preserve">technical </w:t>
      </w:r>
      <w:r>
        <w:t xml:space="preserve">knowledge of </w:t>
      </w:r>
      <w:r w:rsidR="00110BC7">
        <w:t xml:space="preserve">processes, </w:t>
      </w:r>
      <w:r w:rsidR="009745AB">
        <w:t>coupled with a considerable amount of</w:t>
      </w:r>
      <w:r w:rsidR="00110BC7">
        <w:t xml:space="preserve"> </w:t>
      </w:r>
      <w:r w:rsidR="0087488C">
        <w:t>‘</w:t>
      </w:r>
      <w:r w:rsidR="00110BC7">
        <w:t>detective work</w:t>
      </w:r>
      <w:r w:rsidR="0087488C">
        <w:t>’</w:t>
      </w:r>
      <w:r w:rsidR="00110BC7">
        <w:t>.</w:t>
      </w:r>
      <w:r w:rsidR="007B5B5E" w:rsidRPr="007B5B5E">
        <w:t xml:space="preserve"> </w:t>
      </w:r>
      <w:r w:rsidR="008E3CDD">
        <w:t>In the case of non-compliance</w:t>
      </w:r>
      <w:r w:rsidR="0087488C">
        <w:t xml:space="preserve"> with the minimum wage</w:t>
      </w:r>
      <w:r w:rsidR="008E3CDD">
        <w:t>, qualit</w:t>
      </w:r>
      <w:r w:rsidR="00C6381A">
        <w:t>ati</w:t>
      </w:r>
      <w:r w:rsidR="008E3CDD">
        <w:t xml:space="preserve">ve studies </w:t>
      </w:r>
      <w:r w:rsidR="0087488C">
        <w:t>(</w:t>
      </w:r>
      <w:r w:rsidR="0011526A">
        <w:t>40</w:t>
      </w:r>
      <w:r w:rsidR="008E3CDD">
        <w:t>)</w:t>
      </w:r>
      <w:r w:rsidR="0087488C">
        <w:t xml:space="preserve"> can also be</w:t>
      </w:r>
      <w:r w:rsidR="00E00510">
        <w:t xml:space="preserve"> invaluable in guiding statistical analysis to find weak points in the data.</w:t>
      </w:r>
      <w:r w:rsidR="00C6381A">
        <w:t xml:space="preserve"> The </w:t>
      </w:r>
      <w:r w:rsidR="001F3D3C">
        <w:t xml:space="preserve">paper has also illustrated the </w:t>
      </w:r>
      <w:r w:rsidR="00C6381A">
        <w:t>compromises between data detail and accuracy</w:t>
      </w:r>
      <w:r w:rsidR="001F3D3C">
        <w:t>; more information does not necessarily equal better</w:t>
      </w:r>
      <w:r w:rsidR="0087488C">
        <w:t xml:space="preserve"> information</w:t>
      </w:r>
      <w:r w:rsidR="001F3D3C">
        <w:t>.</w:t>
      </w:r>
    </w:p>
    <w:p w14:paraId="3E206795" w14:textId="3573A9FE" w:rsidR="00E00510" w:rsidRDefault="001F3D3C" w:rsidP="00E00510">
      <w:r>
        <w:lastRenderedPageBreak/>
        <w:t>Finally, t</w:t>
      </w:r>
      <w:r w:rsidR="00E00510">
        <w:t xml:space="preserve">he analysis of non-compliance has thrown the value of triangulation into sharp relief. Just as </w:t>
      </w:r>
      <w:proofErr w:type="spellStart"/>
      <w:r w:rsidR="00E00510">
        <w:t>G</w:t>
      </w:r>
      <w:r w:rsidR="0087488C">
        <w:t>r</w:t>
      </w:r>
      <w:r w:rsidR="00E00510">
        <w:t>amlich</w:t>
      </w:r>
      <w:proofErr w:type="spellEnd"/>
      <w:r w:rsidR="00E00510">
        <w:t xml:space="preserve"> et al (</w:t>
      </w:r>
      <w:r w:rsidR="0011526A">
        <w:t>14</w:t>
      </w:r>
      <w:r w:rsidR="00E00510">
        <w:t xml:space="preserve">) found forty years ago, the ability to compare </w:t>
      </w:r>
      <w:r>
        <w:t>multiple data sources</w:t>
      </w:r>
      <w:r w:rsidR="00E00510">
        <w:t xml:space="preserve"> has been invaluable.</w:t>
      </w:r>
      <w:r w:rsidR="00D56768">
        <w:t xml:space="preserve"> This is likely to become even more relevant as governments and regulators increasingly rely upon administrative data. </w:t>
      </w:r>
    </w:p>
    <w:p w14:paraId="7C328389" w14:textId="77777777" w:rsidR="007C7F69" w:rsidRDefault="009C4CCD" w:rsidP="006A59B0">
      <w:pPr>
        <w:pStyle w:val="Heading1"/>
      </w:pPr>
      <w:r>
        <w:t>References</w:t>
      </w:r>
    </w:p>
    <w:p w14:paraId="0E17BC5B" w14:textId="3FA1B425" w:rsidR="0049342B" w:rsidRPr="00F14890" w:rsidRDefault="0049342B" w:rsidP="0011526A">
      <w:r w:rsidRPr="00F14890">
        <w:t xml:space="preserve">[1] </w:t>
      </w:r>
      <w:proofErr w:type="spellStart"/>
      <w:r w:rsidRPr="00F14890">
        <w:t>Garnero</w:t>
      </w:r>
      <w:proofErr w:type="spellEnd"/>
      <w:r w:rsidRPr="00F14890">
        <w:t xml:space="preserve">, A., </w:t>
      </w:r>
      <w:proofErr w:type="spellStart"/>
      <w:r w:rsidRPr="00F14890">
        <w:t>Kampelmann</w:t>
      </w:r>
      <w:proofErr w:type="spellEnd"/>
      <w:r w:rsidRPr="00F14890">
        <w:t xml:space="preserve">, S., &amp; </w:t>
      </w:r>
      <w:proofErr w:type="spellStart"/>
      <w:r w:rsidRPr="00F14890">
        <w:t>Rycx</w:t>
      </w:r>
      <w:proofErr w:type="spellEnd"/>
      <w:r w:rsidRPr="00F14890">
        <w:t xml:space="preserve">, F. (2015a). “Minimum wage systems and earnings inequalities: Does institutional diversity matter?” European Journal of Industrial Relations, </w:t>
      </w:r>
      <w:proofErr w:type="gramStart"/>
      <w:r w:rsidRPr="00F14890">
        <w:t>v21(</w:t>
      </w:r>
      <w:proofErr w:type="gramEnd"/>
      <w:r w:rsidRPr="00F14890">
        <w:t>2) pp115–130</w:t>
      </w:r>
    </w:p>
    <w:p w14:paraId="45490FED" w14:textId="1EF4D343" w:rsidR="0049342B" w:rsidRPr="00F14890" w:rsidRDefault="0049342B" w:rsidP="0011526A">
      <w:r w:rsidRPr="00F14890">
        <w:t xml:space="preserve">[2] </w:t>
      </w:r>
      <w:r w:rsidRPr="00F14890">
        <w:t xml:space="preserve">OECD (2015) Minimum wages after the crisis: making them pay. </w:t>
      </w:r>
      <w:proofErr w:type="gramStart"/>
      <w:r w:rsidRPr="00F14890">
        <w:t>OECD Directorate for Employment, Labour and Social Affairs.</w:t>
      </w:r>
      <w:proofErr w:type="gramEnd"/>
      <w:r w:rsidRPr="00F14890">
        <w:t xml:space="preserve"> </w:t>
      </w:r>
      <w:proofErr w:type="gramStart"/>
      <w:r w:rsidRPr="00F14890">
        <w:t>May.</w:t>
      </w:r>
      <w:proofErr w:type="gramEnd"/>
      <w:r w:rsidRPr="00F14890">
        <w:t xml:space="preserve">  </w:t>
      </w:r>
      <w:hyperlink r:id="rId11" w:history="1">
        <w:r w:rsidRPr="00F14890">
          <w:rPr>
            <w:rStyle w:val="Hyperlink"/>
          </w:rPr>
          <w:t>http://www.oecd.org/social/Focus-on-Minimum-Wages-after-the-crisis-2015.pdf</w:t>
        </w:r>
      </w:hyperlink>
      <w:r w:rsidRPr="00F14890">
        <w:t xml:space="preserve"> </w:t>
      </w:r>
    </w:p>
    <w:p w14:paraId="3A5294A9" w14:textId="0D1DDF08" w:rsidR="0049342B" w:rsidRPr="00F14890" w:rsidRDefault="0049342B" w:rsidP="0011526A">
      <w:r w:rsidRPr="00F14890">
        <w:t xml:space="preserve">[3] </w:t>
      </w:r>
      <w:r w:rsidRPr="00F14890">
        <w:t>Osborne G. (2015) Summer Budget Speech. 8</w:t>
      </w:r>
      <w:r w:rsidRPr="00F14890">
        <w:rPr>
          <w:vertAlign w:val="superscript"/>
        </w:rPr>
        <w:t>th</w:t>
      </w:r>
      <w:r w:rsidRPr="00F14890">
        <w:t xml:space="preserve"> July. </w:t>
      </w:r>
      <w:hyperlink r:id="rId12" w:history="1">
        <w:r w:rsidRPr="00F14890">
          <w:rPr>
            <w:rStyle w:val="Hyperlink"/>
          </w:rPr>
          <w:t>https://www.gov.uk/government/speeches/chancellor-george-osbornes-summer-budget-2015-speech</w:t>
        </w:r>
      </w:hyperlink>
      <w:r w:rsidRPr="00F14890">
        <w:t xml:space="preserve"> </w:t>
      </w:r>
    </w:p>
    <w:p w14:paraId="3A1589C4" w14:textId="6752F9C5" w:rsidR="0049342B" w:rsidRPr="00F14890" w:rsidRDefault="0049342B" w:rsidP="0011526A">
      <w:r w:rsidRPr="00F14890">
        <w:t xml:space="preserve">[4] </w:t>
      </w:r>
      <w:proofErr w:type="spellStart"/>
      <w:r w:rsidRPr="00F14890">
        <w:t>Kampelmann</w:t>
      </w:r>
      <w:proofErr w:type="spellEnd"/>
      <w:r w:rsidRPr="00F14890">
        <w:t xml:space="preserve">, S., </w:t>
      </w:r>
      <w:proofErr w:type="spellStart"/>
      <w:r w:rsidRPr="00F14890">
        <w:t>Garnero</w:t>
      </w:r>
      <w:proofErr w:type="spellEnd"/>
      <w:r w:rsidRPr="00F14890">
        <w:t xml:space="preserve">, A., &amp; </w:t>
      </w:r>
      <w:proofErr w:type="spellStart"/>
      <w:r w:rsidRPr="00F14890">
        <w:t>Rycx</w:t>
      </w:r>
      <w:proofErr w:type="spellEnd"/>
      <w:r w:rsidRPr="00F14890">
        <w:t xml:space="preserve">, F. (2013). </w:t>
      </w:r>
      <w:r w:rsidRPr="00F14890">
        <w:rPr>
          <w:iCs/>
        </w:rPr>
        <w:t>Minimum wages in Europe: does the diversity of systems lead to a diversity of outcomes?</w:t>
      </w:r>
      <w:r w:rsidRPr="00F14890">
        <w:t xml:space="preserve"> ETUI, European Trade Union Institute.</w:t>
      </w:r>
    </w:p>
    <w:p w14:paraId="1C99AADB" w14:textId="7BA3AB38" w:rsidR="00F14890" w:rsidRPr="00F14890" w:rsidRDefault="0049342B" w:rsidP="0011526A">
      <w:r w:rsidRPr="00F14890">
        <w:rPr>
          <w:iCs/>
        </w:rPr>
        <w:t>[5]</w:t>
      </w:r>
      <w:r w:rsidR="007F4C09">
        <w:rPr>
          <w:iCs/>
        </w:rPr>
        <w:t xml:space="preserve"> </w:t>
      </w:r>
      <w:r w:rsidR="00F14890" w:rsidRPr="00F14890">
        <w:rPr>
          <w:iCs/>
        </w:rPr>
        <w:t xml:space="preserve">Bureau of </w:t>
      </w:r>
      <w:proofErr w:type="spellStart"/>
      <w:r w:rsidR="00F14890" w:rsidRPr="00F14890">
        <w:rPr>
          <w:iCs/>
        </w:rPr>
        <w:t>Labor</w:t>
      </w:r>
      <w:proofErr w:type="spellEnd"/>
      <w:r w:rsidR="00F14890" w:rsidRPr="00F14890">
        <w:rPr>
          <w:iCs/>
        </w:rPr>
        <w:t xml:space="preserve"> Statistics (2017) </w:t>
      </w:r>
      <w:r w:rsidR="00F14890" w:rsidRPr="00F14890">
        <w:t>Characteristics of minimum wage workers, 2016</w:t>
      </w:r>
      <w:r w:rsidR="00F14890" w:rsidRPr="00F14890">
        <w:t xml:space="preserve">. BLS Report no. 1067, April. </w:t>
      </w:r>
      <w:hyperlink r:id="rId13" w:history="1">
        <w:r w:rsidR="00F14890" w:rsidRPr="00F14890">
          <w:rPr>
            <w:rStyle w:val="Hyperlink"/>
          </w:rPr>
          <w:t>https://www.bls.gov/opub/reports/minimum-wage/2016/home.htm</w:t>
        </w:r>
      </w:hyperlink>
      <w:r w:rsidR="00F14890" w:rsidRPr="00F14890">
        <w:t xml:space="preserve"> </w:t>
      </w:r>
    </w:p>
    <w:p w14:paraId="5D7EB019" w14:textId="4DA1580F" w:rsidR="00F14890" w:rsidRPr="00F14890" w:rsidRDefault="00F14890" w:rsidP="0011526A">
      <w:r w:rsidRPr="00F14890">
        <w:t xml:space="preserve">[6] </w:t>
      </w:r>
      <w:r w:rsidRPr="00F14890">
        <w:t>DLNZ (2010) Minimum Wage Review 2010: Officials’ Report. Department of Labour, New Zealand</w:t>
      </w:r>
    </w:p>
    <w:p w14:paraId="2AB06F0F" w14:textId="41BC0779" w:rsidR="00F14890" w:rsidRPr="00F14890" w:rsidRDefault="00F14890" w:rsidP="0011526A">
      <w:bookmarkStart w:id="0" w:name="_GoBack"/>
      <w:bookmarkEnd w:id="0"/>
      <w:r w:rsidRPr="00F14890">
        <w:t xml:space="preserve">[7] </w:t>
      </w:r>
      <w:proofErr w:type="spellStart"/>
      <w:r w:rsidRPr="00F14890">
        <w:t>Nelms</w:t>
      </w:r>
      <w:proofErr w:type="spellEnd"/>
      <w:r w:rsidRPr="00F14890">
        <w:t xml:space="preserve"> L., Nicholson P. and Wheatley T. (2011) Employees earning below the Federal Minimum Wage: Review of data, characteristics and potential explanatory factors. Minimum Wages and Research Branch—Fair Work Australia</w:t>
      </w:r>
    </w:p>
    <w:p w14:paraId="13707804" w14:textId="60A93915" w:rsidR="00F14890" w:rsidRPr="00F14890" w:rsidRDefault="00F14890" w:rsidP="0011526A">
      <w:r>
        <w:lastRenderedPageBreak/>
        <w:t xml:space="preserve">[8] </w:t>
      </w:r>
      <w:r w:rsidRPr="00F14890">
        <w:t>Metcalf, D. (2007). Why has the British national minimum wage had little or no impact on employment? Centre for Economic Performance Discussion Paper no. 781, London School of Economics</w:t>
      </w:r>
    </w:p>
    <w:p w14:paraId="1826E40C" w14:textId="56FFCB3F" w:rsidR="00F14890" w:rsidRPr="00F14890" w:rsidRDefault="00F14890" w:rsidP="0011526A">
      <w:r>
        <w:t xml:space="preserve">[9] </w:t>
      </w:r>
      <w:r w:rsidRPr="00F14890">
        <w:t>Ram M., Edwards P. and Jones T. (2004) Informal Employment, Small Firms and the National Minimum Wage. Report to the Low Pay Commission, September.</w:t>
      </w:r>
    </w:p>
    <w:p w14:paraId="27075DE1" w14:textId="2E2509F4" w:rsidR="00F14890" w:rsidRPr="00F14890" w:rsidRDefault="00F14890" w:rsidP="0011526A">
      <w:r>
        <w:t xml:space="preserve">[10] </w:t>
      </w:r>
      <w:r w:rsidRPr="00F14890">
        <w:t xml:space="preserve">Ram M., Edwards P. and </w:t>
      </w:r>
      <w:proofErr w:type="spellStart"/>
      <w:r w:rsidRPr="00F14890">
        <w:t>Meardi</w:t>
      </w:r>
      <w:proofErr w:type="spellEnd"/>
      <w:r w:rsidRPr="00F14890">
        <w:t xml:space="preserve"> G. (2017) Non-compliance and the National Living Wage: Case Study Evidence from Ethnic Minority and Migrant-Owned Businesses. </w:t>
      </w:r>
      <w:proofErr w:type="gramStart"/>
      <w:r w:rsidRPr="00F14890">
        <w:t>Presentation to the Low Pay Commission Research Workshop, April.</w:t>
      </w:r>
      <w:proofErr w:type="gramEnd"/>
    </w:p>
    <w:p w14:paraId="4018C342" w14:textId="476E3060" w:rsidR="00F14890" w:rsidRDefault="00F14890" w:rsidP="0011526A">
      <w:r>
        <w:t>[11] Department for Business Enterprise and Skills</w:t>
      </w:r>
      <w:r w:rsidRPr="00F14890">
        <w:t xml:space="preserve"> (2017) </w:t>
      </w:r>
      <w:proofErr w:type="gramStart"/>
      <w:r w:rsidRPr="00F14890">
        <w:t>The</w:t>
      </w:r>
      <w:proofErr w:type="gramEnd"/>
      <w:r w:rsidRPr="00F14890">
        <w:t xml:space="preserve"> extent and nature of NMW underpayment in the informal economy. </w:t>
      </w:r>
      <w:proofErr w:type="gramStart"/>
      <w:r>
        <w:t>BEIS Research Paper no. 16.</w:t>
      </w:r>
      <w:proofErr w:type="gramEnd"/>
      <w:r>
        <w:t xml:space="preserve"> </w:t>
      </w:r>
      <w:hyperlink r:id="rId14" w:history="1">
        <w:r w:rsidRPr="00C93B10">
          <w:rPr>
            <w:rStyle w:val="Hyperlink"/>
          </w:rPr>
          <w:t>https://www.gov.uk/government/uploads/system/uploads/attachment_data/file/637004/minimum-wage-underpayment-in-informal-economy.pdf</w:t>
        </w:r>
      </w:hyperlink>
      <w:r>
        <w:t xml:space="preserve"> </w:t>
      </w:r>
      <w:r w:rsidRPr="00F14890">
        <w:t xml:space="preserve"> </w:t>
      </w:r>
      <w:r>
        <w:t xml:space="preserve"> </w:t>
      </w:r>
    </w:p>
    <w:p w14:paraId="6AC93C56" w14:textId="451C9645" w:rsidR="00233F61" w:rsidRPr="00F14890" w:rsidRDefault="00233F61" w:rsidP="0011526A">
      <w:r>
        <w:t xml:space="preserve">[12] </w:t>
      </w:r>
      <w:proofErr w:type="spellStart"/>
      <w:r w:rsidRPr="00F14890">
        <w:t>Belman</w:t>
      </w:r>
      <w:proofErr w:type="spellEnd"/>
      <w:r w:rsidRPr="00F14890">
        <w:t xml:space="preserve"> D. and Wolfson P. (2014) </w:t>
      </w:r>
      <w:proofErr w:type="gramStart"/>
      <w:r w:rsidRPr="00F14890">
        <w:t>What</w:t>
      </w:r>
      <w:proofErr w:type="gramEnd"/>
      <w:r w:rsidRPr="00F14890">
        <w:t xml:space="preserve"> does the minimum wage do? Kalamazoo: Upjohn Institute</w:t>
      </w:r>
    </w:p>
    <w:p w14:paraId="19DCFCA5" w14:textId="4DD4FCDD" w:rsidR="00233F61" w:rsidRPr="00F14890" w:rsidRDefault="00233F61" w:rsidP="0011526A">
      <w:r>
        <w:t xml:space="preserve">[13] </w:t>
      </w:r>
      <w:r w:rsidRPr="00F14890">
        <w:t xml:space="preserve">IPSOS-MORI (2012) Non-compliance with the National Minimum Wage. </w:t>
      </w:r>
      <w:proofErr w:type="gramStart"/>
      <w:r w:rsidRPr="00F14890">
        <w:t>Research for the Low Pay Commission.</w:t>
      </w:r>
      <w:proofErr w:type="gramEnd"/>
      <w:r w:rsidRPr="00F14890">
        <w:t xml:space="preserve"> </w:t>
      </w:r>
      <w:proofErr w:type="gramStart"/>
      <w:r w:rsidRPr="00F14890">
        <w:t>February.</w:t>
      </w:r>
      <w:proofErr w:type="gramEnd"/>
    </w:p>
    <w:p w14:paraId="6D191C17" w14:textId="67A2857F" w:rsidR="00233F61" w:rsidRPr="00F14890" w:rsidRDefault="00233F61" w:rsidP="0011526A">
      <w:r>
        <w:t xml:space="preserve">[14] </w:t>
      </w:r>
      <w:proofErr w:type="spellStart"/>
      <w:r w:rsidRPr="00F14890">
        <w:t>Gramlich</w:t>
      </w:r>
      <w:proofErr w:type="spellEnd"/>
      <w:r w:rsidRPr="00F14890">
        <w:t xml:space="preserve">, E., Flanagan R., and </w:t>
      </w:r>
      <w:proofErr w:type="spellStart"/>
      <w:r w:rsidRPr="00F14890">
        <w:t>Wachter</w:t>
      </w:r>
      <w:proofErr w:type="spellEnd"/>
      <w:r w:rsidRPr="00F14890">
        <w:t xml:space="preserve"> M. (1976) "Impact of minimum wages on other wages, employment, and family incomes." </w:t>
      </w:r>
      <w:r w:rsidRPr="00F14890">
        <w:rPr>
          <w:iCs/>
        </w:rPr>
        <w:t>Brookings Papers on Economic Activity</w:t>
      </w:r>
      <w:r w:rsidRPr="00F14890">
        <w:t>, 409-461.</w:t>
      </w:r>
    </w:p>
    <w:p w14:paraId="38ED18C1" w14:textId="60E83A04" w:rsidR="00493F06" w:rsidRPr="00F14890" w:rsidRDefault="00233F61" w:rsidP="0011526A">
      <w:r>
        <w:t xml:space="preserve">[15] </w:t>
      </w:r>
      <w:proofErr w:type="spellStart"/>
      <w:r w:rsidR="009C4CCD" w:rsidRPr="00F14890">
        <w:t>Ashenfelter</w:t>
      </w:r>
      <w:proofErr w:type="spellEnd"/>
      <w:r w:rsidR="009C4CCD" w:rsidRPr="00F14890">
        <w:t>, O, and Smith</w:t>
      </w:r>
      <w:r w:rsidR="00A71F9F" w:rsidRPr="00F14890">
        <w:t xml:space="preserve"> R. (</w:t>
      </w:r>
      <w:r w:rsidR="009C4CCD" w:rsidRPr="00F14890">
        <w:t>1979</w:t>
      </w:r>
      <w:r w:rsidR="00A71F9F" w:rsidRPr="00F14890">
        <w:t>)</w:t>
      </w:r>
      <w:r w:rsidR="009C4CCD" w:rsidRPr="00F14890">
        <w:t xml:space="preserve"> “Compliance with the Minimum Wage Law”. </w:t>
      </w:r>
      <w:proofErr w:type="gramStart"/>
      <w:r w:rsidR="009C4CCD" w:rsidRPr="00F14890">
        <w:rPr>
          <w:iCs/>
        </w:rPr>
        <w:t>Journal of Political Economy</w:t>
      </w:r>
      <w:r w:rsidR="009C4CCD" w:rsidRPr="00F14890">
        <w:t xml:space="preserve"> 87 (2).</w:t>
      </w:r>
      <w:proofErr w:type="gramEnd"/>
      <w:r w:rsidR="009C4CCD" w:rsidRPr="00F14890">
        <w:t xml:space="preserve"> University of Chicago Press: 333–50.</w:t>
      </w:r>
    </w:p>
    <w:p w14:paraId="4207225C" w14:textId="4806A656" w:rsidR="00233F61" w:rsidRPr="00F14890" w:rsidRDefault="00233F61" w:rsidP="0011526A">
      <w:r>
        <w:t xml:space="preserve">[16] </w:t>
      </w:r>
      <w:r w:rsidRPr="00F14890">
        <w:t xml:space="preserve">Kennan, J. (1995). </w:t>
      </w:r>
      <w:proofErr w:type="gramStart"/>
      <w:r w:rsidRPr="00F14890">
        <w:t>The elusive effects of minimum wages.</w:t>
      </w:r>
      <w:proofErr w:type="gramEnd"/>
      <w:r w:rsidRPr="00F14890">
        <w:t xml:space="preserve"> </w:t>
      </w:r>
      <w:r w:rsidRPr="00F14890">
        <w:rPr>
          <w:iCs/>
        </w:rPr>
        <w:t>Journal of Economic Literature</w:t>
      </w:r>
      <w:r w:rsidRPr="00F14890">
        <w:t>, 1950-1965.</w:t>
      </w:r>
    </w:p>
    <w:p w14:paraId="3C767C33" w14:textId="422806E3" w:rsidR="00233F61" w:rsidRPr="00F14890" w:rsidRDefault="00233F61" w:rsidP="0011526A">
      <w:r>
        <w:lastRenderedPageBreak/>
        <w:t xml:space="preserve">[17] </w:t>
      </w:r>
      <w:r w:rsidRPr="00F14890">
        <w:t xml:space="preserve">Dickens, R., Machin, S., &amp; Manning, A. (1999). The effects of minimum wages on employment: Theory and evidence from Britain. </w:t>
      </w:r>
      <w:r w:rsidRPr="00F14890">
        <w:rPr>
          <w:iCs/>
        </w:rPr>
        <w:t xml:space="preserve">Journal of </w:t>
      </w:r>
      <w:proofErr w:type="spellStart"/>
      <w:r w:rsidRPr="00F14890">
        <w:rPr>
          <w:iCs/>
        </w:rPr>
        <w:t>Labor</w:t>
      </w:r>
      <w:proofErr w:type="spellEnd"/>
      <w:r w:rsidRPr="00F14890">
        <w:rPr>
          <w:iCs/>
        </w:rPr>
        <w:t xml:space="preserve"> Economics</w:t>
      </w:r>
      <w:r w:rsidRPr="00F14890">
        <w:t xml:space="preserve">, </w:t>
      </w:r>
      <w:r w:rsidRPr="00F14890">
        <w:rPr>
          <w:iCs/>
        </w:rPr>
        <w:t>17</w:t>
      </w:r>
      <w:r w:rsidRPr="00F14890">
        <w:t>(1), 1-22.</w:t>
      </w:r>
    </w:p>
    <w:p w14:paraId="28877CE2" w14:textId="149CFD8C" w:rsidR="00233F61" w:rsidRPr="00F14890" w:rsidRDefault="00233F61" w:rsidP="0011526A">
      <w:r>
        <w:t xml:space="preserve">[18] </w:t>
      </w:r>
      <w:r w:rsidRPr="00F14890">
        <w:t xml:space="preserve">Dickens, R., &amp; Manning, A. (2004). Has the national minimum wage reduced UK wage inequality? </w:t>
      </w:r>
      <w:r w:rsidRPr="00F14890">
        <w:rPr>
          <w:iCs/>
        </w:rPr>
        <w:t>Journal of the Royal Statistical Society: Series A (Statistics in Society)</w:t>
      </w:r>
      <w:r w:rsidRPr="00F14890">
        <w:t xml:space="preserve">, </w:t>
      </w:r>
      <w:r w:rsidRPr="00F14890">
        <w:rPr>
          <w:iCs/>
        </w:rPr>
        <w:t>167</w:t>
      </w:r>
      <w:r w:rsidRPr="00F14890">
        <w:t>(4), 613-626.</w:t>
      </w:r>
    </w:p>
    <w:p w14:paraId="05071FD4" w14:textId="65B7977C" w:rsidR="00233F61" w:rsidRPr="00F14890" w:rsidRDefault="00233F61" w:rsidP="0011526A">
      <w:r>
        <w:t xml:space="preserve">[19] </w:t>
      </w:r>
      <w:proofErr w:type="spellStart"/>
      <w:r w:rsidRPr="00F14890">
        <w:t>Croucher</w:t>
      </w:r>
      <w:proofErr w:type="spellEnd"/>
      <w:r w:rsidRPr="00F14890">
        <w:t xml:space="preserve"> R and White G (2004), Enforcing the Minimum Wage: The Experience of Workers and Employers, Research Report for the Low Pay Commission</w:t>
      </w:r>
    </w:p>
    <w:p w14:paraId="39575D49" w14:textId="4F3B4FA8" w:rsidR="00233F61" w:rsidRPr="00F14890" w:rsidRDefault="00233F61" w:rsidP="0011526A">
      <w:r>
        <w:t xml:space="preserve">[20] </w:t>
      </w:r>
      <w:r w:rsidRPr="00F14890">
        <w:t xml:space="preserve">Weil, D. (2005). Public enforcement/private monitoring: Evaluating a new approach to regulating the minimum wage. </w:t>
      </w:r>
      <w:r w:rsidRPr="00F14890">
        <w:rPr>
          <w:iCs/>
        </w:rPr>
        <w:t xml:space="preserve">Industrial &amp; </w:t>
      </w:r>
      <w:proofErr w:type="spellStart"/>
      <w:r w:rsidRPr="00F14890">
        <w:rPr>
          <w:iCs/>
        </w:rPr>
        <w:t>Labor</w:t>
      </w:r>
      <w:proofErr w:type="spellEnd"/>
      <w:r w:rsidRPr="00F14890">
        <w:rPr>
          <w:iCs/>
        </w:rPr>
        <w:t xml:space="preserve"> Relations Review</w:t>
      </w:r>
      <w:r w:rsidRPr="00F14890">
        <w:t xml:space="preserve">, </w:t>
      </w:r>
      <w:r w:rsidRPr="00F14890">
        <w:rPr>
          <w:iCs/>
        </w:rPr>
        <w:t>58</w:t>
      </w:r>
      <w:r w:rsidRPr="00F14890">
        <w:t>(2), 238-257.</w:t>
      </w:r>
    </w:p>
    <w:p w14:paraId="0F2DBE7F" w14:textId="132138D0" w:rsidR="00233F61" w:rsidRPr="00F14890" w:rsidRDefault="00233F61" w:rsidP="0011526A">
      <w:r>
        <w:t xml:space="preserve">[21] </w:t>
      </w:r>
      <w:r w:rsidRPr="00F14890">
        <w:t xml:space="preserve">le Roux S., </w:t>
      </w:r>
      <w:proofErr w:type="spellStart"/>
      <w:r w:rsidRPr="00F14890">
        <w:t>Lucchino</w:t>
      </w:r>
      <w:proofErr w:type="spellEnd"/>
      <w:r w:rsidRPr="00F14890">
        <w:t xml:space="preserve"> P. and Wilkinson D. (2013) </w:t>
      </w:r>
      <w:proofErr w:type="gramStart"/>
      <w:r w:rsidRPr="00F14890">
        <w:t>An</w:t>
      </w:r>
      <w:proofErr w:type="gramEnd"/>
      <w:r w:rsidRPr="00F14890">
        <w:t xml:space="preserve"> investigation into the extent of non-compliance with the national minimum wage. Report for the Low Pay Commission, London.</w:t>
      </w:r>
    </w:p>
    <w:p w14:paraId="20D0B0DA" w14:textId="7C8D4EA3" w:rsidR="00233F61" w:rsidRPr="00F14890" w:rsidRDefault="00233F61" w:rsidP="0011526A">
      <w:pPr>
        <w:rPr>
          <w:iCs/>
        </w:rPr>
      </w:pPr>
      <w:r>
        <w:t xml:space="preserve">[22] </w:t>
      </w:r>
      <w:proofErr w:type="spellStart"/>
      <w:r w:rsidRPr="00F14890">
        <w:t>Garnero</w:t>
      </w:r>
      <w:proofErr w:type="spellEnd"/>
      <w:r w:rsidRPr="00F14890">
        <w:t xml:space="preserve">, A., </w:t>
      </w:r>
      <w:proofErr w:type="spellStart"/>
      <w:r w:rsidRPr="00F14890">
        <w:t>Kampelmann</w:t>
      </w:r>
      <w:proofErr w:type="spellEnd"/>
      <w:r w:rsidRPr="00F14890">
        <w:t xml:space="preserve">, S., &amp; </w:t>
      </w:r>
      <w:proofErr w:type="spellStart"/>
      <w:r w:rsidRPr="00F14890">
        <w:t>Rycx</w:t>
      </w:r>
      <w:proofErr w:type="spellEnd"/>
      <w:r w:rsidRPr="00F14890">
        <w:t>, F. (2015</w:t>
      </w:r>
      <w:r>
        <w:t>b</w:t>
      </w:r>
      <w:r w:rsidRPr="00F14890">
        <w:t xml:space="preserve">) “Sharp Teeth or Empty Mouths? </w:t>
      </w:r>
      <w:proofErr w:type="gramStart"/>
      <w:r w:rsidRPr="00F14890">
        <w:t>European Institutional Diversity and the Sector-Level Minimum Wage Bite”.</w:t>
      </w:r>
      <w:proofErr w:type="gramEnd"/>
      <w:r w:rsidRPr="00F14890">
        <w:t xml:space="preserve"> British Journal of Industrial Relations </w:t>
      </w:r>
      <w:proofErr w:type="spellStart"/>
      <w:r w:rsidRPr="00F14890">
        <w:t>doi</w:t>
      </w:r>
      <w:proofErr w:type="spellEnd"/>
      <w:r w:rsidRPr="00F14890">
        <w:t xml:space="preserve">: 10.1111/bjir.12104 53:4 December pp. 760–788 </w:t>
      </w:r>
    </w:p>
    <w:p w14:paraId="5E84F574" w14:textId="540EC391" w:rsidR="00233F61" w:rsidRPr="00F14890" w:rsidRDefault="00233F61" w:rsidP="0011526A">
      <w:r>
        <w:t xml:space="preserve">[23] </w:t>
      </w:r>
      <w:r w:rsidRPr="00F14890">
        <w:t xml:space="preserve">Ye, L., </w:t>
      </w:r>
      <w:proofErr w:type="spellStart"/>
      <w:r w:rsidRPr="00F14890">
        <w:t>Gindling</w:t>
      </w:r>
      <w:proofErr w:type="spellEnd"/>
      <w:r w:rsidRPr="00F14890">
        <w:t xml:space="preserve">, T. H., &amp; Li, S. (2015). Compliance with legal minimum wages and overtime pay regulations in China. </w:t>
      </w:r>
      <w:r w:rsidRPr="00F14890">
        <w:rPr>
          <w:iCs/>
        </w:rPr>
        <w:t xml:space="preserve">IZA Journal of </w:t>
      </w:r>
      <w:proofErr w:type="spellStart"/>
      <w:r w:rsidRPr="00F14890">
        <w:rPr>
          <w:iCs/>
        </w:rPr>
        <w:t>Labor</w:t>
      </w:r>
      <w:proofErr w:type="spellEnd"/>
      <w:r w:rsidRPr="00F14890">
        <w:rPr>
          <w:iCs/>
        </w:rPr>
        <w:t xml:space="preserve"> &amp; Development</w:t>
      </w:r>
      <w:r w:rsidRPr="00F14890">
        <w:t xml:space="preserve">, </w:t>
      </w:r>
      <w:r w:rsidRPr="00F14890">
        <w:rPr>
          <w:iCs/>
        </w:rPr>
        <w:t>4</w:t>
      </w:r>
      <w:r w:rsidRPr="00F14890">
        <w:t>(1), 1-35.</w:t>
      </w:r>
    </w:p>
    <w:p w14:paraId="469B8C45" w14:textId="5622DE8D" w:rsidR="00233F61" w:rsidRPr="00F14890" w:rsidRDefault="00233F61" w:rsidP="0011526A">
      <w:r>
        <w:t xml:space="preserve">[24] </w:t>
      </w:r>
      <w:proofErr w:type="spellStart"/>
      <w:r w:rsidRPr="00F14890">
        <w:t>Strobl</w:t>
      </w:r>
      <w:proofErr w:type="spellEnd"/>
      <w:r w:rsidRPr="00F14890">
        <w:t xml:space="preserve">, E., &amp; Walsh, F. (2003). Minimum Wages and Compliance: The Case of Trinidad and Tobago*. </w:t>
      </w:r>
      <w:r w:rsidRPr="00F14890">
        <w:rPr>
          <w:iCs/>
        </w:rPr>
        <w:t>Economic Development and Cultural Change</w:t>
      </w:r>
      <w:r w:rsidRPr="00F14890">
        <w:t xml:space="preserve">, </w:t>
      </w:r>
      <w:r w:rsidRPr="00F14890">
        <w:rPr>
          <w:iCs/>
        </w:rPr>
        <w:t>51</w:t>
      </w:r>
      <w:r w:rsidRPr="00F14890">
        <w:t>(2), 427-450.</w:t>
      </w:r>
    </w:p>
    <w:p w14:paraId="201EBC19" w14:textId="04EF5D78" w:rsidR="00233F61" w:rsidRPr="00F14890" w:rsidRDefault="00233F61" w:rsidP="0011526A">
      <w:r>
        <w:t xml:space="preserve">[25] </w:t>
      </w:r>
      <w:r w:rsidRPr="00F14890">
        <w:t xml:space="preserve">Yamada, H. (2012). Non‐compliance with the Minimum Wage Law when Completely New Minimum Wage Laws Are Established: The Case of South Africa. </w:t>
      </w:r>
      <w:r w:rsidRPr="00F14890">
        <w:rPr>
          <w:iCs/>
        </w:rPr>
        <w:t>African Development Review</w:t>
      </w:r>
      <w:r w:rsidRPr="00F14890">
        <w:t xml:space="preserve">, </w:t>
      </w:r>
      <w:r w:rsidRPr="00F14890">
        <w:rPr>
          <w:iCs/>
        </w:rPr>
        <w:t>24</w:t>
      </w:r>
      <w:r w:rsidRPr="00F14890">
        <w:t>(1), 41-51.</w:t>
      </w:r>
    </w:p>
    <w:p w14:paraId="12C0DC62" w14:textId="6DE172F9" w:rsidR="00233F61" w:rsidRPr="00F14890" w:rsidRDefault="00233F61" w:rsidP="0011526A">
      <w:r>
        <w:t xml:space="preserve">[26] </w:t>
      </w:r>
      <w:proofErr w:type="spellStart"/>
      <w:r w:rsidRPr="00F14890">
        <w:t>Bhorat</w:t>
      </w:r>
      <w:proofErr w:type="spellEnd"/>
      <w:r w:rsidRPr="00F14890">
        <w:t xml:space="preserve">, H., </w:t>
      </w:r>
      <w:proofErr w:type="spellStart"/>
      <w:r w:rsidRPr="00F14890">
        <w:t>Kanbur</w:t>
      </w:r>
      <w:proofErr w:type="spellEnd"/>
      <w:r w:rsidRPr="00F14890">
        <w:t xml:space="preserve">, R., &amp; </w:t>
      </w:r>
      <w:proofErr w:type="spellStart"/>
      <w:r w:rsidRPr="00F14890">
        <w:t>Stanwix</w:t>
      </w:r>
      <w:proofErr w:type="spellEnd"/>
      <w:r w:rsidRPr="00F14890">
        <w:t xml:space="preserve">, B. (2015). </w:t>
      </w:r>
      <w:r w:rsidRPr="00F14890">
        <w:rPr>
          <w:iCs/>
        </w:rPr>
        <w:t>Minimum Wages in Sub-Saharan Africa: A Primer</w:t>
      </w:r>
      <w:r w:rsidRPr="00F14890">
        <w:t xml:space="preserve"> (No. 9204). </w:t>
      </w:r>
      <w:proofErr w:type="gramStart"/>
      <w:r w:rsidRPr="00F14890">
        <w:t>IZA Discussion Papers.</w:t>
      </w:r>
      <w:proofErr w:type="gramEnd"/>
    </w:p>
    <w:p w14:paraId="5B3B8A7D" w14:textId="3A670EDC" w:rsidR="007F4C09" w:rsidRPr="00F14890" w:rsidRDefault="007F4C09" w:rsidP="0011526A">
      <w:r>
        <w:lastRenderedPageBreak/>
        <w:t xml:space="preserve">[27] </w:t>
      </w:r>
      <w:proofErr w:type="spellStart"/>
      <w:r w:rsidRPr="00F14890">
        <w:t>Basu</w:t>
      </w:r>
      <w:proofErr w:type="spellEnd"/>
      <w:r w:rsidRPr="00F14890">
        <w:t xml:space="preserve">, A. K., Chau, N. H., &amp; </w:t>
      </w:r>
      <w:proofErr w:type="spellStart"/>
      <w:r w:rsidRPr="00F14890">
        <w:t>Kanbur</w:t>
      </w:r>
      <w:proofErr w:type="spellEnd"/>
      <w:r w:rsidRPr="00F14890">
        <w:t xml:space="preserve">, R. (2010). </w:t>
      </w:r>
      <w:proofErr w:type="gramStart"/>
      <w:r w:rsidRPr="00F14890">
        <w:t>Turning a Blind Eye: Costly Enforcement, Credible Commitment and Minimum Wage Laws.</w:t>
      </w:r>
      <w:proofErr w:type="gramEnd"/>
      <w:r w:rsidRPr="00F14890">
        <w:t xml:space="preserve"> </w:t>
      </w:r>
      <w:r w:rsidRPr="00F14890">
        <w:rPr>
          <w:iCs/>
        </w:rPr>
        <w:t>The Economic Journal</w:t>
      </w:r>
      <w:r w:rsidRPr="00F14890">
        <w:t xml:space="preserve">, </w:t>
      </w:r>
      <w:r w:rsidRPr="00F14890">
        <w:rPr>
          <w:iCs/>
        </w:rPr>
        <w:t>120</w:t>
      </w:r>
      <w:r w:rsidRPr="00F14890">
        <w:t>(543), 244-269.</w:t>
      </w:r>
    </w:p>
    <w:p w14:paraId="06AA7BA7" w14:textId="1EB1DD20" w:rsidR="007F4C09" w:rsidRPr="00F14890" w:rsidRDefault="007F4C09" w:rsidP="0011526A">
      <w:r>
        <w:t xml:space="preserve">[28] </w:t>
      </w:r>
      <w:r w:rsidRPr="00F14890">
        <w:t xml:space="preserve">Rani, U., </w:t>
      </w:r>
      <w:proofErr w:type="spellStart"/>
      <w:r w:rsidRPr="00F14890">
        <w:t>Belser</w:t>
      </w:r>
      <w:proofErr w:type="spellEnd"/>
      <w:r w:rsidRPr="00F14890">
        <w:t xml:space="preserve">, P., </w:t>
      </w:r>
      <w:proofErr w:type="spellStart"/>
      <w:r w:rsidRPr="00F14890">
        <w:t>Oelz</w:t>
      </w:r>
      <w:proofErr w:type="spellEnd"/>
      <w:r w:rsidRPr="00F14890">
        <w:t xml:space="preserve">, M., &amp; </w:t>
      </w:r>
      <w:proofErr w:type="spellStart"/>
      <w:r w:rsidRPr="00F14890">
        <w:t>Ranjbar</w:t>
      </w:r>
      <w:proofErr w:type="spellEnd"/>
      <w:r w:rsidRPr="00F14890">
        <w:t xml:space="preserve">, S. (2013). </w:t>
      </w:r>
      <w:proofErr w:type="gramStart"/>
      <w:r w:rsidRPr="00F14890">
        <w:t>Minimum wage coverage and compliance in developing countries.</w:t>
      </w:r>
      <w:proofErr w:type="gramEnd"/>
      <w:r w:rsidRPr="00F14890">
        <w:t xml:space="preserve"> </w:t>
      </w:r>
      <w:r w:rsidRPr="00F14890">
        <w:rPr>
          <w:iCs/>
        </w:rPr>
        <w:t>International Labour Review</w:t>
      </w:r>
      <w:r w:rsidRPr="00F14890">
        <w:t xml:space="preserve">, </w:t>
      </w:r>
      <w:r w:rsidRPr="00F14890">
        <w:rPr>
          <w:iCs/>
        </w:rPr>
        <w:t>152</w:t>
      </w:r>
      <w:r w:rsidRPr="00F14890">
        <w:t>(3-4), 381-410.</w:t>
      </w:r>
    </w:p>
    <w:p w14:paraId="6DED0F0B" w14:textId="287CC7E1" w:rsidR="007F4C09" w:rsidRPr="00F14890" w:rsidRDefault="007F4C09" w:rsidP="0011526A">
      <w:r>
        <w:t xml:space="preserve">[29] </w:t>
      </w:r>
      <w:r w:rsidRPr="00F14890">
        <w:t xml:space="preserve">Randolph G. and </w:t>
      </w:r>
      <w:proofErr w:type="spellStart"/>
      <w:r w:rsidRPr="00F14890">
        <w:t>Panknin</w:t>
      </w:r>
      <w:proofErr w:type="spellEnd"/>
      <w:r w:rsidRPr="00F14890">
        <w:t xml:space="preserve"> K., </w:t>
      </w:r>
      <w:proofErr w:type="spellStart"/>
      <w:proofErr w:type="gramStart"/>
      <w:r w:rsidRPr="00F14890">
        <w:t>eds</w:t>
      </w:r>
      <w:proofErr w:type="spellEnd"/>
      <w:proofErr w:type="gramEnd"/>
      <w:r w:rsidRPr="00F14890">
        <w:t xml:space="preserve"> (2015) </w:t>
      </w:r>
      <w:r w:rsidRPr="00F14890">
        <w:rPr>
          <w:iCs/>
        </w:rPr>
        <w:t>Global Wage Debates: Politics or economics?</w:t>
      </w:r>
      <w:r w:rsidRPr="00F14890">
        <w:t xml:space="preserve"> </w:t>
      </w:r>
      <w:proofErr w:type="spellStart"/>
      <w:proofErr w:type="gramStart"/>
      <w:r w:rsidRPr="00F14890">
        <w:t>JustJobsNetwork</w:t>
      </w:r>
      <w:proofErr w:type="spellEnd"/>
      <w:r w:rsidRPr="00F14890">
        <w:t>.</w:t>
      </w:r>
      <w:proofErr w:type="gramEnd"/>
      <w:r w:rsidRPr="00F14890">
        <w:t xml:space="preserve"> </w:t>
      </w:r>
      <w:proofErr w:type="gramStart"/>
      <w:r w:rsidRPr="00F14890">
        <w:t>September.</w:t>
      </w:r>
      <w:proofErr w:type="gramEnd"/>
      <w:r w:rsidRPr="00F14890">
        <w:t xml:space="preserve"> </w:t>
      </w:r>
    </w:p>
    <w:p w14:paraId="1BEC168D" w14:textId="4B29ECA0" w:rsidR="007F4C09" w:rsidRPr="00F14890" w:rsidRDefault="007F4C09" w:rsidP="0011526A">
      <w:r>
        <w:t xml:space="preserve">[30] </w:t>
      </w:r>
      <w:proofErr w:type="spellStart"/>
      <w:r w:rsidRPr="00F14890">
        <w:t>Bhorat</w:t>
      </w:r>
      <w:proofErr w:type="spellEnd"/>
      <w:r w:rsidRPr="00F14890">
        <w:t xml:space="preserve">, H., </w:t>
      </w:r>
      <w:proofErr w:type="spellStart"/>
      <w:r w:rsidRPr="00F14890">
        <w:t>Kanbur</w:t>
      </w:r>
      <w:proofErr w:type="spellEnd"/>
      <w:r w:rsidRPr="00F14890">
        <w:t xml:space="preserve">, R., and </w:t>
      </w:r>
      <w:proofErr w:type="spellStart"/>
      <w:r w:rsidRPr="00F14890">
        <w:t>Mayet</w:t>
      </w:r>
      <w:proofErr w:type="spellEnd"/>
      <w:r w:rsidRPr="00F14890">
        <w:t xml:space="preserve">, N. (2013). </w:t>
      </w:r>
      <w:proofErr w:type="gramStart"/>
      <w:r w:rsidRPr="00F14890">
        <w:t>A Note on Measuring the Depth of Minimum Wage Violation.</w:t>
      </w:r>
      <w:proofErr w:type="gramEnd"/>
      <w:r w:rsidRPr="00F14890">
        <w:t xml:space="preserve"> Labour, 27(2):192{197.</w:t>
      </w:r>
    </w:p>
    <w:p w14:paraId="58F274C7" w14:textId="341537C1" w:rsidR="007F4C09" w:rsidRPr="00F14890" w:rsidRDefault="007F4C09" w:rsidP="0011526A">
      <w:r>
        <w:t xml:space="preserve">[31] </w:t>
      </w:r>
      <w:r w:rsidRPr="00F14890">
        <w:t xml:space="preserve">Ham, A. (2015). Minimum wage violations in a dual </w:t>
      </w:r>
      <w:proofErr w:type="spellStart"/>
      <w:r w:rsidRPr="00F14890">
        <w:t>labor</w:t>
      </w:r>
      <w:proofErr w:type="spellEnd"/>
      <w:r w:rsidRPr="00F14890">
        <w:t xml:space="preserve"> market with multiple floors. </w:t>
      </w:r>
      <w:proofErr w:type="gramStart"/>
      <w:r w:rsidRPr="00F14890">
        <w:rPr>
          <w:iCs/>
        </w:rPr>
        <w:t>Available at SSRN 2557635</w:t>
      </w:r>
      <w:r w:rsidRPr="00F14890">
        <w:t>.</w:t>
      </w:r>
      <w:proofErr w:type="gramEnd"/>
    </w:p>
    <w:p w14:paraId="7D0297F0" w14:textId="7692406C" w:rsidR="007F4C09" w:rsidRPr="00F14890" w:rsidRDefault="007F4C09" w:rsidP="0011526A">
      <w:r>
        <w:t xml:space="preserve">[32] </w:t>
      </w:r>
      <w:r w:rsidRPr="00F14890">
        <w:t>LPC (2015) National Minimum Wage Report 2015. London: Low Pay Commission</w:t>
      </w:r>
    </w:p>
    <w:p w14:paraId="678BBB03" w14:textId="63BE635F" w:rsidR="007F4C09" w:rsidRPr="00F14890" w:rsidRDefault="007F4C09" w:rsidP="0011526A">
      <w:r>
        <w:t xml:space="preserve">[33] </w:t>
      </w:r>
      <w:r w:rsidRPr="00F14890">
        <w:t>LPC (2017) Non-compliance and enforcement of the National Minimum Wage. London: Low Pay Commission</w:t>
      </w:r>
    </w:p>
    <w:p w14:paraId="0888C8CE" w14:textId="474B543C" w:rsidR="007F4C09" w:rsidRPr="00F14890" w:rsidRDefault="007F4C09" w:rsidP="0011526A">
      <w:r>
        <w:t xml:space="preserve">[34] </w:t>
      </w:r>
      <w:r w:rsidRPr="00F14890">
        <w:t xml:space="preserve">Griffiths C, </w:t>
      </w:r>
      <w:proofErr w:type="spellStart"/>
      <w:r w:rsidRPr="00F14890">
        <w:t>Ormerod</w:t>
      </w:r>
      <w:proofErr w:type="spellEnd"/>
      <w:r w:rsidRPr="00F14890">
        <w:t xml:space="preserve"> C and Ritchie F (2007) Measuring low pay: Measures and precision. http://www.ons.gov.uk/ons/guide-method/method-quality/specific/labour-market/annual-survey-of-hours-and-earnings/low-pay-estimates/measuring-low-pay---measures-and-precision.pdf</w:t>
      </w:r>
    </w:p>
    <w:p w14:paraId="58978161" w14:textId="2FEB6527" w:rsidR="007F4C09" w:rsidRPr="00F14890" w:rsidRDefault="007F4C09" w:rsidP="0011526A">
      <w:r>
        <w:t xml:space="preserve">[35] </w:t>
      </w:r>
      <w:proofErr w:type="spellStart"/>
      <w:r w:rsidRPr="00F14890">
        <w:t>Ormerod</w:t>
      </w:r>
      <w:proofErr w:type="spellEnd"/>
      <w:r w:rsidRPr="00F14890">
        <w:t xml:space="preserve"> C and Ritchie F (2007) ‘Issues in the Measurement of Low Pay’, Economic and Labour Market Review, Volume 1, No. 6, pp.37-45.</w:t>
      </w:r>
    </w:p>
    <w:p w14:paraId="2F46DCE5" w14:textId="4C950712" w:rsidR="00E22A33" w:rsidRPr="00F14890" w:rsidRDefault="00E22A33" w:rsidP="0011526A">
      <w:r>
        <w:t xml:space="preserve">[36] </w:t>
      </w:r>
      <w:proofErr w:type="spellStart"/>
      <w:r w:rsidRPr="00F14890">
        <w:t>Dinkelman</w:t>
      </w:r>
      <w:proofErr w:type="spellEnd"/>
      <w:r w:rsidRPr="00F14890">
        <w:t xml:space="preserve"> T., </w:t>
      </w:r>
      <w:proofErr w:type="spellStart"/>
      <w:r w:rsidRPr="00F14890">
        <w:t>Ranchhod</w:t>
      </w:r>
      <w:proofErr w:type="spellEnd"/>
      <w:r w:rsidRPr="00F14890">
        <w:t xml:space="preserve"> V., and Clare </w:t>
      </w:r>
      <w:proofErr w:type="spellStart"/>
      <w:r w:rsidRPr="00F14890">
        <w:t>Hofmeyr</w:t>
      </w:r>
      <w:proofErr w:type="spellEnd"/>
      <w:r w:rsidRPr="00F14890">
        <w:t xml:space="preserve"> C. (2014). Enforcement and compliance: the case of minimum wages and mandatory contracts for domestic workers. Econ3x3. </w:t>
      </w:r>
      <w:hyperlink r:id="rId15" w:history="1">
        <w:r w:rsidRPr="00F14890">
          <w:rPr>
            <w:rStyle w:val="Hyperlink"/>
          </w:rPr>
          <w:t>http://www.econ3x3.org/article/enforcement-and-compliance-case-minimum-wages-and-mandatory-contracts-domestic-workers</w:t>
        </w:r>
      </w:hyperlink>
      <w:r w:rsidRPr="00F14890">
        <w:t xml:space="preserve"> </w:t>
      </w:r>
    </w:p>
    <w:p w14:paraId="17F1C8C1" w14:textId="31AF4797" w:rsidR="00E22A33" w:rsidRPr="00F14890" w:rsidRDefault="00E22A33" w:rsidP="0011526A">
      <w:r>
        <w:lastRenderedPageBreak/>
        <w:t xml:space="preserve">[37] </w:t>
      </w:r>
      <w:r w:rsidRPr="00F14890">
        <w:t xml:space="preserve">Milton J (2004), ‘New methodology for low pay estimates’. </w:t>
      </w:r>
      <w:hyperlink r:id="rId16" w:history="1">
        <w:r w:rsidRPr="00F14890">
          <w:rPr>
            <w:rStyle w:val="Hyperlink"/>
          </w:rPr>
          <w:t>http://www.ons.gov.uk/ons/guide-method/method-quality/specific/labour-market/annual-survey-of-hours-and-earnings/low-pay-estimates/new-methodology-for-low-pay-estimates-in-2004.pdf</w:t>
        </w:r>
      </w:hyperlink>
      <w:r w:rsidRPr="00F14890">
        <w:t xml:space="preserve"> </w:t>
      </w:r>
    </w:p>
    <w:p w14:paraId="32D101FF" w14:textId="6C88973A" w:rsidR="00E22A33" w:rsidRPr="00F14890" w:rsidRDefault="00E22A33" w:rsidP="0011526A">
      <w:r>
        <w:t xml:space="preserve">[38] </w:t>
      </w:r>
      <w:r w:rsidRPr="00F14890">
        <w:t xml:space="preserve">Fry S and Ritchie F (2013) Behavioural aspects of the National Minimum Wage. </w:t>
      </w:r>
      <w:proofErr w:type="gramStart"/>
      <w:r w:rsidRPr="00F14890">
        <w:t>Final report for the Low Pay Commission.</w:t>
      </w:r>
      <w:proofErr w:type="gramEnd"/>
    </w:p>
    <w:p w14:paraId="00703AB3" w14:textId="4F1E80BC" w:rsidR="00E22A33" w:rsidRPr="00F14890" w:rsidRDefault="00E22A33" w:rsidP="0011526A">
      <w:r>
        <w:t xml:space="preserve">[39] </w:t>
      </w:r>
      <w:r w:rsidRPr="00F14890">
        <w:t xml:space="preserve">Ritchie F., </w:t>
      </w:r>
      <w:proofErr w:type="spellStart"/>
      <w:r w:rsidRPr="00F14890">
        <w:t>Whittard</w:t>
      </w:r>
      <w:proofErr w:type="spellEnd"/>
      <w:r w:rsidRPr="00F14890">
        <w:t xml:space="preserve"> D. and Dawson C. (2014) Understanding official data sources: final report. London: Low Pay Commission</w:t>
      </w:r>
    </w:p>
    <w:p w14:paraId="1CE600E2" w14:textId="3EBC9C38" w:rsidR="00261DF2" w:rsidRPr="00F14890" w:rsidRDefault="00261DF2" w:rsidP="0011526A">
      <w:r>
        <w:t xml:space="preserve">[40] </w:t>
      </w:r>
      <w:r w:rsidRPr="00F14890">
        <w:t xml:space="preserve">Drew H., Ritchie F., and </w:t>
      </w:r>
      <w:proofErr w:type="spellStart"/>
      <w:r w:rsidRPr="00F14890">
        <w:t>Veliziotis</w:t>
      </w:r>
      <w:proofErr w:type="spellEnd"/>
      <w:r w:rsidRPr="00F14890">
        <w:t xml:space="preserve"> M. (2015b) </w:t>
      </w:r>
      <w:proofErr w:type="gramStart"/>
      <w:r w:rsidRPr="00F14890">
        <w:t>The</w:t>
      </w:r>
      <w:proofErr w:type="gramEnd"/>
      <w:r w:rsidRPr="00F14890">
        <w:t xml:space="preserve"> measurement of apprentice pay: final report. London: Low Pay Commission</w:t>
      </w:r>
    </w:p>
    <w:p w14:paraId="0EF600DC" w14:textId="0E8BBA16" w:rsidR="00261DF2" w:rsidRDefault="00261DF2" w:rsidP="0011526A">
      <w:r>
        <w:t xml:space="preserve">[41] </w:t>
      </w:r>
      <w:r w:rsidRPr="00F14890">
        <w:t xml:space="preserve">Green D., </w:t>
      </w:r>
      <w:proofErr w:type="spellStart"/>
      <w:r w:rsidRPr="00F14890">
        <w:t>Jacowitz</w:t>
      </w:r>
      <w:proofErr w:type="spellEnd"/>
      <w:r w:rsidRPr="00F14890">
        <w:t xml:space="preserve"> K., </w:t>
      </w:r>
      <w:proofErr w:type="spellStart"/>
      <w:r w:rsidRPr="00F14890">
        <w:t>Kahneman</w:t>
      </w:r>
      <w:proofErr w:type="spellEnd"/>
      <w:r w:rsidRPr="00F14890">
        <w:t xml:space="preserve"> D., and McFadden D. (1998) Referendum contingent valuation, </w:t>
      </w:r>
      <w:proofErr w:type="spellStart"/>
      <w:r w:rsidRPr="00F14890">
        <w:t>anchoring</w:t>
      </w:r>
      <w:proofErr w:type="gramStart"/>
      <w:r w:rsidRPr="00F14890">
        <w:t>,and</w:t>
      </w:r>
      <w:proofErr w:type="spellEnd"/>
      <w:proofErr w:type="gramEnd"/>
      <w:r w:rsidRPr="00F14890">
        <w:t xml:space="preserve"> willingness to pay for public goods. Resource and Energy Economics v20 pp85-116</w:t>
      </w:r>
    </w:p>
    <w:p w14:paraId="5E41DFBA" w14:textId="2030CB8C" w:rsidR="00261DF2" w:rsidRPr="00F14890" w:rsidRDefault="00261DF2" w:rsidP="0011526A">
      <w:proofErr w:type="gramStart"/>
      <w:r>
        <w:t xml:space="preserve">[42] </w:t>
      </w:r>
      <w:proofErr w:type="spellStart"/>
      <w:r>
        <w:t>Kahnemann</w:t>
      </w:r>
      <w:proofErr w:type="spellEnd"/>
      <w:r>
        <w:t xml:space="preserve"> D. (2012) Thinking, Fast and Slow.</w:t>
      </w:r>
      <w:proofErr w:type="gramEnd"/>
      <w:r>
        <w:t xml:space="preserve"> </w:t>
      </w:r>
      <w:proofErr w:type="gramStart"/>
      <w:r>
        <w:t>Penguin Books, London.</w:t>
      </w:r>
      <w:proofErr w:type="gramEnd"/>
    </w:p>
    <w:p w14:paraId="405F87E1" w14:textId="2BEC99BB" w:rsidR="00261DF2" w:rsidRPr="00F14890" w:rsidRDefault="00261DF2" w:rsidP="0011526A">
      <w:r>
        <w:t xml:space="preserve">[43] </w:t>
      </w:r>
      <w:r w:rsidRPr="00F14890">
        <w:t xml:space="preserve">Drew H., Ritchie F., and </w:t>
      </w:r>
      <w:proofErr w:type="spellStart"/>
      <w:r w:rsidRPr="00F14890">
        <w:t>Veliziotis</w:t>
      </w:r>
      <w:proofErr w:type="spellEnd"/>
      <w:r w:rsidRPr="00F14890">
        <w:t xml:space="preserve"> M. (2015a) </w:t>
      </w:r>
      <w:proofErr w:type="gramStart"/>
      <w:r w:rsidRPr="00F14890">
        <w:t>The</w:t>
      </w:r>
      <w:proofErr w:type="gramEnd"/>
      <w:r w:rsidRPr="00F14890">
        <w:t xml:space="preserve"> measurement of apprentice pay: interim report. London: Low Pay Commission</w:t>
      </w:r>
    </w:p>
    <w:p w14:paraId="6FA0012F" w14:textId="685A4EE0" w:rsidR="00261DF2" w:rsidRPr="00F14890" w:rsidRDefault="00261DF2" w:rsidP="0011526A">
      <w:r>
        <w:t xml:space="preserve">[44] </w:t>
      </w:r>
      <w:proofErr w:type="spellStart"/>
      <w:r w:rsidRPr="00F14890">
        <w:t>Gittleman</w:t>
      </w:r>
      <w:proofErr w:type="spellEnd"/>
      <w:r w:rsidRPr="00F14890">
        <w:t xml:space="preserve"> M. and Pierce B. (2014) Pay for Performance and Compensation Inequality: Evidence from the ECEC. </w:t>
      </w:r>
      <w:proofErr w:type="gramStart"/>
      <w:r w:rsidRPr="00F14890">
        <w:t>ILR Review.</w:t>
      </w:r>
      <w:proofErr w:type="gramEnd"/>
      <w:r w:rsidRPr="00F14890">
        <w:t xml:space="preserve"> V 68 pp28-52</w:t>
      </w:r>
    </w:p>
    <w:p w14:paraId="79885608" w14:textId="7E59796C" w:rsidR="00261DF2" w:rsidRPr="00F14890" w:rsidRDefault="00261DF2" w:rsidP="0011526A">
      <w:r>
        <w:t xml:space="preserve">[45] </w:t>
      </w:r>
      <w:r w:rsidRPr="00F14890">
        <w:t xml:space="preserve">Bhatt e. (1987) “The invisibility of home-based work: the case of piece rate workers in India”. In Invisible hands: women in home-based production, ed. A. </w:t>
      </w:r>
      <w:proofErr w:type="spellStart"/>
      <w:r w:rsidRPr="00F14890">
        <w:t>Menefee</w:t>
      </w:r>
      <w:proofErr w:type="spellEnd"/>
      <w:r w:rsidRPr="00F14890">
        <w:t xml:space="preserve"> Singh &amp; A. </w:t>
      </w:r>
      <w:proofErr w:type="spellStart"/>
      <w:r w:rsidRPr="00F14890">
        <w:t>Kelles-Viitanen</w:t>
      </w:r>
      <w:proofErr w:type="spellEnd"/>
      <w:r w:rsidRPr="00F14890">
        <w:t xml:space="preserve">. </w:t>
      </w:r>
      <w:proofErr w:type="gramStart"/>
      <w:r w:rsidRPr="00F14890">
        <w:t>New Delhi, India, Sage Publications, 1987.</w:t>
      </w:r>
      <w:proofErr w:type="gramEnd"/>
      <w:r w:rsidRPr="00F14890">
        <w:t xml:space="preserve"> </w:t>
      </w:r>
      <w:proofErr w:type="gramStart"/>
      <w:r w:rsidRPr="00F14890">
        <w:t>29-33. (Women and the Household in Asia Vol. 1).</w:t>
      </w:r>
      <w:proofErr w:type="gramEnd"/>
      <w:r w:rsidRPr="00F14890">
        <w:t xml:space="preserve"> </w:t>
      </w:r>
      <w:hyperlink r:id="rId17" w:history="1">
        <w:r w:rsidRPr="00F14890">
          <w:rPr>
            <w:rStyle w:val="Hyperlink"/>
          </w:rPr>
          <w:t>http://www.popline.org/node/378648</w:t>
        </w:r>
      </w:hyperlink>
      <w:r w:rsidRPr="00F14890">
        <w:t xml:space="preserve"> </w:t>
      </w:r>
    </w:p>
    <w:p w14:paraId="5150118F" w14:textId="07BE820E" w:rsidR="00261DF2" w:rsidRPr="00F14890" w:rsidRDefault="00261DF2" w:rsidP="0011526A">
      <w:r>
        <w:t xml:space="preserve">[46] </w:t>
      </w:r>
      <w:proofErr w:type="spellStart"/>
      <w:r w:rsidRPr="00F14890">
        <w:t>Oberski</w:t>
      </w:r>
      <w:proofErr w:type="spellEnd"/>
      <w:r w:rsidRPr="00F14890">
        <w:t xml:space="preserve"> D.L., Kirchner A., </w:t>
      </w:r>
      <w:proofErr w:type="spellStart"/>
      <w:r w:rsidRPr="00F14890">
        <w:t>Eckman</w:t>
      </w:r>
      <w:proofErr w:type="spellEnd"/>
      <w:r w:rsidRPr="00F14890">
        <w:t xml:space="preserve"> S., </w:t>
      </w:r>
      <w:proofErr w:type="spellStart"/>
      <w:r w:rsidRPr="00F14890">
        <w:t>Kreuter</w:t>
      </w:r>
      <w:proofErr w:type="spellEnd"/>
      <w:r w:rsidRPr="00F14890">
        <w:t xml:space="preserve"> F. (2015) Evaluating the quality of survey and administrative data with generalized </w:t>
      </w:r>
      <w:proofErr w:type="spellStart"/>
      <w:r w:rsidRPr="00F14890">
        <w:t>multitrait</w:t>
      </w:r>
      <w:proofErr w:type="spellEnd"/>
      <w:r w:rsidRPr="00F14890">
        <w:t xml:space="preserve">-multimethod models. </w:t>
      </w:r>
      <w:proofErr w:type="spellStart"/>
      <w:r w:rsidRPr="00F14890">
        <w:t>Eprint</w:t>
      </w:r>
      <w:proofErr w:type="spellEnd"/>
      <w:r w:rsidRPr="00F14890">
        <w:t xml:space="preserve"> arXiv</w:t>
      </w:r>
      <w:proofErr w:type="gramStart"/>
      <w:r w:rsidRPr="00F14890">
        <w:t>:1508.05502</w:t>
      </w:r>
      <w:proofErr w:type="gramEnd"/>
      <w:r w:rsidRPr="00F14890">
        <w:t xml:space="preserve">. </w:t>
      </w:r>
      <w:hyperlink r:id="rId18" w:history="1">
        <w:r w:rsidRPr="00F14890">
          <w:rPr>
            <w:rStyle w:val="Hyperlink"/>
          </w:rPr>
          <w:t>https://arxiv.org/abs/1508.05502</w:t>
        </w:r>
      </w:hyperlink>
    </w:p>
    <w:p w14:paraId="6770A75D" w14:textId="67D189AD" w:rsidR="00261DF2" w:rsidRPr="00F14890" w:rsidRDefault="00261DF2" w:rsidP="0011526A">
      <w:r>
        <w:lastRenderedPageBreak/>
        <w:t xml:space="preserve">[47] </w:t>
      </w:r>
      <w:r w:rsidRPr="00F14890">
        <w:t xml:space="preserve">Statistics New Zealand (2017) Guide to Interpreting the LEED Data. </w:t>
      </w:r>
      <w:hyperlink r:id="rId19" w:history="1">
        <w:r w:rsidRPr="00F14890">
          <w:rPr>
            <w:rStyle w:val="Hyperlink"/>
          </w:rPr>
          <w:t>http://www.stats.govt.nz/browse_for_stats/income-and-work/employment_and_unemployment/guide-interpreting-the-leed-data.aspx</w:t>
        </w:r>
      </w:hyperlink>
      <w:r w:rsidRPr="00F14890">
        <w:t xml:space="preserve">.  </w:t>
      </w:r>
      <w:proofErr w:type="gramStart"/>
      <w:r w:rsidRPr="00F14890">
        <w:t>Accessed 01.02.2017.</w:t>
      </w:r>
      <w:proofErr w:type="gramEnd"/>
    </w:p>
    <w:p w14:paraId="4CB3DAC9" w14:textId="60D66581" w:rsidR="00261DF2" w:rsidRPr="00F14890" w:rsidRDefault="00C13A90" w:rsidP="0011526A">
      <w:r>
        <w:t xml:space="preserve">[48] </w:t>
      </w:r>
      <w:proofErr w:type="spellStart"/>
      <w:r w:rsidR="00261DF2" w:rsidRPr="00F14890">
        <w:t>Garnero</w:t>
      </w:r>
      <w:proofErr w:type="spellEnd"/>
      <w:r w:rsidR="00261DF2" w:rsidRPr="00F14890">
        <w:t xml:space="preserve"> A. (2017) </w:t>
      </w:r>
      <w:proofErr w:type="gramStart"/>
      <w:r w:rsidR="00261DF2" w:rsidRPr="00F14890">
        <w:t>The</w:t>
      </w:r>
      <w:proofErr w:type="gramEnd"/>
      <w:r w:rsidR="00261DF2" w:rsidRPr="00F14890">
        <w:t xml:space="preserve"> dog that barks doesn’t bite: coverage and compliance in sectoral minimum wages in Italy. IZA Discussion Paper no 10511, January.</w:t>
      </w:r>
    </w:p>
    <w:p w14:paraId="6AC60374" w14:textId="4B0BF29C" w:rsidR="00C13A90" w:rsidRPr="00C13A90" w:rsidRDefault="00C13A90" w:rsidP="0011526A">
      <w:r>
        <w:t>[</w:t>
      </w:r>
      <w:r>
        <w:t>49</w:t>
      </w:r>
      <w:r>
        <w:t>]</w:t>
      </w:r>
      <w:r w:rsidRPr="00C13A90">
        <w:rPr>
          <w:rStyle w:val="Heading1Char"/>
        </w:rPr>
        <w:t xml:space="preserve"> </w:t>
      </w:r>
      <w:r w:rsidRPr="00C13A90">
        <w:rPr>
          <w:rStyle w:val="personname"/>
        </w:rPr>
        <w:t>Ritchie, F.</w:t>
      </w:r>
      <w:r w:rsidRPr="00C13A90">
        <w:t xml:space="preserve">, </w:t>
      </w:r>
      <w:proofErr w:type="spellStart"/>
      <w:r w:rsidRPr="00C13A90">
        <w:rPr>
          <w:rStyle w:val="personname"/>
        </w:rPr>
        <w:t>Veliziotis</w:t>
      </w:r>
      <w:proofErr w:type="spellEnd"/>
      <w:r w:rsidRPr="00C13A90">
        <w:rPr>
          <w:rStyle w:val="personname"/>
        </w:rPr>
        <w:t>, M.</w:t>
      </w:r>
      <w:r w:rsidRPr="00C13A90">
        <w:t xml:space="preserve">, </w:t>
      </w:r>
      <w:r w:rsidRPr="00C13A90">
        <w:rPr>
          <w:rStyle w:val="personname"/>
        </w:rPr>
        <w:t>Drew, H.</w:t>
      </w:r>
      <w:r w:rsidRPr="00C13A90">
        <w:t xml:space="preserve"> and </w:t>
      </w:r>
      <w:proofErr w:type="spellStart"/>
      <w:r w:rsidRPr="00C13A90">
        <w:rPr>
          <w:rStyle w:val="personname"/>
        </w:rPr>
        <w:t>Whittard</w:t>
      </w:r>
      <w:proofErr w:type="spellEnd"/>
      <w:r w:rsidRPr="00C13A90">
        <w:rPr>
          <w:rStyle w:val="personname"/>
        </w:rPr>
        <w:t>, D.</w:t>
      </w:r>
      <w:r w:rsidRPr="00C13A90">
        <w:t xml:space="preserve"> (2016) </w:t>
      </w:r>
      <w:r w:rsidRPr="00C13A90">
        <w:rPr>
          <w:rStyle w:val="Emphasis"/>
          <w:i w:val="0"/>
        </w:rPr>
        <w:t>Measuring non-compliance with minimum wages.</w:t>
      </w:r>
      <w:r w:rsidRPr="00C13A90">
        <w:rPr>
          <w:i/>
        </w:rPr>
        <w:t xml:space="preserve"> </w:t>
      </w:r>
      <w:proofErr w:type="gramStart"/>
      <w:r w:rsidRPr="00C13A90">
        <w:t>Working Paper.</w:t>
      </w:r>
      <w:proofErr w:type="gramEnd"/>
      <w:r w:rsidRPr="00C13A90">
        <w:t xml:space="preserve"> </w:t>
      </w:r>
      <w:proofErr w:type="gramStart"/>
      <w:r w:rsidRPr="00C13A90">
        <w:t>University of the West of England, Bristol, UK.</w:t>
      </w:r>
      <w:proofErr w:type="gramEnd"/>
      <w:r w:rsidRPr="00C13A90">
        <w:t xml:space="preserve"> Available from: </w:t>
      </w:r>
      <w:hyperlink r:id="rId20" w:history="1">
        <w:r w:rsidRPr="00C93B10">
          <w:rPr>
            <w:rStyle w:val="Hyperlink"/>
          </w:rPr>
          <w:t>http://eprints.uwe.ac.uk/29575</w:t>
        </w:r>
      </w:hyperlink>
      <w:r>
        <w:t xml:space="preserve"> </w:t>
      </w:r>
    </w:p>
    <w:p w14:paraId="2ADD32A7" w14:textId="7EEAB5FB" w:rsidR="00261DF2" w:rsidRPr="00F14890" w:rsidRDefault="00C13A90" w:rsidP="0011526A">
      <w:r>
        <w:t xml:space="preserve"> [50] </w:t>
      </w:r>
      <w:proofErr w:type="spellStart"/>
      <w:r w:rsidR="00261DF2" w:rsidRPr="00F14890">
        <w:t>Goraus-Tanska</w:t>
      </w:r>
      <w:proofErr w:type="spellEnd"/>
      <w:r w:rsidR="00261DF2" w:rsidRPr="00F14890">
        <w:t xml:space="preserve"> K. and Lewandowski P. (2016) Minimum Wage Violation in Central and Eastern Europe. IZA Discussion Paper No. 10098</w:t>
      </w:r>
    </w:p>
    <w:p w14:paraId="62FA6EBB" w14:textId="36D6F463" w:rsidR="00C13A90" w:rsidRPr="00F14890" w:rsidRDefault="00C13A90" w:rsidP="0011526A">
      <w:r>
        <w:t xml:space="preserve">[51] </w:t>
      </w:r>
      <w:proofErr w:type="spellStart"/>
      <w:r w:rsidRPr="00F14890">
        <w:t>Higton</w:t>
      </w:r>
      <w:proofErr w:type="spellEnd"/>
      <w:r w:rsidRPr="00F14890">
        <w:t xml:space="preserve">, J. (2013). </w:t>
      </w:r>
      <w:proofErr w:type="gramStart"/>
      <w:r w:rsidRPr="00F14890">
        <w:t>Apprenticeship pay</w:t>
      </w:r>
      <w:proofErr w:type="gramEnd"/>
      <w:r w:rsidRPr="00F14890">
        <w:t xml:space="preserve"> survey 2012: research findings. </w:t>
      </w:r>
      <w:proofErr w:type="gramStart"/>
      <w:r w:rsidRPr="00F14890">
        <w:t>Department for Business and Skills (BIS).</w:t>
      </w:r>
      <w:proofErr w:type="gramEnd"/>
      <w:r w:rsidRPr="00F14890">
        <w:t xml:space="preserve"> October 2013. BIS Research Paper 121. </w:t>
      </w:r>
    </w:p>
    <w:p w14:paraId="3C76DBB1" w14:textId="6F6A40B2" w:rsidR="00C13A90" w:rsidRPr="00F14890" w:rsidRDefault="00C13A90" w:rsidP="0011526A">
      <w:r>
        <w:t xml:space="preserve">[52] </w:t>
      </w:r>
      <w:proofErr w:type="spellStart"/>
      <w:r w:rsidRPr="00F14890">
        <w:t>Higton</w:t>
      </w:r>
      <w:proofErr w:type="spellEnd"/>
      <w:r w:rsidRPr="00F14890">
        <w:t xml:space="preserve"> J., Kaur-</w:t>
      </w:r>
      <w:proofErr w:type="spellStart"/>
      <w:r w:rsidRPr="00F14890">
        <w:t>Ballagan</w:t>
      </w:r>
      <w:proofErr w:type="spellEnd"/>
      <w:r w:rsidRPr="00F14890">
        <w:t xml:space="preserve"> K., </w:t>
      </w:r>
      <w:proofErr w:type="spellStart"/>
      <w:r w:rsidRPr="00F14890">
        <w:t>Navin</w:t>
      </w:r>
      <w:proofErr w:type="spellEnd"/>
      <w:r w:rsidRPr="00F14890">
        <w:t xml:space="preserve"> Shah J., and </w:t>
      </w:r>
      <w:proofErr w:type="spellStart"/>
      <w:r w:rsidRPr="00F14890">
        <w:t>Medien</w:t>
      </w:r>
      <w:proofErr w:type="spellEnd"/>
      <w:r w:rsidRPr="00F14890">
        <w:t xml:space="preserve"> K. (2012) Apprentice Pay Survey 2011. </w:t>
      </w:r>
      <w:proofErr w:type="gramStart"/>
      <w:r w:rsidRPr="00F14890">
        <w:t>Department for Business and Skills (BIS).</w:t>
      </w:r>
      <w:proofErr w:type="gramEnd"/>
      <w:r w:rsidRPr="00F14890">
        <w:t xml:space="preserve"> October 2013. BIS Research Paper 64.</w:t>
      </w:r>
    </w:p>
    <w:p w14:paraId="1070BA81" w14:textId="4FAFAC9F" w:rsidR="00C13A90" w:rsidRPr="00F14890" w:rsidRDefault="00C13A90" w:rsidP="0011526A">
      <w:r>
        <w:t xml:space="preserve">[53] </w:t>
      </w:r>
      <w:proofErr w:type="spellStart"/>
      <w:r w:rsidRPr="00F14890">
        <w:t>Winterbotham</w:t>
      </w:r>
      <w:proofErr w:type="spellEnd"/>
      <w:r w:rsidRPr="00F14890">
        <w:t xml:space="preserve"> M., Davies B., Murphy L., Huntley Hewitt J., and </w:t>
      </w:r>
      <w:proofErr w:type="spellStart"/>
      <w:r w:rsidRPr="00F14890">
        <w:t>Tweddle</w:t>
      </w:r>
      <w:proofErr w:type="spellEnd"/>
      <w:r w:rsidRPr="00F14890">
        <w:t xml:space="preserve"> M. (2014) Apprentice Pay Survey 2014. BIS Research Paper no 207. </w:t>
      </w:r>
      <w:proofErr w:type="gramStart"/>
      <w:r w:rsidRPr="00F14890">
        <w:t>Department for Business, Innovation and Skills.</w:t>
      </w:r>
      <w:proofErr w:type="gramEnd"/>
      <w:r w:rsidRPr="00F14890">
        <w:t xml:space="preserve"> </w:t>
      </w:r>
    </w:p>
    <w:p w14:paraId="0695A960" w14:textId="7BAA96AE" w:rsidR="00365D40" w:rsidRDefault="0011526A" w:rsidP="0011526A">
      <w:r>
        <w:t xml:space="preserve">[54] </w:t>
      </w:r>
      <w:r w:rsidRPr="00F14890">
        <w:t>Knight J. (2010) Data sources and concepts explained</w:t>
      </w:r>
      <w:r>
        <w:t xml:space="preserve">. </w:t>
      </w:r>
      <w:proofErr w:type="gramStart"/>
      <w:r>
        <w:t>Low Pay Commission report.</w:t>
      </w:r>
      <w:proofErr w:type="gramEnd"/>
    </w:p>
    <w:p w14:paraId="368F7150" w14:textId="77777777" w:rsidR="00152A6E" w:rsidRDefault="00152A6E" w:rsidP="00152A6E"/>
    <w:p w14:paraId="4E7253E3" w14:textId="77777777" w:rsidR="003C0490" w:rsidRPr="00E37AE1" w:rsidRDefault="003C0490" w:rsidP="00E37AE1">
      <w:pPr>
        <w:pStyle w:val="Caption"/>
      </w:pPr>
      <w:r w:rsidRPr="00E37AE1">
        <w:t xml:space="preserve">Table </w:t>
      </w:r>
      <w:fldSimple w:instr=" SEQ Table \* ARABIC ">
        <w:r w:rsidR="00BF2BB7">
          <w:rPr>
            <w:noProof/>
          </w:rPr>
          <w:t>1</w:t>
        </w:r>
      </w:fldSimple>
      <w:r w:rsidRPr="00E37AE1">
        <w:t xml:space="preserve"> NMW rates by applicable group</w:t>
      </w:r>
    </w:p>
    <w:tbl>
      <w:tblPr>
        <w:tblW w:w="0" w:type="auto"/>
        <w:jc w:val="center"/>
        <w:tblCellSpacing w:w="0" w:type="dxa"/>
        <w:tblCellMar>
          <w:top w:w="28" w:type="dxa"/>
          <w:left w:w="113" w:type="dxa"/>
          <w:bottom w:w="28" w:type="dxa"/>
          <w:right w:w="113" w:type="dxa"/>
        </w:tblCellMar>
        <w:tblLook w:val="04A0" w:firstRow="1" w:lastRow="0" w:firstColumn="1" w:lastColumn="0" w:noHBand="0" w:noVBand="1"/>
      </w:tblPr>
      <w:tblGrid>
        <w:gridCol w:w="1039"/>
        <w:gridCol w:w="989"/>
        <w:gridCol w:w="2368"/>
        <w:gridCol w:w="989"/>
        <w:gridCol w:w="1202"/>
      </w:tblGrid>
      <w:tr w:rsidR="003C0490" w:rsidRPr="00B56DAF" w14:paraId="3A0BDD69" w14:textId="77777777" w:rsidTr="006A59B0">
        <w:trPr>
          <w:trHeight w:val="443"/>
          <w:tblHeader/>
          <w:tblCellSpacing w:w="0" w:type="dxa"/>
          <w:jc w:val="center"/>
        </w:trPr>
        <w:tc>
          <w:tcPr>
            <w:tcW w:w="0" w:type="auto"/>
            <w:vAlign w:val="center"/>
            <w:hideMark/>
          </w:tcPr>
          <w:p w14:paraId="13090036" w14:textId="77777777" w:rsidR="003C0490" w:rsidRDefault="003C0490" w:rsidP="006A59B0">
            <w:pPr>
              <w:pStyle w:val="NoSpacing"/>
              <w:rPr>
                <w:rFonts w:eastAsia="Times New Roman"/>
                <w:sz w:val="20"/>
              </w:rPr>
            </w:pPr>
            <w:r w:rsidRPr="00B56DAF">
              <w:rPr>
                <w:rFonts w:eastAsia="Times New Roman"/>
                <w:sz w:val="20"/>
              </w:rPr>
              <w:t xml:space="preserve">Rate </w:t>
            </w:r>
            <w:r>
              <w:rPr>
                <w:rFonts w:eastAsia="Times New Roman"/>
                <w:sz w:val="20"/>
              </w:rPr>
              <w:t>f</w:t>
            </w:r>
            <w:r w:rsidRPr="00B56DAF">
              <w:rPr>
                <w:rFonts w:eastAsia="Times New Roman"/>
                <w:sz w:val="20"/>
              </w:rPr>
              <w:t>rom</w:t>
            </w:r>
          </w:p>
          <w:p w14:paraId="5B59DBCD" w14:textId="77777777" w:rsidR="003C0490" w:rsidRPr="00B56DAF" w:rsidRDefault="003C0490" w:rsidP="006A59B0">
            <w:pPr>
              <w:pStyle w:val="NoSpacing"/>
              <w:rPr>
                <w:rFonts w:eastAsia="Times New Roman"/>
                <w:sz w:val="20"/>
              </w:rPr>
            </w:pPr>
            <w:r>
              <w:rPr>
                <w:rFonts w:eastAsia="Times New Roman"/>
                <w:sz w:val="20"/>
              </w:rPr>
              <w:t>October</w:t>
            </w:r>
            <w:r w:rsidRPr="00B56DAF">
              <w:rPr>
                <w:rFonts w:eastAsia="Times New Roman"/>
                <w:sz w:val="20"/>
              </w:rPr>
              <w:t>…</w:t>
            </w:r>
          </w:p>
        </w:tc>
        <w:tc>
          <w:tcPr>
            <w:tcW w:w="0" w:type="auto"/>
            <w:vAlign w:val="center"/>
            <w:hideMark/>
          </w:tcPr>
          <w:p w14:paraId="21522C8E" w14:textId="77777777" w:rsidR="003C0490" w:rsidRPr="00B56DAF" w:rsidRDefault="003C0490" w:rsidP="006A59B0">
            <w:pPr>
              <w:pStyle w:val="NoSpacing"/>
              <w:rPr>
                <w:rFonts w:eastAsia="Times New Roman"/>
                <w:sz w:val="20"/>
              </w:rPr>
            </w:pPr>
            <w:r w:rsidRPr="00B56DAF">
              <w:rPr>
                <w:rFonts w:eastAsia="Times New Roman"/>
                <w:sz w:val="20"/>
              </w:rPr>
              <w:t>‘Adult’</w:t>
            </w:r>
          </w:p>
          <w:p w14:paraId="6883F855" w14:textId="77777777" w:rsidR="003C0490" w:rsidRPr="00B56DAF" w:rsidRDefault="003C0490" w:rsidP="006A59B0">
            <w:pPr>
              <w:pStyle w:val="NoSpacing"/>
              <w:rPr>
                <w:rFonts w:eastAsia="Times New Roman"/>
                <w:sz w:val="20"/>
              </w:rPr>
            </w:pPr>
            <w:r w:rsidRPr="00B56DAF">
              <w:rPr>
                <w:rFonts w:eastAsia="Times New Roman"/>
                <w:sz w:val="20"/>
              </w:rPr>
              <w:t>Aged 21+</w:t>
            </w:r>
          </w:p>
        </w:tc>
        <w:tc>
          <w:tcPr>
            <w:tcW w:w="0" w:type="auto"/>
            <w:vAlign w:val="center"/>
            <w:hideMark/>
          </w:tcPr>
          <w:p w14:paraId="29DAD04A" w14:textId="77777777" w:rsidR="003C0490" w:rsidRPr="00B56DAF" w:rsidRDefault="003C0490" w:rsidP="006A59B0">
            <w:pPr>
              <w:pStyle w:val="NoSpacing"/>
              <w:rPr>
                <w:rFonts w:eastAsia="Times New Roman"/>
                <w:sz w:val="20"/>
              </w:rPr>
            </w:pPr>
            <w:r w:rsidRPr="00B56DAF">
              <w:rPr>
                <w:rFonts w:eastAsia="Times New Roman"/>
                <w:sz w:val="20"/>
              </w:rPr>
              <w:t>‘</w:t>
            </w:r>
            <w:r>
              <w:rPr>
                <w:rFonts w:eastAsia="Times New Roman"/>
                <w:sz w:val="20"/>
              </w:rPr>
              <w:t xml:space="preserve">Youth </w:t>
            </w:r>
            <w:r w:rsidRPr="00B56DAF">
              <w:rPr>
                <w:rFonts w:eastAsia="Times New Roman"/>
                <w:sz w:val="20"/>
              </w:rPr>
              <w:t>Development</w:t>
            </w:r>
            <w:r>
              <w:rPr>
                <w:rFonts w:eastAsia="Times New Roman"/>
                <w:sz w:val="20"/>
              </w:rPr>
              <w:t xml:space="preserve"> Rate</w:t>
            </w:r>
            <w:r w:rsidRPr="00B56DAF">
              <w:rPr>
                <w:rFonts w:eastAsia="Times New Roman"/>
                <w:sz w:val="20"/>
              </w:rPr>
              <w:t>’</w:t>
            </w:r>
          </w:p>
          <w:p w14:paraId="4A756094" w14:textId="77777777" w:rsidR="003C0490" w:rsidRPr="00B56DAF" w:rsidRDefault="003C0490" w:rsidP="006A59B0">
            <w:pPr>
              <w:pStyle w:val="NoSpacing"/>
              <w:rPr>
                <w:rFonts w:eastAsia="Times New Roman"/>
                <w:sz w:val="20"/>
              </w:rPr>
            </w:pPr>
            <w:r>
              <w:rPr>
                <w:rFonts w:eastAsia="Times New Roman"/>
                <w:sz w:val="20"/>
              </w:rPr>
              <w:t xml:space="preserve">Aged </w:t>
            </w:r>
            <w:r w:rsidRPr="00B56DAF">
              <w:rPr>
                <w:rFonts w:eastAsia="Times New Roman"/>
                <w:sz w:val="20"/>
              </w:rPr>
              <w:t>18 to 20</w:t>
            </w:r>
          </w:p>
        </w:tc>
        <w:tc>
          <w:tcPr>
            <w:tcW w:w="0" w:type="auto"/>
            <w:vAlign w:val="center"/>
            <w:hideMark/>
          </w:tcPr>
          <w:p w14:paraId="1406E25D" w14:textId="77777777" w:rsidR="003C0490" w:rsidRPr="00B56DAF" w:rsidRDefault="003C0490" w:rsidP="006A59B0">
            <w:pPr>
              <w:pStyle w:val="NoSpacing"/>
              <w:rPr>
                <w:rFonts w:eastAsia="Times New Roman"/>
                <w:sz w:val="20"/>
              </w:rPr>
            </w:pPr>
            <w:r w:rsidRPr="00B56DAF">
              <w:rPr>
                <w:rFonts w:eastAsia="Times New Roman"/>
                <w:sz w:val="20"/>
              </w:rPr>
              <w:t>’16-17yo’</w:t>
            </w:r>
          </w:p>
          <w:p w14:paraId="6726C008" w14:textId="77777777" w:rsidR="003C0490" w:rsidRPr="00B56DAF" w:rsidRDefault="003C0490" w:rsidP="006A59B0">
            <w:pPr>
              <w:pStyle w:val="NoSpacing"/>
              <w:rPr>
                <w:rFonts w:eastAsia="Times New Roman"/>
                <w:sz w:val="20"/>
              </w:rPr>
            </w:pPr>
            <w:r w:rsidRPr="00B56DAF">
              <w:rPr>
                <w:rFonts w:eastAsia="Times New Roman"/>
                <w:sz w:val="20"/>
              </w:rPr>
              <w:t>Under 18</w:t>
            </w:r>
          </w:p>
        </w:tc>
        <w:tc>
          <w:tcPr>
            <w:tcW w:w="0" w:type="auto"/>
            <w:vAlign w:val="center"/>
            <w:hideMark/>
          </w:tcPr>
          <w:p w14:paraId="54A1E03A" w14:textId="77777777" w:rsidR="003C0490" w:rsidRPr="00B56DAF" w:rsidRDefault="003C0490" w:rsidP="006A59B0">
            <w:pPr>
              <w:pStyle w:val="NoSpacing"/>
              <w:rPr>
                <w:rFonts w:eastAsia="Times New Roman"/>
                <w:sz w:val="20"/>
              </w:rPr>
            </w:pPr>
            <w:r w:rsidRPr="00B56DAF">
              <w:rPr>
                <w:rFonts w:eastAsia="Times New Roman"/>
                <w:sz w:val="20"/>
              </w:rPr>
              <w:t>‘</w:t>
            </w:r>
            <w:r>
              <w:rPr>
                <w:rFonts w:eastAsia="Times New Roman"/>
                <w:sz w:val="20"/>
              </w:rPr>
              <w:t>NMW</w:t>
            </w:r>
            <w:r w:rsidRPr="00B56DAF">
              <w:rPr>
                <w:rFonts w:eastAsia="Times New Roman"/>
                <w:sz w:val="20"/>
              </w:rPr>
              <w:t>AR’</w:t>
            </w:r>
          </w:p>
          <w:p w14:paraId="6123EB6F" w14:textId="77777777" w:rsidR="003C0490" w:rsidRPr="00B56DAF" w:rsidRDefault="003C0490" w:rsidP="006A59B0">
            <w:pPr>
              <w:pStyle w:val="NoSpacing"/>
              <w:rPr>
                <w:rFonts w:eastAsia="Times New Roman"/>
                <w:sz w:val="20"/>
              </w:rPr>
            </w:pPr>
            <w:r w:rsidRPr="00B56DAF">
              <w:rPr>
                <w:rFonts w:eastAsia="Times New Roman"/>
                <w:sz w:val="20"/>
              </w:rPr>
              <w:t>Apprentices</w:t>
            </w:r>
          </w:p>
        </w:tc>
      </w:tr>
      <w:tr w:rsidR="003C0490" w:rsidRPr="00B56DAF" w14:paraId="2BE0CE3A" w14:textId="77777777" w:rsidTr="006A59B0">
        <w:trPr>
          <w:tblCellSpacing w:w="0" w:type="dxa"/>
          <w:jc w:val="center"/>
        </w:trPr>
        <w:tc>
          <w:tcPr>
            <w:tcW w:w="0" w:type="auto"/>
          </w:tcPr>
          <w:p w14:paraId="7439E80C" w14:textId="77777777" w:rsidR="003C0490" w:rsidRPr="00B56DAF" w:rsidRDefault="003C0490" w:rsidP="006A59B0">
            <w:pPr>
              <w:pStyle w:val="NoSpacing"/>
              <w:rPr>
                <w:rFonts w:eastAsia="Times New Roman"/>
                <w:sz w:val="20"/>
              </w:rPr>
            </w:pPr>
            <w:r w:rsidRPr="00B56DAF">
              <w:rPr>
                <w:rFonts w:eastAsia="Times New Roman"/>
                <w:sz w:val="20"/>
              </w:rPr>
              <w:t>2010</w:t>
            </w:r>
          </w:p>
        </w:tc>
        <w:tc>
          <w:tcPr>
            <w:tcW w:w="0" w:type="auto"/>
          </w:tcPr>
          <w:p w14:paraId="6C880B91" w14:textId="77777777" w:rsidR="003C0490" w:rsidRPr="00B56DAF" w:rsidRDefault="003C0490" w:rsidP="006A59B0">
            <w:pPr>
              <w:pStyle w:val="NoSpacing"/>
              <w:rPr>
                <w:rFonts w:eastAsia="Times New Roman"/>
                <w:sz w:val="20"/>
              </w:rPr>
            </w:pPr>
            <w:r w:rsidRPr="00B56DAF">
              <w:rPr>
                <w:rFonts w:eastAsia="Times New Roman"/>
                <w:sz w:val="20"/>
              </w:rPr>
              <w:t>£5.93</w:t>
            </w:r>
          </w:p>
        </w:tc>
        <w:tc>
          <w:tcPr>
            <w:tcW w:w="0" w:type="auto"/>
          </w:tcPr>
          <w:p w14:paraId="3A30B994" w14:textId="77777777" w:rsidR="003C0490" w:rsidRPr="00B56DAF" w:rsidRDefault="003C0490" w:rsidP="006A59B0">
            <w:pPr>
              <w:pStyle w:val="NoSpacing"/>
              <w:rPr>
                <w:sz w:val="20"/>
              </w:rPr>
            </w:pPr>
            <w:r w:rsidRPr="00B56DAF">
              <w:rPr>
                <w:sz w:val="20"/>
              </w:rPr>
              <w:t>£4.83</w:t>
            </w:r>
          </w:p>
        </w:tc>
        <w:tc>
          <w:tcPr>
            <w:tcW w:w="0" w:type="auto"/>
          </w:tcPr>
          <w:p w14:paraId="7A4C3F00" w14:textId="77777777" w:rsidR="003C0490" w:rsidRPr="00B56DAF" w:rsidRDefault="003C0490" w:rsidP="006A59B0">
            <w:pPr>
              <w:pStyle w:val="NoSpacing"/>
              <w:rPr>
                <w:rFonts w:eastAsia="Times New Roman"/>
                <w:sz w:val="20"/>
              </w:rPr>
            </w:pPr>
            <w:r w:rsidRPr="00B56DAF">
              <w:rPr>
                <w:rFonts w:eastAsia="Times New Roman"/>
                <w:sz w:val="20"/>
              </w:rPr>
              <w:t>£3.64</w:t>
            </w:r>
          </w:p>
        </w:tc>
        <w:tc>
          <w:tcPr>
            <w:tcW w:w="0" w:type="auto"/>
          </w:tcPr>
          <w:p w14:paraId="5A19D3D7" w14:textId="77777777" w:rsidR="003C0490" w:rsidRPr="00B56DAF" w:rsidRDefault="003C0490" w:rsidP="006A59B0">
            <w:pPr>
              <w:pStyle w:val="NoSpacing"/>
              <w:rPr>
                <w:rFonts w:eastAsia="Times New Roman"/>
                <w:sz w:val="20"/>
              </w:rPr>
            </w:pPr>
            <w:r w:rsidRPr="00B56DAF">
              <w:rPr>
                <w:rFonts w:eastAsia="Times New Roman"/>
                <w:sz w:val="20"/>
              </w:rPr>
              <w:t>£2.50</w:t>
            </w:r>
          </w:p>
        </w:tc>
      </w:tr>
      <w:tr w:rsidR="003C0490" w:rsidRPr="00B56DAF" w14:paraId="03C8E3E6" w14:textId="77777777" w:rsidTr="006A59B0">
        <w:trPr>
          <w:tblCellSpacing w:w="0" w:type="dxa"/>
          <w:jc w:val="center"/>
        </w:trPr>
        <w:tc>
          <w:tcPr>
            <w:tcW w:w="0" w:type="auto"/>
            <w:hideMark/>
          </w:tcPr>
          <w:p w14:paraId="6A5448DB" w14:textId="77777777" w:rsidR="003C0490" w:rsidRPr="00B56DAF" w:rsidRDefault="003C0490" w:rsidP="006A59B0">
            <w:pPr>
              <w:pStyle w:val="NoSpacing"/>
              <w:rPr>
                <w:rFonts w:eastAsia="Times New Roman"/>
                <w:sz w:val="20"/>
              </w:rPr>
            </w:pPr>
            <w:r w:rsidRPr="00B56DAF">
              <w:rPr>
                <w:rFonts w:eastAsia="Times New Roman"/>
                <w:sz w:val="20"/>
              </w:rPr>
              <w:t>2011</w:t>
            </w:r>
          </w:p>
        </w:tc>
        <w:tc>
          <w:tcPr>
            <w:tcW w:w="0" w:type="auto"/>
            <w:hideMark/>
          </w:tcPr>
          <w:p w14:paraId="3E7BE5D5" w14:textId="77777777" w:rsidR="003C0490" w:rsidRPr="00B56DAF" w:rsidRDefault="003C0490" w:rsidP="006A59B0">
            <w:pPr>
              <w:pStyle w:val="NoSpacing"/>
              <w:rPr>
                <w:rFonts w:eastAsia="Times New Roman"/>
                <w:sz w:val="20"/>
              </w:rPr>
            </w:pPr>
            <w:r w:rsidRPr="00B56DAF">
              <w:rPr>
                <w:rFonts w:eastAsia="Times New Roman"/>
                <w:sz w:val="20"/>
              </w:rPr>
              <w:t>£6.08</w:t>
            </w:r>
          </w:p>
        </w:tc>
        <w:tc>
          <w:tcPr>
            <w:tcW w:w="0" w:type="auto"/>
            <w:hideMark/>
          </w:tcPr>
          <w:p w14:paraId="322CE1EA" w14:textId="77777777" w:rsidR="003C0490" w:rsidRPr="00B56DAF" w:rsidRDefault="003C0490" w:rsidP="006A59B0">
            <w:pPr>
              <w:pStyle w:val="NoSpacing"/>
              <w:rPr>
                <w:rFonts w:eastAsia="Times New Roman"/>
                <w:sz w:val="20"/>
              </w:rPr>
            </w:pPr>
            <w:r w:rsidRPr="00B56DAF">
              <w:rPr>
                <w:rFonts w:eastAsia="Times New Roman"/>
                <w:sz w:val="20"/>
              </w:rPr>
              <w:t>£4.98</w:t>
            </w:r>
          </w:p>
        </w:tc>
        <w:tc>
          <w:tcPr>
            <w:tcW w:w="0" w:type="auto"/>
            <w:hideMark/>
          </w:tcPr>
          <w:p w14:paraId="7EE3970F" w14:textId="77777777" w:rsidR="003C0490" w:rsidRPr="00B56DAF" w:rsidRDefault="003C0490" w:rsidP="006A59B0">
            <w:pPr>
              <w:pStyle w:val="NoSpacing"/>
              <w:rPr>
                <w:rFonts w:eastAsia="Times New Roman"/>
                <w:sz w:val="20"/>
              </w:rPr>
            </w:pPr>
            <w:r w:rsidRPr="00B56DAF">
              <w:rPr>
                <w:rFonts w:eastAsia="Times New Roman"/>
                <w:sz w:val="20"/>
              </w:rPr>
              <w:t>£3.68</w:t>
            </w:r>
          </w:p>
        </w:tc>
        <w:tc>
          <w:tcPr>
            <w:tcW w:w="0" w:type="auto"/>
            <w:hideMark/>
          </w:tcPr>
          <w:p w14:paraId="7C271E78" w14:textId="77777777" w:rsidR="003C0490" w:rsidRPr="00B56DAF" w:rsidRDefault="003C0490" w:rsidP="006A59B0">
            <w:pPr>
              <w:pStyle w:val="NoSpacing"/>
              <w:rPr>
                <w:rFonts w:eastAsia="Times New Roman"/>
                <w:sz w:val="20"/>
              </w:rPr>
            </w:pPr>
            <w:r w:rsidRPr="00B56DAF">
              <w:rPr>
                <w:rFonts w:eastAsia="Times New Roman"/>
                <w:sz w:val="20"/>
              </w:rPr>
              <w:t>£2.60</w:t>
            </w:r>
          </w:p>
        </w:tc>
      </w:tr>
      <w:tr w:rsidR="003C0490" w:rsidRPr="00B56DAF" w14:paraId="5F8E1C66" w14:textId="77777777" w:rsidTr="006A59B0">
        <w:trPr>
          <w:tblCellSpacing w:w="0" w:type="dxa"/>
          <w:jc w:val="center"/>
        </w:trPr>
        <w:tc>
          <w:tcPr>
            <w:tcW w:w="0" w:type="auto"/>
            <w:hideMark/>
          </w:tcPr>
          <w:p w14:paraId="4CDB9D3C" w14:textId="77777777" w:rsidR="003C0490" w:rsidRPr="00B56DAF" w:rsidRDefault="003C0490" w:rsidP="006A59B0">
            <w:pPr>
              <w:pStyle w:val="NoSpacing"/>
              <w:rPr>
                <w:rFonts w:eastAsia="Times New Roman"/>
                <w:sz w:val="20"/>
              </w:rPr>
            </w:pPr>
            <w:r w:rsidRPr="00B56DAF">
              <w:rPr>
                <w:rFonts w:eastAsia="Times New Roman"/>
                <w:sz w:val="20"/>
              </w:rPr>
              <w:t>2012</w:t>
            </w:r>
          </w:p>
        </w:tc>
        <w:tc>
          <w:tcPr>
            <w:tcW w:w="0" w:type="auto"/>
            <w:hideMark/>
          </w:tcPr>
          <w:p w14:paraId="202BE6DB" w14:textId="77777777" w:rsidR="003C0490" w:rsidRPr="00B56DAF" w:rsidRDefault="003C0490" w:rsidP="006A59B0">
            <w:pPr>
              <w:pStyle w:val="NoSpacing"/>
              <w:rPr>
                <w:rFonts w:eastAsia="Times New Roman"/>
                <w:sz w:val="20"/>
              </w:rPr>
            </w:pPr>
            <w:r w:rsidRPr="00B56DAF">
              <w:rPr>
                <w:rFonts w:eastAsia="Times New Roman"/>
                <w:sz w:val="20"/>
              </w:rPr>
              <w:t>£6.19</w:t>
            </w:r>
          </w:p>
        </w:tc>
        <w:tc>
          <w:tcPr>
            <w:tcW w:w="0" w:type="auto"/>
            <w:hideMark/>
          </w:tcPr>
          <w:p w14:paraId="4F443427" w14:textId="77777777" w:rsidR="003C0490" w:rsidRPr="00B56DAF" w:rsidRDefault="003C0490" w:rsidP="006A59B0">
            <w:pPr>
              <w:pStyle w:val="NoSpacing"/>
              <w:rPr>
                <w:rFonts w:eastAsia="Times New Roman"/>
                <w:sz w:val="20"/>
              </w:rPr>
            </w:pPr>
            <w:r w:rsidRPr="00B56DAF">
              <w:rPr>
                <w:rFonts w:eastAsia="Times New Roman"/>
                <w:sz w:val="20"/>
              </w:rPr>
              <w:t>£4.98</w:t>
            </w:r>
          </w:p>
        </w:tc>
        <w:tc>
          <w:tcPr>
            <w:tcW w:w="0" w:type="auto"/>
            <w:hideMark/>
          </w:tcPr>
          <w:p w14:paraId="069198C8" w14:textId="77777777" w:rsidR="003C0490" w:rsidRPr="00B56DAF" w:rsidRDefault="003C0490" w:rsidP="006A59B0">
            <w:pPr>
              <w:pStyle w:val="NoSpacing"/>
              <w:rPr>
                <w:rFonts w:eastAsia="Times New Roman"/>
                <w:sz w:val="20"/>
              </w:rPr>
            </w:pPr>
            <w:r w:rsidRPr="00B56DAF">
              <w:rPr>
                <w:rFonts w:eastAsia="Times New Roman"/>
                <w:sz w:val="20"/>
              </w:rPr>
              <w:t>£3.68</w:t>
            </w:r>
          </w:p>
        </w:tc>
        <w:tc>
          <w:tcPr>
            <w:tcW w:w="0" w:type="auto"/>
            <w:hideMark/>
          </w:tcPr>
          <w:p w14:paraId="1A9EF79E" w14:textId="77777777" w:rsidR="003C0490" w:rsidRPr="00B56DAF" w:rsidRDefault="003C0490" w:rsidP="006A59B0">
            <w:pPr>
              <w:pStyle w:val="NoSpacing"/>
              <w:rPr>
                <w:rFonts w:eastAsia="Times New Roman"/>
                <w:sz w:val="20"/>
              </w:rPr>
            </w:pPr>
            <w:r w:rsidRPr="00B56DAF">
              <w:rPr>
                <w:rFonts w:eastAsia="Times New Roman"/>
                <w:sz w:val="20"/>
              </w:rPr>
              <w:t>£2.65</w:t>
            </w:r>
          </w:p>
        </w:tc>
      </w:tr>
      <w:tr w:rsidR="003C0490" w:rsidRPr="00B56DAF" w14:paraId="3E916C3E" w14:textId="77777777" w:rsidTr="006A59B0">
        <w:trPr>
          <w:tblCellSpacing w:w="0" w:type="dxa"/>
          <w:jc w:val="center"/>
        </w:trPr>
        <w:tc>
          <w:tcPr>
            <w:tcW w:w="0" w:type="auto"/>
            <w:hideMark/>
          </w:tcPr>
          <w:p w14:paraId="69E45124" w14:textId="77777777" w:rsidR="003C0490" w:rsidRPr="00B56DAF" w:rsidRDefault="003C0490" w:rsidP="006A59B0">
            <w:pPr>
              <w:pStyle w:val="NoSpacing"/>
              <w:rPr>
                <w:rFonts w:eastAsia="Times New Roman"/>
                <w:sz w:val="20"/>
              </w:rPr>
            </w:pPr>
            <w:r w:rsidRPr="00B56DAF">
              <w:rPr>
                <w:rFonts w:eastAsia="Times New Roman"/>
                <w:sz w:val="20"/>
              </w:rPr>
              <w:lastRenderedPageBreak/>
              <w:t>2013</w:t>
            </w:r>
          </w:p>
        </w:tc>
        <w:tc>
          <w:tcPr>
            <w:tcW w:w="0" w:type="auto"/>
            <w:hideMark/>
          </w:tcPr>
          <w:p w14:paraId="7709B4FB" w14:textId="77777777" w:rsidR="003C0490" w:rsidRPr="00B56DAF" w:rsidRDefault="003C0490" w:rsidP="006A59B0">
            <w:pPr>
              <w:pStyle w:val="NoSpacing"/>
              <w:rPr>
                <w:rFonts w:eastAsia="Times New Roman"/>
                <w:sz w:val="20"/>
              </w:rPr>
            </w:pPr>
            <w:r w:rsidRPr="00B56DAF">
              <w:rPr>
                <w:rFonts w:eastAsia="Times New Roman"/>
                <w:sz w:val="20"/>
              </w:rPr>
              <w:t>£6.31</w:t>
            </w:r>
          </w:p>
        </w:tc>
        <w:tc>
          <w:tcPr>
            <w:tcW w:w="0" w:type="auto"/>
            <w:hideMark/>
          </w:tcPr>
          <w:p w14:paraId="4A70F865" w14:textId="77777777" w:rsidR="003C0490" w:rsidRPr="00B56DAF" w:rsidRDefault="003C0490" w:rsidP="006A59B0">
            <w:pPr>
              <w:pStyle w:val="NoSpacing"/>
              <w:rPr>
                <w:rFonts w:eastAsia="Times New Roman"/>
                <w:sz w:val="20"/>
              </w:rPr>
            </w:pPr>
            <w:r w:rsidRPr="00B56DAF">
              <w:rPr>
                <w:rFonts w:eastAsia="Times New Roman"/>
                <w:sz w:val="20"/>
              </w:rPr>
              <w:t>£5.03</w:t>
            </w:r>
          </w:p>
        </w:tc>
        <w:tc>
          <w:tcPr>
            <w:tcW w:w="0" w:type="auto"/>
            <w:hideMark/>
          </w:tcPr>
          <w:p w14:paraId="6AF6143A" w14:textId="77777777" w:rsidR="003C0490" w:rsidRPr="00B56DAF" w:rsidRDefault="003C0490" w:rsidP="006A59B0">
            <w:pPr>
              <w:pStyle w:val="NoSpacing"/>
              <w:rPr>
                <w:rFonts w:eastAsia="Times New Roman"/>
                <w:sz w:val="20"/>
              </w:rPr>
            </w:pPr>
            <w:r w:rsidRPr="00B56DAF">
              <w:rPr>
                <w:rFonts w:eastAsia="Times New Roman"/>
                <w:sz w:val="20"/>
              </w:rPr>
              <w:t>£3.72</w:t>
            </w:r>
          </w:p>
        </w:tc>
        <w:tc>
          <w:tcPr>
            <w:tcW w:w="0" w:type="auto"/>
            <w:hideMark/>
          </w:tcPr>
          <w:p w14:paraId="7D72F798" w14:textId="77777777" w:rsidR="003C0490" w:rsidRPr="00B56DAF" w:rsidRDefault="003C0490" w:rsidP="006A59B0">
            <w:pPr>
              <w:pStyle w:val="NoSpacing"/>
              <w:rPr>
                <w:rFonts w:eastAsia="Times New Roman"/>
                <w:sz w:val="20"/>
              </w:rPr>
            </w:pPr>
            <w:r w:rsidRPr="00B56DAF">
              <w:rPr>
                <w:rFonts w:eastAsia="Times New Roman"/>
                <w:sz w:val="20"/>
              </w:rPr>
              <w:t>£2.68</w:t>
            </w:r>
          </w:p>
        </w:tc>
      </w:tr>
      <w:tr w:rsidR="003C0490" w:rsidRPr="00B56DAF" w14:paraId="531D3A62" w14:textId="77777777" w:rsidTr="006A59B0">
        <w:trPr>
          <w:tblCellSpacing w:w="0" w:type="dxa"/>
          <w:jc w:val="center"/>
        </w:trPr>
        <w:tc>
          <w:tcPr>
            <w:tcW w:w="0" w:type="auto"/>
            <w:hideMark/>
          </w:tcPr>
          <w:p w14:paraId="6BF26142" w14:textId="77777777" w:rsidR="003C0490" w:rsidRPr="00B56DAF" w:rsidRDefault="003C0490" w:rsidP="006A59B0">
            <w:pPr>
              <w:pStyle w:val="NoSpacing"/>
              <w:rPr>
                <w:rFonts w:eastAsia="Times New Roman"/>
                <w:sz w:val="20"/>
              </w:rPr>
            </w:pPr>
            <w:r w:rsidRPr="00B56DAF">
              <w:rPr>
                <w:rFonts w:eastAsia="Times New Roman"/>
                <w:sz w:val="20"/>
              </w:rPr>
              <w:t>2014</w:t>
            </w:r>
          </w:p>
        </w:tc>
        <w:tc>
          <w:tcPr>
            <w:tcW w:w="0" w:type="auto"/>
            <w:hideMark/>
          </w:tcPr>
          <w:p w14:paraId="4C8A1FE8" w14:textId="77777777" w:rsidR="003C0490" w:rsidRPr="00B56DAF" w:rsidRDefault="003C0490" w:rsidP="006A59B0">
            <w:pPr>
              <w:pStyle w:val="NoSpacing"/>
              <w:rPr>
                <w:rFonts w:eastAsia="Times New Roman"/>
                <w:sz w:val="20"/>
              </w:rPr>
            </w:pPr>
            <w:r w:rsidRPr="00B56DAF">
              <w:rPr>
                <w:rFonts w:eastAsia="Times New Roman"/>
                <w:sz w:val="20"/>
              </w:rPr>
              <w:t>£6.50</w:t>
            </w:r>
          </w:p>
        </w:tc>
        <w:tc>
          <w:tcPr>
            <w:tcW w:w="0" w:type="auto"/>
            <w:hideMark/>
          </w:tcPr>
          <w:p w14:paraId="69F6D5BB" w14:textId="77777777" w:rsidR="003C0490" w:rsidRPr="00B56DAF" w:rsidRDefault="003C0490" w:rsidP="006A59B0">
            <w:pPr>
              <w:pStyle w:val="NoSpacing"/>
              <w:rPr>
                <w:rFonts w:eastAsia="Times New Roman"/>
                <w:sz w:val="20"/>
              </w:rPr>
            </w:pPr>
            <w:r w:rsidRPr="00B56DAF">
              <w:rPr>
                <w:rFonts w:eastAsia="Times New Roman"/>
                <w:sz w:val="20"/>
              </w:rPr>
              <w:t>£5.13</w:t>
            </w:r>
          </w:p>
        </w:tc>
        <w:tc>
          <w:tcPr>
            <w:tcW w:w="0" w:type="auto"/>
            <w:hideMark/>
          </w:tcPr>
          <w:p w14:paraId="3D724797" w14:textId="77777777" w:rsidR="003C0490" w:rsidRPr="00B56DAF" w:rsidRDefault="003C0490" w:rsidP="006A59B0">
            <w:pPr>
              <w:pStyle w:val="NoSpacing"/>
              <w:rPr>
                <w:rFonts w:eastAsia="Times New Roman"/>
                <w:sz w:val="20"/>
              </w:rPr>
            </w:pPr>
            <w:r w:rsidRPr="00B56DAF">
              <w:rPr>
                <w:rFonts w:eastAsia="Times New Roman"/>
                <w:sz w:val="20"/>
              </w:rPr>
              <w:t>£3.79</w:t>
            </w:r>
          </w:p>
        </w:tc>
        <w:tc>
          <w:tcPr>
            <w:tcW w:w="0" w:type="auto"/>
            <w:hideMark/>
          </w:tcPr>
          <w:p w14:paraId="643151D5" w14:textId="77777777" w:rsidR="003C0490" w:rsidRPr="00B56DAF" w:rsidRDefault="003C0490" w:rsidP="006A59B0">
            <w:pPr>
              <w:pStyle w:val="NoSpacing"/>
              <w:rPr>
                <w:rFonts w:eastAsia="Times New Roman"/>
                <w:sz w:val="20"/>
              </w:rPr>
            </w:pPr>
            <w:r w:rsidRPr="00B56DAF">
              <w:rPr>
                <w:rFonts w:eastAsia="Times New Roman"/>
                <w:sz w:val="20"/>
              </w:rPr>
              <w:t>£2.73</w:t>
            </w:r>
          </w:p>
        </w:tc>
      </w:tr>
      <w:tr w:rsidR="003C0490" w:rsidRPr="00B56DAF" w14:paraId="2168408D" w14:textId="77777777" w:rsidTr="006A59B0">
        <w:trPr>
          <w:tblCellSpacing w:w="0" w:type="dxa"/>
          <w:jc w:val="center"/>
        </w:trPr>
        <w:tc>
          <w:tcPr>
            <w:tcW w:w="0" w:type="auto"/>
            <w:hideMark/>
          </w:tcPr>
          <w:p w14:paraId="2355B1EC" w14:textId="77777777" w:rsidR="003C0490" w:rsidRPr="00B56DAF" w:rsidRDefault="003C0490" w:rsidP="006A59B0">
            <w:pPr>
              <w:pStyle w:val="NoSpacing"/>
              <w:rPr>
                <w:rFonts w:eastAsia="Times New Roman"/>
                <w:sz w:val="20"/>
              </w:rPr>
            </w:pPr>
            <w:r w:rsidRPr="00B56DAF">
              <w:rPr>
                <w:rFonts w:eastAsia="Times New Roman"/>
                <w:sz w:val="20"/>
              </w:rPr>
              <w:t>2015</w:t>
            </w:r>
          </w:p>
        </w:tc>
        <w:tc>
          <w:tcPr>
            <w:tcW w:w="0" w:type="auto"/>
            <w:hideMark/>
          </w:tcPr>
          <w:p w14:paraId="299768ED" w14:textId="77777777" w:rsidR="003C0490" w:rsidRPr="00B56DAF" w:rsidRDefault="003C0490" w:rsidP="006A59B0">
            <w:pPr>
              <w:pStyle w:val="NoSpacing"/>
              <w:rPr>
                <w:rFonts w:eastAsia="Times New Roman"/>
                <w:sz w:val="20"/>
              </w:rPr>
            </w:pPr>
            <w:r w:rsidRPr="00B56DAF">
              <w:rPr>
                <w:rFonts w:eastAsia="Times New Roman"/>
                <w:sz w:val="20"/>
              </w:rPr>
              <w:t>£6.70</w:t>
            </w:r>
          </w:p>
        </w:tc>
        <w:tc>
          <w:tcPr>
            <w:tcW w:w="0" w:type="auto"/>
            <w:hideMark/>
          </w:tcPr>
          <w:p w14:paraId="30A11CCC" w14:textId="77777777" w:rsidR="003C0490" w:rsidRPr="00B56DAF" w:rsidRDefault="003C0490" w:rsidP="006A59B0">
            <w:pPr>
              <w:pStyle w:val="NoSpacing"/>
              <w:rPr>
                <w:rFonts w:eastAsia="Times New Roman"/>
                <w:sz w:val="20"/>
              </w:rPr>
            </w:pPr>
            <w:r w:rsidRPr="00B56DAF">
              <w:rPr>
                <w:rFonts w:eastAsia="Times New Roman"/>
                <w:sz w:val="20"/>
              </w:rPr>
              <w:t>£5.30</w:t>
            </w:r>
          </w:p>
        </w:tc>
        <w:tc>
          <w:tcPr>
            <w:tcW w:w="0" w:type="auto"/>
            <w:hideMark/>
          </w:tcPr>
          <w:p w14:paraId="2FDA89A3" w14:textId="77777777" w:rsidR="003C0490" w:rsidRPr="00B56DAF" w:rsidRDefault="003C0490" w:rsidP="006A59B0">
            <w:pPr>
              <w:pStyle w:val="NoSpacing"/>
              <w:rPr>
                <w:rFonts w:eastAsia="Times New Roman"/>
                <w:sz w:val="20"/>
              </w:rPr>
            </w:pPr>
            <w:r w:rsidRPr="00B56DAF">
              <w:rPr>
                <w:rFonts w:eastAsia="Times New Roman"/>
                <w:sz w:val="20"/>
              </w:rPr>
              <w:t>£3.87</w:t>
            </w:r>
          </w:p>
        </w:tc>
        <w:tc>
          <w:tcPr>
            <w:tcW w:w="0" w:type="auto"/>
            <w:hideMark/>
          </w:tcPr>
          <w:p w14:paraId="6DDF0FA6" w14:textId="77777777" w:rsidR="003C0490" w:rsidRPr="00B56DAF" w:rsidRDefault="003C0490" w:rsidP="006A59B0">
            <w:pPr>
              <w:pStyle w:val="NoSpacing"/>
              <w:rPr>
                <w:rFonts w:eastAsia="Times New Roman"/>
                <w:sz w:val="20"/>
              </w:rPr>
            </w:pPr>
            <w:r w:rsidRPr="00B56DAF">
              <w:rPr>
                <w:rFonts w:eastAsia="Times New Roman"/>
                <w:sz w:val="20"/>
              </w:rPr>
              <w:t>£3.30</w:t>
            </w:r>
          </w:p>
        </w:tc>
      </w:tr>
    </w:tbl>
    <w:p w14:paraId="378134C5" w14:textId="3091EEBE" w:rsidR="00E37AE1" w:rsidRDefault="00E37AE1" w:rsidP="003C0490"/>
    <w:p w14:paraId="6980C21E" w14:textId="77777777" w:rsidR="00E37AE1" w:rsidRDefault="00E37AE1">
      <w:pPr>
        <w:spacing w:line="276" w:lineRule="auto"/>
      </w:pPr>
      <w:r>
        <w:br w:type="page"/>
      </w:r>
    </w:p>
    <w:p w14:paraId="3308CE43" w14:textId="77777777" w:rsidR="003C0490" w:rsidRDefault="003C0490" w:rsidP="00E37AE1">
      <w:pPr>
        <w:pStyle w:val="Caption"/>
      </w:pPr>
      <w:r>
        <w:lastRenderedPageBreak/>
        <w:t xml:space="preserve">Table </w:t>
      </w:r>
      <w:fldSimple w:instr=" SEQ Table \* ARABIC ">
        <w:r w:rsidR="00BF2BB7">
          <w:rPr>
            <w:noProof/>
          </w:rPr>
          <w:t>2</w:t>
        </w:r>
      </w:fldSimple>
      <w:r>
        <w:t xml:space="preserve"> </w:t>
      </w:r>
      <w:r w:rsidRPr="000B5655">
        <w:t>Overall non-compliance rates</w:t>
      </w:r>
      <w:r>
        <w:t xml:space="preserve"> for apprentices (in % of total apprentices)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4"/>
        <w:gridCol w:w="770"/>
        <w:gridCol w:w="770"/>
        <w:gridCol w:w="770"/>
        <w:gridCol w:w="764"/>
        <w:gridCol w:w="764"/>
        <w:gridCol w:w="663"/>
      </w:tblGrid>
      <w:tr w:rsidR="003C0490" w14:paraId="5BD5B804" w14:textId="77777777" w:rsidTr="00E37AE1">
        <w:trPr>
          <w:trHeight w:val="297"/>
          <w:jc w:val="center"/>
        </w:trPr>
        <w:tc>
          <w:tcPr>
            <w:tcW w:w="0" w:type="auto"/>
            <w:vMerge w:val="restart"/>
          </w:tcPr>
          <w:p w14:paraId="73DDAD23" w14:textId="77777777" w:rsidR="003C0490" w:rsidRDefault="003C0490" w:rsidP="006A59B0">
            <w:pPr>
              <w:keepNext/>
              <w:keepLines/>
              <w:jc w:val="center"/>
              <w:rPr>
                <w:b/>
              </w:rPr>
            </w:pPr>
            <w:r>
              <w:rPr>
                <w:b/>
              </w:rPr>
              <w:t>Eligible NMW</w:t>
            </w:r>
          </w:p>
        </w:tc>
        <w:tc>
          <w:tcPr>
            <w:tcW w:w="0" w:type="auto"/>
            <w:gridSpan w:val="6"/>
          </w:tcPr>
          <w:p w14:paraId="1A481EE3" w14:textId="77777777" w:rsidR="003C0490" w:rsidRDefault="003C0490" w:rsidP="006A59B0">
            <w:pPr>
              <w:keepNext/>
              <w:keepLines/>
              <w:jc w:val="center"/>
              <w:rPr>
                <w:b/>
              </w:rPr>
            </w:pPr>
            <w:r>
              <w:rPr>
                <w:b/>
              </w:rPr>
              <w:t>Non-compliance</w:t>
            </w:r>
          </w:p>
        </w:tc>
      </w:tr>
      <w:tr w:rsidR="003C0490" w14:paraId="5D8AFBDC" w14:textId="77777777" w:rsidTr="00E37AE1">
        <w:trPr>
          <w:trHeight w:val="341"/>
          <w:jc w:val="center"/>
        </w:trPr>
        <w:tc>
          <w:tcPr>
            <w:tcW w:w="0" w:type="auto"/>
            <w:vMerge/>
          </w:tcPr>
          <w:p w14:paraId="31014B38" w14:textId="77777777" w:rsidR="003C0490" w:rsidRDefault="003C0490" w:rsidP="006A59B0">
            <w:pPr>
              <w:keepNext/>
              <w:keepLines/>
              <w:jc w:val="center"/>
              <w:rPr>
                <w:b/>
              </w:rPr>
            </w:pPr>
          </w:p>
        </w:tc>
        <w:tc>
          <w:tcPr>
            <w:tcW w:w="0" w:type="auto"/>
            <w:gridSpan w:val="3"/>
          </w:tcPr>
          <w:p w14:paraId="19AF6E0D" w14:textId="77777777" w:rsidR="003C0490" w:rsidRDefault="003C0490" w:rsidP="006A59B0">
            <w:pPr>
              <w:keepNext/>
              <w:keepLines/>
              <w:jc w:val="center"/>
              <w:rPr>
                <w:b/>
              </w:rPr>
            </w:pPr>
            <w:r>
              <w:rPr>
                <w:b/>
              </w:rPr>
              <w:t>APS</w:t>
            </w:r>
          </w:p>
        </w:tc>
        <w:tc>
          <w:tcPr>
            <w:tcW w:w="0" w:type="auto"/>
            <w:gridSpan w:val="3"/>
          </w:tcPr>
          <w:p w14:paraId="7A1D9FDE" w14:textId="77777777" w:rsidR="003C0490" w:rsidRDefault="003C0490" w:rsidP="006A59B0">
            <w:pPr>
              <w:keepNext/>
              <w:keepLines/>
              <w:jc w:val="center"/>
              <w:rPr>
                <w:b/>
              </w:rPr>
            </w:pPr>
            <w:r>
              <w:rPr>
                <w:b/>
              </w:rPr>
              <w:t>ASHE</w:t>
            </w:r>
          </w:p>
        </w:tc>
      </w:tr>
      <w:tr w:rsidR="003C0490" w14:paraId="42E4B1DF" w14:textId="77777777" w:rsidTr="00E37AE1">
        <w:trPr>
          <w:trHeight w:val="290"/>
          <w:jc w:val="center"/>
        </w:trPr>
        <w:tc>
          <w:tcPr>
            <w:tcW w:w="0" w:type="auto"/>
            <w:vMerge/>
          </w:tcPr>
          <w:p w14:paraId="37ED1CA3" w14:textId="77777777" w:rsidR="003C0490" w:rsidRDefault="003C0490" w:rsidP="006A59B0">
            <w:pPr>
              <w:keepNext/>
              <w:keepLines/>
              <w:jc w:val="center"/>
              <w:rPr>
                <w:b/>
              </w:rPr>
            </w:pPr>
          </w:p>
        </w:tc>
        <w:tc>
          <w:tcPr>
            <w:tcW w:w="0" w:type="auto"/>
          </w:tcPr>
          <w:p w14:paraId="1E705A68" w14:textId="77777777" w:rsidR="003C0490" w:rsidRDefault="003C0490" w:rsidP="006A59B0">
            <w:pPr>
              <w:keepNext/>
              <w:keepLines/>
              <w:jc w:val="center"/>
              <w:rPr>
                <w:b/>
              </w:rPr>
            </w:pPr>
            <w:r>
              <w:rPr>
                <w:b/>
              </w:rPr>
              <w:t>2011</w:t>
            </w:r>
          </w:p>
        </w:tc>
        <w:tc>
          <w:tcPr>
            <w:tcW w:w="0" w:type="auto"/>
          </w:tcPr>
          <w:p w14:paraId="5748FC4E" w14:textId="77777777" w:rsidR="003C0490" w:rsidRDefault="003C0490" w:rsidP="006A59B0">
            <w:pPr>
              <w:keepNext/>
              <w:keepLines/>
              <w:jc w:val="center"/>
              <w:rPr>
                <w:b/>
              </w:rPr>
            </w:pPr>
            <w:r>
              <w:rPr>
                <w:b/>
              </w:rPr>
              <w:t>2012</w:t>
            </w:r>
          </w:p>
        </w:tc>
        <w:tc>
          <w:tcPr>
            <w:tcW w:w="0" w:type="auto"/>
          </w:tcPr>
          <w:p w14:paraId="260422D7" w14:textId="77777777" w:rsidR="003C0490" w:rsidRDefault="003C0490" w:rsidP="006A59B0">
            <w:pPr>
              <w:keepNext/>
              <w:keepLines/>
              <w:jc w:val="center"/>
              <w:rPr>
                <w:b/>
              </w:rPr>
            </w:pPr>
            <w:r>
              <w:rPr>
                <w:b/>
              </w:rPr>
              <w:t>2014</w:t>
            </w:r>
          </w:p>
        </w:tc>
        <w:tc>
          <w:tcPr>
            <w:tcW w:w="0" w:type="auto"/>
          </w:tcPr>
          <w:p w14:paraId="07B9582B" w14:textId="77777777" w:rsidR="003C0490" w:rsidRDefault="003C0490" w:rsidP="006A59B0">
            <w:pPr>
              <w:keepNext/>
              <w:keepLines/>
              <w:jc w:val="center"/>
              <w:rPr>
                <w:b/>
              </w:rPr>
            </w:pPr>
            <w:r>
              <w:rPr>
                <w:b/>
              </w:rPr>
              <w:t>2013</w:t>
            </w:r>
          </w:p>
        </w:tc>
        <w:tc>
          <w:tcPr>
            <w:tcW w:w="0" w:type="auto"/>
          </w:tcPr>
          <w:p w14:paraId="6C7816BA" w14:textId="77777777" w:rsidR="003C0490" w:rsidRDefault="003C0490" w:rsidP="006A59B0">
            <w:pPr>
              <w:keepNext/>
              <w:keepLines/>
              <w:jc w:val="center"/>
              <w:rPr>
                <w:b/>
              </w:rPr>
            </w:pPr>
            <w:r>
              <w:rPr>
                <w:b/>
              </w:rPr>
              <w:t>2014</w:t>
            </w:r>
          </w:p>
        </w:tc>
        <w:tc>
          <w:tcPr>
            <w:tcW w:w="0" w:type="auto"/>
          </w:tcPr>
          <w:p w14:paraId="560CC4BF" w14:textId="77777777" w:rsidR="003C0490" w:rsidRDefault="003C0490" w:rsidP="006A59B0">
            <w:pPr>
              <w:keepNext/>
              <w:keepLines/>
              <w:jc w:val="center"/>
              <w:rPr>
                <w:b/>
              </w:rPr>
            </w:pPr>
            <w:r>
              <w:rPr>
                <w:b/>
              </w:rPr>
              <w:t>2015</w:t>
            </w:r>
          </w:p>
        </w:tc>
      </w:tr>
      <w:tr w:rsidR="003C0490" w14:paraId="17AE4D5E" w14:textId="77777777" w:rsidTr="00E37AE1">
        <w:trPr>
          <w:trHeight w:val="322"/>
          <w:jc w:val="center"/>
        </w:trPr>
        <w:tc>
          <w:tcPr>
            <w:tcW w:w="0" w:type="auto"/>
            <w:hideMark/>
          </w:tcPr>
          <w:p w14:paraId="5A8893B9" w14:textId="77777777" w:rsidR="003C0490" w:rsidRDefault="003C0490" w:rsidP="006A59B0">
            <w:pPr>
              <w:keepNext/>
              <w:keepLines/>
              <w:jc w:val="center"/>
            </w:pPr>
            <w:r>
              <w:t>AR (first year or 16-18)</w:t>
            </w:r>
          </w:p>
        </w:tc>
        <w:tc>
          <w:tcPr>
            <w:tcW w:w="0" w:type="auto"/>
          </w:tcPr>
          <w:p w14:paraId="449806A2" w14:textId="77777777" w:rsidR="003C0490" w:rsidRDefault="003C0490" w:rsidP="006A59B0">
            <w:pPr>
              <w:keepNext/>
              <w:keepLines/>
              <w:jc w:val="right"/>
            </w:pPr>
            <w:r>
              <w:t>11.2%</w:t>
            </w:r>
          </w:p>
        </w:tc>
        <w:tc>
          <w:tcPr>
            <w:tcW w:w="0" w:type="auto"/>
          </w:tcPr>
          <w:p w14:paraId="17435A4F" w14:textId="77777777" w:rsidR="003C0490" w:rsidRDefault="003C0490" w:rsidP="006A59B0">
            <w:pPr>
              <w:keepNext/>
              <w:keepLines/>
              <w:jc w:val="right"/>
              <w:rPr>
                <w:rFonts w:ascii="Calibri" w:hAnsi="Calibri"/>
                <w:color w:val="000000"/>
              </w:rPr>
            </w:pPr>
            <w:r>
              <w:rPr>
                <w:rFonts w:ascii="Calibri" w:hAnsi="Calibri"/>
                <w:color w:val="000000"/>
              </w:rPr>
              <w:t>16.5%</w:t>
            </w:r>
          </w:p>
        </w:tc>
        <w:tc>
          <w:tcPr>
            <w:tcW w:w="0" w:type="auto"/>
          </w:tcPr>
          <w:p w14:paraId="0DEC39EE" w14:textId="77777777" w:rsidR="003C0490" w:rsidRDefault="003C0490" w:rsidP="006A59B0">
            <w:pPr>
              <w:keepNext/>
              <w:keepLines/>
              <w:jc w:val="right"/>
              <w:rPr>
                <w:rFonts w:ascii="Calibri" w:hAnsi="Calibri"/>
                <w:color w:val="000000"/>
              </w:rPr>
            </w:pPr>
            <w:r>
              <w:rPr>
                <w:rFonts w:ascii="Calibri" w:hAnsi="Calibri"/>
                <w:color w:val="000000"/>
              </w:rPr>
              <w:t>10.2%</w:t>
            </w:r>
          </w:p>
        </w:tc>
        <w:tc>
          <w:tcPr>
            <w:tcW w:w="0" w:type="auto"/>
          </w:tcPr>
          <w:p w14:paraId="3A771FE6" w14:textId="77777777" w:rsidR="003C0490" w:rsidRDefault="003C0490" w:rsidP="006A59B0">
            <w:pPr>
              <w:keepNext/>
              <w:keepLines/>
              <w:jc w:val="right"/>
              <w:rPr>
                <w:rFonts w:ascii="Calibri" w:hAnsi="Calibri"/>
                <w:color w:val="000000"/>
              </w:rPr>
            </w:pPr>
            <w:r>
              <w:rPr>
                <w:rFonts w:ascii="Calibri" w:hAnsi="Calibri"/>
                <w:color w:val="000000"/>
              </w:rPr>
              <w:t>3.0%</w:t>
            </w:r>
          </w:p>
        </w:tc>
        <w:tc>
          <w:tcPr>
            <w:tcW w:w="0" w:type="auto"/>
          </w:tcPr>
          <w:p w14:paraId="070F9C7D" w14:textId="77777777" w:rsidR="003C0490" w:rsidRDefault="003C0490" w:rsidP="006A59B0">
            <w:pPr>
              <w:keepNext/>
              <w:keepLines/>
              <w:jc w:val="right"/>
              <w:rPr>
                <w:rFonts w:ascii="Calibri" w:hAnsi="Calibri"/>
                <w:color w:val="000000"/>
              </w:rPr>
            </w:pPr>
            <w:r>
              <w:rPr>
                <w:rFonts w:ascii="Calibri" w:hAnsi="Calibri"/>
                <w:color w:val="000000"/>
              </w:rPr>
              <w:t>2.4%</w:t>
            </w:r>
          </w:p>
        </w:tc>
        <w:tc>
          <w:tcPr>
            <w:tcW w:w="0" w:type="auto"/>
          </w:tcPr>
          <w:p w14:paraId="7CF32A65" w14:textId="77777777" w:rsidR="003C0490" w:rsidRDefault="003C0490" w:rsidP="006A59B0">
            <w:pPr>
              <w:keepNext/>
              <w:keepLines/>
              <w:jc w:val="right"/>
              <w:rPr>
                <w:rFonts w:ascii="Calibri" w:hAnsi="Calibri"/>
                <w:color w:val="000000"/>
              </w:rPr>
            </w:pPr>
            <w:r>
              <w:rPr>
                <w:rFonts w:ascii="Calibri" w:hAnsi="Calibri"/>
                <w:color w:val="000000"/>
              </w:rPr>
              <w:t>1.1%</w:t>
            </w:r>
          </w:p>
        </w:tc>
      </w:tr>
      <w:tr w:rsidR="003C0490" w14:paraId="2F9440DA" w14:textId="77777777" w:rsidTr="00E37AE1">
        <w:trPr>
          <w:trHeight w:val="333"/>
          <w:jc w:val="center"/>
        </w:trPr>
        <w:tc>
          <w:tcPr>
            <w:tcW w:w="0" w:type="auto"/>
            <w:hideMark/>
          </w:tcPr>
          <w:p w14:paraId="14DADF8D" w14:textId="77777777" w:rsidR="003C0490" w:rsidRDefault="003C0490" w:rsidP="006A59B0">
            <w:pPr>
              <w:keepNext/>
              <w:keepLines/>
              <w:jc w:val="center"/>
            </w:pPr>
            <w:r>
              <w:t>YDR (second or later year, and aged 19-20)</w:t>
            </w:r>
          </w:p>
        </w:tc>
        <w:tc>
          <w:tcPr>
            <w:tcW w:w="0" w:type="auto"/>
          </w:tcPr>
          <w:p w14:paraId="2BBED3E1" w14:textId="77777777" w:rsidR="003C0490" w:rsidRDefault="003C0490" w:rsidP="006A59B0">
            <w:pPr>
              <w:keepNext/>
              <w:keepLines/>
              <w:jc w:val="right"/>
            </w:pPr>
            <w:r>
              <w:t>46.9%</w:t>
            </w:r>
          </w:p>
        </w:tc>
        <w:tc>
          <w:tcPr>
            <w:tcW w:w="0" w:type="auto"/>
          </w:tcPr>
          <w:p w14:paraId="52D3264B" w14:textId="77777777" w:rsidR="003C0490" w:rsidRDefault="003C0490" w:rsidP="006A59B0">
            <w:pPr>
              <w:keepNext/>
              <w:keepLines/>
              <w:jc w:val="right"/>
              <w:rPr>
                <w:rFonts w:ascii="Calibri" w:hAnsi="Calibri"/>
                <w:color w:val="000000"/>
              </w:rPr>
            </w:pPr>
            <w:r>
              <w:rPr>
                <w:rFonts w:ascii="Calibri" w:hAnsi="Calibri"/>
                <w:color w:val="000000"/>
              </w:rPr>
              <w:t>54.7%</w:t>
            </w:r>
          </w:p>
        </w:tc>
        <w:tc>
          <w:tcPr>
            <w:tcW w:w="0" w:type="auto"/>
          </w:tcPr>
          <w:p w14:paraId="0970F6FF" w14:textId="77777777" w:rsidR="003C0490" w:rsidRDefault="003C0490" w:rsidP="006A59B0">
            <w:pPr>
              <w:keepNext/>
              <w:keepLines/>
              <w:jc w:val="right"/>
              <w:rPr>
                <w:rFonts w:ascii="Calibri" w:hAnsi="Calibri"/>
                <w:color w:val="000000"/>
              </w:rPr>
            </w:pPr>
            <w:r>
              <w:rPr>
                <w:rFonts w:ascii="Calibri" w:hAnsi="Calibri"/>
                <w:color w:val="000000"/>
              </w:rPr>
              <w:t>33.0%</w:t>
            </w:r>
          </w:p>
        </w:tc>
        <w:tc>
          <w:tcPr>
            <w:tcW w:w="0" w:type="auto"/>
          </w:tcPr>
          <w:p w14:paraId="4DC04FC1" w14:textId="77777777" w:rsidR="003C0490" w:rsidRDefault="003C0490" w:rsidP="006A59B0">
            <w:pPr>
              <w:keepNext/>
              <w:keepLines/>
              <w:jc w:val="right"/>
              <w:rPr>
                <w:rFonts w:ascii="Calibri" w:hAnsi="Calibri"/>
                <w:color w:val="000000"/>
              </w:rPr>
            </w:pPr>
            <w:r>
              <w:rPr>
                <w:rFonts w:ascii="Calibri" w:hAnsi="Calibri"/>
                <w:color w:val="000000"/>
              </w:rPr>
              <w:t>10.7%</w:t>
            </w:r>
          </w:p>
        </w:tc>
        <w:tc>
          <w:tcPr>
            <w:tcW w:w="0" w:type="auto"/>
          </w:tcPr>
          <w:p w14:paraId="65C08504" w14:textId="77777777" w:rsidR="003C0490" w:rsidRDefault="003C0490" w:rsidP="006A59B0">
            <w:pPr>
              <w:keepNext/>
              <w:keepLines/>
              <w:jc w:val="right"/>
              <w:rPr>
                <w:rFonts w:ascii="Calibri" w:hAnsi="Calibri"/>
                <w:color w:val="000000"/>
              </w:rPr>
            </w:pPr>
            <w:r>
              <w:rPr>
                <w:rFonts w:ascii="Calibri" w:hAnsi="Calibri"/>
                <w:color w:val="000000"/>
              </w:rPr>
              <w:t>13.4%</w:t>
            </w:r>
          </w:p>
        </w:tc>
        <w:tc>
          <w:tcPr>
            <w:tcW w:w="0" w:type="auto"/>
          </w:tcPr>
          <w:p w14:paraId="25BBC57E" w14:textId="77777777" w:rsidR="003C0490" w:rsidRDefault="003C0490" w:rsidP="006A59B0">
            <w:pPr>
              <w:keepNext/>
              <w:keepLines/>
              <w:jc w:val="right"/>
              <w:rPr>
                <w:rFonts w:ascii="Calibri" w:hAnsi="Calibri"/>
                <w:color w:val="000000"/>
              </w:rPr>
            </w:pPr>
            <w:r>
              <w:rPr>
                <w:rFonts w:ascii="Calibri" w:hAnsi="Calibri"/>
                <w:color w:val="000000"/>
              </w:rPr>
              <w:t>7.5%</w:t>
            </w:r>
          </w:p>
        </w:tc>
      </w:tr>
      <w:tr w:rsidR="003C0490" w14:paraId="2F8F7CE8" w14:textId="77777777" w:rsidTr="00E37AE1">
        <w:trPr>
          <w:trHeight w:val="333"/>
          <w:jc w:val="center"/>
        </w:trPr>
        <w:tc>
          <w:tcPr>
            <w:tcW w:w="0" w:type="auto"/>
            <w:hideMark/>
          </w:tcPr>
          <w:p w14:paraId="6588A902" w14:textId="77777777" w:rsidR="003C0490" w:rsidRDefault="003C0490" w:rsidP="006A59B0">
            <w:pPr>
              <w:keepNext/>
              <w:keepLines/>
              <w:jc w:val="center"/>
            </w:pPr>
            <w:r>
              <w:t>Adult (second or later year, and aged 21+)</w:t>
            </w:r>
          </w:p>
        </w:tc>
        <w:tc>
          <w:tcPr>
            <w:tcW w:w="0" w:type="auto"/>
          </w:tcPr>
          <w:p w14:paraId="46C8AC4F" w14:textId="77777777" w:rsidR="003C0490" w:rsidRDefault="003C0490" w:rsidP="006A59B0">
            <w:pPr>
              <w:keepNext/>
              <w:keepLines/>
              <w:jc w:val="right"/>
            </w:pPr>
            <w:r>
              <w:t>27.0%</w:t>
            </w:r>
          </w:p>
        </w:tc>
        <w:tc>
          <w:tcPr>
            <w:tcW w:w="0" w:type="auto"/>
          </w:tcPr>
          <w:p w14:paraId="1B8732D6" w14:textId="77777777" w:rsidR="003C0490" w:rsidRDefault="003C0490" w:rsidP="006A59B0">
            <w:pPr>
              <w:keepNext/>
              <w:keepLines/>
              <w:jc w:val="right"/>
              <w:rPr>
                <w:rFonts w:ascii="Calibri" w:hAnsi="Calibri"/>
                <w:color w:val="000000"/>
              </w:rPr>
            </w:pPr>
            <w:r>
              <w:rPr>
                <w:rFonts w:ascii="Calibri" w:hAnsi="Calibri"/>
                <w:color w:val="000000"/>
              </w:rPr>
              <w:t>35.5%</w:t>
            </w:r>
          </w:p>
        </w:tc>
        <w:tc>
          <w:tcPr>
            <w:tcW w:w="0" w:type="auto"/>
          </w:tcPr>
          <w:p w14:paraId="2CB5F0F1" w14:textId="77777777" w:rsidR="003C0490" w:rsidRDefault="003C0490" w:rsidP="006A59B0">
            <w:pPr>
              <w:keepNext/>
              <w:keepLines/>
              <w:jc w:val="right"/>
              <w:rPr>
                <w:rFonts w:ascii="Calibri" w:hAnsi="Calibri"/>
                <w:color w:val="000000"/>
              </w:rPr>
            </w:pPr>
            <w:r>
              <w:rPr>
                <w:rFonts w:ascii="Calibri" w:hAnsi="Calibri"/>
                <w:color w:val="000000"/>
              </w:rPr>
              <w:t>30.5%</w:t>
            </w:r>
          </w:p>
        </w:tc>
        <w:tc>
          <w:tcPr>
            <w:tcW w:w="0" w:type="auto"/>
          </w:tcPr>
          <w:p w14:paraId="5AE9260A" w14:textId="77777777" w:rsidR="003C0490" w:rsidRDefault="003C0490" w:rsidP="006A59B0">
            <w:pPr>
              <w:keepNext/>
              <w:keepLines/>
              <w:jc w:val="right"/>
              <w:rPr>
                <w:rFonts w:ascii="Calibri" w:hAnsi="Calibri"/>
                <w:color w:val="000000"/>
              </w:rPr>
            </w:pPr>
            <w:r>
              <w:rPr>
                <w:rFonts w:ascii="Calibri" w:hAnsi="Calibri"/>
                <w:color w:val="000000"/>
              </w:rPr>
              <w:t>5.4%</w:t>
            </w:r>
          </w:p>
        </w:tc>
        <w:tc>
          <w:tcPr>
            <w:tcW w:w="0" w:type="auto"/>
          </w:tcPr>
          <w:p w14:paraId="3D653B54" w14:textId="77777777" w:rsidR="003C0490" w:rsidRDefault="003C0490" w:rsidP="006A59B0">
            <w:pPr>
              <w:keepNext/>
              <w:keepLines/>
              <w:jc w:val="right"/>
              <w:rPr>
                <w:rFonts w:ascii="Calibri" w:hAnsi="Calibri"/>
                <w:color w:val="000000"/>
              </w:rPr>
            </w:pPr>
            <w:r>
              <w:rPr>
                <w:rFonts w:ascii="Calibri" w:hAnsi="Calibri"/>
                <w:color w:val="000000"/>
              </w:rPr>
              <w:t>6.7%</w:t>
            </w:r>
          </w:p>
        </w:tc>
        <w:tc>
          <w:tcPr>
            <w:tcW w:w="0" w:type="auto"/>
          </w:tcPr>
          <w:p w14:paraId="6FA1DC5B" w14:textId="77777777" w:rsidR="003C0490" w:rsidRDefault="003C0490" w:rsidP="006A59B0">
            <w:pPr>
              <w:keepNext/>
              <w:keepLines/>
              <w:jc w:val="right"/>
              <w:rPr>
                <w:rFonts w:ascii="Calibri" w:hAnsi="Calibri"/>
                <w:color w:val="000000"/>
              </w:rPr>
            </w:pPr>
            <w:r>
              <w:rPr>
                <w:rFonts w:ascii="Calibri" w:hAnsi="Calibri"/>
                <w:color w:val="000000"/>
              </w:rPr>
              <w:t>5.8%</w:t>
            </w:r>
          </w:p>
        </w:tc>
      </w:tr>
      <w:tr w:rsidR="003C0490" w14:paraId="28BC92AF" w14:textId="77777777" w:rsidTr="00E37AE1">
        <w:trPr>
          <w:trHeight w:val="333"/>
          <w:jc w:val="center"/>
        </w:trPr>
        <w:tc>
          <w:tcPr>
            <w:tcW w:w="0" w:type="auto"/>
          </w:tcPr>
          <w:p w14:paraId="2EB78ED9" w14:textId="77777777" w:rsidR="003C0490" w:rsidRPr="00A400D7" w:rsidRDefault="003C0490" w:rsidP="006A59B0">
            <w:pPr>
              <w:keepNext/>
              <w:keepLines/>
              <w:jc w:val="center"/>
              <w:rPr>
                <w:b/>
              </w:rPr>
            </w:pPr>
            <w:r w:rsidRPr="00A400D7">
              <w:rPr>
                <w:b/>
              </w:rPr>
              <w:t>Overall</w:t>
            </w:r>
          </w:p>
        </w:tc>
        <w:tc>
          <w:tcPr>
            <w:tcW w:w="0" w:type="auto"/>
          </w:tcPr>
          <w:p w14:paraId="52EFE802" w14:textId="77777777" w:rsidR="003C0490" w:rsidRPr="00A400D7" w:rsidRDefault="003C0490" w:rsidP="006A59B0">
            <w:pPr>
              <w:keepNext/>
              <w:keepLines/>
              <w:jc w:val="right"/>
              <w:rPr>
                <w:b/>
              </w:rPr>
            </w:pPr>
            <w:r w:rsidRPr="00A400D7">
              <w:rPr>
                <w:b/>
              </w:rPr>
              <w:t>19.8%</w:t>
            </w:r>
          </w:p>
        </w:tc>
        <w:tc>
          <w:tcPr>
            <w:tcW w:w="0" w:type="auto"/>
          </w:tcPr>
          <w:p w14:paraId="58A47203" w14:textId="77777777" w:rsidR="003C0490" w:rsidRPr="00A400D7" w:rsidRDefault="003C0490" w:rsidP="006A59B0">
            <w:pPr>
              <w:keepNext/>
              <w:keepLines/>
              <w:jc w:val="right"/>
              <w:rPr>
                <w:rFonts w:ascii="Calibri" w:hAnsi="Calibri"/>
                <w:b/>
                <w:color w:val="000000"/>
              </w:rPr>
            </w:pPr>
            <w:r w:rsidRPr="00A400D7">
              <w:rPr>
                <w:rFonts w:ascii="Calibri" w:hAnsi="Calibri"/>
                <w:b/>
                <w:color w:val="000000"/>
              </w:rPr>
              <w:t>29.4%</w:t>
            </w:r>
          </w:p>
        </w:tc>
        <w:tc>
          <w:tcPr>
            <w:tcW w:w="0" w:type="auto"/>
          </w:tcPr>
          <w:p w14:paraId="37B6BC66" w14:textId="77777777" w:rsidR="003C0490" w:rsidRDefault="003C0490" w:rsidP="006A59B0">
            <w:pPr>
              <w:keepNext/>
              <w:keepLines/>
              <w:jc w:val="right"/>
              <w:rPr>
                <w:rFonts w:ascii="Calibri" w:hAnsi="Calibri"/>
                <w:b/>
                <w:color w:val="000000"/>
              </w:rPr>
            </w:pPr>
            <w:r>
              <w:rPr>
                <w:rFonts w:ascii="Calibri" w:hAnsi="Calibri"/>
                <w:b/>
                <w:color w:val="000000"/>
              </w:rPr>
              <w:t>15.8%</w:t>
            </w:r>
          </w:p>
        </w:tc>
        <w:tc>
          <w:tcPr>
            <w:tcW w:w="0" w:type="auto"/>
          </w:tcPr>
          <w:p w14:paraId="786670B0" w14:textId="77777777" w:rsidR="003C0490" w:rsidRPr="00A400D7" w:rsidRDefault="003C0490" w:rsidP="006A59B0">
            <w:pPr>
              <w:keepNext/>
              <w:keepLines/>
              <w:jc w:val="right"/>
              <w:rPr>
                <w:rFonts w:ascii="Calibri" w:hAnsi="Calibri"/>
                <w:b/>
                <w:color w:val="000000"/>
              </w:rPr>
            </w:pPr>
            <w:r>
              <w:rPr>
                <w:rFonts w:ascii="Calibri" w:hAnsi="Calibri"/>
                <w:b/>
                <w:color w:val="000000"/>
              </w:rPr>
              <w:t>5.0</w:t>
            </w:r>
            <w:r w:rsidRPr="00A400D7">
              <w:rPr>
                <w:rFonts w:ascii="Calibri" w:hAnsi="Calibri"/>
                <w:b/>
                <w:color w:val="000000"/>
              </w:rPr>
              <w:t>%</w:t>
            </w:r>
          </w:p>
        </w:tc>
        <w:tc>
          <w:tcPr>
            <w:tcW w:w="0" w:type="auto"/>
          </w:tcPr>
          <w:p w14:paraId="0CFE15C3" w14:textId="77777777" w:rsidR="003C0490" w:rsidRPr="00A400D7" w:rsidRDefault="003C0490" w:rsidP="006A59B0">
            <w:pPr>
              <w:keepNext/>
              <w:keepLines/>
              <w:jc w:val="right"/>
              <w:rPr>
                <w:rFonts w:ascii="Calibri" w:hAnsi="Calibri"/>
                <w:b/>
                <w:color w:val="000000"/>
              </w:rPr>
            </w:pPr>
            <w:r>
              <w:rPr>
                <w:rFonts w:ascii="Calibri" w:hAnsi="Calibri"/>
                <w:b/>
                <w:color w:val="000000"/>
              </w:rPr>
              <w:t>5.5%</w:t>
            </w:r>
          </w:p>
        </w:tc>
        <w:tc>
          <w:tcPr>
            <w:tcW w:w="0" w:type="auto"/>
          </w:tcPr>
          <w:p w14:paraId="0A959D34" w14:textId="77777777" w:rsidR="003C0490" w:rsidRDefault="003C0490" w:rsidP="006A59B0">
            <w:pPr>
              <w:keepNext/>
              <w:keepLines/>
              <w:jc w:val="right"/>
              <w:rPr>
                <w:rFonts w:ascii="Calibri" w:hAnsi="Calibri"/>
                <w:b/>
                <w:color w:val="000000"/>
              </w:rPr>
            </w:pPr>
            <w:r>
              <w:rPr>
                <w:rFonts w:ascii="Calibri" w:hAnsi="Calibri"/>
                <w:b/>
                <w:color w:val="000000"/>
              </w:rPr>
              <w:t>3.3%</w:t>
            </w:r>
          </w:p>
        </w:tc>
      </w:tr>
    </w:tbl>
    <w:p w14:paraId="6553FF4A" w14:textId="77777777" w:rsidR="003C0490" w:rsidRDefault="003C0490" w:rsidP="003C0490">
      <w:pPr>
        <w:pStyle w:val="tablenotes"/>
      </w:pPr>
      <w:r w:rsidRPr="0071132B">
        <w:t xml:space="preserve">Source: </w:t>
      </w:r>
      <w:r>
        <w:t xml:space="preserve">Authors’ calculations; APS 2011, 2012 and 2014, </w:t>
      </w:r>
      <w:r w:rsidRPr="005C50A9">
        <w:t>weighted</w:t>
      </w:r>
      <w:r>
        <w:t xml:space="preserve"> data; ASHE 2013-15, unweighted data.</w:t>
      </w:r>
    </w:p>
    <w:p w14:paraId="6275B12B" w14:textId="77777777" w:rsidR="003C0490" w:rsidRPr="00AF49E4" w:rsidRDefault="003C0490" w:rsidP="003C0490">
      <w:pPr>
        <w:pStyle w:val="tablenotes"/>
      </w:pPr>
    </w:p>
    <w:p w14:paraId="7193CED2" w14:textId="0BA3E39A" w:rsidR="00E37AE1" w:rsidRDefault="00E37AE1">
      <w:pPr>
        <w:spacing w:line="276" w:lineRule="auto"/>
      </w:pPr>
      <w:r>
        <w:br w:type="page"/>
      </w:r>
    </w:p>
    <w:p w14:paraId="3AE8C977" w14:textId="77777777" w:rsidR="003C0490" w:rsidRDefault="003C0490" w:rsidP="00E37AE1">
      <w:pPr>
        <w:pStyle w:val="Caption"/>
      </w:pPr>
      <w:bookmarkStart w:id="1" w:name="_Toc454062554"/>
      <w:r>
        <w:lastRenderedPageBreak/>
        <w:t xml:space="preserve">Table </w:t>
      </w:r>
      <w:fldSimple w:instr=" SEQ Table \* ARABIC ">
        <w:r w:rsidR="00BF2BB7">
          <w:rPr>
            <w:noProof/>
          </w:rPr>
          <w:t>3</w:t>
        </w:r>
      </w:fldSimple>
      <w:r>
        <w:t xml:space="preserve"> Sampling rates in ASHE</w:t>
      </w:r>
      <w:bookmarkEnd w:id="1"/>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940"/>
        <w:gridCol w:w="940"/>
        <w:gridCol w:w="940"/>
      </w:tblGrid>
      <w:tr w:rsidR="003C0490" w14:paraId="2D7A872B" w14:textId="77777777" w:rsidTr="00E37AE1">
        <w:trPr>
          <w:jc w:val="center"/>
        </w:trPr>
        <w:tc>
          <w:tcPr>
            <w:tcW w:w="3544" w:type="dxa"/>
          </w:tcPr>
          <w:p w14:paraId="0F85B233" w14:textId="77777777" w:rsidR="003C0490" w:rsidRDefault="003C0490" w:rsidP="006A59B0"/>
        </w:tc>
        <w:tc>
          <w:tcPr>
            <w:tcW w:w="850" w:type="dxa"/>
          </w:tcPr>
          <w:p w14:paraId="17120B72" w14:textId="77777777" w:rsidR="003C0490" w:rsidRDefault="003C0490" w:rsidP="006A59B0">
            <w:pPr>
              <w:jc w:val="center"/>
            </w:pPr>
            <w:r>
              <w:t>2013</w:t>
            </w:r>
          </w:p>
        </w:tc>
        <w:tc>
          <w:tcPr>
            <w:tcW w:w="927" w:type="dxa"/>
          </w:tcPr>
          <w:p w14:paraId="2A4DE1BE" w14:textId="77777777" w:rsidR="003C0490" w:rsidRDefault="003C0490" w:rsidP="006A59B0">
            <w:pPr>
              <w:jc w:val="center"/>
            </w:pPr>
            <w:r>
              <w:t>2014</w:t>
            </w:r>
          </w:p>
        </w:tc>
        <w:tc>
          <w:tcPr>
            <w:tcW w:w="917" w:type="dxa"/>
          </w:tcPr>
          <w:p w14:paraId="08D9FAE3" w14:textId="77777777" w:rsidR="003C0490" w:rsidRDefault="003C0490" w:rsidP="006A59B0">
            <w:pPr>
              <w:jc w:val="center"/>
            </w:pPr>
            <w:r>
              <w:t>2015</w:t>
            </w:r>
          </w:p>
        </w:tc>
      </w:tr>
      <w:tr w:rsidR="003C0490" w14:paraId="7120F9BA" w14:textId="77777777" w:rsidTr="00E37AE1">
        <w:trPr>
          <w:jc w:val="center"/>
        </w:trPr>
        <w:tc>
          <w:tcPr>
            <w:tcW w:w="3544" w:type="dxa"/>
          </w:tcPr>
          <w:p w14:paraId="50A05902" w14:textId="77777777" w:rsidR="003C0490" w:rsidRDefault="003C0490" w:rsidP="006A59B0">
            <w:r>
              <w:t>Registered apprentices in year</w:t>
            </w:r>
          </w:p>
        </w:tc>
        <w:tc>
          <w:tcPr>
            <w:tcW w:w="850" w:type="dxa"/>
          </w:tcPr>
          <w:p w14:paraId="32837A25" w14:textId="77777777" w:rsidR="003C0490" w:rsidRDefault="003C0490" w:rsidP="006A59B0">
            <w:pPr>
              <w:jc w:val="right"/>
            </w:pPr>
            <w:r>
              <w:t>868,000</w:t>
            </w:r>
          </w:p>
        </w:tc>
        <w:tc>
          <w:tcPr>
            <w:tcW w:w="927" w:type="dxa"/>
          </w:tcPr>
          <w:p w14:paraId="78F19DCD" w14:textId="77777777" w:rsidR="003C0490" w:rsidRDefault="003C0490" w:rsidP="006A59B0">
            <w:pPr>
              <w:jc w:val="right"/>
            </w:pPr>
            <w:r>
              <w:t>852,000</w:t>
            </w:r>
          </w:p>
        </w:tc>
        <w:tc>
          <w:tcPr>
            <w:tcW w:w="917" w:type="dxa"/>
          </w:tcPr>
          <w:p w14:paraId="683FC2CC" w14:textId="77777777" w:rsidR="003C0490" w:rsidRDefault="003C0490" w:rsidP="006A59B0">
            <w:pPr>
              <w:jc w:val="right"/>
            </w:pPr>
            <w:r>
              <w:t>871,000</w:t>
            </w:r>
          </w:p>
        </w:tc>
      </w:tr>
      <w:tr w:rsidR="003C0490" w14:paraId="6FECAA6A" w14:textId="77777777" w:rsidTr="00E37AE1">
        <w:trPr>
          <w:jc w:val="center"/>
        </w:trPr>
        <w:tc>
          <w:tcPr>
            <w:tcW w:w="3544" w:type="dxa"/>
          </w:tcPr>
          <w:p w14:paraId="19194ACF" w14:textId="77777777" w:rsidR="003C0490" w:rsidRDefault="003C0490" w:rsidP="006A59B0">
            <w:r>
              <w:t>Estimated apprentices, point-in-time</w:t>
            </w:r>
          </w:p>
        </w:tc>
        <w:tc>
          <w:tcPr>
            <w:tcW w:w="850" w:type="dxa"/>
          </w:tcPr>
          <w:p w14:paraId="7A57B2F3" w14:textId="77777777" w:rsidR="003C0490" w:rsidRDefault="003C0490" w:rsidP="006A59B0">
            <w:pPr>
              <w:jc w:val="right"/>
            </w:pPr>
            <w:r>
              <w:t>592,000</w:t>
            </w:r>
          </w:p>
        </w:tc>
        <w:tc>
          <w:tcPr>
            <w:tcW w:w="927" w:type="dxa"/>
          </w:tcPr>
          <w:p w14:paraId="1179069F" w14:textId="77777777" w:rsidR="003C0490" w:rsidRDefault="003C0490" w:rsidP="006A59B0">
            <w:pPr>
              <w:jc w:val="right"/>
            </w:pPr>
            <w:r>
              <w:t>581,000</w:t>
            </w:r>
          </w:p>
        </w:tc>
        <w:tc>
          <w:tcPr>
            <w:tcW w:w="917" w:type="dxa"/>
          </w:tcPr>
          <w:p w14:paraId="6AFFBC6E" w14:textId="77777777" w:rsidR="003C0490" w:rsidRDefault="003C0490" w:rsidP="006A59B0">
            <w:pPr>
              <w:jc w:val="right"/>
            </w:pPr>
            <w:r>
              <w:t>594,000</w:t>
            </w:r>
          </w:p>
        </w:tc>
      </w:tr>
      <w:tr w:rsidR="003C0490" w14:paraId="5F1458F8" w14:textId="77777777" w:rsidTr="00E37AE1">
        <w:trPr>
          <w:jc w:val="center"/>
        </w:trPr>
        <w:tc>
          <w:tcPr>
            <w:tcW w:w="3544" w:type="dxa"/>
          </w:tcPr>
          <w:p w14:paraId="6552986C" w14:textId="77777777" w:rsidR="003C0490" w:rsidRDefault="003C0490" w:rsidP="006A59B0">
            <w:r>
              <w:t>ASHE observations (apprentices)</w:t>
            </w:r>
          </w:p>
        </w:tc>
        <w:tc>
          <w:tcPr>
            <w:tcW w:w="850" w:type="dxa"/>
          </w:tcPr>
          <w:p w14:paraId="2CAE4113" w14:textId="77777777" w:rsidR="003C0490" w:rsidRDefault="003C0490" w:rsidP="006A59B0">
            <w:pPr>
              <w:jc w:val="right"/>
            </w:pPr>
            <w:r>
              <w:t>1,508</w:t>
            </w:r>
          </w:p>
        </w:tc>
        <w:tc>
          <w:tcPr>
            <w:tcW w:w="927" w:type="dxa"/>
          </w:tcPr>
          <w:p w14:paraId="34034793" w14:textId="77777777" w:rsidR="003C0490" w:rsidRDefault="003C0490" w:rsidP="006A59B0">
            <w:pPr>
              <w:jc w:val="right"/>
            </w:pPr>
            <w:r>
              <w:t>1,863</w:t>
            </w:r>
          </w:p>
        </w:tc>
        <w:tc>
          <w:tcPr>
            <w:tcW w:w="917" w:type="dxa"/>
          </w:tcPr>
          <w:p w14:paraId="7CDDABCA" w14:textId="77777777" w:rsidR="003C0490" w:rsidRDefault="003C0490" w:rsidP="006A59B0">
            <w:pPr>
              <w:jc w:val="right"/>
            </w:pPr>
            <w:r>
              <w:t>1,982</w:t>
            </w:r>
          </w:p>
        </w:tc>
      </w:tr>
      <w:tr w:rsidR="003C0490" w14:paraId="7B24B95F" w14:textId="77777777" w:rsidTr="00E37AE1">
        <w:trPr>
          <w:jc w:val="center"/>
        </w:trPr>
        <w:tc>
          <w:tcPr>
            <w:tcW w:w="3544" w:type="dxa"/>
          </w:tcPr>
          <w:p w14:paraId="2AA61436" w14:textId="77777777" w:rsidR="003C0490" w:rsidRDefault="003C0490" w:rsidP="006A59B0">
            <w:r>
              <w:t>Sampling rate</w:t>
            </w:r>
          </w:p>
        </w:tc>
        <w:tc>
          <w:tcPr>
            <w:tcW w:w="850" w:type="dxa"/>
          </w:tcPr>
          <w:p w14:paraId="40622798" w14:textId="77777777" w:rsidR="003C0490" w:rsidRDefault="003C0490" w:rsidP="006A59B0">
            <w:pPr>
              <w:jc w:val="right"/>
            </w:pPr>
            <w:r>
              <w:t>0.25%</w:t>
            </w:r>
          </w:p>
        </w:tc>
        <w:tc>
          <w:tcPr>
            <w:tcW w:w="927" w:type="dxa"/>
          </w:tcPr>
          <w:p w14:paraId="1095D31B" w14:textId="77777777" w:rsidR="003C0490" w:rsidRDefault="003C0490" w:rsidP="006A59B0">
            <w:pPr>
              <w:jc w:val="right"/>
            </w:pPr>
            <w:r>
              <w:t>0.32%</w:t>
            </w:r>
          </w:p>
        </w:tc>
        <w:tc>
          <w:tcPr>
            <w:tcW w:w="917" w:type="dxa"/>
          </w:tcPr>
          <w:p w14:paraId="5ED060F6" w14:textId="77777777" w:rsidR="003C0490" w:rsidRDefault="003C0490" w:rsidP="006A59B0">
            <w:pPr>
              <w:jc w:val="right"/>
            </w:pPr>
            <w:r>
              <w:t>0.33%</w:t>
            </w:r>
          </w:p>
        </w:tc>
      </w:tr>
    </w:tbl>
    <w:p w14:paraId="4AE862F4" w14:textId="77777777" w:rsidR="003C0490" w:rsidRDefault="003C0490" w:rsidP="003C0490">
      <w:pPr>
        <w:pStyle w:val="tablenotes"/>
      </w:pPr>
      <w:r>
        <w:t>Source: ASHE data, authors’ calculation; registered apprentices from SFA (2015). Point-in-time apprentices estimated by adjusting to weighted APS estimate (581,000 in 2014)</w:t>
      </w:r>
    </w:p>
    <w:p w14:paraId="502904C7" w14:textId="77777777" w:rsidR="003C0490" w:rsidRDefault="003C0490" w:rsidP="003C0490">
      <w:pPr>
        <w:pStyle w:val="tablenotes"/>
      </w:pPr>
    </w:p>
    <w:p w14:paraId="60BC828A" w14:textId="43F09DAB" w:rsidR="00E37AE1" w:rsidRDefault="00E37AE1">
      <w:pPr>
        <w:spacing w:line="276" w:lineRule="auto"/>
      </w:pPr>
      <w:r>
        <w:br w:type="page"/>
      </w:r>
    </w:p>
    <w:p w14:paraId="14484D13" w14:textId="77777777" w:rsidR="003C0490" w:rsidRDefault="003C0490" w:rsidP="00E37AE1">
      <w:pPr>
        <w:pStyle w:val="Caption"/>
      </w:pPr>
      <w:bookmarkStart w:id="2" w:name="_Toc454062552"/>
      <w:r>
        <w:lastRenderedPageBreak/>
        <w:t xml:space="preserve">Table </w:t>
      </w:r>
      <w:fldSimple w:instr=" SEQ Table \* ARABIC ">
        <w:r w:rsidR="00BF2BB7">
          <w:rPr>
            <w:noProof/>
          </w:rPr>
          <w:t>4</w:t>
        </w:r>
      </w:fldSimple>
      <w:r>
        <w:t xml:space="preserve"> </w:t>
      </w:r>
      <w:r w:rsidRPr="00D851FA">
        <w:t xml:space="preserve">Extent of </w:t>
      </w:r>
      <w:r>
        <w:t>non-</w:t>
      </w:r>
      <w:r w:rsidRPr="00481408">
        <w:t>compliance</w:t>
      </w:r>
      <w:r>
        <w:t>, by APS source</w:t>
      </w:r>
      <w:bookmarkEnd w:id="2"/>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092"/>
        <w:gridCol w:w="2693"/>
      </w:tblGrid>
      <w:tr w:rsidR="003C0490" w14:paraId="0D0E53D8" w14:textId="77777777" w:rsidTr="00E37AE1">
        <w:trPr>
          <w:trHeight w:val="557"/>
          <w:jc w:val="center"/>
        </w:trPr>
        <w:tc>
          <w:tcPr>
            <w:tcW w:w="4092" w:type="dxa"/>
          </w:tcPr>
          <w:p w14:paraId="34C19963" w14:textId="77777777" w:rsidR="003C0490" w:rsidRDefault="003C0490" w:rsidP="006A59B0">
            <w:pPr>
              <w:keepNext/>
              <w:keepLines/>
              <w:rPr>
                <w:rFonts w:ascii="Calibri" w:eastAsiaTheme="majorEastAsia" w:hAnsi="Calibri" w:cstheme="majorBidi"/>
                <w:b/>
                <w:bCs/>
                <w:color w:val="000000"/>
                <w:sz w:val="36"/>
                <w:szCs w:val="28"/>
                <w:lang w:eastAsia="en-US"/>
              </w:rPr>
            </w:pPr>
          </w:p>
        </w:tc>
        <w:tc>
          <w:tcPr>
            <w:tcW w:w="2693" w:type="dxa"/>
            <w:hideMark/>
          </w:tcPr>
          <w:p w14:paraId="02262962" w14:textId="77777777" w:rsidR="003C0490" w:rsidRDefault="003C0490" w:rsidP="006A59B0">
            <w:pPr>
              <w:keepNext/>
              <w:keepLines/>
              <w:jc w:val="center"/>
              <w:rPr>
                <w:rFonts w:ascii="Calibri" w:eastAsiaTheme="minorHAnsi" w:hAnsi="Calibri"/>
                <w:color w:val="000000"/>
                <w:lang w:eastAsia="en-US"/>
              </w:rPr>
            </w:pPr>
            <w:r>
              <w:rPr>
                <w:rFonts w:ascii="Calibri" w:hAnsi="Calibri"/>
                <w:color w:val="000000"/>
              </w:rPr>
              <w:t>% of apprentices earning below their legal minimum</w:t>
            </w:r>
          </w:p>
        </w:tc>
      </w:tr>
      <w:tr w:rsidR="003C0490" w14:paraId="217F9030" w14:textId="77777777" w:rsidTr="00E37AE1">
        <w:trPr>
          <w:trHeight w:val="335"/>
          <w:jc w:val="center"/>
        </w:trPr>
        <w:tc>
          <w:tcPr>
            <w:tcW w:w="4092" w:type="dxa"/>
            <w:hideMark/>
          </w:tcPr>
          <w:p w14:paraId="79B344A2" w14:textId="77777777" w:rsidR="003C0490" w:rsidRDefault="003C0490" w:rsidP="006A59B0">
            <w:pPr>
              <w:keepNext/>
              <w:keepLines/>
              <w:rPr>
                <w:rFonts w:ascii="Calibri" w:eastAsiaTheme="minorHAnsi" w:hAnsi="Calibri"/>
                <w:color w:val="000000"/>
                <w:lang w:eastAsia="en-US"/>
              </w:rPr>
            </w:pPr>
            <w:r>
              <w:rPr>
                <w:rFonts w:ascii="Calibri" w:hAnsi="Calibri"/>
                <w:color w:val="000000"/>
              </w:rPr>
              <w:t>Baseline sample (</w:t>
            </w:r>
            <w:r>
              <w:rPr>
                <w:rFonts w:ascii="Calibri" w:hAnsi="Calibri"/>
                <w:i/>
                <w:color w:val="000000"/>
              </w:rPr>
              <w:t>N</w:t>
            </w:r>
            <w:r>
              <w:rPr>
                <w:rFonts w:ascii="Calibri" w:hAnsi="Calibri"/>
                <w:color w:val="000000"/>
              </w:rPr>
              <w:t>=6,567)</w:t>
            </w:r>
          </w:p>
        </w:tc>
        <w:tc>
          <w:tcPr>
            <w:tcW w:w="2693" w:type="dxa"/>
            <w:hideMark/>
          </w:tcPr>
          <w:p w14:paraId="6D5CF067" w14:textId="77777777" w:rsidR="003C0490" w:rsidRDefault="003C0490" w:rsidP="006A59B0">
            <w:pPr>
              <w:keepNext/>
              <w:keepLines/>
              <w:jc w:val="center"/>
              <w:rPr>
                <w:rFonts w:ascii="Calibri" w:eastAsiaTheme="minorHAnsi" w:hAnsi="Calibri"/>
                <w:color w:val="000000"/>
                <w:lang w:eastAsia="en-US"/>
              </w:rPr>
            </w:pPr>
            <w:r>
              <w:rPr>
                <w:rFonts w:ascii="Calibri" w:hAnsi="Calibri"/>
                <w:color w:val="000000"/>
              </w:rPr>
              <w:t>15.8%</w:t>
            </w:r>
          </w:p>
        </w:tc>
      </w:tr>
      <w:tr w:rsidR="003C0490" w14:paraId="7D4A71D3" w14:textId="77777777" w:rsidTr="006A59B0">
        <w:trPr>
          <w:trHeight w:val="335"/>
          <w:jc w:val="center"/>
        </w:trPr>
        <w:tc>
          <w:tcPr>
            <w:tcW w:w="4092" w:type="dxa"/>
            <w:hideMark/>
          </w:tcPr>
          <w:p w14:paraId="35CB4327" w14:textId="77777777" w:rsidR="003C0490" w:rsidRDefault="003C0490" w:rsidP="006A59B0">
            <w:pPr>
              <w:keepNext/>
              <w:keepLines/>
              <w:rPr>
                <w:rFonts w:ascii="Calibri" w:eastAsiaTheme="minorHAnsi" w:hAnsi="Calibri"/>
                <w:color w:val="000000"/>
                <w:lang w:eastAsia="en-US"/>
              </w:rPr>
            </w:pPr>
            <w:r>
              <w:rPr>
                <w:rFonts w:ascii="Calibri" w:hAnsi="Calibri"/>
                <w:color w:val="000000"/>
              </w:rPr>
              <w:t>Payslip respondents (</w:t>
            </w:r>
            <w:r>
              <w:rPr>
                <w:rFonts w:ascii="Calibri" w:hAnsi="Calibri"/>
                <w:i/>
                <w:color w:val="000000"/>
              </w:rPr>
              <w:t>N</w:t>
            </w:r>
            <w:r>
              <w:rPr>
                <w:rFonts w:ascii="Calibri" w:hAnsi="Calibri"/>
                <w:color w:val="000000"/>
              </w:rPr>
              <w:t>=2,698)</w:t>
            </w:r>
          </w:p>
        </w:tc>
        <w:tc>
          <w:tcPr>
            <w:tcW w:w="2693" w:type="dxa"/>
            <w:hideMark/>
          </w:tcPr>
          <w:p w14:paraId="51DBEE1B" w14:textId="77777777" w:rsidR="003C0490" w:rsidRDefault="003C0490" w:rsidP="006A59B0">
            <w:pPr>
              <w:keepNext/>
              <w:keepLines/>
              <w:jc w:val="center"/>
              <w:rPr>
                <w:rFonts w:ascii="Calibri" w:eastAsiaTheme="minorHAnsi" w:hAnsi="Calibri"/>
                <w:color w:val="000000"/>
                <w:lang w:eastAsia="en-US"/>
              </w:rPr>
            </w:pPr>
            <w:r>
              <w:rPr>
                <w:rFonts w:ascii="Calibri" w:hAnsi="Calibri"/>
                <w:color w:val="000000"/>
              </w:rPr>
              <w:t>12.0%</w:t>
            </w:r>
          </w:p>
        </w:tc>
      </w:tr>
      <w:tr w:rsidR="003C0490" w14:paraId="024F319B" w14:textId="77777777" w:rsidTr="006A59B0">
        <w:trPr>
          <w:trHeight w:val="335"/>
          <w:jc w:val="center"/>
        </w:trPr>
        <w:tc>
          <w:tcPr>
            <w:tcW w:w="4092" w:type="dxa"/>
            <w:hideMark/>
          </w:tcPr>
          <w:p w14:paraId="2BFD9AB3" w14:textId="77777777" w:rsidR="003C0490" w:rsidRDefault="003C0490" w:rsidP="006A59B0">
            <w:pPr>
              <w:keepNext/>
              <w:keepLines/>
              <w:rPr>
                <w:rFonts w:ascii="Calibri" w:eastAsiaTheme="minorHAnsi" w:hAnsi="Calibri"/>
                <w:color w:val="000000"/>
                <w:lang w:eastAsia="en-US"/>
              </w:rPr>
            </w:pPr>
            <w:r>
              <w:rPr>
                <w:rFonts w:ascii="Calibri" w:hAnsi="Calibri"/>
                <w:color w:val="000000"/>
              </w:rPr>
              <w:t>Non-payslip respondents (</w:t>
            </w:r>
            <w:r>
              <w:rPr>
                <w:rFonts w:ascii="Calibri" w:hAnsi="Calibri"/>
                <w:i/>
                <w:color w:val="000000"/>
              </w:rPr>
              <w:t>N</w:t>
            </w:r>
            <w:r>
              <w:rPr>
                <w:rFonts w:ascii="Calibri" w:hAnsi="Calibri"/>
                <w:color w:val="000000"/>
              </w:rPr>
              <w:t>=3,869)</w:t>
            </w:r>
          </w:p>
        </w:tc>
        <w:tc>
          <w:tcPr>
            <w:tcW w:w="2693" w:type="dxa"/>
            <w:hideMark/>
          </w:tcPr>
          <w:p w14:paraId="3B247FFF" w14:textId="77777777" w:rsidR="003C0490" w:rsidRDefault="003C0490" w:rsidP="006A59B0">
            <w:pPr>
              <w:keepNext/>
              <w:keepLines/>
              <w:jc w:val="center"/>
              <w:rPr>
                <w:rFonts w:ascii="Calibri" w:eastAsiaTheme="minorHAnsi" w:hAnsi="Calibri"/>
                <w:color w:val="000000"/>
                <w:lang w:eastAsia="en-US"/>
              </w:rPr>
            </w:pPr>
            <w:r>
              <w:rPr>
                <w:rFonts w:ascii="Calibri" w:hAnsi="Calibri"/>
                <w:color w:val="000000"/>
              </w:rPr>
              <w:t>20.7%</w:t>
            </w:r>
          </w:p>
        </w:tc>
      </w:tr>
      <w:tr w:rsidR="003C0490" w14:paraId="150ACEEB" w14:textId="77777777" w:rsidTr="006A59B0">
        <w:trPr>
          <w:trHeight w:val="335"/>
          <w:jc w:val="center"/>
        </w:trPr>
        <w:tc>
          <w:tcPr>
            <w:tcW w:w="4092" w:type="dxa"/>
            <w:hideMark/>
          </w:tcPr>
          <w:p w14:paraId="332EC43A" w14:textId="77777777" w:rsidR="003C0490" w:rsidRDefault="003C0490" w:rsidP="006A59B0">
            <w:pPr>
              <w:keepNext/>
              <w:keepLines/>
              <w:rPr>
                <w:rFonts w:ascii="Calibri" w:eastAsiaTheme="minorHAnsi" w:hAnsi="Calibri"/>
                <w:color w:val="000000"/>
                <w:lang w:eastAsia="en-US"/>
              </w:rPr>
            </w:pPr>
            <w:r>
              <w:rPr>
                <w:rFonts w:ascii="Calibri" w:hAnsi="Calibri"/>
                <w:color w:val="000000"/>
              </w:rPr>
              <w:t>Both pay and hours from payslip (</w:t>
            </w:r>
            <w:r w:rsidRPr="00147CAE">
              <w:rPr>
                <w:rFonts w:ascii="Calibri" w:hAnsi="Calibri"/>
                <w:i/>
                <w:color w:val="000000"/>
              </w:rPr>
              <w:t>N</w:t>
            </w:r>
            <w:r>
              <w:rPr>
                <w:rFonts w:ascii="Calibri" w:hAnsi="Calibri"/>
                <w:color w:val="000000"/>
              </w:rPr>
              <w:t>=1,074)</w:t>
            </w:r>
          </w:p>
        </w:tc>
        <w:tc>
          <w:tcPr>
            <w:tcW w:w="2693" w:type="dxa"/>
            <w:hideMark/>
          </w:tcPr>
          <w:p w14:paraId="242AB267" w14:textId="77777777" w:rsidR="003C0490" w:rsidRDefault="003C0490" w:rsidP="006A59B0">
            <w:pPr>
              <w:keepNext/>
              <w:keepLines/>
              <w:jc w:val="center"/>
              <w:rPr>
                <w:rFonts w:ascii="Calibri" w:eastAsiaTheme="minorHAnsi" w:hAnsi="Calibri"/>
                <w:color w:val="000000"/>
                <w:lang w:eastAsia="en-US"/>
              </w:rPr>
            </w:pPr>
            <w:r>
              <w:rPr>
                <w:rFonts w:ascii="Calibri" w:hAnsi="Calibri"/>
                <w:color w:val="000000"/>
              </w:rPr>
              <w:t>5.7%</w:t>
            </w:r>
          </w:p>
        </w:tc>
      </w:tr>
    </w:tbl>
    <w:p w14:paraId="5AB0DB5F" w14:textId="77777777" w:rsidR="003C0490" w:rsidRDefault="003C0490" w:rsidP="00E37AE1">
      <w:pPr>
        <w:pStyle w:val="tablenotes"/>
        <w:jc w:val="center"/>
      </w:pPr>
      <w:r>
        <w:t>Notes</w:t>
      </w:r>
      <w:r w:rsidRPr="0071132B">
        <w:t>:</w:t>
      </w:r>
      <w:r w:rsidRPr="00D27E93">
        <w:t xml:space="preserve"> </w:t>
      </w:r>
      <w:r>
        <w:t>Source APS 2014, authors’ calculations; weighted data</w:t>
      </w:r>
    </w:p>
    <w:p w14:paraId="4DDCA8B9" w14:textId="77777777" w:rsidR="003C0490" w:rsidRDefault="003C0490" w:rsidP="003C0490">
      <w:pPr>
        <w:pStyle w:val="tablenotes"/>
        <w:rPr>
          <w:i/>
          <w:color w:val="4F81BD" w:themeColor="accent1"/>
        </w:rPr>
      </w:pPr>
    </w:p>
    <w:p w14:paraId="78A83BF9" w14:textId="2F7A1AEC" w:rsidR="00E37AE1" w:rsidRDefault="00E37AE1">
      <w:pPr>
        <w:spacing w:line="276" w:lineRule="auto"/>
        <w:rPr>
          <w:b/>
          <w:bCs/>
          <w:color w:val="4F81BD" w:themeColor="accent1"/>
          <w:sz w:val="18"/>
          <w:szCs w:val="18"/>
        </w:rPr>
      </w:pPr>
      <w:r>
        <w:br w:type="page"/>
      </w:r>
    </w:p>
    <w:p w14:paraId="7BB3F51F" w14:textId="77777777" w:rsidR="003C0490" w:rsidRDefault="003C0490" w:rsidP="00E37AE1">
      <w:pPr>
        <w:pStyle w:val="Caption"/>
      </w:pPr>
      <w:r>
        <w:lastRenderedPageBreak/>
        <w:t xml:space="preserve">Table </w:t>
      </w:r>
      <w:fldSimple w:instr=" SEQ Table \* ARABIC ">
        <w:r w:rsidR="00BF2BB7">
          <w:rPr>
            <w:noProof/>
          </w:rPr>
          <w:t>5</w:t>
        </w:r>
      </w:fldSimple>
      <w:r>
        <w:t xml:space="preserve"> Non-compliance rates in APS, by pay period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1054"/>
        <w:gridCol w:w="1054"/>
      </w:tblGrid>
      <w:tr w:rsidR="003C0490" w14:paraId="4B3124D9" w14:textId="77777777" w:rsidTr="00E37AE1">
        <w:trPr>
          <w:jc w:val="center"/>
        </w:trPr>
        <w:tc>
          <w:tcPr>
            <w:tcW w:w="0" w:type="auto"/>
          </w:tcPr>
          <w:p w14:paraId="41CF9F7F" w14:textId="77777777" w:rsidR="003C0490" w:rsidRDefault="003C0490" w:rsidP="006A59B0"/>
        </w:tc>
        <w:tc>
          <w:tcPr>
            <w:tcW w:w="0" w:type="auto"/>
          </w:tcPr>
          <w:p w14:paraId="5526A114" w14:textId="77777777" w:rsidR="003C0490" w:rsidRDefault="003C0490" w:rsidP="006A59B0">
            <w:r>
              <w:t>2011 APS</w:t>
            </w:r>
          </w:p>
        </w:tc>
        <w:tc>
          <w:tcPr>
            <w:tcW w:w="0" w:type="auto"/>
          </w:tcPr>
          <w:p w14:paraId="45FE6338" w14:textId="77777777" w:rsidR="003C0490" w:rsidRDefault="003C0490" w:rsidP="006A59B0">
            <w:r>
              <w:t>2012 APS</w:t>
            </w:r>
          </w:p>
        </w:tc>
      </w:tr>
      <w:tr w:rsidR="003C0490" w14:paraId="504F3CA1" w14:textId="77777777" w:rsidTr="00E37AE1">
        <w:trPr>
          <w:jc w:val="center"/>
        </w:trPr>
        <w:tc>
          <w:tcPr>
            <w:tcW w:w="0" w:type="auto"/>
          </w:tcPr>
          <w:p w14:paraId="375F79F1" w14:textId="77777777" w:rsidR="003C0490" w:rsidRDefault="003C0490" w:rsidP="006A59B0">
            <w:r>
              <w:t>Hourly paid</w:t>
            </w:r>
          </w:p>
        </w:tc>
        <w:tc>
          <w:tcPr>
            <w:tcW w:w="0" w:type="auto"/>
          </w:tcPr>
          <w:p w14:paraId="64D5D59C" w14:textId="77777777" w:rsidR="003C0490" w:rsidRDefault="003C0490" w:rsidP="006A59B0">
            <w:pPr>
              <w:jc w:val="right"/>
            </w:pPr>
            <w:r>
              <w:t>5.0%</w:t>
            </w:r>
          </w:p>
        </w:tc>
        <w:tc>
          <w:tcPr>
            <w:tcW w:w="0" w:type="auto"/>
          </w:tcPr>
          <w:p w14:paraId="7A70B150" w14:textId="77777777" w:rsidR="003C0490" w:rsidRDefault="003C0490" w:rsidP="006A59B0">
            <w:pPr>
              <w:jc w:val="right"/>
            </w:pPr>
            <w:r>
              <w:t>20.7%</w:t>
            </w:r>
          </w:p>
        </w:tc>
      </w:tr>
      <w:tr w:rsidR="003C0490" w14:paraId="2F647F43" w14:textId="77777777" w:rsidTr="00E37AE1">
        <w:trPr>
          <w:jc w:val="center"/>
        </w:trPr>
        <w:tc>
          <w:tcPr>
            <w:tcW w:w="0" w:type="auto"/>
          </w:tcPr>
          <w:p w14:paraId="0AD5BBFE" w14:textId="77777777" w:rsidR="003C0490" w:rsidRDefault="003C0490" w:rsidP="006A59B0">
            <w:r>
              <w:t>Not hourly paid</w:t>
            </w:r>
          </w:p>
        </w:tc>
        <w:tc>
          <w:tcPr>
            <w:tcW w:w="0" w:type="auto"/>
          </w:tcPr>
          <w:p w14:paraId="4499A809" w14:textId="77777777" w:rsidR="003C0490" w:rsidRDefault="003C0490" w:rsidP="006A59B0">
            <w:pPr>
              <w:jc w:val="right"/>
            </w:pPr>
            <w:r>
              <w:t>24.8%</w:t>
            </w:r>
          </w:p>
        </w:tc>
        <w:tc>
          <w:tcPr>
            <w:tcW w:w="0" w:type="auto"/>
          </w:tcPr>
          <w:p w14:paraId="55D033EA" w14:textId="77777777" w:rsidR="003C0490" w:rsidRDefault="003C0490" w:rsidP="006A59B0">
            <w:pPr>
              <w:jc w:val="right"/>
            </w:pPr>
            <w:r>
              <w:t>33.5%</w:t>
            </w:r>
          </w:p>
        </w:tc>
      </w:tr>
      <w:tr w:rsidR="003C0490" w14:paraId="5D3A26FB" w14:textId="77777777" w:rsidTr="00E37AE1">
        <w:trPr>
          <w:jc w:val="center"/>
        </w:trPr>
        <w:tc>
          <w:tcPr>
            <w:tcW w:w="0" w:type="auto"/>
          </w:tcPr>
          <w:p w14:paraId="3D72EC5B" w14:textId="77777777" w:rsidR="003C0490" w:rsidRDefault="003C0490" w:rsidP="006A59B0">
            <w:r>
              <w:t>Full sample</w:t>
            </w:r>
          </w:p>
        </w:tc>
        <w:tc>
          <w:tcPr>
            <w:tcW w:w="0" w:type="auto"/>
          </w:tcPr>
          <w:p w14:paraId="7CE22FAE" w14:textId="77777777" w:rsidR="003C0490" w:rsidRDefault="003C0490" w:rsidP="006A59B0">
            <w:pPr>
              <w:jc w:val="right"/>
            </w:pPr>
            <w:r>
              <w:t>19.8%</w:t>
            </w:r>
          </w:p>
        </w:tc>
        <w:tc>
          <w:tcPr>
            <w:tcW w:w="0" w:type="auto"/>
          </w:tcPr>
          <w:p w14:paraId="0C4C1123" w14:textId="77777777" w:rsidR="003C0490" w:rsidRDefault="003C0490" w:rsidP="006A59B0">
            <w:pPr>
              <w:jc w:val="right"/>
            </w:pPr>
            <w:r>
              <w:t>29.4%</w:t>
            </w:r>
          </w:p>
        </w:tc>
      </w:tr>
    </w:tbl>
    <w:p w14:paraId="1AF65F06" w14:textId="77777777" w:rsidR="003C0490" w:rsidRDefault="003C0490" w:rsidP="003C0490">
      <w:pPr>
        <w:pStyle w:val="tablefootnote"/>
      </w:pPr>
      <w:r>
        <w:t>Source: APS data, authors calculation; weighted</w:t>
      </w:r>
    </w:p>
    <w:p w14:paraId="543F1CFF" w14:textId="1753F182" w:rsidR="003C0490" w:rsidRDefault="003C0490">
      <w:r>
        <w:br w:type="page"/>
      </w:r>
    </w:p>
    <w:p w14:paraId="0164A26F" w14:textId="77777777" w:rsidR="003C0490" w:rsidRDefault="003C0490" w:rsidP="00E37AE1">
      <w:pPr>
        <w:pStyle w:val="Caption"/>
      </w:pPr>
      <w:r>
        <w:lastRenderedPageBreak/>
        <w:t xml:space="preserve">Table </w:t>
      </w:r>
      <w:fldSimple w:instr=" SEQ Table \* ARABIC ">
        <w:r w:rsidR="00BF2BB7">
          <w:rPr>
            <w:noProof/>
          </w:rPr>
          <w:t>6</w:t>
        </w:r>
      </w:fldSimple>
      <w:r>
        <w:t xml:space="preserve"> Non-compliance rates in APS by training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1054"/>
        <w:gridCol w:w="1054"/>
      </w:tblGrid>
      <w:tr w:rsidR="003C0490" w14:paraId="2275C914" w14:textId="77777777" w:rsidTr="00E37AE1">
        <w:trPr>
          <w:jc w:val="center"/>
        </w:trPr>
        <w:tc>
          <w:tcPr>
            <w:tcW w:w="0" w:type="auto"/>
          </w:tcPr>
          <w:p w14:paraId="0CB82DB5" w14:textId="77777777" w:rsidR="003C0490" w:rsidRDefault="003C0490" w:rsidP="006A59B0"/>
        </w:tc>
        <w:tc>
          <w:tcPr>
            <w:tcW w:w="0" w:type="auto"/>
          </w:tcPr>
          <w:p w14:paraId="10BE20C5" w14:textId="77777777" w:rsidR="003C0490" w:rsidRDefault="003C0490" w:rsidP="006A59B0">
            <w:r>
              <w:t>2011 APS</w:t>
            </w:r>
          </w:p>
        </w:tc>
        <w:tc>
          <w:tcPr>
            <w:tcW w:w="0" w:type="auto"/>
          </w:tcPr>
          <w:p w14:paraId="68FBE464" w14:textId="77777777" w:rsidR="003C0490" w:rsidRDefault="003C0490" w:rsidP="006A59B0">
            <w:r>
              <w:t>2012 APS</w:t>
            </w:r>
          </w:p>
        </w:tc>
      </w:tr>
      <w:tr w:rsidR="003C0490" w14:paraId="69406869" w14:textId="77777777" w:rsidTr="00E37AE1">
        <w:trPr>
          <w:jc w:val="center"/>
        </w:trPr>
        <w:tc>
          <w:tcPr>
            <w:tcW w:w="0" w:type="auto"/>
          </w:tcPr>
          <w:p w14:paraId="1BAFBFE9" w14:textId="77777777" w:rsidR="003C0490" w:rsidRDefault="003C0490" w:rsidP="006A59B0">
            <w:r>
              <w:t>Some off-the-job training</w:t>
            </w:r>
          </w:p>
        </w:tc>
        <w:tc>
          <w:tcPr>
            <w:tcW w:w="0" w:type="auto"/>
          </w:tcPr>
          <w:p w14:paraId="40621799" w14:textId="77777777" w:rsidR="003C0490" w:rsidRDefault="003C0490" w:rsidP="006A59B0">
            <w:pPr>
              <w:jc w:val="right"/>
            </w:pPr>
            <w:r>
              <w:t>32.5%</w:t>
            </w:r>
          </w:p>
        </w:tc>
        <w:tc>
          <w:tcPr>
            <w:tcW w:w="0" w:type="auto"/>
          </w:tcPr>
          <w:p w14:paraId="0E302D24" w14:textId="77777777" w:rsidR="003C0490" w:rsidRDefault="003C0490" w:rsidP="006A59B0">
            <w:pPr>
              <w:jc w:val="right"/>
            </w:pPr>
            <w:r>
              <w:t>37.9%</w:t>
            </w:r>
          </w:p>
        </w:tc>
      </w:tr>
      <w:tr w:rsidR="003C0490" w14:paraId="1BBA82C3" w14:textId="77777777" w:rsidTr="00E37AE1">
        <w:trPr>
          <w:jc w:val="center"/>
        </w:trPr>
        <w:tc>
          <w:tcPr>
            <w:tcW w:w="0" w:type="auto"/>
          </w:tcPr>
          <w:p w14:paraId="66F27609" w14:textId="77777777" w:rsidR="003C0490" w:rsidRDefault="003C0490" w:rsidP="006A59B0">
            <w:r>
              <w:t>No off-the-job training</w:t>
            </w:r>
          </w:p>
        </w:tc>
        <w:tc>
          <w:tcPr>
            <w:tcW w:w="0" w:type="auto"/>
          </w:tcPr>
          <w:p w14:paraId="7EA714B4" w14:textId="77777777" w:rsidR="003C0490" w:rsidRDefault="003C0490" w:rsidP="006A59B0">
            <w:pPr>
              <w:jc w:val="right"/>
            </w:pPr>
            <w:r>
              <w:t>17.7%</w:t>
            </w:r>
          </w:p>
        </w:tc>
        <w:tc>
          <w:tcPr>
            <w:tcW w:w="0" w:type="auto"/>
          </w:tcPr>
          <w:p w14:paraId="6AD22AA2" w14:textId="77777777" w:rsidR="003C0490" w:rsidRDefault="003C0490" w:rsidP="006A59B0">
            <w:pPr>
              <w:jc w:val="right"/>
            </w:pPr>
            <w:r>
              <w:t>26.1%</w:t>
            </w:r>
          </w:p>
        </w:tc>
      </w:tr>
      <w:tr w:rsidR="003C0490" w14:paraId="20087A56" w14:textId="77777777" w:rsidTr="00E37AE1">
        <w:trPr>
          <w:jc w:val="center"/>
        </w:trPr>
        <w:tc>
          <w:tcPr>
            <w:tcW w:w="0" w:type="auto"/>
          </w:tcPr>
          <w:p w14:paraId="5D373AB2" w14:textId="77777777" w:rsidR="003C0490" w:rsidRDefault="003C0490" w:rsidP="006A59B0"/>
        </w:tc>
        <w:tc>
          <w:tcPr>
            <w:tcW w:w="0" w:type="auto"/>
          </w:tcPr>
          <w:p w14:paraId="2AD39FEC" w14:textId="77777777" w:rsidR="003C0490" w:rsidRDefault="003C0490" w:rsidP="006A59B0">
            <w:pPr>
              <w:jc w:val="right"/>
            </w:pPr>
          </w:p>
        </w:tc>
        <w:tc>
          <w:tcPr>
            <w:tcW w:w="0" w:type="auto"/>
          </w:tcPr>
          <w:p w14:paraId="13AAF1BC" w14:textId="77777777" w:rsidR="003C0490" w:rsidRDefault="003C0490" w:rsidP="006A59B0">
            <w:pPr>
              <w:jc w:val="right"/>
            </w:pPr>
          </w:p>
        </w:tc>
      </w:tr>
      <w:tr w:rsidR="003C0490" w14:paraId="66711A85" w14:textId="77777777" w:rsidTr="00E37AE1">
        <w:trPr>
          <w:jc w:val="center"/>
        </w:trPr>
        <w:tc>
          <w:tcPr>
            <w:tcW w:w="0" w:type="auto"/>
          </w:tcPr>
          <w:p w14:paraId="004A0233" w14:textId="77777777" w:rsidR="003C0490" w:rsidRDefault="003C0490" w:rsidP="006A59B0">
            <w:pPr>
              <w:rPr>
                <w:rFonts w:ascii="Calibri" w:hAnsi="Calibri"/>
                <w:color w:val="000000"/>
              </w:rPr>
            </w:pPr>
            <w:r>
              <w:rPr>
                <w:rFonts w:ascii="Calibri" w:hAnsi="Calibri"/>
                <w:color w:val="000000"/>
              </w:rPr>
              <w:t>Some on-the-job training</w:t>
            </w:r>
          </w:p>
        </w:tc>
        <w:tc>
          <w:tcPr>
            <w:tcW w:w="0" w:type="auto"/>
          </w:tcPr>
          <w:p w14:paraId="3243008C" w14:textId="77777777" w:rsidR="003C0490" w:rsidRDefault="003C0490" w:rsidP="006A59B0">
            <w:pPr>
              <w:jc w:val="right"/>
              <w:rPr>
                <w:rFonts w:ascii="Calibri" w:hAnsi="Calibri"/>
                <w:color w:val="000000"/>
              </w:rPr>
            </w:pPr>
            <w:r>
              <w:rPr>
                <w:rFonts w:ascii="Calibri" w:hAnsi="Calibri"/>
                <w:color w:val="000000"/>
              </w:rPr>
              <w:t>22.9%</w:t>
            </w:r>
          </w:p>
        </w:tc>
        <w:tc>
          <w:tcPr>
            <w:tcW w:w="0" w:type="auto"/>
          </w:tcPr>
          <w:p w14:paraId="4F78C02B" w14:textId="77777777" w:rsidR="003C0490" w:rsidRDefault="003C0490" w:rsidP="006A59B0">
            <w:pPr>
              <w:jc w:val="right"/>
              <w:rPr>
                <w:rFonts w:ascii="Calibri" w:hAnsi="Calibri"/>
                <w:color w:val="000000"/>
              </w:rPr>
            </w:pPr>
            <w:r>
              <w:rPr>
                <w:rFonts w:ascii="Calibri" w:hAnsi="Calibri"/>
                <w:color w:val="000000"/>
              </w:rPr>
              <w:t>32.7%</w:t>
            </w:r>
          </w:p>
        </w:tc>
      </w:tr>
      <w:tr w:rsidR="003C0490" w14:paraId="2C443D34" w14:textId="77777777" w:rsidTr="00E37AE1">
        <w:trPr>
          <w:jc w:val="center"/>
        </w:trPr>
        <w:tc>
          <w:tcPr>
            <w:tcW w:w="0" w:type="auto"/>
          </w:tcPr>
          <w:p w14:paraId="1C13458C" w14:textId="77777777" w:rsidR="003C0490" w:rsidRDefault="003C0490" w:rsidP="006A59B0">
            <w:pPr>
              <w:rPr>
                <w:rFonts w:ascii="Calibri" w:hAnsi="Calibri"/>
                <w:color w:val="000000"/>
              </w:rPr>
            </w:pPr>
            <w:r>
              <w:rPr>
                <w:rFonts w:ascii="Calibri" w:hAnsi="Calibri"/>
                <w:color w:val="000000"/>
              </w:rPr>
              <w:t>No on-the-job training</w:t>
            </w:r>
          </w:p>
        </w:tc>
        <w:tc>
          <w:tcPr>
            <w:tcW w:w="0" w:type="auto"/>
          </w:tcPr>
          <w:p w14:paraId="2A5FCE8C" w14:textId="77777777" w:rsidR="003C0490" w:rsidRDefault="003C0490" w:rsidP="006A59B0">
            <w:pPr>
              <w:jc w:val="right"/>
              <w:rPr>
                <w:rFonts w:ascii="Calibri" w:hAnsi="Calibri"/>
                <w:color w:val="000000"/>
              </w:rPr>
            </w:pPr>
            <w:r>
              <w:rPr>
                <w:rFonts w:ascii="Calibri" w:hAnsi="Calibri"/>
                <w:color w:val="000000"/>
              </w:rPr>
              <w:t>12.5%</w:t>
            </w:r>
          </w:p>
        </w:tc>
        <w:tc>
          <w:tcPr>
            <w:tcW w:w="0" w:type="auto"/>
          </w:tcPr>
          <w:p w14:paraId="38839DA9" w14:textId="77777777" w:rsidR="003C0490" w:rsidRDefault="003C0490" w:rsidP="006A59B0">
            <w:pPr>
              <w:jc w:val="right"/>
              <w:rPr>
                <w:rFonts w:ascii="Calibri" w:hAnsi="Calibri"/>
                <w:color w:val="000000"/>
              </w:rPr>
            </w:pPr>
            <w:r>
              <w:rPr>
                <w:rFonts w:ascii="Calibri" w:hAnsi="Calibri"/>
                <w:color w:val="000000"/>
              </w:rPr>
              <w:t>21.2%</w:t>
            </w:r>
          </w:p>
        </w:tc>
      </w:tr>
    </w:tbl>
    <w:p w14:paraId="50ECC171" w14:textId="77777777" w:rsidR="003C0490" w:rsidRDefault="003C0490" w:rsidP="003C0490">
      <w:pPr>
        <w:pStyle w:val="tablefootnote"/>
      </w:pPr>
      <w:r>
        <w:t xml:space="preserve">Source: APS data, authors’ calculations; weighted. </w:t>
      </w:r>
    </w:p>
    <w:p w14:paraId="23C4F700" w14:textId="4C5AB006" w:rsidR="00E37AE1" w:rsidRDefault="00E37AE1">
      <w:pPr>
        <w:spacing w:line="276" w:lineRule="auto"/>
      </w:pPr>
      <w:r>
        <w:br w:type="page"/>
      </w:r>
    </w:p>
    <w:p w14:paraId="163C1DA9" w14:textId="77777777" w:rsidR="003C0490" w:rsidRDefault="003C0490" w:rsidP="00E37AE1">
      <w:pPr>
        <w:pStyle w:val="Caption"/>
      </w:pPr>
      <w:r>
        <w:lastRenderedPageBreak/>
        <w:t xml:space="preserve">Table </w:t>
      </w:r>
      <w:fldSimple w:instr=" SEQ Table \* ARABIC ">
        <w:r w:rsidR="00BF2BB7">
          <w:rPr>
            <w:noProof/>
          </w:rPr>
          <w:t>7</w:t>
        </w:r>
      </w:fldSimple>
      <w:r>
        <w:t xml:space="preserve"> </w:t>
      </w:r>
      <w:r w:rsidRPr="00B637A5">
        <w:t>Non-compliance in ASHE allowing for rounding</w:t>
      </w:r>
    </w:p>
    <w:tbl>
      <w:tblPr>
        <w:tblW w:w="0" w:type="auto"/>
        <w:jc w:val="center"/>
        <w:tblLook w:val="04A0" w:firstRow="1" w:lastRow="0" w:firstColumn="1" w:lastColumn="0" w:noHBand="0" w:noVBand="1"/>
      </w:tblPr>
      <w:tblGrid>
        <w:gridCol w:w="1433"/>
        <w:gridCol w:w="1553"/>
        <w:gridCol w:w="1553"/>
        <w:gridCol w:w="993"/>
        <w:gridCol w:w="1119"/>
      </w:tblGrid>
      <w:tr w:rsidR="003C0490" w:rsidRPr="00A373AF" w14:paraId="4E4E4FCE" w14:textId="77777777" w:rsidTr="00E37AE1">
        <w:trPr>
          <w:trHeight w:val="537"/>
          <w:jc w:val="center"/>
        </w:trPr>
        <w:tc>
          <w:tcPr>
            <w:tcW w:w="0" w:type="auto"/>
            <w:shd w:val="clear" w:color="auto" w:fill="auto"/>
            <w:hideMark/>
          </w:tcPr>
          <w:p w14:paraId="1B4AA59A" w14:textId="77777777" w:rsidR="003C0490" w:rsidRPr="00A373AF" w:rsidRDefault="003C0490" w:rsidP="006A59B0">
            <w:pPr>
              <w:spacing w:after="0" w:line="240" w:lineRule="auto"/>
              <w:rPr>
                <w:rFonts w:ascii="Times New Roman" w:eastAsia="Times New Roman" w:hAnsi="Times New Roman" w:cs="Times New Roman"/>
                <w:sz w:val="24"/>
                <w:szCs w:val="24"/>
                <w:lang w:eastAsia="en-GB"/>
              </w:rPr>
            </w:pPr>
          </w:p>
        </w:tc>
        <w:tc>
          <w:tcPr>
            <w:tcW w:w="0" w:type="auto"/>
            <w:shd w:val="clear" w:color="auto" w:fill="auto"/>
            <w:hideMark/>
          </w:tcPr>
          <w:p w14:paraId="19BFCA2F" w14:textId="77777777" w:rsidR="003C0490" w:rsidRPr="00A373AF" w:rsidRDefault="003C0490" w:rsidP="006A59B0">
            <w:pPr>
              <w:spacing w:after="0" w:line="240" w:lineRule="auto"/>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Non-compliant</w:t>
            </w:r>
          </w:p>
        </w:tc>
        <w:tc>
          <w:tcPr>
            <w:tcW w:w="0" w:type="auto"/>
            <w:shd w:val="clear" w:color="auto" w:fill="auto"/>
            <w:hideMark/>
          </w:tcPr>
          <w:p w14:paraId="6DBC1A41" w14:textId="77777777" w:rsidR="003C0490" w:rsidRDefault="003C0490" w:rsidP="006A59B0">
            <w:pPr>
              <w:spacing w:after="0" w:line="240" w:lineRule="auto"/>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Non-compliant</w:t>
            </w:r>
          </w:p>
          <w:p w14:paraId="64481DC2" w14:textId="77777777" w:rsidR="003C0490" w:rsidRPr="00A373AF" w:rsidRDefault="003C0490" w:rsidP="006A59B0">
            <w:pPr>
              <w:spacing w:after="0" w:line="240" w:lineRule="auto"/>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with error</w:t>
            </w:r>
          </w:p>
        </w:tc>
        <w:tc>
          <w:tcPr>
            <w:tcW w:w="0" w:type="auto"/>
            <w:shd w:val="clear" w:color="auto" w:fill="auto"/>
            <w:hideMark/>
          </w:tcPr>
          <w:p w14:paraId="3DAA75EA" w14:textId="77777777" w:rsidR="003C0490" w:rsidRPr="00A373AF" w:rsidRDefault="003C0490" w:rsidP="006A59B0">
            <w:pPr>
              <w:spacing w:after="0" w:line="240" w:lineRule="auto"/>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At NMW</w:t>
            </w:r>
          </w:p>
        </w:tc>
        <w:tc>
          <w:tcPr>
            <w:tcW w:w="0" w:type="auto"/>
            <w:shd w:val="clear" w:color="auto" w:fill="auto"/>
            <w:hideMark/>
          </w:tcPr>
          <w:p w14:paraId="4F7A7510" w14:textId="77777777" w:rsidR="003C0490" w:rsidRDefault="003C0490" w:rsidP="006A59B0">
            <w:pPr>
              <w:spacing w:after="0" w:line="240" w:lineRule="auto"/>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At NMW</w:t>
            </w:r>
          </w:p>
          <w:p w14:paraId="27E9C599" w14:textId="77777777" w:rsidR="003C0490" w:rsidRPr="00A373AF" w:rsidRDefault="003C0490" w:rsidP="006A59B0">
            <w:pPr>
              <w:spacing w:after="0" w:line="240" w:lineRule="auto"/>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with error</w:t>
            </w:r>
          </w:p>
        </w:tc>
      </w:tr>
      <w:tr w:rsidR="003C0490" w:rsidRPr="00A373AF" w14:paraId="3392243F" w14:textId="77777777" w:rsidTr="00E37AE1">
        <w:trPr>
          <w:gridAfter w:val="4"/>
          <w:trHeight w:val="300"/>
          <w:jc w:val="center"/>
        </w:trPr>
        <w:tc>
          <w:tcPr>
            <w:tcW w:w="0" w:type="auto"/>
            <w:shd w:val="clear" w:color="auto" w:fill="auto"/>
            <w:noWrap/>
            <w:vAlign w:val="bottom"/>
            <w:hideMark/>
          </w:tcPr>
          <w:p w14:paraId="2D5867C8" w14:textId="77777777" w:rsidR="003C0490" w:rsidRPr="00A373AF" w:rsidRDefault="003C0490" w:rsidP="006A59B0">
            <w:pPr>
              <w:spacing w:after="0" w:line="240" w:lineRule="auto"/>
              <w:rPr>
                <w:rFonts w:ascii="Times New Roman" w:eastAsia="Times New Roman" w:hAnsi="Times New Roman" w:cs="Times New Roman"/>
                <w:sz w:val="20"/>
                <w:szCs w:val="20"/>
                <w:lang w:eastAsia="en-GB"/>
              </w:rPr>
            </w:pPr>
            <w:r>
              <w:rPr>
                <w:rFonts w:ascii="Calibri" w:eastAsia="Times New Roman" w:hAnsi="Calibri" w:cs="Times New Roman"/>
                <w:color w:val="000000"/>
                <w:lang w:eastAsia="en-GB"/>
              </w:rPr>
              <w:t>Relevant MW</w:t>
            </w:r>
          </w:p>
        </w:tc>
      </w:tr>
      <w:tr w:rsidR="003C0490" w:rsidRPr="00A373AF" w14:paraId="1602AF7D" w14:textId="77777777" w:rsidTr="00E37AE1">
        <w:trPr>
          <w:trHeight w:val="300"/>
          <w:jc w:val="center"/>
        </w:trPr>
        <w:tc>
          <w:tcPr>
            <w:tcW w:w="0" w:type="auto"/>
            <w:shd w:val="clear" w:color="auto" w:fill="auto"/>
            <w:noWrap/>
            <w:vAlign w:val="bottom"/>
            <w:hideMark/>
          </w:tcPr>
          <w:p w14:paraId="08854E65" w14:textId="77777777" w:rsidR="003C0490" w:rsidRPr="00A373AF" w:rsidRDefault="003C0490" w:rsidP="006A59B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Adult r</w:t>
            </w:r>
            <w:r w:rsidRPr="00A373AF">
              <w:rPr>
                <w:rFonts w:ascii="Calibri" w:eastAsia="Times New Roman" w:hAnsi="Calibri" w:cs="Times New Roman"/>
                <w:color w:val="000000"/>
                <w:lang w:eastAsia="en-GB"/>
              </w:rPr>
              <w:t>a</w:t>
            </w:r>
            <w:r>
              <w:rPr>
                <w:rFonts w:ascii="Calibri" w:eastAsia="Times New Roman" w:hAnsi="Calibri" w:cs="Times New Roman"/>
                <w:color w:val="000000"/>
                <w:lang w:eastAsia="en-GB"/>
              </w:rPr>
              <w:t>te</w:t>
            </w:r>
          </w:p>
        </w:tc>
        <w:tc>
          <w:tcPr>
            <w:tcW w:w="0" w:type="auto"/>
            <w:shd w:val="clear" w:color="auto" w:fill="auto"/>
            <w:noWrap/>
            <w:vAlign w:val="bottom"/>
            <w:hideMark/>
          </w:tcPr>
          <w:p w14:paraId="7D1D336F" w14:textId="77777777" w:rsidR="003C0490" w:rsidRPr="00A373AF" w:rsidRDefault="003C0490" w:rsidP="006A59B0">
            <w:pPr>
              <w:spacing w:after="0" w:line="240" w:lineRule="auto"/>
              <w:jc w:val="right"/>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1.1%</w:t>
            </w:r>
          </w:p>
        </w:tc>
        <w:tc>
          <w:tcPr>
            <w:tcW w:w="0" w:type="auto"/>
            <w:shd w:val="clear" w:color="auto" w:fill="auto"/>
            <w:noWrap/>
            <w:vAlign w:val="bottom"/>
            <w:hideMark/>
          </w:tcPr>
          <w:p w14:paraId="644B12BF" w14:textId="77777777" w:rsidR="003C0490" w:rsidRPr="00A373AF" w:rsidRDefault="003C0490" w:rsidP="006A59B0">
            <w:pPr>
              <w:spacing w:after="0" w:line="240" w:lineRule="auto"/>
              <w:jc w:val="right"/>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1.1%</w:t>
            </w:r>
          </w:p>
        </w:tc>
        <w:tc>
          <w:tcPr>
            <w:tcW w:w="0" w:type="auto"/>
            <w:shd w:val="clear" w:color="auto" w:fill="auto"/>
            <w:noWrap/>
            <w:vAlign w:val="bottom"/>
            <w:hideMark/>
          </w:tcPr>
          <w:p w14:paraId="2F1B191B" w14:textId="77777777" w:rsidR="003C0490" w:rsidRPr="00A373AF" w:rsidRDefault="003C0490" w:rsidP="006A59B0">
            <w:pPr>
              <w:spacing w:after="0" w:line="240" w:lineRule="auto"/>
              <w:jc w:val="right"/>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3.5%</w:t>
            </w:r>
          </w:p>
        </w:tc>
        <w:tc>
          <w:tcPr>
            <w:tcW w:w="0" w:type="auto"/>
            <w:shd w:val="clear" w:color="auto" w:fill="auto"/>
            <w:noWrap/>
            <w:vAlign w:val="bottom"/>
            <w:hideMark/>
          </w:tcPr>
          <w:p w14:paraId="3D9EF3FB" w14:textId="77777777" w:rsidR="003C0490" w:rsidRPr="00A373AF" w:rsidRDefault="003C0490" w:rsidP="006A59B0">
            <w:pPr>
              <w:spacing w:after="0" w:line="240" w:lineRule="auto"/>
              <w:jc w:val="right"/>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3.9%</w:t>
            </w:r>
          </w:p>
        </w:tc>
      </w:tr>
      <w:tr w:rsidR="003C0490" w:rsidRPr="00A373AF" w14:paraId="0A7CF4C1" w14:textId="77777777" w:rsidTr="00E37AE1">
        <w:trPr>
          <w:trHeight w:val="300"/>
          <w:jc w:val="center"/>
        </w:trPr>
        <w:tc>
          <w:tcPr>
            <w:tcW w:w="0" w:type="auto"/>
            <w:shd w:val="clear" w:color="auto" w:fill="auto"/>
            <w:noWrap/>
            <w:vAlign w:val="bottom"/>
            <w:hideMark/>
          </w:tcPr>
          <w:p w14:paraId="001316F2" w14:textId="77777777" w:rsidR="003C0490" w:rsidRPr="00A373AF" w:rsidRDefault="003C0490" w:rsidP="006A59B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YDR</w:t>
            </w:r>
          </w:p>
        </w:tc>
        <w:tc>
          <w:tcPr>
            <w:tcW w:w="0" w:type="auto"/>
            <w:shd w:val="clear" w:color="auto" w:fill="auto"/>
            <w:noWrap/>
            <w:vAlign w:val="bottom"/>
            <w:hideMark/>
          </w:tcPr>
          <w:p w14:paraId="7763EECB" w14:textId="77777777" w:rsidR="003C0490" w:rsidRPr="00A373AF" w:rsidRDefault="003C0490" w:rsidP="006A59B0">
            <w:pPr>
              <w:spacing w:after="0" w:line="240" w:lineRule="auto"/>
              <w:jc w:val="right"/>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2.1%</w:t>
            </w:r>
          </w:p>
        </w:tc>
        <w:tc>
          <w:tcPr>
            <w:tcW w:w="0" w:type="auto"/>
            <w:shd w:val="clear" w:color="auto" w:fill="auto"/>
            <w:noWrap/>
            <w:vAlign w:val="bottom"/>
            <w:hideMark/>
          </w:tcPr>
          <w:p w14:paraId="4FCCDA62" w14:textId="77777777" w:rsidR="003C0490" w:rsidRPr="00A373AF" w:rsidRDefault="003C0490" w:rsidP="006A59B0">
            <w:pPr>
              <w:spacing w:after="0" w:line="240" w:lineRule="auto"/>
              <w:jc w:val="right"/>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1.9%</w:t>
            </w:r>
          </w:p>
        </w:tc>
        <w:tc>
          <w:tcPr>
            <w:tcW w:w="0" w:type="auto"/>
            <w:shd w:val="clear" w:color="auto" w:fill="auto"/>
            <w:noWrap/>
            <w:vAlign w:val="bottom"/>
            <w:hideMark/>
          </w:tcPr>
          <w:p w14:paraId="00E2B3CD" w14:textId="77777777" w:rsidR="003C0490" w:rsidRPr="00A373AF" w:rsidRDefault="003C0490" w:rsidP="006A59B0">
            <w:pPr>
              <w:spacing w:after="0" w:line="240" w:lineRule="auto"/>
              <w:jc w:val="right"/>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6.9%</w:t>
            </w:r>
          </w:p>
        </w:tc>
        <w:tc>
          <w:tcPr>
            <w:tcW w:w="0" w:type="auto"/>
            <w:shd w:val="clear" w:color="auto" w:fill="auto"/>
            <w:noWrap/>
            <w:vAlign w:val="bottom"/>
            <w:hideMark/>
          </w:tcPr>
          <w:p w14:paraId="14187CEB" w14:textId="77777777" w:rsidR="003C0490" w:rsidRPr="00A373AF" w:rsidRDefault="003C0490" w:rsidP="006A59B0">
            <w:pPr>
              <w:spacing w:after="0" w:line="240" w:lineRule="auto"/>
              <w:jc w:val="right"/>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7.4%</w:t>
            </w:r>
          </w:p>
        </w:tc>
      </w:tr>
      <w:tr w:rsidR="003C0490" w:rsidRPr="00A373AF" w14:paraId="1D53058F" w14:textId="77777777" w:rsidTr="00E37AE1">
        <w:trPr>
          <w:trHeight w:val="300"/>
          <w:jc w:val="center"/>
        </w:trPr>
        <w:tc>
          <w:tcPr>
            <w:tcW w:w="0" w:type="auto"/>
            <w:shd w:val="clear" w:color="auto" w:fill="auto"/>
            <w:noWrap/>
            <w:vAlign w:val="bottom"/>
          </w:tcPr>
          <w:p w14:paraId="76C643A0" w14:textId="77777777" w:rsidR="003C0490" w:rsidRDefault="003C0490" w:rsidP="006A59B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16-17yo</w:t>
            </w:r>
          </w:p>
        </w:tc>
        <w:tc>
          <w:tcPr>
            <w:tcW w:w="0" w:type="auto"/>
            <w:shd w:val="clear" w:color="auto" w:fill="auto"/>
            <w:noWrap/>
            <w:vAlign w:val="bottom"/>
          </w:tcPr>
          <w:p w14:paraId="2F1D3977" w14:textId="77777777" w:rsidR="003C0490" w:rsidRPr="00A373AF" w:rsidRDefault="003C0490" w:rsidP="006A59B0">
            <w:pPr>
              <w:spacing w:after="0" w:line="240" w:lineRule="auto"/>
              <w:jc w:val="right"/>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1.0%</w:t>
            </w:r>
          </w:p>
        </w:tc>
        <w:tc>
          <w:tcPr>
            <w:tcW w:w="0" w:type="auto"/>
            <w:shd w:val="clear" w:color="auto" w:fill="auto"/>
            <w:noWrap/>
            <w:vAlign w:val="bottom"/>
          </w:tcPr>
          <w:p w14:paraId="0F324E7E" w14:textId="77777777" w:rsidR="003C0490" w:rsidRPr="00A373AF" w:rsidRDefault="003C0490" w:rsidP="006A59B0">
            <w:pPr>
              <w:spacing w:after="0" w:line="240" w:lineRule="auto"/>
              <w:jc w:val="right"/>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0.8%</w:t>
            </w:r>
          </w:p>
        </w:tc>
        <w:tc>
          <w:tcPr>
            <w:tcW w:w="0" w:type="auto"/>
            <w:shd w:val="clear" w:color="auto" w:fill="auto"/>
            <w:noWrap/>
            <w:vAlign w:val="bottom"/>
          </w:tcPr>
          <w:p w14:paraId="17F9FD76" w14:textId="77777777" w:rsidR="003C0490" w:rsidRPr="00A373AF" w:rsidRDefault="003C0490" w:rsidP="006A59B0">
            <w:pPr>
              <w:spacing w:after="0" w:line="240" w:lineRule="auto"/>
              <w:jc w:val="right"/>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6.4%</w:t>
            </w:r>
          </w:p>
        </w:tc>
        <w:tc>
          <w:tcPr>
            <w:tcW w:w="0" w:type="auto"/>
            <w:shd w:val="clear" w:color="auto" w:fill="auto"/>
            <w:noWrap/>
            <w:vAlign w:val="bottom"/>
          </w:tcPr>
          <w:p w14:paraId="6C7D487E" w14:textId="77777777" w:rsidR="003C0490" w:rsidRPr="00A373AF" w:rsidRDefault="003C0490" w:rsidP="006A59B0">
            <w:pPr>
              <w:spacing w:after="0" w:line="240" w:lineRule="auto"/>
              <w:jc w:val="right"/>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6.9%</w:t>
            </w:r>
          </w:p>
        </w:tc>
      </w:tr>
      <w:tr w:rsidR="003C0490" w:rsidRPr="00A373AF" w14:paraId="0A23D88D" w14:textId="77777777" w:rsidTr="00E37AE1">
        <w:trPr>
          <w:trHeight w:val="300"/>
          <w:jc w:val="center"/>
        </w:trPr>
        <w:tc>
          <w:tcPr>
            <w:tcW w:w="0" w:type="auto"/>
            <w:shd w:val="clear" w:color="auto" w:fill="auto"/>
            <w:noWrap/>
            <w:vAlign w:val="bottom"/>
            <w:hideMark/>
          </w:tcPr>
          <w:p w14:paraId="1508F520" w14:textId="77777777" w:rsidR="003C0490" w:rsidRPr="00A373AF" w:rsidRDefault="003C0490" w:rsidP="006A59B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Apprentice</w:t>
            </w:r>
          </w:p>
        </w:tc>
        <w:tc>
          <w:tcPr>
            <w:tcW w:w="0" w:type="auto"/>
            <w:shd w:val="clear" w:color="auto" w:fill="auto"/>
            <w:noWrap/>
            <w:vAlign w:val="bottom"/>
            <w:hideMark/>
          </w:tcPr>
          <w:p w14:paraId="13B08C9E" w14:textId="77777777" w:rsidR="003C0490" w:rsidRPr="00A373AF" w:rsidRDefault="003C0490" w:rsidP="006A59B0">
            <w:pPr>
              <w:spacing w:after="0" w:line="240" w:lineRule="auto"/>
              <w:jc w:val="right"/>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5.4%</w:t>
            </w:r>
          </w:p>
        </w:tc>
        <w:tc>
          <w:tcPr>
            <w:tcW w:w="0" w:type="auto"/>
            <w:shd w:val="clear" w:color="auto" w:fill="auto"/>
            <w:noWrap/>
            <w:vAlign w:val="bottom"/>
            <w:hideMark/>
          </w:tcPr>
          <w:p w14:paraId="770F4184" w14:textId="77777777" w:rsidR="003C0490" w:rsidRPr="00A373AF" w:rsidRDefault="003C0490" w:rsidP="006A59B0">
            <w:pPr>
              <w:spacing w:after="0" w:line="240" w:lineRule="auto"/>
              <w:jc w:val="right"/>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2.1%</w:t>
            </w:r>
          </w:p>
        </w:tc>
        <w:tc>
          <w:tcPr>
            <w:tcW w:w="0" w:type="auto"/>
            <w:shd w:val="clear" w:color="auto" w:fill="auto"/>
            <w:noWrap/>
            <w:vAlign w:val="bottom"/>
            <w:hideMark/>
          </w:tcPr>
          <w:p w14:paraId="1F516708" w14:textId="77777777" w:rsidR="003C0490" w:rsidRPr="00A373AF" w:rsidRDefault="003C0490" w:rsidP="006A59B0">
            <w:pPr>
              <w:spacing w:after="0" w:line="240" w:lineRule="auto"/>
              <w:jc w:val="right"/>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10.4%</w:t>
            </w:r>
          </w:p>
        </w:tc>
        <w:tc>
          <w:tcPr>
            <w:tcW w:w="0" w:type="auto"/>
            <w:shd w:val="clear" w:color="auto" w:fill="auto"/>
            <w:noWrap/>
            <w:vAlign w:val="bottom"/>
            <w:hideMark/>
          </w:tcPr>
          <w:p w14:paraId="10EA5DF9" w14:textId="77777777" w:rsidR="003C0490" w:rsidRPr="00A373AF" w:rsidRDefault="003C0490" w:rsidP="006A59B0">
            <w:pPr>
              <w:spacing w:after="0" w:line="240" w:lineRule="auto"/>
              <w:jc w:val="right"/>
              <w:rPr>
                <w:rFonts w:ascii="Calibri" w:eastAsia="Times New Roman" w:hAnsi="Calibri" w:cs="Times New Roman"/>
                <w:color w:val="000000"/>
                <w:lang w:eastAsia="en-GB"/>
              </w:rPr>
            </w:pPr>
            <w:r w:rsidRPr="00A373AF">
              <w:rPr>
                <w:rFonts w:ascii="Calibri" w:eastAsia="Times New Roman" w:hAnsi="Calibri" w:cs="Times New Roman"/>
                <w:color w:val="000000"/>
                <w:lang w:eastAsia="en-GB"/>
              </w:rPr>
              <w:t>14.3%</w:t>
            </w:r>
          </w:p>
        </w:tc>
      </w:tr>
    </w:tbl>
    <w:p w14:paraId="1C374A74" w14:textId="77777777" w:rsidR="003C0490" w:rsidRPr="00F05997" w:rsidRDefault="003C0490" w:rsidP="003C0490">
      <w:pPr>
        <w:pStyle w:val="tablefootnote"/>
      </w:pPr>
      <w:r w:rsidRPr="0071132B">
        <w:t xml:space="preserve">Source: </w:t>
      </w:r>
      <w:r>
        <w:t>ASHE 2013-2015 averages, a</w:t>
      </w:r>
      <w:r w:rsidRPr="0071132B">
        <w:t>uthors’ calculations, unweighted</w:t>
      </w:r>
    </w:p>
    <w:p w14:paraId="10300495" w14:textId="77777777" w:rsidR="003C0490" w:rsidRDefault="003C0490"/>
    <w:p w14:paraId="78FF9E30" w14:textId="25C5E5D1" w:rsidR="003C0490" w:rsidRDefault="003C0490">
      <w:r>
        <w:br w:type="page"/>
      </w:r>
    </w:p>
    <w:p w14:paraId="54FAA024" w14:textId="77777777" w:rsidR="003C0490" w:rsidRDefault="003C0490" w:rsidP="00E37AE1">
      <w:pPr>
        <w:pStyle w:val="Caption"/>
      </w:pPr>
      <w:r>
        <w:lastRenderedPageBreak/>
        <w:t xml:space="preserve">Figure 1 </w:t>
      </w:r>
      <w:r w:rsidRPr="0048174E">
        <w:t>Derived hourly pay, payslip information and the stated hourly pay</w:t>
      </w:r>
    </w:p>
    <w:p w14:paraId="4722CC96" w14:textId="77777777" w:rsidR="003C0490" w:rsidRDefault="003C0490" w:rsidP="003C0490">
      <w:pPr>
        <w:pStyle w:val="tablenotes"/>
      </w:pPr>
      <w:r w:rsidRPr="0071132B">
        <w:t xml:space="preserve">Source: </w:t>
      </w:r>
      <w:r>
        <w:t>Authors’ calculations; APS 2014, un</w:t>
      </w:r>
      <w:r w:rsidRPr="0071132B">
        <w:t>weighted</w:t>
      </w:r>
      <w:r>
        <w:t xml:space="preserve"> data, stated hourly pay sample</w:t>
      </w:r>
    </w:p>
    <w:p w14:paraId="1D0F6E50" w14:textId="77777777" w:rsidR="003C0490" w:rsidRDefault="003C0490" w:rsidP="003C0490">
      <w:pPr>
        <w:pStyle w:val="tablenotes"/>
      </w:pPr>
    </w:p>
    <w:p w14:paraId="0A64B82F" w14:textId="143DBCE8" w:rsidR="003C0490" w:rsidRDefault="00E37AE1">
      <w:r>
        <w:rPr>
          <w:noProof/>
          <w:lang w:eastAsia="en-GB"/>
        </w:rPr>
        <w:drawing>
          <wp:inline distT="0" distB="0" distL="0" distR="0" wp14:anchorId="1F84CF4C" wp14:editId="6867E732">
            <wp:extent cx="5731510" cy="4194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png"/>
                    <pic:cNvPicPr/>
                  </pic:nvPicPr>
                  <pic:blipFill>
                    <a:blip r:embed="rId21" cstate="print">
                      <a:extLst>
                        <a:ext uri="{BEBA8EAE-BF5A-486C-A8C5-ECC9F3942E4B}">
                          <a14:imgProps xmlns:a14="http://schemas.microsoft.com/office/drawing/2010/main">
                            <a14:imgLayer r:embed="rId22">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31510" cy="4194810"/>
                    </a:xfrm>
                    <a:prstGeom prst="rect">
                      <a:avLst/>
                    </a:prstGeom>
                  </pic:spPr>
                </pic:pic>
              </a:graphicData>
            </a:graphic>
          </wp:inline>
        </w:drawing>
      </w:r>
    </w:p>
    <w:sectPr w:rsidR="003C0490" w:rsidSect="00FA55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FBEAE" w14:textId="77777777" w:rsidR="00FF3915" w:rsidRDefault="00FF3915" w:rsidP="002820F1">
      <w:pPr>
        <w:spacing w:after="0" w:line="240" w:lineRule="auto"/>
      </w:pPr>
      <w:r>
        <w:separator/>
      </w:r>
    </w:p>
  </w:endnote>
  <w:endnote w:type="continuationSeparator" w:id="0">
    <w:p w14:paraId="58C134D6" w14:textId="77777777" w:rsidR="00FF3915" w:rsidRDefault="00FF3915" w:rsidP="0028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908366"/>
      <w:docPartObj>
        <w:docPartGallery w:val="Page Numbers (Bottom of Page)"/>
        <w:docPartUnique/>
      </w:docPartObj>
    </w:sdtPr>
    <w:sdtEndPr>
      <w:rPr>
        <w:noProof/>
      </w:rPr>
    </w:sdtEndPr>
    <w:sdtContent>
      <w:p w14:paraId="20B2535C" w14:textId="77777777" w:rsidR="006A59B0" w:rsidRDefault="006A59B0">
        <w:pPr>
          <w:pStyle w:val="Footer"/>
          <w:jc w:val="center"/>
        </w:pPr>
        <w:r>
          <w:fldChar w:fldCharType="begin"/>
        </w:r>
        <w:r>
          <w:instrText xml:space="preserve"> PAGE   \* MERGEFORMAT </w:instrText>
        </w:r>
        <w:r>
          <w:fldChar w:fldCharType="separate"/>
        </w:r>
        <w:r w:rsidR="00BF2BB7">
          <w:rPr>
            <w:noProof/>
          </w:rPr>
          <w:t>30</w:t>
        </w:r>
        <w:r>
          <w:rPr>
            <w:noProof/>
          </w:rPr>
          <w:fldChar w:fldCharType="end"/>
        </w:r>
      </w:p>
    </w:sdtContent>
  </w:sdt>
  <w:p w14:paraId="7434BFB1" w14:textId="77777777" w:rsidR="006A59B0" w:rsidRDefault="006A5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357FF" w14:textId="77777777" w:rsidR="00FF3915" w:rsidRDefault="00FF3915" w:rsidP="002820F1">
      <w:pPr>
        <w:spacing w:after="0" w:line="240" w:lineRule="auto"/>
      </w:pPr>
      <w:r>
        <w:separator/>
      </w:r>
    </w:p>
  </w:footnote>
  <w:footnote w:type="continuationSeparator" w:id="0">
    <w:p w14:paraId="7D19D14D" w14:textId="77777777" w:rsidR="00FF3915" w:rsidRDefault="00FF3915" w:rsidP="00282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179"/>
    <w:multiLevelType w:val="hybridMultilevel"/>
    <w:tmpl w:val="BC20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E48DD"/>
    <w:multiLevelType w:val="hybridMultilevel"/>
    <w:tmpl w:val="16F8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C516F6"/>
    <w:multiLevelType w:val="hybridMultilevel"/>
    <w:tmpl w:val="1F0EC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DA4BAD"/>
    <w:multiLevelType w:val="hybridMultilevel"/>
    <w:tmpl w:val="CC94C88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DA52A6"/>
    <w:multiLevelType w:val="hybridMultilevel"/>
    <w:tmpl w:val="F4C6E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7A4074"/>
    <w:multiLevelType w:val="hybridMultilevel"/>
    <w:tmpl w:val="27181860"/>
    <w:lvl w:ilvl="0" w:tplc="629EA6B6">
      <w:start w:val="1"/>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B87EE1"/>
    <w:multiLevelType w:val="hybridMultilevel"/>
    <w:tmpl w:val="83D2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C54183"/>
    <w:multiLevelType w:val="hybridMultilevel"/>
    <w:tmpl w:val="0746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061168"/>
    <w:multiLevelType w:val="hybridMultilevel"/>
    <w:tmpl w:val="D044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914065"/>
    <w:multiLevelType w:val="hybridMultilevel"/>
    <w:tmpl w:val="4D88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7204A6"/>
    <w:multiLevelType w:val="multilevel"/>
    <w:tmpl w:val="BCA8F4E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41AE6E44"/>
    <w:multiLevelType w:val="multilevel"/>
    <w:tmpl w:val="10840452"/>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438E6131"/>
    <w:multiLevelType w:val="hybridMultilevel"/>
    <w:tmpl w:val="B566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233CC5"/>
    <w:multiLevelType w:val="hybridMultilevel"/>
    <w:tmpl w:val="1F9A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636BD1"/>
    <w:multiLevelType w:val="hybridMultilevel"/>
    <w:tmpl w:val="FDCE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C25747"/>
    <w:multiLevelType w:val="hybridMultilevel"/>
    <w:tmpl w:val="14F427C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5114ED"/>
    <w:multiLevelType w:val="hybridMultilevel"/>
    <w:tmpl w:val="CC94C88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897655"/>
    <w:multiLevelType w:val="hybridMultilevel"/>
    <w:tmpl w:val="F4EC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752B2B"/>
    <w:multiLevelType w:val="hybridMultilevel"/>
    <w:tmpl w:val="7376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C3162A"/>
    <w:multiLevelType w:val="hybridMultilevel"/>
    <w:tmpl w:val="19D0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9B5E7B"/>
    <w:multiLevelType w:val="hybridMultilevel"/>
    <w:tmpl w:val="A566EA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9D2CC2"/>
    <w:multiLevelType w:val="hybridMultilevel"/>
    <w:tmpl w:val="7F08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924D2D"/>
    <w:multiLevelType w:val="hybridMultilevel"/>
    <w:tmpl w:val="8E92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20"/>
  </w:num>
  <w:num w:numId="5">
    <w:abstractNumId w:val="1"/>
  </w:num>
  <w:num w:numId="6">
    <w:abstractNumId w:val="15"/>
  </w:num>
  <w:num w:numId="7">
    <w:abstractNumId w:val="3"/>
  </w:num>
  <w:num w:numId="8">
    <w:abstractNumId w:val="16"/>
  </w:num>
  <w:num w:numId="9">
    <w:abstractNumId w:val="7"/>
  </w:num>
  <w:num w:numId="10">
    <w:abstractNumId w:val="19"/>
  </w:num>
  <w:num w:numId="11">
    <w:abstractNumId w:val="18"/>
  </w:num>
  <w:num w:numId="12">
    <w:abstractNumId w:val="4"/>
  </w:num>
  <w:num w:numId="13">
    <w:abstractNumId w:val="13"/>
  </w:num>
  <w:num w:numId="14">
    <w:abstractNumId w:val="22"/>
  </w:num>
  <w:num w:numId="15">
    <w:abstractNumId w:val="8"/>
  </w:num>
  <w:num w:numId="16">
    <w:abstractNumId w:val="12"/>
  </w:num>
  <w:num w:numId="17">
    <w:abstractNumId w:val="0"/>
  </w:num>
  <w:num w:numId="18">
    <w:abstractNumId w:val="2"/>
  </w:num>
  <w:num w:numId="19">
    <w:abstractNumId w:val="14"/>
  </w:num>
  <w:num w:numId="20">
    <w:abstractNumId w:val="21"/>
  </w:num>
  <w:num w:numId="21">
    <w:abstractNumId w:val="17"/>
  </w:num>
  <w:num w:numId="22">
    <w:abstractNumId w:val="5"/>
  </w:num>
  <w:num w:numId="2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liziotis M.">
    <w15:presenceInfo w15:providerId="AD" w15:userId="S-1-5-21-2015846570-11164191-355810188-519205"/>
  </w15:person>
  <w15:person w15:author="Damian Whittard">
    <w15:presenceInfo w15:providerId="AD" w15:userId="S-1-5-21-1659004503-492894223-725345543-298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8E"/>
    <w:rsid w:val="00004588"/>
    <w:rsid w:val="00004A74"/>
    <w:rsid w:val="00005A85"/>
    <w:rsid w:val="0000656B"/>
    <w:rsid w:val="0001674B"/>
    <w:rsid w:val="000230E8"/>
    <w:rsid w:val="00030874"/>
    <w:rsid w:val="0003119D"/>
    <w:rsid w:val="0003151C"/>
    <w:rsid w:val="00033096"/>
    <w:rsid w:val="00033282"/>
    <w:rsid w:val="000372B6"/>
    <w:rsid w:val="00042614"/>
    <w:rsid w:val="000433F8"/>
    <w:rsid w:val="0004427D"/>
    <w:rsid w:val="00045878"/>
    <w:rsid w:val="000458C2"/>
    <w:rsid w:val="00053275"/>
    <w:rsid w:val="0005644D"/>
    <w:rsid w:val="00057EE3"/>
    <w:rsid w:val="00071421"/>
    <w:rsid w:val="000757A8"/>
    <w:rsid w:val="000817A4"/>
    <w:rsid w:val="000832E7"/>
    <w:rsid w:val="000856AE"/>
    <w:rsid w:val="00087B91"/>
    <w:rsid w:val="000A2881"/>
    <w:rsid w:val="000A7198"/>
    <w:rsid w:val="000A7A0B"/>
    <w:rsid w:val="000C1324"/>
    <w:rsid w:val="000C5156"/>
    <w:rsid w:val="000E6714"/>
    <w:rsid w:val="000E7A51"/>
    <w:rsid w:val="00102782"/>
    <w:rsid w:val="00102C15"/>
    <w:rsid w:val="00110110"/>
    <w:rsid w:val="00110BC7"/>
    <w:rsid w:val="0011370F"/>
    <w:rsid w:val="0011526A"/>
    <w:rsid w:val="00132C88"/>
    <w:rsid w:val="00141777"/>
    <w:rsid w:val="00152A6E"/>
    <w:rsid w:val="0015387F"/>
    <w:rsid w:val="001642B8"/>
    <w:rsid w:val="00171A89"/>
    <w:rsid w:val="00171C7C"/>
    <w:rsid w:val="00181CB9"/>
    <w:rsid w:val="001A478F"/>
    <w:rsid w:val="001B4CEC"/>
    <w:rsid w:val="001C3B10"/>
    <w:rsid w:val="001D2D47"/>
    <w:rsid w:val="001D3C20"/>
    <w:rsid w:val="001E14DD"/>
    <w:rsid w:val="001E70D1"/>
    <w:rsid w:val="001E7E75"/>
    <w:rsid w:val="001F3D3C"/>
    <w:rsid w:val="001F455E"/>
    <w:rsid w:val="001F65A4"/>
    <w:rsid w:val="00205CDA"/>
    <w:rsid w:val="00207115"/>
    <w:rsid w:val="002122E5"/>
    <w:rsid w:val="00212E9D"/>
    <w:rsid w:val="00214C74"/>
    <w:rsid w:val="00216227"/>
    <w:rsid w:val="00220A4F"/>
    <w:rsid w:val="00233F61"/>
    <w:rsid w:val="00236AF5"/>
    <w:rsid w:val="00250B91"/>
    <w:rsid w:val="00252AA8"/>
    <w:rsid w:val="00256CA8"/>
    <w:rsid w:val="0025724A"/>
    <w:rsid w:val="00261DF2"/>
    <w:rsid w:val="0026639D"/>
    <w:rsid w:val="002729C0"/>
    <w:rsid w:val="002761CF"/>
    <w:rsid w:val="0028020E"/>
    <w:rsid w:val="002820F1"/>
    <w:rsid w:val="002821A0"/>
    <w:rsid w:val="00283684"/>
    <w:rsid w:val="00296849"/>
    <w:rsid w:val="00296DD3"/>
    <w:rsid w:val="002A2FC9"/>
    <w:rsid w:val="002A6FEE"/>
    <w:rsid w:val="002C199C"/>
    <w:rsid w:val="002D5B8E"/>
    <w:rsid w:val="002D5D55"/>
    <w:rsid w:val="002D72EC"/>
    <w:rsid w:val="002E0E72"/>
    <w:rsid w:val="002E5CF4"/>
    <w:rsid w:val="002E6C2D"/>
    <w:rsid w:val="002F28EE"/>
    <w:rsid w:val="002F6CBE"/>
    <w:rsid w:val="002F744D"/>
    <w:rsid w:val="00311761"/>
    <w:rsid w:val="00312E46"/>
    <w:rsid w:val="00317C23"/>
    <w:rsid w:val="003240E3"/>
    <w:rsid w:val="00325704"/>
    <w:rsid w:val="003326CB"/>
    <w:rsid w:val="003653DE"/>
    <w:rsid w:val="00365D40"/>
    <w:rsid w:val="00374605"/>
    <w:rsid w:val="00381E67"/>
    <w:rsid w:val="0038251E"/>
    <w:rsid w:val="00386D12"/>
    <w:rsid w:val="00386E07"/>
    <w:rsid w:val="00387584"/>
    <w:rsid w:val="00391F03"/>
    <w:rsid w:val="0039293B"/>
    <w:rsid w:val="003A5672"/>
    <w:rsid w:val="003A56F0"/>
    <w:rsid w:val="003A5F7E"/>
    <w:rsid w:val="003B5CFD"/>
    <w:rsid w:val="003B797A"/>
    <w:rsid w:val="003C0490"/>
    <w:rsid w:val="003C0491"/>
    <w:rsid w:val="003C04FD"/>
    <w:rsid w:val="003D0596"/>
    <w:rsid w:val="003D6182"/>
    <w:rsid w:val="003E1AE7"/>
    <w:rsid w:val="003E4D7A"/>
    <w:rsid w:val="003E6086"/>
    <w:rsid w:val="00400337"/>
    <w:rsid w:val="00400C20"/>
    <w:rsid w:val="00402804"/>
    <w:rsid w:val="004049FC"/>
    <w:rsid w:val="004176AC"/>
    <w:rsid w:val="00417A51"/>
    <w:rsid w:val="00422479"/>
    <w:rsid w:val="00423E08"/>
    <w:rsid w:val="0043145A"/>
    <w:rsid w:val="00437625"/>
    <w:rsid w:val="00446C61"/>
    <w:rsid w:val="0045157D"/>
    <w:rsid w:val="00457B6A"/>
    <w:rsid w:val="004641A4"/>
    <w:rsid w:val="00471501"/>
    <w:rsid w:val="00472CE6"/>
    <w:rsid w:val="0047732B"/>
    <w:rsid w:val="0047794E"/>
    <w:rsid w:val="00481669"/>
    <w:rsid w:val="00483F09"/>
    <w:rsid w:val="0048511D"/>
    <w:rsid w:val="004860BA"/>
    <w:rsid w:val="004919E2"/>
    <w:rsid w:val="00491EA8"/>
    <w:rsid w:val="004928F5"/>
    <w:rsid w:val="0049342B"/>
    <w:rsid w:val="00493F06"/>
    <w:rsid w:val="00495FBE"/>
    <w:rsid w:val="00496F77"/>
    <w:rsid w:val="004A72E6"/>
    <w:rsid w:val="004C331A"/>
    <w:rsid w:val="004C385A"/>
    <w:rsid w:val="004D7F63"/>
    <w:rsid w:val="004E5537"/>
    <w:rsid w:val="004E55EE"/>
    <w:rsid w:val="004E6652"/>
    <w:rsid w:val="004F1F6F"/>
    <w:rsid w:val="004F701F"/>
    <w:rsid w:val="00501F48"/>
    <w:rsid w:val="00504E4B"/>
    <w:rsid w:val="00511A66"/>
    <w:rsid w:val="00514324"/>
    <w:rsid w:val="00515654"/>
    <w:rsid w:val="005209C6"/>
    <w:rsid w:val="00527F17"/>
    <w:rsid w:val="005365F5"/>
    <w:rsid w:val="005369A4"/>
    <w:rsid w:val="00542414"/>
    <w:rsid w:val="005424E0"/>
    <w:rsid w:val="00544715"/>
    <w:rsid w:val="005506B2"/>
    <w:rsid w:val="005557E6"/>
    <w:rsid w:val="00557646"/>
    <w:rsid w:val="00562E04"/>
    <w:rsid w:val="005648D5"/>
    <w:rsid w:val="00565726"/>
    <w:rsid w:val="005711D0"/>
    <w:rsid w:val="00571ABD"/>
    <w:rsid w:val="00585ADD"/>
    <w:rsid w:val="00597AB1"/>
    <w:rsid w:val="005A060C"/>
    <w:rsid w:val="005A337D"/>
    <w:rsid w:val="005B4890"/>
    <w:rsid w:val="005C46FD"/>
    <w:rsid w:val="005C50A9"/>
    <w:rsid w:val="005D593A"/>
    <w:rsid w:val="005E49B2"/>
    <w:rsid w:val="005E76C1"/>
    <w:rsid w:val="005E7C3C"/>
    <w:rsid w:val="005F034D"/>
    <w:rsid w:val="005F1A90"/>
    <w:rsid w:val="005F73F4"/>
    <w:rsid w:val="00624FF5"/>
    <w:rsid w:val="006259E5"/>
    <w:rsid w:val="006315E3"/>
    <w:rsid w:val="0064208A"/>
    <w:rsid w:val="00644E9C"/>
    <w:rsid w:val="00650590"/>
    <w:rsid w:val="00655007"/>
    <w:rsid w:val="0065737E"/>
    <w:rsid w:val="00660849"/>
    <w:rsid w:val="00660AB1"/>
    <w:rsid w:val="006706BD"/>
    <w:rsid w:val="0068002E"/>
    <w:rsid w:val="00680F1D"/>
    <w:rsid w:val="00684187"/>
    <w:rsid w:val="006845FC"/>
    <w:rsid w:val="00686AC0"/>
    <w:rsid w:val="006945AC"/>
    <w:rsid w:val="006A59B0"/>
    <w:rsid w:val="006B1497"/>
    <w:rsid w:val="006B6EAA"/>
    <w:rsid w:val="006C1DAF"/>
    <w:rsid w:val="006D1AA0"/>
    <w:rsid w:val="006D3F84"/>
    <w:rsid w:val="006D5D81"/>
    <w:rsid w:val="006E611D"/>
    <w:rsid w:val="006F6C97"/>
    <w:rsid w:val="00701C9A"/>
    <w:rsid w:val="00710377"/>
    <w:rsid w:val="00716CC9"/>
    <w:rsid w:val="00730066"/>
    <w:rsid w:val="0073028B"/>
    <w:rsid w:val="0074268B"/>
    <w:rsid w:val="00747C8D"/>
    <w:rsid w:val="00750554"/>
    <w:rsid w:val="00751309"/>
    <w:rsid w:val="00755607"/>
    <w:rsid w:val="007923FF"/>
    <w:rsid w:val="007A587B"/>
    <w:rsid w:val="007A66A9"/>
    <w:rsid w:val="007A7D2F"/>
    <w:rsid w:val="007B1545"/>
    <w:rsid w:val="007B2A2A"/>
    <w:rsid w:val="007B2CA3"/>
    <w:rsid w:val="007B3034"/>
    <w:rsid w:val="007B5B5E"/>
    <w:rsid w:val="007B5F70"/>
    <w:rsid w:val="007C4F2D"/>
    <w:rsid w:val="007C5209"/>
    <w:rsid w:val="007C7F69"/>
    <w:rsid w:val="007D17AE"/>
    <w:rsid w:val="007D51E1"/>
    <w:rsid w:val="007D560D"/>
    <w:rsid w:val="007F1A1F"/>
    <w:rsid w:val="007F4C09"/>
    <w:rsid w:val="007F6F9F"/>
    <w:rsid w:val="00810F6A"/>
    <w:rsid w:val="008161B9"/>
    <w:rsid w:val="00816EB3"/>
    <w:rsid w:val="00824C0E"/>
    <w:rsid w:val="008343BD"/>
    <w:rsid w:val="008369CE"/>
    <w:rsid w:val="008418B1"/>
    <w:rsid w:val="00845EF1"/>
    <w:rsid w:val="00854653"/>
    <w:rsid w:val="00855109"/>
    <w:rsid w:val="00855842"/>
    <w:rsid w:val="0086224B"/>
    <w:rsid w:val="00864E08"/>
    <w:rsid w:val="00865446"/>
    <w:rsid w:val="00871956"/>
    <w:rsid w:val="00872F88"/>
    <w:rsid w:val="00873144"/>
    <w:rsid w:val="0087488C"/>
    <w:rsid w:val="0088300A"/>
    <w:rsid w:val="00883469"/>
    <w:rsid w:val="00892F7F"/>
    <w:rsid w:val="008957F5"/>
    <w:rsid w:val="00895C3E"/>
    <w:rsid w:val="00897E99"/>
    <w:rsid w:val="008B321A"/>
    <w:rsid w:val="008C430B"/>
    <w:rsid w:val="008C6BAB"/>
    <w:rsid w:val="008C6D6B"/>
    <w:rsid w:val="008D47F2"/>
    <w:rsid w:val="008D4A41"/>
    <w:rsid w:val="008D4D14"/>
    <w:rsid w:val="008E3CDD"/>
    <w:rsid w:val="008F29C7"/>
    <w:rsid w:val="008F534D"/>
    <w:rsid w:val="008F5D3C"/>
    <w:rsid w:val="00902F11"/>
    <w:rsid w:val="00904E1F"/>
    <w:rsid w:val="00907713"/>
    <w:rsid w:val="009100B3"/>
    <w:rsid w:val="009111DE"/>
    <w:rsid w:val="00914203"/>
    <w:rsid w:val="00917BAD"/>
    <w:rsid w:val="009231F4"/>
    <w:rsid w:val="00923C78"/>
    <w:rsid w:val="0092437C"/>
    <w:rsid w:val="0092579B"/>
    <w:rsid w:val="009271AE"/>
    <w:rsid w:val="00935A10"/>
    <w:rsid w:val="009379C7"/>
    <w:rsid w:val="00951D53"/>
    <w:rsid w:val="00952BFA"/>
    <w:rsid w:val="00954185"/>
    <w:rsid w:val="009576B9"/>
    <w:rsid w:val="009620E4"/>
    <w:rsid w:val="00962CD8"/>
    <w:rsid w:val="00963B2D"/>
    <w:rsid w:val="00967D1A"/>
    <w:rsid w:val="009745AB"/>
    <w:rsid w:val="00976596"/>
    <w:rsid w:val="00977E17"/>
    <w:rsid w:val="009818F9"/>
    <w:rsid w:val="00991481"/>
    <w:rsid w:val="00994547"/>
    <w:rsid w:val="009A2DF1"/>
    <w:rsid w:val="009B0F15"/>
    <w:rsid w:val="009B1EF1"/>
    <w:rsid w:val="009B2F5F"/>
    <w:rsid w:val="009B383B"/>
    <w:rsid w:val="009B454A"/>
    <w:rsid w:val="009B6742"/>
    <w:rsid w:val="009C49AF"/>
    <w:rsid w:val="009C4CCD"/>
    <w:rsid w:val="009C6A29"/>
    <w:rsid w:val="009C6DDC"/>
    <w:rsid w:val="009D2A8C"/>
    <w:rsid w:val="009D4289"/>
    <w:rsid w:val="009D79A1"/>
    <w:rsid w:val="00A02190"/>
    <w:rsid w:val="00A03CD1"/>
    <w:rsid w:val="00A06536"/>
    <w:rsid w:val="00A11C42"/>
    <w:rsid w:val="00A13B3D"/>
    <w:rsid w:val="00A148C5"/>
    <w:rsid w:val="00A17F59"/>
    <w:rsid w:val="00A41744"/>
    <w:rsid w:val="00A462AF"/>
    <w:rsid w:val="00A478D2"/>
    <w:rsid w:val="00A50260"/>
    <w:rsid w:val="00A52803"/>
    <w:rsid w:val="00A552C8"/>
    <w:rsid w:val="00A56568"/>
    <w:rsid w:val="00A63205"/>
    <w:rsid w:val="00A65261"/>
    <w:rsid w:val="00A659C3"/>
    <w:rsid w:val="00A71F9F"/>
    <w:rsid w:val="00A75DA9"/>
    <w:rsid w:val="00A76646"/>
    <w:rsid w:val="00A809CC"/>
    <w:rsid w:val="00A80B9E"/>
    <w:rsid w:val="00A8612D"/>
    <w:rsid w:val="00A8697A"/>
    <w:rsid w:val="00A9418B"/>
    <w:rsid w:val="00A97D70"/>
    <w:rsid w:val="00AA4CC4"/>
    <w:rsid w:val="00AB0893"/>
    <w:rsid w:val="00AB3232"/>
    <w:rsid w:val="00AB341E"/>
    <w:rsid w:val="00AC1F4B"/>
    <w:rsid w:val="00AC3CF0"/>
    <w:rsid w:val="00AD5471"/>
    <w:rsid w:val="00AD602C"/>
    <w:rsid w:val="00AE53ED"/>
    <w:rsid w:val="00AE59DF"/>
    <w:rsid w:val="00AF530A"/>
    <w:rsid w:val="00AF556D"/>
    <w:rsid w:val="00B0129E"/>
    <w:rsid w:val="00B134FC"/>
    <w:rsid w:val="00B15911"/>
    <w:rsid w:val="00B159BB"/>
    <w:rsid w:val="00B2206C"/>
    <w:rsid w:val="00B26FF5"/>
    <w:rsid w:val="00B31F6D"/>
    <w:rsid w:val="00B37847"/>
    <w:rsid w:val="00B37B88"/>
    <w:rsid w:val="00B40281"/>
    <w:rsid w:val="00B42A5E"/>
    <w:rsid w:val="00B45631"/>
    <w:rsid w:val="00B5079A"/>
    <w:rsid w:val="00B56DAF"/>
    <w:rsid w:val="00B613E4"/>
    <w:rsid w:val="00B64D9E"/>
    <w:rsid w:val="00B708EB"/>
    <w:rsid w:val="00B72A6F"/>
    <w:rsid w:val="00B75D2D"/>
    <w:rsid w:val="00B8000C"/>
    <w:rsid w:val="00B81FC8"/>
    <w:rsid w:val="00B823C9"/>
    <w:rsid w:val="00B824C0"/>
    <w:rsid w:val="00B8592C"/>
    <w:rsid w:val="00B94DCE"/>
    <w:rsid w:val="00BA4EA9"/>
    <w:rsid w:val="00BB7F89"/>
    <w:rsid w:val="00BC7424"/>
    <w:rsid w:val="00BD6201"/>
    <w:rsid w:val="00BE42C3"/>
    <w:rsid w:val="00BE58B9"/>
    <w:rsid w:val="00BF05FC"/>
    <w:rsid w:val="00BF2BB7"/>
    <w:rsid w:val="00BF3E15"/>
    <w:rsid w:val="00BF4431"/>
    <w:rsid w:val="00BF6DA2"/>
    <w:rsid w:val="00BF7104"/>
    <w:rsid w:val="00C003AA"/>
    <w:rsid w:val="00C13295"/>
    <w:rsid w:val="00C13A90"/>
    <w:rsid w:val="00C15EDA"/>
    <w:rsid w:val="00C16E8C"/>
    <w:rsid w:val="00C2432A"/>
    <w:rsid w:val="00C24761"/>
    <w:rsid w:val="00C35561"/>
    <w:rsid w:val="00C422BF"/>
    <w:rsid w:val="00C537EC"/>
    <w:rsid w:val="00C55038"/>
    <w:rsid w:val="00C606B5"/>
    <w:rsid w:val="00C6381A"/>
    <w:rsid w:val="00C63A5B"/>
    <w:rsid w:val="00C7352F"/>
    <w:rsid w:val="00C81685"/>
    <w:rsid w:val="00CA24B8"/>
    <w:rsid w:val="00CA40BF"/>
    <w:rsid w:val="00CA4A6C"/>
    <w:rsid w:val="00CA76E0"/>
    <w:rsid w:val="00CB1728"/>
    <w:rsid w:val="00CB58E7"/>
    <w:rsid w:val="00CC283E"/>
    <w:rsid w:val="00CC3CC2"/>
    <w:rsid w:val="00CC58B3"/>
    <w:rsid w:val="00CD0428"/>
    <w:rsid w:val="00CD4E61"/>
    <w:rsid w:val="00CD51E0"/>
    <w:rsid w:val="00CE33D5"/>
    <w:rsid w:val="00CE349C"/>
    <w:rsid w:val="00CE6405"/>
    <w:rsid w:val="00CE6812"/>
    <w:rsid w:val="00CE7E4D"/>
    <w:rsid w:val="00CF21C0"/>
    <w:rsid w:val="00CF302D"/>
    <w:rsid w:val="00CF6AB4"/>
    <w:rsid w:val="00D018E5"/>
    <w:rsid w:val="00D02771"/>
    <w:rsid w:val="00D06B32"/>
    <w:rsid w:val="00D13AB7"/>
    <w:rsid w:val="00D2170D"/>
    <w:rsid w:val="00D21D05"/>
    <w:rsid w:val="00D22753"/>
    <w:rsid w:val="00D316B3"/>
    <w:rsid w:val="00D32E09"/>
    <w:rsid w:val="00D33A58"/>
    <w:rsid w:val="00D34E47"/>
    <w:rsid w:val="00D42B56"/>
    <w:rsid w:val="00D512CB"/>
    <w:rsid w:val="00D52B7E"/>
    <w:rsid w:val="00D53DF9"/>
    <w:rsid w:val="00D54763"/>
    <w:rsid w:val="00D5641D"/>
    <w:rsid w:val="00D56768"/>
    <w:rsid w:val="00D62C58"/>
    <w:rsid w:val="00D676F2"/>
    <w:rsid w:val="00D70807"/>
    <w:rsid w:val="00D75378"/>
    <w:rsid w:val="00D807B0"/>
    <w:rsid w:val="00D82C91"/>
    <w:rsid w:val="00D844AD"/>
    <w:rsid w:val="00D84A08"/>
    <w:rsid w:val="00D865A7"/>
    <w:rsid w:val="00D86863"/>
    <w:rsid w:val="00D900EC"/>
    <w:rsid w:val="00D957C5"/>
    <w:rsid w:val="00D978CB"/>
    <w:rsid w:val="00D97BEF"/>
    <w:rsid w:val="00DB06CB"/>
    <w:rsid w:val="00DB4DB4"/>
    <w:rsid w:val="00DB5329"/>
    <w:rsid w:val="00DD5B6B"/>
    <w:rsid w:val="00DD5F00"/>
    <w:rsid w:val="00DD73E8"/>
    <w:rsid w:val="00DE1685"/>
    <w:rsid w:val="00DE4B8E"/>
    <w:rsid w:val="00DF00C7"/>
    <w:rsid w:val="00E00510"/>
    <w:rsid w:val="00E068EC"/>
    <w:rsid w:val="00E075F1"/>
    <w:rsid w:val="00E1002B"/>
    <w:rsid w:val="00E12B97"/>
    <w:rsid w:val="00E228B0"/>
    <w:rsid w:val="00E22A33"/>
    <w:rsid w:val="00E27AA0"/>
    <w:rsid w:val="00E37AE1"/>
    <w:rsid w:val="00E50852"/>
    <w:rsid w:val="00E511E0"/>
    <w:rsid w:val="00E539F9"/>
    <w:rsid w:val="00E5721D"/>
    <w:rsid w:val="00E63DF2"/>
    <w:rsid w:val="00E6618A"/>
    <w:rsid w:val="00E6680A"/>
    <w:rsid w:val="00E66E32"/>
    <w:rsid w:val="00E6786D"/>
    <w:rsid w:val="00E7150B"/>
    <w:rsid w:val="00E71B4A"/>
    <w:rsid w:val="00E9183C"/>
    <w:rsid w:val="00E91952"/>
    <w:rsid w:val="00E954D2"/>
    <w:rsid w:val="00E96B0C"/>
    <w:rsid w:val="00EA06D1"/>
    <w:rsid w:val="00EA5045"/>
    <w:rsid w:val="00EB00A4"/>
    <w:rsid w:val="00EB4174"/>
    <w:rsid w:val="00EB53B6"/>
    <w:rsid w:val="00EC6E9A"/>
    <w:rsid w:val="00ED3D1E"/>
    <w:rsid w:val="00ED44F0"/>
    <w:rsid w:val="00ED7603"/>
    <w:rsid w:val="00EE032B"/>
    <w:rsid w:val="00EE4B39"/>
    <w:rsid w:val="00F01F45"/>
    <w:rsid w:val="00F05997"/>
    <w:rsid w:val="00F0799F"/>
    <w:rsid w:val="00F13478"/>
    <w:rsid w:val="00F14890"/>
    <w:rsid w:val="00F22571"/>
    <w:rsid w:val="00F22D90"/>
    <w:rsid w:val="00F241BD"/>
    <w:rsid w:val="00F241E0"/>
    <w:rsid w:val="00F24331"/>
    <w:rsid w:val="00F25CD5"/>
    <w:rsid w:val="00F26D0A"/>
    <w:rsid w:val="00F305B6"/>
    <w:rsid w:val="00F3530D"/>
    <w:rsid w:val="00F356DC"/>
    <w:rsid w:val="00F36C66"/>
    <w:rsid w:val="00F42F47"/>
    <w:rsid w:val="00F44933"/>
    <w:rsid w:val="00F4738A"/>
    <w:rsid w:val="00F47CA9"/>
    <w:rsid w:val="00F51DA3"/>
    <w:rsid w:val="00F52D64"/>
    <w:rsid w:val="00F52D7C"/>
    <w:rsid w:val="00F53761"/>
    <w:rsid w:val="00F632DA"/>
    <w:rsid w:val="00F65512"/>
    <w:rsid w:val="00F7267C"/>
    <w:rsid w:val="00F8215C"/>
    <w:rsid w:val="00F847A2"/>
    <w:rsid w:val="00F85C84"/>
    <w:rsid w:val="00FA0B23"/>
    <w:rsid w:val="00FA199B"/>
    <w:rsid w:val="00FA550B"/>
    <w:rsid w:val="00FA68F7"/>
    <w:rsid w:val="00FB6C52"/>
    <w:rsid w:val="00FC6854"/>
    <w:rsid w:val="00FD5D14"/>
    <w:rsid w:val="00FE03CD"/>
    <w:rsid w:val="00FE08F5"/>
    <w:rsid w:val="00FE207E"/>
    <w:rsid w:val="00FE7D98"/>
    <w:rsid w:val="00FF07B4"/>
    <w:rsid w:val="00FF22A6"/>
    <w:rsid w:val="00FF3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E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E1"/>
    <w:pPr>
      <w:spacing w:line="480" w:lineRule="auto"/>
    </w:pPr>
  </w:style>
  <w:style w:type="paragraph" w:styleId="Heading1">
    <w:name w:val="heading 1"/>
    <w:basedOn w:val="Normal"/>
    <w:next w:val="Normal"/>
    <w:link w:val="Heading1Char"/>
    <w:uiPriority w:val="9"/>
    <w:qFormat/>
    <w:rsid w:val="006A59B0"/>
    <w:pPr>
      <w:keepNext/>
      <w:keepLines/>
      <w:numPr>
        <w:numId w:val="23"/>
      </w:numPr>
      <w:spacing w:before="360" w:after="12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6A59B0"/>
    <w:pPr>
      <w:keepNext/>
      <w:keepLines/>
      <w:numPr>
        <w:ilvl w:val="1"/>
        <w:numId w:val="23"/>
      </w:numPr>
      <w:spacing w:before="200" w:after="1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E37AE1"/>
    <w:pPr>
      <w:keepNext/>
      <w:keepLines/>
      <w:spacing w:before="120" w:after="120"/>
      <w:ind w:left="720" w:hanging="720"/>
      <w:outlineLvl w:val="2"/>
    </w:pPr>
    <w:rPr>
      <w:rFonts w:eastAsiaTheme="majorEastAsia" w:cstheme="majorBidi"/>
      <w:bCs/>
      <w:i/>
      <w:sz w:val="24"/>
    </w:rPr>
  </w:style>
  <w:style w:type="paragraph" w:styleId="Heading4">
    <w:name w:val="heading 4"/>
    <w:basedOn w:val="Normal"/>
    <w:next w:val="Normal"/>
    <w:link w:val="Heading4Char"/>
    <w:uiPriority w:val="9"/>
    <w:unhideWhenUsed/>
    <w:qFormat/>
    <w:rsid w:val="00816EB3"/>
    <w:pPr>
      <w:keepNext/>
      <w:keepLines/>
      <w:spacing w:before="12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9B0"/>
    <w:rPr>
      <w:rFonts w:eastAsiaTheme="majorEastAsia" w:cstheme="majorBidi"/>
      <w:b/>
      <w:bCs/>
      <w:sz w:val="36"/>
      <w:szCs w:val="28"/>
    </w:rPr>
  </w:style>
  <w:style w:type="character" w:customStyle="1" w:styleId="Heading2Char">
    <w:name w:val="Heading 2 Char"/>
    <w:basedOn w:val="DefaultParagraphFont"/>
    <w:link w:val="Heading2"/>
    <w:uiPriority w:val="9"/>
    <w:rsid w:val="006A59B0"/>
    <w:rPr>
      <w:rFonts w:eastAsiaTheme="majorEastAsia" w:cstheme="majorBidi"/>
      <w:b/>
      <w:bCs/>
      <w:sz w:val="28"/>
      <w:szCs w:val="26"/>
    </w:rPr>
  </w:style>
  <w:style w:type="character" w:customStyle="1" w:styleId="Heading3Char">
    <w:name w:val="Heading 3 Char"/>
    <w:basedOn w:val="DefaultParagraphFont"/>
    <w:link w:val="Heading3"/>
    <w:uiPriority w:val="9"/>
    <w:rsid w:val="00E37AE1"/>
    <w:rPr>
      <w:rFonts w:eastAsiaTheme="majorEastAsia" w:cstheme="majorBidi"/>
      <w:bCs/>
      <w:i/>
      <w:sz w:val="24"/>
    </w:rPr>
  </w:style>
  <w:style w:type="character" w:customStyle="1" w:styleId="Heading4Char">
    <w:name w:val="Heading 4 Char"/>
    <w:basedOn w:val="DefaultParagraphFont"/>
    <w:link w:val="Heading4"/>
    <w:uiPriority w:val="9"/>
    <w:rsid w:val="00816EB3"/>
    <w:rPr>
      <w:rFonts w:eastAsiaTheme="majorEastAsia" w:cstheme="majorBidi"/>
      <w:b/>
      <w:bCs/>
      <w:i/>
      <w:iCs/>
      <w:color w:val="4F81BD" w:themeColor="accent1"/>
    </w:rPr>
  </w:style>
  <w:style w:type="paragraph" w:styleId="Subtitle">
    <w:name w:val="Subtitle"/>
    <w:basedOn w:val="Normal"/>
    <w:next w:val="Normal"/>
    <w:link w:val="SubtitleChar"/>
    <w:uiPriority w:val="11"/>
    <w:qFormat/>
    <w:rsid w:val="00457B6A"/>
    <w:pPr>
      <w:numPr>
        <w:ilvl w:val="1"/>
      </w:numPr>
      <w:spacing w:after="120"/>
    </w:pPr>
    <w:rPr>
      <w:rFonts w:asciiTheme="majorHAnsi" w:eastAsiaTheme="majorEastAsia" w:hAnsiTheme="majorHAnsi" w:cstheme="majorBidi"/>
      <w:i/>
      <w:iCs/>
      <w:color w:val="002060"/>
      <w:spacing w:val="15"/>
      <w:sz w:val="28"/>
      <w:szCs w:val="28"/>
    </w:rPr>
  </w:style>
  <w:style w:type="character" w:customStyle="1" w:styleId="SubtitleChar">
    <w:name w:val="Subtitle Char"/>
    <w:basedOn w:val="DefaultParagraphFont"/>
    <w:link w:val="Subtitle"/>
    <w:uiPriority w:val="11"/>
    <w:rsid w:val="00457B6A"/>
    <w:rPr>
      <w:rFonts w:asciiTheme="majorHAnsi" w:eastAsiaTheme="majorEastAsia" w:hAnsiTheme="majorHAnsi" w:cstheme="majorBidi"/>
      <w:i/>
      <w:iCs/>
      <w:color w:val="002060"/>
      <w:spacing w:val="15"/>
      <w:sz w:val="28"/>
      <w:szCs w:val="28"/>
    </w:rPr>
  </w:style>
  <w:style w:type="paragraph" w:styleId="Title">
    <w:name w:val="Title"/>
    <w:basedOn w:val="Normal"/>
    <w:next w:val="Normal"/>
    <w:link w:val="TitleChar"/>
    <w:uiPriority w:val="10"/>
    <w:qFormat/>
    <w:rsid w:val="004176AC"/>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76AC"/>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4E5537"/>
    <w:pPr>
      <w:spacing w:after="0" w:line="240" w:lineRule="auto"/>
    </w:pPr>
    <w:rPr>
      <w:rFonts w:eastAsiaTheme="minorEastAsia"/>
      <w:sz w:val="18"/>
      <w:szCs w:val="20"/>
      <w:lang w:eastAsia="en-GB"/>
    </w:rPr>
  </w:style>
  <w:style w:type="character" w:customStyle="1" w:styleId="FootnoteTextChar">
    <w:name w:val="Footnote Text Char"/>
    <w:basedOn w:val="DefaultParagraphFont"/>
    <w:link w:val="FootnoteText"/>
    <w:uiPriority w:val="99"/>
    <w:semiHidden/>
    <w:rsid w:val="004E5537"/>
    <w:rPr>
      <w:rFonts w:eastAsiaTheme="minorEastAsia"/>
      <w:sz w:val="18"/>
      <w:szCs w:val="20"/>
      <w:lang w:eastAsia="en-GB"/>
    </w:rPr>
  </w:style>
  <w:style w:type="character" w:styleId="IntenseEmphasis">
    <w:name w:val="Intense Emphasis"/>
    <w:basedOn w:val="DefaultParagraphFont"/>
    <w:uiPriority w:val="21"/>
    <w:qFormat/>
    <w:rsid w:val="001A478F"/>
    <w:rPr>
      <w:b/>
      <w:bCs/>
      <w:i/>
      <w:iCs/>
      <w:color w:val="4F81BD" w:themeColor="accent1"/>
    </w:rPr>
  </w:style>
  <w:style w:type="paragraph" w:styleId="BalloonText">
    <w:name w:val="Balloon Text"/>
    <w:basedOn w:val="Normal"/>
    <w:link w:val="BalloonTextChar"/>
    <w:uiPriority w:val="99"/>
    <w:semiHidden/>
    <w:unhideWhenUsed/>
    <w:rsid w:val="00042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614"/>
    <w:rPr>
      <w:rFonts w:ascii="Tahoma" w:hAnsi="Tahoma" w:cs="Tahoma"/>
      <w:sz w:val="16"/>
      <w:szCs w:val="16"/>
    </w:rPr>
  </w:style>
  <w:style w:type="paragraph" w:styleId="Caption">
    <w:name w:val="caption"/>
    <w:basedOn w:val="Normal"/>
    <w:next w:val="Normal"/>
    <w:uiPriority w:val="35"/>
    <w:unhideWhenUsed/>
    <w:qFormat/>
    <w:rsid w:val="00E37AE1"/>
    <w:pPr>
      <w:keepNext/>
      <w:spacing w:line="240" w:lineRule="auto"/>
      <w:jc w:val="center"/>
    </w:pPr>
    <w:rPr>
      <w:b/>
      <w:bCs/>
    </w:rPr>
  </w:style>
  <w:style w:type="character" w:styleId="Hyperlink">
    <w:name w:val="Hyperlink"/>
    <w:basedOn w:val="DefaultParagraphFont"/>
    <w:uiPriority w:val="99"/>
    <w:unhideWhenUsed/>
    <w:rsid w:val="00D02771"/>
    <w:rPr>
      <w:color w:val="0000FF" w:themeColor="hyperlink"/>
      <w:u w:val="single"/>
    </w:rPr>
  </w:style>
  <w:style w:type="paragraph" w:styleId="ListParagraph">
    <w:name w:val="List Paragraph"/>
    <w:basedOn w:val="Normal"/>
    <w:uiPriority w:val="34"/>
    <w:qFormat/>
    <w:rsid w:val="00994547"/>
    <w:pPr>
      <w:ind w:left="720"/>
      <w:contextualSpacing/>
    </w:pPr>
  </w:style>
  <w:style w:type="character" w:styleId="FootnoteReference">
    <w:name w:val="footnote reference"/>
    <w:basedOn w:val="DefaultParagraphFont"/>
    <w:uiPriority w:val="99"/>
    <w:semiHidden/>
    <w:unhideWhenUsed/>
    <w:rsid w:val="002820F1"/>
    <w:rPr>
      <w:vertAlign w:val="superscript"/>
    </w:rPr>
  </w:style>
  <w:style w:type="paragraph" w:styleId="NoSpacing">
    <w:name w:val="No Spacing"/>
    <w:uiPriority w:val="1"/>
    <w:qFormat/>
    <w:rsid w:val="000458C2"/>
    <w:pPr>
      <w:spacing w:after="0" w:line="240" w:lineRule="auto"/>
    </w:pPr>
    <w:rPr>
      <w:rFonts w:eastAsiaTheme="minorEastAsia"/>
      <w:lang w:eastAsia="en-GB"/>
    </w:rPr>
  </w:style>
  <w:style w:type="paragraph" w:styleId="Header">
    <w:name w:val="header"/>
    <w:basedOn w:val="Normal"/>
    <w:link w:val="HeaderChar"/>
    <w:uiPriority w:val="99"/>
    <w:unhideWhenUsed/>
    <w:rsid w:val="002E0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E72"/>
  </w:style>
  <w:style w:type="paragraph" w:styleId="Footer">
    <w:name w:val="footer"/>
    <w:basedOn w:val="Normal"/>
    <w:link w:val="FooterChar"/>
    <w:uiPriority w:val="99"/>
    <w:unhideWhenUsed/>
    <w:rsid w:val="002E0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E72"/>
  </w:style>
  <w:style w:type="paragraph" w:customStyle="1" w:styleId="tablefootnote">
    <w:name w:val="table footnote"/>
    <w:basedOn w:val="Normal"/>
    <w:link w:val="tablefootnoteChar"/>
    <w:qFormat/>
    <w:rsid w:val="00967D1A"/>
    <w:pPr>
      <w:jc w:val="center"/>
    </w:pPr>
    <w:rPr>
      <w:sz w:val="16"/>
    </w:rPr>
  </w:style>
  <w:style w:type="table" w:styleId="TableGrid">
    <w:name w:val="Table Grid"/>
    <w:basedOn w:val="TableNormal"/>
    <w:uiPriority w:val="59"/>
    <w:rsid w:val="00D62C5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ootnoteChar">
    <w:name w:val="table footnote Char"/>
    <w:basedOn w:val="DefaultParagraphFont"/>
    <w:link w:val="tablefootnote"/>
    <w:rsid w:val="00967D1A"/>
    <w:rPr>
      <w:sz w:val="16"/>
    </w:rPr>
  </w:style>
  <w:style w:type="paragraph" w:customStyle="1" w:styleId="tablenotes">
    <w:name w:val="table notes"/>
    <w:basedOn w:val="Normal"/>
    <w:link w:val="tablenotesChar"/>
    <w:qFormat/>
    <w:rsid w:val="00D62C58"/>
    <w:pPr>
      <w:spacing w:after="0" w:line="240" w:lineRule="auto"/>
      <w:ind w:left="1191"/>
    </w:pPr>
    <w:rPr>
      <w:sz w:val="16"/>
      <w:szCs w:val="16"/>
    </w:rPr>
  </w:style>
  <w:style w:type="character" w:customStyle="1" w:styleId="tablenotesChar">
    <w:name w:val="table notes Char"/>
    <w:basedOn w:val="DefaultParagraphFont"/>
    <w:link w:val="tablenotes"/>
    <w:rsid w:val="00D62C58"/>
    <w:rPr>
      <w:sz w:val="16"/>
      <w:szCs w:val="16"/>
    </w:rPr>
  </w:style>
  <w:style w:type="character" w:styleId="CommentReference">
    <w:name w:val="annotation reference"/>
    <w:basedOn w:val="DefaultParagraphFont"/>
    <w:uiPriority w:val="99"/>
    <w:semiHidden/>
    <w:unhideWhenUsed/>
    <w:rsid w:val="00D62C58"/>
    <w:rPr>
      <w:sz w:val="16"/>
      <w:szCs w:val="16"/>
    </w:rPr>
  </w:style>
  <w:style w:type="paragraph" w:styleId="CommentText">
    <w:name w:val="annotation text"/>
    <w:basedOn w:val="Normal"/>
    <w:link w:val="CommentTextChar"/>
    <w:uiPriority w:val="99"/>
    <w:semiHidden/>
    <w:unhideWhenUsed/>
    <w:rsid w:val="00D62C58"/>
    <w:pPr>
      <w:spacing w:line="240" w:lineRule="auto"/>
    </w:pPr>
    <w:rPr>
      <w:sz w:val="20"/>
      <w:szCs w:val="20"/>
    </w:rPr>
  </w:style>
  <w:style w:type="character" w:customStyle="1" w:styleId="CommentTextChar">
    <w:name w:val="Comment Text Char"/>
    <w:basedOn w:val="DefaultParagraphFont"/>
    <w:link w:val="CommentText"/>
    <w:uiPriority w:val="99"/>
    <w:semiHidden/>
    <w:rsid w:val="00D62C58"/>
    <w:rPr>
      <w:sz w:val="20"/>
      <w:szCs w:val="20"/>
    </w:rPr>
  </w:style>
  <w:style w:type="paragraph" w:styleId="CommentSubject">
    <w:name w:val="annotation subject"/>
    <w:basedOn w:val="CommentText"/>
    <w:next w:val="CommentText"/>
    <w:link w:val="CommentSubjectChar"/>
    <w:uiPriority w:val="99"/>
    <w:semiHidden/>
    <w:unhideWhenUsed/>
    <w:rsid w:val="00EB53B6"/>
    <w:rPr>
      <w:b/>
      <w:bCs/>
    </w:rPr>
  </w:style>
  <w:style w:type="character" w:customStyle="1" w:styleId="CommentSubjectChar">
    <w:name w:val="Comment Subject Char"/>
    <w:basedOn w:val="CommentTextChar"/>
    <w:link w:val="CommentSubject"/>
    <w:uiPriority w:val="99"/>
    <w:semiHidden/>
    <w:rsid w:val="00EB53B6"/>
    <w:rPr>
      <w:b/>
      <w:bCs/>
      <w:sz w:val="20"/>
      <w:szCs w:val="20"/>
    </w:rPr>
  </w:style>
  <w:style w:type="paragraph" w:styleId="Revision">
    <w:name w:val="Revision"/>
    <w:hidden/>
    <w:uiPriority w:val="99"/>
    <w:semiHidden/>
    <w:rsid w:val="00CB1728"/>
    <w:pPr>
      <w:spacing w:after="0" w:line="240" w:lineRule="auto"/>
    </w:pPr>
  </w:style>
  <w:style w:type="character" w:styleId="PlaceholderText">
    <w:name w:val="Placeholder Text"/>
    <w:basedOn w:val="DefaultParagraphFont"/>
    <w:uiPriority w:val="99"/>
    <w:semiHidden/>
    <w:rsid w:val="008F29C7"/>
    <w:rPr>
      <w:color w:val="808080"/>
    </w:rPr>
  </w:style>
  <w:style w:type="character" w:styleId="FollowedHyperlink">
    <w:name w:val="FollowedHyperlink"/>
    <w:basedOn w:val="DefaultParagraphFont"/>
    <w:uiPriority w:val="99"/>
    <w:semiHidden/>
    <w:unhideWhenUsed/>
    <w:rsid w:val="00102782"/>
    <w:rPr>
      <w:color w:val="800080" w:themeColor="followedHyperlink"/>
      <w:u w:val="single"/>
    </w:rPr>
  </w:style>
  <w:style w:type="character" w:customStyle="1" w:styleId="personname">
    <w:name w:val="person_name"/>
    <w:basedOn w:val="DefaultParagraphFont"/>
    <w:rsid w:val="00C13A90"/>
  </w:style>
  <w:style w:type="character" w:styleId="Emphasis">
    <w:name w:val="Emphasis"/>
    <w:basedOn w:val="DefaultParagraphFont"/>
    <w:uiPriority w:val="20"/>
    <w:qFormat/>
    <w:rsid w:val="00C13A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E1"/>
    <w:pPr>
      <w:spacing w:line="480" w:lineRule="auto"/>
    </w:pPr>
  </w:style>
  <w:style w:type="paragraph" w:styleId="Heading1">
    <w:name w:val="heading 1"/>
    <w:basedOn w:val="Normal"/>
    <w:next w:val="Normal"/>
    <w:link w:val="Heading1Char"/>
    <w:uiPriority w:val="9"/>
    <w:qFormat/>
    <w:rsid w:val="006A59B0"/>
    <w:pPr>
      <w:keepNext/>
      <w:keepLines/>
      <w:numPr>
        <w:numId w:val="23"/>
      </w:numPr>
      <w:spacing w:before="360" w:after="12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6A59B0"/>
    <w:pPr>
      <w:keepNext/>
      <w:keepLines/>
      <w:numPr>
        <w:ilvl w:val="1"/>
        <w:numId w:val="23"/>
      </w:numPr>
      <w:spacing w:before="200" w:after="1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E37AE1"/>
    <w:pPr>
      <w:keepNext/>
      <w:keepLines/>
      <w:spacing w:before="120" w:after="120"/>
      <w:ind w:left="720" w:hanging="720"/>
      <w:outlineLvl w:val="2"/>
    </w:pPr>
    <w:rPr>
      <w:rFonts w:eastAsiaTheme="majorEastAsia" w:cstheme="majorBidi"/>
      <w:bCs/>
      <w:i/>
      <w:sz w:val="24"/>
    </w:rPr>
  </w:style>
  <w:style w:type="paragraph" w:styleId="Heading4">
    <w:name w:val="heading 4"/>
    <w:basedOn w:val="Normal"/>
    <w:next w:val="Normal"/>
    <w:link w:val="Heading4Char"/>
    <w:uiPriority w:val="9"/>
    <w:unhideWhenUsed/>
    <w:qFormat/>
    <w:rsid w:val="00816EB3"/>
    <w:pPr>
      <w:keepNext/>
      <w:keepLines/>
      <w:spacing w:before="12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9B0"/>
    <w:rPr>
      <w:rFonts w:eastAsiaTheme="majorEastAsia" w:cstheme="majorBidi"/>
      <w:b/>
      <w:bCs/>
      <w:sz w:val="36"/>
      <w:szCs w:val="28"/>
    </w:rPr>
  </w:style>
  <w:style w:type="character" w:customStyle="1" w:styleId="Heading2Char">
    <w:name w:val="Heading 2 Char"/>
    <w:basedOn w:val="DefaultParagraphFont"/>
    <w:link w:val="Heading2"/>
    <w:uiPriority w:val="9"/>
    <w:rsid w:val="006A59B0"/>
    <w:rPr>
      <w:rFonts w:eastAsiaTheme="majorEastAsia" w:cstheme="majorBidi"/>
      <w:b/>
      <w:bCs/>
      <w:sz w:val="28"/>
      <w:szCs w:val="26"/>
    </w:rPr>
  </w:style>
  <w:style w:type="character" w:customStyle="1" w:styleId="Heading3Char">
    <w:name w:val="Heading 3 Char"/>
    <w:basedOn w:val="DefaultParagraphFont"/>
    <w:link w:val="Heading3"/>
    <w:uiPriority w:val="9"/>
    <w:rsid w:val="00E37AE1"/>
    <w:rPr>
      <w:rFonts w:eastAsiaTheme="majorEastAsia" w:cstheme="majorBidi"/>
      <w:bCs/>
      <w:i/>
      <w:sz w:val="24"/>
    </w:rPr>
  </w:style>
  <w:style w:type="character" w:customStyle="1" w:styleId="Heading4Char">
    <w:name w:val="Heading 4 Char"/>
    <w:basedOn w:val="DefaultParagraphFont"/>
    <w:link w:val="Heading4"/>
    <w:uiPriority w:val="9"/>
    <w:rsid w:val="00816EB3"/>
    <w:rPr>
      <w:rFonts w:eastAsiaTheme="majorEastAsia" w:cstheme="majorBidi"/>
      <w:b/>
      <w:bCs/>
      <w:i/>
      <w:iCs/>
      <w:color w:val="4F81BD" w:themeColor="accent1"/>
    </w:rPr>
  </w:style>
  <w:style w:type="paragraph" w:styleId="Subtitle">
    <w:name w:val="Subtitle"/>
    <w:basedOn w:val="Normal"/>
    <w:next w:val="Normal"/>
    <w:link w:val="SubtitleChar"/>
    <w:uiPriority w:val="11"/>
    <w:qFormat/>
    <w:rsid w:val="00457B6A"/>
    <w:pPr>
      <w:numPr>
        <w:ilvl w:val="1"/>
      </w:numPr>
      <w:spacing w:after="120"/>
    </w:pPr>
    <w:rPr>
      <w:rFonts w:asciiTheme="majorHAnsi" w:eastAsiaTheme="majorEastAsia" w:hAnsiTheme="majorHAnsi" w:cstheme="majorBidi"/>
      <w:i/>
      <w:iCs/>
      <w:color w:val="002060"/>
      <w:spacing w:val="15"/>
      <w:sz w:val="28"/>
      <w:szCs w:val="28"/>
    </w:rPr>
  </w:style>
  <w:style w:type="character" w:customStyle="1" w:styleId="SubtitleChar">
    <w:name w:val="Subtitle Char"/>
    <w:basedOn w:val="DefaultParagraphFont"/>
    <w:link w:val="Subtitle"/>
    <w:uiPriority w:val="11"/>
    <w:rsid w:val="00457B6A"/>
    <w:rPr>
      <w:rFonts w:asciiTheme="majorHAnsi" w:eastAsiaTheme="majorEastAsia" w:hAnsiTheme="majorHAnsi" w:cstheme="majorBidi"/>
      <w:i/>
      <w:iCs/>
      <w:color w:val="002060"/>
      <w:spacing w:val="15"/>
      <w:sz w:val="28"/>
      <w:szCs w:val="28"/>
    </w:rPr>
  </w:style>
  <w:style w:type="paragraph" w:styleId="Title">
    <w:name w:val="Title"/>
    <w:basedOn w:val="Normal"/>
    <w:next w:val="Normal"/>
    <w:link w:val="TitleChar"/>
    <w:uiPriority w:val="10"/>
    <w:qFormat/>
    <w:rsid w:val="004176AC"/>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76AC"/>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4E5537"/>
    <w:pPr>
      <w:spacing w:after="0" w:line="240" w:lineRule="auto"/>
    </w:pPr>
    <w:rPr>
      <w:rFonts w:eastAsiaTheme="minorEastAsia"/>
      <w:sz w:val="18"/>
      <w:szCs w:val="20"/>
      <w:lang w:eastAsia="en-GB"/>
    </w:rPr>
  </w:style>
  <w:style w:type="character" w:customStyle="1" w:styleId="FootnoteTextChar">
    <w:name w:val="Footnote Text Char"/>
    <w:basedOn w:val="DefaultParagraphFont"/>
    <w:link w:val="FootnoteText"/>
    <w:uiPriority w:val="99"/>
    <w:semiHidden/>
    <w:rsid w:val="004E5537"/>
    <w:rPr>
      <w:rFonts w:eastAsiaTheme="minorEastAsia"/>
      <w:sz w:val="18"/>
      <w:szCs w:val="20"/>
      <w:lang w:eastAsia="en-GB"/>
    </w:rPr>
  </w:style>
  <w:style w:type="character" w:styleId="IntenseEmphasis">
    <w:name w:val="Intense Emphasis"/>
    <w:basedOn w:val="DefaultParagraphFont"/>
    <w:uiPriority w:val="21"/>
    <w:qFormat/>
    <w:rsid w:val="001A478F"/>
    <w:rPr>
      <w:b/>
      <w:bCs/>
      <w:i/>
      <w:iCs/>
      <w:color w:val="4F81BD" w:themeColor="accent1"/>
    </w:rPr>
  </w:style>
  <w:style w:type="paragraph" w:styleId="BalloonText">
    <w:name w:val="Balloon Text"/>
    <w:basedOn w:val="Normal"/>
    <w:link w:val="BalloonTextChar"/>
    <w:uiPriority w:val="99"/>
    <w:semiHidden/>
    <w:unhideWhenUsed/>
    <w:rsid w:val="00042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614"/>
    <w:rPr>
      <w:rFonts w:ascii="Tahoma" w:hAnsi="Tahoma" w:cs="Tahoma"/>
      <w:sz w:val="16"/>
      <w:szCs w:val="16"/>
    </w:rPr>
  </w:style>
  <w:style w:type="paragraph" w:styleId="Caption">
    <w:name w:val="caption"/>
    <w:basedOn w:val="Normal"/>
    <w:next w:val="Normal"/>
    <w:uiPriority w:val="35"/>
    <w:unhideWhenUsed/>
    <w:qFormat/>
    <w:rsid w:val="00E37AE1"/>
    <w:pPr>
      <w:keepNext/>
      <w:spacing w:line="240" w:lineRule="auto"/>
      <w:jc w:val="center"/>
    </w:pPr>
    <w:rPr>
      <w:b/>
      <w:bCs/>
    </w:rPr>
  </w:style>
  <w:style w:type="character" w:styleId="Hyperlink">
    <w:name w:val="Hyperlink"/>
    <w:basedOn w:val="DefaultParagraphFont"/>
    <w:uiPriority w:val="99"/>
    <w:unhideWhenUsed/>
    <w:rsid w:val="00D02771"/>
    <w:rPr>
      <w:color w:val="0000FF" w:themeColor="hyperlink"/>
      <w:u w:val="single"/>
    </w:rPr>
  </w:style>
  <w:style w:type="paragraph" w:styleId="ListParagraph">
    <w:name w:val="List Paragraph"/>
    <w:basedOn w:val="Normal"/>
    <w:uiPriority w:val="34"/>
    <w:qFormat/>
    <w:rsid w:val="00994547"/>
    <w:pPr>
      <w:ind w:left="720"/>
      <w:contextualSpacing/>
    </w:pPr>
  </w:style>
  <w:style w:type="character" w:styleId="FootnoteReference">
    <w:name w:val="footnote reference"/>
    <w:basedOn w:val="DefaultParagraphFont"/>
    <w:uiPriority w:val="99"/>
    <w:semiHidden/>
    <w:unhideWhenUsed/>
    <w:rsid w:val="002820F1"/>
    <w:rPr>
      <w:vertAlign w:val="superscript"/>
    </w:rPr>
  </w:style>
  <w:style w:type="paragraph" w:styleId="NoSpacing">
    <w:name w:val="No Spacing"/>
    <w:uiPriority w:val="1"/>
    <w:qFormat/>
    <w:rsid w:val="000458C2"/>
    <w:pPr>
      <w:spacing w:after="0" w:line="240" w:lineRule="auto"/>
    </w:pPr>
    <w:rPr>
      <w:rFonts w:eastAsiaTheme="minorEastAsia"/>
      <w:lang w:eastAsia="en-GB"/>
    </w:rPr>
  </w:style>
  <w:style w:type="paragraph" w:styleId="Header">
    <w:name w:val="header"/>
    <w:basedOn w:val="Normal"/>
    <w:link w:val="HeaderChar"/>
    <w:uiPriority w:val="99"/>
    <w:unhideWhenUsed/>
    <w:rsid w:val="002E0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E72"/>
  </w:style>
  <w:style w:type="paragraph" w:styleId="Footer">
    <w:name w:val="footer"/>
    <w:basedOn w:val="Normal"/>
    <w:link w:val="FooterChar"/>
    <w:uiPriority w:val="99"/>
    <w:unhideWhenUsed/>
    <w:rsid w:val="002E0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E72"/>
  </w:style>
  <w:style w:type="paragraph" w:customStyle="1" w:styleId="tablefootnote">
    <w:name w:val="table footnote"/>
    <w:basedOn w:val="Normal"/>
    <w:link w:val="tablefootnoteChar"/>
    <w:qFormat/>
    <w:rsid w:val="00967D1A"/>
    <w:pPr>
      <w:jc w:val="center"/>
    </w:pPr>
    <w:rPr>
      <w:sz w:val="16"/>
    </w:rPr>
  </w:style>
  <w:style w:type="table" w:styleId="TableGrid">
    <w:name w:val="Table Grid"/>
    <w:basedOn w:val="TableNormal"/>
    <w:uiPriority w:val="59"/>
    <w:rsid w:val="00D62C5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ootnoteChar">
    <w:name w:val="table footnote Char"/>
    <w:basedOn w:val="DefaultParagraphFont"/>
    <w:link w:val="tablefootnote"/>
    <w:rsid w:val="00967D1A"/>
    <w:rPr>
      <w:sz w:val="16"/>
    </w:rPr>
  </w:style>
  <w:style w:type="paragraph" w:customStyle="1" w:styleId="tablenotes">
    <w:name w:val="table notes"/>
    <w:basedOn w:val="Normal"/>
    <w:link w:val="tablenotesChar"/>
    <w:qFormat/>
    <w:rsid w:val="00D62C58"/>
    <w:pPr>
      <w:spacing w:after="0" w:line="240" w:lineRule="auto"/>
      <w:ind w:left="1191"/>
    </w:pPr>
    <w:rPr>
      <w:sz w:val="16"/>
      <w:szCs w:val="16"/>
    </w:rPr>
  </w:style>
  <w:style w:type="character" w:customStyle="1" w:styleId="tablenotesChar">
    <w:name w:val="table notes Char"/>
    <w:basedOn w:val="DefaultParagraphFont"/>
    <w:link w:val="tablenotes"/>
    <w:rsid w:val="00D62C58"/>
    <w:rPr>
      <w:sz w:val="16"/>
      <w:szCs w:val="16"/>
    </w:rPr>
  </w:style>
  <w:style w:type="character" w:styleId="CommentReference">
    <w:name w:val="annotation reference"/>
    <w:basedOn w:val="DefaultParagraphFont"/>
    <w:uiPriority w:val="99"/>
    <w:semiHidden/>
    <w:unhideWhenUsed/>
    <w:rsid w:val="00D62C58"/>
    <w:rPr>
      <w:sz w:val="16"/>
      <w:szCs w:val="16"/>
    </w:rPr>
  </w:style>
  <w:style w:type="paragraph" w:styleId="CommentText">
    <w:name w:val="annotation text"/>
    <w:basedOn w:val="Normal"/>
    <w:link w:val="CommentTextChar"/>
    <w:uiPriority w:val="99"/>
    <w:semiHidden/>
    <w:unhideWhenUsed/>
    <w:rsid w:val="00D62C58"/>
    <w:pPr>
      <w:spacing w:line="240" w:lineRule="auto"/>
    </w:pPr>
    <w:rPr>
      <w:sz w:val="20"/>
      <w:szCs w:val="20"/>
    </w:rPr>
  </w:style>
  <w:style w:type="character" w:customStyle="1" w:styleId="CommentTextChar">
    <w:name w:val="Comment Text Char"/>
    <w:basedOn w:val="DefaultParagraphFont"/>
    <w:link w:val="CommentText"/>
    <w:uiPriority w:val="99"/>
    <w:semiHidden/>
    <w:rsid w:val="00D62C58"/>
    <w:rPr>
      <w:sz w:val="20"/>
      <w:szCs w:val="20"/>
    </w:rPr>
  </w:style>
  <w:style w:type="paragraph" w:styleId="CommentSubject">
    <w:name w:val="annotation subject"/>
    <w:basedOn w:val="CommentText"/>
    <w:next w:val="CommentText"/>
    <w:link w:val="CommentSubjectChar"/>
    <w:uiPriority w:val="99"/>
    <w:semiHidden/>
    <w:unhideWhenUsed/>
    <w:rsid w:val="00EB53B6"/>
    <w:rPr>
      <w:b/>
      <w:bCs/>
    </w:rPr>
  </w:style>
  <w:style w:type="character" w:customStyle="1" w:styleId="CommentSubjectChar">
    <w:name w:val="Comment Subject Char"/>
    <w:basedOn w:val="CommentTextChar"/>
    <w:link w:val="CommentSubject"/>
    <w:uiPriority w:val="99"/>
    <w:semiHidden/>
    <w:rsid w:val="00EB53B6"/>
    <w:rPr>
      <w:b/>
      <w:bCs/>
      <w:sz w:val="20"/>
      <w:szCs w:val="20"/>
    </w:rPr>
  </w:style>
  <w:style w:type="paragraph" w:styleId="Revision">
    <w:name w:val="Revision"/>
    <w:hidden/>
    <w:uiPriority w:val="99"/>
    <w:semiHidden/>
    <w:rsid w:val="00CB1728"/>
    <w:pPr>
      <w:spacing w:after="0" w:line="240" w:lineRule="auto"/>
    </w:pPr>
  </w:style>
  <w:style w:type="character" w:styleId="PlaceholderText">
    <w:name w:val="Placeholder Text"/>
    <w:basedOn w:val="DefaultParagraphFont"/>
    <w:uiPriority w:val="99"/>
    <w:semiHidden/>
    <w:rsid w:val="008F29C7"/>
    <w:rPr>
      <w:color w:val="808080"/>
    </w:rPr>
  </w:style>
  <w:style w:type="character" w:styleId="FollowedHyperlink">
    <w:name w:val="FollowedHyperlink"/>
    <w:basedOn w:val="DefaultParagraphFont"/>
    <w:uiPriority w:val="99"/>
    <w:semiHidden/>
    <w:unhideWhenUsed/>
    <w:rsid w:val="00102782"/>
    <w:rPr>
      <w:color w:val="800080" w:themeColor="followedHyperlink"/>
      <w:u w:val="single"/>
    </w:rPr>
  </w:style>
  <w:style w:type="character" w:customStyle="1" w:styleId="personname">
    <w:name w:val="person_name"/>
    <w:basedOn w:val="DefaultParagraphFont"/>
    <w:rsid w:val="00C13A90"/>
  </w:style>
  <w:style w:type="character" w:styleId="Emphasis">
    <w:name w:val="Emphasis"/>
    <w:basedOn w:val="DefaultParagraphFont"/>
    <w:uiPriority w:val="20"/>
    <w:qFormat/>
    <w:rsid w:val="00C13A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03573">
      <w:bodyDiv w:val="1"/>
      <w:marLeft w:val="0"/>
      <w:marRight w:val="0"/>
      <w:marTop w:val="0"/>
      <w:marBottom w:val="0"/>
      <w:divBdr>
        <w:top w:val="none" w:sz="0" w:space="0" w:color="auto"/>
        <w:left w:val="none" w:sz="0" w:space="0" w:color="auto"/>
        <w:bottom w:val="none" w:sz="0" w:space="0" w:color="auto"/>
        <w:right w:val="none" w:sz="0" w:space="0" w:color="auto"/>
      </w:divBdr>
    </w:div>
    <w:div w:id="877165826">
      <w:bodyDiv w:val="1"/>
      <w:marLeft w:val="0"/>
      <w:marRight w:val="0"/>
      <w:marTop w:val="0"/>
      <w:marBottom w:val="0"/>
      <w:divBdr>
        <w:top w:val="none" w:sz="0" w:space="0" w:color="auto"/>
        <w:left w:val="none" w:sz="0" w:space="0" w:color="auto"/>
        <w:bottom w:val="none" w:sz="0" w:space="0" w:color="auto"/>
        <w:right w:val="none" w:sz="0" w:space="0" w:color="auto"/>
      </w:divBdr>
    </w:div>
    <w:div w:id="1329870954">
      <w:bodyDiv w:val="1"/>
      <w:marLeft w:val="0"/>
      <w:marRight w:val="0"/>
      <w:marTop w:val="0"/>
      <w:marBottom w:val="0"/>
      <w:divBdr>
        <w:top w:val="none" w:sz="0" w:space="0" w:color="auto"/>
        <w:left w:val="none" w:sz="0" w:space="0" w:color="auto"/>
        <w:bottom w:val="none" w:sz="0" w:space="0" w:color="auto"/>
        <w:right w:val="none" w:sz="0" w:space="0" w:color="auto"/>
      </w:divBdr>
    </w:div>
    <w:div w:id="203163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pub/reports/minimum-wage/2016/home.htm" TargetMode="External"/><Relationship Id="rId18" Type="http://schemas.openxmlformats.org/officeDocument/2006/relationships/hyperlink" Target="https://arxiv.org/abs/1508.05502"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www.gov.uk/government/speeches/chancellor-george-osbornes-summer-budget-2015-speech" TargetMode="External"/><Relationship Id="rId17" Type="http://schemas.openxmlformats.org/officeDocument/2006/relationships/hyperlink" Target="http://www.popline.org/node/378648"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ons.gov.uk/ons/guide-method/method-quality/specific/labour-market/annual-survey-of-hours-and-earnings/low-pay-estimates/new-methodology-for-low-pay-estimates-in-2004.pdf" TargetMode="External"/><Relationship Id="rId20" Type="http://schemas.openxmlformats.org/officeDocument/2006/relationships/hyperlink" Target="http://eprints.uwe.ac.uk/295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ecd.org/social/Focus-on-Minimum-Wages-after-the-crisis-2015.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con3x3.org/article/enforcement-and-compliance-case-minimum-wages-and-mandatory-contracts-domestic-worker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stats.govt.nz/browse_for_stats/income-and-work/employment_and_unemployment/guide-interpreting-the-leed-data.aspx" TargetMode="External"/><Relationship Id="rId4" Type="http://schemas.microsoft.com/office/2007/relationships/stylesWithEffects" Target="stylesWithEffects.xml"/><Relationship Id="rId9" Type="http://schemas.openxmlformats.org/officeDocument/2006/relationships/hyperlink" Target="mailto:felix.ritchie@uwe.ac.uk" TargetMode="External"/><Relationship Id="rId14" Type="http://schemas.openxmlformats.org/officeDocument/2006/relationships/hyperlink" Target="https://www.gov.uk/government/uploads/system/uploads/attachment_data/file/637004/minimum-wage-underpayment-in-informal-economy.pdf" TargetMode="External"/><Relationship Id="rId22"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5141B-1DFF-4592-9A62-270040A9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9599</Words>
  <Characters>54717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Ritchie</dc:creator>
  <cp:lastModifiedBy>Felix</cp:lastModifiedBy>
  <cp:revision>5</cp:revision>
  <cp:lastPrinted>2018-02-04T19:00:00Z</cp:lastPrinted>
  <dcterms:created xsi:type="dcterms:W3CDTF">2018-02-04T17:35:00Z</dcterms:created>
  <dcterms:modified xsi:type="dcterms:W3CDTF">2018-02-04T19:00:00Z</dcterms:modified>
</cp:coreProperties>
</file>