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D5" w:rsidRPr="00D41414" w:rsidRDefault="002434D5" w:rsidP="002434D5">
      <w:pPr>
        <w:spacing w:after="0" w:line="360" w:lineRule="auto"/>
        <w:jc w:val="center"/>
        <w:rPr>
          <w:rFonts w:ascii="Times New Roman" w:hAnsi="Times New Roman" w:cs="Times New Roman"/>
          <w:b/>
          <w:color w:val="000000" w:themeColor="text1"/>
          <w:sz w:val="34"/>
          <w:szCs w:val="34"/>
        </w:rPr>
      </w:pPr>
      <w:r>
        <w:rPr>
          <w:rFonts w:ascii="Times New Roman" w:hAnsi="Times New Roman" w:cs="Times New Roman"/>
          <w:b/>
          <w:color w:val="000000" w:themeColor="text1"/>
          <w:sz w:val="34"/>
          <w:szCs w:val="34"/>
        </w:rPr>
        <w:t xml:space="preserve">Does connectedness improve </w:t>
      </w:r>
      <w:r w:rsidRPr="00D41414">
        <w:rPr>
          <w:rFonts w:ascii="Times New Roman" w:hAnsi="Times New Roman" w:cs="Times New Roman"/>
          <w:b/>
          <w:color w:val="000000" w:themeColor="text1"/>
          <w:sz w:val="34"/>
          <w:szCs w:val="34"/>
        </w:rPr>
        <w:t>SMEs</w:t>
      </w:r>
      <w:r>
        <w:rPr>
          <w:rFonts w:ascii="Times New Roman" w:hAnsi="Times New Roman" w:cs="Times New Roman"/>
          <w:b/>
          <w:color w:val="000000" w:themeColor="text1"/>
          <w:sz w:val="34"/>
          <w:szCs w:val="34"/>
        </w:rPr>
        <w:t>’</w:t>
      </w:r>
      <w:r w:rsidRPr="00D41414">
        <w:rPr>
          <w:rFonts w:ascii="Times New Roman" w:hAnsi="Times New Roman" w:cs="Times New Roman"/>
          <w:b/>
          <w:color w:val="000000" w:themeColor="text1"/>
          <w:sz w:val="34"/>
          <w:szCs w:val="34"/>
        </w:rPr>
        <w:t xml:space="preserve"> </w:t>
      </w:r>
      <w:r>
        <w:rPr>
          <w:rFonts w:ascii="Times New Roman" w:hAnsi="Times New Roman" w:cs="Times New Roman"/>
          <w:b/>
          <w:color w:val="000000" w:themeColor="text1"/>
          <w:sz w:val="34"/>
          <w:szCs w:val="34"/>
        </w:rPr>
        <w:t>a</w:t>
      </w:r>
      <w:r w:rsidRPr="00D41414">
        <w:rPr>
          <w:rFonts w:ascii="Times New Roman" w:hAnsi="Times New Roman" w:cs="Times New Roman"/>
          <w:b/>
          <w:color w:val="000000" w:themeColor="text1"/>
          <w:sz w:val="34"/>
          <w:szCs w:val="34"/>
        </w:rPr>
        <w:t xml:space="preserve">ccess to </w:t>
      </w:r>
      <w:r>
        <w:rPr>
          <w:rFonts w:ascii="Times New Roman" w:hAnsi="Times New Roman" w:cs="Times New Roman"/>
          <w:b/>
          <w:color w:val="000000" w:themeColor="text1"/>
          <w:sz w:val="34"/>
          <w:szCs w:val="34"/>
        </w:rPr>
        <w:t>f</w:t>
      </w:r>
      <w:r w:rsidRPr="00D41414">
        <w:rPr>
          <w:rFonts w:ascii="Times New Roman" w:hAnsi="Times New Roman" w:cs="Times New Roman"/>
          <w:b/>
          <w:color w:val="000000" w:themeColor="text1"/>
          <w:sz w:val="34"/>
          <w:szCs w:val="34"/>
        </w:rPr>
        <w:t xml:space="preserve">ormal </w:t>
      </w:r>
      <w:r>
        <w:rPr>
          <w:rFonts w:ascii="Times New Roman" w:hAnsi="Times New Roman" w:cs="Times New Roman"/>
          <w:b/>
          <w:color w:val="000000" w:themeColor="text1"/>
          <w:sz w:val="34"/>
          <w:szCs w:val="34"/>
        </w:rPr>
        <w:t>f</w:t>
      </w:r>
      <w:r w:rsidRPr="00D41414">
        <w:rPr>
          <w:rFonts w:ascii="Times New Roman" w:hAnsi="Times New Roman" w:cs="Times New Roman"/>
          <w:b/>
          <w:color w:val="000000" w:themeColor="text1"/>
          <w:sz w:val="34"/>
          <w:szCs w:val="34"/>
        </w:rPr>
        <w:t>inance</w:t>
      </w:r>
      <w:r>
        <w:rPr>
          <w:rFonts w:ascii="Times New Roman" w:hAnsi="Times New Roman" w:cs="Times New Roman"/>
          <w:b/>
          <w:color w:val="000000" w:themeColor="text1"/>
          <w:sz w:val="34"/>
          <w:szCs w:val="34"/>
        </w:rPr>
        <w:t>? Evidence from post-communist economies</w:t>
      </w:r>
    </w:p>
    <w:p w:rsidR="002434D5" w:rsidRDefault="002434D5" w:rsidP="002434D5">
      <w:pPr>
        <w:spacing w:after="0" w:line="240" w:lineRule="auto"/>
        <w:jc w:val="center"/>
        <w:rPr>
          <w:rFonts w:ascii="Times New Roman" w:hAnsi="Times New Roman" w:cs="Times New Roman"/>
          <w:i/>
        </w:rPr>
      </w:pPr>
    </w:p>
    <w:p w:rsidR="002434D5" w:rsidRDefault="002434D5" w:rsidP="002434D5">
      <w:pPr>
        <w:spacing w:after="0" w:line="240" w:lineRule="auto"/>
        <w:jc w:val="center"/>
        <w:rPr>
          <w:rFonts w:ascii="Times New Roman" w:hAnsi="Times New Roman" w:cs="Times New Roman"/>
          <w:i/>
        </w:rPr>
      </w:pPr>
    </w:p>
    <w:p w:rsidR="002434D5" w:rsidRDefault="002434D5" w:rsidP="002434D5">
      <w:pPr>
        <w:spacing w:after="0" w:line="480" w:lineRule="auto"/>
        <w:jc w:val="center"/>
        <w:rPr>
          <w:rFonts w:ascii="Times New Roman" w:hAnsi="Times New Roman" w:cs="Times New Roman"/>
          <w:b/>
          <w:sz w:val="30"/>
          <w:szCs w:val="30"/>
        </w:rPr>
      </w:pPr>
      <w:r w:rsidRPr="00991712">
        <w:rPr>
          <w:rFonts w:ascii="Times New Roman" w:hAnsi="Times New Roman" w:cs="Times New Roman"/>
          <w:b/>
          <w:sz w:val="30"/>
          <w:szCs w:val="30"/>
        </w:rPr>
        <w:t>Kobil Ruziev</w:t>
      </w:r>
      <w:r w:rsidRPr="00991712">
        <w:rPr>
          <w:rFonts w:ascii="Times New Roman" w:hAnsi="Times New Roman" w:cs="Times New Roman"/>
          <w:sz w:val="30"/>
          <w:szCs w:val="30"/>
        </w:rPr>
        <w:t xml:space="preserve"> and </w:t>
      </w:r>
      <w:r w:rsidRPr="00991712">
        <w:rPr>
          <w:rFonts w:ascii="Times New Roman" w:hAnsi="Times New Roman" w:cs="Times New Roman"/>
          <w:b/>
          <w:sz w:val="30"/>
          <w:szCs w:val="30"/>
        </w:rPr>
        <w:t>Don J Webber</w:t>
      </w:r>
    </w:p>
    <w:p w:rsidR="002434D5" w:rsidRPr="00055526" w:rsidRDefault="002434D5" w:rsidP="002434D5">
      <w:pPr>
        <w:spacing w:after="0" w:line="480" w:lineRule="auto"/>
        <w:jc w:val="center"/>
        <w:rPr>
          <w:rFonts w:ascii="Times New Roman" w:hAnsi="Times New Roman" w:cs="Times New Roman"/>
          <w:i/>
          <w:sz w:val="24"/>
          <w:szCs w:val="24"/>
        </w:rPr>
      </w:pPr>
      <w:r w:rsidRPr="00055526">
        <w:rPr>
          <w:rFonts w:ascii="Times New Roman" w:hAnsi="Times New Roman" w:cs="Times New Roman"/>
          <w:i/>
          <w:sz w:val="24"/>
          <w:szCs w:val="24"/>
        </w:rPr>
        <w:t>Bristol Business School, University of the West of England, Bristol, UK</w:t>
      </w:r>
    </w:p>
    <w:p w:rsidR="002434D5" w:rsidRPr="00055526" w:rsidRDefault="002434D5" w:rsidP="002434D5">
      <w:pPr>
        <w:spacing w:after="0" w:line="240" w:lineRule="auto"/>
        <w:jc w:val="center"/>
        <w:rPr>
          <w:rFonts w:ascii="Times New Roman" w:hAnsi="Times New Roman" w:cs="Times New Roman"/>
          <w:sz w:val="24"/>
          <w:szCs w:val="24"/>
        </w:rPr>
      </w:pPr>
    </w:p>
    <w:p w:rsidR="002434D5" w:rsidRDefault="002434D5" w:rsidP="002434D5">
      <w:pPr>
        <w:spacing w:after="0" w:line="240" w:lineRule="auto"/>
        <w:jc w:val="center"/>
        <w:rPr>
          <w:rFonts w:ascii="Times New Roman" w:hAnsi="Times New Roman" w:cs="Times New Roman"/>
          <w:b/>
          <w:sz w:val="24"/>
          <w:szCs w:val="24"/>
        </w:rPr>
      </w:pPr>
    </w:p>
    <w:p w:rsidR="002434D5" w:rsidRPr="00055526" w:rsidRDefault="002434D5" w:rsidP="002434D5">
      <w:pPr>
        <w:spacing w:after="0" w:line="240" w:lineRule="auto"/>
        <w:rPr>
          <w:rFonts w:ascii="Times New Roman" w:hAnsi="Times New Roman" w:cs="Times New Roman"/>
          <w:sz w:val="24"/>
          <w:szCs w:val="24"/>
        </w:rPr>
      </w:pPr>
      <w:r w:rsidRPr="007E5C05">
        <w:rPr>
          <w:rFonts w:ascii="Times New Roman" w:hAnsi="Times New Roman" w:cs="Times New Roman"/>
          <w:i/>
          <w:sz w:val="24"/>
          <w:szCs w:val="24"/>
        </w:rPr>
        <w:t>Corresponding author</w:t>
      </w:r>
      <w:r>
        <w:rPr>
          <w:rFonts w:ascii="Times New Roman" w:hAnsi="Times New Roman" w:cs="Times New Roman"/>
          <w:sz w:val="24"/>
          <w:szCs w:val="24"/>
        </w:rPr>
        <w:t xml:space="preserve">: Kobil Ruziev, </w:t>
      </w:r>
      <w:r w:rsidRPr="00055526">
        <w:rPr>
          <w:rFonts w:ascii="Times New Roman" w:hAnsi="Times New Roman" w:cs="Times New Roman"/>
          <w:sz w:val="24"/>
          <w:szCs w:val="24"/>
        </w:rPr>
        <w:t xml:space="preserve">Email: </w:t>
      </w:r>
      <w:hyperlink r:id="rId10" w:history="1"/>
      <w:r w:rsidRPr="00055526">
        <w:rPr>
          <w:rFonts w:ascii="Times New Roman" w:hAnsi="Times New Roman" w:cs="Times New Roman"/>
          <w:sz w:val="24"/>
          <w:szCs w:val="24"/>
        </w:rPr>
        <w:t xml:space="preserve"> </w:t>
      </w:r>
      <w:r>
        <w:rPr>
          <w:rFonts w:ascii="Times New Roman" w:hAnsi="Times New Roman" w:cs="Times New Roman"/>
          <w:sz w:val="24"/>
          <w:szCs w:val="24"/>
        </w:rPr>
        <w:t>Kobil.Ruziev@uwe.ac.uk</w:t>
      </w:r>
    </w:p>
    <w:p w:rsidR="002434D5" w:rsidRDefault="002434D5" w:rsidP="002434D5">
      <w:pPr>
        <w:spacing w:after="0" w:line="240" w:lineRule="auto"/>
        <w:jc w:val="center"/>
        <w:rPr>
          <w:rFonts w:ascii="Times New Roman" w:hAnsi="Times New Roman" w:cs="Times New Roman"/>
          <w:b/>
          <w:sz w:val="24"/>
          <w:szCs w:val="24"/>
        </w:rPr>
      </w:pPr>
    </w:p>
    <w:p w:rsidR="002434D5" w:rsidRPr="00055526" w:rsidRDefault="002434D5" w:rsidP="002434D5">
      <w:pPr>
        <w:spacing w:after="0" w:line="240" w:lineRule="auto"/>
        <w:jc w:val="center"/>
        <w:rPr>
          <w:rFonts w:ascii="Times New Roman" w:hAnsi="Times New Roman" w:cs="Times New Roman"/>
          <w:b/>
          <w:sz w:val="24"/>
          <w:szCs w:val="24"/>
        </w:rPr>
      </w:pPr>
    </w:p>
    <w:p w:rsidR="002434D5" w:rsidRPr="00055526" w:rsidRDefault="002434D5" w:rsidP="002434D5">
      <w:pPr>
        <w:spacing w:after="0" w:line="240" w:lineRule="auto"/>
        <w:rPr>
          <w:rFonts w:ascii="Times New Roman" w:hAnsi="Times New Roman" w:cs="Times New Roman"/>
          <w:sz w:val="24"/>
          <w:szCs w:val="24"/>
        </w:rPr>
      </w:pPr>
      <w:r w:rsidRPr="00055526">
        <w:rPr>
          <w:rFonts w:ascii="Times New Roman" w:hAnsi="Times New Roman" w:cs="Times New Roman"/>
          <w:sz w:val="24"/>
          <w:szCs w:val="24"/>
        </w:rPr>
        <w:t xml:space="preserve">Keywords: </w:t>
      </w:r>
      <w:r>
        <w:rPr>
          <w:rFonts w:ascii="Times New Roman" w:hAnsi="Times New Roman" w:cs="Times New Roman"/>
          <w:sz w:val="24"/>
          <w:szCs w:val="24"/>
        </w:rPr>
        <w:t>F</w:t>
      </w:r>
      <w:r w:rsidRPr="00055526">
        <w:rPr>
          <w:rFonts w:ascii="Times New Roman" w:hAnsi="Times New Roman" w:cs="Times New Roman"/>
          <w:sz w:val="24"/>
          <w:szCs w:val="24"/>
        </w:rPr>
        <w:t>inancial development</w:t>
      </w:r>
      <w:r>
        <w:rPr>
          <w:rFonts w:ascii="Times New Roman" w:hAnsi="Times New Roman" w:cs="Times New Roman"/>
          <w:sz w:val="24"/>
          <w:szCs w:val="24"/>
        </w:rPr>
        <w:t>;</w:t>
      </w:r>
      <w:r w:rsidRPr="00055526">
        <w:rPr>
          <w:rFonts w:ascii="Times New Roman" w:hAnsi="Times New Roman" w:cs="Times New Roman"/>
          <w:sz w:val="24"/>
          <w:szCs w:val="24"/>
        </w:rPr>
        <w:t xml:space="preserve"> </w:t>
      </w:r>
      <w:r>
        <w:rPr>
          <w:rFonts w:ascii="Times New Roman" w:hAnsi="Times New Roman" w:cs="Times New Roman"/>
          <w:sz w:val="24"/>
          <w:szCs w:val="24"/>
        </w:rPr>
        <w:t>F</w:t>
      </w:r>
      <w:r w:rsidRPr="00055526">
        <w:rPr>
          <w:rFonts w:ascii="Times New Roman" w:hAnsi="Times New Roman" w:cs="Times New Roman"/>
          <w:sz w:val="24"/>
          <w:szCs w:val="24"/>
        </w:rPr>
        <w:t>ormal finance</w:t>
      </w:r>
      <w:r>
        <w:rPr>
          <w:rFonts w:ascii="Times New Roman" w:hAnsi="Times New Roman" w:cs="Times New Roman"/>
          <w:sz w:val="24"/>
          <w:szCs w:val="24"/>
        </w:rPr>
        <w:t>;</w:t>
      </w:r>
      <w:r w:rsidRPr="00055526">
        <w:rPr>
          <w:rFonts w:ascii="Times New Roman" w:hAnsi="Times New Roman" w:cs="Times New Roman"/>
          <w:sz w:val="24"/>
          <w:szCs w:val="24"/>
        </w:rPr>
        <w:t xml:space="preserve"> </w:t>
      </w:r>
      <w:r>
        <w:rPr>
          <w:rFonts w:ascii="Times New Roman" w:hAnsi="Times New Roman" w:cs="Times New Roman"/>
          <w:sz w:val="24"/>
          <w:szCs w:val="24"/>
        </w:rPr>
        <w:t>F</w:t>
      </w:r>
      <w:r w:rsidRPr="00055526">
        <w:rPr>
          <w:rFonts w:ascii="Times New Roman" w:hAnsi="Times New Roman" w:cs="Times New Roman"/>
          <w:sz w:val="24"/>
          <w:szCs w:val="24"/>
        </w:rPr>
        <w:t>irm</w:t>
      </w:r>
      <w:r>
        <w:rPr>
          <w:rFonts w:ascii="Times New Roman" w:hAnsi="Times New Roman" w:cs="Times New Roman"/>
          <w:sz w:val="24"/>
          <w:szCs w:val="24"/>
        </w:rPr>
        <w:t>-</w:t>
      </w:r>
      <w:r w:rsidRPr="00055526">
        <w:rPr>
          <w:rFonts w:ascii="Times New Roman" w:hAnsi="Times New Roman" w:cs="Times New Roman"/>
          <w:sz w:val="24"/>
          <w:szCs w:val="24"/>
        </w:rPr>
        <w:t>level analysis</w:t>
      </w:r>
      <w:r>
        <w:rPr>
          <w:rFonts w:ascii="Times New Roman" w:hAnsi="Times New Roman" w:cs="Times New Roman"/>
          <w:sz w:val="24"/>
          <w:szCs w:val="24"/>
        </w:rPr>
        <w:t>; T</w:t>
      </w:r>
      <w:r w:rsidRPr="00055526">
        <w:rPr>
          <w:rFonts w:ascii="Times New Roman" w:hAnsi="Times New Roman" w:cs="Times New Roman"/>
          <w:sz w:val="24"/>
          <w:szCs w:val="24"/>
        </w:rPr>
        <w:t>ransition economies</w:t>
      </w:r>
      <w:r>
        <w:rPr>
          <w:rFonts w:ascii="Times New Roman" w:hAnsi="Times New Roman" w:cs="Times New Roman"/>
          <w:sz w:val="24"/>
          <w:szCs w:val="24"/>
        </w:rPr>
        <w:t>.</w:t>
      </w:r>
    </w:p>
    <w:p w:rsidR="002434D5" w:rsidRPr="00055526" w:rsidRDefault="002434D5" w:rsidP="002434D5">
      <w:pPr>
        <w:spacing w:after="0" w:line="240" w:lineRule="auto"/>
        <w:rPr>
          <w:rFonts w:ascii="Times New Roman" w:hAnsi="Times New Roman" w:cs="Times New Roman"/>
          <w:sz w:val="24"/>
          <w:szCs w:val="24"/>
        </w:rPr>
      </w:pPr>
    </w:p>
    <w:p w:rsidR="002434D5" w:rsidRPr="00055526" w:rsidRDefault="002434D5" w:rsidP="002434D5">
      <w:pPr>
        <w:spacing w:after="0" w:line="240" w:lineRule="auto"/>
        <w:rPr>
          <w:rFonts w:ascii="Times New Roman" w:hAnsi="Times New Roman" w:cs="Times New Roman"/>
          <w:sz w:val="24"/>
          <w:szCs w:val="24"/>
        </w:rPr>
      </w:pPr>
      <w:r w:rsidRPr="00055526">
        <w:rPr>
          <w:rFonts w:ascii="Times New Roman" w:hAnsi="Times New Roman" w:cs="Times New Roman"/>
          <w:sz w:val="24"/>
          <w:szCs w:val="24"/>
        </w:rPr>
        <w:t>JEL Nos</w:t>
      </w:r>
      <w:r>
        <w:rPr>
          <w:rFonts w:ascii="Times New Roman" w:hAnsi="Times New Roman" w:cs="Times New Roman"/>
          <w:sz w:val="24"/>
          <w:szCs w:val="24"/>
        </w:rPr>
        <w:t>:</w:t>
      </w:r>
      <w:r w:rsidRPr="00055526">
        <w:rPr>
          <w:rFonts w:ascii="Times New Roman" w:hAnsi="Times New Roman" w:cs="Times New Roman"/>
          <w:sz w:val="24"/>
          <w:szCs w:val="24"/>
        </w:rPr>
        <w:t xml:space="preserve"> G00</w:t>
      </w:r>
      <w:r>
        <w:rPr>
          <w:rFonts w:ascii="Times New Roman" w:hAnsi="Times New Roman" w:cs="Times New Roman"/>
          <w:sz w:val="24"/>
          <w:szCs w:val="24"/>
        </w:rPr>
        <w:t>;</w:t>
      </w:r>
      <w:r w:rsidRPr="00055526">
        <w:rPr>
          <w:rFonts w:ascii="Times New Roman" w:hAnsi="Times New Roman" w:cs="Times New Roman"/>
          <w:sz w:val="24"/>
          <w:szCs w:val="24"/>
        </w:rPr>
        <w:t xml:space="preserve"> G38</w:t>
      </w:r>
      <w:r>
        <w:rPr>
          <w:rFonts w:ascii="Times New Roman" w:hAnsi="Times New Roman" w:cs="Times New Roman"/>
          <w:sz w:val="24"/>
          <w:szCs w:val="24"/>
        </w:rPr>
        <w:t>;</w:t>
      </w:r>
      <w:r w:rsidRPr="00055526">
        <w:rPr>
          <w:rFonts w:ascii="Times New Roman" w:hAnsi="Times New Roman" w:cs="Times New Roman"/>
          <w:sz w:val="24"/>
          <w:szCs w:val="24"/>
        </w:rPr>
        <w:t xml:space="preserve"> B52</w:t>
      </w:r>
      <w:r>
        <w:rPr>
          <w:rFonts w:ascii="Times New Roman" w:hAnsi="Times New Roman" w:cs="Times New Roman"/>
          <w:sz w:val="24"/>
          <w:szCs w:val="24"/>
        </w:rPr>
        <w:t>;</w:t>
      </w:r>
      <w:r w:rsidRPr="00055526">
        <w:rPr>
          <w:rFonts w:ascii="Times New Roman" w:hAnsi="Times New Roman" w:cs="Times New Roman"/>
          <w:sz w:val="24"/>
          <w:szCs w:val="24"/>
        </w:rPr>
        <w:t xml:space="preserve"> P3</w:t>
      </w:r>
      <w:r>
        <w:rPr>
          <w:rFonts w:ascii="Times New Roman" w:hAnsi="Times New Roman" w:cs="Times New Roman"/>
          <w:sz w:val="24"/>
          <w:szCs w:val="24"/>
        </w:rPr>
        <w:t>;</w:t>
      </w:r>
      <w:r w:rsidRPr="00055526">
        <w:rPr>
          <w:rFonts w:ascii="Times New Roman" w:hAnsi="Times New Roman" w:cs="Times New Roman"/>
          <w:sz w:val="24"/>
          <w:szCs w:val="24"/>
        </w:rPr>
        <w:t xml:space="preserve"> M2</w:t>
      </w:r>
      <w:r>
        <w:rPr>
          <w:rFonts w:ascii="Times New Roman" w:hAnsi="Times New Roman" w:cs="Times New Roman"/>
          <w:sz w:val="24"/>
          <w:szCs w:val="24"/>
        </w:rPr>
        <w:t>.</w:t>
      </w:r>
    </w:p>
    <w:p w:rsidR="002434D5" w:rsidRPr="00055526" w:rsidRDefault="002434D5" w:rsidP="002434D5">
      <w:pPr>
        <w:spacing w:after="0" w:line="240" w:lineRule="auto"/>
        <w:rPr>
          <w:rFonts w:ascii="Times New Roman" w:hAnsi="Times New Roman" w:cs="Times New Roman"/>
          <w:sz w:val="24"/>
          <w:szCs w:val="24"/>
        </w:rPr>
      </w:pPr>
    </w:p>
    <w:p w:rsidR="002434D5" w:rsidRDefault="002434D5">
      <w:pPr>
        <w:rPr>
          <w:rFonts w:ascii="Times New Roman" w:hAnsi="Times New Roman" w:cs="Times New Roman"/>
          <w:b/>
          <w:color w:val="000000" w:themeColor="text1"/>
          <w:sz w:val="34"/>
          <w:szCs w:val="34"/>
        </w:rPr>
      </w:pPr>
    </w:p>
    <w:p w:rsidR="002434D5" w:rsidRDefault="002434D5">
      <w:pPr>
        <w:rPr>
          <w:rFonts w:ascii="Times New Roman" w:hAnsi="Times New Roman" w:cs="Times New Roman"/>
          <w:b/>
          <w:color w:val="000000" w:themeColor="text1"/>
          <w:sz w:val="34"/>
          <w:szCs w:val="34"/>
        </w:rPr>
      </w:pPr>
      <w:r>
        <w:rPr>
          <w:rFonts w:ascii="Times New Roman" w:hAnsi="Times New Roman" w:cs="Times New Roman"/>
          <w:b/>
          <w:color w:val="000000" w:themeColor="text1"/>
          <w:sz w:val="34"/>
          <w:szCs w:val="34"/>
        </w:rPr>
        <w:br w:type="page"/>
      </w:r>
    </w:p>
    <w:p w:rsidR="0083742B" w:rsidRPr="00D41414" w:rsidRDefault="00D41414" w:rsidP="00D41414">
      <w:pPr>
        <w:spacing w:after="0" w:line="360" w:lineRule="auto"/>
        <w:jc w:val="center"/>
        <w:rPr>
          <w:rFonts w:ascii="Times New Roman" w:hAnsi="Times New Roman" w:cs="Times New Roman"/>
          <w:b/>
          <w:color w:val="000000" w:themeColor="text1"/>
          <w:sz w:val="34"/>
          <w:szCs w:val="34"/>
        </w:rPr>
      </w:pPr>
      <w:r>
        <w:rPr>
          <w:rFonts w:ascii="Times New Roman" w:hAnsi="Times New Roman" w:cs="Times New Roman"/>
          <w:b/>
          <w:color w:val="000000" w:themeColor="text1"/>
          <w:sz w:val="34"/>
          <w:szCs w:val="34"/>
        </w:rPr>
        <w:lastRenderedPageBreak/>
        <w:t xml:space="preserve">Does </w:t>
      </w:r>
      <w:r w:rsidR="00F87AA3">
        <w:rPr>
          <w:rFonts w:ascii="Times New Roman" w:hAnsi="Times New Roman" w:cs="Times New Roman"/>
          <w:b/>
          <w:color w:val="000000" w:themeColor="text1"/>
          <w:sz w:val="34"/>
          <w:szCs w:val="34"/>
        </w:rPr>
        <w:t>c</w:t>
      </w:r>
      <w:r>
        <w:rPr>
          <w:rFonts w:ascii="Times New Roman" w:hAnsi="Times New Roman" w:cs="Times New Roman"/>
          <w:b/>
          <w:color w:val="000000" w:themeColor="text1"/>
          <w:sz w:val="34"/>
          <w:szCs w:val="34"/>
        </w:rPr>
        <w:t xml:space="preserve">onnectedness </w:t>
      </w:r>
      <w:r w:rsidR="00F87AA3">
        <w:rPr>
          <w:rFonts w:ascii="Times New Roman" w:hAnsi="Times New Roman" w:cs="Times New Roman"/>
          <w:b/>
          <w:color w:val="000000" w:themeColor="text1"/>
          <w:sz w:val="34"/>
          <w:szCs w:val="34"/>
        </w:rPr>
        <w:t>i</w:t>
      </w:r>
      <w:r>
        <w:rPr>
          <w:rFonts w:ascii="Times New Roman" w:hAnsi="Times New Roman" w:cs="Times New Roman"/>
          <w:b/>
          <w:color w:val="000000" w:themeColor="text1"/>
          <w:sz w:val="34"/>
          <w:szCs w:val="34"/>
        </w:rPr>
        <w:t xml:space="preserve">mprove </w:t>
      </w:r>
      <w:r w:rsidR="00C44FA7" w:rsidRPr="00D41414">
        <w:rPr>
          <w:rFonts w:ascii="Times New Roman" w:hAnsi="Times New Roman" w:cs="Times New Roman"/>
          <w:b/>
          <w:color w:val="000000" w:themeColor="text1"/>
          <w:sz w:val="34"/>
          <w:szCs w:val="34"/>
        </w:rPr>
        <w:t>SMEs</w:t>
      </w:r>
      <w:r w:rsidR="00ED031C">
        <w:rPr>
          <w:rFonts w:ascii="Times New Roman" w:hAnsi="Times New Roman" w:cs="Times New Roman"/>
          <w:b/>
          <w:color w:val="000000" w:themeColor="text1"/>
          <w:sz w:val="34"/>
          <w:szCs w:val="34"/>
        </w:rPr>
        <w:t>’</w:t>
      </w:r>
      <w:r w:rsidR="0083742B" w:rsidRPr="00D41414">
        <w:rPr>
          <w:rFonts w:ascii="Times New Roman" w:hAnsi="Times New Roman" w:cs="Times New Roman"/>
          <w:b/>
          <w:color w:val="000000" w:themeColor="text1"/>
          <w:sz w:val="34"/>
          <w:szCs w:val="34"/>
        </w:rPr>
        <w:t xml:space="preserve"> </w:t>
      </w:r>
      <w:r w:rsidR="00F87AA3">
        <w:rPr>
          <w:rFonts w:ascii="Times New Roman" w:hAnsi="Times New Roman" w:cs="Times New Roman"/>
          <w:b/>
          <w:color w:val="000000" w:themeColor="text1"/>
          <w:sz w:val="34"/>
          <w:szCs w:val="34"/>
        </w:rPr>
        <w:t>a</w:t>
      </w:r>
      <w:r w:rsidR="0083742B" w:rsidRPr="00D41414">
        <w:rPr>
          <w:rFonts w:ascii="Times New Roman" w:hAnsi="Times New Roman" w:cs="Times New Roman"/>
          <w:b/>
          <w:color w:val="000000" w:themeColor="text1"/>
          <w:sz w:val="34"/>
          <w:szCs w:val="34"/>
        </w:rPr>
        <w:t xml:space="preserve">ccess to </w:t>
      </w:r>
      <w:r w:rsidR="00F87AA3">
        <w:rPr>
          <w:rFonts w:ascii="Times New Roman" w:hAnsi="Times New Roman" w:cs="Times New Roman"/>
          <w:b/>
          <w:color w:val="000000" w:themeColor="text1"/>
          <w:sz w:val="34"/>
          <w:szCs w:val="34"/>
        </w:rPr>
        <w:t>f</w:t>
      </w:r>
      <w:r w:rsidR="0083742B" w:rsidRPr="00D41414">
        <w:rPr>
          <w:rFonts w:ascii="Times New Roman" w:hAnsi="Times New Roman" w:cs="Times New Roman"/>
          <w:b/>
          <w:color w:val="000000" w:themeColor="text1"/>
          <w:sz w:val="34"/>
          <w:szCs w:val="34"/>
        </w:rPr>
        <w:t xml:space="preserve">ormal </w:t>
      </w:r>
      <w:r w:rsidR="00F87AA3">
        <w:rPr>
          <w:rFonts w:ascii="Times New Roman" w:hAnsi="Times New Roman" w:cs="Times New Roman"/>
          <w:b/>
          <w:color w:val="000000" w:themeColor="text1"/>
          <w:sz w:val="34"/>
          <w:szCs w:val="34"/>
        </w:rPr>
        <w:t>f</w:t>
      </w:r>
      <w:r w:rsidR="0083742B" w:rsidRPr="00D41414">
        <w:rPr>
          <w:rFonts w:ascii="Times New Roman" w:hAnsi="Times New Roman" w:cs="Times New Roman"/>
          <w:b/>
          <w:color w:val="000000" w:themeColor="text1"/>
          <w:sz w:val="34"/>
          <w:szCs w:val="34"/>
        </w:rPr>
        <w:t>inance</w:t>
      </w:r>
      <w:r>
        <w:rPr>
          <w:rFonts w:ascii="Times New Roman" w:hAnsi="Times New Roman" w:cs="Times New Roman"/>
          <w:b/>
          <w:color w:val="000000" w:themeColor="text1"/>
          <w:sz w:val="34"/>
          <w:szCs w:val="34"/>
        </w:rPr>
        <w:t xml:space="preserve">? Evidence from </w:t>
      </w:r>
      <w:r w:rsidR="00F87AA3">
        <w:rPr>
          <w:rFonts w:ascii="Times New Roman" w:hAnsi="Times New Roman" w:cs="Times New Roman"/>
          <w:b/>
          <w:color w:val="000000" w:themeColor="text1"/>
          <w:sz w:val="34"/>
          <w:szCs w:val="34"/>
        </w:rPr>
        <w:t>p</w:t>
      </w:r>
      <w:r>
        <w:rPr>
          <w:rFonts w:ascii="Times New Roman" w:hAnsi="Times New Roman" w:cs="Times New Roman"/>
          <w:b/>
          <w:color w:val="000000" w:themeColor="text1"/>
          <w:sz w:val="34"/>
          <w:szCs w:val="34"/>
        </w:rPr>
        <w:t>ost-</w:t>
      </w:r>
      <w:r w:rsidR="00F87AA3">
        <w:rPr>
          <w:rFonts w:ascii="Times New Roman" w:hAnsi="Times New Roman" w:cs="Times New Roman"/>
          <w:b/>
          <w:color w:val="000000" w:themeColor="text1"/>
          <w:sz w:val="34"/>
          <w:szCs w:val="34"/>
        </w:rPr>
        <w:t>c</w:t>
      </w:r>
      <w:r>
        <w:rPr>
          <w:rFonts w:ascii="Times New Roman" w:hAnsi="Times New Roman" w:cs="Times New Roman"/>
          <w:b/>
          <w:color w:val="000000" w:themeColor="text1"/>
          <w:sz w:val="34"/>
          <w:szCs w:val="34"/>
        </w:rPr>
        <w:t xml:space="preserve">ommunist </w:t>
      </w:r>
      <w:r w:rsidR="00F87AA3">
        <w:rPr>
          <w:rFonts w:ascii="Times New Roman" w:hAnsi="Times New Roman" w:cs="Times New Roman"/>
          <w:b/>
          <w:color w:val="000000" w:themeColor="text1"/>
          <w:sz w:val="34"/>
          <w:szCs w:val="34"/>
        </w:rPr>
        <w:t>e</w:t>
      </w:r>
      <w:r>
        <w:rPr>
          <w:rFonts w:ascii="Times New Roman" w:hAnsi="Times New Roman" w:cs="Times New Roman"/>
          <w:b/>
          <w:color w:val="000000" w:themeColor="text1"/>
          <w:sz w:val="34"/>
          <w:szCs w:val="34"/>
        </w:rPr>
        <w:t>conomies</w:t>
      </w:r>
    </w:p>
    <w:p w:rsidR="0083742B" w:rsidRPr="00D41414" w:rsidRDefault="0083742B" w:rsidP="003F517D">
      <w:pPr>
        <w:spacing w:after="0" w:line="360" w:lineRule="auto"/>
        <w:jc w:val="center"/>
        <w:rPr>
          <w:rFonts w:ascii="Times New Roman" w:hAnsi="Times New Roman" w:cs="Times New Roman"/>
          <w:i/>
          <w:color w:val="000000" w:themeColor="text1"/>
        </w:rPr>
      </w:pPr>
    </w:p>
    <w:p w:rsidR="000C4364" w:rsidRPr="000C4364" w:rsidRDefault="000C4364" w:rsidP="000C4364">
      <w:pPr>
        <w:spacing w:line="480" w:lineRule="auto"/>
        <w:jc w:val="both"/>
        <w:rPr>
          <w:rFonts w:ascii="Times New Roman" w:hAnsi="Times New Roman" w:cs="Times New Roman"/>
          <w:sz w:val="24"/>
          <w:szCs w:val="24"/>
        </w:rPr>
      </w:pPr>
      <w:r w:rsidRPr="000C4364">
        <w:rPr>
          <w:rFonts w:ascii="Times New Roman" w:hAnsi="Times New Roman" w:cs="Times New Roman"/>
          <w:sz w:val="24"/>
          <w:szCs w:val="24"/>
        </w:rPr>
        <w:t>Evidence suggests that a disproportionately greater share of formal finance is channelled to large enterprises in emerging economies, limiting the flow of appropriately-priced finance to Small and Medium Enterprises (SMEs). Market and information imperfections are conventionally seen as major</w:t>
      </w:r>
      <w:r w:rsidRPr="000C4364" w:rsidDel="000B6D11">
        <w:rPr>
          <w:rFonts w:ascii="Times New Roman" w:hAnsi="Times New Roman" w:cs="Times New Roman"/>
          <w:sz w:val="24"/>
          <w:szCs w:val="24"/>
        </w:rPr>
        <w:t xml:space="preserve"> </w:t>
      </w:r>
      <w:r w:rsidRPr="000C4364">
        <w:rPr>
          <w:rFonts w:ascii="Times New Roman" w:hAnsi="Times New Roman" w:cs="Times New Roman"/>
          <w:sz w:val="24"/>
          <w:szCs w:val="24"/>
        </w:rPr>
        <w:t>causes of this misallocation. However, the role of political factors in affecting the distribution of formal finance has become more widely acknowledged in recent times</w:t>
      </w:r>
      <w:r w:rsidRPr="000C4364">
        <w:rPr>
          <w:rFonts w:ascii="Times New Roman" w:hAnsi="Times New Roman" w:cs="Times New Roman"/>
          <w:sz w:val="24"/>
          <w:szCs w:val="24"/>
          <w:shd w:val="clear" w:color="auto" w:fill="FFFFFF"/>
        </w:rPr>
        <w:t>.</w:t>
      </w:r>
      <w:r w:rsidRPr="000C4364">
        <w:rPr>
          <w:rFonts w:ascii="Times New Roman" w:hAnsi="Times New Roman" w:cs="Times New Roman"/>
          <w:sz w:val="24"/>
          <w:szCs w:val="24"/>
        </w:rPr>
        <w:t xml:space="preserve"> Our analyses of SMEs in post-communist economies also </w:t>
      </w:r>
      <w:r w:rsidRPr="000C4364">
        <w:rPr>
          <w:rFonts w:ascii="Times New Roman" w:hAnsi="Times New Roman" w:cs="Times New Roman"/>
          <w:sz w:val="24"/>
          <w:szCs w:val="24"/>
          <w:shd w:val="clear" w:color="auto" w:fill="FFFFFF"/>
        </w:rPr>
        <w:t xml:space="preserve">show that measures of political connectedness </w:t>
      </w:r>
      <w:r w:rsidRPr="000C4364">
        <w:rPr>
          <w:rFonts w:ascii="Times New Roman" w:hAnsi="Times New Roman" w:cs="Times New Roman"/>
          <w:sz w:val="24"/>
          <w:szCs w:val="24"/>
        </w:rPr>
        <w:t xml:space="preserve">improve the chances of receiving bank credit and that the benefits of these links are stronger for well established and larger SMEs. </w:t>
      </w:r>
    </w:p>
    <w:p w:rsidR="0083742B" w:rsidRPr="000C4364" w:rsidRDefault="0083742B" w:rsidP="000C4364">
      <w:pPr>
        <w:spacing w:after="0" w:line="480" w:lineRule="auto"/>
        <w:rPr>
          <w:rFonts w:ascii="Times New Roman" w:hAnsi="Times New Roman" w:cs="Times New Roman"/>
          <w:sz w:val="24"/>
          <w:szCs w:val="24"/>
        </w:rPr>
      </w:pPr>
      <w:r w:rsidRPr="000C4364">
        <w:rPr>
          <w:rFonts w:ascii="Times New Roman" w:hAnsi="Times New Roman" w:cs="Times New Roman"/>
          <w:b/>
          <w:i/>
          <w:sz w:val="24"/>
          <w:szCs w:val="24"/>
        </w:rPr>
        <w:t>Keywords</w:t>
      </w:r>
      <w:r w:rsidRPr="000C4364">
        <w:rPr>
          <w:rFonts w:ascii="Times New Roman" w:hAnsi="Times New Roman" w:cs="Times New Roman"/>
          <w:sz w:val="24"/>
          <w:szCs w:val="24"/>
        </w:rPr>
        <w:t>: Financial development; Formal finance; Firm-level analysis; Transition economies.</w:t>
      </w:r>
    </w:p>
    <w:p w:rsidR="0083742B" w:rsidRPr="000C4364" w:rsidRDefault="0083742B" w:rsidP="000C4364">
      <w:pPr>
        <w:spacing w:after="0" w:line="480" w:lineRule="auto"/>
        <w:rPr>
          <w:rFonts w:ascii="Times New Roman" w:hAnsi="Times New Roman" w:cs="Times New Roman"/>
          <w:sz w:val="24"/>
          <w:szCs w:val="24"/>
        </w:rPr>
      </w:pPr>
    </w:p>
    <w:p w:rsidR="0083742B" w:rsidRPr="000C4364" w:rsidRDefault="0083742B" w:rsidP="000C4364">
      <w:pPr>
        <w:spacing w:after="0" w:line="480" w:lineRule="auto"/>
        <w:rPr>
          <w:rFonts w:ascii="Times New Roman" w:hAnsi="Times New Roman" w:cs="Times New Roman"/>
          <w:sz w:val="24"/>
          <w:szCs w:val="24"/>
        </w:rPr>
      </w:pPr>
      <w:r w:rsidRPr="000C4364">
        <w:rPr>
          <w:rFonts w:ascii="Times New Roman" w:hAnsi="Times New Roman" w:cs="Times New Roman"/>
          <w:b/>
          <w:i/>
          <w:sz w:val="24"/>
          <w:szCs w:val="24"/>
        </w:rPr>
        <w:t>JEL Nos</w:t>
      </w:r>
      <w:r w:rsidRPr="000C4364">
        <w:rPr>
          <w:rFonts w:ascii="Times New Roman" w:hAnsi="Times New Roman" w:cs="Times New Roman"/>
          <w:sz w:val="24"/>
          <w:szCs w:val="24"/>
        </w:rPr>
        <w:t>: G00; G38; B52; P3; M2.</w:t>
      </w:r>
    </w:p>
    <w:p w:rsidR="00574419" w:rsidRPr="000C4364" w:rsidRDefault="00574419" w:rsidP="000C4364">
      <w:pPr>
        <w:spacing w:line="480" w:lineRule="auto"/>
        <w:rPr>
          <w:rFonts w:ascii="Times New Roman" w:hAnsi="Times New Roman" w:cs="Times New Roman"/>
          <w:b/>
          <w:sz w:val="24"/>
          <w:szCs w:val="24"/>
        </w:rPr>
      </w:pPr>
      <w:r w:rsidRPr="000C4364">
        <w:rPr>
          <w:rFonts w:ascii="Times New Roman" w:hAnsi="Times New Roman" w:cs="Times New Roman"/>
          <w:b/>
          <w:sz w:val="24"/>
          <w:szCs w:val="24"/>
        </w:rPr>
        <w:br w:type="page"/>
      </w:r>
    </w:p>
    <w:p w:rsidR="00403C34" w:rsidRPr="000C4364" w:rsidRDefault="005D109D" w:rsidP="000C4364">
      <w:pPr>
        <w:spacing w:after="0" w:line="480" w:lineRule="auto"/>
        <w:rPr>
          <w:rFonts w:ascii="Times New Roman" w:hAnsi="Times New Roman" w:cs="Times New Roman"/>
          <w:b/>
          <w:sz w:val="24"/>
          <w:szCs w:val="24"/>
        </w:rPr>
      </w:pPr>
      <w:r w:rsidRPr="000C4364">
        <w:rPr>
          <w:rFonts w:ascii="Times New Roman" w:hAnsi="Times New Roman" w:cs="Times New Roman"/>
          <w:b/>
          <w:sz w:val="24"/>
          <w:szCs w:val="24"/>
        </w:rPr>
        <w:lastRenderedPageBreak/>
        <w:t xml:space="preserve">1. </w:t>
      </w:r>
      <w:r w:rsidR="00403C34" w:rsidRPr="000C4364">
        <w:rPr>
          <w:rFonts w:ascii="Times New Roman" w:hAnsi="Times New Roman" w:cs="Times New Roman"/>
          <w:b/>
          <w:sz w:val="24"/>
          <w:szCs w:val="24"/>
        </w:rPr>
        <w:t>Introduction</w:t>
      </w:r>
    </w:p>
    <w:p w:rsidR="00E52215" w:rsidRPr="000C4364" w:rsidRDefault="00E52215" w:rsidP="000C4364">
      <w:pPr>
        <w:spacing w:after="0" w:line="480" w:lineRule="auto"/>
        <w:rPr>
          <w:rFonts w:ascii="Times New Roman" w:hAnsi="Times New Roman" w:cs="Times New Roman"/>
          <w:sz w:val="24"/>
          <w:szCs w:val="24"/>
        </w:rPr>
      </w:pPr>
    </w:p>
    <w:p w:rsidR="00AF2556" w:rsidRPr="000C4364" w:rsidRDefault="00E64866"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T</w:t>
      </w:r>
      <w:r w:rsidR="00E7138D" w:rsidRPr="000C4364">
        <w:rPr>
          <w:rFonts w:ascii="Times New Roman" w:hAnsi="Times New Roman" w:cs="Times New Roman"/>
          <w:sz w:val="24"/>
          <w:szCs w:val="24"/>
        </w:rPr>
        <w:t xml:space="preserve">he demise of the Union </w:t>
      </w:r>
      <w:r w:rsidR="008156D6" w:rsidRPr="000C4364">
        <w:rPr>
          <w:rFonts w:ascii="Times New Roman" w:hAnsi="Times New Roman" w:cs="Times New Roman"/>
          <w:sz w:val="24"/>
          <w:szCs w:val="24"/>
        </w:rPr>
        <w:t xml:space="preserve">of Soviet Socialist Republics </w:t>
      </w:r>
      <w:r w:rsidR="00E7138D" w:rsidRPr="000C4364">
        <w:rPr>
          <w:rFonts w:ascii="Times New Roman" w:hAnsi="Times New Roman" w:cs="Times New Roman"/>
          <w:sz w:val="24"/>
          <w:szCs w:val="24"/>
        </w:rPr>
        <w:t xml:space="preserve">(USSR) </w:t>
      </w:r>
      <w:r w:rsidR="003D7B1D" w:rsidRPr="000C4364">
        <w:rPr>
          <w:rFonts w:ascii="Times New Roman" w:hAnsi="Times New Roman" w:cs="Times New Roman"/>
          <w:sz w:val="24"/>
          <w:szCs w:val="24"/>
        </w:rPr>
        <w:t>heralded</w:t>
      </w:r>
      <w:r w:rsidRPr="000C4364">
        <w:rPr>
          <w:rFonts w:ascii="Times New Roman" w:hAnsi="Times New Roman" w:cs="Times New Roman"/>
          <w:sz w:val="24"/>
          <w:szCs w:val="24"/>
        </w:rPr>
        <w:t xml:space="preserve"> a trans</w:t>
      </w:r>
      <w:r w:rsidR="002C6A7A" w:rsidRPr="000C4364">
        <w:rPr>
          <w:rFonts w:ascii="Times New Roman" w:hAnsi="Times New Roman" w:cs="Times New Roman"/>
          <w:sz w:val="24"/>
          <w:szCs w:val="24"/>
        </w:rPr>
        <w:t>ition</w:t>
      </w:r>
      <w:r w:rsidRPr="000C4364">
        <w:rPr>
          <w:rFonts w:ascii="Times New Roman" w:hAnsi="Times New Roman" w:cs="Times New Roman"/>
          <w:sz w:val="24"/>
          <w:szCs w:val="24"/>
        </w:rPr>
        <w:t xml:space="preserve"> </w:t>
      </w:r>
      <w:r w:rsidR="00E246DD" w:rsidRPr="000C4364">
        <w:rPr>
          <w:rFonts w:ascii="Times New Roman" w:hAnsi="Times New Roman" w:cs="Times New Roman"/>
          <w:sz w:val="24"/>
          <w:szCs w:val="24"/>
        </w:rPr>
        <w:t>of</w:t>
      </w:r>
      <w:r w:rsidR="00AF2556" w:rsidRPr="000C4364">
        <w:rPr>
          <w:rFonts w:ascii="Times New Roman" w:hAnsi="Times New Roman" w:cs="Times New Roman"/>
          <w:sz w:val="24"/>
          <w:szCs w:val="24"/>
        </w:rPr>
        <w:t xml:space="preserve"> </w:t>
      </w:r>
      <w:r w:rsidR="00222358" w:rsidRPr="000C4364">
        <w:rPr>
          <w:rFonts w:ascii="Times New Roman" w:hAnsi="Times New Roman" w:cs="Times New Roman"/>
          <w:sz w:val="24"/>
          <w:szCs w:val="24"/>
        </w:rPr>
        <w:t xml:space="preserve">the </w:t>
      </w:r>
      <w:r w:rsidR="00AF2556" w:rsidRPr="000C4364">
        <w:rPr>
          <w:rFonts w:ascii="Times New Roman" w:hAnsi="Times New Roman" w:cs="Times New Roman"/>
          <w:sz w:val="24"/>
          <w:szCs w:val="24"/>
        </w:rPr>
        <w:t>former Soviet Union (FSU) and Eastern Europe</w:t>
      </w:r>
      <w:r w:rsidR="00F8202C" w:rsidRPr="000C4364">
        <w:rPr>
          <w:rFonts w:ascii="Times New Roman" w:hAnsi="Times New Roman" w:cs="Times New Roman"/>
          <w:sz w:val="24"/>
          <w:szCs w:val="24"/>
        </w:rPr>
        <w:t>an</w:t>
      </w:r>
      <w:r w:rsidR="00AF2556" w:rsidRPr="000C4364">
        <w:rPr>
          <w:rFonts w:ascii="Times New Roman" w:hAnsi="Times New Roman" w:cs="Times New Roman"/>
          <w:sz w:val="24"/>
          <w:szCs w:val="24"/>
        </w:rPr>
        <w:t xml:space="preserve"> (EE) </w:t>
      </w:r>
      <w:r w:rsidR="00E246DD" w:rsidRPr="000C4364">
        <w:rPr>
          <w:rFonts w:ascii="Times New Roman" w:hAnsi="Times New Roman" w:cs="Times New Roman"/>
          <w:sz w:val="24"/>
          <w:szCs w:val="24"/>
        </w:rPr>
        <w:t xml:space="preserve">countries </w:t>
      </w:r>
      <w:r w:rsidR="00B20081" w:rsidRPr="000C4364">
        <w:rPr>
          <w:rFonts w:ascii="Times New Roman" w:hAnsi="Times New Roman" w:cs="Times New Roman"/>
          <w:sz w:val="24"/>
          <w:szCs w:val="24"/>
        </w:rPr>
        <w:t xml:space="preserve">from </w:t>
      </w:r>
      <w:r w:rsidR="004022BF" w:rsidRPr="000C4364">
        <w:rPr>
          <w:rFonts w:ascii="Times New Roman" w:hAnsi="Times New Roman" w:cs="Times New Roman"/>
          <w:sz w:val="24"/>
          <w:szCs w:val="24"/>
        </w:rPr>
        <w:t xml:space="preserve">a </w:t>
      </w:r>
      <w:r w:rsidR="00B20081" w:rsidRPr="000C4364">
        <w:rPr>
          <w:rFonts w:ascii="Times New Roman" w:hAnsi="Times New Roman" w:cs="Times New Roman"/>
          <w:sz w:val="24"/>
          <w:szCs w:val="24"/>
        </w:rPr>
        <w:t>central</w:t>
      </w:r>
      <w:r w:rsidR="00E7138D" w:rsidRPr="000C4364">
        <w:rPr>
          <w:rFonts w:ascii="Times New Roman" w:hAnsi="Times New Roman" w:cs="Times New Roman"/>
          <w:sz w:val="24"/>
          <w:szCs w:val="24"/>
        </w:rPr>
        <w:t>ly</w:t>
      </w:r>
      <w:r w:rsidR="008156D6" w:rsidRPr="000C4364">
        <w:rPr>
          <w:rFonts w:ascii="Times New Roman" w:hAnsi="Times New Roman" w:cs="Times New Roman"/>
          <w:sz w:val="24"/>
          <w:szCs w:val="24"/>
        </w:rPr>
        <w:t xml:space="preserve"> </w:t>
      </w:r>
      <w:r w:rsidR="00B20081" w:rsidRPr="000C4364">
        <w:rPr>
          <w:rFonts w:ascii="Times New Roman" w:hAnsi="Times New Roman" w:cs="Times New Roman"/>
          <w:sz w:val="24"/>
          <w:szCs w:val="24"/>
        </w:rPr>
        <w:t>plann</w:t>
      </w:r>
      <w:r w:rsidR="00E7138D" w:rsidRPr="000C4364">
        <w:rPr>
          <w:rFonts w:ascii="Times New Roman" w:hAnsi="Times New Roman" w:cs="Times New Roman"/>
          <w:sz w:val="24"/>
          <w:szCs w:val="24"/>
        </w:rPr>
        <w:t>ed</w:t>
      </w:r>
      <w:r w:rsidR="00B20081" w:rsidRPr="000C4364">
        <w:rPr>
          <w:rFonts w:ascii="Times New Roman" w:hAnsi="Times New Roman" w:cs="Times New Roman"/>
          <w:sz w:val="24"/>
          <w:szCs w:val="24"/>
        </w:rPr>
        <w:t xml:space="preserve"> </w:t>
      </w:r>
      <w:r w:rsidR="00AF2556" w:rsidRPr="000C4364">
        <w:rPr>
          <w:rFonts w:ascii="Times New Roman" w:hAnsi="Times New Roman" w:cs="Times New Roman"/>
          <w:sz w:val="24"/>
          <w:szCs w:val="24"/>
        </w:rPr>
        <w:t>to a market</w:t>
      </w:r>
      <w:r w:rsidR="000B6D11" w:rsidRPr="000C4364">
        <w:rPr>
          <w:rFonts w:ascii="Times New Roman" w:hAnsi="Times New Roman" w:cs="Times New Roman"/>
          <w:sz w:val="24"/>
          <w:szCs w:val="24"/>
        </w:rPr>
        <w:t>-</w:t>
      </w:r>
      <w:r w:rsidR="00AF2556" w:rsidRPr="000C4364">
        <w:rPr>
          <w:rFonts w:ascii="Times New Roman" w:hAnsi="Times New Roman" w:cs="Times New Roman"/>
          <w:sz w:val="24"/>
          <w:szCs w:val="24"/>
        </w:rPr>
        <w:t xml:space="preserve">based system. </w:t>
      </w:r>
      <w:r w:rsidR="00A40390" w:rsidRPr="000C4364">
        <w:rPr>
          <w:rFonts w:ascii="Times New Roman" w:hAnsi="Times New Roman" w:cs="Times New Roman"/>
          <w:sz w:val="24"/>
          <w:szCs w:val="24"/>
        </w:rPr>
        <w:t>T</w:t>
      </w:r>
      <w:r w:rsidR="00D3363E" w:rsidRPr="000C4364">
        <w:rPr>
          <w:rFonts w:ascii="Times New Roman" w:hAnsi="Times New Roman" w:cs="Times New Roman"/>
          <w:sz w:val="24"/>
          <w:szCs w:val="24"/>
        </w:rPr>
        <w:t xml:space="preserve">he </w:t>
      </w:r>
      <w:r w:rsidR="00E246DD" w:rsidRPr="000C4364">
        <w:rPr>
          <w:rFonts w:ascii="Times New Roman" w:hAnsi="Times New Roman" w:cs="Times New Roman"/>
          <w:sz w:val="24"/>
          <w:szCs w:val="24"/>
        </w:rPr>
        <w:t xml:space="preserve">ideological </w:t>
      </w:r>
      <w:r w:rsidR="00D3363E" w:rsidRPr="000C4364">
        <w:rPr>
          <w:rFonts w:ascii="Times New Roman" w:hAnsi="Times New Roman" w:cs="Times New Roman"/>
          <w:sz w:val="24"/>
          <w:szCs w:val="24"/>
        </w:rPr>
        <w:t xml:space="preserve">belief that </w:t>
      </w:r>
      <w:r w:rsidR="00E246DD" w:rsidRPr="000C4364">
        <w:rPr>
          <w:rFonts w:ascii="Times New Roman" w:hAnsi="Times New Roman" w:cs="Times New Roman"/>
          <w:sz w:val="24"/>
          <w:szCs w:val="24"/>
        </w:rPr>
        <w:t xml:space="preserve">a centrally planned system </w:t>
      </w:r>
      <w:r w:rsidR="00BE7D54" w:rsidRPr="000C4364">
        <w:rPr>
          <w:rFonts w:ascii="Times New Roman" w:hAnsi="Times New Roman" w:cs="Times New Roman"/>
          <w:sz w:val="24"/>
          <w:szCs w:val="24"/>
        </w:rPr>
        <w:t>i</w:t>
      </w:r>
      <w:r w:rsidR="007938E7" w:rsidRPr="000C4364">
        <w:rPr>
          <w:rFonts w:ascii="Times New Roman" w:hAnsi="Times New Roman" w:cs="Times New Roman"/>
          <w:sz w:val="24"/>
          <w:szCs w:val="24"/>
        </w:rPr>
        <w:t xml:space="preserve">s concomitant with </w:t>
      </w:r>
      <w:r w:rsidR="00D3363E" w:rsidRPr="000C4364">
        <w:rPr>
          <w:rFonts w:ascii="Times New Roman" w:hAnsi="Times New Roman" w:cs="Times New Roman"/>
          <w:sz w:val="24"/>
          <w:szCs w:val="24"/>
        </w:rPr>
        <w:t xml:space="preserve">wastefulness </w:t>
      </w:r>
      <w:r w:rsidR="00F8202C" w:rsidRPr="000C4364">
        <w:rPr>
          <w:rFonts w:ascii="Times New Roman" w:hAnsi="Times New Roman" w:cs="Times New Roman"/>
          <w:sz w:val="24"/>
          <w:szCs w:val="24"/>
        </w:rPr>
        <w:t>while</w:t>
      </w:r>
      <w:r w:rsidR="00A40390" w:rsidRPr="000C4364">
        <w:rPr>
          <w:rFonts w:ascii="Times New Roman" w:hAnsi="Times New Roman" w:cs="Times New Roman"/>
          <w:sz w:val="24"/>
          <w:szCs w:val="24"/>
        </w:rPr>
        <w:t xml:space="preserve"> </w:t>
      </w:r>
      <w:r w:rsidR="00E246DD" w:rsidRPr="000C4364">
        <w:rPr>
          <w:rFonts w:ascii="Times New Roman" w:hAnsi="Times New Roman" w:cs="Times New Roman"/>
          <w:sz w:val="24"/>
          <w:szCs w:val="24"/>
        </w:rPr>
        <w:t>a market</w:t>
      </w:r>
      <w:r w:rsidR="000B6D11" w:rsidRPr="000C4364">
        <w:rPr>
          <w:rFonts w:ascii="Times New Roman" w:hAnsi="Times New Roman" w:cs="Times New Roman"/>
          <w:sz w:val="24"/>
          <w:szCs w:val="24"/>
        </w:rPr>
        <w:t>-</w:t>
      </w:r>
      <w:r w:rsidR="00E246DD" w:rsidRPr="000C4364">
        <w:rPr>
          <w:rFonts w:ascii="Times New Roman" w:hAnsi="Times New Roman" w:cs="Times New Roman"/>
          <w:sz w:val="24"/>
          <w:szCs w:val="24"/>
        </w:rPr>
        <w:t xml:space="preserve">based system </w:t>
      </w:r>
      <w:r w:rsidR="00BE7D54" w:rsidRPr="000C4364">
        <w:rPr>
          <w:rFonts w:ascii="Times New Roman" w:hAnsi="Times New Roman" w:cs="Times New Roman"/>
          <w:sz w:val="24"/>
          <w:szCs w:val="24"/>
        </w:rPr>
        <w:t>yields</w:t>
      </w:r>
      <w:r w:rsidR="00F8202C" w:rsidRPr="000C4364">
        <w:rPr>
          <w:rFonts w:ascii="Times New Roman" w:hAnsi="Times New Roman" w:cs="Times New Roman"/>
          <w:sz w:val="24"/>
          <w:szCs w:val="24"/>
        </w:rPr>
        <w:t xml:space="preserve"> </w:t>
      </w:r>
      <w:r w:rsidR="00E246DD" w:rsidRPr="000C4364">
        <w:rPr>
          <w:rFonts w:ascii="Times New Roman" w:hAnsi="Times New Roman" w:cs="Times New Roman"/>
          <w:sz w:val="24"/>
          <w:szCs w:val="24"/>
        </w:rPr>
        <w:t>a</w:t>
      </w:r>
      <w:r w:rsidR="004D05F7" w:rsidRPr="000C4364">
        <w:rPr>
          <w:rFonts w:ascii="Times New Roman" w:hAnsi="Times New Roman" w:cs="Times New Roman"/>
          <w:sz w:val="24"/>
          <w:szCs w:val="24"/>
        </w:rPr>
        <w:t>n</w:t>
      </w:r>
      <w:r w:rsidR="00E246DD" w:rsidRPr="000C4364">
        <w:rPr>
          <w:rFonts w:ascii="Times New Roman" w:hAnsi="Times New Roman" w:cs="Times New Roman"/>
          <w:sz w:val="24"/>
          <w:szCs w:val="24"/>
        </w:rPr>
        <w:t xml:space="preserve"> </w:t>
      </w:r>
      <w:r w:rsidR="00D3363E" w:rsidRPr="000C4364">
        <w:rPr>
          <w:rFonts w:ascii="Times New Roman" w:hAnsi="Times New Roman" w:cs="Times New Roman"/>
          <w:sz w:val="24"/>
          <w:szCs w:val="24"/>
        </w:rPr>
        <w:t xml:space="preserve">efficient allocation of resources </w:t>
      </w:r>
      <w:r w:rsidR="00A40390" w:rsidRPr="000C4364">
        <w:rPr>
          <w:rFonts w:ascii="Times New Roman" w:hAnsi="Times New Roman" w:cs="Times New Roman"/>
          <w:sz w:val="24"/>
          <w:szCs w:val="24"/>
        </w:rPr>
        <w:t>was central to this extraordinary shift</w:t>
      </w:r>
      <w:r w:rsidR="00B66C22" w:rsidRPr="000C4364">
        <w:rPr>
          <w:rFonts w:ascii="Times New Roman" w:hAnsi="Times New Roman" w:cs="Times New Roman"/>
          <w:sz w:val="24"/>
          <w:szCs w:val="24"/>
        </w:rPr>
        <w:t xml:space="preserve"> (</w:t>
      </w:r>
      <w:proofErr w:type="spellStart"/>
      <w:r w:rsidR="00B66C22" w:rsidRPr="000C4364">
        <w:rPr>
          <w:rFonts w:ascii="Times New Roman" w:hAnsi="Times New Roman" w:cs="Times New Roman"/>
          <w:sz w:val="24"/>
          <w:szCs w:val="24"/>
        </w:rPr>
        <w:t>Kornai</w:t>
      </w:r>
      <w:proofErr w:type="spellEnd"/>
      <w:r w:rsidR="00B66C22" w:rsidRPr="000C4364">
        <w:rPr>
          <w:rFonts w:ascii="Times New Roman" w:hAnsi="Times New Roman" w:cs="Times New Roman"/>
          <w:sz w:val="24"/>
          <w:szCs w:val="24"/>
        </w:rPr>
        <w:t>, 1982)</w:t>
      </w:r>
      <w:r w:rsidR="00A40390" w:rsidRPr="000C4364">
        <w:rPr>
          <w:rFonts w:ascii="Times New Roman" w:hAnsi="Times New Roman" w:cs="Times New Roman"/>
          <w:sz w:val="24"/>
          <w:szCs w:val="24"/>
        </w:rPr>
        <w:t xml:space="preserve">.  </w:t>
      </w:r>
      <w:r w:rsidR="00AF2556" w:rsidRPr="000C4364">
        <w:rPr>
          <w:rFonts w:ascii="Times New Roman" w:hAnsi="Times New Roman" w:cs="Times New Roman"/>
          <w:sz w:val="24"/>
          <w:szCs w:val="24"/>
        </w:rPr>
        <w:t>Although th</w:t>
      </w:r>
      <w:r w:rsidR="008156D6" w:rsidRPr="000C4364">
        <w:rPr>
          <w:rFonts w:ascii="Times New Roman" w:hAnsi="Times New Roman" w:cs="Times New Roman"/>
          <w:sz w:val="24"/>
          <w:szCs w:val="24"/>
        </w:rPr>
        <w:t>is</w:t>
      </w:r>
      <w:r w:rsidR="00AF2556" w:rsidRPr="000C4364">
        <w:rPr>
          <w:rFonts w:ascii="Times New Roman" w:hAnsi="Times New Roman" w:cs="Times New Roman"/>
          <w:sz w:val="24"/>
          <w:szCs w:val="24"/>
        </w:rPr>
        <w:t xml:space="preserve"> </w:t>
      </w:r>
      <w:r w:rsidR="007938E7" w:rsidRPr="000C4364">
        <w:rPr>
          <w:rFonts w:ascii="Times New Roman" w:hAnsi="Times New Roman" w:cs="Times New Roman"/>
          <w:sz w:val="24"/>
          <w:szCs w:val="24"/>
        </w:rPr>
        <w:t xml:space="preserve">belief </w:t>
      </w:r>
      <w:r w:rsidR="00AF2556" w:rsidRPr="000C4364">
        <w:rPr>
          <w:rFonts w:ascii="Times New Roman" w:hAnsi="Times New Roman" w:cs="Times New Roman"/>
          <w:sz w:val="24"/>
          <w:szCs w:val="24"/>
        </w:rPr>
        <w:t>might be true in principle, in reality various forms of inefficiencies occur in market</w:t>
      </w:r>
      <w:r w:rsidR="000B6D11" w:rsidRPr="000C4364">
        <w:rPr>
          <w:rFonts w:ascii="Times New Roman" w:hAnsi="Times New Roman" w:cs="Times New Roman"/>
          <w:sz w:val="24"/>
          <w:szCs w:val="24"/>
        </w:rPr>
        <w:t>-</w:t>
      </w:r>
      <w:r w:rsidR="00AF2556" w:rsidRPr="000C4364">
        <w:rPr>
          <w:rFonts w:ascii="Times New Roman" w:hAnsi="Times New Roman" w:cs="Times New Roman"/>
          <w:sz w:val="24"/>
          <w:szCs w:val="24"/>
        </w:rPr>
        <w:t xml:space="preserve">based </w:t>
      </w:r>
      <w:r w:rsidR="000B6D11" w:rsidRPr="000C4364">
        <w:rPr>
          <w:rFonts w:ascii="Times New Roman" w:hAnsi="Times New Roman" w:cs="Times New Roman"/>
          <w:sz w:val="24"/>
          <w:szCs w:val="24"/>
        </w:rPr>
        <w:t>systems</w:t>
      </w:r>
      <w:r w:rsidR="00AF2556" w:rsidRPr="000C4364">
        <w:rPr>
          <w:rFonts w:ascii="Times New Roman" w:hAnsi="Times New Roman" w:cs="Times New Roman"/>
          <w:sz w:val="24"/>
          <w:szCs w:val="24"/>
        </w:rPr>
        <w:t xml:space="preserve"> </w:t>
      </w:r>
      <w:r w:rsidR="007B09A5" w:rsidRPr="000C4364">
        <w:rPr>
          <w:rFonts w:ascii="Times New Roman" w:hAnsi="Times New Roman" w:cs="Times New Roman"/>
          <w:sz w:val="24"/>
          <w:szCs w:val="24"/>
        </w:rPr>
        <w:t xml:space="preserve">too </w:t>
      </w:r>
      <w:r w:rsidR="004022BF" w:rsidRPr="000C4364">
        <w:rPr>
          <w:rFonts w:ascii="Times New Roman" w:hAnsi="Times New Roman" w:cs="Times New Roman"/>
          <w:sz w:val="24"/>
          <w:szCs w:val="24"/>
        </w:rPr>
        <w:t xml:space="preserve">and </w:t>
      </w:r>
      <w:r w:rsidR="007938E7" w:rsidRPr="000C4364">
        <w:rPr>
          <w:rFonts w:ascii="Times New Roman" w:hAnsi="Times New Roman" w:cs="Times New Roman"/>
          <w:sz w:val="24"/>
          <w:szCs w:val="24"/>
        </w:rPr>
        <w:t xml:space="preserve">especially </w:t>
      </w:r>
      <w:r w:rsidR="00AF2556" w:rsidRPr="000C4364">
        <w:rPr>
          <w:rFonts w:ascii="Times New Roman" w:hAnsi="Times New Roman" w:cs="Times New Roman"/>
          <w:sz w:val="24"/>
          <w:szCs w:val="24"/>
        </w:rPr>
        <w:t xml:space="preserve">in </w:t>
      </w:r>
      <w:r w:rsidR="003D7B1D" w:rsidRPr="000C4364">
        <w:rPr>
          <w:rFonts w:ascii="Times New Roman" w:hAnsi="Times New Roman" w:cs="Times New Roman"/>
          <w:sz w:val="24"/>
          <w:szCs w:val="24"/>
        </w:rPr>
        <w:t xml:space="preserve">the provision of </w:t>
      </w:r>
      <w:r w:rsidR="00AF2556" w:rsidRPr="000C4364">
        <w:rPr>
          <w:rFonts w:ascii="Times New Roman" w:hAnsi="Times New Roman" w:cs="Times New Roman"/>
          <w:sz w:val="24"/>
          <w:szCs w:val="24"/>
        </w:rPr>
        <w:t>financial service</w:t>
      </w:r>
      <w:r w:rsidR="003D7B1D" w:rsidRPr="000C4364">
        <w:rPr>
          <w:rFonts w:ascii="Times New Roman" w:hAnsi="Times New Roman" w:cs="Times New Roman"/>
          <w:sz w:val="24"/>
          <w:szCs w:val="24"/>
        </w:rPr>
        <w:t>s</w:t>
      </w:r>
      <w:r w:rsidR="00AF2556" w:rsidRPr="000C4364">
        <w:rPr>
          <w:rFonts w:ascii="Times New Roman" w:hAnsi="Times New Roman" w:cs="Times New Roman"/>
          <w:sz w:val="24"/>
          <w:szCs w:val="24"/>
        </w:rPr>
        <w:t xml:space="preserve"> to enterprise</w:t>
      </w:r>
      <w:r w:rsidR="000B6D11" w:rsidRPr="000C4364">
        <w:rPr>
          <w:rFonts w:ascii="Times New Roman" w:hAnsi="Times New Roman" w:cs="Times New Roman"/>
          <w:sz w:val="24"/>
          <w:szCs w:val="24"/>
        </w:rPr>
        <w:t>s</w:t>
      </w:r>
      <w:r w:rsidR="00AF2556" w:rsidRPr="000C4364">
        <w:rPr>
          <w:rFonts w:ascii="Times New Roman" w:hAnsi="Times New Roman" w:cs="Times New Roman"/>
          <w:sz w:val="24"/>
          <w:szCs w:val="24"/>
        </w:rPr>
        <w:t>.</w:t>
      </w:r>
      <w:r w:rsidR="002C140A" w:rsidRPr="000C4364">
        <w:rPr>
          <w:rFonts w:ascii="Times New Roman" w:hAnsi="Times New Roman" w:cs="Times New Roman"/>
          <w:sz w:val="24"/>
          <w:szCs w:val="24"/>
        </w:rPr>
        <w:t xml:space="preserve"> </w:t>
      </w:r>
      <w:r w:rsidR="00F8202C" w:rsidRPr="000C4364">
        <w:rPr>
          <w:rFonts w:ascii="Times New Roman" w:hAnsi="Times New Roman" w:cs="Times New Roman"/>
          <w:sz w:val="24"/>
          <w:szCs w:val="24"/>
        </w:rPr>
        <w:t>A</w:t>
      </w:r>
      <w:r w:rsidR="00AF2556" w:rsidRPr="000C4364">
        <w:rPr>
          <w:rFonts w:ascii="Times New Roman" w:hAnsi="Times New Roman" w:cs="Times New Roman"/>
          <w:sz w:val="24"/>
          <w:szCs w:val="24"/>
        </w:rPr>
        <w:t xml:space="preserve"> rich body of empirical </w:t>
      </w:r>
      <w:r w:rsidR="00CF5E5E" w:rsidRPr="000C4364">
        <w:rPr>
          <w:rFonts w:ascii="Times New Roman" w:hAnsi="Times New Roman" w:cs="Times New Roman"/>
          <w:sz w:val="24"/>
          <w:szCs w:val="24"/>
        </w:rPr>
        <w:t xml:space="preserve">literature </w:t>
      </w:r>
      <w:r w:rsidR="007938E7" w:rsidRPr="000C4364">
        <w:rPr>
          <w:rFonts w:ascii="Times New Roman" w:hAnsi="Times New Roman" w:cs="Times New Roman"/>
          <w:sz w:val="24"/>
          <w:szCs w:val="24"/>
        </w:rPr>
        <w:t>emphasise</w:t>
      </w:r>
      <w:r w:rsidR="00F8202C" w:rsidRPr="000C4364">
        <w:rPr>
          <w:rFonts w:ascii="Times New Roman" w:hAnsi="Times New Roman" w:cs="Times New Roman"/>
          <w:sz w:val="24"/>
          <w:szCs w:val="24"/>
        </w:rPr>
        <w:t>s</w:t>
      </w:r>
      <w:r w:rsidR="007938E7" w:rsidRPr="000C4364">
        <w:rPr>
          <w:rFonts w:ascii="Times New Roman" w:hAnsi="Times New Roman" w:cs="Times New Roman"/>
          <w:sz w:val="24"/>
          <w:szCs w:val="24"/>
        </w:rPr>
        <w:t xml:space="preserve"> </w:t>
      </w:r>
      <w:r w:rsidR="00AF2556" w:rsidRPr="000C4364">
        <w:rPr>
          <w:rFonts w:ascii="Times New Roman" w:hAnsi="Times New Roman" w:cs="Times New Roman"/>
          <w:sz w:val="24"/>
          <w:szCs w:val="24"/>
        </w:rPr>
        <w:t xml:space="preserve">that the distribution of formal finance is skewed </w:t>
      </w:r>
      <w:r w:rsidR="003D7B1D" w:rsidRPr="000C4364">
        <w:rPr>
          <w:rFonts w:ascii="Times New Roman" w:hAnsi="Times New Roman" w:cs="Times New Roman"/>
          <w:sz w:val="24"/>
          <w:szCs w:val="24"/>
        </w:rPr>
        <w:t xml:space="preserve">towards larger enterprises and </w:t>
      </w:r>
      <w:r w:rsidR="00AF2556" w:rsidRPr="000C4364">
        <w:rPr>
          <w:rFonts w:ascii="Times New Roman" w:hAnsi="Times New Roman" w:cs="Times New Roman"/>
          <w:sz w:val="24"/>
          <w:szCs w:val="24"/>
        </w:rPr>
        <w:t xml:space="preserve">against small and medium </w:t>
      </w:r>
      <w:r w:rsidR="002C140A" w:rsidRPr="000C4364">
        <w:rPr>
          <w:rFonts w:ascii="Times New Roman" w:hAnsi="Times New Roman" w:cs="Times New Roman"/>
          <w:sz w:val="24"/>
          <w:szCs w:val="24"/>
        </w:rPr>
        <w:t xml:space="preserve">sized </w:t>
      </w:r>
      <w:r w:rsidR="00AF2556" w:rsidRPr="000C4364">
        <w:rPr>
          <w:rFonts w:ascii="Times New Roman" w:hAnsi="Times New Roman" w:cs="Times New Roman"/>
          <w:sz w:val="24"/>
          <w:szCs w:val="24"/>
        </w:rPr>
        <w:t xml:space="preserve">enterprises (SMEs) who </w:t>
      </w:r>
      <w:r w:rsidR="00F8202C" w:rsidRPr="000C4364">
        <w:rPr>
          <w:rFonts w:ascii="Times New Roman" w:hAnsi="Times New Roman" w:cs="Times New Roman"/>
          <w:sz w:val="24"/>
          <w:szCs w:val="24"/>
        </w:rPr>
        <w:t>subsequently</w:t>
      </w:r>
      <w:r w:rsidR="007938E7" w:rsidRPr="000C4364">
        <w:rPr>
          <w:rFonts w:ascii="Times New Roman" w:hAnsi="Times New Roman" w:cs="Times New Roman"/>
          <w:sz w:val="24"/>
          <w:szCs w:val="24"/>
        </w:rPr>
        <w:t xml:space="preserve"> </w:t>
      </w:r>
      <w:r w:rsidR="00AF2556" w:rsidRPr="000C4364">
        <w:rPr>
          <w:rFonts w:ascii="Times New Roman" w:hAnsi="Times New Roman" w:cs="Times New Roman"/>
          <w:sz w:val="24"/>
          <w:szCs w:val="24"/>
        </w:rPr>
        <w:t>pay higher interest rates despite having high</w:t>
      </w:r>
      <w:r w:rsidR="007938E7" w:rsidRPr="000C4364">
        <w:rPr>
          <w:rFonts w:ascii="Times New Roman" w:hAnsi="Times New Roman" w:cs="Times New Roman"/>
          <w:sz w:val="24"/>
          <w:szCs w:val="24"/>
        </w:rPr>
        <w:t>er</w:t>
      </w:r>
      <w:r w:rsidR="00AF2556" w:rsidRPr="000C4364">
        <w:rPr>
          <w:rFonts w:ascii="Times New Roman" w:hAnsi="Times New Roman" w:cs="Times New Roman"/>
          <w:sz w:val="24"/>
          <w:szCs w:val="24"/>
        </w:rPr>
        <w:t xml:space="preserve"> capital productivity (</w:t>
      </w:r>
      <w:proofErr w:type="spellStart"/>
      <w:r w:rsidR="00AF2556" w:rsidRPr="000C4364">
        <w:rPr>
          <w:rFonts w:ascii="Times New Roman" w:hAnsi="Times New Roman" w:cs="Times New Roman"/>
          <w:sz w:val="24"/>
          <w:szCs w:val="24"/>
        </w:rPr>
        <w:t>Pissarides</w:t>
      </w:r>
      <w:proofErr w:type="spellEnd"/>
      <w:r w:rsidR="00AF2556" w:rsidRPr="000C4364">
        <w:rPr>
          <w:rFonts w:ascii="Times New Roman" w:hAnsi="Times New Roman" w:cs="Times New Roman"/>
          <w:sz w:val="24"/>
          <w:szCs w:val="24"/>
        </w:rPr>
        <w:t xml:space="preserve">, 1999; Beck and </w:t>
      </w:r>
      <w:proofErr w:type="spellStart"/>
      <w:r w:rsidR="00AF2556" w:rsidRPr="000C4364">
        <w:rPr>
          <w:rFonts w:ascii="Times New Roman" w:hAnsi="Times New Roman" w:cs="Times New Roman"/>
          <w:sz w:val="24"/>
          <w:szCs w:val="24"/>
        </w:rPr>
        <w:t>Demirguc-Kunt</w:t>
      </w:r>
      <w:proofErr w:type="spellEnd"/>
      <w:r w:rsidR="00AF2556" w:rsidRPr="000C4364">
        <w:rPr>
          <w:rFonts w:ascii="Times New Roman" w:hAnsi="Times New Roman" w:cs="Times New Roman"/>
          <w:sz w:val="24"/>
          <w:szCs w:val="24"/>
        </w:rPr>
        <w:t xml:space="preserve">, 2006; de la Torre </w:t>
      </w:r>
      <w:r w:rsidR="00CF5E5E" w:rsidRPr="000C4364">
        <w:rPr>
          <w:rFonts w:ascii="Times New Roman" w:hAnsi="Times New Roman" w:cs="Times New Roman"/>
          <w:i/>
          <w:sz w:val="24"/>
          <w:szCs w:val="24"/>
        </w:rPr>
        <w:t>et al</w:t>
      </w:r>
      <w:r w:rsidR="00AF2556" w:rsidRPr="000C4364">
        <w:rPr>
          <w:rFonts w:ascii="Times New Roman" w:hAnsi="Times New Roman" w:cs="Times New Roman"/>
          <w:i/>
          <w:sz w:val="24"/>
          <w:szCs w:val="24"/>
        </w:rPr>
        <w:t>.</w:t>
      </w:r>
      <w:r w:rsidR="00AF2556" w:rsidRPr="000C4364">
        <w:rPr>
          <w:rFonts w:ascii="Times New Roman" w:hAnsi="Times New Roman" w:cs="Times New Roman"/>
          <w:sz w:val="24"/>
          <w:szCs w:val="24"/>
        </w:rPr>
        <w:t xml:space="preserve">, 2010; </w:t>
      </w:r>
      <w:proofErr w:type="spellStart"/>
      <w:r w:rsidR="00AF2556" w:rsidRPr="000C4364">
        <w:rPr>
          <w:rFonts w:ascii="Times New Roman" w:hAnsi="Times New Roman" w:cs="Times New Roman"/>
          <w:sz w:val="24"/>
          <w:szCs w:val="24"/>
        </w:rPr>
        <w:t>Claessens</w:t>
      </w:r>
      <w:proofErr w:type="spellEnd"/>
      <w:r w:rsidR="00AF2556" w:rsidRPr="000C4364">
        <w:rPr>
          <w:rFonts w:ascii="Times New Roman" w:hAnsi="Times New Roman" w:cs="Times New Roman"/>
          <w:sz w:val="24"/>
          <w:szCs w:val="24"/>
        </w:rPr>
        <w:t xml:space="preserve"> and </w:t>
      </w:r>
      <w:proofErr w:type="spellStart"/>
      <w:r w:rsidR="00AF2556" w:rsidRPr="000C4364">
        <w:rPr>
          <w:rFonts w:ascii="Times New Roman" w:hAnsi="Times New Roman" w:cs="Times New Roman"/>
          <w:sz w:val="24"/>
          <w:szCs w:val="24"/>
        </w:rPr>
        <w:t>Perotti</w:t>
      </w:r>
      <w:proofErr w:type="spellEnd"/>
      <w:r w:rsidR="00AF2556" w:rsidRPr="000C4364">
        <w:rPr>
          <w:rFonts w:ascii="Times New Roman" w:hAnsi="Times New Roman" w:cs="Times New Roman"/>
          <w:sz w:val="24"/>
          <w:szCs w:val="24"/>
        </w:rPr>
        <w:t xml:space="preserve">, 2007).  </w:t>
      </w:r>
    </w:p>
    <w:p w:rsidR="00F234F9" w:rsidRPr="000C4364" w:rsidRDefault="00F8202C" w:rsidP="000C4364">
      <w:pPr>
        <w:spacing w:after="0" w:line="480" w:lineRule="auto"/>
        <w:ind w:firstLine="720"/>
        <w:jc w:val="both"/>
        <w:rPr>
          <w:rFonts w:ascii="Times New Roman" w:hAnsi="Times New Roman" w:cs="Times New Roman"/>
          <w:color w:val="000000" w:themeColor="text1"/>
          <w:sz w:val="24"/>
          <w:szCs w:val="24"/>
        </w:rPr>
      </w:pPr>
      <w:r w:rsidRPr="000C4364">
        <w:rPr>
          <w:rFonts w:ascii="Times New Roman" w:hAnsi="Times New Roman" w:cs="Times New Roman"/>
          <w:sz w:val="24"/>
          <w:szCs w:val="24"/>
        </w:rPr>
        <w:t>Conventional</w:t>
      </w:r>
      <w:r w:rsidRPr="000C4364" w:rsidDel="00F8202C">
        <w:rPr>
          <w:rFonts w:ascii="Times New Roman" w:hAnsi="Times New Roman" w:cs="Times New Roman"/>
          <w:sz w:val="24"/>
          <w:szCs w:val="24"/>
        </w:rPr>
        <w:t xml:space="preserve"> </w:t>
      </w:r>
      <w:r w:rsidR="00AF2556" w:rsidRPr="000C4364">
        <w:rPr>
          <w:rFonts w:ascii="Times New Roman" w:hAnsi="Times New Roman" w:cs="Times New Roman"/>
          <w:sz w:val="24"/>
          <w:szCs w:val="24"/>
        </w:rPr>
        <w:t xml:space="preserve">explanations of this apparent inefficiency emphasise market and information imperfections as </w:t>
      </w:r>
      <w:r w:rsidR="000B6D11" w:rsidRPr="000C4364">
        <w:rPr>
          <w:rFonts w:ascii="Times New Roman" w:hAnsi="Times New Roman" w:cs="Times New Roman"/>
          <w:sz w:val="24"/>
          <w:szCs w:val="24"/>
        </w:rPr>
        <w:t>major</w:t>
      </w:r>
      <w:r w:rsidR="000B6D11" w:rsidRPr="000C4364" w:rsidDel="000B6D11">
        <w:rPr>
          <w:rFonts w:ascii="Times New Roman" w:hAnsi="Times New Roman" w:cs="Times New Roman"/>
          <w:sz w:val="24"/>
          <w:szCs w:val="24"/>
        </w:rPr>
        <w:t xml:space="preserve"> </w:t>
      </w:r>
      <w:r w:rsidR="00AF2556" w:rsidRPr="000C4364">
        <w:rPr>
          <w:rFonts w:ascii="Times New Roman" w:hAnsi="Times New Roman" w:cs="Times New Roman"/>
          <w:sz w:val="24"/>
          <w:szCs w:val="24"/>
        </w:rPr>
        <w:t>cause</w:t>
      </w:r>
      <w:r w:rsidR="002C140A" w:rsidRPr="000C4364">
        <w:rPr>
          <w:rFonts w:ascii="Times New Roman" w:hAnsi="Times New Roman" w:cs="Times New Roman"/>
          <w:sz w:val="24"/>
          <w:szCs w:val="24"/>
        </w:rPr>
        <w:t>s</w:t>
      </w:r>
      <w:r w:rsidR="00AF2556" w:rsidRPr="000C4364">
        <w:rPr>
          <w:rFonts w:ascii="Times New Roman" w:hAnsi="Times New Roman" w:cs="Times New Roman"/>
          <w:sz w:val="24"/>
          <w:szCs w:val="24"/>
        </w:rPr>
        <w:t xml:space="preserve"> of misallocation</w:t>
      </w:r>
      <w:r w:rsidR="00147223" w:rsidRPr="000C4364">
        <w:rPr>
          <w:rFonts w:ascii="Times New Roman" w:hAnsi="Times New Roman" w:cs="Times New Roman"/>
          <w:sz w:val="24"/>
          <w:szCs w:val="24"/>
        </w:rPr>
        <w:t xml:space="preserve"> (Mina </w:t>
      </w:r>
      <w:r w:rsidR="00CF5E5E" w:rsidRPr="000C4364">
        <w:rPr>
          <w:rFonts w:ascii="Times New Roman" w:hAnsi="Times New Roman" w:cs="Times New Roman"/>
          <w:i/>
          <w:sz w:val="24"/>
          <w:szCs w:val="24"/>
        </w:rPr>
        <w:t>et al</w:t>
      </w:r>
      <w:r w:rsidR="00147223" w:rsidRPr="000C4364">
        <w:rPr>
          <w:rFonts w:ascii="Times New Roman" w:hAnsi="Times New Roman" w:cs="Times New Roman"/>
          <w:i/>
          <w:sz w:val="24"/>
          <w:szCs w:val="24"/>
        </w:rPr>
        <w:t>.</w:t>
      </w:r>
      <w:r w:rsidR="00147223" w:rsidRPr="000C4364">
        <w:rPr>
          <w:rFonts w:ascii="Times New Roman" w:hAnsi="Times New Roman" w:cs="Times New Roman"/>
          <w:sz w:val="24"/>
          <w:szCs w:val="24"/>
        </w:rPr>
        <w:t>, 2013)</w:t>
      </w:r>
      <w:r w:rsidR="00E259BA" w:rsidRPr="000C4364">
        <w:rPr>
          <w:rFonts w:ascii="Times New Roman" w:hAnsi="Times New Roman" w:cs="Times New Roman"/>
          <w:sz w:val="24"/>
          <w:szCs w:val="24"/>
        </w:rPr>
        <w:t>. M</w:t>
      </w:r>
      <w:r w:rsidR="00AF2556" w:rsidRPr="000C4364">
        <w:rPr>
          <w:rFonts w:ascii="Times New Roman" w:hAnsi="Times New Roman" w:cs="Times New Roman"/>
          <w:sz w:val="24"/>
          <w:szCs w:val="24"/>
        </w:rPr>
        <w:t xml:space="preserve">ore recent </w:t>
      </w:r>
      <w:r w:rsidR="000B6D11" w:rsidRPr="000C4364">
        <w:rPr>
          <w:rFonts w:ascii="Times New Roman" w:hAnsi="Times New Roman" w:cs="Times New Roman"/>
          <w:sz w:val="24"/>
          <w:szCs w:val="24"/>
        </w:rPr>
        <w:t>analyses</w:t>
      </w:r>
      <w:r w:rsidR="00AF2556" w:rsidRPr="000C4364">
        <w:rPr>
          <w:rFonts w:ascii="Times New Roman" w:hAnsi="Times New Roman" w:cs="Times New Roman"/>
          <w:sz w:val="24"/>
          <w:szCs w:val="24"/>
        </w:rPr>
        <w:t xml:space="preserve"> highlight the role of institutional and political factors</w:t>
      </w:r>
      <w:r w:rsidR="00E259BA" w:rsidRPr="000C4364">
        <w:rPr>
          <w:rFonts w:ascii="Times New Roman" w:hAnsi="Times New Roman" w:cs="Times New Roman"/>
          <w:sz w:val="24"/>
          <w:szCs w:val="24"/>
        </w:rPr>
        <w:t xml:space="preserve">; for instance, </w:t>
      </w:r>
      <w:proofErr w:type="spellStart"/>
      <w:r w:rsidR="00E259BA" w:rsidRPr="000C4364">
        <w:rPr>
          <w:rFonts w:ascii="Times New Roman" w:hAnsi="Times New Roman" w:cs="Times New Roman"/>
          <w:sz w:val="24"/>
          <w:szCs w:val="24"/>
        </w:rPr>
        <w:t>Dasgupta</w:t>
      </w:r>
      <w:proofErr w:type="spellEnd"/>
      <w:r w:rsidR="00E259BA" w:rsidRPr="000C4364">
        <w:rPr>
          <w:rFonts w:ascii="Times New Roman" w:hAnsi="Times New Roman" w:cs="Times New Roman"/>
          <w:sz w:val="24"/>
          <w:szCs w:val="24"/>
        </w:rPr>
        <w:t xml:space="preserve"> (2005) and Rose (2001) argue that w</w:t>
      </w:r>
      <w:r w:rsidR="00AF2556" w:rsidRPr="000C4364">
        <w:rPr>
          <w:rFonts w:ascii="Times New Roman" w:hAnsi="Times New Roman" w:cs="Times New Roman"/>
          <w:sz w:val="24"/>
          <w:szCs w:val="24"/>
        </w:rPr>
        <w:t>hen anonymous market relations are imperfect and</w:t>
      </w:r>
      <w:r w:rsidR="004022BF" w:rsidRPr="000C4364">
        <w:rPr>
          <w:rFonts w:ascii="Times New Roman" w:hAnsi="Times New Roman" w:cs="Times New Roman"/>
          <w:sz w:val="24"/>
          <w:szCs w:val="24"/>
        </w:rPr>
        <w:t xml:space="preserve"> bureaucratic institutions lack</w:t>
      </w:r>
      <w:r w:rsidR="00AF2556" w:rsidRPr="000C4364">
        <w:rPr>
          <w:rFonts w:ascii="Times New Roman" w:hAnsi="Times New Roman" w:cs="Times New Roman"/>
          <w:sz w:val="24"/>
          <w:szCs w:val="24"/>
        </w:rPr>
        <w:t xml:space="preserve"> </w:t>
      </w:r>
      <w:r w:rsidR="00605F89" w:rsidRPr="000C4364">
        <w:rPr>
          <w:rFonts w:ascii="Times New Roman" w:hAnsi="Times New Roman" w:cs="Times New Roman"/>
          <w:sz w:val="24"/>
          <w:szCs w:val="24"/>
        </w:rPr>
        <w:t xml:space="preserve">full </w:t>
      </w:r>
      <w:r w:rsidR="00AF2556" w:rsidRPr="000C4364">
        <w:rPr>
          <w:rFonts w:ascii="Times New Roman" w:hAnsi="Times New Roman" w:cs="Times New Roman"/>
          <w:sz w:val="24"/>
          <w:szCs w:val="24"/>
        </w:rPr>
        <w:t xml:space="preserve">credibility </w:t>
      </w:r>
      <w:r w:rsidR="004022BF" w:rsidRPr="000C4364">
        <w:rPr>
          <w:rFonts w:ascii="Times New Roman" w:hAnsi="Times New Roman" w:cs="Times New Roman"/>
          <w:sz w:val="24"/>
          <w:szCs w:val="24"/>
        </w:rPr>
        <w:t>the</w:t>
      </w:r>
      <w:r w:rsidR="00E259BA" w:rsidRPr="000C4364">
        <w:rPr>
          <w:rFonts w:ascii="Times New Roman" w:hAnsi="Times New Roman" w:cs="Times New Roman"/>
          <w:sz w:val="24"/>
          <w:szCs w:val="24"/>
        </w:rPr>
        <w:t>n</w:t>
      </w:r>
      <w:r w:rsidR="004022BF" w:rsidRPr="000C4364">
        <w:rPr>
          <w:rFonts w:ascii="Times New Roman" w:hAnsi="Times New Roman" w:cs="Times New Roman"/>
          <w:sz w:val="24"/>
          <w:szCs w:val="24"/>
        </w:rPr>
        <w:t xml:space="preserve"> </w:t>
      </w:r>
      <w:r w:rsidR="00AF2556" w:rsidRPr="000C4364">
        <w:rPr>
          <w:rFonts w:ascii="Times New Roman" w:hAnsi="Times New Roman" w:cs="Times New Roman"/>
          <w:sz w:val="24"/>
          <w:szCs w:val="24"/>
        </w:rPr>
        <w:t>rent-seeking behaviour</w:t>
      </w:r>
      <w:r w:rsidR="004022BF" w:rsidRPr="000C4364">
        <w:rPr>
          <w:rFonts w:ascii="Times New Roman" w:hAnsi="Times New Roman" w:cs="Times New Roman"/>
          <w:sz w:val="24"/>
          <w:szCs w:val="24"/>
        </w:rPr>
        <w:t>s become</w:t>
      </w:r>
      <w:r w:rsidR="00AF2556" w:rsidRPr="000C4364">
        <w:rPr>
          <w:rFonts w:ascii="Times New Roman" w:hAnsi="Times New Roman" w:cs="Times New Roman"/>
          <w:sz w:val="24"/>
          <w:szCs w:val="24"/>
        </w:rPr>
        <w:t xml:space="preserve"> prevalent </w:t>
      </w:r>
      <w:r w:rsidR="00417AAA" w:rsidRPr="000C4364">
        <w:rPr>
          <w:rFonts w:ascii="Times New Roman" w:hAnsi="Times New Roman" w:cs="Times New Roman"/>
          <w:sz w:val="24"/>
          <w:szCs w:val="24"/>
        </w:rPr>
        <w:t>and</w:t>
      </w:r>
      <w:r w:rsidR="00AF2556" w:rsidRPr="000C4364">
        <w:rPr>
          <w:rFonts w:ascii="Times New Roman" w:hAnsi="Times New Roman" w:cs="Times New Roman"/>
          <w:sz w:val="24"/>
          <w:szCs w:val="24"/>
        </w:rPr>
        <w:t xml:space="preserve"> extend well beyond the level of the political elite </w:t>
      </w:r>
      <w:r w:rsidR="00417AAA" w:rsidRPr="000C4364">
        <w:rPr>
          <w:rFonts w:ascii="Times New Roman" w:hAnsi="Times New Roman" w:cs="Times New Roman"/>
          <w:sz w:val="24"/>
          <w:szCs w:val="24"/>
        </w:rPr>
        <w:t xml:space="preserve">with </w:t>
      </w:r>
      <w:r w:rsidR="00AF2556" w:rsidRPr="000C4364">
        <w:rPr>
          <w:rFonts w:ascii="Times New Roman" w:hAnsi="Times New Roman" w:cs="Times New Roman"/>
          <w:sz w:val="24"/>
          <w:szCs w:val="24"/>
        </w:rPr>
        <w:t xml:space="preserve">ordinary agents </w:t>
      </w:r>
      <w:r w:rsidR="00A71075" w:rsidRPr="000C4364">
        <w:rPr>
          <w:rFonts w:ascii="Times New Roman" w:hAnsi="Times New Roman" w:cs="Times New Roman"/>
          <w:sz w:val="24"/>
          <w:szCs w:val="24"/>
        </w:rPr>
        <w:t xml:space="preserve">also </w:t>
      </w:r>
      <w:r w:rsidR="00AF2556" w:rsidRPr="000C4364">
        <w:rPr>
          <w:rFonts w:ascii="Times New Roman" w:hAnsi="Times New Roman" w:cs="Times New Roman"/>
          <w:sz w:val="24"/>
          <w:szCs w:val="24"/>
        </w:rPr>
        <w:t>try</w:t>
      </w:r>
      <w:r w:rsidR="00417AAA" w:rsidRPr="000C4364">
        <w:rPr>
          <w:rFonts w:ascii="Times New Roman" w:hAnsi="Times New Roman" w:cs="Times New Roman"/>
          <w:sz w:val="24"/>
          <w:szCs w:val="24"/>
        </w:rPr>
        <w:t>ing</w:t>
      </w:r>
      <w:r w:rsidR="00AF2556" w:rsidRPr="000C4364">
        <w:rPr>
          <w:rFonts w:ascii="Times New Roman" w:hAnsi="Times New Roman" w:cs="Times New Roman"/>
          <w:sz w:val="24"/>
          <w:szCs w:val="24"/>
        </w:rPr>
        <w:t xml:space="preserve"> to profit from a web of interpersonal relations. In less than </w:t>
      </w:r>
      <w:r w:rsidR="004022BF" w:rsidRPr="000C4364">
        <w:rPr>
          <w:rFonts w:ascii="Times New Roman" w:hAnsi="Times New Roman" w:cs="Times New Roman"/>
          <w:sz w:val="24"/>
          <w:szCs w:val="24"/>
        </w:rPr>
        <w:t>efficient</w:t>
      </w:r>
      <w:r w:rsidR="00AF2556" w:rsidRPr="000C4364">
        <w:rPr>
          <w:rFonts w:ascii="Times New Roman" w:hAnsi="Times New Roman" w:cs="Times New Roman"/>
          <w:sz w:val="24"/>
          <w:szCs w:val="24"/>
        </w:rPr>
        <w:t xml:space="preserve"> market conditions, a thick network of exclusive interpersonal relations </w:t>
      </w:r>
      <w:r w:rsidR="004022BF" w:rsidRPr="000C4364">
        <w:rPr>
          <w:rFonts w:ascii="Times New Roman" w:hAnsi="Times New Roman" w:cs="Times New Roman"/>
          <w:sz w:val="24"/>
          <w:szCs w:val="24"/>
        </w:rPr>
        <w:t>can</w:t>
      </w:r>
      <w:r w:rsidR="00AF2556" w:rsidRPr="000C4364">
        <w:rPr>
          <w:rFonts w:ascii="Times New Roman" w:hAnsi="Times New Roman" w:cs="Times New Roman"/>
          <w:sz w:val="24"/>
          <w:szCs w:val="24"/>
        </w:rPr>
        <w:t xml:space="preserve"> emerge to resolve allocative and redistributive </w:t>
      </w:r>
      <w:r w:rsidR="004022BF" w:rsidRPr="000C4364">
        <w:rPr>
          <w:rFonts w:ascii="Times New Roman" w:hAnsi="Times New Roman" w:cs="Times New Roman"/>
          <w:sz w:val="24"/>
          <w:szCs w:val="24"/>
        </w:rPr>
        <w:t>issues</w:t>
      </w:r>
      <w:r w:rsidR="00AF2556" w:rsidRPr="000C4364">
        <w:rPr>
          <w:rFonts w:ascii="Times New Roman" w:hAnsi="Times New Roman" w:cs="Times New Roman"/>
          <w:sz w:val="24"/>
          <w:szCs w:val="24"/>
        </w:rPr>
        <w:t>, including access to formal finance</w:t>
      </w:r>
      <w:r w:rsidR="00687A14" w:rsidRPr="000C4364">
        <w:rPr>
          <w:rFonts w:ascii="Times New Roman" w:hAnsi="Times New Roman" w:cs="Times New Roman"/>
          <w:sz w:val="24"/>
          <w:szCs w:val="24"/>
        </w:rPr>
        <w:t xml:space="preserve"> (</w:t>
      </w:r>
      <w:proofErr w:type="spellStart"/>
      <w:r w:rsidR="00F85F46" w:rsidRPr="000C4364">
        <w:rPr>
          <w:rFonts w:ascii="Times New Roman" w:hAnsi="Times New Roman" w:cs="Times New Roman"/>
          <w:sz w:val="24"/>
          <w:szCs w:val="24"/>
        </w:rPr>
        <w:t>Fedderke</w:t>
      </w:r>
      <w:proofErr w:type="spellEnd"/>
      <w:r w:rsidR="00F85F46"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00F85F46" w:rsidRPr="000C4364">
        <w:rPr>
          <w:rFonts w:ascii="Times New Roman" w:hAnsi="Times New Roman" w:cs="Times New Roman"/>
          <w:i/>
          <w:sz w:val="24"/>
          <w:szCs w:val="24"/>
        </w:rPr>
        <w:t>.</w:t>
      </w:r>
      <w:r w:rsidR="00F85F46" w:rsidRPr="000C4364">
        <w:rPr>
          <w:rFonts w:ascii="Times New Roman" w:hAnsi="Times New Roman" w:cs="Times New Roman"/>
          <w:sz w:val="24"/>
          <w:szCs w:val="24"/>
        </w:rPr>
        <w:t>, 1999</w:t>
      </w:r>
      <w:r w:rsidR="00687A14" w:rsidRPr="000C4364">
        <w:rPr>
          <w:rFonts w:ascii="Times New Roman" w:hAnsi="Times New Roman" w:cs="Times New Roman"/>
          <w:sz w:val="24"/>
          <w:szCs w:val="24"/>
        </w:rPr>
        <w:t>)</w:t>
      </w:r>
      <w:r w:rsidR="00AF2556" w:rsidRPr="000C4364">
        <w:rPr>
          <w:rFonts w:ascii="Times New Roman" w:hAnsi="Times New Roman" w:cs="Times New Roman"/>
          <w:sz w:val="24"/>
          <w:szCs w:val="24"/>
        </w:rPr>
        <w:t>.</w:t>
      </w:r>
      <w:r w:rsidR="005670FA" w:rsidRPr="000C4364">
        <w:rPr>
          <w:rFonts w:ascii="Times New Roman" w:hAnsi="Times New Roman" w:cs="Times New Roman"/>
          <w:sz w:val="24"/>
          <w:szCs w:val="24"/>
        </w:rPr>
        <w:t xml:space="preserve"> </w:t>
      </w:r>
      <w:r w:rsidR="00F234F9" w:rsidRPr="000C4364">
        <w:rPr>
          <w:rFonts w:ascii="Times New Roman" w:hAnsi="Times New Roman" w:cs="Times New Roman"/>
          <w:color w:val="000000" w:themeColor="text1"/>
          <w:sz w:val="24"/>
          <w:szCs w:val="24"/>
        </w:rPr>
        <w:t xml:space="preserve">A vital </w:t>
      </w:r>
      <w:r w:rsidR="002A01C7" w:rsidRPr="000C4364">
        <w:rPr>
          <w:rFonts w:ascii="Times New Roman" w:hAnsi="Times New Roman" w:cs="Times New Roman"/>
          <w:color w:val="000000" w:themeColor="text1"/>
          <w:sz w:val="24"/>
          <w:szCs w:val="24"/>
        </w:rPr>
        <w:t>implication of the institutionalist</w:t>
      </w:r>
      <w:r w:rsidR="00F234F9" w:rsidRPr="000C4364">
        <w:rPr>
          <w:rFonts w:ascii="Times New Roman" w:hAnsi="Times New Roman" w:cs="Times New Roman"/>
          <w:color w:val="000000" w:themeColor="text1"/>
          <w:sz w:val="24"/>
          <w:szCs w:val="24"/>
        </w:rPr>
        <w:t xml:space="preserve"> view is that political connectedness, which is interpersonal and exclusive in nature, lead</w:t>
      </w:r>
      <w:r w:rsidR="0034434B" w:rsidRPr="000C4364">
        <w:rPr>
          <w:rFonts w:ascii="Times New Roman" w:hAnsi="Times New Roman" w:cs="Times New Roman"/>
          <w:color w:val="000000" w:themeColor="text1"/>
          <w:sz w:val="24"/>
          <w:szCs w:val="24"/>
        </w:rPr>
        <w:t>s</w:t>
      </w:r>
      <w:r w:rsidR="00F234F9" w:rsidRPr="000C4364">
        <w:rPr>
          <w:rFonts w:ascii="Times New Roman" w:hAnsi="Times New Roman" w:cs="Times New Roman"/>
          <w:color w:val="000000" w:themeColor="text1"/>
          <w:sz w:val="24"/>
          <w:szCs w:val="24"/>
        </w:rPr>
        <w:t xml:space="preserve"> to inefficiencies in the distribution of formal finance</w:t>
      </w:r>
      <w:r w:rsidR="00CB42EE" w:rsidRPr="000C4364">
        <w:rPr>
          <w:rFonts w:ascii="Times New Roman" w:hAnsi="Times New Roman" w:cs="Times New Roman"/>
          <w:color w:val="000000" w:themeColor="text1"/>
          <w:sz w:val="24"/>
          <w:szCs w:val="24"/>
        </w:rPr>
        <w:t xml:space="preserve">. In other words, it </w:t>
      </w:r>
      <w:r w:rsidR="009B399A" w:rsidRPr="000C4364">
        <w:rPr>
          <w:rFonts w:ascii="Times New Roman" w:hAnsi="Times New Roman" w:cs="Times New Roman"/>
          <w:color w:val="000000" w:themeColor="text1"/>
          <w:sz w:val="24"/>
          <w:szCs w:val="24"/>
        </w:rPr>
        <w:t xml:space="preserve">partly </w:t>
      </w:r>
      <w:r w:rsidR="00CB42EE" w:rsidRPr="000C4364">
        <w:rPr>
          <w:rFonts w:ascii="Times New Roman" w:hAnsi="Times New Roman" w:cs="Times New Roman"/>
          <w:color w:val="000000" w:themeColor="text1"/>
          <w:sz w:val="24"/>
          <w:szCs w:val="24"/>
        </w:rPr>
        <w:lastRenderedPageBreak/>
        <w:t xml:space="preserve">explains </w:t>
      </w:r>
      <w:r w:rsidR="00F234F9" w:rsidRPr="000C4364">
        <w:rPr>
          <w:rFonts w:ascii="Times New Roman" w:hAnsi="Times New Roman" w:cs="Times New Roman"/>
          <w:color w:val="000000" w:themeColor="text1"/>
          <w:sz w:val="24"/>
          <w:szCs w:val="24"/>
        </w:rPr>
        <w:t>why a greater proportion of formal finance flow</w:t>
      </w:r>
      <w:r w:rsidR="00CF5E5E" w:rsidRPr="000C4364">
        <w:rPr>
          <w:rFonts w:ascii="Times New Roman" w:hAnsi="Times New Roman" w:cs="Times New Roman"/>
          <w:color w:val="000000" w:themeColor="text1"/>
          <w:sz w:val="24"/>
          <w:szCs w:val="24"/>
        </w:rPr>
        <w:t>s</w:t>
      </w:r>
      <w:r w:rsidR="00F234F9" w:rsidRPr="000C4364">
        <w:rPr>
          <w:rFonts w:ascii="Times New Roman" w:hAnsi="Times New Roman" w:cs="Times New Roman"/>
          <w:color w:val="000000" w:themeColor="text1"/>
          <w:sz w:val="24"/>
          <w:szCs w:val="24"/>
        </w:rPr>
        <w:t xml:space="preserve"> to large enterprises</w:t>
      </w:r>
      <w:r w:rsidR="004A3E37" w:rsidRPr="000C4364">
        <w:rPr>
          <w:rFonts w:ascii="Times New Roman" w:hAnsi="Times New Roman" w:cs="Times New Roman"/>
          <w:color w:val="000000" w:themeColor="text1"/>
          <w:sz w:val="24"/>
          <w:szCs w:val="24"/>
        </w:rPr>
        <w:t xml:space="preserve"> and</w:t>
      </w:r>
      <w:r w:rsidR="0034434B" w:rsidRPr="000C4364">
        <w:rPr>
          <w:rFonts w:ascii="Times New Roman" w:hAnsi="Times New Roman" w:cs="Times New Roman"/>
          <w:color w:val="000000" w:themeColor="text1"/>
          <w:sz w:val="24"/>
          <w:szCs w:val="24"/>
        </w:rPr>
        <w:t xml:space="preserve"> why</w:t>
      </w:r>
      <w:r w:rsidR="00F234F9" w:rsidRPr="000C4364">
        <w:rPr>
          <w:rFonts w:ascii="Times New Roman" w:hAnsi="Times New Roman" w:cs="Times New Roman"/>
          <w:color w:val="000000" w:themeColor="text1"/>
          <w:sz w:val="24"/>
          <w:szCs w:val="24"/>
          <w:shd w:val="clear" w:color="auto" w:fill="FFFFFF"/>
        </w:rPr>
        <w:t xml:space="preserve"> an already limited supply of formal finance to SMEs</w:t>
      </w:r>
      <w:r w:rsidR="004A3E37" w:rsidRPr="000C4364">
        <w:rPr>
          <w:rFonts w:ascii="Times New Roman" w:hAnsi="Times New Roman" w:cs="Times New Roman"/>
          <w:color w:val="000000" w:themeColor="text1"/>
          <w:sz w:val="24"/>
          <w:szCs w:val="24"/>
          <w:shd w:val="clear" w:color="auto" w:fill="FFFFFF"/>
        </w:rPr>
        <w:t xml:space="preserve"> may </w:t>
      </w:r>
      <w:r w:rsidR="005667CB" w:rsidRPr="000C4364">
        <w:rPr>
          <w:rFonts w:ascii="Times New Roman" w:hAnsi="Times New Roman" w:cs="Times New Roman"/>
          <w:color w:val="000000" w:themeColor="text1"/>
          <w:sz w:val="24"/>
          <w:szCs w:val="24"/>
          <w:shd w:val="clear" w:color="auto" w:fill="FFFFFF"/>
        </w:rPr>
        <w:t xml:space="preserve">also </w:t>
      </w:r>
      <w:r w:rsidR="004A3E37" w:rsidRPr="000C4364">
        <w:rPr>
          <w:rFonts w:ascii="Times New Roman" w:hAnsi="Times New Roman" w:cs="Times New Roman"/>
          <w:color w:val="000000" w:themeColor="text1"/>
          <w:sz w:val="24"/>
          <w:szCs w:val="24"/>
          <w:shd w:val="clear" w:color="auto" w:fill="FFFFFF"/>
        </w:rPr>
        <w:t>be unequally distributed</w:t>
      </w:r>
      <w:r w:rsidR="00F234F9" w:rsidRPr="000C4364">
        <w:rPr>
          <w:rFonts w:ascii="Times New Roman" w:hAnsi="Times New Roman" w:cs="Times New Roman"/>
          <w:color w:val="000000" w:themeColor="text1"/>
          <w:sz w:val="24"/>
          <w:szCs w:val="24"/>
          <w:shd w:val="clear" w:color="auto" w:fill="FFFFFF"/>
        </w:rPr>
        <w:t>.</w:t>
      </w:r>
    </w:p>
    <w:p w:rsidR="005670FA" w:rsidRPr="000C4364" w:rsidRDefault="005670FA"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The impact of political connections for gaining access to formal finance is well known for large enterprises (</w:t>
      </w:r>
      <w:proofErr w:type="spellStart"/>
      <w:r w:rsidRPr="000C4364">
        <w:rPr>
          <w:rFonts w:ascii="Times New Roman" w:hAnsi="Times New Roman" w:cs="Times New Roman"/>
          <w:sz w:val="24"/>
          <w:szCs w:val="24"/>
        </w:rPr>
        <w:t>Faccio</w:t>
      </w:r>
      <w:proofErr w:type="spellEnd"/>
      <w:r w:rsidRPr="000C4364">
        <w:rPr>
          <w:rFonts w:ascii="Times New Roman" w:hAnsi="Times New Roman" w:cs="Times New Roman"/>
          <w:sz w:val="24"/>
          <w:szCs w:val="24"/>
        </w:rPr>
        <w:t xml:space="preserve">, 2006; </w:t>
      </w:r>
      <w:proofErr w:type="spellStart"/>
      <w:r w:rsidRPr="000C4364">
        <w:rPr>
          <w:rFonts w:ascii="Times New Roman" w:hAnsi="Times New Roman" w:cs="Times New Roman"/>
          <w:sz w:val="24"/>
          <w:szCs w:val="24"/>
        </w:rPr>
        <w:t>Faccio</w:t>
      </w:r>
      <w:proofErr w:type="spellEnd"/>
      <w:r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Pr="000C4364">
        <w:rPr>
          <w:rFonts w:ascii="Times New Roman" w:hAnsi="Times New Roman" w:cs="Times New Roman"/>
          <w:i/>
          <w:sz w:val="24"/>
          <w:szCs w:val="24"/>
        </w:rPr>
        <w:t>.</w:t>
      </w:r>
      <w:r w:rsidRPr="000C4364">
        <w:rPr>
          <w:rFonts w:ascii="Times New Roman" w:hAnsi="Times New Roman" w:cs="Times New Roman"/>
          <w:sz w:val="24"/>
          <w:szCs w:val="24"/>
        </w:rPr>
        <w:t xml:space="preserve">, 2006; </w:t>
      </w:r>
      <w:proofErr w:type="spellStart"/>
      <w:r w:rsidRPr="000C4364">
        <w:rPr>
          <w:rFonts w:ascii="Times New Roman" w:hAnsi="Times New Roman" w:cs="Times New Roman"/>
          <w:sz w:val="24"/>
          <w:szCs w:val="24"/>
        </w:rPr>
        <w:t>Shurchkov</w:t>
      </w:r>
      <w:proofErr w:type="spellEnd"/>
      <w:r w:rsidRPr="000C4364">
        <w:rPr>
          <w:rFonts w:ascii="Times New Roman" w:hAnsi="Times New Roman" w:cs="Times New Roman"/>
          <w:sz w:val="24"/>
          <w:szCs w:val="24"/>
        </w:rPr>
        <w:t xml:space="preserve">, 2012, </w:t>
      </w:r>
      <w:proofErr w:type="spellStart"/>
      <w:r w:rsidRPr="000C4364">
        <w:rPr>
          <w:rFonts w:ascii="Times New Roman" w:hAnsi="Times New Roman" w:cs="Times New Roman"/>
          <w:sz w:val="24"/>
          <w:szCs w:val="24"/>
        </w:rPr>
        <w:t>Boubakri</w:t>
      </w:r>
      <w:proofErr w:type="spellEnd"/>
      <w:r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Pr="000C4364">
        <w:rPr>
          <w:rFonts w:ascii="Times New Roman" w:hAnsi="Times New Roman" w:cs="Times New Roman"/>
          <w:i/>
          <w:sz w:val="24"/>
          <w:szCs w:val="24"/>
        </w:rPr>
        <w:t>.</w:t>
      </w:r>
      <w:r w:rsidRPr="000C4364">
        <w:rPr>
          <w:rFonts w:ascii="Times New Roman" w:hAnsi="Times New Roman" w:cs="Times New Roman"/>
          <w:sz w:val="24"/>
          <w:szCs w:val="24"/>
        </w:rPr>
        <w:t xml:space="preserve">, 2012, 2013; </w:t>
      </w:r>
      <w:r w:rsidR="007F519E" w:rsidRPr="000C4364">
        <w:rPr>
          <w:rFonts w:ascii="Times New Roman" w:hAnsi="Times New Roman" w:cs="Times New Roman"/>
          <w:sz w:val="24"/>
          <w:szCs w:val="24"/>
        </w:rPr>
        <w:t>Saeed et al.,</w:t>
      </w:r>
      <w:r w:rsidR="007F519E" w:rsidRPr="000C4364">
        <w:rPr>
          <w:rStyle w:val="contribdegrees"/>
          <w:rFonts w:ascii="Times New Roman" w:hAnsi="Times New Roman" w:cs="Times New Roman"/>
          <w:color w:val="333333"/>
          <w:sz w:val="24"/>
          <w:szCs w:val="24"/>
        </w:rPr>
        <w:t xml:space="preserve"> </w:t>
      </w:r>
      <w:r w:rsidR="007F519E" w:rsidRPr="000C4364">
        <w:rPr>
          <w:rFonts w:ascii="Times New Roman" w:hAnsi="Times New Roman" w:cs="Times New Roman"/>
          <w:sz w:val="24"/>
          <w:szCs w:val="24"/>
        </w:rPr>
        <w:t xml:space="preserve">2014, </w:t>
      </w:r>
      <w:r w:rsidRPr="000C4364">
        <w:rPr>
          <w:rFonts w:ascii="Times New Roman" w:hAnsi="Times New Roman" w:cs="Times New Roman"/>
          <w:sz w:val="24"/>
          <w:szCs w:val="24"/>
        </w:rPr>
        <w:t xml:space="preserve">Cull </w:t>
      </w:r>
      <w:r w:rsidR="00CF5E5E" w:rsidRPr="000C4364">
        <w:rPr>
          <w:rFonts w:ascii="Times New Roman" w:hAnsi="Times New Roman" w:cs="Times New Roman"/>
          <w:i/>
          <w:sz w:val="24"/>
          <w:szCs w:val="24"/>
        </w:rPr>
        <w:t>et al</w:t>
      </w:r>
      <w:r w:rsidRPr="000C4364">
        <w:rPr>
          <w:rFonts w:ascii="Times New Roman" w:hAnsi="Times New Roman" w:cs="Times New Roman"/>
          <w:sz w:val="24"/>
          <w:szCs w:val="24"/>
        </w:rPr>
        <w:t>., 2015) but there is only limited evidence for SMEs even though they make up the majority of firms. To the knowledge of the authors, this is the first study to assess whether interpersonal connections with government officials (among other potential factors) improve SMEs’ access to formal finance across po</w:t>
      </w:r>
      <w:r w:rsidR="00A92F2B" w:rsidRPr="000C4364">
        <w:rPr>
          <w:rFonts w:ascii="Times New Roman" w:hAnsi="Times New Roman" w:cs="Times New Roman"/>
          <w:sz w:val="24"/>
          <w:szCs w:val="24"/>
        </w:rPr>
        <w:t>st-communist economies (PCEs)</w:t>
      </w:r>
      <w:r w:rsidRPr="000C4364">
        <w:rPr>
          <w:rFonts w:ascii="Times New Roman" w:hAnsi="Times New Roman" w:cs="Times New Roman"/>
          <w:sz w:val="24"/>
          <w:szCs w:val="24"/>
        </w:rPr>
        <w:t>.</w:t>
      </w:r>
    </w:p>
    <w:p w:rsidR="00E259BA" w:rsidRPr="000C4364" w:rsidRDefault="002964F1"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 xml:space="preserve">We </w:t>
      </w:r>
      <w:r w:rsidR="004F5EFF" w:rsidRPr="000C4364">
        <w:rPr>
          <w:rFonts w:ascii="Times New Roman" w:hAnsi="Times New Roman" w:cs="Times New Roman"/>
          <w:sz w:val="24"/>
          <w:szCs w:val="24"/>
        </w:rPr>
        <w:t>source</w:t>
      </w:r>
      <w:r w:rsidRPr="000C4364">
        <w:rPr>
          <w:rFonts w:ascii="Times New Roman" w:hAnsi="Times New Roman" w:cs="Times New Roman"/>
          <w:sz w:val="24"/>
          <w:szCs w:val="24"/>
        </w:rPr>
        <w:t xml:space="preserve"> </w:t>
      </w:r>
      <w:r w:rsidR="00AF2556" w:rsidRPr="000C4364">
        <w:rPr>
          <w:rFonts w:ascii="Times New Roman" w:hAnsi="Times New Roman" w:cs="Times New Roman"/>
          <w:sz w:val="24"/>
          <w:szCs w:val="24"/>
        </w:rPr>
        <w:t xml:space="preserve">data </w:t>
      </w:r>
      <w:r w:rsidR="004F5EFF" w:rsidRPr="000C4364">
        <w:rPr>
          <w:rFonts w:ascii="Times New Roman" w:hAnsi="Times New Roman" w:cs="Times New Roman"/>
          <w:sz w:val="24"/>
          <w:szCs w:val="24"/>
        </w:rPr>
        <w:t xml:space="preserve">from the </w:t>
      </w:r>
      <w:r w:rsidR="00AF2556" w:rsidRPr="000C4364">
        <w:rPr>
          <w:rFonts w:ascii="Times New Roman" w:hAnsi="Times New Roman" w:cs="Times New Roman"/>
          <w:sz w:val="24"/>
          <w:szCs w:val="24"/>
        </w:rPr>
        <w:t xml:space="preserve">Business Environment and Enterprise Performance Survey (BEEPS) dataset </w:t>
      </w:r>
      <w:r w:rsidRPr="000C4364">
        <w:rPr>
          <w:rFonts w:ascii="Times New Roman" w:hAnsi="Times New Roman" w:cs="Times New Roman"/>
          <w:sz w:val="24"/>
          <w:szCs w:val="24"/>
        </w:rPr>
        <w:t xml:space="preserve">supplied by </w:t>
      </w:r>
      <w:r w:rsidR="00AF2556" w:rsidRPr="000C4364">
        <w:rPr>
          <w:rFonts w:ascii="Times New Roman" w:hAnsi="Times New Roman" w:cs="Times New Roman"/>
          <w:sz w:val="24"/>
          <w:szCs w:val="24"/>
        </w:rPr>
        <w:t>the European Bank for Reconstruction and Development (EBRD, 2016)</w:t>
      </w:r>
      <w:r w:rsidR="004F5EFF" w:rsidRPr="000C4364">
        <w:rPr>
          <w:rFonts w:ascii="Times New Roman" w:hAnsi="Times New Roman" w:cs="Times New Roman"/>
          <w:sz w:val="24"/>
          <w:szCs w:val="24"/>
        </w:rPr>
        <w:t>. BEEPS</w:t>
      </w:r>
      <w:r w:rsidR="006C6773" w:rsidRPr="000C4364">
        <w:rPr>
          <w:rFonts w:ascii="Times New Roman" w:hAnsi="Times New Roman" w:cs="Times New Roman"/>
          <w:sz w:val="24"/>
          <w:szCs w:val="24"/>
        </w:rPr>
        <w:t xml:space="preserve"> includes </w:t>
      </w:r>
      <w:r w:rsidRPr="000C4364">
        <w:rPr>
          <w:rFonts w:ascii="Times New Roman" w:hAnsi="Times New Roman" w:cs="Times New Roman"/>
          <w:sz w:val="24"/>
          <w:szCs w:val="24"/>
        </w:rPr>
        <w:t xml:space="preserve">information on </w:t>
      </w:r>
      <w:r w:rsidR="006C6773" w:rsidRPr="000C4364">
        <w:rPr>
          <w:rFonts w:ascii="Times New Roman" w:hAnsi="Times New Roman" w:cs="Times New Roman"/>
          <w:sz w:val="24"/>
          <w:szCs w:val="24"/>
        </w:rPr>
        <w:t xml:space="preserve">over 14,000 SMEs </w:t>
      </w:r>
      <w:r w:rsidRPr="000C4364">
        <w:rPr>
          <w:rFonts w:ascii="Times New Roman" w:hAnsi="Times New Roman" w:cs="Times New Roman"/>
          <w:sz w:val="24"/>
          <w:szCs w:val="24"/>
        </w:rPr>
        <w:t xml:space="preserve">across </w:t>
      </w:r>
      <w:r w:rsidR="006C6773" w:rsidRPr="000C4364">
        <w:rPr>
          <w:rFonts w:ascii="Times New Roman" w:hAnsi="Times New Roman" w:cs="Times New Roman"/>
          <w:sz w:val="24"/>
          <w:szCs w:val="24"/>
        </w:rPr>
        <w:t xml:space="preserve">28 PCEs </w:t>
      </w:r>
      <w:r w:rsidRPr="000C4364">
        <w:rPr>
          <w:rFonts w:ascii="Times New Roman" w:hAnsi="Times New Roman" w:cs="Times New Roman"/>
          <w:sz w:val="24"/>
          <w:szCs w:val="24"/>
        </w:rPr>
        <w:t xml:space="preserve">from </w:t>
      </w:r>
      <w:r w:rsidR="006C6773" w:rsidRPr="000C4364">
        <w:rPr>
          <w:rFonts w:ascii="Times New Roman" w:hAnsi="Times New Roman" w:cs="Times New Roman"/>
          <w:sz w:val="24"/>
          <w:szCs w:val="24"/>
        </w:rPr>
        <w:t>the FSU and EE</w:t>
      </w:r>
      <w:r w:rsidR="004F5EFF"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employs a </w:t>
      </w:r>
      <w:r w:rsidR="00062976" w:rsidRPr="000C4364">
        <w:rPr>
          <w:rFonts w:ascii="Times New Roman" w:hAnsi="Times New Roman" w:cs="Times New Roman"/>
          <w:sz w:val="24"/>
          <w:szCs w:val="24"/>
        </w:rPr>
        <w:t xml:space="preserve">standard questionnaire across </w:t>
      </w:r>
      <w:r w:rsidRPr="000C4364">
        <w:rPr>
          <w:rFonts w:ascii="Times New Roman" w:hAnsi="Times New Roman" w:cs="Times New Roman"/>
          <w:sz w:val="24"/>
          <w:szCs w:val="24"/>
        </w:rPr>
        <w:t xml:space="preserve">all </w:t>
      </w:r>
      <w:r w:rsidR="00D50DB4" w:rsidRPr="000C4364">
        <w:rPr>
          <w:rFonts w:ascii="Times New Roman" w:hAnsi="Times New Roman" w:cs="Times New Roman"/>
          <w:sz w:val="24"/>
          <w:szCs w:val="24"/>
        </w:rPr>
        <w:t>countries</w:t>
      </w:r>
      <w:r w:rsidR="0039271D" w:rsidRPr="000C4364">
        <w:rPr>
          <w:rFonts w:ascii="Times New Roman" w:hAnsi="Times New Roman" w:cs="Times New Roman"/>
          <w:sz w:val="24"/>
          <w:szCs w:val="24"/>
        </w:rPr>
        <w:t xml:space="preserve"> and </w:t>
      </w:r>
      <w:r w:rsidRPr="000C4364">
        <w:rPr>
          <w:rFonts w:ascii="Times New Roman" w:hAnsi="Times New Roman" w:cs="Times New Roman"/>
          <w:sz w:val="24"/>
          <w:szCs w:val="24"/>
        </w:rPr>
        <w:t xml:space="preserve">includes </w:t>
      </w:r>
      <w:r w:rsidR="00062976" w:rsidRPr="000C4364">
        <w:rPr>
          <w:rFonts w:ascii="Times New Roman" w:hAnsi="Times New Roman" w:cs="Times New Roman"/>
          <w:sz w:val="24"/>
          <w:szCs w:val="24"/>
        </w:rPr>
        <w:t xml:space="preserve">a dedicated section focussing on business-government relations which </w:t>
      </w:r>
      <w:r w:rsidRPr="000C4364">
        <w:rPr>
          <w:rFonts w:ascii="Times New Roman" w:hAnsi="Times New Roman" w:cs="Times New Roman"/>
          <w:sz w:val="24"/>
          <w:szCs w:val="24"/>
        </w:rPr>
        <w:t xml:space="preserve">allows for the construction of </w:t>
      </w:r>
      <w:r w:rsidR="00062976" w:rsidRPr="000C4364">
        <w:rPr>
          <w:rFonts w:ascii="Times New Roman" w:hAnsi="Times New Roman" w:cs="Times New Roman"/>
          <w:sz w:val="24"/>
          <w:szCs w:val="24"/>
        </w:rPr>
        <w:t xml:space="preserve">several proxy variables </w:t>
      </w:r>
      <w:r w:rsidR="00CF5E5E" w:rsidRPr="000C4364">
        <w:rPr>
          <w:rFonts w:ascii="Times New Roman" w:hAnsi="Times New Roman" w:cs="Times New Roman"/>
          <w:sz w:val="24"/>
          <w:szCs w:val="24"/>
        </w:rPr>
        <w:t xml:space="preserve">reflecting </w:t>
      </w:r>
      <w:r w:rsidR="00062976" w:rsidRPr="000C4364">
        <w:rPr>
          <w:rFonts w:ascii="Times New Roman" w:hAnsi="Times New Roman" w:cs="Times New Roman"/>
          <w:sz w:val="24"/>
          <w:szCs w:val="24"/>
        </w:rPr>
        <w:t>interpersonal co</w:t>
      </w:r>
      <w:r w:rsidR="0039271D" w:rsidRPr="000C4364">
        <w:rPr>
          <w:rFonts w:ascii="Times New Roman" w:hAnsi="Times New Roman" w:cs="Times New Roman"/>
          <w:sz w:val="24"/>
          <w:szCs w:val="24"/>
        </w:rPr>
        <w:t>nnectedness.</w:t>
      </w:r>
    </w:p>
    <w:p w:rsidR="00AF2556" w:rsidRPr="000C4364" w:rsidRDefault="00AF2556"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color w:val="000000" w:themeColor="text1"/>
          <w:sz w:val="24"/>
          <w:szCs w:val="24"/>
        </w:rPr>
        <w:t xml:space="preserve">The next section discusses relevant </w:t>
      </w:r>
      <w:r w:rsidR="004F27FB" w:rsidRPr="000C4364">
        <w:rPr>
          <w:rFonts w:ascii="Times New Roman" w:hAnsi="Times New Roman" w:cs="Times New Roman"/>
          <w:color w:val="000000" w:themeColor="text1"/>
          <w:sz w:val="24"/>
          <w:szCs w:val="24"/>
        </w:rPr>
        <w:t xml:space="preserve">studies </w:t>
      </w:r>
      <w:r w:rsidR="002964F1" w:rsidRPr="000C4364">
        <w:rPr>
          <w:rFonts w:ascii="Times New Roman" w:hAnsi="Times New Roman" w:cs="Times New Roman"/>
          <w:color w:val="000000" w:themeColor="text1"/>
          <w:sz w:val="24"/>
          <w:szCs w:val="24"/>
        </w:rPr>
        <w:t xml:space="preserve">and </w:t>
      </w:r>
      <w:r w:rsidR="00AE7D9D" w:rsidRPr="000C4364">
        <w:rPr>
          <w:rFonts w:ascii="Times New Roman" w:hAnsi="Times New Roman" w:cs="Times New Roman"/>
          <w:color w:val="000000" w:themeColor="text1"/>
          <w:sz w:val="24"/>
          <w:szCs w:val="24"/>
        </w:rPr>
        <w:t xml:space="preserve">highlights </w:t>
      </w:r>
      <w:r w:rsidR="00CF5E5E" w:rsidRPr="000C4364">
        <w:rPr>
          <w:rFonts w:ascii="Times New Roman" w:hAnsi="Times New Roman" w:cs="Times New Roman"/>
          <w:color w:val="000000" w:themeColor="text1"/>
          <w:sz w:val="24"/>
          <w:szCs w:val="24"/>
        </w:rPr>
        <w:t xml:space="preserve">a gap in the </w:t>
      </w:r>
      <w:r w:rsidR="00AE7D9D" w:rsidRPr="000C4364">
        <w:rPr>
          <w:rFonts w:ascii="Times New Roman" w:hAnsi="Times New Roman" w:cs="Times New Roman"/>
          <w:color w:val="000000" w:themeColor="text1"/>
          <w:sz w:val="24"/>
          <w:szCs w:val="24"/>
        </w:rPr>
        <w:t>literature</w:t>
      </w:r>
      <w:r w:rsidRPr="000C4364">
        <w:rPr>
          <w:rFonts w:ascii="Times New Roman" w:hAnsi="Times New Roman" w:cs="Times New Roman"/>
          <w:color w:val="000000" w:themeColor="text1"/>
          <w:sz w:val="24"/>
          <w:szCs w:val="24"/>
        </w:rPr>
        <w:t>.</w:t>
      </w:r>
      <w:r w:rsidRPr="000C4364">
        <w:rPr>
          <w:rFonts w:ascii="Times New Roman" w:hAnsi="Times New Roman" w:cs="Times New Roman"/>
          <w:sz w:val="24"/>
          <w:szCs w:val="24"/>
        </w:rPr>
        <w:t xml:space="preserve"> Section 3 provides contextual information about </w:t>
      </w:r>
      <w:r w:rsidRPr="000C4364">
        <w:rPr>
          <w:rFonts w:ascii="Times New Roman" w:hAnsi="Times New Roman" w:cs="Times New Roman"/>
          <w:color w:val="000000" w:themeColor="text1"/>
          <w:sz w:val="24"/>
          <w:szCs w:val="24"/>
        </w:rPr>
        <w:t>PCEs</w:t>
      </w:r>
      <w:r w:rsidR="008F22ED" w:rsidRPr="000C4364">
        <w:rPr>
          <w:rFonts w:ascii="Times New Roman" w:hAnsi="Times New Roman" w:cs="Times New Roman"/>
          <w:color w:val="000000" w:themeColor="text1"/>
          <w:sz w:val="24"/>
          <w:szCs w:val="24"/>
        </w:rPr>
        <w:t xml:space="preserve"> </w:t>
      </w:r>
      <w:r w:rsidR="00FF1001" w:rsidRPr="000C4364">
        <w:rPr>
          <w:rFonts w:ascii="Times New Roman" w:hAnsi="Times New Roman" w:cs="Times New Roman"/>
          <w:color w:val="000000" w:themeColor="text1"/>
          <w:sz w:val="24"/>
          <w:szCs w:val="24"/>
        </w:rPr>
        <w:t>and formulat</w:t>
      </w:r>
      <w:r w:rsidR="008F22ED" w:rsidRPr="000C4364">
        <w:rPr>
          <w:rFonts w:ascii="Times New Roman" w:hAnsi="Times New Roman" w:cs="Times New Roman"/>
          <w:color w:val="000000" w:themeColor="text1"/>
          <w:sz w:val="24"/>
          <w:szCs w:val="24"/>
        </w:rPr>
        <w:t>es</w:t>
      </w:r>
      <w:r w:rsidR="00FF1001" w:rsidRPr="000C4364">
        <w:rPr>
          <w:rFonts w:ascii="Times New Roman" w:hAnsi="Times New Roman" w:cs="Times New Roman"/>
          <w:color w:val="000000" w:themeColor="text1"/>
          <w:sz w:val="24"/>
          <w:szCs w:val="24"/>
        </w:rPr>
        <w:t xml:space="preserve"> our testable research question</w:t>
      </w:r>
      <w:r w:rsidRPr="000C4364">
        <w:rPr>
          <w:rFonts w:ascii="Times New Roman" w:hAnsi="Times New Roman" w:cs="Times New Roman"/>
          <w:color w:val="000000" w:themeColor="text1"/>
          <w:sz w:val="24"/>
          <w:szCs w:val="24"/>
        </w:rPr>
        <w:t>.</w:t>
      </w:r>
      <w:r w:rsidRPr="000C4364">
        <w:rPr>
          <w:rFonts w:ascii="Times New Roman" w:hAnsi="Times New Roman" w:cs="Times New Roman"/>
          <w:sz w:val="24"/>
          <w:szCs w:val="24"/>
        </w:rPr>
        <w:t xml:space="preserve"> Section 4 describes the data used </w:t>
      </w:r>
      <w:r w:rsidR="00CF5E5E" w:rsidRPr="000C4364">
        <w:rPr>
          <w:rFonts w:ascii="Times New Roman" w:hAnsi="Times New Roman" w:cs="Times New Roman"/>
          <w:sz w:val="24"/>
          <w:szCs w:val="24"/>
        </w:rPr>
        <w:t>here</w:t>
      </w:r>
      <w:r w:rsidR="001B5CB0" w:rsidRPr="000C4364">
        <w:rPr>
          <w:rFonts w:ascii="Times New Roman" w:hAnsi="Times New Roman" w:cs="Times New Roman"/>
          <w:sz w:val="24"/>
          <w:szCs w:val="24"/>
        </w:rPr>
        <w:t xml:space="preserve"> and</w:t>
      </w:r>
      <w:r w:rsidR="004F27FB"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presents stylised facts that emerge from </w:t>
      </w:r>
      <w:r w:rsidR="004F27FB" w:rsidRPr="000C4364">
        <w:rPr>
          <w:rFonts w:ascii="Times New Roman" w:hAnsi="Times New Roman" w:cs="Times New Roman"/>
          <w:sz w:val="24"/>
          <w:szCs w:val="24"/>
        </w:rPr>
        <w:t xml:space="preserve">an </w:t>
      </w:r>
      <w:r w:rsidR="00314DB4" w:rsidRPr="000C4364">
        <w:rPr>
          <w:rFonts w:ascii="Times New Roman" w:hAnsi="Times New Roman" w:cs="Times New Roman"/>
          <w:sz w:val="24"/>
          <w:szCs w:val="24"/>
        </w:rPr>
        <w:t xml:space="preserve">analysis of </w:t>
      </w:r>
      <w:r w:rsidRPr="000C4364">
        <w:rPr>
          <w:rFonts w:ascii="Times New Roman" w:hAnsi="Times New Roman" w:cs="Times New Roman"/>
          <w:sz w:val="24"/>
          <w:szCs w:val="24"/>
        </w:rPr>
        <w:t xml:space="preserve">the raw data. </w:t>
      </w:r>
      <w:r w:rsidR="004F27FB" w:rsidRPr="000C4364">
        <w:rPr>
          <w:rFonts w:ascii="Times New Roman" w:hAnsi="Times New Roman" w:cs="Times New Roman"/>
          <w:sz w:val="24"/>
          <w:szCs w:val="24"/>
        </w:rPr>
        <w:t>Section 5 presents t</w:t>
      </w:r>
      <w:r w:rsidRPr="000C4364">
        <w:rPr>
          <w:rFonts w:ascii="Times New Roman" w:hAnsi="Times New Roman" w:cs="Times New Roman"/>
          <w:sz w:val="24"/>
          <w:szCs w:val="24"/>
        </w:rPr>
        <w:t>he estimation results and main findings</w:t>
      </w:r>
      <w:r w:rsidR="00CF5E5E" w:rsidRPr="000C4364">
        <w:rPr>
          <w:rFonts w:ascii="Times New Roman" w:hAnsi="Times New Roman" w:cs="Times New Roman"/>
          <w:sz w:val="24"/>
          <w:szCs w:val="24"/>
        </w:rPr>
        <w:t xml:space="preserve"> while </w:t>
      </w:r>
      <w:r w:rsidR="001B5CB0" w:rsidRPr="000C4364">
        <w:rPr>
          <w:rFonts w:ascii="Times New Roman" w:hAnsi="Times New Roman" w:cs="Times New Roman"/>
          <w:sz w:val="24"/>
          <w:szCs w:val="24"/>
        </w:rPr>
        <w:t>S</w:t>
      </w:r>
      <w:r w:rsidRPr="000C4364">
        <w:rPr>
          <w:rFonts w:ascii="Times New Roman" w:hAnsi="Times New Roman" w:cs="Times New Roman"/>
          <w:sz w:val="24"/>
          <w:szCs w:val="24"/>
        </w:rPr>
        <w:t xml:space="preserve">ection 6 </w:t>
      </w:r>
      <w:r w:rsidR="004F27FB" w:rsidRPr="000C4364">
        <w:rPr>
          <w:rFonts w:ascii="Times New Roman" w:hAnsi="Times New Roman" w:cs="Times New Roman"/>
          <w:sz w:val="24"/>
          <w:szCs w:val="24"/>
        </w:rPr>
        <w:t xml:space="preserve">provides a </w:t>
      </w:r>
      <w:r w:rsidRPr="000C4364">
        <w:rPr>
          <w:rFonts w:ascii="Times New Roman" w:hAnsi="Times New Roman" w:cs="Times New Roman"/>
          <w:sz w:val="24"/>
          <w:szCs w:val="24"/>
        </w:rPr>
        <w:t xml:space="preserve">discussion of the findings </w:t>
      </w:r>
      <w:r w:rsidR="004F27FB" w:rsidRPr="000C4364">
        <w:rPr>
          <w:rFonts w:ascii="Times New Roman" w:hAnsi="Times New Roman" w:cs="Times New Roman"/>
          <w:sz w:val="24"/>
          <w:szCs w:val="24"/>
        </w:rPr>
        <w:t>and concludes</w:t>
      </w:r>
      <w:r w:rsidRPr="000C4364">
        <w:rPr>
          <w:rFonts w:ascii="Times New Roman" w:hAnsi="Times New Roman" w:cs="Times New Roman"/>
          <w:sz w:val="24"/>
          <w:szCs w:val="24"/>
        </w:rPr>
        <w:t>.</w:t>
      </w:r>
    </w:p>
    <w:p w:rsidR="00F30A79" w:rsidRPr="000C4364" w:rsidRDefault="00F30A79" w:rsidP="000C4364">
      <w:pPr>
        <w:spacing w:after="0" w:line="480" w:lineRule="auto"/>
        <w:rPr>
          <w:rFonts w:ascii="Times New Roman" w:hAnsi="Times New Roman" w:cs="Times New Roman"/>
          <w:b/>
          <w:sz w:val="24"/>
          <w:szCs w:val="24"/>
        </w:rPr>
      </w:pPr>
    </w:p>
    <w:p w:rsidR="00E01E82" w:rsidRPr="000C4364" w:rsidRDefault="00D40B00" w:rsidP="000C4364">
      <w:pPr>
        <w:spacing w:after="0" w:line="480" w:lineRule="auto"/>
        <w:rPr>
          <w:rFonts w:ascii="Times New Roman" w:hAnsi="Times New Roman" w:cs="Times New Roman"/>
          <w:b/>
          <w:sz w:val="24"/>
          <w:szCs w:val="24"/>
        </w:rPr>
      </w:pPr>
      <w:r w:rsidRPr="000C4364">
        <w:rPr>
          <w:rFonts w:ascii="Times New Roman" w:hAnsi="Times New Roman" w:cs="Times New Roman"/>
          <w:b/>
          <w:sz w:val="24"/>
          <w:szCs w:val="24"/>
        </w:rPr>
        <w:t xml:space="preserve">2. </w:t>
      </w:r>
      <w:r w:rsidR="002A0DF1" w:rsidRPr="000C4364">
        <w:rPr>
          <w:rFonts w:ascii="Times New Roman" w:hAnsi="Times New Roman" w:cs="Times New Roman"/>
          <w:b/>
          <w:sz w:val="24"/>
          <w:szCs w:val="24"/>
        </w:rPr>
        <w:t xml:space="preserve">SME </w:t>
      </w:r>
      <w:r w:rsidR="00055526" w:rsidRPr="000C4364">
        <w:rPr>
          <w:rFonts w:ascii="Times New Roman" w:hAnsi="Times New Roman" w:cs="Times New Roman"/>
          <w:b/>
          <w:sz w:val="24"/>
          <w:szCs w:val="24"/>
        </w:rPr>
        <w:t>a</w:t>
      </w:r>
      <w:r w:rsidR="002A0DF1" w:rsidRPr="000C4364">
        <w:rPr>
          <w:rFonts w:ascii="Times New Roman" w:hAnsi="Times New Roman" w:cs="Times New Roman"/>
          <w:b/>
          <w:sz w:val="24"/>
          <w:szCs w:val="24"/>
        </w:rPr>
        <w:t xml:space="preserve">ccess </w:t>
      </w:r>
      <w:r w:rsidR="002A0DF1" w:rsidRPr="000C4364">
        <w:rPr>
          <w:rFonts w:ascii="Times New Roman" w:hAnsi="Times New Roman" w:cs="Times New Roman"/>
          <w:b/>
          <w:color w:val="000000" w:themeColor="text1"/>
          <w:sz w:val="24"/>
          <w:szCs w:val="24"/>
        </w:rPr>
        <w:t xml:space="preserve">to </w:t>
      </w:r>
      <w:r w:rsidR="00055526" w:rsidRPr="000C4364">
        <w:rPr>
          <w:rFonts w:ascii="Times New Roman" w:hAnsi="Times New Roman" w:cs="Times New Roman"/>
          <w:b/>
          <w:color w:val="000000" w:themeColor="text1"/>
          <w:sz w:val="24"/>
          <w:szCs w:val="24"/>
        </w:rPr>
        <w:t>f</w:t>
      </w:r>
      <w:r w:rsidR="002A0DF1" w:rsidRPr="000C4364">
        <w:rPr>
          <w:rFonts w:ascii="Times New Roman" w:hAnsi="Times New Roman" w:cs="Times New Roman"/>
          <w:b/>
          <w:color w:val="000000" w:themeColor="text1"/>
          <w:sz w:val="24"/>
          <w:szCs w:val="24"/>
        </w:rPr>
        <w:t xml:space="preserve">ormal </w:t>
      </w:r>
      <w:r w:rsidR="00055526" w:rsidRPr="000C4364">
        <w:rPr>
          <w:rFonts w:ascii="Times New Roman" w:hAnsi="Times New Roman" w:cs="Times New Roman"/>
          <w:b/>
          <w:color w:val="000000" w:themeColor="text1"/>
          <w:sz w:val="24"/>
          <w:szCs w:val="24"/>
        </w:rPr>
        <w:t>f</w:t>
      </w:r>
      <w:r w:rsidR="002A0DF1" w:rsidRPr="000C4364">
        <w:rPr>
          <w:rFonts w:ascii="Times New Roman" w:hAnsi="Times New Roman" w:cs="Times New Roman"/>
          <w:b/>
          <w:color w:val="000000" w:themeColor="text1"/>
          <w:sz w:val="24"/>
          <w:szCs w:val="24"/>
        </w:rPr>
        <w:t>inance</w:t>
      </w:r>
      <w:r w:rsidR="004008A2" w:rsidRPr="000C4364">
        <w:rPr>
          <w:rFonts w:ascii="Times New Roman" w:hAnsi="Times New Roman" w:cs="Times New Roman"/>
          <w:b/>
          <w:color w:val="000000" w:themeColor="text1"/>
          <w:sz w:val="24"/>
          <w:szCs w:val="24"/>
        </w:rPr>
        <w:t xml:space="preserve"> and interpersonal connectedness</w:t>
      </w:r>
    </w:p>
    <w:p w:rsidR="00055526" w:rsidRPr="000C4364" w:rsidRDefault="00055526" w:rsidP="000C4364">
      <w:pPr>
        <w:spacing w:after="0" w:line="480" w:lineRule="auto"/>
        <w:rPr>
          <w:rFonts w:ascii="Times New Roman" w:hAnsi="Times New Roman" w:cs="Times New Roman"/>
          <w:sz w:val="24"/>
          <w:szCs w:val="24"/>
        </w:rPr>
      </w:pPr>
    </w:p>
    <w:p w:rsidR="00633BD0" w:rsidRPr="000C4364" w:rsidRDefault="00AF2556" w:rsidP="000C4364">
      <w:pPr>
        <w:spacing w:after="0" w:line="480" w:lineRule="auto"/>
        <w:jc w:val="both"/>
        <w:rPr>
          <w:rFonts w:ascii="Times New Roman" w:hAnsi="Times New Roman" w:cs="Times New Roman"/>
          <w:b/>
          <w:sz w:val="24"/>
          <w:szCs w:val="24"/>
        </w:rPr>
      </w:pPr>
      <w:r w:rsidRPr="000C4364">
        <w:rPr>
          <w:rFonts w:ascii="Times New Roman" w:hAnsi="Times New Roman" w:cs="Times New Roman"/>
          <w:sz w:val="24"/>
          <w:szCs w:val="24"/>
        </w:rPr>
        <w:t>SMEs</w:t>
      </w:r>
      <w:r w:rsidR="00D40B00" w:rsidRPr="000C4364">
        <w:rPr>
          <w:rFonts w:ascii="Times New Roman" w:hAnsi="Times New Roman" w:cs="Times New Roman"/>
          <w:sz w:val="24"/>
          <w:szCs w:val="24"/>
        </w:rPr>
        <w:t xml:space="preserve"> play an important role in market economies</w:t>
      </w:r>
      <w:r w:rsidR="00D22576" w:rsidRPr="000C4364">
        <w:rPr>
          <w:rFonts w:ascii="Times New Roman" w:hAnsi="Times New Roman" w:cs="Times New Roman"/>
          <w:sz w:val="24"/>
          <w:szCs w:val="24"/>
        </w:rPr>
        <w:t xml:space="preserve"> where t</w:t>
      </w:r>
      <w:r w:rsidR="00D40B00" w:rsidRPr="000C4364">
        <w:rPr>
          <w:rFonts w:ascii="Times New Roman" w:hAnsi="Times New Roman" w:cs="Times New Roman"/>
          <w:sz w:val="24"/>
          <w:szCs w:val="24"/>
        </w:rPr>
        <w:t xml:space="preserve">hey </w:t>
      </w:r>
      <w:r w:rsidR="00D22576" w:rsidRPr="000C4364">
        <w:rPr>
          <w:rFonts w:ascii="Times New Roman" w:hAnsi="Times New Roman" w:cs="Times New Roman"/>
          <w:sz w:val="24"/>
          <w:szCs w:val="24"/>
        </w:rPr>
        <w:t>represent</w:t>
      </w:r>
      <w:r w:rsidR="00D40B00" w:rsidRPr="000C4364">
        <w:rPr>
          <w:rFonts w:ascii="Times New Roman" w:hAnsi="Times New Roman" w:cs="Times New Roman"/>
          <w:sz w:val="24"/>
          <w:szCs w:val="24"/>
        </w:rPr>
        <w:t xml:space="preserve"> more than 95 percent of </w:t>
      </w:r>
      <w:r w:rsidR="00D22576" w:rsidRPr="000C4364">
        <w:rPr>
          <w:rFonts w:ascii="Times New Roman" w:hAnsi="Times New Roman" w:cs="Times New Roman"/>
          <w:sz w:val="24"/>
          <w:szCs w:val="24"/>
        </w:rPr>
        <w:t xml:space="preserve">all </w:t>
      </w:r>
      <w:r w:rsidR="00D40B00" w:rsidRPr="000C4364">
        <w:rPr>
          <w:rFonts w:ascii="Times New Roman" w:hAnsi="Times New Roman" w:cs="Times New Roman"/>
          <w:sz w:val="24"/>
          <w:szCs w:val="24"/>
        </w:rPr>
        <w:t>enterprises (</w:t>
      </w:r>
      <w:proofErr w:type="spellStart"/>
      <w:r w:rsidR="00D40B00" w:rsidRPr="000C4364">
        <w:rPr>
          <w:rFonts w:ascii="Times New Roman" w:hAnsi="Times New Roman" w:cs="Times New Roman"/>
          <w:iCs/>
          <w:color w:val="000000"/>
          <w:sz w:val="24"/>
          <w:szCs w:val="24"/>
          <w:shd w:val="clear" w:color="auto" w:fill="FFFFFF"/>
        </w:rPr>
        <w:t>Nichter</w:t>
      </w:r>
      <w:proofErr w:type="spellEnd"/>
      <w:r w:rsidR="00D40B00" w:rsidRPr="000C4364">
        <w:rPr>
          <w:rFonts w:ascii="Times New Roman" w:hAnsi="Times New Roman" w:cs="Times New Roman"/>
          <w:iCs/>
          <w:color w:val="000000"/>
          <w:sz w:val="24"/>
          <w:szCs w:val="24"/>
          <w:shd w:val="clear" w:color="auto" w:fill="FFFFFF"/>
        </w:rPr>
        <w:t xml:space="preserve"> and </w:t>
      </w:r>
      <w:proofErr w:type="spellStart"/>
      <w:r w:rsidR="00D40B00" w:rsidRPr="000C4364">
        <w:rPr>
          <w:rFonts w:ascii="Times New Roman" w:hAnsi="Times New Roman" w:cs="Times New Roman"/>
          <w:iCs/>
          <w:color w:val="000000"/>
          <w:sz w:val="24"/>
          <w:szCs w:val="24"/>
          <w:shd w:val="clear" w:color="auto" w:fill="FFFFFF"/>
        </w:rPr>
        <w:t>Goldmark</w:t>
      </w:r>
      <w:proofErr w:type="spellEnd"/>
      <w:r w:rsidR="00D40B00" w:rsidRPr="000C4364">
        <w:rPr>
          <w:rFonts w:ascii="Times New Roman" w:hAnsi="Times New Roman" w:cs="Times New Roman"/>
          <w:iCs/>
          <w:color w:val="000000"/>
          <w:sz w:val="24"/>
          <w:szCs w:val="24"/>
          <w:shd w:val="clear" w:color="auto" w:fill="FFFFFF"/>
        </w:rPr>
        <w:t>, 2009</w:t>
      </w:r>
      <w:r w:rsidR="00D40B00" w:rsidRPr="000C4364">
        <w:rPr>
          <w:rFonts w:ascii="Times New Roman" w:hAnsi="Times New Roman" w:cs="Times New Roman"/>
          <w:sz w:val="24"/>
          <w:szCs w:val="24"/>
        </w:rPr>
        <w:t>)</w:t>
      </w:r>
      <w:r w:rsidR="007C6395" w:rsidRPr="000C4364">
        <w:rPr>
          <w:rFonts w:ascii="Times New Roman" w:hAnsi="Times New Roman" w:cs="Times New Roman"/>
          <w:sz w:val="24"/>
          <w:szCs w:val="24"/>
        </w:rPr>
        <w:t xml:space="preserve"> and b</w:t>
      </w:r>
      <w:r w:rsidR="00D40B00" w:rsidRPr="000C4364">
        <w:rPr>
          <w:rFonts w:ascii="Times New Roman" w:hAnsi="Times New Roman" w:cs="Times New Roman"/>
          <w:sz w:val="24"/>
          <w:szCs w:val="24"/>
        </w:rPr>
        <w:t xml:space="preserve">ecause SMEs </w:t>
      </w:r>
      <w:r w:rsidR="008925F5" w:rsidRPr="000C4364">
        <w:rPr>
          <w:rFonts w:ascii="Times New Roman" w:hAnsi="Times New Roman" w:cs="Times New Roman"/>
          <w:sz w:val="24"/>
          <w:szCs w:val="24"/>
        </w:rPr>
        <w:t xml:space="preserve">tend to be </w:t>
      </w:r>
      <w:r w:rsidR="00D40B00" w:rsidRPr="000C4364">
        <w:rPr>
          <w:rFonts w:ascii="Times New Roman" w:hAnsi="Times New Roman" w:cs="Times New Roman"/>
          <w:sz w:val="24"/>
          <w:szCs w:val="24"/>
        </w:rPr>
        <w:t>more labour-</w:t>
      </w:r>
      <w:r w:rsidR="00D40B00" w:rsidRPr="000C4364">
        <w:rPr>
          <w:rFonts w:ascii="Times New Roman" w:hAnsi="Times New Roman" w:cs="Times New Roman"/>
          <w:sz w:val="24"/>
          <w:szCs w:val="24"/>
        </w:rPr>
        <w:lastRenderedPageBreak/>
        <w:t xml:space="preserve">intensive compared </w:t>
      </w:r>
      <w:r w:rsidR="007C6395" w:rsidRPr="000C4364">
        <w:rPr>
          <w:rFonts w:ascii="Times New Roman" w:hAnsi="Times New Roman" w:cs="Times New Roman"/>
          <w:sz w:val="24"/>
          <w:szCs w:val="24"/>
        </w:rPr>
        <w:t xml:space="preserve">with </w:t>
      </w:r>
      <w:r w:rsidR="00D40B00" w:rsidRPr="000C4364">
        <w:rPr>
          <w:rFonts w:ascii="Times New Roman" w:hAnsi="Times New Roman" w:cs="Times New Roman"/>
          <w:sz w:val="24"/>
          <w:szCs w:val="24"/>
        </w:rPr>
        <w:t xml:space="preserve">large enterprises they </w:t>
      </w:r>
      <w:r w:rsidR="008925F5" w:rsidRPr="000C4364">
        <w:rPr>
          <w:rFonts w:ascii="Times New Roman" w:hAnsi="Times New Roman" w:cs="Times New Roman"/>
          <w:sz w:val="24"/>
          <w:szCs w:val="24"/>
        </w:rPr>
        <w:t xml:space="preserve">also tend to </w:t>
      </w:r>
      <w:r w:rsidR="00D40B00" w:rsidRPr="000C4364">
        <w:rPr>
          <w:rFonts w:ascii="Times New Roman" w:hAnsi="Times New Roman" w:cs="Times New Roman"/>
          <w:sz w:val="24"/>
          <w:szCs w:val="24"/>
        </w:rPr>
        <w:t xml:space="preserve">contribute </w:t>
      </w:r>
      <w:r w:rsidR="008925F5" w:rsidRPr="000C4364">
        <w:rPr>
          <w:rFonts w:ascii="Times New Roman" w:hAnsi="Times New Roman" w:cs="Times New Roman"/>
          <w:sz w:val="24"/>
          <w:szCs w:val="24"/>
        </w:rPr>
        <w:t xml:space="preserve">more to </w:t>
      </w:r>
      <w:r w:rsidR="00D40B00" w:rsidRPr="000C4364">
        <w:rPr>
          <w:rFonts w:ascii="Times New Roman" w:hAnsi="Times New Roman" w:cs="Times New Roman"/>
          <w:sz w:val="24"/>
          <w:szCs w:val="24"/>
        </w:rPr>
        <w:t>employment growth and facilitate poverty</w:t>
      </w:r>
      <w:r w:rsidR="003768AB" w:rsidRPr="000C4364">
        <w:rPr>
          <w:rFonts w:ascii="Times New Roman" w:hAnsi="Times New Roman" w:cs="Times New Roman"/>
          <w:sz w:val="24"/>
          <w:szCs w:val="24"/>
        </w:rPr>
        <w:t xml:space="preserve"> reduction (Beck </w:t>
      </w:r>
      <w:r w:rsidR="00CF5E5E" w:rsidRPr="000C4364">
        <w:rPr>
          <w:rFonts w:ascii="Times New Roman" w:hAnsi="Times New Roman" w:cs="Times New Roman"/>
          <w:i/>
          <w:sz w:val="24"/>
          <w:szCs w:val="24"/>
        </w:rPr>
        <w:t>et al</w:t>
      </w:r>
      <w:r w:rsidR="003768AB" w:rsidRPr="000C4364">
        <w:rPr>
          <w:rFonts w:ascii="Times New Roman" w:hAnsi="Times New Roman" w:cs="Times New Roman"/>
          <w:sz w:val="24"/>
          <w:szCs w:val="24"/>
        </w:rPr>
        <w:t>., 2005</w:t>
      </w:r>
      <w:r w:rsidR="00D40B00" w:rsidRPr="000C4364">
        <w:rPr>
          <w:rFonts w:ascii="Times New Roman" w:hAnsi="Times New Roman" w:cs="Times New Roman"/>
          <w:sz w:val="24"/>
          <w:szCs w:val="24"/>
        </w:rPr>
        <w:t xml:space="preserve">). </w:t>
      </w:r>
      <w:r w:rsidR="008925F5" w:rsidRPr="000C4364">
        <w:rPr>
          <w:rFonts w:ascii="Times New Roman" w:hAnsi="Times New Roman" w:cs="Times New Roman"/>
          <w:sz w:val="24"/>
          <w:szCs w:val="24"/>
        </w:rPr>
        <w:t>Although t</w:t>
      </w:r>
      <w:r w:rsidR="003768AB" w:rsidRPr="000C4364">
        <w:rPr>
          <w:rFonts w:ascii="Times New Roman" w:hAnsi="Times New Roman" w:cs="Times New Roman"/>
          <w:sz w:val="24"/>
          <w:szCs w:val="24"/>
        </w:rPr>
        <w:t xml:space="preserve">he average </w:t>
      </w:r>
      <w:r w:rsidR="008925F5" w:rsidRPr="000C4364">
        <w:rPr>
          <w:rFonts w:ascii="Times New Roman" w:hAnsi="Times New Roman" w:cs="Times New Roman"/>
          <w:sz w:val="24"/>
          <w:szCs w:val="24"/>
        </w:rPr>
        <w:t xml:space="preserve">size of </w:t>
      </w:r>
      <w:r w:rsidR="003768AB" w:rsidRPr="000C4364">
        <w:rPr>
          <w:rFonts w:ascii="Times New Roman" w:hAnsi="Times New Roman" w:cs="Times New Roman"/>
          <w:sz w:val="24"/>
          <w:szCs w:val="24"/>
        </w:rPr>
        <w:t>SME</w:t>
      </w:r>
      <w:r w:rsidR="008925F5" w:rsidRPr="000C4364">
        <w:rPr>
          <w:rFonts w:ascii="Times New Roman" w:hAnsi="Times New Roman" w:cs="Times New Roman"/>
          <w:sz w:val="24"/>
          <w:szCs w:val="24"/>
        </w:rPr>
        <w:t>s</w:t>
      </w:r>
      <w:r w:rsidR="003768AB" w:rsidRPr="000C4364">
        <w:rPr>
          <w:rFonts w:ascii="Times New Roman" w:hAnsi="Times New Roman" w:cs="Times New Roman"/>
          <w:sz w:val="24"/>
          <w:szCs w:val="24"/>
        </w:rPr>
        <w:t xml:space="preserve"> varies with </w:t>
      </w:r>
      <w:r w:rsidR="008925F5" w:rsidRPr="000C4364">
        <w:rPr>
          <w:rFonts w:ascii="Times New Roman" w:hAnsi="Times New Roman" w:cs="Times New Roman"/>
          <w:sz w:val="24"/>
          <w:szCs w:val="24"/>
        </w:rPr>
        <w:t xml:space="preserve">country-level </w:t>
      </w:r>
      <w:r w:rsidR="003768AB" w:rsidRPr="000C4364">
        <w:rPr>
          <w:rFonts w:ascii="Times New Roman" w:hAnsi="Times New Roman" w:cs="Times New Roman"/>
          <w:sz w:val="24"/>
          <w:szCs w:val="24"/>
        </w:rPr>
        <w:t>per capita income</w:t>
      </w:r>
      <w:r w:rsidR="008925F5" w:rsidRPr="000C4364">
        <w:rPr>
          <w:rFonts w:ascii="Times New Roman" w:hAnsi="Times New Roman" w:cs="Times New Roman"/>
          <w:sz w:val="24"/>
          <w:szCs w:val="24"/>
        </w:rPr>
        <w:t>s</w:t>
      </w:r>
      <w:r w:rsidR="00222358" w:rsidRPr="000C4364">
        <w:rPr>
          <w:rFonts w:ascii="Times New Roman" w:hAnsi="Times New Roman" w:cs="Times New Roman"/>
          <w:sz w:val="24"/>
          <w:szCs w:val="24"/>
        </w:rPr>
        <w:t>,</w:t>
      </w:r>
      <w:r w:rsidR="008925F5" w:rsidRPr="000C4364">
        <w:rPr>
          <w:rFonts w:ascii="Times New Roman" w:hAnsi="Times New Roman" w:cs="Times New Roman"/>
          <w:sz w:val="24"/>
          <w:szCs w:val="24"/>
        </w:rPr>
        <w:t xml:space="preserve"> it has been </w:t>
      </w:r>
      <w:r w:rsidR="00D40B00" w:rsidRPr="000C4364">
        <w:rPr>
          <w:rFonts w:ascii="Times New Roman" w:hAnsi="Times New Roman" w:cs="Times New Roman"/>
          <w:sz w:val="24"/>
          <w:szCs w:val="24"/>
        </w:rPr>
        <w:t xml:space="preserve">estimated that </w:t>
      </w:r>
      <w:r w:rsidR="008925F5" w:rsidRPr="000C4364">
        <w:rPr>
          <w:rFonts w:ascii="Times New Roman" w:hAnsi="Times New Roman" w:cs="Times New Roman"/>
          <w:sz w:val="24"/>
          <w:szCs w:val="24"/>
        </w:rPr>
        <w:t xml:space="preserve">SMEs </w:t>
      </w:r>
      <w:r w:rsidR="007C6395" w:rsidRPr="000C4364">
        <w:rPr>
          <w:rFonts w:ascii="Times New Roman" w:hAnsi="Times New Roman" w:cs="Times New Roman"/>
          <w:sz w:val="24"/>
          <w:szCs w:val="24"/>
        </w:rPr>
        <w:t xml:space="preserve">in emerging economies </w:t>
      </w:r>
      <w:r w:rsidR="008925F5" w:rsidRPr="000C4364">
        <w:rPr>
          <w:rFonts w:ascii="Times New Roman" w:hAnsi="Times New Roman" w:cs="Times New Roman"/>
          <w:sz w:val="24"/>
          <w:szCs w:val="24"/>
        </w:rPr>
        <w:t xml:space="preserve">with fewer than 100 </w:t>
      </w:r>
      <w:r w:rsidR="007C6395" w:rsidRPr="000C4364">
        <w:rPr>
          <w:rFonts w:ascii="Times New Roman" w:hAnsi="Times New Roman" w:cs="Times New Roman"/>
          <w:sz w:val="24"/>
          <w:szCs w:val="24"/>
        </w:rPr>
        <w:t>workers</w:t>
      </w:r>
      <w:r w:rsidR="008925F5"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employ more than half of the </w:t>
      </w:r>
      <w:r w:rsidR="007C6395" w:rsidRPr="000C4364">
        <w:rPr>
          <w:rFonts w:ascii="Times New Roman" w:hAnsi="Times New Roman" w:cs="Times New Roman"/>
          <w:sz w:val="24"/>
          <w:szCs w:val="24"/>
        </w:rPr>
        <w:t xml:space="preserve">active labour </w:t>
      </w:r>
      <w:r w:rsidR="00D40B00" w:rsidRPr="000C4364">
        <w:rPr>
          <w:rFonts w:ascii="Times New Roman" w:hAnsi="Times New Roman" w:cs="Times New Roman"/>
          <w:sz w:val="24"/>
          <w:szCs w:val="24"/>
        </w:rPr>
        <w:t>force (Beck, 2013). SME</w:t>
      </w:r>
      <w:r w:rsidR="00A01842"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w:t>
      </w:r>
      <w:r w:rsidR="00A01842" w:rsidRPr="000C4364">
        <w:rPr>
          <w:rFonts w:ascii="Times New Roman" w:hAnsi="Times New Roman" w:cs="Times New Roman"/>
          <w:sz w:val="24"/>
          <w:szCs w:val="24"/>
        </w:rPr>
        <w:t>are</w:t>
      </w:r>
      <w:r w:rsidR="00D40B00" w:rsidRPr="000C4364">
        <w:rPr>
          <w:rFonts w:ascii="Times New Roman" w:hAnsi="Times New Roman" w:cs="Times New Roman"/>
          <w:sz w:val="24"/>
          <w:szCs w:val="24"/>
        </w:rPr>
        <w:t xml:space="preserve"> </w:t>
      </w:r>
      <w:r w:rsidR="00932EFA" w:rsidRPr="000C4364">
        <w:rPr>
          <w:rFonts w:ascii="Times New Roman" w:hAnsi="Times New Roman" w:cs="Times New Roman"/>
          <w:sz w:val="24"/>
          <w:szCs w:val="24"/>
        </w:rPr>
        <w:t xml:space="preserve">also </w:t>
      </w:r>
      <w:r w:rsidR="00D40B00" w:rsidRPr="000C4364">
        <w:rPr>
          <w:rFonts w:ascii="Times New Roman" w:hAnsi="Times New Roman" w:cs="Times New Roman"/>
          <w:sz w:val="24"/>
          <w:szCs w:val="24"/>
        </w:rPr>
        <w:t>seen as an engine of growth and innovation</w:t>
      </w:r>
      <w:r w:rsidR="007C6395" w:rsidRPr="000C4364">
        <w:rPr>
          <w:rFonts w:ascii="Times New Roman" w:hAnsi="Times New Roman" w:cs="Times New Roman"/>
          <w:sz w:val="24"/>
          <w:szCs w:val="24"/>
        </w:rPr>
        <w:t xml:space="preserve"> with h</w:t>
      </w:r>
      <w:r w:rsidR="00D40B00" w:rsidRPr="000C4364">
        <w:rPr>
          <w:rFonts w:ascii="Times New Roman" w:hAnsi="Times New Roman" w:cs="Times New Roman"/>
          <w:sz w:val="24"/>
          <w:szCs w:val="24"/>
        </w:rPr>
        <w:t>igh</w:t>
      </w:r>
      <w:r w:rsidR="003C1D69" w:rsidRPr="000C4364">
        <w:rPr>
          <w:rFonts w:ascii="Times New Roman" w:hAnsi="Times New Roman" w:cs="Times New Roman"/>
          <w:sz w:val="24"/>
          <w:szCs w:val="24"/>
        </w:rPr>
        <w:t>-</w:t>
      </w:r>
      <w:r w:rsidR="00D40B00" w:rsidRPr="000C4364">
        <w:rPr>
          <w:rFonts w:ascii="Times New Roman" w:hAnsi="Times New Roman" w:cs="Times New Roman"/>
          <w:sz w:val="24"/>
          <w:szCs w:val="24"/>
        </w:rPr>
        <w:t>growth</w:t>
      </w:r>
      <w:r w:rsidR="007C6395"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innovative enterprises </w:t>
      </w:r>
      <w:r w:rsidR="007C6395" w:rsidRPr="000C4364">
        <w:rPr>
          <w:rFonts w:ascii="Times New Roman" w:hAnsi="Times New Roman" w:cs="Times New Roman"/>
          <w:sz w:val="24"/>
          <w:szCs w:val="24"/>
        </w:rPr>
        <w:t xml:space="preserve">being </w:t>
      </w:r>
      <w:r w:rsidR="00D40B00" w:rsidRPr="000C4364">
        <w:rPr>
          <w:rFonts w:ascii="Times New Roman" w:hAnsi="Times New Roman" w:cs="Times New Roman"/>
          <w:sz w:val="24"/>
          <w:szCs w:val="24"/>
        </w:rPr>
        <w:t>particular</w:t>
      </w:r>
      <w:r w:rsidR="007C6395" w:rsidRPr="000C4364">
        <w:rPr>
          <w:rFonts w:ascii="Times New Roman" w:hAnsi="Times New Roman" w:cs="Times New Roman"/>
          <w:sz w:val="24"/>
          <w:szCs w:val="24"/>
        </w:rPr>
        <w:t>ly</w:t>
      </w:r>
      <w:r w:rsidR="00D40B00" w:rsidRPr="000C4364">
        <w:rPr>
          <w:rFonts w:ascii="Times New Roman" w:hAnsi="Times New Roman" w:cs="Times New Roman"/>
          <w:sz w:val="24"/>
          <w:szCs w:val="24"/>
        </w:rPr>
        <w:t xml:space="preserve"> importan</w:t>
      </w:r>
      <w:r w:rsidR="007C6395" w:rsidRPr="000C4364">
        <w:rPr>
          <w:rFonts w:ascii="Times New Roman" w:hAnsi="Times New Roman" w:cs="Times New Roman"/>
          <w:sz w:val="24"/>
          <w:szCs w:val="24"/>
        </w:rPr>
        <w:t>t</w:t>
      </w:r>
      <w:r w:rsidR="00D40B00" w:rsidRPr="000C4364">
        <w:rPr>
          <w:rFonts w:ascii="Times New Roman" w:hAnsi="Times New Roman" w:cs="Times New Roman"/>
          <w:sz w:val="24"/>
          <w:szCs w:val="24"/>
        </w:rPr>
        <w:t xml:space="preserve"> as t</w:t>
      </w:r>
      <w:r w:rsidR="003F2734" w:rsidRPr="000C4364">
        <w:rPr>
          <w:rFonts w:ascii="Times New Roman" w:hAnsi="Times New Roman" w:cs="Times New Roman"/>
          <w:sz w:val="24"/>
          <w:szCs w:val="24"/>
        </w:rPr>
        <w:t>hey create most of the new jobs</w:t>
      </w:r>
      <w:r w:rsidR="007C6395" w:rsidRPr="000C4364">
        <w:rPr>
          <w:rFonts w:ascii="Times New Roman" w:hAnsi="Times New Roman" w:cs="Times New Roman"/>
          <w:sz w:val="24"/>
          <w:szCs w:val="24"/>
        </w:rPr>
        <w:t xml:space="preserve">. For example, </w:t>
      </w:r>
      <w:r w:rsidR="00D40B00" w:rsidRPr="000C4364">
        <w:rPr>
          <w:rFonts w:ascii="Times New Roman" w:hAnsi="Times New Roman" w:cs="Times New Roman"/>
          <w:sz w:val="24"/>
          <w:szCs w:val="24"/>
        </w:rPr>
        <w:t>high</w:t>
      </w:r>
      <w:r w:rsidR="003C1D69" w:rsidRPr="000C4364">
        <w:rPr>
          <w:rFonts w:ascii="Times New Roman" w:hAnsi="Times New Roman" w:cs="Times New Roman"/>
          <w:sz w:val="24"/>
          <w:szCs w:val="24"/>
        </w:rPr>
        <w:t>-</w:t>
      </w:r>
      <w:r w:rsidR="00D40B00" w:rsidRPr="000C4364">
        <w:rPr>
          <w:rFonts w:ascii="Times New Roman" w:hAnsi="Times New Roman" w:cs="Times New Roman"/>
          <w:sz w:val="24"/>
          <w:szCs w:val="24"/>
        </w:rPr>
        <w:t>growth and innovative enterprises</w:t>
      </w:r>
      <w:r w:rsidR="000D7A6B" w:rsidRPr="000C4364">
        <w:rPr>
          <w:rFonts w:ascii="Times New Roman" w:hAnsi="Times New Roman" w:cs="Times New Roman"/>
          <w:sz w:val="24"/>
          <w:szCs w:val="24"/>
        </w:rPr>
        <w:t xml:space="preserve"> created more than half of all new jobs in the UK between 2003 and 2008 even though they </w:t>
      </w:r>
      <w:r w:rsidR="00D40B00" w:rsidRPr="000C4364">
        <w:rPr>
          <w:rFonts w:ascii="Times New Roman" w:hAnsi="Times New Roman" w:cs="Times New Roman"/>
          <w:sz w:val="24"/>
          <w:szCs w:val="24"/>
        </w:rPr>
        <w:t xml:space="preserve">accounted for only </w:t>
      </w:r>
      <w:r w:rsidR="003C1D69" w:rsidRPr="000C4364">
        <w:rPr>
          <w:rFonts w:ascii="Times New Roman" w:hAnsi="Times New Roman" w:cs="Times New Roman"/>
          <w:sz w:val="24"/>
          <w:szCs w:val="24"/>
        </w:rPr>
        <w:t>six</w:t>
      </w:r>
      <w:r w:rsidR="007C6395" w:rsidRPr="000C4364">
        <w:rPr>
          <w:rFonts w:ascii="Times New Roman" w:hAnsi="Times New Roman" w:cs="Times New Roman"/>
          <w:sz w:val="24"/>
          <w:szCs w:val="24"/>
        </w:rPr>
        <w:t xml:space="preserve"> percent</w:t>
      </w:r>
      <w:r w:rsidR="00D40B00" w:rsidRPr="000C4364">
        <w:rPr>
          <w:rFonts w:ascii="Times New Roman" w:hAnsi="Times New Roman" w:cs="Times New Roman"/>
          <w:sz w:val="24"/>
          <w:szCs w:val="24"/>
        </w:rPr>
        <w:t xml:space="preserve"> of </w:t>
      </w:r>
      <w:r w:rsidR="007C6395" w:rsidRPr="000C4364">
        <w:rPr>
          <w:rFonts w:ascii="Times New Roman" w:hAnsi="Times New Roman" w:cs="Times New Roman"/>
          <w:sz w:val="24"/>
          <w:szCs w:val="24"/>
        </w:rPr>
        <w:t xml:space="preserve">all </w:t>
      </w:r>
      <w:r w:rsidR="00D40B00" w:rsidRPr="000C4364">
        <w:rPr>
          <w:rFonts w:ascii="Times New Roman" w:hAnsi="Times New Roman" w:cs="Times New Roman"/>
          <w:sz w:val="24"/>
          <w:szCs w:val="24"/>
        </w:rPr>
        <w:t>enterprises</w:t>
      </w:r>
      <w:r w:rsidR="000D7A6B"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w:t>
      </w:r>
      <w:proofErr w:type="spellStart"/>
      <w:r w:rsidR="009B37E1" w:rsidRPr="000C4364">
        <w:rPr>
          <w:rFonts w:ascii="Times New Roman" w:hAnsi="Times New Roman" w:cs="Times New Roman"/>
          <w:sz w:val="24"/>
          <w:szCs w:val="24"/>
        </w:rPr>
        <w:t>Anyadike</w:t>
      </w:r>
      <w:proofErr w:type="spellEnd"/>
      <w:r w:rsidR="009B37E1" w:rsidRPr="000C4364">
        <w:rPr>
          <w:rFonts w:ascii="Times New Roman" w:hAnsi="Times New Roman" w:cs="Times New Roman"/>
          <w:sz w:val="24"/>
          <w:szCs w:val="24"/>
        </w:rPr>
        <w:t xml:space="preserve">-Danes </w:t>
      </w:r>
      <w:r w:rsidR="00CF5E5E" w:rsidRPr="000C4364">
        <w:rPr>
          <w:rFonts w:ascii="Times New Roman" w:hAnsi="Times New Roman" w:cs="Times New Roman"/>
          <w:i/>
          <w:sz w:val="24"/>
          <w:szCs w:val="24"/>
        </w:rPr>
        <w:t>et al</w:t>
      </w:r>
      <w:r w:rsidR="009B37E1" w:rsidRPr="000C4364">
        <w:rPr>
          <w:rFonts w:ascii="Times New Roman" w:hAnsi="Times New Roman" w:cs="Times New Roman"/>
          <w:sz w:val="24"/>
          <w:szCs w:val="24"/>
        </w:rPr>
        <w:t>., 2009</w:t>
      </w:r>
      <w:r w:rsidR="00D40B00" w:rsidRPr="000C4364">
        <w:rPr>
          <w:rFonts w:ascii="Times New Roman" w:hAnsi="Times New Roman" w:cs="Times New Roman"/>
          <w:sz w:val="24"/>
          <w:szCs w:val="24"/>
        </w:rPr>
        <w:t>).</w:t>
      </w:r>
    </w:p>
    <w:p w:rsidR="00420F0C" w:rsidRPr="000C4364" w:rsidRDefault="00D40B00"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SMEs are usually set up either to pursue profitable market opportunities</w:t>
      </w:r>
      <w:r w:rsidR="005004A6" w:rsidRPr="000C4364">
        <w:rPr>
          <w:rFonts w:ascii="Times New Roman" w:hAnsi="Times New Roman" w:cs="Times New Roman"/>
          <w:sz w:val="24"/>
          <w:szCs w:val="24"/>
        </w:rPr>
        <w:t xml:space="preserve"> </w:t>
      </w:r>
      <w:r w:rsidR="00FC5505" w:rsidRPr="000C4364">
        <w:rPr>
          <w:rFonts w:ascii="Times New Roman" w:hAnsi="Times New Roman" w:cs="Times New Roman"/>
          <w:sz w:val="24"/>
          <w:szCs w:val="24"/>
        </w:rPr>
        <w:t>(</w:t>
      </w:r>
      <w:r w:rsidRPr="000C4364">
        <w:rPr>
          <w:rFonts w:ascii="Times New Roman" w:hAnsi="Times New Roman" w:cs="Times New Roman"/>
          <w:sz w:val="24"/>
          <w:szCs w:val="24"/>
        </w:rPr>
        <w:t>transformational SMEs</w:t>
      </w:r>
      <w:r w:rsidR="00FC5505" w:rsidRPr="000C4364">
        <w:rPr>
          <w:rFonts w:ascii="Times New Roman" w:hAnsi="Times New Roman" w:cs="Times New Roman"/>
          <w:sz w:val="24"/>
          <w:szCs w:val="24"/>
        </w:rPr>
        <w:t>)</w:t>
      </w:r>
      <w:r w:rsidRPr="000C4364">
        <w:rPr>
          <w:rFonts w:ascii="Times New Roman" w:hAnsi="Times New Roman" w:cs="Times New Roman"/>
          <w:sz w:val="24"/>
          <w:szCs w:val="24"/>
        </w:rPr>
        <w:t xml:space="preserve"> </w:t>
      </w:r>
      <w:r w:rsidR="005004A6" w:rsidRPr="000C4364">
        <w:rPr>
          <w:rFonts w:ascii="Times New Roman" w:hAnsi="Times New Roman" w:cs="Times New Roman"/>
          <w:sz w:val="24"/>
          <w:szCs w:val="24"/>
        </w:rPr>
        <w:t xml:space="preserve">or to avoid unemployment (subsistence SMEs) </w:t>
      </w:r>
      <w:r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sz w:val="24"/>
          <w:szCs w:val="24"/>
        </w:rPr>
        <w:t>Beck, 2013</w:t>
      </w:r>
      <w:r w:rsidR="000D54AC" w:rsidRPr="000C4364">
        <w:rPr>
          <w:rFonts w:ascii="Times New Roman" w:hAnsi="Times New Roman" w:cs="Times New Roman"/>
          <w:sz w:val="24"/>
          <w:szCs w:val="24"/>
        </w:rPr>
        <w:t xml:space="preserve">; </w:t>
      </w:r>
      <w:proofErr w:type="spellStart"/>
      <w:r w:rsidR="000D54AC" w:rsidRPr="000C4364">
        <w:rPr>
          <w:rFonts w:ascii="Times New Roman" w:hAnsi="Times New Roman" w:cs="Times New Roman"/>
          <w:iCs/>
          <w:color w:val="000000"/>
          <w:sz w:val="24"/>
          <w:szCs w:val="24"/>
          <w:shd w:val="clear" w:color="auto" w:fill="FFFFFF"/>
        </w:rPr>
        <w:t>Xheneti</w:t>
      </w:r>
      <w:proofErr w:type="spellEnd"/>
      <w:r w:rsidR="000D54AC" w:rsidRPr="000C4364">
        <w:rPr>
          <w:rFonts w:ascii="Times New Roman" w:hAnsi="Times New Roman" w:cs="Times New Roman"/>
          <w:iCs/>
          <w:color w:val="000000"/>
          <w:sz w:val="24"/>
          <w:szCs w:val="24"/>
          <w:shd w:val="clear" w:color="auto" w:fill="FFFFFF"/>
        </w:rPr>
        <w:t xml:space="preserve"> and Bartlett, 2012</w:t>
      </w:r>
      <w:r w:rsidRPr="000C4364">
        <w:rPr>
          <w:rFonts w:ascii="Times New Roman" w:hAnsi="Times New Roman" w:cs="Times New Roman"/>
          <w:sz w:val="24"/>
          <w:szCs w:val="24"/>
        </w:rPr>
        <w:t>). Subsistence SMEs are almost exclusively micro-entrepreneur</w:t>
      </w:r>
      <w:r w:rsidR="003F2734" w:rsidRPr="000C4364">
        <w:rPr>
          <w:rFonts w:ascii="Times New Roman" w:hAnsi="Times New Roman" w:cs="Times New Roman"/>
          <w:sz w:val="24"/>
          <w:szCs w:val="24"/>
        </w:rPr>
        <w:t xml:space="preserve">ial </w:t>
      </w:r>
      <w:r w:rsidR="005004A6" w:rsidRPr="000C4364">
        <w:rPr>
          <w:rFonts w:ascii="Times New Roman" w:hAnsi="Times New Roman" w:cs="Times New Roman"/>
          <w:sz w:val="24"/>
          <w:szCs w:val="24"/>
        </w:rPr>
        <w:t>and</w:t>
      </w:r>
      <w:r w:rsidRPr="000C4364">
        <w:rPr>
          <w:rFonts w:ascii="Times New Roman" w:hAnsi="Times New Roman" w:cs="Times New Roman"/>
          <w:sz w:val="24"/>
          <w:szCs w:val="24"/>
        </w:rPr>
        <w:t xml:space="preserve"> set up to generate subsistence income</w:t>
      </w:r>
      <w:r w:rsidR="005004A6"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their share </w:t>
      </w:r>
      <w:r w:rsidR="003009AC" w:rsidRPr="000C4364">
        <w:rPr>
          <w:rFonts w:ascii="Times New Roman" w:hAnsi="Times New Roman" w:cs="Times New Roman"/>
          <w:sz w:val="24"/>
          <w:szCs w:val="24"/>
        </w:rPr>
        <w:t>in</w:t>
      </w:r>
      <w:r w:rsidR="005004A6" w:rsidRPr="000C4364">
        <w:rPr>
          <w:rFonts w:ascii="Times New Roman" w:hAnsi="Times New Roman" w:cs="Times New Roman"/>
          <w:sz w:val="24"/>
          <w:szCs w:val="24"/>
        </w:rPr>
        <w:t xml:space="preserve"> </w:t>
      </w:r>
      <w:r w:rsidRPr="000C4364">
        <w:rPr>
          <w:rFonts w:ascii="Times New Roman" w:hAnsi="Times New Roman" w:cs="Times New Roman"/>
          <w:sz w:val="24"/>
          <w:szCs w:val="24"/>
        </w:rPr>
        <w:t>the SME population increases during economic downturns (</w:t>
      </w:r>
      <w:proofErr w:type="spellStart"/>
      <w:r w:rsidRPr="000C4364">
        <w:rPr>
          <w:rFonts w:ascii="Times New Roman" w:hAnsi="Times New Roman" w:cs="Times New Roman"/>
          <w:sz w:val="24"/>
          <w:szCs w:val="24"/>
        </w:rPr>
        <w:t>Nichter</w:t>
      </w:r>
      <w:proofErr w:type="spellEnd"/>
      <w:r w:rsidRPr="000C4364">
        <w:rPr>
          <w:rFonts w:ascii="Times New Roman" w:hAnsi="Times New Roman" w:cs="Times New Roman"/>
          <w:sz w:val="24"/>
          <w:szCs w:val="24"/>
        </w:rPr>
        <w:t xml:space="preserve"> and </w:t>
      </w:r>
      <w:proofErr w:type="spellStart"/>
      <w:r w:rsidRPr="000C4364">
        <w:rPr>
          <w:rFonts w:ascii="Times New Roman" w:hAnsi="Times New Roman" w:cs="Times New Roman"/>
          <w:sz w:val="24"/>
          <w:szCs w:val="24"/>
        </w:rPr>
        <w:t>Goldmark</w:t>
      </w:r>
      <w:proofErr w:type="spellEnd"/>
      <w:r w:rsidRPr="000C4364">
        <w:rPr>
          <w:rFonts w:ascii="Times New Roman" w:hAnsi="Times New Roman" w:cs="Times New Roman"/>
          <w:sz w:val="24"/>
          <w:szCs w:val="24"/>
        </w:rPr>
        <w:t xml:space="preserve">, 2009). Transformational SMEs </w:t>
      </w:r>
      <w:r w:rsidR="005004A6" w:rsidRPr="000C4364">
        <w:rPr>
          <w:rFonts w:ascii="Times New Roman" w:hAnsi="Times New Roman" w:cs="Times New Roman"/>
          <w:sz w:val="24"/>
          <w:szCs w:val="24"/>
        </w:rPr>
        <w:t xml:space="preserve">can </w:t>
      </w:r>
      <w:r w:rsidRPr="000C4364">
        <w:rPr>
          <w:rFonts w:ascii="Times New Roman" w:hAnsi="Times New Roman" w:cs="Times New Roman"/>
          <w:sz w:val="24"/>
          <w:szCs w:val="24"/>
        </w:rPr>
        <w:t xml:space="preserve">employ </w:t>
      </w:r>
      <w:r w:rsidR="00612DE1" w:rsidRPr="000C4364">
        <w:rPr>
          <w:rFonts w:ascii="Times New Roman" w:hAnsi="Times New Roman" w:cs="Times New Roman"/>
          <w:sz w:val="24"/>
          <w:szCs w:val="24"/>
        </w:rPr>
        <w:t xml:space="preserve">up to </w:t>
      </w:r>
      <w:r w:rsidR="005004A6" w:rsidRPr="000C4364">
        <w:rPr>
          <w:rFonts w:ascii="Times New Roman" w:hAnsi="Times New Roman" w:cs="Times New Roman"/>
          <w:sz w:val="24"/>
          <w:szCs w:val="24"/>
        </w:rPr>
        <w:t xml:space="preserve">a couple of </w:t>
      </w:r>
      <w:r w:rsidRPr="000C4364">
        <w:rPr>
          <w:rFonts w:ascii="Times New Roman" w:hAnsi="Times New Roman" w:cs="Times New Roman"/>
          <w:sz w:val="24"/>
          <w:szCs w:val="24"/>
        </w:rPr>
        <w:t>hundred people but only a small proport</w:t>
      </w:r>
      <w:r w:rsidR="00FC5505" w:rsidRPr="000C4364">
        <w:rPr>
          <w:rFonts w:ascii="Times New Roman" w:hAnsi="Times New Roman" w:cs="Times New Roman"/>
          <w:sz w:val="24"/>
          <w:szCs w:val="24"/>
        </w:rPr>
        <w:t xml:space="preserve">ion of them ever succeed in becoming </w:t>
      </w:r>
      <w:r w:rsidRPr="000C4364">
        <w:rPr>
          <w:rFonts w:ascii="Times New Roman" w:hAnsi="Times New Roman" w:cs="Times New Roman"/>
          <w:sz w:val="24"/>
          <w:szCs w:val="24"/>
        </w:rPr>
        <w:t>large enterprises</w:t>
      </w:r>
      <w:r w:rsidR="007F26AA" w:rsidRPr="000C4364">
        <w:rPr>
          <w:rFonts w:ascii="Times New Roman" w:hAnsi="Times New Roman" w:cs="Times New Roman"/>
          <w:sz w:val="24"/>
          <w:szCs w:val="24"/>
        </w:rPr>
        <w:t>.</w:t>
      </w:r>
      <w:r w:rsidR="00FC5505" w:rsidRPr="000C4364">
        <w:rPr>
          <w:rFonts w:ascii="Times New Roman" w:hAnsi="Times New Roman" w:cs="Times New Roman"/>
          <w:sz w:val="24"/>
          <w:szCs w:val="24"/>
        </w:rPr>
        <w:t xml:space="preserve"> </w:t>
      </w:r>
      <w:r w:rsidR="007F26AA" w:rsidRPr="000C4364">
        <w:rPr>
          <w:rFonts w:ascii="Times New Roman" w:hAnsi="Times New Roman" w:cs="Times New Roman"/>
          <w:sz w:val="24"/>
          <w:szCs w:val="24"/>
        </w:rPr>
        <w:t>M</w:t>
      </w:r>
      <w:r w:rsidR="00FC5505" w:rsidRPr="000C4364">
        <w:rPr>
          <w:rFonts w:ascii="Times New Roman" w:hAnsi="Times New Roman" w:cs="Times New Roman"/>
          <w:sz w:val="24"/>
          <w:szCs w:val="24"/>
        </w:rPr>
        <w:t xml:space="preserve">ost </w:t>
      </w:r>
      <w:r w:rsidR="00282E1A" w:rsidRPr="000C4364">
        <w:rPr>
          <w:rFonts w:ascii="Times New Roman" w:hAnsi="Times New Roman" w:cs="Times New Roman"/>
          <w:sz w:val="24"/>
          <w:szCs w:val="24"/>
        </w:rPr>
        <w:t xml:space="preserve">transformational SMEs </w:t>
      </w:r>
      <w:r w:rsidRPr="000C4364">
        <w:rPr>
          <w:rFonts w:ascii="Times New Roman" w:hAnsi="Times New Roman" w:cs="Times New Roman"/>
          <w:sz w:val="24"/>
          <w:szCs w:val="24"/>
        </w:rPr>
        <w:t>never grow</w:t>
      </w:r>
      <w:r w:rsidR="007F26AA" w:rsidRPr="000C4364">
        <w:rPr>
          <w:rFonts w:ascii="Times New Roman" w:hAnsi="Times New Roman" w:cs="Times New Roman"/>
          <w:sz w:val="24"/>
          <w:szCs w:val="24"/>
        </w:rPr>
        <w:t xml:space="preserve"> </w:t>
      </w:r>
      <w:r w:rsidRPr="000C4364">
        <w:rPr>
          <w:rFonts w:ascii="Times New Roman" w:hAnsi="Times New Roman" w:cs="Times New Roman"/>
          <w:sz w:val="24"/>
          <w:szCs w:val="24"/>
        </w:rPr>
        <w:t>beyond a minimum efficiency scale due</w:t>
      </w:r>
      <w:r w:rsidR="00DA787A" w:rsidRPr="000C4364">
        <w:rPr>
          <w:rFonts w:ascii="Times New Roman" w:hAnsi="Times New Roman" w:cs="Times New Roman"/>
          <w:sz w:val="24"/>
          <w:szCs w:val="24"/>
        </w:rPr>
        <w:t xml:space="preserve"> to</w:t>
      </w:r>
      <w:r w:rsidRPr="000C4364">
        <w:rPr>
          <w:rFonts w:ascii="Times New Roman" w:hAnsi="Times New Roman" w:cs="Times New Roman"/>
          <w:sz w:val="24"/>
          <w:szCs w:val="24"/>
        </w:rPr>
        <w:t xml:space="preserve">, for example, </w:t>
      </w:r>
      <w:r w:rsidR="00282E1A" w:rsidRPr="000C4364">
        <w:rPr>
          <w:rFonts w:ascii="Times New Roman" w:hAnsi="Times New Roman" w:cs="Times New Roman"/>
          <w:sz w:val="24"/>
          <w:szCs w:val="24"/>
        </w:rPr>
        <w:t>owners</w:t>
      </w:r>
      <w:r w:rsidR="00531C0A" w:rsidRPr="000C4364">
        <w:rPr>
          <w:rFonts w:ascii="Times New Roman" w:hAnsi="Times New Roman" w:cs="Times New Roman"/>
          <w:sz w:val="24"/>
          <w:szCs w:val="24"/>
        </w:rPr>
        <w:t>’</w:t>
      </w:r>
      <w:r w:rsidR="00282E1A" w:rsidRPr="000C4364">
        <w:rPr>
          <w:rFonts w:ascii="Times New Roman" w:hAnsi="Times New Roman" w:cs="Times New Roman"/>
          <w:sz w:val="24"/>
          <w:szCs w:val="24"/>
        </w:rPr>
        <w:t xml:space="preserve"> </w:t>
      </w:r>
      <w:r w:rsidR="00C8784A" w:rsidRPr="000C4364">
        <w:rPr>
          <w:rFonts w:ascii="Times New Roman" w:hAnsi="Times New Roman" w:cs="Times New Roman"/>
          <w:sz w:val="24"/>
          <w:szCs w:val="24"/>
          <w:lang w:val="en-US"/>
        </w:rPr>
        <w:t>growth aspirations</w:t>
      </w:r>
      <w:r w:rsidRPr="000C4364">
        <w:rPr>
          <w:rFonts w:ascii="Times New Roman" w:hAnsi="Times New Roman" w:cs="Times New Roman"/>
          <w:sz w:val="24"/>
          <w:szCs w:val="24"/>
        </w:rPr>
        <w:t>, market failures, policy and</w:t>
      </w:r>
      <w:r w:rsidR="00FC5505" w:rsidRPr="000C4364">
        <w:rPr>
          <w:rFonts w:ascii="Times New Roman" w:hAnsi="Times New Roman" w:cs="Times New Roman"/>
          <w:sz w:val="24"/>
          <w:szCs w:val="24"/>
        </w:rPr>
        <w:t xml:space="preserve"> institutional constraints</w:t>
      </w:r>
      <w:r w:rsidRPr="000C4364">
        <w:rPr>
          <w:rFonts w:ascii="Times New Roman" w:hAnsi="Times New Roman" w:cs="Times New Roman"/>
          <w:sz w:val="24"/>
          <w:szCs w:val="24"/>
        </w:rPr>
        <w:t xml:space="preserve"> </w:t>
      </w:r>
      <w:r w:rsidR="004141CF" w:rsidRPr="000C4364">
        <w:rPr>
          <w:rFonts w:ascii="Times New Roman" w:hAnsi="Times New Roman" w:cs="Times New Roman"/>
          <w:sz w:val="24"/>
          <w:szCs w:val="24"/>
        </w:rPr>
        <w:t>and</w:t>
      </w:r>
      <w:r w:rsidR="00FC5505" w:rsidRPr="000C4364">
        <w:rPr>
          <w:rFonts w:ascii="Times New Roman" w:hAnsi="Times New Roman" w:cs="Times New Roman"/>
          <w:sz w:val="24"/>
          <w:szCs w:val="24"/>
        </w:rPr>
        <w:t>/or</w:t>
      </w:r>
      <w:r w:rsidR="004141CF" w:rsidRPr="000C4364">
        <w:rPr>
          <w:rFonts w:ascii="Times New Roman" w:hAnsi="Times New Roman" w:cs="Times New Roman"/>
          <w:sz w:val="24"/>
          <w:szCs w:val="24"/>
        </w:rPr>
        <w:t xml:space="preserve"> </w:t>
      </w:r>
      <w:r w:rsidR="003C1D69" w:rsidRPr="000C4364">
        <w:rPr>
          <w:rFonts w:ascii="Times New Roman" w:hAnsi="Times New Roman" w:cs="Times New Roman"/>
          <w:sz w:val="24"/>
          <w:szCs w:val="24"/>
        </w:rPr>
        <w:t xml:space="preserve">a </w:t>
      </w:r>
      <w:r w:rsidRPr="000C4364">
        <w:rPr>
          <w:rFonts w:ascii="Times New Roman" w:hAnsi="Times New Roman" w:cs="Times New Roman"/>
          <w:sz w:val="24"/>
          <w:szCs w:val="24"/>
        </w:rPr>
        <w:t>lack of access to adequately priced external finance (</w:t>
      </w:r>
      <w:proofErr w:type="spellStart"/>
      <w:r w:rsidRPr="000C4364">
        <w:rPr>
          <w:rFonts w:ascii="Times New Roman" w:hAnsi="Times New Roman" w:cs="Times New Roman"/>
          <w:sz w:val="24"/>
          <w:szCs w:val="24"/>
        </w:rPr>
        <w:t>Claessens</w:t>
      </w:r>
      <w:proofErr w:type="spellEnd"/>
      <w:r w:rsidRPr="000C4364">
        <w:rPr>
          <w:rFonts w:ascii="Times New Roman" w:hAnsi="Times New Roman" w:cs="Times New Roman"/>
          <w:sz w:val="24"/>
          <w:szCs w:val="24"/>
        </w:rPr>
        <w:t xml:space="preserve"> and </w:t>
      </w:r>
      <w:proofErr w:type="spellStart"/>
      <w:r w:rsidRPr="000C4364">
        <w:rPr>
          <w:rFonts w:ascii="Times New Roman" w:hAnsi="Times New Roman" w:cs="Times New Roman"/>
          <w:sz w:val="24"/>
          <w:szCs w:val="24"/>
        </w:rPr>
        <w:t>Perotti</w:t>
      </w:r>
      <w:proofErr w:type="spellEnd"/>
      <w:r w:rsidRPr="000C4364">
        <w:rPr>
          <w:rFonts w:ascii="Times New Roman" w:hAnsi="Times New Roman" w:cs="Times New Roman"/>
          <w:sz w:val="24"/>
          <w:szCs w:val="24"/>
        </w:rPr>
        <w:t xml:space="preserve">, 2007; Beck and </w:t>
      </w:r>
      <w:proofErr w:type="spellStart"/>
      <w:r w:rsidRPr="000C4364">
        <w:rPr>
          <w:rFonts w:ascii="Times New Roman" w:hAnsi="Times New Roman" w:cs="Times New Roman"/>
          <w:sz w:val="24"/>
          <w:szCs w:val="24"/>
        </w:rPr>
        <w:t>Demirguc-Kunt</w:t>
      </w:r>
      <w:proofErr w:type="spellEnd"/>
      <w:r w:rsidRPr="000C4364">
        <w:rPr>
          <w:rFonts w:ascii="Times New Roman" w:hAnsi="Times New Roman" w:cs="Times New Roman"/>
          <w:sz w:val="24"/>
          <w:szCs w:val="24"/>
        </w:rPr>
        <w:t>, 2006).</w:t>
      </w:r>
    </w:p>
    <w:p w:rsidR="004118AD" w:rsidRPr="000C4364" w:rsidRDefault="00DA787A"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A</w:t>
      </w:r>
      <w:r w:rsidR="00D40B00" w:rsidRPr="000C4364">
        <w:rPr>
          <w:rFonts w:ascii="Times New Roman" w:hAnsi="Times New Roman" w:cs="Times New Roman"/>
          <w:sz w:val="24"/>
          <w:szCs w:val="24"/>
        </w:rPr>
        <w:t>ccess to formal finance is generally lower in emerging economies</w:t>
      </w:r>
      <w:r w:rsidR="00DE5EAF" w:rsidRPr="000C4364">
        <w:rPr>
          <w:rFonts w:ascii="Times New Roman" w:hAnsi="Times New Roman" w:cs="Times New Roman"/>
          <w:sz w:val="24"/>
          <w:szCs w:val="24"/>
        </w:rPr>
        <w:t xml:space="preserve"> </w:t>
      </w:r>
      <w:r w:rsidR="00DE5EAF" w:rsidRPr="000C4364">
        <w:rPr>
          <w:rFonts w:ascii="Times New Roman" w:hAnsi="Times New Roman" w:cs="Times New Roman"/>
          <w:color w:val="000000" w:themeColor="text1"/>
          <w:sz w:val="24"/>
          <w:szCs w:val="24"/>
        </w:rPr>
        <w:t>(</w:t>
      </w:r>
      <w:proofErr w:type="spellStart"/>
      <w:r w:rsidR="00DE5EAF" w:rsidRPr="000C4364">
        <w:rPr>
          <w:rFonts w:ascii="Times New Roman" w:hAnsi="Times New Roman" w:cs="Times New Roman"/>
          <w:sz w:val="24"/>
          <w:szCs w:val="24"/>
        </w:rPr>
        <w:t>Arestis</w:t>
      </w:r>
      <w:proofErr w:type="spellEnd"/>
      <w:r w:rsidR="00DE5EAF" w:rsidRPr="000C4364">
        <w:rPr>
          <w:rFonts w:ascii="Times New Roman" w:hAnsi="Times New Roman" w:cs="Times New Roman"/>
          <w:sz w:val="24"/>
          <w:szCs w:val="24"/>
        </w:rPr>
        <w:t xml:space="preserve"> and </w:t>
      </w:r>
      <w:proofErr w:type="spellStart"/>
      <w:r w:rsidR="00DE5EAF" w:rsidRPr="000C4364">
        <w:rPr>
          <w:rFonts w:ascii="Times New Roman" w:hAnsi="Times New Roman" w:cs="Times New Roman"/>
          <w:sz w:val="24"/>
          <w:szCs w:val="24"/>
        </w:rPr>
        <w:t>Demetriades</w:t>
      </w:r>
      <w:proofErr w:type="spellEnd"/>
      <w:r w:rsidR="00DE5EAF" w:rsidRPr="000C4364">
        <w:rPr>
          <w:rFonts w:ascii="Times New Roman" w:hAnsi="Times New Roman" w:cs="Times New Roman"/>
          <w:sz w:val="24"/>
          <w:szCs w:val="24"/>
        </w:rPr>
        <w:t>, 1997)</w:t>
      </w:r>
      <w:r w:rsidR="00282E1A" w:rsidRPr="000C4364">
        <w:rPr>
          <w:rFonts w:ascii="Times New Roman" w:hAnsi="Times New Roman" w:cs="Times New Roman"/>
          <w:sz w:val="24"/>
          <w:szCs w:val="24"/>
        </w:rPr>
        <w:t>. A</w:t>
      </w:r>
      <w:r w:rsidR="00D40B00" w:rsidRPr="000C4364">
        <w:rPr>
          <w:rFonts w:ascii="Times New Roman" w:hAnsi="Times New Roman" w:cs="Times New Roman"/>
          <w:sz w:val="24"/>
          <w:szCs w:val="24"/>
        </w:rPr>
        <w:t xml:space="preserve">lmost one-third of enterprises in emerging economies cite </w:t>
      </w:r>
      <w:r w:rsidR="00FC5505" w:rsidRPr="000C4364">
        <w:rPr>
          <w:rFonts w:ascii="Times New Roman" w:hAnsi="Times New Roman" w:cs="Times New Roman"/>
          <w:sz w:val="24"/>
          <w:szCs w:val="24"/>
        </w:rPr>
        <w:t xml:space="preserve">a </w:t>
      </w:r>
      <w:r w:rsidR="00D40B00" w:rsidRPr="000C4364">
        <w:rPr>
          <w:rFonts w:ascii="Times New Roman" w:hAnsi="Times New Roman" w:cs="Times New Roman"/>
          <w:sz w:val="24"/>
          <w:szCs w:val="24"/>
        </w:rPr>
        <w:t xml:space="preserve">lack of external </w:t>
      </w:r>
      <w:r w:rsidR="003F481A" w:rsidRPr="000C4364">
        <w:rPr>
          <w:rFonts w:ascii="Times New Roman" w:hAnsi="Times New Roman" w:cs="Times New Roman"/>
          <w:sz w:val="24"/>
          <w:szCs w:val="24"/>
        </w:rPr>
        <w:t xml:space="preserve">finance as </w:t>
      </w:r>
      <w:r w:rsidR="00282E1A" w:rsidRPr="000C4364">
        <w:rPr>
          <w:rFonts w:ascii="Times New Roman" w:hAnsi="Times New Roman" w:cs="Times New Roman"/>
          <w:sz w:val="24"/>
          <w:szCs w:val="24"/>
        </w:rPr>
        <w:t xml:space="preserve">either </w:t>
      </w:r>
      <w:r w:rsidR="003F481A" w:rsidRPr="000C4364">
        <w:rPr>
          <w:rFonts w:ascii="Times New Roman" w:hAnsi="Times New Roman" w:cs="Times New Roman"/>
          <w:sz w:val="24"/>
          <w:szCs w:val="24"/>
        </w:rPr>
        <w:t xml:space="preserve">the main or a </w:t>
      </w:r>
      <w:r w:rsidR="00D40B00" w:rsidRPr="000C4364">
        <w:rPr>
          <w:rFonts w:ascii="Times New Roman" w:hAnsi="Times New Roman" w:cs="Times New Roman"/>
          <w:sz w:val="24"/>
          <w:szCs w:val="24"/>
        </w:rPr>
        <w:t xml:space="preserve">severe obstacle to their operation and growth (Beck and </w:t>
      </w:r>
      <w:proofErr w:type="spellStart"/>
      <w:r w:rsidR="00D40B00" w:rsidRPr="000C4364">
        <w:rPr>
          <w:rFonts w:ascii="Times New Roman" w:hAnsi="Times New Roman" w:cs="Times New Roman"/>
          <w:sz w:val="24"/>
          <w:szCs w:val="24"/>
        </w:rPr>
        <w:t>Demirguc-Kunt</w:t>
      </w:r>
      <w:proofErr w:type="spellEnd"/>
      <w:r w:rsidR="00D40B00" w:rsidRPr="000C4364">
        <w:rPr>
          <w:rFonts w:ascii="Times New Roman" w:hAnsi="Times New Roman" w:cs="Times New Roman"/>
          <w:sz w:val="24"/>
          <w:szCs w:val="24"/>
        </w:rPr>
        <w:t>, 2008). Poor access to financial services in developing countries may be due to high fixed costs associated with the provision of financial services and tight entry regulations (</w:t>
      </w:r>
      <w:proofErr w:type="spellStart"/>
      <w:r w:rsidR="00D40B00" w:rsidRPr="000C4364">
        <w:rPr>
          <w:rFonts w:ascii="Times New Roman" w:hAnsi="Times New Roman" w:cs="Times New Roman"/>
          <w:sz w:val="24"/>
          <w:szCs w:val="24"/>
        </w:rPr>
        <w:t>Claessens</w:t>
      </w:r>
      <w:proofErr w:type="spellEnd"/>
      <w:r w:rsidR="00D40B00" w:rsidRPr="000C4364">
        <w:rPr>
          <w:rFonts w:ascii="Times New Roman" w:hAnsi="Times New Roman" w:cs="Times New Roman"/>
          <w:sz w:val="24"/>
          <w:szCs w:val="24"/>
        </w:rPr>
        <w:t xml:space="preserve"> and </w:t>
      </w:r>
      <w:proofErr w:type="spellStart"/>
      <w:r w:rsidR="00D40B00" w:rsidRPr="000C4364">
        <w:rPr>
          <w:rFonts w:ascii="Times New Roman" w:hAnsi="Times New Roman" w:cs="Times New Roman"/>
          <w:sz w:val="24"/>
          <w:szCs w:val="24"/>
        </w:rPr>
        <w:t>Perotti</w:t>
      </w:r>
      <w:proofErr w:type="spellEnd"/>
      <w:r w:rsidR="00D40B00" w:rsidRPr="000C4364">
        <w:rPr>
          <w:rFonts w:ascii="Times New Roman" w:hAnsi="Times New Roman" w:cs="Times New Roman"/>
          <w:sz w:val="24"/>
          <w:szCs w:val="24"/>
        </w:rPr>
        <w:t>, 2007)</w:t>
      </w:r>
      <w:r w:rsidR="00282E1A" w:rsidRPr="000C4364">
        <w:rPr>
          <w:rFonts w:ascii="Times New Roman" w:hAnsi="Times New Roman" w:cs="Times New Roman"/>
          <w:sz w:val="24"/>
          <w:szCs w:val="24"/>
        </w:rPr>
        <w:t xml:space="preserve"> but low income </w:t>
      </w:r>
      <w:r w:rsidR="00FC5505" w:rsidRPr="000C4364">
        <w:rPr>
          <w:rFonts w:ascii="Times New Roman" w:hAnsi="Times New Roman" w:cs="Times New Roman"/>
          <w:sz w:val="24"/>
          <w:szCs w:val="24"/>
        </w:rPr>
        <w:t xml:space="preserve">countries </w:t>
      </w:r>
      <w:r w:rsidR="00282E1A" w:rsidRPr="000C4364">
        <w:rPr>
          <w:rFonts w:ascii="Times New Roman" w:hAnsi="Times New Roman" w:cs="Times New Roman"/>
          <w:sz w:val="24"/>
          <w:szCs w:val="24"/>
        </w:rPr>
        <w:t xml:space="preserve">typically </w:t>
      </w:r>
      <w:r w:rsidR="00D40B00" w:rsidRPr="000C4364">
        <w:rPr>
          <w:rFonts w:ascii="Times New Roman" w:hAnsi="Times New Roman" w:cs="Times New Roman"/>
          <w:sz w:val="24"/>
          <w:szCs w:val="24"/>
        </w:rPr>
        <w:t xml:space="preserve">lack a </w:t>
      </w:r>
      <w:r w:rsidR="00D40B00" w:rsidRPr="000C4364">
        <w:rPr>
          <w:rFonts w:ascii="Times New Roman" w:hAnsi="Times New Roman" w:cs="Times New Roman"/>
          <w:sz w:val="24"/>
          <w:szCs w:val="24"/>
        </w:rPr>
        <w:lastRenderedPageBreak/>
        <w:t>sufficiently large pool of domestic savings t</w:t>
      </w:r>
      <w:r w:rsidR="00282E1A" w:rsidRPr="000C4364">
        <w:rPr>
          <w:rFonts w:ascii="Times New Roman" w:hAnsi="Times New Roman" w:cs="Times New Roman"/>
          <w:sz w:val="24"/>
          <w:szCs w:val="24"/>
        </w:rPr>
        <w:t xml:space="preserve">hat can be </w:t>
      </w:r>
      <w:r w:rsidR="00D40B00" w:rsidRPr="000C4364">
        <w:rPr>
          <w:rFonts w:ascii="Times New Roman" w:hAnsi="Times New Roman" w:cs="Times New Roman"/>
          <w:sz w:val="24"/>
          <w:szCs w:val="24"/>
        </w:rPr>
        <w:t xml:space="preserve">efficiently mobilised to meet </w:t>
      </w:r>
      <w:r w:rsidRPr="000C4364">
        <w:rPr>
          <w:rFonts w:ascii="Times New Roman" w:hAnsi="Times New Roman" w:cs="Times New Roman"/>
          <w:sz w:val="24"/>
          <w:szCs w:val="24"/>
        </w:rPr>
        <w:t xml:space="preserve">the </w:t>
      </w:r>
      <w:r w:rsidR="00D40B00" w:rsidRPr="000C4364">
        <w:rPr>
          <w:rFonts w:ascii="Times New Roman" w:hAnsi="Times New Roman" w:cs="Times New Roman"/>
          <w:sz w:val="24"/>
          <w:szCs w:val="24"/>
        </w:rPr>
        <w:t xml:space="preserve">demands for external finance. </w:t>
      </w:r>
      <w:r w:rsidR="000D7A6B" w:rsidRPr="000C4364">
        <w:rPr>
          <w:rFonts w:ascii="Times New Roman" w:hAnsi="Times New Roman" w:cs="Times New Roman"/>
          <w:sz w:val="24"/>
          <w:szCs w:val="24"/>
        </w:rPr>
        <w:t xml:space="preserve">The </w:t>
      </w:r>
      <w:r w:rsidR="00612DE1" w:rsidRPr="000C4364">
        <w:rPr>
          <w:rFonts w:ascii="Times New Roman" w:hAnsi="Times New Roman" w:cs="Times New Roman"/>
          <w:sz w:val="24"/>
          <w:szCs w:val="24"/>
        </w:rPr>
        <w:t>existence</w:t>
      </w:r>
      <w:r w:rsidR="00D40B00" w:rsidRPr="000C4364">
        <w:rPr>
          <w:rFonts w:ascii="Times New Roman" w:hAnsi="Times New Roman" w:cs="Times New Roman"/>
          <w:sz w:val="24"/>
          <w:szCs w:val="24"/>
        </w:rPr>
        <w:t xml:space="preserve"> of th</w:t>
      </w:r>
      <w:r w:rsidR="00282E1A" w:rsidRPr="000C4364">
        <w:rPr>
          <w:rFonts w:ascii="Times New Roman" w:hAnsi="Times New Roman" w:cs="Times New Roman"/>
          <w:sz w:val="24"/>
          <w:szCs w:val="24"/>
        </w:rPr>
        <w:t xml:space="preserve">is </w:t>
      </w:r>
      <w:r w:rsidR="00D40B00" w:rsidRPr="000C4364">
        <w:rPr>
          <w:rFonts w:ascii="Times New Roman" w:hAnsi="Times New Roman" w:cs="Times New Roman"/>
          <w:sz w:val="24"/>
          <w:szCs w:val="24"/>
        </w:rPr>
        <w:t>problem over a longer run can be explained by political factors</w:t>
      </w:r>
      <w:r w:rsidR="00282E1A" w:rsidRPr="000C4364">
        <w:rPr>
          <w:rFonts w:ascii="Times New Roman" w:hAnsi="Times New Roman" w:cs="Times New Roman"/>
          <w:sz w:val="24"/>
          <w:szCs w:val="24"/>
        </w:rPr>
        <w:t xml:space="preserve">; for instance, </w:t>
      </w:r>
      <w:r w:rsidR="00D40B00" w:rsidRPr="000C4364">
        <w:rPr>
          <w:rFonts w:ascii="Times New Roman" w:hAnsi="Times New Roman" w:cs="Times New Roman"/>
          <w:sz w:val="24"/>
          <w:szCs w:val="24"/>
        </w:rPr>
        <w:t xml:space="preserve">reforms </w:t>
      </w:r>
      <w:r w:rsidR="00FC5505" w:rsidRPr="000C4364">
        <w:rPr>
          <w:rFonts w:ascii="Times New Roman" w:hAnsi="Times New Roman" w:cs="Times New Roman"/>
          <w:sz w:val="24"/>
          <w:szCs w:val="24"/>
        </w:rPr>
        <w:t xml:space="preserve">that </w:t>
      </w:r>
      <w:r w:rsidRPr="000C4364">
        <w:rPr>
          <w:rFonts w:ascii="Times New Roman" w:hAnsi="Times New Roman" w:cs="Times New Roman"/>
          <w:sz w:val="24"/>
          <w:szCs w:val="24"/>
        </w:rPr>
        <w:t>might</w:t>
      </w:r>
      <w:r w:rsidR="00420F0C" w:rsidRPr="000C4364">
        <w:rPr>
          <w:rFonts w:ascii="Times New Roman" w:hAnsi="Times New Roman" w:cs="Times New Roman"/>
          <w:sz w:val="24"/>
          <w:szCs w:val="24"/>
        </w:rPr>
        <w:t xml:space="preserve"> </w:t>
      </w:r>
      <w:r w:rsidR="00282E1A" w:rsidRPr="000C4364">
        <w:rPr>
          <w:rFonts w:ascii="Times New Roman" w:hAnsi="Times New Roman" w:cs="Times New Roman"/>
          <w:sz w:val="24"/>
          <w:szCs w:val="24"/>
        </w:rPr>
        <w:t xml:space="preserve">challenge </w:t>
      </w:r>
      <w:r w:rsidR="00D40B00" w:rsidRPr="000C4364">
        <w:rPr>
          <w:rFonts w:ascii="Times New Roman" w:hAnsi="Times New Roman" w:cs="Times New Roman"/>
          <w:sz w:val="24"/>
          <w:szCs w:val="24"/>
        </w:rPr>
        <w:t xml:space="preserve">the status quo </w:t>
      </w:r>
      <w:r w:rsidR="00282E1A" w:rsidRPr="000C4364">
        <w:rPr>
          <w:rFonts w:ascii="Times New Roman" w:hAnsi="Times New Roman" w:cs="Times New Roman"/>
          <w:sz w:val="24"/>
          <w:szCs w:val="24"/>
        </w:rPr>
        <w:t xml:space="preserve">and affect </w:t>
      </w:r>
      <w:r w:rsidR="00D40B00" w:rsidRPr="000C4364">
        <w:rPr>
          <w:rFonts w:ascii="Times New Roman" w:hAnsi="Times New Roman" w:cs="Times New Roman"/>
          <w:sz w:val="24"/>
          <w:szCs w:val="24"/>
        </w:rPr>
        <w:t>the ability of the incumbent elite to extract rents</w:t>
      </w:r>
      <w:r w:rsidR="00282E1A" w:rsidRPr="000C4364">
        <w:rPr>
          <w:rFonts w:ascii="Times New Roman" w:hAnsi="Times New Roman" w:cs="Times New Roman"/>
          <w:sz w:val="24"/>
          <w:szCs w:val="24"/>
        </w:rPr>
        <w:t xml:space="preserve"> would be resisted</w:t>
      </w:r>
      <w:r w:rsidR="00420F0C" w:rsidRPr="000C4364">
        <w:rPr>
          <w:rFonts w:ascii="Times New Roman" w:hAnsi="Times New Roman" w:cs="Times New Roman"/>
          <w:sz w:val="24"/>
          <w:szCs w:val="24"/>
        </w:rPr>
        <w:t xml:space="preserve"> by </w:t>
      </w:r>
      <w:proofErr w:type="gramStart"/>
      <w:r w:rsidR="00420F0C" w:rsidRPr="000C4364">
        <w:rPr>
          <w:rFonts w:ascii="Times New Roman" w:hAnsi="Times New Roman" w:cs="Times New Roman"/>
          <w:sz w:val="24"/>
          <w:szCs w:val="24"/>
        </w:rPr>
        <w:t>th</w:t>
      </w:r>
      <w:r w:rsidR="003C1D69" w:rsidRPr="000C4364">
        <w:rPr>
          <w:rFonts w:ascii="Times New Roman" w:hAnsi="Times New Roman" w:cs="Times New Roman"/>
          <w:sz w:val="24"/>
          <w:szCs w:val="24"/>
        </w:rPr>
        <w:t>at</w:t>
      </w:r>
      <w:proofErr w:type="gramEnd"/>
      <w:r w:rsidR="00420F0C" w:rsidRPr="000C4364">
        <w:rPr>
          <w:rFonts w:ascii="Times New Roman" w:hAnsi="Times New Roman" w:cs="Times New Roman"/>
          <w:sz w:val="24"/>
          <w:szCs w:val="24"/>
        </w:rPr>
        <w:t xml:space="preserve"> incumbent elite</w:t>
      </w:r>
      <w:r w:rsidR="00282E1A"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w:t>
      </w:r>
      <w:proofErr w:type="spellStart"/>
      <w:r w:rsidR="00D40B00" w:rsidRPr="000C4364">
        <w:rPr>
          <w:rFonts w:ascii="Times New Roman" w:hAnsi="Times New Roman" w:cs="Times New Roman"/>
          <w:sz w:val="24"/>
          <w:szCs w:val="24"/>
        </w:rPr>
        <w:t>Acemoglu</w:t>
      </w:r>
      <w:proofErr w:type="spellEnd"/>
      <w:r w:rsidR="00D40B00"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D40B00" w:rsidRPr="000C4364">
        <w:rPr>
          <w:rFonts w:ascii="Times New Roman" w:hAnsi="Times New Roman" w:cs="Times New Roman"/>
          <w:sz w:val="24"/>
          <w:szCs w:val="24"/>
        </w:rPr>
        <w:t>, 2005).</w:t>
      </w:r>
    </w:p>
    <w:p w:rsidR="00F02EB1" w:rsidRPr="000C4364" w:rsidRDefault="00420F0C"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In principle, u</w:t>
      </w:r>
      <w:r w:rsidR="00D40B00" w:rsidRPr="000C4364">
        <w:rPr>
          <w:rFonts w:ascii="Times New Roman" w:hAnsi="Times New Roman" w:cs="Times New Roman"/>
          <w:sz w:val="24"/>
          <w:szCs w:val="24"/>
        </w:rPr>
        <w:t>nder perfectly functioning market conditions</w:t>
      </w:r>
      <w:r w:rsidR="00DA787A" w:rsidRPr="000C4364">
        <w:rPr>
          <w:rFonts w:ascii="Times New Roman" w:hAnsi="Times New Roman" w:cs="Times New Roman"/>
          <w:sz w:val="24"/>
          <w:szCs w:val="24"/>
        </w:rPr>
        <w:t>,</w:t>
      </w:r>
      <w:r w:rsidR="00D40B00" w:rsidRPr="000C4364">
        <w:rPr>
          <w:rFonts w:ascii="Times New Roman" w:hAnsi="Times New Roman" w:cs="Times New Roman"/>
          <w:sz w:val="24"/>
          <w:szCs w:val="24"/>
        </w:rPr>
        <w:t xml:space="preserve"> enterprises should be indifferent between alternative sources of external finance (Modigliani and Miller, 1958, 1961) and all projects with positive net present value</w:t>
      </w:r>
      <w:r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should be financed regardless of enterprise s</w:t>
      </w:r>
      <w:r w:rsidRPr="000C4364">
        <w:rPr>
          <w:rFonts w:ascii="Times New Roman" w:hAnsi="Times New Roman" w:cs="Times New Roman"/>
          <w:sz w:val="24"/>
          <w:szCs w:val="24"/>
        </w:rPr>
        <w:t>iz</w:t>
      </w:r>
      <w:r w:rsidR="00586691" w:rsidRPr="000C4364">
        <w:rPr>
          <w:rFonts w:ascii="Times New Roman" w:hAnsi="Times New Roman" w:cs="Times New Roman"/>
          <w:sz w:val="24"/>
          <w:szCs w:val="24"/>
        </w:rPr>
        <w:t>e</w:t>
      </w:r>
      <w:r w:rsidR="00D40B00" w:rsidRPr="000C4364">
        <w:rPr>
          <w:rFonts w:ascii="Times New Roman" w:hAnsi="Times New Roman" w:cs="Times New Roman"/>
          <w:sz w:val="24"/>
          <w:szCs w:val="24"/>
        </w:rPr>
        <w:t xml:space="preserve">. </w:t>
      </w:r>
      <w:r w:rsidR="00FC5505" w:rsidRPr="000C4364">
        <w:rPr>
          <w:rFonts w:ascii="Times New Roman" w:hAnsi="Times New Roman" w:cs="Times New Roman"/>
          <w:sz w:val="24"/>
          <w:szCs w:val="24"/>
        </w:rPr>
        <w:t>However</w:t>
      </w:r>
      <w:r w:rsidR="00D40B00" w:rsidRPr="000C4364">
        <w:rPr>
          <w:rFonts w:ascii="Times New Roman" w:hAnsi="Times New Roman" w:cs="Times New Roman"/>
          <w:sz w:val="24"/>
          <w:szCs w:val="24"/>
        </w:rPr>
        <w:t xml:space="preserve">, in practice, </w:t>
      </w:r>
      <w:r w:rsidRPr="000C4364">
        <w:rPr>
          <w:rFonts w:ascii="Times New Roman" w:hAnsi="Times New Roman" w:cs="Times New Roman"/>
          <w:sz w:val="24"/>
          <w:szCs w:val="24"/>
        </w:rPr>
        <w:t xml:space="preserve">SMEs </w:t>
      </w:r>
      <w:r w:rsidR="00DA787A" w:rsidRPr="000C4364">
        <w:rPr>
          <w:rFonts w:ascii="Times New Roman" w:hAnsi="Times New Roman" w:cs="Times New Roman"/>
          <w:sz w:val="24"/>
          <w:szCs w:val="24"/>
        </w:rPr>
        <w:t xml:space="preserve">often </w:t>
      </w:r>
      <w:r w:rsidRPr="000C4364">
        <w:rPr>
          <w:rFonts w:ascii="Times New Roman" w:hAnsi="Times New Roman" w:cs="Times New Roman"/>
          <w:sz w:val="24"/>
          <w:szCs w:val="24"/>
        </w:rPr>
        <w:t xml:space="preserve">rely on bank loans out </w:t>
      </w:r>
      <w:r w:rsidR="00D40B00" w:rsidRPr="000C4364">
        <w:rPr>
          <w:rFonts w:ascii="Times New Roman" w:hAnsi="Times New Roman" w:cs="Times New Roman"/>
          <w:sz w:val="24"/>
          <w:szCs w:val="24"/>
        </w:rPr>
        <w:t>of all the possible sources of external finance (</w:t>
      </w:r>
      <w:r w:rsidR="009779B4" w:rsidRPr="000C4364">
        <w:rPr>
          <w:rFonts w:ascii="Times New Roman" w:hAnsi="Times New Roman" w:cs="Times New Roman"/>
          <w:sz w:val="24"/>
          <w:szCs w:val="24"/>
        </w:rPr>
        <w:t xml:space="preserve">Berger and </w:t>
      </w:r>
      <w:proofErr w:type="spellStart"/>
      <w:r w:rsidR="009779B4" w:rsidRPr="000C4364">
        <w:rPr>
          <w:rFonts w:ascii="Times New Roman" w:hAnsi="Times New Roman" w:cs="Times New Roman"/>
          <w:sz w:val="24"/>
          <w:szCs w:val="24"/>
        </w:rPr>
        <w:t>Udell</w:t>
      </w:r>
      <w:proofErr w:type="spellEnd"/>
      <w:r w:rsidR="009779B4" w:rsidRPr="000C4364">
        <w:rPr>
          <w:rFonts w:ascii="Times New Roman" w:hAnsi="Times New Roman" w:cs="Times New Roman"/>
          <w:sz w:val="24"/>
          <w:szCs w:val="24"/>
        </w:rPr>
        <w:t xml:space="preserve">, 1996; </w:t>
      </w:r>
      <w:proofErr w:type="spellStart"/>
      <w:r w:rsidR="00D40B00" w:rsidRPr="000C4364">
        <w:rPr>
          <w:rFonts w:ascii="Times New Roman" w:hAnsi="Times New Roman" w:cs="Times New Roman"/>
          <w:sz w:val="24"/>
          <w:szCs w:val="24"/>
        </w:rPr>
        <w:t>Cressy</w:t>
      </w:r>
      <w:proofErr w:type="spellEnd"/>
      <w:r w:rsidR="00D40B00" w:rsidRPr="000C4364">
        <w:rPr>
          <w:rFonts w:ascii="Times New Roman" w:hAnsi="Times New Roman" w:cs="Times New Roman"/>
          <w:sz w:val="24"/>
          <w:szCs w:val="24"/>
        </w:rPr>
        <w:t xml:space="preserve"> and </w:t>
      </w:r>
      <w:proofErr w:type="spellStart"/>
      <w:r w:rsidR="00D40B00" w:rsidRPr="000C4364">
        <w:rPr>
          <w:rFonts w:ascii="Times New Roman" w:hAnsi="Times New Roman" w:cs="Times New Roman"/>
          <w:sz w:val="24"/>
          <w:szCs w:val="24"/>
        </w:rPr>
        <w:t>Olofsson</w:t>
      </w:r>
      <w:proofErr w:type="spellEnd"/>
      <w:r w:rsidR="00D40B00" w:rsidRPr="000C4364">
        <w:rPr>
          <w:rFonts w:ascii="Times New Roman" w:hAnsi="Times New Roman" w:cs="Times New Roman"/>
          <w:sz w:val="24"/>
          <w:szCs w:val="24"/>
        </w:rPr>
        <w:t xml:space="preserve">, 1997; </w:t>
      </w:r>
      <w:r w:rsidR="009779B4" w:rsidRPr="000C4364">
        <w:rPr>
          <w:rFonts w:ascii="Times New Roman" w:hAnsi="Times New Roman" w:cs="Times New Roman"/>
          <w:sz w:val="24"/>
          <w:szCs w:val="24"/>
        </w:rPr>
        <w:t>Myers, 2000;</w:t>
      </w:r>
      <w:r w:rsidR="004118AD"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Hussain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9779B4" w:rsidRPr="000C4364">
        <w:rPr>
          <w:rFonts w:ascii="Times New Roman" w:hAnsi="Times New Roman" w:cs="Times New Roman"/>
          <w:sz w:val="24"/>
          <w:szCs w:val="24"/>
        </w:rPr>
        <w:t>, 2006</w:t>
      </w:r>
      <w:r w:rsidR="00D40B00" w:rsidRPr="000C4364">
        <w:rPr>
          <w:rFonts w:ascii="Times New Roman" w:hAnsi="Times New Roman" w:cs="Times New Roman"/>
          <w:sz w:val="24"/>
          <w:szCs w:val="24"/>
        </w:rPr>
        <w:t>)</w:t>
      </w:r>
      <w:r w:rsidR="000D7A6B" w:rsidRPr="000C4364">
        <w:rPr>
          <w:rFonts w:ascii="Times New Roman" w:hAnsi="Times New Roman" w:cs="Times New Roman"/>
          <w:sz w:val="24"/>
          <w:szCs w:val="24"/>
        </w:rPr>
        <w:t xml:space="preserve"> and </w:t>
      </w:r>
      <w:r w:rsidR="00D40B00" w:rsidRPr="000C4364">
        <w:rPr>
          <w:rFonts w:ascii="Times New Roman" w:hAnsi="Times New Roman" w:cs="Times New Roman"/>
          <w:sz w:val="24"/>
          <w:szCs w:val="24"/>
        </w:rPr>
        <w:t xml:space="preserve">the distribution of limited formal finance is skewed against SMEs who </w:t>
      </w:r>
      <w:r w:rsidRPr="000C4364">
        <w:rPr>
          <w:rFonts w:ascii="Times New Roman" w:hAnsi="Times New Roman" w:cs="Times New Roman"/>
          <w:sz w:val="24"/>
          <w:szCs w:val="24"/>
        </w:rPr>
        <w:t xml:space="preserve">subsequently </w:t>
      </w:r>
      <w:r w:rsidR="00D40B00" w:rsidRPr="000C4364">
        <w:rPr>
          <w:rFonts w:ascii="Times New Roman" w:hAnsi="Times New Roman" w:cs="Times New Roman"/>
          <w:sz w:val="24"/>
          <w:szCs w:val="24"/>
        </w:rPr>
        <w:t xml:space="preserve">pay higher </w:t>
      </w:r>
      <w:r w:rsidR="00A2552E" w:rsidRPr="000C4364">
        <w:rPr>
          <w:rFonts w:ascii="Times New Roman" w:hAnsi="Times New Roman" w:cs="Times New Roman"/>
          <w:sz w:val="24"/>
          <w:szCs w:val="24"/>
        </w:rPr>
        <w:t>interest</w:t>
      </w:r>
      <w:r w:rsidR="00D40B00" w:rsidRPr="000C4364">
        <w:rPr>
          <w:rFonts w:ascii="Times New Roman" w:hAnsi="Times New Roman" w:cs="Times New Roman"/>
          <w:sz w:val="24"/>
          <w:szCs w:val="24"/>
        </w:rPr>
        <w:t xml:space="preserve"> rates than their larger counterparts (</w:t>
      </w:r>
      <w:proofErr w:type="spellStart"/>
      <w:r w:rsidR="009779B4" w:rsidRPr="000C4364">
        <w:rPr>
          <w:rFonts w:ascii="Times New Roman" w:hAnsi="Times New Roman" w:cs="Times New Roman"/>
          <w:sz w:val="24"/>
          <w:szCs w:val="24"/>
        </w:rPr>
        <w:t>Pissarides</w:t>
      </w:r>
      <w:proofErr w:type="spellEnd"/>
      <w:r w:rsidR="009779B4" w:rsidRPr="000C4364">
        <w:rPr>
          <w:rFonts w:ascii="Times New Roman" w:hAnsi="Times New Roman" w:cs="Times New Roman"/>
          <w:sz w:val="24"/>
          <w:szCs w:val="24"/>
        </w:rPr>
        <w:t xml:space="preserve">, 1999; </w:t>
      </w:r>
      <w:r w:rsidR="00D40B00" w:rsidRPr="000C4364">
        <w:rPr>
          <w:rFonts w:ascii="Times New Roman" w:hAnsi="Times New Roman" w:cs="Times New Roman"/>
          <w:sz w:val="24"/>
          <w:szCs w:val="24"/>
        </w:rPr>
        <w:t xml:space="preserve">Beck and </w:t>
      </w:r>
      <w:proofErr w:type="spellStart"/>
      <w:r w:rsidR="00D40B00" w:rsidRPr="000C4364">
        <w:rPr>
          <w:rFonts w:ascii="Times New Roman" w:hAnsi="Times New Roman" w:cs="Times New Roman"/>
          <w:sz w:val="24"/>
          <w:szCs w:val="24"/>
        </w:rPr>
        <w:t>Demirguc-Kunt</w:t>
      </w:r>
      <w:proofErr w:type="spellEnd"/>
      <w:r w:rsidR="00D40B00" w:rsidRPr="000C4364">
        <w:rPr>
          <w:rFonts w:ascii="Times New Roman" w:hAnsi="Times New Roman" w:cs="Times New Roman"/>
          <w:sz w:val="24"/>
          <w:szCs w:val="24"/>
        </w:rPr>
        <w:t xml:space="preserve">, 2006; de la Torre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9779B4" w:rsidRPr="000C4364">
        <w:rPr>
          <w:rFonts w:ascii="Times New Roman" w:hAnsi="Times New Roman" w:cs="Times New Roman"/>
          <w:sz w:val="24"/>
          <w:szCs w:val="24"/>
        </w:rPr>
        <w:t>, 2010</w:t>
      </w:r>
      <w:r w:rsidR="00D40B00" w:rsidRPr="000C4364">
        <w:rPr>
          <w:rFonts w:ascii="Times New Roman" w:hAnsi="Times New Roman" w:cs="Times New Roman"/>
          <w:sz w:val="24"/>
          <w:szCs w:val="24"/>
        </w:rPr>
        <w:t>).</w:t>
      </w:r>
      <w:r w:rsidR="00D40B00" w:rsidRPr="000C4364">
        <w:rPr>
          <w:rFonts w:ascii="Times New Roman" w:hAnsi="Times New Roman" w:cs="Times New Roman"/>
          <w:color w:val="FF0000"/>
          <w:sz w:val="24"/>
          <w:szCs w:val="24"/>
        </w:rPr>
        <w:t xml:space="preserve"> </w:t>
      </w:r>
      <w:r w:rsidR="00D40B00" w:rsidRPr="000C4364">
        <w:rPr>
          <w:rFonts w:ascii="Times New Roman" w:hAnsi="Times New Roman" w:cs="Times New Roman"/>
          <w:sz w:val="24"/>
          <w:szCs w:val="24"/>
        </w:rPr>
        <w:t xml:space="preserve">Unequal access to finance affects </w:t>
      </w:r>
      <w:r w:rsidRPr="000C4364">
        <w:rPr>
          <w:rFonts w:ascii="Times New Roman" w:hAnsi="Times New Roman" w:cs="Times New Roman"/>
          <w:sz w:val="24"/>
          <w:szCs w:val="24"/>
        </w:rPr>
        <w:t xml:space="preserve">investment and </w:t>
      </w:r>
      <w:r w:rsidR="00D40B00" w:rsidRPr="000C4364">
        <w:rPr>
          <w:rFonts w:ascii="Times New Roman" w:hAnsi="Times New Roman" w:cs="Times New Roman"/>
          <w:sz w:val="24"/>
          <w:szCs w:val="24"/>
        </w:rPr>
        <w:t xml:space="preserve">growth because some profitable entrepreneurial initiatives may never </w:t>
      </w:r>
      <w:r w:rsidRPr="000C4364">
        <w:rPr>
          <w:rFonts w:ascii="Times New Roman" w:hAnsi="Times New Roman" w:cs="Times New Roman"/>
          <w:sz w:val="24"/>
          <w:szCs w:val="24"/>
        </w:rPr>
        <w:t xml:space="preserve">receive </w:t>
      </w:r>
      <w:r w:rsidR="008979E9" w:rsidRPr="000C4364">
        <w:rPr>
          <w:rFonts w:ascii="Times New Roman" w:hAnsi="Times New Roman" w:cs="Times New Roman"/>
          <w:sz w:val="24"/>
          <w:szCs w:val="24"/>
        </w:rPr>
        <w:t xml:space="preserve">external finance </w:t>
      </w:r>
      <w:r w:rsidR="00D04B50" w:rsidRPr="000C4364">
        <w:rPr>
          <w:rFonts w:ascii="Times New Roman" w:hAnsi="Times New Roman" w:cs="Times New Roman"/>
          <w:sz w:val="24"/>
          <w:szCs w:val="24"/>
        </w:rPr>
        <w:t xml:space="preserve">and </w:t>
      </w:r>
      <w:r w:rsidR="00D40B00" w:rsidRPr="000C4364">
        <w:rPr>
          <w:rFonts w:ascii="Times New Roman" w:hAnsi="Times New Roman" w:cs="Times New Roman"/>
          <w:sz w:val="24"/>
          <w:szCs w:val="24"/>
        </w:rPr>
        <w:t>will operate at sub-optimal levels despite having high capital productivity (</w:t>
      </w:r>
      <w:proofErr w:type="spellStart"/>
      <w:r w:rsidR="00D40B00" w:rsidRPr="000C4364">
        <w:rPr>
          <w:rFonts w:ascii="Times New Roman" w:hAnsi="Times New Roman" w:cs="Times New Roman"/>
          <w:sz w:val="24"/>
          <w:szCs w:val="24"/>
        </w:rPr>
        <w:t>Claessens</w:t>
      </w:r>
      <w:proofErr w:type="spellEnd"/>
      <w:r w:rsidR="00D40B00" w:rsidRPr="000C4364">
        <w:rPr>
          <w:rFonts w:ascii="Times New Roman" w:hAnsi="Times New Roman" w:cs="Times New Roman"/>
          <w:sz w:val="24"/>
          <w:szCs w:val="24"/>
        </w:rPr>
        <w:t xml:space="preserve"> and </w:t>
      </w:r>
      <w:proofErr w:type="spellStart"/>
      <w:r w:rsidR="00D40B00" w:rsidRPr="000C4364">
        <w:rPr>
          <w:rFonts w:ascii="Times New Roman" w:hAnsi="Times New Roman" w:cs="Times New Roman"/>
          <w:sz w:val="24"/>
          <w:szCs w:val="24"/>
        </w:rPr>
        <w:t>Perotti</w:t>
      </w:r>
      <w:proofErr w:type="spellEnd"/>
      <w:r w:rsidR="00D40B00" w:rsidRPr="000C4364">
        <w:rPr>
          <w:rFonts w:ascii="Times New Roman" w:hAnsi="Times New Roman" w:cs="Times New Roman"/>
          <w:sz w:val="24"/>
          <w:szCs w:val="24"/>
        </w:rPr>
        <w:t>, 2007).</w:t>
      </w:r>
    </w:p>
    <w:p w:rsidR="002C5279" w:rsidRPr="000C4364" w:rsidRDefault="00F02EB1"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color w:val="000000" w:themeColor="text1"/>
          <w:sz w:val="24"/>
          <w:szCs w:val="24"/>
        </w:rPr>
        <w:t>Conventional explanations of the unequal distribution of finance emphasise market and information imperfections</w:t>
      </w:r>
      <w:r w:rsidR="00541E78" w:rsidRPr="000C4364">
        <w:rPr>
          <w:rFonts w:ascii="Times New Roman" w:hAnsi="Times New Roman" w:cs="Times New Roman"/>
          <w:color w:val="000000" w:themeColor="text1"/>
          <w:sz w:val="24"/>
          <w:szCs w:val="24"/>
        </w:rPr>
        <w:t xml:space="preserve"> </w:t>
      </w:r>
      <w:r w:rsidRPr="000C4364">
        <w:rPr>
          <w:rFonts w:ascii="Times New Roman" w:hAnsi="Times New Roman" w:cs="Times New Roman"/>
          <w:color w:val="000000" w:themeColor="text1"/>
          <w:sz w:val="24"/>
          <w:szCs w:val="24"/>
        </w:rPr>
        <w:t>as the main underlying cause</w:t>
      </w:r>
      <w:r w:rsidR="009221AB" w:rsidRPr="000C4364">
        <w:rPr>
          <w:rFonts w:ascii="Times New Roman" w:hAnsi="Times New Roman" w:cs="Times New Roman"/>
          <w:color w:val="000000" w:themeColor="text1"/>
          <w:sz w:val="24"/>
          <w:szCs w:val="24"/>
        </w:rPr>
        <w:t>s</w:t>
      </w:r>
      <w:r w:rsidRPr="000C4364">
        <w:rPr>
          <w:rFonts w:ascii="Times New Roman" w:hAnsi="Times New Roman" w:cs="Times New Roman"/>
          <w:color w:val="000000" w:themeColor="text1"/>
          <w:sz w:val="24"/>
          <w:szCs w:val="24"/>
        </w:rPr>
        <w:t xml:space="preserve"> of misallocation </w:t>
      </w:r>
      <w:r w:rsidR="00DA787A" w:rsidRPr="000C4364">
        <w:rPr>
          <w:rFonts w:ascii="Times New Roman" w:hAnsi="Times New Roman" w:cs="Times New Roman"/>
          <w:color w:val="000000" w:themeColor="text1"/>
          <w:sz w:val="24"/>
          <w:szCs w:val="24"/>
        </w:rPr>
        <w:t xml:space="preserve">away from SMEs </w:t>
      </w:r>
      <w:r w:rsidRPr="000C4364">
        <w:rPr>
          <w:rFonts w:ascii="Times New Roman" w:hAnsi="Times New Roman" w:cs="Times New Roman"/>
          <w:color w:val="000000" w:themeColor="text1"/>
          <w:sz w:val="24"/>
          <w:szCs w:val="24"/>
        </w:rPr>
        <w:t>(</w:t>
      </w:r>
      <w:r w:rsidR="00541E78" w:rsidRPr="000C4364">
        <w:rPr>
          <w:rFonts w:ascii="Times New Roman" w:hAnsi="Times New Roman" w:cs="Times New Roman"/>
          <w:color w:val="000000" w:themeColor="text1"/>
          <w:sz w:val="24"/>
          <w:szCs w:val="24"/>
        </w:rPr>
        <w:t>Stiglitz and Weiss, 1981</w:t>
      </w:r>
      <w:r w:rsidRPr="000C4364">
        <w:rPr>
          <w:rFonts w:ascii="Times New Roman" w:hAnsi="Times New Roman" w:cs="Times New Roman"/>
          <w:color w:val="000000" w:themeColor="text1"/>
          <w:sz w:val="24"/>
          <w:szCs w:val="24"/>
        </w:rPr>
        <w:t>)</w:t>
      </w:r>
      <w:r w:rsidR="00541E78" w:rsidRPr="000C4364">
        <w:rPr>
          <w:rFonts w:ascii="Times New Roman" w:hAnsi="Times New Roman" w:cs="Times New Roman"/>
          <w:color w:val="000000" w:themeColor="text1"/>
          <w:sz w:val="24"/>
          <w:szCs w:val="24"/>
        </w:rPr>
        <w:t>, hence providing a rationale for government intervention in the credit markets (Storm, 2015, p. 687)</w:t>
      </w:r>
      <w:r w:rsidRPr="000C4364">
        <w:rPr>
          <w:rFonts w:ascii="Times New Roman" w:hAnsi="Times New Roman" w:cs="Times New Roman"/>
          <w:color w:val="000000" w:themeColor="text1"/>
          <w:sz w:val="24"/>
          <w:szCs w:val="24"/>
        </w:rPr>
        <w:t>.</w:t>
      </w:r>
      <w:r w:rsidRPr="000C4364">
        <w:rPr>
          <w:rFonts w:ascii="Times New Roman" w:hAnsi="Times New Roman" w:cs="Times New Roman"/>
          <w:sz w:val="24"/>
          <w:szCs w:val="24"/>
        </w:rPr>
        <w:t xml:space="preserve"> </w:t>
      </w:r>
      <w:r w:rsidR="009221AB" w:rsidRPr="000C4364">
        <w:rPr>
          <w:rFonts w:ascii="Times New Roman" w:hAnsi="Times New Roman" w:cs="Times New Roman"/>
          <w:sz w:val="24"/>
          <w:szCs w:val="24"/>
        </w:rPr>
        <w:t xml:space="preserve">These imperfections originate from a variety of areas. </w:t>
      </w:r>
      <w:r w:rsidR="00000849" w:rsidRPr="000C4364">
        <w:rPr>
          <w:rFonts w:ascii="Times New Roman" w:hAnsi="Times New Roman" w:cs="Times New Roman"/>
          <w:sz w:val="24"/>
          <w:szCs w:val="24"/>
        </w:rPr>
        <w:t xml:space="preserve">For instance, </w:t>
      </w:r>
      <w:r w:rsidR="00D40B00" w:rsidRPr="000C4364">
        <w:rPr>
          <w:rFonts w:ascii="Times New Roman" w:hAnsi="Times New Roman" w:cs="Times New Roman"/>
          <w:sz w:val="24"/>
          <w:szCs w:val="24"/>
        </w:rPr>
        <w:t xml:space="preserve">SMEs </w:t>
      </w:r>
      <w:r w:rsidR="00000849" w:rsidRPr="000C4364">
        <w:rPr>
          <w:rFonts w:ascii="Times New Roman" w:hAnsi="Times New Roman" w:cs="Times New Roman"/>
          <w:sz w:val="24"/>
          <w:szCs w:val="24"/>
        </w:rPr>
        <w:t xml:space="preserve">should not be regarded as </w:t>
      </w:r>
      <w:r w:rsidR="00FC5505" w:rsidRPr="000C4364">
        <w:rPr>
          <w:rFonts w:ascii="Times New Roman" w:hAnsi="Times New Roman" w:cs="Times New Roman"/>
          <w:sz w:val="24"/>
          <w:szCs w:val="24"/>
        </w:rPr>
        <w:t xml:space="preserve">simply </w:t>
      </w:r>
      <w:r w:rsidR="00D40B00" w:rsidRPr="000C4364">
        <w:rPr>
          <w:rFonts w:ascii="Times New Roman" w:hAnsi="Times New Roman" w:cs="Times New Roman"/>
          <w:sz w:val="24"/>
          <w:szCs w:val="24"/>
        </w:rPr>
        <w:t>scaled down versions of</w:t>
      </w:r>
      <w:r w:rsidR="00FC5505" w:rsidRPr="000C4364">
        <w:rPr>
          <w:rFonts w:ascii="Times New Roman" w:hAnsi="Times New Roman" w:cs="Times New Roman"/>
          <w:sz w:val="24"/>
          <w:szCs w:val="24"/>
        </w:rPr>
        <w:t xml:space="preserve"> large enterprises (Beck, 2013)</w:t>
      </w:r>
      <w:r w:rsidR="00000849" w:rsidRPr="000C4364">
        <w:rPr>
          <w:rFonts w:ascii="Times New Roman" w:hAnsi="Times New Roman" w:cs="Times New Roman"/>
          <w:sz w:val="24"/>
          <w:szCs w:val="24"/>
        </w:rPr>
        <w:t xml:space="preserve"> as </w:t>
      </w:r>
      <w:r w:rsidR="00DA787A" w:rsidRPr="000C4364">
        <w:rPr>
          <w:rFonts w:ascii="Times New Roman" w:hAnsi="Times New Roman" w:cs="Times New Roman"/>
          <w:sz w:val="24"/>
          <w:szCs w:val="24"/>
        </w:rPr>
        <w:t xml:space="preserve">they </w:t>
      </w:r>
      <w:r w:rsidR="00D40B00" w:rsidRPr="000C4364">
        <w:rPr>
          <w:rFonts w:ascii="Times New Roman" w:hAnsi="Times New Roman" w:cs="Times New Roman"/>
          <w:sz w:val="24"/>
          <w:szCs w:val="24"/>
        </w:rPr>
        <w:t xml:space="preserve">are usually younger, </w:t>
      </w:r>
      <w:r w:rsidR="00075574" w:rsidRPr="000C4364">
        <w:rPr>
          <w:rFonts w:ascii="Times New Roman" w:hAnsi="Times New Roman" w:cs="Times New Roman"/>
          <w:sz w:val="24"/>
          <w:szCs w:val="24"/>
        </w:rPr>
        <w:t xml:space="preserve">less likely to possess acceptable collateral, </w:t>
      </w:r>
      <w:r w:rsidR="00D40B00" w:rsidRPr="000C4364">
        <w:rPr>
          <w:rFonts w:ascii="Times New Roman" w:hAnsi="Times New Roman" w:cs="Times New Roman"/>
          <w:sz w:val="24"/>
          <w:szCs w:val="24"/>
        </w:rPr>
        <w:t>informationally more opaque</w:t>
      </w:r>
      <w:r w:rsidR="0069164D" w:rsidRPr="000C4364">
        <w:rPr>
          <w:rFonts w:ascii="Times New Roman" w:hAnsi="Times New Roman" w:cs="Times New Roman"/>
          <w:sz w:val="24"/>
          <w:szCs w:val="24"/>
        </w:rPr>
        <w:t xml:space="preserve"> and </w:t>
      </w:r>
      <w:r w:rsidR="00D40B00" w:rsidRPr="000C4364">
        <w:rPr>
          <w:rFonts w:ascii="Times New Roman" w:hAnsi="Times New Roman" w:cs="Times New Roman"/>
          <w:sz w:val="24"/>
          <w:szCs w:val="24"/>
        </w:rPr>
        <w:t>face stiffer competition in product markets, which</w:t>
      </w:r>
      <w:r w:rsidR="00075574" w:rsidRPr="000C4364">
        <w:rPr>
          <w:rFonts w:ascii="Times New Roman" w:hAnsi="Times New Roman" w:cs="Times New Roman"/>
          <w:sz w:val="24"/>
          <w:szCs w:val="24"/>
        </w:rPr>
        <w:t xml:space="preserve"> then</w:t>
      </w:r>
      <w:r w:rsidR="0069164D"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affect cash flow </w:t>
      </w:r>
      <w:r w:rsidR="00DA787A" w:rsidRPr="000C4364">
        <w:rPr>
          <w:rFonts w:ascii="Times New Roman" w:hAnsi="Times New Roman" w:cs="Times New Roman"/>
          <w:sz w:val="24"/>
          <w:szCs w:val="24"/>
        </w:rPr>
        <w:t xml:space="preserve">forecasting </w:t>
      </w:r>
      <w:r w:rsidR="00D40B00" w:rsidRPr="000C4364">
        <w:rPr>
          <w:rFonts w:ascii="Times New Roman" w:hAnsi="Times New Roman" w:cs="Times New Roman"/>
          <w:sz w:val="24"/>
          <w:szCs w:val="24"/>
        </w:rPr>
        <w:t xml:space="preserve">(Armstrong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D40B00" w:rsidRPr="000C4364">
        <w:rPr>
          <w:rFonts w:ascii="Times New Roman" w:hAnsi="Times New Roman" w:cs="Times New Roman"/>
          <w:sz w:val="24"/>
          <w:szCs w:val="24"/>
        </w:rPr>
        <w:t xml:space="preserve">, 2013; </w:t>
      </w:r>
      <w:proofErr w:type="spellStart"/>
      <w:r w:rsidR="00D40B00" w:rsidRPr="000C4364">
        <w:rPr>
          <w:rFonts w:ascii="Times New Roman" w:hAnsi="Times New Roman" w:cs="Times New Roman"/>
          <w:sz w:val="24"/>
          <w:szCs w:val="24"/>
        </w:rPr>
        <w:t>Pissarides</w:t>
      </w:r>
      <w:proofErr w:type="spellEnd"/>
      <w:r w:rsidR="00D40B00" w:rsidRPr="000C4364">
        <w:rPr>
          <w:rFonts w:ascii="Times New Roman" w:hAnsi="Times New Roman" w:cs="Times New Roman"/>
          <w:sz w:val="24"/>
          <w:szCs w:val="24"/>
        </w:rPr>
        <w:t xml:space="preserve">, 1999). </w:t>
      </w:r>
      <w:r w:rsidR="004008A2" w:rsidRPr="000C4364">
        <w:rPr>
          <w:rFonts w:ascii="Times New Roman" w:hAnsi="Times New Roman" w:cs="Times New Roman"/>
          <w:sz w:val="24"/>
          <w:szCs w:val="24"/>
        </w:rPr>
        <w:t>Further, d</w:t>
      </w:r>
      <w:r w:rsidR="00D40B00" w:rsidRPr="000C4364">
        <w:rPr>
          <w:rFonts w:ascii="Times New Roman" w:hAnsi="Times New Roman" w:cs="Times New Roman"/>
          <w:sz w:val="24"/>
          <w:szCs w:val="24"/>
        </w:rPr>
        <w:t xml:space="preserve">espite </w:t>
      </w:r>
      <w:r w:rsidR="00795640" w:rsidRPr="000C4364">
        <w:rPr>
          <w:rFonts w:ascii="Times New Roman" w:hAnsi="Times New Roman" w:cs="Times New Roman"/>
          <w:sz w:val="24"/>
          <w:szCs w:val="24"/>
        </w:rPr>
        <w:t xml:space="preserve">SMEs </w:t>
      </w:r>
      <w:r w:rsidR="00D40B00" w:rsidRPr="000C4364">
        <w:rPr>
          <w:rFonts w:ascii="Times New Roman" w:hAnsi="Times New Roman" w:cs="Times New Roman"/>
          <w:sz w:val="24"/>
          <w:szCs w:val="24"/>
        </w:rPr>
        <w:t xml:space="preserve">accounting for a large share of enterprises, banks cannot fully utilise the law of </w:t>
      </w:r>
      <w:r w:rsidR="00D40B00" w:rsidRPr="000C4364">
        <w:rPr>
          <w:rFonts w:ascii="Times New Roman" w:hAnsi="Times New Roman" w:cs="Times New Roman"/>
          <w:sz w:val="24"/>
          <w:szCs w:val="24"/>
        </w:rPr>
        <w:lastRenderedPageBreak/>
        <w:t xml:space="preserve">large numbers to exploit economies of scale and enjoy </w:t>
      </w:r>
      <w:r w:rsidR="006D4361" w:rsidRPr="000C4364">
        <w:rPr>
          <w:rFonts w:ascii="Times New Roman" w:hAnsi="Times New Roman" w:cs="Times New Roman"/>
          <w:sz w:val="24"/>
          <w:szCs w:val="24"/>
        </w:rPr>
        <w:t xml:space="preserve">the </w:t>
      </w:r>
      <w:r w:rsidR="00D40B00" w:rsidRPr="000C4364">
        <w:rPr>
          <w:rFonts w:ascii="Times New Roman" w:hAnsi="Times New Roman" w:cs="Times New Roman"/>
          <w:sz w:val="24"/>
          <w:szCs w:val="24"/>
        </w:rPr>
        <w:t>associated diversification benefits when lending to SMEs (Beck, 2013)</w:t>
      </w:r>
      <w:r w:rsidR="00075574" w:rsidRPr="000C4364">
        <w:rPr>
          <w:rFonts w:ascii="Times New Roman" w:hAnsi="Times New Roman" w:cs="Times New Roman"/>
          <w:sz w:val="24"/>
          <w:szCs w:val="24"/>
        </w:rPr>
        <w:t xml:space="preserve"> and hence </w:t>
      </w:r>
      <w:r w:rsidR="00D40B00" w:rsidRPr="000C4364">
        <w:rPr>
          <w:rFonts w:ascii="Times New Roman" w:hAnsi="Times New Roman" w:cs="Times New Roman"/>
          <w:sz w:val="24"/>
          <w:szCs w:val="24"/>
        </w:rPr>
        <w:t xml:space="preserve">lending to SMEs is </w:t>
      </w:r>
      <w:r w:rsidR="00DA787A" w:rsidRPr="000C4364">
        <w:rPr>
          <w:rFonts w:ascii="Times New Roman" w:hAnsi="Times New Roman" w:cs="Times New Roman"/>
          <w:sz w:val="24"/>
          <w:szCs w:val="24"/>
        </w:rPr>
        <w:t xml:space="preserve">seen as higher </w:t>
      </w:r>
      <w:r w:rsidR="00D40B00" w:rsidRPr="000C4364">
        <w:rPr>
          <w:rFonts w:ascii="Times New Roman" w:hAnsi="Times New Roman" w:cs="Times New Roman"/>
          <w:sz w:val="24"/>
          <w:szCs w:val="24"/>
        </w:rPr>
        <w:t xml:space="preserve">risk, </w:t>
      </w:r>
      <w:r w:rsidR="00FC5505" w:rsidRPr="000C4364">
        <w:rPr>
          <w:rFonts w:ascii="Times New Roman" w:hAnsi="Times New Roman" w:cs="Times New Roman"/>
          <w:sz w:val="24"/>
          <w:szCs w:val="24"/>
        </w:rPr>
        <w:t xml:space="preserve">which </w:t>
      </w:r>
      <w:r w:rsidR="00075574" w:rsidRPr="000C4364">
        <w:rPr>
          <w:rFonts w:ascii="Times New Roman" w:hAnsi="Times New Roman" w:cs="Times New Roman"/>
          <w:sz w:val="24"/>
          <w:szCs w:val="24"/>
        </w:rPr>
        <w:t xml:space="preserve">leads to </w:t>
      </w:r>
      <w:r w:rsidR="00D40B00" w:rsidRPr="000C4364">
        <w:rPr>
          <w:rFonts w:ascii="Times New Roman" w:hAnsi="Times New Roman" w:cs="Times New Roman"/>
          <w:sz w:val="24"/>
          <w:szCs w:val="24"/>
        </w:rPr>
        <w:t>lower supply and higher cost</w:t>
      </w:r>
      <w:r w:rsidR="00F95568"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of </w:t>
      </w:r>
      <w:r w:rsidR="00F95568" w:rsidRPr="000C4364">
        <w:rPr>
          <w:rFonts w:ascii="Times New Roman" w:hAnsi="Times New Roman" w:cs="Times New Roman"/>
          <w:sz w:val="24"/>
          <w:szCs w:val="24"/>
        </w:rPr>
        <w:t xml:space="preserve">bank </w:t>
      </w:r>
      <w:r w:rsidR="00D40B00" w:rsidRPr="000C4364">
        <w:rPr>
          <w:rFonts w:ascii="Times New Roman" w:hAnsi="Times New Roman" w:cs="Times New Roman"/>
          <w:sz w:val="24"/>
          <w:szCs w:val="24"/>
        </w:rPr>
        <w:t xml:space="preserve">loans to </w:t>
      </w:r>
      <w:r w:rsidR="00FC5505" w:rsidRPr="000C4364">
        <w:rPr>
          <w:rFonts w:ascii="Times New Roman" w:hAnsi="Times New Roman" w:cs="Times New Roman"/>
          <w:sz w:val="24"/>
          <w:szCs w:val="24"/>
        </w:rPr>
        <w:t>SMEs</w:t>
      </w:r>
      <w:r w:rsidR="00F015B4" w:rsidRPr="000C4364">
        <w:rPr>
          <w:rFonts w:ascii="Times New Roman" w:hAnsi="Times New Roman" w:cs="Times New Roman"/>
          <w:sz w:val="24"/>
          <w:szCs w:val="24"/>
        </w:rPr>
        <w:t xml:space="preserve"> (Berger </w:t>
      </w:r>
      <w:r w:rsidR="00CF5E5E" w:rsidRPr="000C4364">
        <w:rPr>
          <w:rFonts w:ascii="Times New Roman" w:hAnsi="Times New Roman" w:cs="Times New Roman"/>
          <w:i/>
          <w:sz w:val="24"/>
          <w:szCs w:val="24"/>
        </w:rPr>
        <w:t>et al</w:t>
      </w:r>
      <w:r w:rsidR="00F015B4" w:rsidRPr="000C4364">
        <w:rPr>
          <w:rFonts w:ascii="Times New Roman" w:hAnsi="Times New Roman" w:cs="Times New Roman"/>
          <w:sz w:val="24"/>
          <w:szCs w:val="24"/>
        </w:rPr>
        <w:t>., 2001</w:t>
      </w:r>
      <w:r w:rsidR="00D40B00" w:rsidRPr="000C4364">
        <w:rPr>
          <w:rFonts w:ascii="Times New Roman" w:hAnsi="Times New Roman" w:cs="Times New Roman"/>
          <w:sz w:val="24"/>
          <w:szCs w:val="24"/>
        </w:rPr>
        <w:t>).</w:t>
      </w:r>
    </w:p>
    <w:p w:rsidR="007A39CB" w:rsidRPr="000C4364" w:rsidRDefault="00886613"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 xml:space="preserve">An </w:t>
      </w:r>
      <w:r w:rsidR="00D40B00" w:rsidRPr="000C4364">
        <w:rPr>
          <w:rFonts w:ascii="Times New Roman" w:hAnsi="Times New Roman" w:cs="Times New Roman"/>
          <w:sz w:val="24"/>
          <w:szCs w:val="24"/>
        </w:rPr>
        <w:t xml:space="preserve">alternative </w:t>
      </w:r>
      <w:r w:rsidR="00122AFA" w:rsidRPr="000C4364">
        <w:rPr>
          <w:rFonts w:ascii="Times New Roman" w:hAnsi="Times New Roman" w:cs="Times New Roman"/>
          <w:sz w:val="24"/>
          <w:szCs w:val="24"/>
        </w:rPr>
        <w:t xml:space="preserve">explanation </w:t>
      </w:r>
      <w:r w:rsidR="000D7A6B" w:rsidRPr="000C4364">
        <w:rPr>
          <w:rFonts w:ascii="Times New Roman" w:hAnsi="Times New Roman" w:cs="Times New Roman"/>
          <w:sz w:val="24"/>
          <w:szCs w:val="24"/>
        </w:rPr>
        <w:t xml:space="preserve">of the asymmetric availability of formal finance has been put </w:t>
      </w:r>
      <w:r w:rsidR="00122AFA" w:rsidRPr="000C4364">
        <w:rPr>
          <w:rFonts w:ascii="Times New Roman" w:hAnsi="Times New Roman" w:cs="Times New Roman"/>
          <w:sz w:val="24"/>
          <w:szCs w:val="24"/>
        </w:rPr>
        <w:t xml:space="preserve">forward by </w:t>
      </w:r>
      <w:r w:rsidRPr="000C4364">
        <w:rPr>
          <w:rFonts w:ascii="Times New Roman" w:hAnsi="Times New Roman" w:cs="Times New Roman"/>
          <w:sz w:val="24"/>
          <w:szCs w:val="24"/>
        </w:rPr>
        <w:t>institutional econom</w:t>
      </w:r>
      <w:r w:rsidR="00122AFA" w:rsidRPr="000C4364">
        <w:rPr>
          <w:rFonts w:ascii="Times New Roman" w:hAnsi="Times New Roman" w:cs="Times New Roman"/>
          <w:sz w:val="24"/>
          <w:szCs w:val="24"/>
        </w:rPr>
        <w:t xml:space="preserve">ists </w:t>
      </w:r>
      <w:r w:rsidR="000D7A6B" w:rsidRPr="000C4364">
        <w:rPr>
          <w:rFonts w:ascii="Times New Roman" w:hAnsi="Times New Roman" w:cs="Times New Roman"/>
          <w:sz w:val="24"/>
          <w:szCs w:val="24"/>
        </w:rPr>
        <w:t xml:space="preserve">and </w:t>
      </w:r>
      <w:r w:rsidR="00D40B00" w:rsidRPr="000C4364">
        <w:rPr>
          <w:rFonts w:ascii="Times New Roman" w:hAnsi="Times New Roman" w:cs="Times New Roman"/>
          <w:sz w:val="24"/>
          <w:szCs w:val="24"/>
        </w:rPr>
        <w:t>emphasis</w:t>
      </w:r>
      <w:r w:rsidR="00122AFA" w:rsidRPr="000C4364">
        <w:rPr>
          <w:rFonts w:ascii="Times New Roman" w:hAnsi="Times New Roman" w:cs="Times New Roman"/>
          <w:sz w:val="24"/>
          <w:szCs w:val="24"/>
        </w:rPr>
        <w:t>es</w:t>
      </w:r>
      <w:r w:rsidR="00D40B00" w:rsidRPr="000C4364">
        <w:rPr>
          <w:rFonts w:ascii="Times New Roman" w:hAnsi="Times New Roman" w:cs="Times New Roman"/>
          <w:sz w:val="24"/>
          <w:szCs w:val="24"/>
        </w:rPr>
        <w:t xml:space="preserve"> the role of </w:t>
      </w:r>
      <w:r w:rsidR="00122AFA" w:rsidRPr="000C4364">
        <w:rPr>
          <w:rFonts w:ascii="Times New Roman" w:hAnsi="Times New Roman" w:cs="Times New Roman"/>
          <w:sz w:val="24"/>
          <w:szCs w:val="24"/>
        </w:rPr>
        <w:t xml:space="preserve">social and </w:t>
      </w:r>
      <w:r w:rsidR="00D40B00" w:rsidRPr="000C4364">
        <w:rPr>
          <w:rFonts w:ascii="Times New Roman" w:hAnsi="Times New Roman" w:cs="Times New Roman"/>
          <w:sz w:val="24"/>
          <w:szCs w:val="24"/>
        </w:rPr>
        <w:t xml:space="preserve">political factors. </w:t>
      </w:r>
      <w:r w:rsidR="004008A2" w:rsidRPr="000C4364">
        <w:rPr>
          <w:rFonts w:ascii="Times New Roman" w:hAnsi="Times New Roman" w:cs="Times New Roman"/>
          <w:sz w:val="24"/>
          <w:szCs w:val="24"/>
        </w:rPr>
        <w:t>According to this view, m</w:t>
      </w:r>
      <w:r w:rsidR="00D40B00" w:rsidRPr="000C4364">
        <w:rPr>
          <w:rFonts w:ascii="Times New Roman" w:hAnsi="Times New Roman" w:cs="Times New Roman"/>
          <w:sz w:val="24"/>
          <w:szCs w:val="24"/>
        </w:rPr>
        <w:t xml:space="preserve">odern market-based economies </w:t>
      </w:r>
      <w:r w:rsidR="00977296" w:rsidRPr="000C4364">
        <w:rPr>
          <w:rFonts w:ascii="Times New Roman" w:hAnsi="Times New Roman" w:cs="Times New Roman"/>
          <w:sz w:val="24"/>
          <w:szCs w:val="24"/>
        </w:rPr>
        <w:t>are</w:t>
      </w:r>
      <w:r w:rsidR="007F26AA" w:rsidRPr="000C4364">
        <w:rPr>
          <w:rFonts w:ascii="Times New Roman" w:hAnsi="Times New Roman" w:cs="Times New Roman"/>
          <w:sz w:val="24"/>
          <w:szCs w:val="24"/>
        </w:rPr>
        <w:t xml:space="preserve"> composed</w:t>
      </w:r>
      <w:r w:rsidR="00D40B00" w:rsidRPr="000C4364">
        <w:rPr>
          <w:rFonts w:ascii="Times New Roman" w:hAnsi="Times New Roman" w:cs="Times New Roman"/>
          <w:sz w:val="24"/>
          <w:szCs w:val="24"/>
        </w:rPr>
        <w:t xml:space="preserve"> of anonymous markets, impersonal bureaucratic organisations and communitarian institutions that depend upon interper</w:t>
      </w:r>
      <w:r w:rsidR="00F9306E" w:rsidRPr="000C4364">
        <w:rPr>
          <w:rFonts w:ascii="Times New Roman" w:hAnsi="Times New Roman" w:cs="Times New Roman"/>
          <w:sz w:val="24"/>
          <w:szCs w:val="24"/>
        </w:rPr>
        <w:t>sonal networks (</w:t>
      </w:r>
      <w:proofErr w:type="spellStart"/>
      <w:r w:rsidR="00F9306E" w:rsidRPr="000C4364">
        <w:rPr>
          <w:rFonts w:ascii="Times New Roman" w:hAnsi="Times New Roman" w:cs="Times New Roman"/>
          <w:sz w:val="24"/>
          <w:szCs w:val="24"/>
        </w:rPr>
        <w:t>Dasgupta</w:t>
      </w:r>
      <w:proofErr w:type="spellEnd"/>
      <w:r w:rsidR="00F9306E" w:rsidRPr="000C4364">
        <w:rPr>
          <w:rFonts w:ascii="Times New Roman" w:hAnsi="Times New Roman" w:cs="Times New Roman"/>
          <w:sz w:val="24"/>
          <w:szCs w:val="24"/>
        </w:rPr>
        <w:t>, 2005</w:t>
      </w:r>
      <w:r w:rsidR="002C5279" w:rsidRPr="000C4364">
        <w:rPr>
          <w:rFonts w:ascii="Times New Roman" w:hAnsi="Times New Roman" w:cs="Times New Roman"/>
          <w:sz w:val="24"/>
          <w:szCs w:val="24"/>
        </w:rPr>
        <w:t xml:space="preserve">, </w:t>
      </w:r>
      <w:proofErr w:type="spellStart"/>
      <w:r w:rsidR="002C5279" w:rsidRPr="000C4364">
        <w:rPr>
          <w:rFonts w:ascii="Times New Roman" w:hAnsi="Times New Roman" w:cs="Times New Roman"/>
          <w:color w:val="000000"/>
          <w:sz w:val="24"/>
          <w:szCs w:val="24"/>
        </w:rPr>
        <w:t>Bauernschuster</w:t>
      </w:r>
      <w:proofErr w:type="spellEnd"/>
      <w:r w:rsidR="002C5279" w:rsidRPr="000C4364">
        <w:rPr>
          <w:rFonts w:ascii="Times New Roman" w:hAnsi="Times New Roman" w:cs="Times New Roman"/>
          <w:color w:val="000000"/>
          <w:sz w:val="24"/>
          <w:szCs w:val="24"/>
        </w:rPr>
        <w:t xml:space="preserve"> </w:t>
      </w:r>
      <w:r w:rsidR="00CF5E5E" w:rsidRPr="000C4364">
        <w:rPr>
          <w:rFonts w:ascii="Times New Roman" w:hAnsi="Times New Roman" w:cs="Times New Roman"/>
          <w:i/>
          <w:color w:val="000000"/>
          <w:sz w:val="24"/>
          <w:szCs w:val="24"/>
        </w:rPr>
        <w:t>et al</w:t>
      </w:r>
      <w:r w:rsidR="002C5279" w:rsidRPr="000C4364">
        <w:rPr>
          <w:rFonts w:ascii="Times New Roman" w:hAnsi="Times New Roman" w:cs="Times New Roman"/>
          <w:color w:val="000000"/>
          <w:sz w:val="24"/>
          <w:szCs w:val="24"/>
        </w:rPr>
        <w:t>.</w:t>
      </w:r>
      <w:r w:rsidR="00CF5E5E" w:rsidRPr="000C4364">
        <w:rPr>
          <w:rFonts w:ascii="Times New Roman" w:hAnsi="Times New Roman" w:cs="Times New Roman"/>
          <w:color w:val="000000"/>
          <w:sz w:val="24"/>
          <w:szCs w:val="24"/>
        </w:rPr>
        <w:t>,</w:t>
      </w:r>
      <w:r w:rsidR="002C5279" w:rsidRPr="000C4364">
        <w:rPr>
          <w:rFonts w:ascii="Times New Roman" w:hAnsi="Times New Roman" w:cs="Times New Roman"/>
          <w:color w:val="000000"/>
          <w:sz w:val="24"/>
          <w:szCs w:val="24"/>
        </w:rPr>
        <w:t xml:space="preserve"> 2010</w:t>
      </w:r>
      <w:r w:rsidR="00D40B00" w:rsidRPr="000C4364">
        <w:rPr>
          <w:rFonts w:ascii="Times New Roman" w:hAnsi="Times New Roman" w:cs="Times New Roman"/>
          <w:sz w:val="24"/>
          <w:szCs w:val="24"/>
        </w:rPr>
        <w:t xml:space="preserve">). </w:t>
      </w:r>
      <w:r w:rsidR="00122AFA" w:rsidRPr="000C4364">
        <w:rPr>
          <w:rFonts w:ascii="Times New Roman" w:hAnsi="Times New Roman" w:cs="Times New Roman"/>
          <w:sz w:val="24"/>
          <w:szCs w:val="24"/>
        </w:rPr>
        <w:t xml:space="preserve">Under </w:t>
      </w:r>
      <w:r w:rsidR="00347131" w:rsidRPr="000C4364">
        <w:rPr>
          <w:rFonts w:ascii="Times New Roman" w:hAnsi="Times New Roman" w:cs="Times New Roman"/>
          <w:sz w:val="24"/>
          <w:szCs w:val="24"/>
        </w:rPr>
        <w:t>such</w:t>
      </w:r>
      <w:r w:rsidR="00122AFA" w:rsidRPr="000C4364">
        <w:rPr>
          <w:rFonts w:ascii="Times New Roman" w:hAnsi="Times New Roman" w:cs="Times New Roman"/>
          <w:sz w:val="24"/>
          <w:szCs w:val="24"/>
        </w:rPr>
        <w:t xml:space="preserve"> circumstances, e</w:t>
      </w:r>
      <w:r w:rsidR="00D40B00" w:rsidRPr="000C4364">
        <w:rPr>
          <w:rFonts w:ascii="Times New Roman" w:hAnsi="Times New Roman" w:cs="Times New Roman"/>
          <w:sz w:val="24"/>
          <w:szCs w:val="24"/>
        </w:rPr>
        <w:t xml:space="preserve">ntrepreneurial decisions </w:t>
      </w:r>
      <w:r w:rsidR="00122AFA" w:rsidRPr="000C4364">
        <w:rPr>
          <w:rFonts w:ascii="Times New Roman" w:hAnsi="Times New Roman" w:cs="Times New Roman"/>
          <w:sz w:val="24"/>
          <w:szCs w:val="24"/>
        </w:rPr>
        <w:t xml:space="preserve">will </w:t>
      </w:r>
      <w:r w:rsidR="00D40B00" w:rsidRPr="000C4364">
        <w:rPr>
          <w:rFonts w:ascii="Times New Roman" w:hAnsi="Times New Roman" w:cs="Times New Roman"/>
          <w:sz w:val="24"/>
          <w:szCs w:val="24"/>
        </w:rPr>
        <w:t xml:space="preserve">respond </w:t>
      </w:r>
      <w:r w:rsidR="005D6CDB" w:rsidRPr="000C4364">
        <w:rPr>
          <w:rFonts w:ascii="Times New Roman" w:hAnsi="Times New Roman" w:cs="Times New Roman"/>
          <w:sz w:val="24"/>
          <w:szCs w:val="24"/>
        </w:rPr>
        <w:t xml:space="preserve">not only </w:t>
      </w:r>
      <w:r w:rsidR="00D40B00" w:rsidRPr="000C4364">
        <w:rPr>
          <w:rFonts w:ascii="Times New Roman" w:hAnsi="Times New Roman" w:cs="Times New Roman"/>
          <w:sz w:val="24"/>
          <w:szCs w:val="24"/>
        </w:rPr>
        <w:t xml:space="preserve">to market prices </w:t>
      </w:r>
      <w:r w:rsidR="005D6CDB" w:rsidRPr="000C4364">
        <w:rPr>
          <w:rFonts w:ascii="Times New Roman" w:hAnsi="Times New Roman" w:cs="Times New Roman"/>
          <w:sz w:val="24"/>
          <w:szCs w:val="24"/>
        </w:rPr>
        <w:t xml:space="preserve">but also to </w:t>
      </w:r>
      <w:r w:rsidR="00977296" w:rsidRPr="000C4364">
        <w:rPr>
          <w:rFonts w:ascii="Times New Roman" w:hAnsi="Times New Roman" w:cs="Times New Roman"/>
          <w:sz w:val="24"/>
          <w:szCs w:val="24"/>
        </w:rPr>
        <w:t>rules</w:t>
      </w:r>
      <w:r w:rsidR="00D40B00" w:rsidRPr="000C4364">
        <w:rPr>
          <w:rFonts w:ascii="Times New Roman" w:hAnsi="Times New Roman" w:cs="Times New Roman"/>
          <w:sz w:val="24"/>
          <w:szCs w:val="24"/>
        </w:rPr>
        <w:t xml:space="preserve"> and regulations</w:t>
      </w:r>
      <w:r w:rsidR="00122AFA" w:rsidRPr="000C4364">
        <w:rPr>
          <w:rFonts w:ascii="Times New Roman" w:hAnsi="Times New Roman" w:cs="Times New Roman"/>
          <w:sz w:val="24"/>
          <w:szCs w:val="24"/>
        </w:rPr>
        <w:t xml:space="preserve"> that </w:t>
      </w:r>
      <w:r w:rsidR="00821E27" w:rsidRPr="000C4364">
        <w:rPr>
          <w:rFonts w:ascii="Times New Roman" w:hAnsi="Times New Roman" w:cs="Times New Roman"/>
          <w:sz w:val="24"/>
          <w:szCs w:val="24"/>
        </w:rPr>
        <w:t xml:space="preserve">can </w:t>
      </w:r>
      <w:r w:rsidR="00122AFA" w:rsidRPr="000C4364">
        <w:rPr>
          <w:rFonts w:ascii="Times New Roman" w:hAnsi="Times New Roman" w:cs="Times New Roman"/>
          <w:sz w:val="24"/>
          <w:szCs w:val="24"/>
        </w:rPr>
        <w:t xml:space="preserve">shape and manipulate </w:t>
      </w:r>
      <w:r w:rsidR="00D40B00" w:rsidRPr="000C4364">
        <w:rPr>
          <w:rFonts w:ascii="Times New Roman" w:hAnsi="Times New Roman" w:cs="Times New Roman"/>
          <w:sz w:val="24"/>
          <w:szCs w:val="24"/>
        </w:rPr>
        <w:t>incentiv</w:t>
      </w:r>
      <w:r w:rsidR="00122AFA" w:rsidRPr="000C4364">
        <w:rPr>
          <w:rFonts w:ascii="Times New Roman" w:hAnsi="Times New Roman" w:cs="Times New Roman"/>
          <w:sz w:val="24"/>
          <w:szCs w:val="24"/>
        </w:rPr>
        <w:t>ising</w:t>
      </w:r>
      <w:r w:rsidR="00D40B00" w:rsidRPr="000C4364">
        <w:rPr>
          <w:rFonts w:ascii="Times New Roman" w:hAnsi="Times New Roman" w:cs="Times New Roman"/>
          <w:sz w:val="24"/>
          <w:szCs w:val="24"/>
        </w:rPr>
        <w:t xml:space="preserve"> and </w:t>
      </w:r>
      <w:r w:rsidR="00122AFA" w:rsidRPr="000C4364">
        <w:rPr>
          <w:rFonts w:ascii="Times New Roman" w:hAnsi="Times New Roman" w:cs="Times New Roman"/>
          <w:sz w:val="24"/>
          <w:szCs w:val="24"/>
        </w:rPr>
        <w:t xml:space="preserve">hindering </w:t>
      </w:r>
      <w:r w:rsidR="00D40B00" w:rsidRPr="000C4364">
        <w:rPr>
          <w:rFonts w:ascii="Times New Roman" w:hAnsi="Times New Roman" w:cs="Times New Roman"/>
          <w:sz w:val="24"/>
          <w:szCs w:val="24"/>
        </w:rPr>
        <w:t xml:space="preserve">mechanisms. </w:t>
      </w:r>
      <w:r w:rsidR="00977296" w:rsidRPr="000C4364">
        <w:rPr>
          <w:rFonts w:ascii="Times New Roman" w:hAnsi="Times New Roman" w:cs="Times New Roman"/>
          <w:sz w:val="24"/>
          <w:szCs w:val="24"/>
        </w:rPr>
        <w:t>I</w:t>
      </w:r>
      <w:r w:rsidR="00D40B00" w:rsidRPr="000C4364">
        <w:rPr>
          <w:rFonts w:ascii="Times New Roman" w:hAnsi="Times New Roman" w:cs="Times New Roman"/>
          <w:sz w:val="24"/>
          <w:szCs w:val="24"/>
        </w:rPr>
        <w:t xml:space="preserve">mpersonal public and private bureaucratic organisations, which operate under the rule of law, facilitate the process of </w:t>
      </w:r>
      <w:r w:rsidR="00C50CCD" w:rsidRPr="000C4364">
        <w:rPr>
          <w:rFonts w:ascii="Times New Roman" w:hAnsi="Times New Roman" w:cs="Times New Roman"/>
          <w:sz w:val="24"/>
          <w:szCs w:val="24"/>
        </w:rPr>
        <w:t>exchange</w:t>
      </w:r>
      <w:r w:rsidR="00977296" w:rsidRPr="000C4364">
        <w:rPr>
          <w:rFonts w:ascii="Times New Roman" w:hAnsi="Times New Roman" w:cs="Times New Roman"/>
          <w:sz w:val="24"/>
          <w:szCs w:val="24"/>
        </w:rPr>
        <w:t>, production</w:t>
      </w:r>
      <w:r w:rsidR="00D40B00" w:rsidRPr="000C4364">
        <w:rPr>
          <w:rFonts w:ascii="Times New Roman" w:hAnsi="Times New Roman" w:cs="Times New Roman"/>
          <w:sz w:val="24"/>
          <w:szCs w:val="24"/>
        </w:rPr>
        <w:t xml:space="preserve"> and </w:t>
      </w:r>
      <w:r w:rsidR="00C50CCD" w:rsidRPr="000C4364">
        <w:rPr>
          <w:rFonts w:ascii="Times New Roman" w:hAnsi="Times New Roman" w:cs="Times New Roman"/>
          <w:sz w:val="24"/>
          <w:szCs w:val="24"/>
        </w:rPr>
        <w:t>investment</w:t>
      </w:r>
      <w:r w:rsidR="00D40B00" w:rsidRPr="000C4364">
        <w:rPr>
          <w:rFonts w:ascii="Times New Roman" w:hAnsi="Times New Roman" w:cs="Times New Roman"/>
          <w:sz w:val="24"/>
          <w:szCs w:val="24"/>
        </w:rPr>
        <w:t xml:space="preserve"> by </w:t>
      </w:r>
      <w:r w:rsidR="00977296" w:rsidRPr="000C4364">
        <w:rPr>
          <w:rFonts w:ascii="Times New Roman" w:hAnsi="Times New Roman" w:cs="Times New Roman"/>
          <w:sz w:val="24"/>
          <w:szCs w:val="24"/>
        </w:rPr>
        <w:t>enforcing rules, regulations</w:t>
      </w:r>
      <w:r w:rsidR="00D40B00" w:rsidRPr="000C4364">
        <w:rPr>
          <w:rFonts w:ascii="Times New Roman" w:hAnsi="Times New Roman" w:cs="Times New Roman"/>
          <w:sz w:val="24"/>
          <w:szCs w:val="24"/>
        </w:rPr>
        <w:t xml:space="preserve"> and contracts (North, 1990</w:t>
      </w:r>
      <w:r w:rsidR="005D6CDB" w:rsidRPr="000C4364">
        <w:rPr>
          <w:rFonts w:ascii="Times New Roman" w:hAnsi="Times New Roman" w:cs="Times New Roman"/>
          <w:sz w:val="24"/>
          <w:szCs w:val="24"/>
        </w:rPr>
        <w:t>; Weber, 1968</w:t>
      </w:r>
      <w:r w:rsidR="003900E4" w:rsidRPr="000C4364">
        <w:rPr>
          <w:rFonts w:ascii="Times New Roman" w:hAnsi="Times New Roman" w:cs="Times New Roman"/>
          <w:sz w:val="24"/>
          <w:szCs w:val="24"/>
        </w:rPr>
        <w:t>; Goldsmith, 1995</w:t>
      </w:r>
      <w:r w:rsidR="005D6CDB" w:rsidRPr="000C4364">
        <w:rPr>
          <w:rFonts w:ascii="Times New Roman" w:hAnsi="Times New Roman" w:cs="Times New Roman"/>
          <w:sz w:val="24"/>
          <w:szCs w:val="24"/>
        </w:rPr>
        <w:t>).</w:t>
      </w:r>
      <w:r w:rsidR="007A39CB" w:rsidRPr="000C4364">
        <w:rPr>
          <w:rFonts w:ascii="Times New Roman" w:hAnsi="Times New Roman" w:cs="Times New Roman"/>
          <w:sz w:val="24"/>
          <w:szCs w:val="24"/>
        </w:rPr>
        <w:t xml:space="preserve"> </w:t>
      </w:r>
      <w:r w:rsidR="005D6CDB"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The interrelationship</w:t>
      </w:r>
      <w:r w:rsidR="00977296"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between the</w:t>
      </w:r>
      <w:r w:rsidR="00977296" w:rsidRPr="000C4364">
        <w:rPr>
          <w:rFonts w:ascii="Times New Roman" w:hAnsi="Times New Roman" w:cs="Times New Roman"/>
          <w:sz w:val="24"/>
          <w:szCs w:val="24"/>
        </w:rPr>
        <w:t>se</w:t>
      </w:r>
      <w:r w:rsidR="00D40B00" w:rsidRPr="000C4364">
        <w:rPr>
          <w:rFonts w:ascii="Times New Roman" w:hAnsi="Times New Roman" w:cs="Times New Roman"/>
          <w:sz w:val="24"/>
          <w:szCs w:val="24"/>
        </w:rPr>
        <w:t xml:space="preserve"> three layers of the economic structure </w:t>
      </w:r>
      <w:r w:rsidR="0006290D" w:rsidRPr="000C4364">
        <w:rPr>
          <w:rFonts w:ascii="Times New Roman" w:hAnsi="Times New Roman" w:cs="Times New Roman"/>
          <w:sz w:val="24"/>
          <w:szCs w:val="24"/>
        </w:rPr>
        <w:t>are</w:t>
      </w:r>
      <w:r w:rsidR="00D40B00" w:rsidRPr="000C4364">
        <w:rPr>
          <w:rFonts w:ascii="Times New Roman" w:hAnsi="Times New Roman" w:cs="Times New Roman"/>
          <w:sz w:val="24"/>
          <w:szCs w:val="24"/>
        </w:rPr>
        <w:t xml:space="preserve"> dynamic and change with the level of economic development (Stiglitz, 2001).</w:t>
      </w:r>
      <w:r w:rsidR="00324AEC" w:rsidRPr="000C4364">
        <w:rPr>
          <w:rFonts w:ascii="Times New Roman" w:hAnsi="Times New Roman" w:cs="Times New Roman"/>
          <w:sz w:val="24"/>
          <w:szCs w:val="24"/>
        </w:rPr>
        <w:t xml:space="preserve"> </w:t>
      </w:r>
      <w:r w:rsidR="00CE1D72" w:rsidRPr="000C4364">
        <w:rPr>
          <w:rFonts w:ascii="Times New Roman" w:hAnsi="Times New Roman" w:cs="Times New Roman"/>
          <w:sz w:val="24"/>
          <w:szCs w:val="24"/>
        </w:rPr>
        <w:t>Meanwhile, b</w:t>
      </w:r>
      <w:r w:rsidR="00D40B00" w:rsidRPr="000C4364">
        <w:rPr>
          <w:rFonts w:ascii="Times New Roman" w:hAnsi="Times New Roman" w:cs="Times New Roman"/>
          <w:sz w:val="24"/>
          <w:szCs w:val="24"/>
        </w:rPr>
        <w:t xml:space="preserve">ureaucratic institutions </w:t>
      </w:r>
      <w:r w:rsidR="00CE1D72" w:rsidRPr="000C4364">
        <w:rPr>
          <w:rFonts w:ascii="Times New Roman" w:hAnsi="Times New Roman" w:cs="Times New Roman"/>
          <w:sz w:val="24"/>
          <w:szCs w:val="24"/>
        </w:rPr>
        <w:t xml:space="preserve">in thin and underdeveloped markets </w:t>
      </w:r>
      <w:r w:rsidR="00D40B00" w:rsidRPr="000C4364">
        <w:rPr>
          <w:rFonts w:ascii="Times New Roman" w:hAnsi="Times New Roman" w:cs="Times New Roman"/>
          <w:sz w:val="24"/>
          <w:szCs w:val="24"/>
        </w:rPr>
        <w:t>usually lack credibility</w:t>
      </w:r>
      <w:r w:rsidR="00CE1D72" w:rsidRPr="000C4364">
        <w:rPr>
          <w:rFonts w:ascii="Times New Roman" w:hAnsi="Times New Roman" w:cs="Times New Roman"/>
          <w:sz w:val="24"/>
          <w:szCs w:val="24"/>
        </w:rPr>
        <w:t xml:space="preserve">, cause </w:t>
      </w:r>
      <w:r w:rsidR="00324AEC" w:rsidRPr="000C4364">
        <w:rPr>
          <w:rFonts w:ascii="Times New Roman" w:hAnsi="Times New Roman" w:cs="Times New Roman"/>
          <w:sz w:val="24"/>
          <w:szCs w:val="24"/>
        </w:rPr>
        <w:t>in</w:t>
      </w:r>
      <w:r w:rsidR="00D40B00" w:rsidRPr="000C4364">
        <w:rPr>
          <w:rFonts w:ascii="Times New Roman" w:hAnsi="Times New Roman" w:cs="Times New Roman"/>
          <w:sz w:val="24"/>
          <w:szCs w:val="24"/>
        </w:rPr>
        <w:t>efficienc</w:t>
      </w:r>
      <w:r w:rsidR="00CE1D72" w:rsidRPr="000C4364">
        <w:rPr>
          <w:rFonts w:ascii="Times New Roman" w:hAnsi="Times New Roman" w:cs="Times New Roman"/>
          <w:sz w:val="24"/>
          <w:szCs w:val="24"/>
        </w:rPr>
        <w:t xml:space="preserve">ies and </w:t>
      </w:r>
      <w:r w:rsidR="00977296" w:rsidRPr="000C4364">
        <w:rPr>
          <w:rFonts w:ascii="Times New Roman" w:hAnsi="Times New Roman" w:cs="Times New Roman"/>
          <w:sz w:val="24"/>
          <w:szCs w:val="24"/>
        </w:rPr>
        <w:t>weaken</w:t>
      </w:r>
      <w:r w:rsidR="00D40B00" w:rsidRPr="000C4364">
        <w:rPr>
          <w:rFonts w:ascii="Times New Roman" w:hAnsi="Times New Roman" w:cs="Times New Roman"/>
          <w:sz w:val="24"/>
          <w:szCs w:val="24"/>
        </w:rPr>
        <w:t xml:space="preserve"> market-based incentiv</w:t>
      </w:r>
      <w:r w:rsidR="00821E27" w:rsidRPr="000C4364">
        <w:rPr>
          <w:rFonts w:ascii="Times New Roman" w:hAnsi="Times New Roman" w:cs="Times New Roman"/>
          <w:sz w:val="24"/>
          <w:szCs w:val="24"/>
        </w:rPr>
        <w:t>ising</w:t>
      </w:r>
      <w:r w:rsidR="00D40B00" w:rsidRPr="000C4364">
        <w:rPr>
          <w:rFonts w:ascii="Times New Roman" w:hAnsi="Times New Roman" w:cs="Times New Roman"/>
          <w:sz w:val="24"/>
          <w:szCs w:val="24"/>
        </w:rPr>
        <w:t xml:space="preserve"> and constrain</w:t>
      </w:r>
      <w:r w:rsidR="00821E27" w:rsidRPr="000C4364">
        <w:rPr>
          <w:rFonts w:ascii="Times New Roman" w:hAnsi="Times New Roman" w:cs="Times New Roman"/>
          <w:sz w:val="24"/>
          <w:szCs w:val="24"/>
        </w:rPr>
        <w:t>ing</w:t>
      </w:r>
      <w:r w:rsidR="00D40B00" w:rsidRPr="000C4364">
        <w:rPr>
          <w:rFonts w:ascii="Times New Roman" w:hAnsi="Times New Roman" w:cs="Times New Roman"/>
          <w:sz w:val="24"/>
          <w:szCs w:val="24"/>
        </w:rPr>
        <w:t xml:space="preserve"> mechanisms. As a result, the</w:t>
      </w:r>
      <w:r w:rsidR="007A39CB"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role </w:t>
      </w:r>
      <w:r w:rsidR="007A39CB" w:rsidRPr="000C4364">
        <w:rPr>
          <w:rFonts w:ascii="Times New Roman" w:hAnsi="Times New Roman" w:cs="Times New Roman"/>
          <w:sz w:val="24"/>
          <w:szCs w:val="24"/>
        </w:rPr>
        <w:t xml:space="preserve">of bureaucratic institutions can be </w:t>
      </w:r>
      <w:r w:rsidR="00D40B00" w:rsidRPr="000C4364">
        <w:rPr>
          <w:rFonts w:ascii="Times New Roman" w:hAnsi="Times New Roman" w:cs="Times New Roman"/>
          <w:sz w:val="24"/>
          <w:szCs w:val="24"/>
        </w:rPr>
        <w:t xml:space="preserve">partly replaced by community-ruled horizontal webs of interpersonal networks </w:t>
      </w:r>
      <w:r w:rsidR="007A39CB" w:rsidRPr="000C4364">
        <w:rPr>
          <w:rFonts w:ascii="Times New Roman" w:hAnsi="Times New Roman" w:cs="Times New Roman"/>
          <w:sz w:val="24"/>
          <w:szCs w:val="24"/>
        </w:rPr>
        <w:t xml:space="preserve">that </w:t>
      </w:r>
      <w:r w:rsidR="00CE1D72" w:rsidRPr="000C4364">
        <w:rPr>
          <w:rFonts w:ascii="Times New Roman" w:hAnsi="Times New Roman" w:cs="Times New Roman"/>
          <w:sz w:val="24"/>
          <w:szCs w:val="24"/>
        </w:rPr>
        <w:t xml:space="preserve">can </w:t>
      </w:r>
      <w:r w:rsidR="00D40B00" w:rsidRPr="000C4364">
        <w:rPr>
          <w:rFonts w:ascii="Times New Roman" w:hAnsi="Times New Roman" w:cs="Times New Roman"/>
          <w:sz w:val="24"/>
          <w:szCs w:val="24"/>
        </w:rPr>
        <w:t>grow in importance in production and exchange relations (Stiglitz, 2001)</w:t>
      </w:r>
      <w:r w:rsidR="007A39CB" w:rsidRPr="000C4364">
        <w:rPr>
          <w:rFonts w:ascii="Times New Roman" w:hAnsi="Times New Roman" w:cs="Times New Roman"/>
          <w:sz w:val="24"/>
          <w:szCs w:val="24"/>
        </w:rPr>
        <w:t xml:space="preserve">. As a </w:t>
      </w:r>
      <w:r w:rsidR="006B7C6A" w:rsidRPr="000C4364">
        <w:rPr>
          <w:rFonts w:ascii="Times New Roman" w:hAnsi="Times New Roman" w:cs="Times New Roman"/>
          <w:sz w:val="24"/>
          <w:szCs w:val="24"/>
        </w:rPr>
        <w:t>c</w:t>
      </w:r>
      <w:r w:rsidR="00D40B00" w:rsidRPr="000C4364">
        <w:rPr>
          <w:rFonts w:ascii="Times New Roman" w:hAnsi="Times New Roman" w:cs="Times New Roman"/>
          <w:sz w:val="24"/>
          <w:szCs w:val="24"/>
        </w:rPr>
        <w:t>onsequen</w:t>
      </w:r>
      <w:r w:rsidR="007A39CB" w:rsidRPr="000C4364">
        <w:rPr>
          <w:rFonts w:ascii="Times New Roman" w:hAnsi="Times New Roman" w:cs="Times New Roman"/>
          <w:sz w:val="24"/>
          <w:szCs w:val="24"/>
        </w:rPr>
        <w:t xml:space="preserve">ce, </w:t>
      </w:r>
      <w:r w:rsidR="00D40B00" w:rsidRPr="000C4364">
        <w:rPr>
          <w:rFonts w:ascii="Times New Roman" w:hAnsi="Times New Roman" w:cs="Times New Roman"/>
          <w:sz w:val="24"/>
          <w:szCs w:val="24"/>
        </w:rPr>
        <w:t xml:space="preserve">a network of exclusive interpersonal </w:t>
      </w:r>
      <w:r w:rsidR="00821E27" w:rsidRPr="000C4364">
        <w:rPr>
          <w:rFonts w:ascii="Times New Roman" w:hAnsi="Times New Roman" w:cs="Times New Roman"/>
          <w:sz w:val="24"/>
          <w:szCs w:val="24"/>
        </w:rPr>
        <w:t xml:space="preserve">and reputation-based </w:t>
      </w:r>
      <w:r w:rsidR="00D40B00" w:rsidRPr="000C4364">
        <w:rPr>
          <w:rFonts w:ascii="Times New Roman" w:hAnsi="Times New Roman" w:cs="Times New Roman"/>
          <w:sz w:val="24"/>
          <w:szCs w:val="24"/>
        </w:rPr>
        <w:t>relations</w:t>
      </w:r>
      <w:r w:rsidR="00CE1D72"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will emerge to resolve allocative and redistributive questions, including access to formal finance.</w:t>
      </w:r>
      <w:r w:rsidR="006B7C6A" w:rsidRPr="000C4364">
        <w:rPr>
          <w:rFonts w:ascii="Times New Roman" w:hAnsi="Times New Roman" w:cs="Times New Roman"/>
          <w:sz w:val="24"/>
          <w:szCs w:val="24"/>
        </w:rPr>
        <w:t xml:space="preserve"> Fighting against this can be the </w:t>
      </w:r>
      <w:r w:rsidR="00324AEC" w:rsidRPr="000C4364">
        <w:rPr>
          <w:rFonts w:ascii="Times New Roman" w:hAnsi="Times New Roman" w:cs="Times New Roman"/>
          <w:sz w:val="24"/>
          <w:szCs w:val="24"/>
        </w:rPr>
        <w:t>expansion</w:t>
      </w:r>
      <w:r w:rsidR="006B7C6A" w:rsidRPr="000C4364">
        <w:rPr>
          <w:rFonts w:ascii="Times New Roman" w:hAnsi="Times New Roman" w:cs="Times New Roman"/>
          <w:sz w:val="24"/>
          <w:szCs w:val="24"/>
        </w:rPr>
        <w:t xml:space="preserve"> of the market-based exchange system</w:t>
      </w:r>
      <w:r w:rsidR="000D7A6B" w:rsidRPr="000C4364">
        <w:rPr>
          <w:rFonts w:ascii="Times New Roman" w:hAnsi="Times New Roman" w:cs="Times New Roman"/>
          <w:sz w:val="24"/>
          <w:szCs w:val="24"/>
        </w:rPr>
        <w:t>,</w:t>
      </w:r>
      <w:r w:rsidR="006B7C6A" w:rsidRPr="000C4364">
        <w:rPr>
          <w:rFonts w:ascii="Times New Roman" w:hAnsi="Times New Roman" w:cs="Times New Roman"/>
          <w:sz w:val="24"/>
          <w:szCs w:val="24"/>
        </w:rPr>
        <w:t xml:space="preserve"> </w:t>
      </w:r>
      <w:r w:rsidR="004D7A6F" w:rsidRPr="000C4364">
        <w:rPr>
          <w:rFonts w:ascii="Times New Roman" w:hAnsi="Times New Roman" w:cs="Times New Roman"/>
          <w:sz w:val="24"/>
          <w:szCs w:val="24"/>
        </w:rPr>
        <w:t xml:space="preserve">which </w:t>
      </w:r>
      <w:r w:rsidR="006B7C6A" w:rsidRPr="000C4364">
        <w:rPr>
          <w:rFonts w:ascii="Times New Roman" w:hAnsi="Times New Roman" w:cs="Times New Roman"/>
          <w:sz w:val="24"/>
          <w:szCs w:val="24"/>
        </w:rPr>
        <w:t>can develop</w:t>
      </w:r>
      <w:r w:rsidR="004D7A6F" w:rsidRPr="000C4364">
        <w:rPr>
          <w:rFonts w:ascii="Times New Roman" w:hAnsi="Times New Roman" w:cs="Times New Roman"/>
          <w:sz w:val="24"/>
          <w:szCs w:val="24"/>
        </w:rPr>
        <w:t xml:space="preserve">, </w:t>
      </w:r>
      <w:r w:rsidR="006B7C6A" w:rsidRPr="000C4364">
        <w:rPr>
          <w:rFonts w:ascii="Times New Roman" w:hAnsi="Times New Roman" w:cs="Times New Roman"/>
          <w:sz w:val="24"/>
          <w:szCs w:val="24"/>
        </w:rPr>
        <w:t xml:space="preserve">deepen </w:t>
      </w:r>
      <w:r w:rsidR="004D7A6F" w:rsidRPr="000C4364">
        <w:rPr>
          <w:rFonts w:ascii="Times New Roman" w:hAnsi="Times New Roman" w:cs="Times New Roman"/>
          <w:sz w:val="24"/>
          <w:szCs w:val="24"/>
        </w:rPr>
        <w:t xml:space="preserve">and eventually </w:t>
      </w:r>
      <w:r w:rsidR="006B7C6A" w:rsidRPr="000C4364">
        <w:rPr>
          <w:rFonts w:ascii="Times New Roman" w:hAnsi="Times New Roman" w:cs="Times New Roman"/>
          <w:sz w:val="24"/>
          <w:szCs w:val="24"/>
        </w:rPr>
        <w:t>reduce the importance of communitarian institutions</w:t>
      </w:r>
      <w:r w:rsidR="000D7A6B" w:rsidRPr="000C4364">
        <w:rPr>
          <w:rFonts w:ascii="Times New Roman" w:hAnsi="Times New Roman" w:cs="Times New Roman"/>
          <w:sz w:val="24"/>
          <w:szCs w:val="24"/>
        </w:rPr>
        <w:t>,</w:t>
      </w:r>
      <w:r w:rsidR="006B7C6A" w:rsidRPr="000C4364">
        <w:rPr>
          <w:rFonts w:ascii="Times New Roman" w:hAnsi="Times New Roman" w:cs="Times New Roman"/>
          <w:sz w:val="24"/>
          <w:szCs w:val="24"/>
        </w:rPr>
        <w:t xml:space="preserve"> only to be replaced by formal contracts embedded in impersonal legal systems (Stiglitz, 2001).</w:t>
      </w:r>
      <w:r w:rsidR="004008A2" w:rsidRPr="000C4364">
        <w:rPr>
          <w:rFonts w:ascii="Times New Roman" w:hAnsi="Times New Roman" w:cs="Times New Roman"/>
          <w:sz w:val="24"/>
          <w:szCs w:val="24"/>
        </w:rPr>
        <w:t xml:space="preserve"> </w:t>
      </w:r>
    </w:p>
    <w:p w:rsidR="00002421" w:rsidRPr="000C4364" w:rsidRDefault="006B7C6A"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lastRenderedPageBreak/>
        <w:t xml:space="preserve">A further explanation </w:t>
      </w:r>
      <w:r w:rsidR="00B235FF" w:rsidRPr="000C4364">
        <w:rPr>
          <w:rFonts w:ascii="Times New Roman" w:hAnsi="Times New Roman" w:cs="Times New Roman"/>
          <w:sz w:val="24"/>
          <w:szCs w:val="24"/>
        </w:rPr>
        <w:t xml:space="preserve">of the asymmetric availability of formal finance </w:t>
      </w:r>
      <w:r w:rsidRPr="000C4364">
        <w:rPr>
          <w:rFonts w:ascii="Times New Roman" w:hAnsi="Times New Roman" w:cs="Times New Roman"/>
          <w:sz w:val="24"/>
          <w:szCs w:val="24"/>
        </w:rPr>
        <w:t xml:space="preserve">is that the </w:t>
      </w:r>
      <w:r w:rsidR="00977296" w:rsidRPr="000C4364">
        <w:rPr>
          <w:rFonts w:ascii="Times New Roman" w:hAnsi="Times New Roman" w:cs="Times New Roman"/>
          <w:sz w:val="24"/>
          <w:szCs w:val="24"/>
        </w:rPr>
        <w:t>l</w:t>
      </w:r>
      <w:r w:rsidRPr="000C4364">
        <w:rPr>
          <w:rFonts w:ascii="Times New Roman" w:hAnsi="Times New Roman" w:cs="Times New Roman"/>
          <w:sz w:val="24"/>
          <w:szCs w:val="24"/>
        </w:rPr>
        <w:t xml:space="preserve">ess than </w:t>
      </w:r>
      <w:r w:rsidR="00977296" w:rsidRPr="000C4364">
        <w:rPr>
          <w:rFonts w:ascii="Times New Roman" w:hAnsi="Times New Roman" w:cs="Times New Roman"/>
          <w:sz w:val="24"/>
          <w:szCs w:val="24"/>
        </w:rPr>
        <w:t xml:space="preserve">impartial </w:t>
      </w:r>
      <w:r w:rsidRPr="000C4364">
        <w:rPr>
          <w:rFonts w:ascii="Times New Roman" w:hAnsi="Times New Roman" w:cs="Times New Roman"/>
          <w:sz w:val="24"/>
          <w:szCs w:val="24"/>
        </w:rPr>
        <w:t xml:space="preserve">political elite </w:t>
      </w:r>
      <w:r w:rsidR="00977296" w:rsidRPr="000C4364">
        <w:rPr>
          <w:rFonts w:ascii="Times New Roman" w:hAnsi="Times New Roman" w:cs="Times New Roman"/>
          <w:sz w:val="24"/>
          <w:szCs w:val="24"/>
        </w:rPr>
        <w:t>affect</w:t>
      </w:r>
      <w:r w:rsidR="00D40B00" w:rsidRPr="000C4364">
        <w:rPr>
          <w:rFonts w:ascii="Times New Roman" w:hAnsi="Times New Roman" w:cs="Times New Roman"/>
          <w:sz w:val="24"/>
          <w:szCs w:val="24"/>
        </w:rPr>
        <w:t xml:space="preserve"> economic outcomes formally thr</w:t>
      </w:r>
      <w:r w:rsidR="00977296" w:rsidRPr="000C4364">
        <w:rPr>
          <w:rFonts w:ascii="Times New Roman" w:hAnsi="Times New Roman" w:cs="Times New Roman"/>
          <w:sz w:val="24"/>
          <w:szCs w:val="24"/>
        </w:rPr>
        <w:t>ough red tape and informally</w:t>
      </w:r>
      <w:r w:rsidR="00D40B00" w:rsidRPr="000C4364">
        <w:rPr>
          <w:rFonts w:ascii="Times New Roman" w:hAnsi="Times New Roman" w:cs="Times New Roman"/>
          <w:sz w:val="24"/>
          <w:szCs w:val="24"/>
        </w:rPr>
        <w:t xml:space="preserve"> through individual connections. </w:t>
      </w:r>
      <w:r w:rsidR="00977296" w:rsidRPr="000C4364">
        <w:rPr>
          <w:rFonts w:ascii="Times New Roman" w:hAnsi="Times New Roman" w:cs="Times New Roman"/>
          <w:sz w:val="24"/>
          <w:szCs w:val="24"/>
        </w:rPr>
        <w:t>There is g</w:t>
      </w:r>
      <w:r w:rsidR="00D40B00" w:rsidRPr="000C4364">
        <w:rPr>
          <w:rFonts w:ascii="Times New Roman" w:hAnsi="Times New Roman" w:cs="Times New Roman"/>
          <w:sz w:val="24"/>
          <w:szCs w:val="24"/>
        </w:rPr>
        <w:t>rowing evidence</w:t>
      </w:r>
      <w:r w:rsidR="00977296"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that political connections play an important role in g</w:t>
      </w:r>
      <w:r w:rsidR="00977296" w:rsidRPr="000C4364">
        <w:rPr>
          <w:rFonts w:ascii="Times New Roman" w:hAnsi="Times New Roman" w:cs="Times New Roman"/>
          <w:sz w:val="24"/>
          <w:szCs w:val="24"/>
        </w:rPr>
        <w:t>aining access to formal finance</w:t>
      </w:r>
      <w:r w:rsidR="00D40B00" w:rsidRPr="000C4364">
        <w:rPr>
          <w:rFonts w:ascii="Times New Roman" w:hAnsi="Times New Roman" w:cs="Times New Roman"/>
          <w:sz w:val="24"/>
          <w:szCs w:val="24"/>
        </w:rPr>
        <w:t xml:space="preserve"> and that larger enterprises gain more benefit from such connections (La Porta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D40B00" w:rsidRPr="000C4364">
        <w:rPr>
          <w:rFonts w:ascii="Times New Roman" w:hAnsi="Times New Roman" w:cs="Times New Roman"/>
          <w:sz w:val="24"/>
          <w:szCs w:val="24"/>
        </w:rPr>
        <w:t xml:space="preserve">, 2002; </w:t>
      </w:r>
      <w:proofErr w:type="spellStart"/>
      <w:r w:rsidR="002D1FB0" w:rsidRPr="000C4364">
        <w:rPr>
          <w:rFonts w:ascii="Times New Roman" w:hAnsi="Times New Roman" w:cs="Times New Roman"/>
          <w:sz w:val="24"/>
          <w:szCs w:val="24"/>
        </w:rPr>
        <w:t>Faccio</w:t>
      </w:r>
      <w:proofErr w:type="spellEnd"/>
      <w:r w:rsidR="002D1FB0" w:rsidRPr="000C4364">
        <w:rPr>
          <w:rFonts w:ascii="Times New Roman" w:hAnsi="Times New Roman" w:cs="Times New Roman"/>
          <w:sz w:val="24"/>
          <w:szCs w:val="24"/>
        </w:rPr>
        <w:t xml:space="preserve">, 2006; </w:t>
      </w:r>
      <w:proofErr w:type="spellStart"/>
      <w:r w:rsidR="00D40B00" w:rsidRPr="000C4364">
        <w:rPr>
          <w:rFonts w:ascii="Times New Roman" w:hAnsi="Times New Roman" w:cs="Times New Roman"/>
          <w:sz w:val="24"/>
          <w:szCs w:val="24"/>
        </w:rPr>
        <w:t>Faccio</w:t>
      </w:r>
      <w:proofErr w:type="spellEnd"/>
      <w:r w:rsidR="00D40B00"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D40B00" w:rsidRPr="000C4364">
        <w:rPr>
          <w:rFonts w:ascii="Times New Roman" w:hAnsi="Times New Roman" w:cs="Times New Roman"/>
          <w:sz w:val="24"/>
          <w:szCs w:val="24"/>
        </w:rPr>
        <w:t xml:space="preserve">, 2006; Li </w:t>
      </w:r>
      <w:r w:rsidR="00CF5E5E" w:rsidRPr="000C4364">
        <w:rPr>
          <w:rFonts w:ascii="Times New Roman" w:hAnsi="Times New Roman" w:cs="Times New Roman"/>
          <w:i/>
          <w:sz w:val="24"/>
          <w:szCs w:val="24"/>
        </w:rPr>
        <w:t>et al</w:t>
      </w:r>
      <w:r w:rsidR="00D40B00" w:rsidRPr="000C4364">
        <w:rPr>
          <w:rFonts w:ascii="Times New Roman" w:hAnsi="Times New Roman" w:cs="Times New Roman"/>
          <w:sz w:val="24"/>
          <w:szCs w:val="24"/>
        </w:rPr>
        <w:t>., 2008;</w:t>
      </w:r>
      <w:r w:rsidR="005D6CDB" w:rsidRPr="000C4364">
        <w:rPr>
          <w:rFonts w:ascii="Times New Roman" w:hAnsi="Times New Roman" w:cs="Times New Roman"/>
          <w:sz w:val="24"/>
          <w:szCs w:val="24"/>
        </w:rPr>
        <w:t xml:space="preserve"> </w:t>
      </w:r>
      <w:proofErr w:type="spellStart"/>
      <w:r w:rsidR="00166E2B" w:rsidRPr="000C4364">
        <w:rPr>
          <w:rFonts w:ascii="Times New Roman" w:hAnsi="Times New Roman" w:cs="Times New Roman"/>
          <w:sz w:val="24"/>
          <w:szCs w:val="24"/>
        </w:rPr>
        <w:t>Boubakri</w:t>
      </w:r>
      <w:proofErr w:type="spellEnd"/>
      <w:r w:rsidR="00166E2B"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00166E2B" w:rsidRPr="000C4364">
        <w:rPr>
          <w:rFonts w:ascii="Times New Roman" w:hAnsi="Times New Roman" w:cs="Times New Roman"/>
          <w:i/>
          <w:sz w:val="24"/>
          <w:szCs w:val="24"/>
        </w:rPr>
        <w:t>.</w:t>
      </w:r>
      <w:r w:rsidR="00166E2B" w:rsidRPr="000C4364">
        <w:rPr>
          <w:rFonts w:ascii="Times New Roman" w:hAnsi="Times New Roman" w:cs="Times New Roman"/>
          <w:sz w:val="24"/>
          <w:szCs w:val="24"/>
        </w:rPr>
        <w:t xml:space="preserve">, 2012; 2013; </w:t>
      </w:r>
      <w:r w:rsidR="003F26EC" w:rsidRPr="000C4364">
        <w:rPr>
          <w:rFonts w:ascii="Times New Roman" w:hAnsi="Times New Roman" w:cs="Times New Roman"/>
          <w:sz w:val="24"/>
          <w:szCs w:val="24"/>
        </w:rPr>
        <w:t xml:space="preserve">Cull </w:t>
      </w:r>
      <w:r w:rsidR="00CF5E5E" w:rsidRPr="000C4364">
        <w:rPr>
          <w:rFonts w:ascii="Times New Roman" w:hAnsi="Times New Roman" w:cs="Times New Roman"/>
          <w:i/>
          <w:sz w:val="24"/>
          <w:szCs w:val="24"/>
        </w:rPr>
        <w:t>et al</w:t>
      </w:r>
      <w:r w:rsidR="003F26EC" w:rsidRPr="000C4364">
        <w:rPr>
          <w:rFonts w:ascii="Times New Roman" w:hAnsi="Times New Roman" w:cs="Times New Roman"/>
          <w:i/>
          <w:sz w:val="24"/>
          <w:szCs w:val="24"/>
        </w:rPr>
        <w:t>.</w:t>
      </w:r>
      <w:r w:rsidR="008C417C" w:rsidRPr="000C4364">
        <w:rPr>
          <w:rFonts w:ascii="Times New Roman" w:hAnsi="Times New Roman" w:cs="Times New Roman"/>
          <w:sz w:val="24"/>
          <w:szCs w:val="24"/>
        </w:rPr>
        <w:t>,</w:t>
      </w:r>
      <w:r w:rsidR="003F26EC" w:rsidRPr="000C4364">
        <w:rPr>
          <w:rFonts w:ascii="Times New Roman" w:hAnsi="Times New Roman" w:cs="Times New Roman"/>
          <w:i/>
          <w:sz w:val="24"/>
          <w:szCs w:val="24"/>
        </w:rPr>
        <w:t xml:space="preserve"> </w:t>
      </w:r>
      <w:r w:rsidR="003F26EC" w:rsidRPr="000C4364">
        <w:rPr>
          <w:rFonts w:ascii="Times New Roman" w:hAnsi="Times New Roman" w:cs="Times New Roman"/>
          <w:sz w:val="24"/>
          <w:szCs w:val="24"/>
        </w:rPr>
        <w:t>2015</w:t>
      </w:r>
      <w:r w:rsidR="00D40B00" w:rsidRPr="000C4364">
        <w:rPr>
          <w:rFonts w:ascii="Times New Roman" w:hAnsi="Times New Roman" w:cs="Times New Roman"/>
          <w:sz w:val="24"/>
          <w:szCs w:val="24"/>
        </w:rPr>
        <w:t>). Entrenched elites may influence business environment</w:t>
      </w:r>
      <w:r w:rsidR="00977296"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by adopting formal rules and regulations to protect their rent-seeking interests</w:t>
      </w:r>
      <w:r w:rsidRPr="000C4364">
        <w:rPr>
          <w:rFonts w:ascii="Times New Roman" w:hAnsi="Times New Roman" w:cs="Times New Roman"/>
          <w:sz w:val="24"/>
          <w:szCs w:val="24"/>
        </w:rPr>
        <w:t xml:space="preserve"> and</w:t>
      </w:r>
      <w:r w:rsidR="00977296" w:rsidRPr="000C4364">
        <w:rPr>
          <w:rFonts w:ascii="Times New Roman" w:hAnsi="Times New Roman" w:cs="Times New Roman"/>
          <w:sz w:val="24"/>
          <w:szCs w:val="24"/>
        </w:rPr>
        <w:t xml:space="preserve"> create</w:t>
      </w:r>
      <w:r w:rsidR="00D40B00" w:rsidRPr="000C4364">
        <w:rPr>
          <w:rFonts w:ascii="Times New Roman" w:hAnsi="Times New Roman" w:cs="Times New Roman"/>
          <w:sz w:val="24"/>
          <w:szCs w:val="24"/>
        </w:rPr>
        <w:t xml:space="preserve"> unfavourable </w:t>
      </w:r>
      <w:r w:rsidRPr="000C4364">
        <w:rPr>
          <w:rFonts w:ascii="Times New Roman" w:hAnsi="Times New Roman" w:cs="Times New Roman"/>
          <w:sz w:val="24"/>
          <w:szCs w:val="24"/>
        </w:rPr>
        <w:t xml:space="preserve">operational </w:t>
      </w:r>
      <w:r w:rsidR="00D40B00" w:rsidRPr="000C4364">
        <w:rPr>
          <w:rFonts w:ascii="Times New Roman" w:hAnsi="Times New Roman" w:cs="Times New Roman"/>
          <w:sz w:val="24"/>
          <w:szCs w:val="24"/>
        </w:rPr>
        <w:t xml:space="preserve">constraints for enterprises. This </w:t>
      </w:r>
      <w:r w:rsidR="00991712" w:rsidRPr="000C4364">
        <w:rPr>
          <w:rFonts w:ascii="Times New Roman" w:hAnsi="Times New Roman" w:cs="Times New Roman"/>
          <w:sz w:val="24"/>
          <w:szCs w:val="24"/>
        </w:rPr>
        <w:t xml:space="preserve">can </w:t>
      </w:r>
      <w:r w:rsidR="00D40B00" w:rsidRPr="000C4364">
        <w:rPr>
          <w:rFonts w:ascii="Times New Roman" w:hAnsi="Times New Roman" w:cs="Times New Roman"/>
          <w:sz w:val="24"/>
          <w:szCs w:val="24"/>
        </w:rPr>
        <w:t xml:space="preserve">result in a culture of favouritism and bribery </w:t>
      </w:r>
      <w:r w:rsidR="00977296" w:rsidRPr="000C4364">
        <w:rPr>
          <w:rFonts w:ascii="Times New Roman" w:hAnsi="Times New Roman" w:cs="Times New Roman"/>
          <w:sz w:val="24"/>
          <w:szCs w:val="24"/>
        </w:rPr>
        <w:t>which further suppress</w:t>
      </w:r>
      <w:r w:rsidR="00D40B00" w:rsidRPr="000C4364">
        <w:rPr>
          <w:rFonts w:ascii="Times New Roman" w:hAnsi="Times New Roman" w:cs="Times New Roman"/>
          <w:sz w:val="24"/>
          <w:szCs w:val="24"/>
        </w:rPr>
        <w:t xml:space="preserve"> market-based impersonal exchange and resource allocation (</w:t>
      </w:r>
      <w:proofErr w:type="spellStart"/>
      <w:r w:rsidR="00745B35" w:rsidRPr="000C4364">
        <w:rPr>
          <w:rFonts w:ascii="Times New Roman" w:hAnsi="Times New Roman" w:cs="Times New Roman"/>
          <w:sz w:val="24"/>
          <w:szCs w:val="24"/>
        </w:rPr>
        <w:t>Fedderke</w:t>
      </w:r>
      <w:proofErr w:type="spellEnd"/>
      <w:r w:rsidR="00745B35"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D40B00" w:rsidRPr="000C4364">
        <w:rPr>
          <w:rFonts w:ascii="Times New Roman" w:hAnsi="Times New Roman" w:cs="Times New Roman"/>
          <w:sz w:val="24"/>
          <w:szCs w:val="24"/>
        </w:rPr>
        <w:t>, 1999)</w:t>
      </w:r>
      <w:r w:rsidR="00991712" w:rsidRPr="000C4364">
        <w:rPr>
          <w:rFonts w:ascii="Times New Roman" w:hAnsi="Times New Roman" w:cs="Times New Roman"/>
          <w:sz w:val="24"/>
          <w:szCs w:val="24"/>
        </w:rPr>
        <w:t xml:space="preserve"> and </w:t>
      </w:r>
      <w:r w:rsidR="00977296" w:rsidRPr="000C4364">
        <w:rPr>
          <w:rFonts w:ascii="Times New Roman" w:hAnsi="Times New Roman" w:cs="Times New Roman"/>
          <w:sz w:val="24"/>
          <w:szCs w:val="24"/>
        </w:rPr>
        <w:t>i</w:t>
      </w:r>
      <w:r w:rsidR="00D40B00" w:rsidRPr="000C4364">
        <w:rPr>
          <w:rFonts w:ascii="Times New Roman" w:hAnsi="Times New Roman" w:cs="Times New Roman"/>
          <w:sz w:val="24"/>
          <w:szCs w:val="24"/>
        </w:rPr>
        <w:t>nternational evidence s</w:t>
      </w:r>
      <w:r w:rsidR="00991712" w:rsidRPr="000C4364">
        <w:rPr>
          <w:rFonts w:ascii="Times New Roman" w:hAnsi="Times New Roman" w:cs="Times New Roman"/>
          <w:sz w:val="24"/>
          <w:szCs w:val="24"/>
        </w:rPr>
        <w:t xml:space="preserve">hows </w:t>
      </w:r>
      <w:r w:rsidR="00D40B00" w:rsidRPr="000C4364">
        <w:rPr>
          <w:rFonts w:ascii="Times New Roman" w:hAnsi="Times New Roman" w:cs="Times New Roman"/>
          <w:sz w:val="24"/>
          <w:szCs w:val="24"/>
        </w:rPr>
        <w:t xml:space="preserve">that smaller firms suffer more from </w:t>
      </w:r>
      <w:r w:rsidR="00977296" w:rsidRPr="000C4364">
        <w:rPr>
          <w:rFonts w:ascii="Times New Roman" w:hAnsi="Times New Roman" w:cs="Times New Roman"/>
          <w:sz w:val="24"/>
          <w:szCs w:val="24"/>
        </w:rPr>
        <w:t>these</w:t>
      </w:r>
      <w:r w:rsidR="00D40B00" w:rsidRPr="000C4364">
        <w:rPr>
          <w:rFonts w:ascii="Times New Roman" w:hAnsi="Times New Roman" w:cs="Times New Roman"/>
          <w:sz w:val="24"/>
          <w:szCs w:val="24"/>
        </w:rPr>
        <w:t xml:space="preserve"> constraints (Schiffer and </w:t>
      </w:r>
      <w:proofErr w:type="spellStart"/>
      <w:r w:rsidR="00D40B00" w:rsidRPr="000C4364">
        <w:rPr>
          <w:rFonts w:ascii="Times New Roman" w:hAnsi="Times New Roman" w:cs="Times New Roman"/>
          <w:sz w:val="24"/>
          <w:szCs w:val="24"/>
        </w:rPr>
        <w:t>Weder</w:t>
      </w:r>
      <w:proofErr w:type="spellEnd"/>
      <w:r w:rsidR="00D40B00" w:rsidRPr="000C4364">
        <w:rPr>
          <w:rFonts w:ascii="Times New Roman" w:hAnsi="Times New Roman" w:cs="Times New Roman"/>
          <w:sz w:val="24"/>
          <w:szCs w:val="24"/>
        </w:rPr>
        <w:t>, 2003).</w:t>
      </w:r>
    </w:p>
    <w:p w:rsidR="000870B6" w:rsidRPr="000C4364" w:rsidRDefault="00A66321"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Competing</w:t>
      </w:r>
      <w:r w:rsidR="00D40B00" w:rsidRPr="000C4364">
        <w:rPr>
          <w:rFonts w:ascii="Times New Roman" w:hAnsi="Times New Roman" w:cs="Times New Roman"/>
          <w:sz w:val="24"/>
          <w:szCs w:val="24"/>
        </w:rPr>
        <w:t xml:space="preserve"> views exist on the </w:t>
      </w:r>
      <w:r w:rsidR="001D70AA" w:rsidRPr="000C4364">
        <w:rPr>
          <w:rFonts w:ascii="Times New Roman" w:hAnsi="Times New Roman" w:cs="Times New Roman"/>
          <w:sz w:val="24"/>
          <w:szCs w:val="24"/>
        </w:rPr>
        <w:t xml:space="preserve">influence and </w:t>
      </w:r>
      <w:r w:rsidR="00D40B00" w:rsidRPr="000C4364">
        <w:rPr>
          <w:rFonts w:ascii="Times New Roman" w:hAnsi="Times New Roman" w:cs="Times New Roman"/>
          <w:sz w:val="24"/>
          <w:szCs w:val="24"/>
        </w:rPr>
        <w:t>ultimate impact of corruption and rent-seeking behaviour on allocative efficiency and social welfare</w:t>
      </w:r>
      <w:r w:rsidR="00F478F5" w:rsidRPr="000C4364">
        <w:rPr>
          <w:rFonts w:ascii="Times New Roman" w:hAnsi="Times New Roman" w:cs="Times New Roman"/>
          <w:sz w:val="24"/>
          <w:szCs w:val="24"/>
        </w:rPr>
        <w:t xml:space="preserve"> (</w:t>
      </w:r>
      <w:proofErr w:type="spellStart"/>
      <w:r w:rsidR="00F478F5" w:rsidRPr="000C4364">
        <w:rPr>
          <w:rFonts w:ascii="Times New Roman" w:hAnsi="Times New Roman" w:cs="Times New Roman"/>
          <w:sz w:val="24"/>
          <w:szCs w:val="24"/>
        </w:rPr>
        <w:t>Aidt</w:t>
      </w:r>
      <w:proofErr w:type="spellEnd"/>
      <w:r w:rsidR="00F478F5"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00F478F5" w:rsidRPr="000C4364">
        <w:rPr>
          <w:rFonts w:ascii="Times New Roman" w:hAnsi="Times New Roman" w:cs="Times New Roman"/>
          <w:sz w:val="24"/>
          <w:szCs w:val="24"/>
        </w:rPr>
        <w:t>., 2008)</w:t>
      </w:r>
      <w:r w:rsidR="00D40B00" w:rsidRPr="000C4364">
        <w:rPr>
          <w:rFonts w:ascii="Times New Roman" w:hAnsi="Times New Roman" w:cs="Times New Roman"/>
          <w:sz w:val="24"/>
          <w:szCs w:val="24"/>
        </w:rPr>
        <w:t xml:space="preserve">. </w:t>
      </w:r>
      <w:r w:rsidR="001B2B98" w:rsidRPr="000C4364">
        <w:rPr>
          <w:rFonts w:ascii="Times New Roman" w:hAnsi="Times New Roman" w:cs="Times New Roman"/>
          <w:sz w:val="24"/>
          <w:szCs w:val="24"/>
        </w:rPr>
        <w:t>On the one hand, s</w:t>
      </w:r>
      <w:r w:rsidR="00D40B00" w:rsidRPr="000C4364">
        <w:rPr>
          <w:rFonts w:ascii="Times New Roman" w:hAnsi="Times New Roman" w:cs="Times New Roman"/>
          <w:sz w:val="24"/>
          <w:szCs w:val="24"/>
        </w:rPr>
        <w:t xml:space="preserve">uccessful firms </w:t>
      </w:r>
      <w:r w:rsidR="00B235FF" w:rsidRPr="000C4364">
        <w:rPr>
          <w:rFonts w:ascii="Times New Roman" w:hAnsi="Times New Roman" w:cs="Times New Roman"/>
          <w:sz w:val="24"/>
          <w:szCs w:val="24"/>
        </w:rPr>
        <w:t xml:space="preserve">that </w:t>
      </w:r>
      <w:r w:rsidR="00D40B00" w:rsidRPr="000C4364">
        <w:rPr>
          <w:rFonts w:ascii="Times New Roman" w:hAnsi="Times New Roman" w:cs="Times New Roman"/>
          <w:sz w:val="24"/>
          <w:szCs w:val="24"/>
        </w:rPr>
        <w:t xml:space="preserve">generate more </w:t>
      </w:r>
      <w:proofErr w:type="gramStart"/>
      <w:r w:rsidR="00D40B00" w:rsidRPr="000C4364">
        <w:rPr>
          <w:rFonts w:ascii="Times New Roman" w:hAnsi="Times New Roman" w:cs="Times New Roman"/>
          <w:sz w:val="24"/>
          <w:szCs w:val="24"/>
        </w:rPr>
        <w:t>surplus</w:t>
      </w:r>
      <w:proofErr w:type="gramEnd"/>
      <w:r w:rsidR="00D40B00" w:rsidRPr="000C4364">
        <w:rPr>
          <w:rFonts w:ascii="Times New Roman" w:hAnsi="Times New Roman" w:cs="Times New Roman"/>
          <w:sz w:val="24"/>
          <w:szCs w:val="24"/>
        </w:rPr>
        <w:t xml:space="preserve"> can better afford to offer bribes and kickbacks and gain advantageous access to scarce resources, </w:t>
      </w:r>
      <w:r w:rsidR="00B235FF" w:rsidRPr="000C4364">
        <w:rPr>
          <w:rFonts w:ascii="Times New Roman" w:hAnsi="Times New Roman" w:cs="Times New Roman"/>
          <w:sz w:val="24"/>
          <w:szCs w:val="24"/>
        </w:rPr>
        <w:t xml:space="preserve">which </w:t>
      </w:r>
      <w:r w:rsidR="00991712" w:rsidRPr="000C4364">
        <w:rPr>
          <w:rFonts w:ascii="Times New Roman" w:hAnsi="Times New Roman" w:cs="Times New Roman"/>
          <w:sz w:val="24"/>
          <w:szCs w:val="24"/>
        </w:rPr>
        <w:t xml:space="preserve">can </w:t>
      </w:r>
      <w:r w:rsidR="00D40B00" w:rsidRPr="000C4364">
        <w:rPr>
          <w:rFonts w:ascii="Times New Roman" w:hAnsi="Times New Roman" w:cs="Times New Roman"/>
          <w:sz w:val="24"/>
          <w:szCs w:val="24"/>
        </w:rPr>
        <w:t>result in sociall</w:t>
      </w:r>
      <w:r w:rsidR="007258DF" w:rsidRPr="000C4364">
        <w:rPr>
          <w:rFonts w:ascii="Times New Roman" w:hAnsi="Times New Roman" w:cs="Times New Roman"/>
          <w:sz w:val="24"/>
          <w:szCs w:val="24"/>
        </w:rPr>
        <w:t>y beneficial outcome</w:t>
      </w:r>
      <w:r w:rsidR="00B235FF" w:rsidRPr="000C4364">
        <w:rPr>
          <w:rFonts w:ascii="Times New Roman" w:hAnsi="Times New Roman" w:cs="Times New Roman"/>
          <w:sz w:val="24"/>
          <w:szCs w:val="24"/>
        </w:rPr>
        <w:t>s</w:t>
      </w:r>
      <w:r w:rsidR="007258DF" w:rsidRPr="000C4364">
        <w:rPr>
          <w:rFonts w:ascii="Times New Roman" w:hAnsi="Times New Roman" w:cs="Times New Roman"/>
          <w:sz w:val="24"/>
          <w:szCs w:val="24"/>
        </w:rPr>
        <w:t xml:space="preserve"> (</w:t>
      </w:r>
      <w:proofErr w:type="spellStart"/>
      <w:r w:rsidR="007258DF" w:rsidRPr="000C4364">
        <w:rPr>
          <w:rFonts w:ascii="Times New Roman" w:hAnsi="Times New Roman" w:cs="Times New Roman"/>
          <w:sz w:val="24"/>
          <w:szCs w:val="24"/>
        </w:rPr>
        <w:t>Duvanova</w:t>
      </w:r>
      <w:proofErr w:type="spellEnd"/>
      <w:r w:rsidR="007258DF" w:rsidRPr="000C4364">
        <w:rPr>
          <w:rFonts w:ascii="Times New Roman" w:hAnsi="Times New Roman" w:cs="Times New Roman"/>
          <w:sz w:val="24"/>
          <w:szCs w:val="24"/>
        </w:rPr>
        <w:t xml:space="preserve">, </w:t>
      </w:r>
      <w:r w:rsidR="00002421" w:rsidRPr="000C4364">
        <w:rPr>
          <w:rFonts w:ascii="Times New Roman" w:hAnsi="Times New Roman" w:cs="Times New Roman"/>
          <w:sz w:val="24"/>
          <w:szCs w:val="24"/>
        </w:rPr>
        <w:t>2014,</w:t>
      </w:r>
      <w:r w:rsidR="00D40B00" w:rsidRPr="000C4364">
        <w:rPr>
          <w:rFonts w:ascii="Times New Roman" w:hAnsi="Times New Roman" w:cs="Times New Roman"/>
          <w:sz w:val="24"/>
          <w:szCs w:val="24"/>
        </w:rPr>
        <w:t xml:space="preserve"> </w:t>
      </w:r>
      <w:r w:rsidR="00002421" w:rsidRPr="000C4364">
        <w:rPr>
          <w:rFonts w:ascii="Times New Roman" w:hAnsi="Times New Roman" w:cs="Times New Roman"/>
          <w:sz w:val="24"/>
          <w:szCs w:val="24"/>
        </w:rPr>
        <w:t xml:space="preserve">Blackburn and </w:t>
      </w:r>
      <w:proofErr w:type="spellStart"/>
      <w:r w:rsidR="00002421" w:rsidRPr="000C4364">
        <w:rPr>
          <w:rFonts w:ascii="Times New Roman" w:hAnsi="Times New Roman" w:cs="Times New Roman"/>
          <w:sz w:val="24"/>
          <w:szCs w:val="24"/>
        </w:rPr>
        <w:t>Forgues-Puccio</w:t>
      </w:r>
      <w:proofErr w:type="spellEnd"/>
      <w:r w:rsidR="00002421" w:rsidRPr="000C4364">
        <w:rPr>
          <w:rFonts w:ascii="Times New Roman" w:hAnsi="Times New Roman" w:cs="Times New Roman"/>
          <w:sz w:val="24"/>
          <w:szCs w:val="24"/>
        </w:rPr>
        <w:t xml:space="preserve">, 2009, </w:t>
      </w:r>
      <w:proofErr w:type="spellStart"/>
      <w:r w:rsidR="00002421" w:rsidRPr="000C4364">
        <w:rPr>
          <w:rFonts w:ascii="Times New Roman" w:hAnsi="Times New Roman" w:cs="Times New Roman"/>
          <w:sz w:val="24"/>
          <w:szCs w:val="24"/>
        </w:rPr>
        <w:t>Manion</w:t>
      </w:r>
      <w:proofErr w:type="spellEnd"/>
      <w:r w:rsidR="00002421" w:rsidRPr="000C4364">
        <w:rPr>
          <w:rFonts w:ascii="Times New Roman" w:hAnsi="Times New Roman" w:cs="Times New Roman"/>
          <w:sz w:val="24"/>
          <w:szCs w:val="24"/>
        </w:rPr>
        <w:t>, 1996,</w:t>
      </w:r>
      <w:r w:rsidR="00ED242A" w:rsidRPr="000C4364">
        <w:rPr>
          <w:rFonts w:ascii="Times New Roman" w:hAnsi="Times New Roman" w:cs="Times New Roman"/>
          <w:sz w:val="24"/>
          <w:szCs w:val="24"/>
        </w:rPr>
        <w:t xml:space="preserve"> Li, </w:t>
      </w:r>
      <w:r w:rsidR="00D40B00" w:rsidRPr="000C4364">
        <w:rPr>
          <w:rFonts w:ascii="Times New Roman" w:hAnsi="Times New Roman" w:cs="Times New Roman"/>
          <w:sz w:val="24"/>
          <w:szCs w:val="24"/>
        </w:rPr>
        <w:t xml:space="preserve">1998). </w:t>
      </w:r>
      <w:r w:rsidR="001B2B98" w:rsidRPr="000C4364">
        <w:rPr>
          <w:rFonts w:ascii="Times New Roman" w:hAnsi="Times New Roman" w:cs="Times New Roman"/>
          <w:sz w:val="24"/>
          <w:szCs w:val="24"/>
        </w:rPr>
        <w:t>On the other hand, this view</w:t>
      </w:r>
      <w:r w:rsidR="000870B6" w:rsidRPr="000C4364">
        <w:rPr>
          <w:rFonts w:ascii="Times New Roman" w:hAnsi="Times New Roman" w:cs="Times New Roman"/>
          <w:sz w:val="24"/>
          <w:szCs w:val="24"/>
        </w:rPr>
        <w:t xml:space="preserve"> ignores the interpersonal nature of relations between public officials and</w:t>
      </w:r>
      <w:r w:rsidR="00F87AA3" w:rsidRPr="000C4364">
        <w:rPr>
          <w:rFonts w:ascii="Times New Roman" w:hAnsi="Times New Roman" w:cs="Times New Roman"/>
          <w:sz w:val="24"/>
          <w:szCs w:val="24"/>
        </w:rPr>
        <w:t xml:space="preserve"> entrepreneurs</w:t>
      </w:r>
      <w:r w:rsidR="000870B6" w:rsidRPr="000C4364">
        <w:rPr>
          <w:rFonts w:ascii="Times New Roman" w:hAnsi="Times New Roman" w:cs="Times New Roman"/>
          <w:sz w:val="24"/>
          <w:szCs w:val="24"/>
        </w:rPr>
        <w:t>. For example, soliciting bribes is not costless for corrupt bureaucrats even under these circumstances, as there is a danger that they may be caught in the process and thus bureaucrats are more likely to cooperate with people who they know and trust to minimise the risk of being caught (Becker, 1968</w:t>
      </w:r>
      <w:r w:rsidR="00F87AA3" w:rsidRPr="000C4364">
        <w:rPr>
          <w:rFonts w:ascii="Times New Roman" w:hAnsi="Times New Roman" w:cs="Times New Roman"/>
          <w:sz w:val="24"/>
          <w:szCs w:val="24"/>
        </w:rPr>
        <w:t>;</w:t>
      </w:r>
      <w:r w:rsidR="000870B6" w:rsidRPr="000C4364">
        <w:rPr>
          <w:rFonts w:ascii="Times New Roman" w:hAnsi="Times New Roman" w:cs="Times New Roman"/>
          <w:sz w:val="24"/>
          <w:szCs w:val="24"/>
        </w:rPr>
        <w:t xml:space="preserve"> </w:t>
      </w:r>
      <w:proofErr w:type="spellStart"/>
      <w:r w:rsidR="000870B6" w:rsidRPr="000C4364">
        <w:rPr>
          <w:rFonts w:ascii="Times New Roman" w:hAnsi="Times New Roman" w:cs="Times New Roman"/>
          <w:sz w:val="24"/>
          <w:szCs w:val="24"/>
        </w:rPr>
        <w:t>Ryvkin</w:t>
      </w:r>
      <w:proofErr w:type="spellEnd"/>
      <w:r w:rsidR="000870B6" w:rsidRPr="000C4364">
        <w:rPr>
          <w:rFonts w:ascii="Times New Roman" w:hAnsi="Times New Roman" w:cs="Times New Roman"/>
          <w:sz w:val="24"/>
          <w:szCs w:val="24"/>
        </w:rPr>
        <w:t xml:space="preserve"> and Serra, 2012). </w:t>
      </w:r>
      <w:r w:rsidR="00CF5E5E" w:rsidRPr="000C4364">
        <w:rPr>
          <w:rFonts w:ascii="Times New Roman" w:hAnsi="Times New Roman" w:cs="Times New Roman"/>
          <w:sz w:val="24"/>
          <w:szCs w:val="24"/>
        </w:rPr>
        <w:t>Moreover</w:t>
      </w:r>
      <w:r w:rsidR="000870B6" w:rsidRPr="000C4364">
        <w:rPr>
          <w:rFonts w:ascii="Times New Roman" w:hAnsi="Times New Roman" w:cs="Times New Roman"/>
          <w:sz w:val="24"/>
          <w:szCs w:val="24"/>
        </w:rPr>
        <w:t>, the relatively small size of bribery transactions in the context of</w:t>
      </w:r>
      <w:r w:rsidR="00CF5E5E" w:rsidRPr="000C4364">
        <w:rPr>
          <w:rFonts w:ascii="Times New Roman" w:hAnsi="Times New Roman" w:cs="Times New Roman"/>
          <w:sz w:val="24"/>
          <w:szCs w:val="24"/>
        </w:rPr>
        <w:t xml:space="preserve"> SMEs implies</w:t>
      </w:r>
      <w:r w:rsidR="000870B6" w:rsidRPr="000C4364">
        <w:rPr>
          <w:rFonts w:ascii="Times New Roman" w:hAnsi="Times New Roman" w:cs="Times New Roman"/>
          <w:sz w:val="24"/>
          <w:szCs w:val="24"/>
        </w:rPr>
        <w:t xml:space="preserve"> that, for corrupt bureaucrats, the pecuniary rewards of accepting bribes from unfamiliar individuals are small relative to the risk of being caught. </w:t>
      </w:r>
      <w:r w:rsidR="00CF5E5E" w:rsidRPr="000C4364">
        <w:rPr>
          <w:rFonts w:ascii="Times New Roman" w:hAnsi="Times New Roman" w:cs="Times New Roman"/>
          <w:sz w:val="24"/>
          <w:szCs w:val="24"/>
        </w:rPr>
        <w:t>In many countries</w:t>
      </w:r>
      <w:r w:rsidR="000870B6" w:rsidRPr="000C4364">
        <w:rPr>
          <w:rFonts w:ascii="Times New Roman" w:hAnsi="Times New Roman" w:cs="Times New Roman"/>
          <w:sz w:val="24"/>
          <w:szCs w:val="24"/>
        </w:rPr>
        <w:t xml:space="preserve"> bribe giving is as strict a </w:t>
      </w:r>
      <w:r w:rsidR="000870B6" w:rsidRPr="000C4364">
        <w:rPr>
          <w:rFonts w:ascii="Times New Roman" w:hAnsi="Times New Roman" w:cs="Times New Roman"/>
          <w:sz w:val="24"/>
          <w:szCs w:val="24"/>
        </w:rPr>
        <w:lastRenderedPageBreak/>
        <w:t>criminal offence as bribe taking</w:t>
      </w:r>
      <w:r w:rsidR="00CF5E5E" w:rsidRPr="000C4364">
        <w:rPr>
          <w:rFonts w:ascii="Times New Roman" w:hAnsi="Times New Roman" w:cs="Times New Roman"/>
          <w:sz w:val="24"/>
          <w:szCs w:val="24"/>
        </w:rPr>
        <w:t>. All of these factors reinforce</w:t>
      </w:r>
      <w:r w:rsidR="000870B6" w:rsidRPr="000C4364">
        <w:rPr>
          <w:rFonts w:ascii="Times New Roman" w:hAnsi="Times New Roman" w:cs="Times New Roman"/>
          <w:sz w:val="24"/>
          <w:szCs w:val="24"/>
        </w:rPr>
        <w:t xml:space="preserve"> the rationale for collaboration between bureaucrats and entrepreneurs who know </w:t>
      </w:r>
      <w:r w:rsidR="00F56CE9" w:rsidRPr="000C4364">
        <w:rPr>
          <w:rFonts w:ascii="Times New Roman" w:hAnsi="Times New Roman" w:cs="Times New Roman"/>
          <w:sz w:val="24"/>
          <w:szCs w:val="24"/>
        </w:rPr>
        <w:t xml:space="preserve">and trust </w:t>
      </w:r>
      <w:r w:rsidR="000870B6" w:rsidRPr="000C4364">
        <w:rPr>
          <w:rFonts w:ascii="Times New Roman" w:hAnsi="Times New Roman" w:cs="Times New Roman"/>
          <w:sz w:val="24"/>
          <w:szCs w:val="24"/>
        </w:rPr>
        <w:t>each other. Hence, having the right interpersonal connections becomes more valuable than simply affording explicit monetary payments as bribes.</w:t>
      </w:r>
    </w:p>
    <w:p w:rsidR="007B4EEF" w:rsidRPr="000C4364" w:rsidRDefault="001B2B98"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Further, n</w:t>
      </w:r>
      <w:r w:rsidR="00D95B34" w:rsidRPr="000C4364">
        <w:rPr>
          <w:rFonts w:ascii="Times New Roman" w:hAnsi="Times New Roman" w:cs="Times New Roman"/>
          <w:sz w:val="24"/>
          <w:szCs w:val="24"/>
        </w:rPr>
        <w:t>o</w:t>
      </w:r>
      <w:r w:rsidR="008C59B9" w:rsidRPr="000C4364">
        <w:rPr>
          <w:rFonts w:ascii="Times New Roman" w:hAnsi="Times New Roman" w:cs="Times New Roman"/>
          <w:sz w:val="24"/>
          <w:szCs w:val="24"/>
        </w:rPr>
        <w:t>t</w:t>
      </w:r>
      <w:r w:rsidR="00D95B34"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all entrepreneurs are fortunate </w:t>
      </w:r>
      <w:r w:rsidR="00D95B34" w:rsidRPr="000C4364">
        <w:rPr>
          <w:rFonts w:ascii="Times New Roman" w:hAnsi="Times New Roman" w:cs="Times New Roman"/>
          <w:sz w:val="24"/>
          <w:szCs w:val="24"/>
        </w:rPr>
        <w:t xml:space="preserve">enough </w:t>
      </w:r>
      <w:r w:rsidR="00D40B00" w:rsidRPr="000C4364">
        <w:rPr>
          <w:rFonts w:ascii="Times New Roman" w:hAnsi="Times New Roman" w:cs="Times New Roman"/>
          <w:sz w:val="24"/>
          <w:szCs w:val="24"/>
        </w:rPr>
        <w:t>to have economically be</w:t>
      </w:r>
      <w:r w:rsidR="001B5AAD" w:rsidRPr="000C4364">
        <w:rPr>
          <w:rFonts w:ascii="Times New Roman" w:hAnsi="Times New Roman" w:cs="Times New Roman"/>
          <w:sz w:val="24"/>
          <w:szCs w:val="24"/>
        </w:rPr>
        <w:t>neficial interpersonal networks and</w:t>
      </w:r>
      <w:r w:rsidR="00D40B00" w:rsidRPr="000C4364">
        <w:rPr>
          <w:rFonts w:ascii="Times New Roman" w:hAnsi="Times New Roman" w:cs="Times New Roman"/>
          <w:sz w:val="24"/>
          <w:szCs w:val="24"/>
        </w:rPr>
        <w:t xml:space="preserve"> the most valuable networks </w:t>
      </w:r>
      <w:r w:rsidR="001B5AAD" w:rsidRPr="000C4364">
        <w:rPr>
          <w:rFonts w:ascii="Times New Roman" w:hAnsi="Times New Roman" w:cs="Times New Roman"/>
          <w:sz w:val="24"/>
          <w:szCs w:val="24"/>
        </w:rPr>
        <w:t>can</w:t>
      </w:r>
      <w:r w:rsidR="00D40B00" w:rsidRPr="000C4364">
        <w:rPr>
          <w:rFonts w:ascii="Times New Roman" w:hAnsi="Times New Roman" w:cs="Times New Roman"/>
          <w:sz w:val="24"/>
          <w:szCs w:val="24"/>
        </w:rPr>
        <w:t xml:space="preserve"> </w:t>
      </w:r>
      <w:r w:rsidR="001B5AAD" w:rsidRPr="000C4364">
        <w:rPr>
          <w:rFonts w:ascii="Times New Roman" w:hAnsi="Times New Roman" w:cs="Times New Roman"/>
          <w:sz w:val="24"/>
          <w:szCs w:val="24"/>
        </w:rPr>
        <w:t xml:space="preserve">be </w:t>
      </w:r>
      <w:r w:rsidR="00D40B00" w:rsidRPr="000C4364">
        <w:rPr>
          <w:rFonts w:ascii="Times New Roman" w:hAnsi="Times New Roman" w:cs="Times New Roman"/>
          <w:sz w:val="24"/>
          <w:szCs w:val="24"/>
        </w:rPr>
        <w:t>the most exclusive. Belonging to a single network may open acc</w:t>
      </w:r>
      <w:r w:rsidR="00F74C87" w:rsidRPr="000C4364">
        <w:rPr>
          <w:rFonts w:ascii="Times New Roman" w:hAnsi="Times New Roman" w:cs="Times New Roman"/>
          <w:sz w:val="24"/>
          <w:szCs w:val="24"/>
        </w:rPr>
        <w:t>ess to other networks as some</w:t>
      </w:r>
      <w:r w:rsidR="00D40B00" w:rsidRPr="000C4364">
        <w:rPr>
          <w:rFonts w:ascii="Times New Roman" w:hAnsi="Times New Roman" w:cs="Times New Roman"/>
          <w:sz w:val="24"/>
          <w:szCs w:val="24"/>
        </w:rPr>
        <w:t xml:space="preserve"> entrepreneurs will </w:t>
      </w:r>
      <w:r w:rsidR="001B5AAD" w:rsidRPr="000C4364">
        <w:rPr>
          <w:rFonts w:ascii="Times New Roman" w:hAnsi="Times New Roman" w:cs="Times New Roman"/>
          <w:sz w:val="24"/>
          <w:szCs w:val="24"/>
        </w:rPr>
        <w:t>be</w:t>
      </w:r>
      <w:r w:rsidR="00D40B00" w:rsidRPr="000C4364">
        <w:rPr>
          <w:rFonts w:ascii="Times New Roman" w:hAnsi="Times New Roman" w:cs="Times New Roman"/>
          <w:sz w:val="24"/>
          <w:szCs w:val="24"/>
        </w:rPr>
        <w:t xml:space="preserve"> m</w:t>
      </w:r>
      <w:r w:rsidR="001B5AAD" w:rsidRPr="000C4364">
        <w:rPr>
          <w:rFonts w:ascii="Times New Roman" w:hAnsi="Times New Roman" w:cs="Times New Roman"/>
          <w:sz w:val="24"/>
          <w:szCs w:val="24"/>
        </w:rPr>
        <w:t xml:space="preserve">embers </w:t>
      </w:r>
      <w:r w:rsidR="00D40B00" w:rsidRPr="000C4364">
        <w:rPr>
          <w:rFonts w:ascii="Times New Roman" w:hAnsi="Times New Roman" w:cs="Times New Roman"/>
          <w:sz w:val="24"/>
          <w:szCs w:val="24"/>
        </w:rPr>
        <w:t>o</w:t>
      </w:r>
      <w:r w:rsidR="001B5AAD" w:rsidRPr="000C4364">
        <w:rPr>
          <w:rFonts w:ascii="Times New Roman" w:hAnsi="Times New Roman" w:cs="Times New Roman"/>
          <w:sz w:val="24"/>
          <w:szCs w:val="24"/>
        </w:rPr>
        <w:t>f</w:t>
      </w:r>
      <w:r w:rsidR="00D40B00" w:rsidRPr="000C4364">
        <w:rPr>
          <w:rFonts w:ascii="Times New Roman" w:hAnsi="Times New Roman" w:cs="Times New Roman"/>
          <w:sz w:val="24"/>
          <w:szCs w:val="24"/>
        </w:rPr>
        <w:t xml:space="preserve"> multiple networks. For examp</w:t>
      </w:r>
      <w:r w:rsidR="00F83407" w:rsidRPr="000C4364">
        <w:rPr>
          <w:rFonts w:ascii="Times New Roman" w:hAnsi="Times New Roman" w:cs="Times New Roman"/>
          <w:sz w:val="24"/>
          <w:szCs w:val="24"/>
        </w:rPr>
        <w:t>le,</w:t>
      </w:r>
      <w:r w:rsidR="007F26AA" w:rsidRPr="000C4364">
        <w:rPr>
          <w:rFonts w:ascii="Times New Roman" w:hAnsi="Times New Roman" w:cs="Times New Roman"/>
          <w:sz w:val="24"/>
          <w:szCs w:val="24"/>
        </w:rPr>
        <w:t xml:space="preserve"> </w:t>
      </w:r>
      <w:r w:rsidR="001B5AAD" w:rsidRPr="000C4364">
        <w:rPr>
          <w:rFonts w:ascii="Times New Roman" w:hAnsi="Times New Roman" w:cs="Times New Roman"/>
          <w:sz w:val="24"/>
          <w:szCs w:val="24"/>
        </w:rPr>
        <w:t xml:space="preserve">entrepreneurs may gain </w:t>
      </w:r>
      <w:r w:rsidR="00D40B00" w:rsidRPr="000C4364">
        <w:rPr>
          <w:rFonts w:ascii="Times New Roman" w:hAnsi="Times New Roman" w:cs="Times New Roman"/>
          <w:sz w:val="24"/>
          <w:szCs w:val="24"/>
        </w:rPr>
        <w:t>indirect acce</w:t>
      </w:r>
      <w:r w:rsidR="001B5AAD" w:rsidRPr="000C4364">
        <w:rPr>
          <w:rFonts w:ascii="Times New Roman" w:hAnsi="Times New Roman" w:cs="Times New Roman"/>
          <w:sz w:val="24"/>
          <w:szCs w:val="24"/>
        </w:rPr>
        <w:t>ss to formal finance through their</w:t>
      </w:r>
      <w:r w:rsidR="00D40B00" w:rsidRPr="000C4364">
        <w:rPr>
          <w:rFonts w:ascii="Times New Roman" w:hAnsi="Times New Roman" w:cs="Times New Roman"/>
          <w:sz w:val="24"/>
          <w:szCs w:val="24"/>
        </w:rPr>
        <w:t xml:space="preserve"> connections</w:t>
      </w:r>
      <w:r w:rsidR="00F83407" w:rsidRPr="000C4364">
        <w:rPr>
          <w:rFonts w:ascii="Times New Roman" w:hAnsi="Times New Roman" w:cs="Times New Roman"/>
          <w:sz w:val="24"/>
          <w:szCs w:val="24"/>
        </w:rPr>
        <w:t xml:space="preserve"> with</w:t>
      </w:r>
      <w:r w:rsidR="00D40B00" w:rsidRPr="000C4364">
        <w:rPr>
          <w:rFonts w:ascii="Times New Roman" w:hAnsi="Times New Roman" w:cs="Times New Roman"/>
          <w:sz w:val="24"/>
          <w:szCs w:val="24"/>
        </w:rPr>
        <w:t xml:space="preserve"> government official</w:t>
      </w:r>
      <w:r w:rsidR="00F83407"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w:t>
      </w:r>
      <w:r w:rsidR="00132093" w:rsidRPr="000C4364">
        <w:rPr>
          <w:rFonts w:ascii="Times New Roman" w:hAnsi="Times New Roman" w:cs="Times New Roman"/>
          <w:sz w:val="24"/>
          <w:szCs w:val="24"/>
        </w:rPr>
        <w:t>The i</w:t>
      </w:r>
      <w:r w:rsidR="00D40B00" w:rsidRPr="000C4364">
        <w:rPr>
          <w:rFonts w:ascii="Times New Roman" w:hAnsi="Times New Roman" w:cs="Times New Roman"/>
          <w:sz w:val="24"/>
          <w:szCs w:val="24"/>
        </w:rPr>
        <w:t>nterpersonal and exclusive nature</w:t>
      </w:r>
      <w:r w:rsidR="001B5AAD"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of such networks </w:t>
      </w:r>
      <w:r w:rsidR="00132093" w:rsidRPr="000C4364">
        <w:rPr>
          <w:rFonts w:ascii="Times New Roman" w:hAnsi="Times New Roman" w:cs="Times New Roman"/>
          <w:sz w:val="24"/>
          <w:szCs w:val="24"/>
        </w:rPr>
        <w:t>v</w:t>
      </w:r>
      <w:r w:rsidR="00D40B00" w:rsidRPr="000C4364">
        <w:rPr>
          <w:rFonts w:ascii="Times New Roman" w:hAnsi="Times New Roman" w:cs="Times New Roman"/>
          <w:sz w:val="24"/>
          <w:szCs w:val="24"/>
        </w:rPr>
        <w:t xml:space="preserve">indicate that a small number of strategically well-connected entrepreneurs </w:t>
      </w:r>
      <w:r w:rsidR="00132093" w:rsidRPr="000C4364">
        <w:rPr>
          <w:rFonts w:ascii="Times New Roman" w:hAnsi="Times New Roman" w:cs="Times New Roman"/>
          <w:sz w:val="24"/>
          <w:szCs w:val="24"/>
        </w:rPr>
        <w:t xml:space="preserve">will be </w:t>
      </w:r>
      <w:r w:rsidR="001B5AAD" w:rsidRPr="000C4364">
        <w:rPr>
          <w:rFonts w:ascii="Times New Roman" w:hAnsi="Times New Roman" w:cs="Times New Roman"/>
          <w:sz w:val="24"/>
          <w:szCs w:val="24"/>
        </w:rPr>
        <w:t xml:space="preserve">able to </w:t>
      </w:r>
      <w:r w:rsidR="00D95B34" w:rsidRPr="000C4364">
        <w:rPr>
          <w:rFonts w:ascii="Times New Roman" w:hAnsi="Times New Roman" w:cs="Times New Roman"/>
          <w:sz w:val="24"/>
          <w:szCs w:val="24"/>
        </w:rPr>
        <w:t>seize</w:t>
      </w:r>
      <w:r w:rsidR="00D40B00" w:rsidRPr="000C4364">
        <w:rPr>
          <w:rFonts w:ascii="Times New Roman" w:hAnsi="Times New Roman" w:cs="Times New Roman"/>
          <w:sz w:val="24"/>
          <w:szCs w:val="24"/>
        </w:rPr>
        <w:t xml:space="preserve"> a disproportionately large share of common resources and opportunities,</w:t>
      </w:r>
      <w:r w:rsidR="001B5AAD" w:rsidRPr="000C4364">
        <w:rPr>
          <w:rFonts w:ascii="Times New Roman" w:hAnsi="Times New Roman" w:cs="Times New Roman"/>
          <w:sz w:val="24"/>
          <w:szCs w:val="24"/>
        </w:rPr>
        <w:t xml:space="preserve"> which can</w:t>
      </w:r>
      <w:r w:rsidR="00D40B00" w:rsidRPr="000C4364">
        <w:rPr>
          <w:rFonts w:ascii="Times New Roman" w:hAnsi="Times New Roman" w:cs="Times New Roman"/>
          <w:sz w:val="24"/>
          <w:szCs w:val="24"/>
        </w:rPr>
        <w:t xml:space="preserve"> </w:t>
      </w:r>
      <w:r w:rsidR="001B5AAD" w:rsidRPr="000C4364">
        <w:rPr>
          <w:rFonts w:ascii="Times New Roman" w:hAnsi="Times New Roman" w:cs="Times New Roman"/>
          <w:sz w:val="24"/>
          <w:szCs w:val="24"/>
        </w:rPr>
        <w:t>result</w:t>
      </w:r>
      <w:r w:rsidR="00D40B00" w:rsidRPr="000C4364">
        <w:rPr>
          <w:rFonts w:ascii="Times New Roman" w:hAnsi="Times New Roman" w:cs="Times New Roman"/>
          <w:sz w:val="24"/>
          <w:szCs w:val="24"/>
        </w:rPr>
        <w:t xml:space="preserve"> in </w:t>
      </w:r>
      <w:r w:rsidR="00D95B34" w:rsidRPr="000C4364">
        <w:rPr>
          <w:rFonts w:ascii="Times New Roman" w:hAnsi="Times New Roman" w:cs="Times New Roman"/>
          <w:sz w:val="24"/>
          <w:szCs w:val="24"/>
        </w:rPr>
        <w:t xml:space="preserve">further </w:t>
      </w:r>
      <w:r w:rsidR="00D40B00" w:rsidRPr="000C4364">
        <w:rPr>
          <w:rFonts w:ascii="Times New Roman" w:hAnsi="Times New Roman" w:cs="Times New Roman"/>
          <w:sz w:val="24"/>
          <w:szCs w:val="24"/>
        </w:rPr>
        <w:t xml:space="preserve">allocative </w:t>
      </w:r>
      <w:r w:rsidR="00D95B34" w:rsidRPr="000C4364">
        <w:rPr>
          <w:rFonts w:ascii="Times New Roman" w:hAnsi="Times New Roman" w:cs="Times New Roman"/>
          <w:sz w:val="24"/>
          <w:szCs w:val="24"/>
        </w:rPr>
        <w:t xml:space="preserve">inefficiencies </w:t>
      </w:r>
      <w:r w:rsidR="00D40B00" w:rsidRPr="000C4364">
        <w:rPr>
          <w:rFonts w:ascii="Times New Roman" w:hAnsi="Times New Roman" w:cs="Times New Roman"/>
          <w:sz w:val="24"/>
          <w:szCs w:val="24"/>
        </w:rPr>
        <w:t xml:space="preserve">(McKean, 1992). This compares to anonymous market-based exchange systems which </w:t>
      </w:r>
      <w:r w:rsidR="001B5AAD" w:rsidRPr="000C4364">
        <w:rPr>
          <w:rFonts w:ascii="Times New Roman" w:hAnsi="Times New Roman" w:cs="Times New Roman"/>
          <w:sz w:val="24"/>
          <w:szCs w:val="24"/>
        </w:rPr>
        <w:t xml:space="preserve">can be thought to be </w:t>
      </w:r>
      <w:r w:rsidR="00D40B00" w:rsidRPr="000C4364">
        <w:rPr>
          <w:rFonts w:ascii="Times New Roman" w:hAnsi="Times New Roman" w:cs="Times New Roman"/>
          <w:sz w:val="24"/>
          <w:szCs w:val="24"/>
        </w:rPr>
        <w:t xml:space="preserve">more efficient because </w:t>
      </w:r>
      <w:r w:rsidR="00531C0A" w:rsidRPr="000C4364">
        <w:rPr>
          <w:rFonts w:ascii="Times New Roman" w:hAnsi="Times New Roman" w:cs="Times New Roman"/>
          <w:sz w:val="24"/>
          <w:szCs w:val="24"/>
        </w:rPr>
        <w:t>‘</w:t>
      </w:r>
      <w:r w:rsidR="00D40B00" w:rsidRPr="000C4364">
        <w:rPr>
          <w:rFonts w:ascii="Times New Roman" w:hAnsi="Times New Roman" w:cs="Times New Roman"/>
          <w:sz w:val="24"/>
          <w:szCs w:val="24"/>
        </w:rPr>
        <w:t>the best</w:t>
      </w:r>
      <w:r w:rsidR="00531C0A" w:rsidRPr="000C4364">
        <w:rPr>
          <w:rFonts w:ascii="Times New Roman" w:hAnsi="Times New Roman" w:cs="Times New Roman"/>
          <w:sz w:val="24"/>
          <w:szCs w:val="24"/>
        </w:rPr>
        <w:t>’</w:t>
      </w:r>
      <w:r w:rsidR="00D40B00" w:rsidRPr="000C4364">
        <w:rPr>
          <w:rFonts w:ascii="Times New Roman" w:hAnsi="Times New Roman" w:cs="Times New Roman"/>
          <w:sz w:val="24"/>
          <w:szCs w:val="24"/>
        </w:rPr>
        <w:t xml:space="preserve"> buyer or seller may not be a part of exclusive networks (</w:t>
      </w:r>
      <w:proofErr w:type="spellStart"/>
      <w:r w:rsidR="00D40B00" w:rsidRPr="000C4364">
        <w:rPr>
          <w:rFonts w:ascii="Times New Roman" w:hAnsi="Times New Roman" w:cs="Times New Roman"/>
          <w:sz w:val="24"/>
          <w:szCs w:val="24"/>
        </w:rPr>
        <w:t>Serageldin</w:t>
      </w:r>
      <w:proofErr w:type="spellEnd"/>
      <w:r w:rsidR="00D40B00" w:rsidRPr="000C4364">
        <w:rPr>
          <w:rFonts w:ascii="Times New Roman" w:hAnsi="Times New Roman" w:cs="Times New Roman"/>
          <w:sz w:val="24"/>
          <w:szCs w:val="24"/>
        </w:rPr>
        <w:t xml:space="preserve"> and </w:t>
      </w:r>
      <w:proofErr w:type="spellStart"/>
      <w:r w:rsidR="00D40B00" w:rsidRPr="000C4364">
        <w:rPr>
          <w:rFonts w:ascii="Times New Roman" w:hAnsi="Times New Roman" w:cs="Times New Roman"/>
          <w:sz w:val="24"/>
          <w:szCs w:val="24"/>
        </w:rPr>
        <w:t>Grootaert</w:t>
      </w:r>
      <w:proofErr w:type="spellEnd"/>
      <w:r w:rsidR="00D40B00" w:rsidRPr="000C4364">
        <w:rPr>
          <w:rFonts w:ascii="Times New Roman" w:hAnsi="Times New Roman" w:cs="Times New Roman"/>
          <w:sz w:val="24"/>
          <w:szCs w:val="24"/>
        </w:rPr>
        <w:t>, 2001).</w:t>
      </w:r>
      <w:r w:rsidR="007C0444" w:rsidRPr="000C4364">
        <w:rPr>
          <w:rStyle w:val="EndnoteReference"/>
          <w:rFonts w:ascii="Times New Roman" w:hAnsi="Times New Roman" w:cs="Times New Roman"/>
          <w:sz w:val="24"/>
          <w:szCs w:val="24"/>
        </w:rPr>
        <w:endnoteReference w:id="1"/>
      </w:r>
      <w:r w:rsidR="004F0902" w:rsidRPr="000C4364">
        <w:rPr>
          <w:rFonts w:ascii="Times New Roman" w:hAnsi="Times New Roman" w:cs="Times New Roman"/>
          <w:color w:val="000000" w:themeColor="text1"/>
          <w:sz w:val="24"/>
          <w:szCs w:val="24"/>
        </w:rPr>
        <w:t xml:space="preserve">  </w:t>
      </w:r>
    </w:p>
    <w:p w:rsidR="007B4EEF" w:rsidRPr="000C4364" w:rsidRDefault="007B4EEF" w:rsidP="000C4364">
      <w:pPr>
        <w:spacing w:after="0" w:line="480" w:lineRule="auto"/>
        <w:ind w:firstLine="720"/>
        <w:rPr>
          <w:rFonts w:ascii="Times New Roman" w:hAnsi="Times New Roman" w:cs="Times New Roman"/>
          <w:color w:val="FF0000"/>
          <w:sz w:val="24"/>
          <w:szCs w:val="24"/>
        </w:rPr>
      </w:pPr>
    </w:p>
    <w:p w:rsidR="00055526" w:rsidRPr="000C4364" w:rsidRDefault="00D40B00" w:rsidP="000C4364">
      <w:pPr>
        <w:spacing w:after="0" w:line="480" w:lineRule="auto"/>
        <w:rPr>
          <w:rFonts w:ascii="Times New Roman" w:hAnsi="Times New Roman" w:cs="Times New Roman"/>
          <w:color w:val="FF0000"/>
          <w:sz w:val="24"/>
          <w:szCs w:val="24"/>
        </w:rPr>
      </w:pPr>
      <w:r w:rsidRPr="000C4364">
        <w:rPr>
          <w:rFonts w:ascii="Times New Roman" w:hAnsi="Times New Roman" w:cs="Times New Roman"/>
          <w:b/>
          <w:sz w:val="24"/>
          <w:szCs w:val="24"/>
        </w:rPr>
        <w:t xml:space="preserve">3. </w:t>
      </w:r>
      <w:r w:rsidR="00BE2077" w:rsidRPr="000C4364">
        <w:rPr>
          <w:rFonts w:ascii="Times New Roman" w:hAnsi="Times New Roman" w:cs="Times New Roman"/>
          <w:b/>
          <w:sz w:val="24"/>
          <w:szCs w:val="24"/>
        </w:rPr>
        <w:t>P</w:t>
      </w:r>
      <w:r w:rsidR="00977DDB" w:rsidRPr="000C4364">
        <w:rPr>
          <w:rFonts w:ascii="Times New Roman" w:hAnsi="Times New Roman" w:cs="Times New Roman"/>
          <w:b/>
          <w:sz w:val="24"/>
          <w:szCs w:val="24"/>
        </w:rPr>
        <w:t>ost-communist economies</w:t>
      </w:r>
      <w:r w:rsidR="00055526" w:rsidRPr="000C4364">
        <w:rPr>
          <w:rFonts w:ascii="Times New Roman" w:hAnsi="Times New Roman" w:cs="Times New Roman"/>
          <w:b/>
          <w:sz w:val="24"/>
          <w:szCs w:val="24"/>
        </w:rPr>
        <w:t>: a</w:t>
      </w:r>
      <w:r w:rsidRPr="000C4364">
        <w:rPr>
          <w:rFonts w:ascii="Times New Roman" w:hAnsi="Times New Roman" w:cs="Times New Roman"/>
          <w:b/>
          <w:sz w:val="24"/>
          <w:szCs w:val="24"/>
        </w:rPr>
        <w:t xml:space="preserve"> </w:t>
      </w:r>
      <w:r w:rsidR="00055526" w:rsidRPr="000C4364">
        <w:rPr>
          <w:rFonts w:ascii="Times New Roman" w:hAnsi="Times New Roman" w:cs="Times New Roman"/>
          <w:b/>
          <w:sz w:val="24"/>
          <w:szCs w:val="24"/>
        </w:rPr>
        <w:t>b</w:t>
      </w:r>
      <w:r w:rsidRPr="000C4364">
        <w:rPr>
          <w:rFonts w:ascii="Times New Roman" w:hAnsi="Times New Roman" w:cs="Times New Roman"/>
          <w:b/>
          <w:sz w:val="24"/>
          <w:szCs w:val="24"/>
        </w:rPr>
        <w:t xml:space="preserve">rief </w:t>
      </w:r>
      <w:r w:rsidR="00055526" w:rsidRPr="000C4364">
        <w:rPr>
          <w:rFonts w:ascii="Times New Roman" w:hAnsi="Times New Roman" w:cs="Times New Roman"/>
          <w:b/>
          <w:sz w:val="24"/>
          <w:szCs w:val="24"/>
        </w:rPr>
        <w:t>b</w:t>
      </w:r>
      <w:r w:rsidRPr="000C4364">
        <w:rPr>
          <w:rFonts w:ascii="Times New Roman" w:hAnsi="Times New Roman" w:cs="Times New Roman"/>
          <w:b/>
          <w:sz w:val="24"/>
          <w:szCs w:val="24"/>
        </w:rPr>
        <w:t>ackground</w:t>
      </w:r>
      <w:r w:rsidR="00FF1001" w:rsidRPr="000C4364">
        <w:rPr>
          <w:rFonts w:ascii="Times New Roman" w:hAnsi="Times New Roman" w:cs="Times New Roman"/>
          <w:b/>
          <w:sz w:val="24"/>
          <w:szCs w:val="24"/>
        </w:rPr>
        <w:t xml:space="preserve"> </w:t>
      </w:r>
    </w:p>
    <w:p w:rsidR="004F0902" w:rsidRPr="000C4364" w:rsidRDefault="004F0902" w:rsidP="000C4364">
      <w:pPr>
        <w:spacing w:after="0" w:line="480" w:lineRule="auto"/>
        <w:rPr>
          <w:rFonts w:ascii="Times New Roman" w:hAnsi="Times New Roman" w:cs="Times New Roman"/>
          <w:sz w:val="24"/>
          <w:szCs w:val="24"/>
        </w:rPr>
      </w:pPr>
    </w:p>
    <w:p w:rsidR="00D40B00" w:rsidRPr="000C4364" w:rsidRDefault="004B5DAE"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 xml:space="preserve">PCEs </w:t>
      </w:r>
      <w:r w:rsidR="00D40B00" w:rsidRPr="000C4364">
        <w:rPr>
          <w:rFonts w:ascii="Times New Roman" w:hAnsi="Times New Roman" w:cs="Times New Roman"/>
          <w:sz w:val="24"/>
          <w:szCs w:val="24"/>
        </w:rPr>
        <w:t xml:space="preserve">had relatively similar </w:t>
      </w:r>
      <w:r w:rsidR="0072605C" w:rsidRPr="000C4364">
        <w:rPr>
          <w:rFonts w:ascii="Times New Roman" w:hAnsi="Times New Roman" w:cs="Times New Roman"/>
          <w:sz w:val="24"/>
          <w:szCs w:val="24"/>
        </w:rPr>
        <w:t xml:space="preserve">economic </w:t>
      </w:r>
      <w:r w:rsidR="00D40B00" w:rsidRPr="000C4364">
        <w:rPr>
          <w:rFonts w:ascii="Times New Roman" w:hAnsi="Times New Roman" w:cs="Times New Roman"/>
          <w:sz w:val="24"/>
          <w:szCs w:val="24"/>
        </w:rPr>
        <w:t>conditions when they started the</w:t>
      </w:r>
      <w:r w:rsidR="00977DDB" w:rsidRPr="000C4364">
        <w:rPr>
          <w:rFonts w:ascii="Times New Roman" w:hAnsi="Times New Roman" w:cs="Times New Roman"/>
          <w:sz w:val="24"/>
          <w:szCs w:val="24"/>
        </w:rPr>
        <w:t>ir</w:t>
      </w:r>
      <w:r w:rsidR="00D40B00" w:rsidRPr="000C4364">
        <w:rPr>
          <w:rFonts w:ascii="Times New Roman" w:hAnsi="Times New Roman" w:cs="Times New Roman"/>
          <w:sz w:val="24"/>
          <w:szCs w:val="24"/>
        </w:rPr>
        <w:t xml:space="preserve"> tran</w:t>
      </w:r>
      <w:r w:rsidR="0072605C" w:rsidRPr="000C4364">
        <w:rPr>
          <w:rFonts w:ascii="Times New Roman" w:hAnsi="Times New Roman" w:cs="Times New Roman"/>
          <w:sz w:val="24"/>
          <w:szCs w:val="24"/>
        </w:rPr>
        <w:t>sformations towards market-based systems</w:t>
      </w:r>
      <w:r w:rsidR="00D40B00" w:rsidRPr="000C4364">
        <w:rPr>
          <w:rFonts w:ascii="Times New Roman" w:hAnsi="Times New Roman" w:cs="Times New Roman"/>
          <w:sz w:val="24"/>
          <w:szCs w:val="24"/>
        </w:rPr>
        <w:t xml:space="preserve"> in the late 1980s, especially in relation to</w:t>
      </w:r>
      <w:r w:rsidR="004843C7" w:rsidRPr="000C4364">
        <w:rPr>
          <w:rFonts w:ascii="Times New Roman" w:hAnsi="Times New Roman" w:cs="Times New Roman"/>
          <w:sz w:val="24"/>
          <w:szCs w:val="24"/>
        </w:rPr>
        <w:t xml:space="preserve"> the banking</w:t>
      </w:r>
      <w:r w:rsidR="00D40B00" w:rsidRPr="000C4364">
        <w:rPr>
          <w:rFonts w:ascii="Times New Roman" w:hAnsi="Times New Roman" w:cs="Times New Roman"/>
          <w:sz w:val="24"/>
          <w:szCs w:val="24"/>
        </w:rPr>
        <w:t xml:space="preserve"> structure and enterprise finances (Dow </w:t>
      </w:r>
      <w:r w:rsidR="00CF5E5E" w:rsidRPr="000C4364">
        <w:rPr>
          <w:rFonts w:ascii="Times New Roman" w:hAnsi="Times New Roman" w:cs="Times New Roman"/>
          <w:i/>
          <w:sz w:val="24"/>
          <w:szCs w:val="24"/>
        </w:rPr>
        <w:t>et al</w:t>
      </w:r>
      <w:r w:rsidR="00D40B00" w:rsidRPr="000C4364">
        <w:rPr>
          <w:rFonts w:ascii="Times New Roman" w:hAnsi="Times New Roman" w:cs="Times New Roman"/>
          <w:i/>
          <w:sz w:val="24"/>
          <w:szCs w:val="24"/>
        </w:rPr>
        <w:t>.</w:t>
      </w:r>
      <w:r w:rsidR="00D40B00" w:rsidRPr="000C4364">
        <w:rPr>
          <w:rFonts w:ascii="Times New Roman" w:hAnsi="Times New Roman" w:cs="Times New Roman"/>
          <w:sz w:val="24"/>
          <w:szCs w:val="24"/>
        </w:rPr>
        <w:t>, 2008)</w:t>
      </w:r>
      <w:r w:rsidR="0072605C" w:rsidRPr="000C4364">
        <w:rPr>
          <w:rFonts w:ascii="Times New Roman" w:hAnsi="Times New Roman" w:cs="Times New Roman"/>
          <w:sz w:val="24"/>
          <w:szCs w:val="24"/>
        </w:rPr>
        <w:t xml:space="preserve">. </w:t>
      </w:r>
      <w:r w:rsidR="00F378B5" w:rsidRPr="000C4364">
        <w:rPr>
          <w:rFonts w:ascii="Times New Roman" w:hAnsi="Times New Roman" w:cs="Times New Roman"/>
          <w:sz w:val="24"/>
          <w:szCs w:val="24"/>
        </w:rPr>
        <w:t>However, u</w:t>
      </w:r>
      <w:r w:rsidR="00D40B00" w:rsidRPr="000C4364">
        <w:rPr>
          <w:rFonts w:ascii="Times New Roman" w:hAnsi="Times New Roman" w:cs="Times New Roman"/>
          <w:sz w:val="24"/>
          <w:szCs w:val="24"/>
        </w:rPr>
        <w:t xml:space="preserve">nlike other emerging economies where </w:t>
      </w:r>
      <w:r w:rsidR="00977DDB" w:rsidRPr="000C4364">
        <w:rPr>
          <w:rFonts w:ascii="Times New Roman" w:hAnsi="Times New Roman" w:cs="Times New Roman"/>
          <w:sz w:val="24"/>
          <w:szCs w:val="24"/>
        </w:rPr>
        <w:t>firms</w:t>
      </w:r>
      <w:r w:rsidR="00531C0A" w:rsidRPr="000C4364">
        <w:rPr>
          <w:rFonts w:ascii="Times New Roman" w:hAnsi="Times New Roman" w:cs="Times New Roman"/>
          <w:sz w:val="24"/>
          <w:szCs w:val="24"/>
        </w:rPr>
        <w:t>’</w:t>
      </w:r>
      <w:r w:rsidR="00977DDB"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access to </w:t>
      </w:r>
      <w:r w:rsidR="004843C7" w:rsidRPr="000C4364">
        <w:rPr>
          <w:rFonts w:ascii="Times New Roman" w:hAnsi="Times New Roman" w:cs="Times New Roman"/>
          <w:sz w:val="24"/>
          <w:szCs w:val="24"/>
        </w:rPr>
        <w:t xml:space="preserve">formal </w:t>
      </w:r>
      <w:r w:rsidR="00D40B00" w:rsidRPr="000C4364">
        <w:rPr>
          <w:rFonts w:ascii="Times New Roman" w:hAnsi="Times New Roman" w:cs="Times New Roman"/>
          <w:sz w:val="24"/>
          <w:szCs w:val="24"/>
        </w:rPr>
        <w:t xml:space="preserve">finance </w:t>
      </w:r>
      <w:r w:rsidR="00977DDB" w:rsidRPr="000C4364">
        <w:rPr>
          <w:rFonts w:ascii="Times New Roman" w:hAnsi="Times New Roman" w:cs="Times New Roman"/>
          <w:sz w:val="24"/>
          <w:szCs w:val="24"/>
        </w:rPr>
        <w:t xml:space="preserve">had </w:t>
      </w:r>
      <w:r w:rsidR="00D40B00" w:rsidRPr="000C4364">
        <w:rPr>
          <w:rFonts w:ascii="Times New Roman" w:hAnsi="Times New Roman" w:cs="Times New Roman"/>
          <w:sz w:val="24"/>
          <w:szCs w:val="24"/>
        </w:rPr>
        <w:t>historically been poor</w:t>
      </w:r>
      <w:r w:rsidR="0072605C" w:rsidRPr="000C4364">
        <w:rPr>
          <w:rFonts w:ascii="Times New Roman" w:hAnsi="Times New Roman" w:cs="Times New Roman"/>
          <w:sz w:val="24"/>
          <w:szCs w:val="24"/>
        </w:rPr>
        <w:t>,</w:t>
      </w:r>
      <w:r w:rsidR="00977DDB"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PCEs had to deal with </w:t>
      </w:r>
      <w:r w:rsidR="0072605C" w:rsidRPr="000C4364">
        <w:rPr>
          <w:rFonts w:ascii="Times New Roman" w:hAnsi="Times New Roman" w:cs="Times New Roman"/>
          <w:sz w:val="24"/>
          <w:szCs w:val="24"/>
        </w:rPr>
        <w:t>an</w:t>
      </w:r>
      <w:r w:rsidR="00D40B00" w:rsidRPr="000C4364">
        <w:rPr>
          <w:rFonts w:ascii="Times New Roman" w:hAnsi="Times New Roman" w:cs="Times New Roman"/>
          <w:sz w:val="24"/>
          <w:szCs w:val="24"/>
        </w:rPr>
        <w:t xml:space="preserve"> over-dependence </w:t>
      </w:r>
      <w:r w:rsidR="00977DDB" w:rsidRPr="000C4364">
        <w:rPr>
          <w:rFonts w:ascii="Times New Roman" w:hAnsi="Times New Roman" w:cs="Times New Roman"/>
          <w:sz w:val="24"/>
          <w:szCs w:val="24"/>
        </w:rPr>
        <w:t xml:space="preserve">of enterprises </w:t>
      </w:r>
      <w:r w:rsidR="00D40B00" w:rsidRPr="000C4364">
        <w:rPr>
          <w:rFonts w:ascii="Times New Roman" w:hAnsi="Times New Roman" w:cs="Times New Roman"/>
          <w:sz w:val="24"/>
          <w:szCs w:val="24"/>
        </w:rPr>
        <w:t>on bank finance at the start of transition</w:t>
      </w:r>
      <w:r w:rsidR="00F378B5" w:rsidRPr="000C4364">
        <w:rPr>
          <w:rFonts w:ascii="Times New Roman" w:hAnsi="Times New Roman" w:cs="Times New Roman"/>
          <w:sz w:val="24"/>
          <w:szCs w:val="24"/>
        </w:rPr>
        <w:t xml:space="preserve">; table 1 </w:t>
      </w:r>
      <w:proofErr w:type="gramStart"/>
      <w:r w:rsidR="00F378B5" w:rsidRPr="000C4364">
        <w:rPr>
          <w:rFonts w:ascii="Times New Roman" w:hAnsi="Times New Roman" w:cs="Times New Roman"/>
          <w:sz w:val="24"/>
          <w:szCs w:val="24"/>
        </w:rPr>
        <w:t>shows</w:t>
      </w:r>
      <w:proofErr w:type="gramEnd"/>
      <w:r w:rsidR="00F378B5" w:rsidRPr="000C4364">
        <w:rPr>
          <w:rFonts w:ascii="Times New Roman" w:hAnsi="Times New Roman" w:cs="Times New Roman"/>
          <w:sz w:val="24"/>
          <w:szCs w:val="24"/>
        </w:rPr>
        <w:t xml:space="preserve"> that often half of enterprises</w:t>
      </w:r>
      <w:r w:rsidR="00531C0A" w:rsidRPr="000C4364">
        <w:rPr>
          <w:rFonts w:ascii="Times New Roman" w:hAnsi="Times New Roman" w:cs="Times New Roman"/>
          <w:sz w:val="24"/>
          <w:szCs w:val="24"/>
        </w:rPr>
        <w:t>’</w:t>
      </w:r>
      <w:r w:rsidR="00F378B5" w:rsidRPr="000C4364">
        <w:rPr>
          <w:rFonts w:ascii="Times New Roman" w:hAnsi="Times New Roman" w:cs="Times New Roman"/>
          <w:sz w:val="24"/>
          <w:szCs w:val="24"/>
        </w:rPr>
        <w:t xml:space="preserve"> working capital was financed by bank credit</w:t>
      </w:r>
      <w:r w:rsidR="00D40B00" w:rsidRPr="000C4364">
        <w:rPr>
          <w:rFonts w:ascii="Times New Roman" w:hAnsi="Times New Roman" w:cs="Times New Roman"/>
          <w:sz w:val="24"/>
          <w:szCs w:val="24"/>
        </w:rPr>
        <w:t xml:space="preserve">. </w:t>
      </w:r>
      <w:proofErr w:type="spellStart"/>
      <w:r w:rsidR="00D40B00" w:rsidRPr="000C4364">
        <w:rPr>
          <w:rFonts w:ascii="Times New Roman" w:hAnsi="Times New Roman" w:cs="Times New Roman"/>
          <w:sz w:val="24"/>
          <w:szCs w:val="24"/>
        </w:rPr>
        <w:t>Kornai</w:t>
      </w:r>
      <w:proofErr w:type="spellEnd"/>
      <w:r w:rsidR="00D40B00" w:rsidRPr="000C4364">
        <w:rPr>
          <w:rFonts w:ascii="Times New Roman" w:hAnsi="Times New Roman" w:cs="Times New Roman"/>
          <w:sz w:val="24"/>
          <w:szCs w:val="24"/>
        </w:rPr>
        <w:t xml:space="preserve"> (1982) call</w:t>
      </w:r>
      <w:r w:rsidR="00F378B5"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this phenomenon </w:t>
      </w:r>
      <w:r w:rsidR="00531C0A" w:rsidRPr="000C4364">
        <w:rPr>
          <w:rFonts w:ascii="Times New Roman" w:hAnsi="Times New Roman" w:cs="Times New Roman"/>
          <w:sz w:val="24"/>
          <w:szCs w:val="24"/>
        </w:rPr>
        <w:t>‘</w:t>
      </w:r>
      <w:r w:rsidR="00D40B00" w:rsidRPr="000C4364">
        <w:rPr>
          <w:rFonts w:ascii="Times New Roman" w:hAnsi="Times New Roman" w:cs="Times New Roman"/>
          <w:sz w:val="24"/>
          <w:szCs w:val="24"/>
        </w:rPr>
        <w:t>soft budget constraints</w:t>
      </w:r>
      <w:r w:rsidR="00531C0A" w:rsidRPr="000C4364">
        <w:rPr>
          <w:rFonts w:ascii="Times New Roman" w:hAnsi="Times New Roman" w:cs="Times New Roman"/>
          <w:sz w:val="24"/>
          <w:szCs w:val="24"/>
        </w:rPr>
        <w:t>’</w:t>
      </w:r>
      <w:r w:rsidR="00977DDB"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and argue</w:t>
      </w:r>
      <w:r w:rsidR="00F378B5" w:rsidRPr="000C4364">
        <w:rPr>
          <w:rFonts w:ascii="Times New Roman" w:hAnsi="Times New Roman" w:cs="Times New Roman"/>
          <w:sz w:val="24"/>
          <w:szCs w:val="24"/>
        </w:rPr>
        <w:t>s</w:t>
      </w:r>
      <w:r w:rsidR="00D40B00" w:rsidRPr="000C4364">
        <w:rPr>
          <w:rFonts w:ascii="Times New Roman" w:hAnsi="Times New Roman" w:cs="Times New Roman"/>
          <w:sz w:val="24"/>
          <w:szCs w:val="24"/>
        </w:rPr>
        <w:t xml:space="preserve"> that it was one of the main causes of </w:t>
      </w:r>
      <w:r w:rsidR="00111F12" w:rsidRPr="000C4364">
        <w:rPr>
          <w:rFonts w:ascii="Times New Roman" w:hAnsi="Times New Roman" w:cs="Times New Roman"/>
          <w:sz w:val="24"/>
          <w:szCs w:val="24"/>
        </w:rPr>
        <w:lastRenderedPageBreak/>
        <w:t xml:space="preserve">resource </w:t>
      </w:r>
      <w:r w:rsidR="00D40B00" w:rsidRPr="000C4364">
        <w:rPr>
          <w:rFonts w:ascii="Times New Roman" w:hAnsi="Times New Roman" w:cs="Times New Roman"/>
          <w:sz w:val="24"/>
          <w:szCs w:val="24"/>
        </w:rPr>
        <w:t>misallocation under central planning as it allowed loss-mak</w:t>
      </w:r>
      <w:r w:rsidR="00534F73" w:rsidRPr="000C4364">
        <w:rPr>
          <w:rFonts w:ascii="Times New Roman" w:hAnsi="Times New Roman" w:cs="Times New Roman"/>
          <w:sz w:val="24"/>
          <w:szCs w:val="24"/>
        </w:rPr>
        <w:t>ing enterprises to stay afloat</w:t>
      </w:r>
      <w:r w:rsidR="00D40B00" w:rsidRPr="000C4364">
        <w:rPr>
          <w:rFonts w:ascii="Times New Roman" w:hAnsi="Times New Roman" w:cs="Times New Roman"/>
          <w:sz w:val="24"/>
          <w:szCs w:val="24"/>
        </w:rPr>
        <w:t>.</w:t>
      </w:r>
      <w:r w:rsidR="00B53FA0" w:rsidRPr="000C4364">
        <w:rPr>
          <w:rFonts w:ascii="Times New Roman" w:hAnsi="Times New Roman" w:cs="Times New Roman"/>
          <w:sz w:val="24"/>
          <w:szCs w:val="24"/>
        </w:rPr>
        <w:t xml:space="preserve"> Capital for e</w:t>
      </w:r>
      <w:r w:rsidR="001E094E" w:rsidRPr="000C4364">
        <w:rPr>
          <w:rFonts w:ascii="Times New Roman" w:hAnsi="Times New Roman" w:cs="Times New Roman"/>
          <w:sz w:val="24"/>
          <w:szCs w:val="24"/>
        </w:rPr>
        <w:t xml:space="preserve">nterprise </w:t>
      </w:r>
      <w:r w:rsidR="00086556" w:rsidRPr="000C4364">
        <w:rPr>
          <w:rFonts w:ascii="Times New Roman" w:hAnsi="Times New Roman" w:cs="Times New Roman"/>
          <w:sz w:val="24"/>
          <w:szCs w:val="24"/>
        </w:rPr>
        <w:t>s</w:t>
      </w:r>
      <w:r w:rsidR="00D40B00" w:rsidRPr="000C4364">
        <w:rPr>
          <w:rFonts w:ascii="Times New Roman" w:eastAsia="Calibri" w:hAnsi="Times New Roman" w:cs="Times New Roman"/>
          <w:sz w:val="24"/>
          <w:szCs w:val="24"/>
        </w:rPr>
        <w:t>tar</w:t>
      </w:r>
      <w:r w:rsidR="00086556" w:rsidRPr="000C4364">
        <w:rPr>
          <w:rFonts w:ascii="Times New Roman" w:eastAsia="Calibri" w:hAnsi="Times New Roman" w:cs="Times New Roman"/>
          <w:sz w:val="24"/>
          <w:szCs w:val="24"/>
        </w:rPr>
        <w:t>t</w:t>
      </w:r>
      <w:r w:rsidR="00B235FF" w:rsidRPr="000C4364">
        <w:rPr>
          <w:rFonts w:ascii="Times New Roman" w:eastAsia="Calibri" w:hAnsi="Times New Roman" w:cs="Times New Roman"/>
          <w:sz w:val="24"/>
          <w:szCs w:val="24"/>
        </w:rPr>
        <w:t xml:space="preserve"> </w:t>
      </w:r>
      <w:r w:rsidR="00086556" w:rsidRPr="000C4364">
        <w:rPr>
          <w:rFonts w:ascii="Times New Roman" w:eastAsia="Calibri" w:hAnsi="Times New Roman" w:cs="Times New Roman"/>
          <w:sz w:val="24"/>
          <w:szCs w:val="24"/>
        </w:rPr>
        <w:t>up</w:t>
      </w:r>
      <w:r w:rsidR="00B53FA0" w:rsidRPr="000C4364">
        <w:rPr>
          <w:rFonts w:ascii="Times New Roman" w:eastAsia="Calibri" w:hAnsi="Times New Roman" w:cs="Times New Roman"/>
          <w:sz w:val="24"/>
          <w:szCs w:val="24"/>
        </w:rPr>
        <w:t>s</w:t>
      </w:r>
      <w:r w:rsidR="00086556" w:rsidRPr="000C4364">
        <w:rPr>
          <w:rFonts w:ascii="Times New Roman" w:eastAsia="Calibri" w:hAnsi="Times New Roman" w:cs="Times New Roman"/>
          <w:sz w:val="24"/>
          <w:szCs w:val="24"/>
        </w:rPr>
        <w:t xml:space="preserve"> </w:t>
      </w:r>
      <w:r w:rsidR="00BC7DD2" w:rsidRPr="000C4364">
        <w:rPr>
          <w:rFonts w:ascii="Times New Roman" w:eastAsia="Calibri" w:hAnsi="Times New Roman" w:cs="Times New Roman"/>
          <w:sz w:val="24"/>
          <w:szCs w:val="24"/>
        </w:rPr>
        <w:t>and</w:t>
      </w:r>
      <w:r w:rsidR="00D40B00" w:rsidRPr="000C4364">
        <w:rPr>
          <w:rFonts w:ascii="Times New Roman" w:eastAsia="Calibri" w:hAnsi="Times New Roman" w:cs="Times New Roman"/>
          <w:sz w:val="24"/>
          <w:szCs w:val="24"/>
        </w:rPr>
        <w:t xml:space="preserve"> investm</w:t>
      </w:r>
      <w:r w:rsidR="00086556" w:rsidRPr="000C4364">
        <w:rPr>
          <w:rFonts w:ascii="Times New Roman" w:eastAsia="Calibri" w:hAnsi="Times New Roman" w:cs="Times New Roman"/>
          <w:sz w:val="24"/>
          <w:szCs w:val="24"/>
        </w:rPr>
        <w:t xml:space="preserve">ent expansions </w:t>
      </w:r>
      <w:r w:rsidR="00BC7DD2" w:rsidRPr="000C4364">
        <w:rPr>
          <w:rFonts w:ascii="Times New Roman" w:eastAsia="Calibri" w:hAnsi="Times New Roman" w:cs="Times New Roman"/>
          <w:sz w:val="24"/>
          <w:szCs w:val="24"/>
        </w:rPr>
        <w:t>were</w:t>
      </w:r>
      <w:r w:rsidR="00D40B00" w:rsidRPr="000C4364">
        <w:rPr>
          <w:rFonts w:ascii="Times New Roman" w:eastAsia="Calibri" w:hAnsi="Times New Roman" w:cs="Times New Roman"/>
          <w:sz w:val="24"/>
          <w:szCs w:val="24"/>
        </w:rPr>
        <w:t xml:space="preserve"> financed from state budget</w:t>
      </w:r>
      <w:r w:rsidR="00F378B5" w:rsidRPr="000C4364">
        <w:rPr>
          <w:rFonts w:ascii="Times New Roman" w:eastAsia="Calibri" w:hAnsi="Times New Roman" w:cs="Times New Roman"/>
          <w:sz w:val="24"/>
          <w:szCs w:val="24"/>
        </w:rPr>
        <w:t>s</w:t>
      </w:r>
      <w:r w:rsidR="00D40B00" w:rsidRPr="000C4364">
        <w:rPr>
          <w:rFonts w:ascii="Times New Roman" w:eastAsia="Calibri" w:hAnsi="Times New Roman" w:cs="Times New Roman"/>
          <w:sz w:val="24"/>
          <w:szCs w:val="24"/>
        </w:rPr>
        <w:t xml:space="preserve"> as non-</w:t>
      </w:r>
      <w:r w:rsidR="00534F73" w:rsidRPr="000C4364">
        <w:rPr>
          <w:rFonts w:ascii="Times New Roman" w:eastAsia="Calibri" w:hAnsi="Times New Roman" w:cs="Times New Roman"/>
          <w:sz w:val="24"/>
          <w:szCs w:val="24"/>
        </w:rPr>
        <w:t xml:space="preserve">repayable grants and subsidies </w:t>
      </w:r>
      <w:r w:rsidR="00D40B00" w:rsidRPr="000C4364">
        <w:rPr>
          <w:rFonts w:ascii="Times New Roman" w:eastAsia="Calibri" w:hAnsi="Times New Roman" w:cs="Times New Roman"/>
          <w:sz w:val="24"/>
          <w:szCs w:val="24"/>
        </w:rPr>
        <w:t>(Ruziev and Dow, 2014)</w:t>
      </w:r>
      <w:r w:rsidR="00CC3BA7" w:rsidRPr="000C4364">
        <w:rPr>
          <w:rFonts w:ascii="Times New Roman" w:hAnsi="Times New Roman" w:cs="Times New Roman"/>
          <w:sz w:val="24"/>
          <w:szCs w:val="24"/>
        </w:rPr>
        <w:t xml:space="preserve">. </w:t>
      </w:r>
    </w:p>
    <w:p w:rsidR="00D66644" w:rsidRPr="000C4364" w:rsidRDefault="00D66644" w:rsidP="000C4364">
      <w:pPr>
        <w:spacing w:after="0" w:line="480" w:lineRule="auto"/>
        <w:jc w:val="center"/>
        <w:rPr>
          <w:rFonts w:ascii="Times New Roman" w:hAnsi="Times New Roman" w:cs="Times New Roman"/>
          <w:i/>
          <w:sz w:val="24"/>
          <w:szCs w:val="24"/>
        </w:rPr>
      </w:pPr>
      <w:r w:rsidRPr="000C4364">
        <w:rPr>
          <w:rFonts w:ascii="Times New Roman" w:hAnsi="Times New Roman" w:cs="Times New Roman"/>
          <w:i/>
          <w:sz w:val="24"/>
          <w:szCs w:val="24"/>
        </w:rPr>
        <w:t>&lt;Table 1 &gt;</w:t>
      </w:r>
    </w:p>
    <w:p w:rsidR="00D40B00" w:rsidRPr="000C4364" w:rsidRDefault="009607BC"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D40B00" w:rsidRPr="000C4364">
        <w:rPr>
          <w:rFonts w:ascii="Times New Roman" w:hAnsi="Times New Roman" w:cs="Times New Roman"/>
          <w:sz w:val="24"/>
          <w:szCs w:val="24"/>
        </w:rPr>
        <w:t>In the early years of transition, policymakers priorit</w:t>
      </w:r>
      <w:r w:rsidR="00586691" w:rsidRPr="000C4364">
        <w:rPr>
          <w:rFonts w:ascii="Times New Roman" w:hAnsi="Times New Roman" w:cs="Times New Roman"/>
          <w:sz w:val="24"/>
          <w:szCs w:val="24"/>
        </w:rPr>
        <w:t>ise</w:t>
      </w:r>
      <w:r w:rsidR="00D40B00" w:rsidRPr="000C4364">
        <w:rPr>
          <w:rFonts w:ascii="Times New Roman" w:hAnsi="Times New Roman" w:cs="Times New Roman"/>
          <w:sz w:val="24"/>
          <w:szCs w:val="24"/>
        </w:rPr>
        <w:t xml:space="preserve">d macroeconomic reforms and </w:t>
      </w:r>
      <w:r w:rsidR="00111F12" w:rsidRPr="000C4364">
        <w:rPr>
          <w:rFonts w:ascii="Times New Roman" w:hAnsi="Times New Roman" w:cs="Times New Roman"/>
          <w:sz w:val="24"/>
          <w:szCs w:val="24"/>
        </w:rPr>
        <w:t xml:space="preserve">a </w:t>
      </w:r>
      <w:r w:rsidR="00D40B00" w:rsidRPr="000C4364">
        <w:rPr>
          <w:rFonts w:ascii="Times New Roman" w:hAnsi="Times New Roman" w:cs="Times New Roman"/>
          <w:sz w:val="24"/>
          <w:szCs w:val="24"/>
        </w:rPr>
        <w:t xml:space="preserve">hardening of </w:t>
      </w:r>
      <w:r w:rsidR="00531C0A" w:rsidRPr="000C4364">
        <w:rPr>
          <w:rFonts w:ascii="Times New Roman" w:hAnsi="Times New Roman" w:cs="Times New Roman"/>
          <w:sz w:val="24"/>
          <w:szCs w:val="24"/>
        </w:rPr>
        <w:t>‘</w:t>
      </w:r>
      <w:r w:rsidR="00D40B00" w:rsidRPr="000C4364">
        <w:rPr>
          <w:rFonts w:ascii="Times New Roman" w:hAnsi="Times New Roman" w:cs="Times New Roman"/>
          <w:sz w:val="24"/>
          <w:szCs w:val="24"/>
        </w:rPr>
        <w:t>soft b</w:t>
      </w:r>
      <w:r w:rsidR="004754EF" w:rsidRPr="000C4364">
        <w:rPr>
          <w:rFonts w:ascii="Times New Roman" w:hAnsi="Times New Roman" w:cs="Times New Roman"/>
          <w:sz w:val="24"/>
          <w:szCs w:val="24"/>
        </w:rPr>
        <w:t>udget constraints</w:t>
      </w:r>
      <w:r w:rsidR="00531C0A" w:rsidRPr="000C4364">
        <w:rPr>
          <w:rFonts w:ascii="Times New Roman" w:hAnsi="Times New Roman" w:cs="Times New Roman"/>
          <w:sz w:val="24"/>
          <w:szCs w:val="24"/>
        </w:rPr>
        <w:t>’</w:t>
      </w:r>
      <w:r w:rsidR="004754EF" w:rsidRPr="000C4364">
        <w:rPr>
          <w:rFonts w:ascii="Times New Roman" w:hAnsi="Times New Roman" w:cs="Times New Roman"/>
          <w:sz w:val="24"/>
          <w:szCs w:val="24"/>
        </w:rPr>
        <w:t xml:space="preserve"> (</w:t>
      </w:r>
      <w:r w:rsidRPr="000C4364">
        <w:rPr>
          <w:rFonts w:ascii="Times New Roman" w:hAnsi="Times New Roman" w:cs="Times New Roman"/>
          <w:sz w:val="24"/>
          <w:szCs w:val="24"/>
        </w:rPr>
        <w:t>Fischer and Gelb, 1991</w:t>
      </w:r>
      <w:r w:rsidR="00D40B00" w:rsidRPr="000C4364">
        <w:rPr>
          <w:rFonts w:ascii="Times New Roman" w:hAnsi="Times New Roman" w:cs="Times New Roman"/>
          <w:sz w:val="24"/>
          <w:szCs w:val="24"/>
        </w:rPr>
        <w:t xml:space="preserve">). </w:t>
      </w:r>
      <w:r w:rsidR="004B5DAE" w:rsidRPr="000C4364">
        <w:rPr>
          <w:rFonts w:ascii="Times New Roman" w:hAnsi="Times New Roman" w:cs="Times New Roman"/>
          <w:sz w:val="24"/>
          <w:szCs w:val="24"/>
        </w:rPr>
        <w:t xml:space="preserve">Liberalisation policies </w:t>
      </w:r>
      <w:r w:rsidR="002A3A80" w:rsidRPr="000C4364">
        <w:rPr>
          <w:rFonts w:ascii="Times New Roman" w:hAnsi="Times New Roman" w:cs="Times New Roman"/>
          <w:sz w:val="24"/>
          <w:szCs w:val="24"/>
        </w:rPr>
        <w:t xml:space="preserve">were fast and perceived to be successful </w:t>
      </w:r>
      <w:r w:rsidR="00D40B00" w:rsidRPr="000C4364">
        <w:rPr>
          <w:rFonts w:ascii="Times New Roman" w:hAnsi="Times New Roman" w:cs="Times New Roman"/>
          <w:sz w:val="24"/>
          <w:szCs w:val="24"/>
        </w:rPr>
        <w:t xml:space="preserve">in small-scale enterprise and retail sectors </w:t>
      </w:r>
      <w:r w:rsidR="004B5DAE" w:rsidRPr="000C4364">
        <w:rPr>
          <w:rFonts w:ascii="Times New Roman" w:hAnsi="Times New Roman" w:cs="Times New Roman"/>
          <w:sz w:val="24"/>
          <w:szCs w:val="24"/>
        </w:rPr>
        <w:t xml:space="preserve">in </w:t>
      </w:r>
      <w:r w:rsidR="00D40B00" w:rsidRPr="000C4364">
        <w:rPr>
          <w:rFonts w:ascii="Times New Roman" w:hAnsi="Times New Roman" w:cs="Times New Roman"/>
          <w:sz w:val="24"/>
          <w:szCs w:val="24"/>
        </w:rPr>
        <w:t>all transition economies</w:t>
      </w:r>
      <w:r w:rsidR="002A3A80" w:rsidRPr="000C4364">
        <w:rPr>
          <w:rFonts w:ascii="Times New Roman" w:hAnsi="Times New Roman" w:cs="Times New Roman"/>
          <w:sz w:val="24"/>
          <w:szCs w:val="24"/>
        </w:rPr>
        <w:t>. O</w:t>
      </w:r>
      <w:r w:rsidR="00D40B00" w:rsidRPr="000C4364">
        <w:rPr>
          <w:rFonts w:ascii="Times New Roman" w:hAnsi="Times New Roman" w:cs="Times New Roman"/>
          <w:sz w:val="24"/>
          <w:szCs w:val="24"/>
        </w:rPr>
        <w:t>pportunities emerged for priv</w:t>
      </w:r>
      <w:r w:rsidR="00111F12" w:rsidRPr="000C4364">
        <w:rPr>
          <w:rFonts w:ascii="Times New Roman" w:hAnsi="Times New Roman" w:cs="Times New Roman"/>
          <w:sz w:val="24"/>
          <w:szCs w:val="24"/>
        </w:rPr>
        <w:t>ate entrepreneurial activities that resulted</w:t>
      </w:r>
      <w:r w:rsidR="00D40B00" w:rsidRPr="000C4364">
        <w:rPr>
          <w:rFonts w:ascii="Times New Roman" w:hAnsi="Times New Roman" w:cs="Times New Roman"/>
          <w:sz w:val="24"/>
          <w:szCs w:val="24"/>
        </w:rPr>
        <w:t xml:space="preserve"> in higher demand for financial services. However, rhetoric concerning increasing productive capacities of </w:t>
      </w:r>
      <w:r w:rsidR="002A3A80" w:rsidRPr="000C4364">
        <w:rPr>
          <w:rFonts w:ascii="Times New Roman" w:hAnsi="Times New Roman" w:cs="Times New Roman"/>
          <w:sz w:val="24"/>
          <w:szCs w:val="24"/>
        </w:rPr>
        <w:t>SMEs</w:t>
      </w:r>
      <w:r w:rsidR="00D40B00" w:rsidRPr="000C4364">
        <w:rPr>
          <w:rFonts w:ascii="Times New Roman" w:hAnsi="Times New Roman" w:cs="Times New Roman"/>
          <w:sz w:val="24"/>
          <w:szCs w:val="24"/>
        </w:rPr>
        <w:t xml:space="preserve"> and improving their access to financial services was not matched </w:t>
      </w:r>
      <w:r w:rsidR="00BA7FDA" w:rsidRPr="000C4364">
        <w:rPr>
          <w:rFonts w:ascii="Times New Roman" w:hAnsi="Times New Roman" w:cs="Times New Roman"/>
          <w:sz w:val="24"/>
          <w:szCs w:val="24"/>
        </w:rPr>
        <w:t xml:space="preserve">by </w:t>
      </w:r>
      <w:r w:rsidR="00D40B00" w:rsidRPr="000C4364">
        <w:rPr>
          <w:rFonts w:ascii="Times New Roman" w:hAnsi="Times New Roman" w:cs="Times New Roman"/>
          <w:sz w:val="24"/>
          <w:szCs w:val="24"/>
        </w:rPr>
        <w:t>policy.</w:t>
      </w:r>
      <w:r w:rsidR="004B5DAE"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In particular, hardening </w:t>
      </w:r>
      <w:r w:rsidR="00892521" w:rsidRPr="000C4364">
        <w:rPr>
          <w:rFonts w:ascii="Times New Roman" w:hAnsi="Times New Roman" w:cs="Times New Roman"/>
          <w:sz w:val="24"/>
          <w:szCs w:val="24"/>
        </w:rPr>
        <w:t xml:space="preserve">of </w:t>
      </w:r>
      <w:r w:rsidR="00D40B00" w:rsidRPr="000C4364">
        <w:rPr>
          <w:rFonts w:ascii="Times New Roman" w:hAnsi="Times New Roman" w:cs="Times New Roman"/>
          <w:sz w:val="24"/>
          <w:szCs w:val="24"/>
        </w:rPr>
        <w:t>the soft budget constraints</w:t>
      </w:r>
      <w:r w:rsidR="00BA7FDA" w:rsidRPr="000C4364">
        <w:rPr>
          <w:rFonts w:ascii="Times New Roman" w:hAnsi="Times New Roman" w:cs="Times New Roman"/>
          <w:sz w:val="24"/>
          <w:szCs w:val="24"/>
        </w:rPr>
        <w:t xml:space="preserve"> was a painful experience and </w:t>
      </w:r>
      <w:r w:rsidR="004754EF" w:rsidRPr="000C4364">
        <w:rPr>
          <w:rFonts w:ascii="Times New Roman" w:hAnsi="Times New Roman" w:cs="Times New Roman"/>
          <w:sz w:val="24"/>
          <w:szCs w:val="24"/>
        </w:rPr>
        <w:t>involved a complete restructuring of the banking sector</w:t>
      </w:r>
      <w:r w:rsidR="00D40B00" w:rsidRPr="000C4364">
        <w:rPr>
          <w:rFonts w:ascii="Times New Roman" w:hAnsi="Times New Roman" w:cs="Times New Roman"/>
          <w:sz w:val="24"/>
          <w:szCs w:val="24"/>
        </w:rPr>
        <w:t xml:space="preserve">. </w:t>
      </w:r>
      <w:r w:rsidR="00BA7FDA" w:rsidRPr="000C4364">
        <w:rPr>
          <w:rFonts w:ascii="Times New Roman" w:hAnsi="Times New Roman" w:cs="Times New Roman"/>
          <w:sz w:val="24"/>
          <w:szCs w:val="24"/>
        </w:rPr>
        <w:t xml:space="preserve">The </w:t>
      </w:r>
      <w:r w:rsidR="004B5DAE" w:rsidRPr="000C4364">
        <w:rPr>
          <w:rFonts w:ascii="Times New Roman" w:hAnsi="Times New Roman" w:cs="Times New Roman"/>
          <w:sz w:val="24"/>
          <w:szCs w:val="24"/>
        </w:rPr>
        <w:t>s</w:t>
      </w:r>
      <w:r w:rsidR="00D40B00" w:rsidRPr="000C4364">
        <w:rPr>
          <w:rFonts w:ascii="Times New Roman" w:hAnsi="Times New Roman" w:cs="Times New Roman"/>
          <w:sz w:val="24"/>
          <w:szCs w:val="24"/>
        </w:rPr>
        <w:t>udden and sharp reduction in bank credit resulted in enterprises resorting to alternative ways of financing working capital</w:t>
      </w:r>
      <w:r w:rsidR="00B53FA0" w:rsidRPr="000C4364">
        <w:rPr>
          <w:rFonts w:ascii="Times New Roman" w:hAnsi="Times New Roman" w:cs="Times New Roman"/>
          <w:sz w:val="24"/>
          <w:szCs w:val="24"/>
        </w:rPr>
        <w:t xml:space="preserve"> with</w:t>
      </w:r>
      <w:r w:rsidR="00BA7FDA"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barter</w:t>
      </w:r>
      <w:r w:rsidR="00BA7FDA" w:rsidRPr="000C4364">
        <w:rPr>
          <w:rFonts w:ascii="Times New Roman" w:hAnsi="Times New Roman" w:cs="Times New Roman"/>
          <w:sz w:val="24"/>
          <w:szCs w:val="24"/>
        </w:rPr>
        <w:t>ing</w:t>
      </w:r>
      <w:r w:rsidR="00D40B00" w:rsidRPr="000C4364">
        <w:rPr>
          <w:rFonts w:ascii="Times New Roman" w:hAnsi="Times New Roman" w:cs="Times New Roman"/>
          <w:sz w:val="24"/>
          <w:szCs w:val="24"/>
        </w:rPr>
        <w:t xml:space="preserve">, transactions in promissory notes, inter-enterprise arrears and mutual debt write-offs observed in almost all </w:t>
      </w:r>
      <w:r w:rsidR="007747BD" w:rsidRPr="000C4364">
        <w:rPr>
          <w:rFonts w:ascii="Times New Roman" w:hAnsi="Times New Roman" w:cs="Times New Roman"/>
          <w:sz w:val="24"/>
          <w:szCs w:val="24"/>
        </w:rPr>
        <w:t>PCEs</w:t>
      </w:r>
      <w:r w:rsidR="00D40B00" w:rsidRPr="000C4364">
        <w:rPr>
          <w:rFonts w:ascii="Times New Roman" w:hAnsi="Times New Roman" w:cs="Times New Roman"/>
          <w:sz w:val="24"/>
          <w:szCs w:val="24"/>
        </w:rPr>
        <w:t xml:space="preserve"> in the late 1990s (Carlin </w:t>
      </w:r>
      <w:r w:rsidR="00CF5E5E" w:rsidRPr="000C4364">
        <w:rPr>
          <w:rFonts w:ascii="Times New Roman" w:hAnsi="Times New Roman" w:cs="Times New Roman"/>
          <w:i/>
          <w:sz w:val="24"/>
          <w:szCs w:val="24"/>
        </w:rPr>
        <w:t>et al</w:t>
      </w:r>
      <w:r w:rsidR="00111F12" w:rsidRPr="000C4364">
        <w:rPr>
          <w:rFonts w:ascii="Times New Roman" w:hAnsi="Times New Roman" w:cs="Times New Roman"/>
          <w:sz w:val="24"/>
          <w:szCs w:val="24"/>
        </w:rPr>
        <w:t>., 2000</w:t>
      </w:r>
      <w:r w:rsidR="00F5240D" w:rsidRPr="000C4364">
        <w:rPr>
          <w:rFonts w:ascii="Times New Roman" w:hAnsi="Times New Roman" w:cs="Times New Roman"/>
          <w:sz w:val="24"/>
          <w:szCs w:val="24"/>
        </w:rPr>
        <w:t>; Weller, 2000</w:t>
      </w:r>
      <w:r w:rsidR="00111F12" w:rsidRPr="000C4364">
        <w:rPr>
          <w:rFonts w:ascii="Times New Roman" w:hAnsi="Times New Roman" w:cs="Times New Roman"/>
          <w:sz w:val="24"/>
          <w:szCs w:val="24"/>
        </w:rPr>
        <w:t>)</w:t>
      </w:r>
      <w:r w:rsidR="00BA7FDA" w:rsidRPr="000C4364">
        <w:rPr>
          <w:rFonts w:ascii="Times New Roman" w:hAnsi="Times New Roman" w:cs="Times New Roman"/>
          <w:sz w:val="24"/>
          <w:szCs w:val="24"/>
        </w:rPr>
        <w:t xml:space="preserve"> but w</w:t>
      </w:r>
      <w:r w:rsidR="00CD3381" w:rsidRPr="000C4364">
        <w:rPr>
          <w:rFonts w:ascii="Times New Roman" w:hAnsi="Times New Roman" w:cs="Times New Roman"/>
          <w:sz w:val="24"/>
          <w:szCs w:val="24"/>
        </w:rPr>
        <w:t>ere</w:t>
      </w:r>
      <w:r w:rsidR="00BA7FDA"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most severe in Russia and Ukraine where, at its peak in 1998, barter accounted for more than 50 percent of all industrial transactions (</w:t>
      </w:r>
      <w:proofErr w:type="spellStart"/>
      <w:r w:rsidR="00D40B00" w:rsidRPr="000C4364">
        <w:rPr>
          <w:rFonts w:ascii="Times New Roman" w:hAnsi="Times New Roman" w:cs="Times New Roman"/>
          <w:sz w:val="24"/>
          <w:szCs w:val="24"/>
        </w:rPr>
        <w:t>Ivanenko</w:t>
      </w:r>
      <w:proofErr w:type="spellEnd"/>
      <w:r w:rsidR="00D40B00" w:rsidRPr="000C4364">
        <w:rPr>
          <w:rFonts w:ascii="Times New Roman" w:hAnsi="Times New Roman" w:cs="Times New Roman"/>
          <w:sz w:val="24"/>
          <w:szCs w:val="24"/>
        </w:rPr>
        <w:t xml:space="preserve"> and </w:t>
      </w:r>
      <w:proofErr w:type="spellStart"/>
      <w:r w:rsidR="00D40B00" w:rsidRPr="000C4364">
        <w:rPr>
          <w:rFonts w:ascii="Times New Roman" w:hAnsi="Times New Roman" w:cs="Times New Roman"/>
          <w:sz w:val="24"/>
          <w:szCs w:val="24"/>
        </w:rPr>
        <w:t>Mikheyev</w:t>
      </w:r>
      <w:proofErr w:type="spellEnd"/>
      <w:r w:rsidR="00D40B00" w:rsidRPr="000C4364">
        <w:rPr>
          <w:rFonts w:ascii="Times New Roman" w:hAnsi="Times New Roman" w:cs="Times New Roman"/>
          <w:sz w:val="24"/>
          <w:szCs w:val="24"/>
        </w:rPr>
        <w:t>, 2002).</w:t>
      </w:r>
    </w:p>
    <w:p w:rsidR="00077569" w:rsidRPr="000C4364" w:rsidRDefault="0048052D"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D40B00" w:rsidRPr="000C4364">
        <w:rPr>
          <w:rFonts w:ascii="Times New Roman" w:hAnsi="Times New Roman" w:cs="Times New Roman"/>
          <w:sz w:val="24"/>
          <w:szCs w:val="24"/>
        </w:rPr>
        <w:t xml:space="preserve">Table 2 </w:t>
      </w:r>
      <w:r w:rsidR="00CD3381" w:rsidRPr="000C4364">
        <w:rPr>
          <w:rFonts w:ascii="Times New Roman" w:hAnsi="Times New Roman" w:cs="Times New Roman"/>
          <w:sz w:val="24"/>
          <w:szCs w:val="24"/>
        </w:rPr>
        <w:t>presents</w:t>
      </w:r>
      <w:r w:rsidR="00D40B00" w:rsidRPr="000C4364">
        <w:rPr>
          <w:rFonts w:ascii="Times New Roman" w:hAnsi="Times New Roman" w:cs="Times New Roman"/>
          <w:sz w:val="24"/>
          <w:szCs w:val="24"/>
        </w:rPr>
        <w:t xml:space="preserve"> </w:t>
      </w:r>
      <w:r w:rsidR="00CD3381" w:rsidRPr="000C4364">
        <w:rPr>
          <w:rFonts w:ascii="Times New Roman" w:hAnsi="Times New Roman" w:cs="Times New Roman"/>
          <w:sz w:val="24"/>
          <w:szCs w:val="24"/>
        </w:rPr>
        <w:t xml:space="preserve">financing sources of </w:t>
      </w:r>
      <w:r w:rsidR="00D40B00" w:rsidRPr="000C4364">
        <w:rPr>
          <w:rFonts w:ascii="Times New Roman" w:hAnsi="Times New Roman" w:cs="Times New Roman"/>
          <w:sz w:val="24"/>
          <w:szCs w:val="24"/>
        </w:rPr>
        <w:t>SME</w:t>
      </w:r>
      <w:r w:rsidR="00622B41" w:rsidRPr="000C4364">
        <w:rPr>
          <w:rFonts w:ascii="Times New Roman" w:hAnsi="Times New Roman" w:cs="Times New Roman"/>
          <w:sz w:val="24"/>
          <w:szCs w:val="24"/>
        </w:rPr>
        <w:t>s</w:t>
      </w:r>
      <w:r w:rsidR="00531C0A" w:rsidRPr="000C4364">
        <w:rPr>
          <w:rFonts w:ascii="Times New Roman" w:hAnsi="Times New Roman" w:cs="Times New Roman"/>
          <w:sz w:val="24"/>
          <w:szCs w:val="24"/>
        </w:rPr>
        <w:t>’</w:t>
      </w:r>
      <w:r w:rsidR="00D40B00" w:rsidRPr="000C4364">
        <w:rPr>
          <w:rFonts w:ascii="Times New Roman" w:hAnsi="Times New Roman" w:cs="Times New Roman"/>
          <w:sz w:val="24"/>
          <w:szCs w:val="24"/>
        </w:rPr>
        <w:t xml:space="preserve"> working capital </w:t>
      </w:r>
      <w:r w:rsidR="000A3D62" w:rsidRPr="000C4364">
        <w:rPr>
          <w:rFonts w:ascii="Times New Roman" w:hAnsi="Times New Roman" w:cs="Times New Roman"/>
          <w:sz w:val="24"/>
          <w:szCs w:val="24"/>
        </w:rPr>
        <w:t>in 2012-14</w:t>
      </w:r>
      <w:r w:rsidR="00622B41" w:rsidRPr="000C4364">
        <w:rPr>
          <w:rFonts w:ascii="Times New Roman" w:hAnsi="Times New Roman" w:cs="Times New Roman"/>
          <w:sz w:val="24"/>
          <w:szCs w:val="24"/>
        </w:rPr>
        <w:t xml:space="preserve"> and illustrates that f</w:t>
      </w:r>
      <w:r w:rsidR="000A3D62" w:rsidRPr="000C4364">
        <w:rPr>
          <w:rFonts w:ascii="Times New Roman" w:hAnsi="Times New Roman" w:cs="Times New Roman"/>
          <w:sz w:val="24"/>
          <w:szCs w:val="24"/>
        </w:rPr>
        <w:t>ormal</w:t>
      </w:r>
      <w:r w:rsidR="00D40B00" w:rsidRPr="000C4364">
        <w:rPr>
          <w:rFonts w:ascii="Times New Roman" w:hAnsi="Times New Roman" w:cs="Times New Roman"/>
          <w:sz w:val="24"/>
          <w:szCs w:val="24"/>
        </w:rPr>
        <w:t xml:space="preserve"> finance </w:t>
      </w:r>
      <w:r w:rsidR="000A3D62" w:rsidRPr="000C4364">
        <w:rPr>
          <w:rFonts w:ascii="Times New Roman" w:hAnsi="Times New Roman" w:cs="Times New Roman"/>
          <w:sz w:val="24"/>
          <w:szCs w:val="24"/>
        </w:rPr>
        <w:t xml:space="preserve">by banks </w:t>
      </w:r>
      <w:r w:rsidR="00D40B00" w:rsidRPr="000C4364">
        <w:rPr>
          <w:rFonts w:ascii="Times New Roman" w:hAnsi="Times New Roman" w:cs="Times New Roman"/>
          <w:sz w:val="24"/>
          <w:szCs w:val="24"/>
        </w:rPr>
        <w:t xml:space="preserve">to </w:t>
      </w:r>
      <w:r w:rsidR="000A3D62" w:rsidRPr="000C4364">
        <w:rPr>
          <w:rFonts w:ascii="Times New Roman" w:hAnsi="Times New Roman" w:cs="Times New Roman"/>
          <w:sz w:val="24"/>
          <w:szCs w:val="24"/>
        </w:rPr>
        <w:t>enterprises</w:t>
      </w:r>
      <w:r w:rsidR="00D40B00" w:rsidRPr="000C4364">
        <w:rPr>
          <w:rFonts w:ascii="Times New Roman" w:hAnsi="Times New Roman" w:cs="Times New Roman"/>
          <w:sz w:val="24"/>
          <w:szCs w:val="24"/>
        </w:rPr>
        <w:t xml:space="preserve"> remain</w:t>
      </w:r>
      <w:r w:rsidR="00622B41" w:rsidRPr="000C4364">
        <w:rPr>
          <w:rFonts w:ascii="Times New Roman" w:hAnsi="Times New Roman" w:cs="Times New Roman"/>
          <w:sz w:val="24"/>
          <w:szCs w:val="24"/>
        </w:rPr>
        <w:t>ed</w:t>
      </w:r>
      <w:r w:rsidR="00D40B00" w:rsidRPr="000C4364">
        <w:rPr>
          <w:rFonts w:ascii="Times New Roman" w:hAnsi="Times New Roman" w:cs="Times New Roman"/>
          <w:sz w:val="24"/>
          <w:szCs w:val="24"/>
        </w:rPr>
        <w:t xml:space="preserve"> considerably lower</w:t>
      </w:r>
      <w:r w:rsidR="00D63169" w:rsidRPr="000C4364">
        <w:rPr>
          <w:rFonts w:ascii="Times New Roman" w:hAnsi="Times New Roman" w:cs="Times New Roman"/>
          <w:sz w:val="24"/>
          <w:szCs w:val="24"/>
        </w:rPr>
        <w:t xml:space="preserve"> than </w:t>
      </w:r>
      <w:r w:rsidR="0092333B" w:rsidRPr="000C4364">
        <w:rPr>
          <w:rFonts w:ascii="Times New Roman" w:hAnsi="Times New Roman" w:cs="Times New Roman"/>
          <w:sz w:val="24"/>
          <w:szCs w:val="24"/>
        </w:rPr>
        <w:t xml:space="preserve">in </w:t>
      </w:r>
      <w:r w:rsidR="00D63169" w:rsidRPr="000C4364">
        <w:rPr>
          <w:rFonts w:ascii="Times New Roman" w:hAnsi="Times New Roman" w:cs="Times New Roman"/>
          <w:sz w:val="24"/>
          <w:szCs w:val="24"/>
        </w:rPr>
        <w:t>the</w:t>
      </w:r>
      <w:r w:rsidR="00D40B00" w:rsidRPr="000C4364">
        <w:rPr>
          <w:rFonts w:ascii="Times New Roman" w:hAnsi="Times New Roman" w:cs="Times New Roman"/>
          <w:sz w:val="24"/>
          <w:szCs w:val="24"/>
        </w:rPr>
        <w:t xml:space="preserve"> pre-transition </w:t>
      </w:r>
      <w:r w:rsidR="00D63169" w:rsidRPr="000C4364">
        <w:rPr>
          <w:rFonts w:ascii="Times New Roman" w:hAnsi="Times New Roman" w:cs="Times New Roman"/>
          <w:sz w:val="24"/>
          <w:szCs w:val="24"/>
        </w:rPr>
        <w:t>period</w:t>
      </w:r>
      <w:r w:rsidR="00622B41" w:rsidRPr="000C4364">
        <w:rPr>
          <w:rFonts w:ascii="Times New Roman" w:hAnsi="Times New Roman" w:cs="Times New Roman"/>
          <w:sz w:val="24"/>
          <w:szCs w:val="24"/>
        </w:rPr>
        <w:t xml:space="preserve"> </w:t>
      </w:r>
      <w:r w:rsidR="00D63169" w:rsidRPr="000C4364">
        <w:rPr>
          <w:rFonts w:ascii="Times New Roman" w:hAnsi="Times New Roman" w:cs="Times New Roman"/>
          <w:sz w:val="24"/>
          <w:szCs w:val="24"/>
        </w:rPr>
        <w:t>but</w:t>
      </w:r>
      <w:r w:rsidR="00D40B00" w:rsidRPr="000C4364">
        <w:rPr>
          <w:rFonts w:ascii="Times New Roman" w:hAnsi="Times New Roman" w:cs="Times New Roman"/>
          <w:sz w:val="24"/>
          <w:szCs w:val="24"/>
        </w:rPr>
        <w:t xml:space="preserve"> </w:t>
      </w:r>
      <w:r w:rsidR="00622B41" w:rsidRPr="000C4364">
        <w:rPr>
          <w:rFonts w:ascii="Times New Roman" w:hAnsi="Times New Roman" w:cs="Times New Roman"/>
          <w:sz w:val="24"/>
          <w:szCs w:val="24"/>
        </w:rPr>
        <w:t>continued to be</w:t>
      </w:r>
      <w:r w:rsidR="00D40B00" w:rsidRPr="000C4364">
        <w:rPr>
          <w:rFonts w:ascii="Times New Roman" w:hAnsi="Times New Roman" w:cs="Times New Roman"/>
          <w:sz w:val="24"/>
          <w:szCs w:val="24"/>
        </w:rPr>
        <w:t xml:space="preserve"> the </w:t>
      </w:r>
      <w:r w:rsidR="00B53FA0" w:rsidRPr="000C4364">
        <w:rPr>
          <w:rFonts w:ascii="Times New Roman" w:hAnsi="Times New Roman" w:cs="Times New Roman"/>
          <w:sz w:val="24"/>
          <w:szCs w:val="24"/>
        </w:rPr>
        <w:t>primary</w:t>
      </w:r>
      <w:r w:rsidR="00D40B00" w:rsidRPr="000C4364">
        <w:rPr>
          <w:rFonts w:ascii="Times New Roman" w:hAnsi="Times New Roman" w:cs="Times New Roman"/>
          <w:sz w:val="24"/>
          <w:szCs w:val="24"/>
        </w:rPr>
        <w:t xml:space="preserve"> source of external finance</w:t>
      </w:r>
      <w:r w:rsidR="000A3D62" w:rsidRPr="000C4364">
        <w:rPr>
          <w:rFonts w:ascii="Times New Roman" w:hAnsi="Times New Roman" w:cs="Times New Roman"/>
          <w:sz w:val="24"/>
          <w:szCs w:val="24"/>
        </w:rPr>
        <w:t xml:space="preserve"> </w:t>
      </w:r>
      <w:r w:rsidR="00622B41" w:rsidRPr="000C4364">
        <w:rPr>
          <w:rFonts w:ascii="Times New Roman" w:hAnsi="Times New Roman" w:cs="Times New Roman"/>
          <w:sz w:val="24"/>
          <w:szCs w:val="24"/>
        </w:rPr>
        <w:t>for</w:t>
      </w:r>
      <w:r w:rsidR="000A3D62" w:rsidRPr="000C4364">
        <w:rPr>
          <w:rFonts w:ascii="Times New Roman" w:hAnsi="Times New Roman" w:cs="Times New Roman"/>
          <w:sz w:val="24"/>
          <w:szCs w:val="24"/>
        </w:rPr>
        <w:t xml:space="preserve"> SMEs</w:t>
      </w:r>
      <w:r w:rsidR="00D40B00" w:rsidRPr="000C4364">
        <w:rPr>
          <w:rFonts w:ascii="Times New Roman" w:hAnsi="Times New Roman" w:cs="Times New Roman"/>
          <w:sz w:val="24"/>
          <w:szCs w:val="24"/>
        </w:rPr>
        <w:t xml:space="preserve">. </w:t>
      </w:r>
      <w:r w:rsidR="00DB0322" w:rsidRPr="000C4364">
        <w:rPr>
          <w:rFonts w:ascii="Times New Roman" w:hAnsi="Times New Roman" w:cs="Times New Roman"/>
          <w:sz w:val="24"/>
          <w:szCs w:val="24"/>
        </w:rPr>
        <w:t>B</w:t>
      </w:r>
      <w:r w:rsidR="00D40B00" w:rsidRPr="000C4364">
        <w:rPr>
          <w:rFonts w:ascii="Times New Roman" w:hAnsi="Times New Roman" w:cs="Times New Roman"/>
          <w:sz w:val="24"/>
          <w:szCs w:val="24"/>
        </w:rPr>
        <w:t xml:space="preserve">ank financing of SME activities </w:t>
      </w:r>
      <w:r w:rsidR="00622B41" w:rsidRPr="000C4364">
        <w:rPr>
          <w:rFonts w:ascii="Times New Roman" w:hAnsi="Times New Roman" w:cs="Times New Roman"/>
          <w:sz w:val="24"/>
          <w:szCs w:val="24"/>
        </w:rPr>
        <w:t>was</w:t>
      </w:r>
      <w:r w:rsidR="00D40B00" w:rsidRPr="000C4364">
        <w:rPr>
          <w:rFonts w:ascii="Times New Roman" w:hAnsi="Times New Roman" w:cs="Times New Roman"/>
          <w:sz w:val="24"/>
          <w:szCs w:val="24"/>
        </w:rPr>
        <w:t xml:space="preserve"> lower </w:t>
      </w:r>
      <w:r w:rsidR="00111F12" w:rsidRPr="000C4364">
        <w:rPr>
          <w:rFonts w:ascii="Times New Roman" w:hAnsi="Times New Roman" w:cs="Times New Roman"/>
          <w:sz w:val="24"/>
          <w:szCs w:val="24"/>
        </w:rPr>
        <w:t xml:space="preserve">on average </w:t>
      </w:r>
      <w:r w:rsidR="00D40B00" w:rsidRPr="000C4364">
        <w:rPr>
          <w:rFonts w:ascii="Times New Roman" w:hAnsi="Times New Roman" w:cs="Times New Roman"/>
          <w:sz w:val="24"/>
          <w:szCs w:val="24"/>
        </w:rPr>
        <w:t xml:space="preserve">in </w:t>
      </w:r>
      <w:r w:rsidR="00977DDB" w:rsidRPr="000C4364">
        <w:rPr>
          <w:rFonts w:ascii="Times New Roman" w:hAnsi="Times New Roman" w:cs="Times New Roman"/>
          <w:sz w:val="24"/>
          <w:szCs w:val="24"/>
        </w:rPr>
        <w:t xml:space="preserve">Georgia and </w:t>
      </w:r>
      <w:r w:rsidR="00D40B00" w:rsidRPr="000C4364">
        <w:rPr>
          <w:rFonts w:ascii="Times New Roman" w:hAnsi="Times New Roman" w:cs="Times New Roman"/>
          <w:sz w:val="24"/>
          <w:szCs w:val="24"/>
        </w:rPr>
        <w:t xml:space="preserve">the Commonwealth of Independent States (CIS) compared to that in the </w:t>
      </w:r>
      <w:r w:rsidR="00875EFC" w:rsidRPr="000C4364">
        <w:rPr>
          <w:rFonts w:ascii="Times New Roman" w:hAnsi="Times New Roman" w:cs="Times New Roman"/>
          <w:sz w:val="24"/>
          <w:szCs w:val="24"/>
        </w:rPr>
        <w:t>EE</w:t>
      </w:r>
      <w:r w:rsidR="00A04164" w:rsidRPr="000C4364">
        <w:rPr>
          <w:rFonts w:ascii="Times New Roman" w:hAnsi="Times New Roman" w:cs="Times New Roman"/>
          <w:sz w:val="24"/>
          <w:szCs w:val="24"/>
        </w:rPr>
        <w:t xml:space="preserve"> region</w:t>
      </w:r>
      <w:r w:rsidR="00D40B00" w:rsidRPr="000C4364">
        <w:rPr>
          <w:rFonts w:ascii="Times New Roman" w:hAnsi="Times New Roman" w:cs="Times New Roman"/>
          <w:sz w:val="24"/>
          <w:szCs w:val="24"/>
        </w:rPr>
        <w:t>.</w:t>
      </w:r>
      <w:r w:rsidR="00077569" w:rsidRPr="000C4364">
        <w:rPr>
          <w:rFonts w:ascii="Times New Roman" w:hAnsi="Times New Roman" w:cs="Times New Roman"/>
          <w:sz w:val="24"/>
          <w:szCs w:val="24"/>
        </w:rPr>
        <w:t xml:space="preserve"> Part of this difference may be explained by macroeconomic conditions (e.g. depth of financial sector development, progress made in banking and enterprise reforms, per capita income levels) and figure 1 </w:t>
      </w:r>
      <w:r w:rsidR="00CD3381" w:rsidRPr="000C4364">
        <w:rPr>
          <w:rFonts w:ascii="Times New Roman" w:hAnsi="Times New Roman" w:cs="Times New Roman"/>
          <w:sz w:val="24"/>
          <w:szCs w:val="24"/>
        </w:rPr>
        <w:t>highlights</w:t>
      </w:r>
      <w:r w:rsidR="00077569" w:rsidRPr="000C4364">
        <w:rPr>
          <w:rFonts w:ascii="Times New Roman" w:hAnsi="Times New Roman" w:cs="Times New Roman"/>
          <w:sz w:val="24"/>
          <w:szCs w:val="24"/>
        </w:rPr>
        <w:t xml:space="preserve"> that </w:t>
      </w:r>
      <w:r w:rsidR="00077569" w:rsidRPr="000C4364">
        <w:rPr>
          <w:rFonts w:ascii="Times New Roman" w:hAnsi="Times New Roman" w:cs="Times New Roman"/>
          <w:sz w:val="24"/>
          <w:szCs w:val="24"/>
        </w:rPr>
        <w:lastRenderedPageBreak/>
        <w:t>most CIS countries are less developed financially and have lower per capita income levels compared to their EE counterparts.</w:t>
      </w:r>
    </w:p>
    <w:p w:rsidR="00E33FCE" w:rsidRPr="000C4364" w:rsidRDefault="00E33FCE" w:rsidP="000C4364">
      <w:pPr>
        <w:spacing w:after="0" w:line="480" w:lineRule="auto"/>
        <w:jc w:val="center"/>
        <w:rPr>
          <w:rFonts w:ascii="Times New Roman" w:hAnsi="Times New Roman" w:cs="Times New Roman"/>
          <w:i/>
          <w:sz w:val="24"/>
          <w:szCs w:val="24"/>
        </w:rPr>
      </w:pPr>
      <w:r w:rsidRPr="000C4364">
        <w:rPr>
          <w:rFonts w:ascii="Times New Roman" w:hAnsi="Times New Roman" w:cs="Times New Roman"/>
          <w:i/>
          <w:sz w:val="24"/>
          <w:szCs w:val="24"/>
        </w:rPr>
        <w:t>&lt;Table 2 &gt;</w:t>
      </w:r>
    </w:p>
    <w:p w:rsidR="00546EE5" w:rsidRPr="000C4364" w:rsidRDefault="00111F12" w:rsidP="000C4364">
      <w:pPr>
        <w:spacing w:after="0" w:line="480" w:lineRule="auto"/>
        <w:jc w:val="center"/>
        <w:rPr>
          <w:rFonts w:ascii="Times New Roman" w:hAnsi="Times New Roman" w:cs="Times New Roman"/>
          <w:i/>
          <w:sz w:val="24"/>
          <w:szCs w:val="24"/>
        </w:rPr>
      </w:pPr>
      <w:r w:rsidRPr="000C4364">
        <w:rPr>
          <w:rFonts w:ascii="Times New Roman" w:hAnsi="Times New Roman" w:cs="Times New Roman"/>
          <w:i/>
          <w:sz w:val="24"/>
          <w:szCs w:val="24"/>
        </w:rPr>
        <w:t>&lt;Figure</w:t>
      </w:r>
      <w:r w:rsidR="00546EE5" w:rsidRPr="000C4364">
        <w:rPr>
          <w:rFonts w:ascii="Times New Roman" w:hAnsi="Times New Roman" w:cs="Times New Roman"/>
          <w:i/>
          <w:sz w:val="24"/>
          <w:szCs w:val="24"/>
        </w:rPr>
        <w:t xml:space="preserve"> 1</w:t>
      </w:r>
      <w:r w:rsidR="00D40B00" w:rsidRPr="000C4364">
        <w:rPr>
          <w:rFonts w:ascii="Times New Roman" w:hAnsi="Times New Roman" w:cs="Times New Roman"/>
          <w:i/>
          <w:sz w:val="24"/>
          <w:szCs w:val="24"/>
        </w:rPr>
        <w:t>&gt;</w:t>
      </w:r>
    </w:p>
    <w:p w:rsidR="00226FB8" w:rsidRPr="000C4364" w:rsidRDefault="00546EE5"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DB0322" w:rsidRPr="000C4364">
        <w:rPr>
          <w:rFonts w:ascii="Times New Roman" w:hAnsi="Times New Roman" w:cs="Times New Roman"/>
          <w:sz w:val="24"/>
          <w:szCs w:val="24"/>
        </w:rPr>
        <w:t>H</w:t>
      </w:r>
      <w:r w:rsidR="00D40B00" w:rsidRPr="000C4364">
        <w:rPr>
          <w:rFonts w:ascii="Times New Roman" w:hAnsi="Times New Roman" w:cs="Times New Roman"/>
          <w:sz w:val="24"/>
          <w:szCs w:val="24"/>
        </w:rPr>
        <w:t>owever, these</w:t>
      </w:r>
      <w:r w:rsidR="00226FB8"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 xml:space="preserve">aggregate indicators are broad and do not fully reflect </w:t>
      </w:r>
      <w:r w:rsidR="00226FB8" w:rsidRPr="000C4364">
        <w:rPr>
          <w:rFonts w:ascii="Times New Roman" w:hAnsi="Times New Roman" w:cs="Times New Roman"/>
          <w:sz w:val="24"/>
          <w:szCs w:val="24"/>
        </w:rPr>
        <w:t xml:space="preserve">the variation in </w:t>
      </w:r>
      <w:r w:rsidR="00D40B00" w:rsidRPr="000C4364">
        <w:rPr>
          <w:rFonts w:ascii="Times New Roman" w:hAnsi="Times New Roman" w:cs="Times New Roman"/>
          <w:sz w:val="24"/>
          <w:szCs w:val="24"/>
        </w:rPr>
        <w:t xml:space="preserve">institutional and financial constraints </w:t>
      </w:r>
      <w:r w:rsidR="009842DC" w:rsidRPr="000C4364">
        <w:rPr>
          <w:rFonts w:ascii="Times New Roman" w:hAnsi="Times New Roman" w:cs="Times New Roman"/>
          <w:sz w:val="24"/>
          <w:szCs w:val="24"/>
        </w:rPr>
        <w:t xml:space="preserve">faced by </w:t>
      </w:r>
      <w:r w:rsidR="00D40B00" w:rsidRPr="000C4364">
        <w:rPr>
          <w:rFonts w:ascii="Times New Roman" w:hAnsi="Times New Roman" w:cs="Times New Roman"/>
          <w:sz w:val="24"/>
          <w:szCs w:val="24"/>
        </w:rPr>
        <w:t xml:space="preserve">SMEs. </w:t>
      </w:r>
      <w:r w:rsidR="00DB0322" w:rsidRPr="000C4364">
        <w:rPr>
          <w:rFonts w:ascii="Times New Roman" w:hAnsi="Times New Roman" w:cs="Times New Roman"/>
          <w:sz w:val="24"/>
          <w:szCs w:val="24"/>
        </w:rPr>
        <w:t>W</w:t>
      </w:r>
      <w:r w:rsidR="00D40B00" w:rsidRPr="000C4364">
        <w:rPr>
          <w:rFonts w:ascii="Times New Roman" w:hAnsi="Times New Roman" w:cs="Times New Roman"/>
          <w:sz w:val="24"/>
          <w:szCs w:val="24"/>
        </w:rPr>
        <w:t xml:space="preserve">hile more developed financial systems generally offer better access to financial services, aggregate measures of financial development </w:t>
      </w:r>
      <w:r w:rsidR="00226FB8" w:rsidRPr="000C4364">
        <w:rPr>
          <w:rFonts w:ascii="Times New Roman" w:hAnsi="Times New Roman" w:cs="Times New Roman"/>
          <w:sz w:val="24"/>
          <w:szCs w:val="24"/>
        </w:rPr>
        <w:t xml:space="preserve">(e.g. </w:t>
      </w:r>
      <w:r w:rsidR="00D40B00" w:rsidRPr="000C4364">
        <w:rPr>
          <w:rFonts w:ascii="Times New Roman" w:hAnsi="Times New Roman" w:cs="Times New Roman"/>
          <w:sz w:val="24"/>
          <w:szCs w:val="24"/>
        </w:rPr>
        <w:t>private sector credits, broad money, banking sector assets</w:t>
      </w:r>
      <w:r w:rsidR="00111F12" w:rsidRPr="000C4364">
        <w:rPr>
          <w:rFonts w:ascii="Times New Roman" w:hAnsi="Times New Roman" w:cs="Times New Roman"/>
          <w:sz w:val="24"/>
          <w:szCs w:val="24"/>
        </w:rPr>
        <w:t>,</w:t>
      </w:r>
      <w:r w:rsidR="00D40B00" w:rsidRPr="000C4364">
        <w:rPr>
          <w:rFonts w:ascii="Times New Roman" w:hAnsi="Times New Roman" w:cs="Times New Roman"/>
          <w:sz w:val="24"/>
          <w:szCs w:val="24"/>
        </w:rPr>
        <w:t xml:space="preserve"> etc</w:t>
      </w:r>
      <w:r w:rsidR="00111F12" w:rsidRPr="000C4364">
        <w:rPr>
          <w:rFonts w:ascii="Times New Roman" w:hAnsi="Times New Roman" w:cs="Times New Roman"/>
          <w:sz w:val="24"/>
          <w:szCs w:val="24"/>
        </w:rPr>
        <w:t>.</w:t>
      </w:r>
      <w:r w:rsidR="00226FB8" w:rsidRPr="000C4364">
        <w:rPr>
          <w:rFonts w:ascii="Times New Roman" w:hAnsi="Times New Roman" w:cs="Times New Roman"/>
          <w:sz w:val="24"/>
          <w:szCs w:val="24"/>
        </w:rPr>
        <w:t>)</w:t>
      </w:r>
      <w:r w:rsidR="00D40B00" w:rsidRPr="000C4364">
        <w:rPr>
          <w:rFonts w:ascii="Times New Roman" w:hAnsi="Times New Roman" w:cs="Times New Roman"/>
          <w:sz w:val="24"/>
          <w:szCs w:val="24"/>
        </w:rPr>
        <w:t xml:space="preserve"> do not provide enough information about </w:t>
      </w:r>
      <w:r w:rsidR="00111F12" w:rsidRPr="000C4364">
        <w:rPr>
          <w:rFonts w:ascii="Times New Roman" w:hAnsi="Times New Roman" w:cs="Times New Roman"/>
          <w:sz w:val="24"/>
          <w:szCs w:val="24"/>
        </w:rPr>
        <w:t xml:space="preserve">the </w:t>
      </w:r>
      <w:r w:rsidR="00D40B00" w:rsidRPr="000C4364">
        <w:rPr>
          <w:rFonts w:ascii="Times New Roman" w:hAnsi="Times New Roman" w:cs="Times New Roman"/>
          <w:sz w:val="24"/>
          <w:szCs w:val="24"/>
        </w:rPr>
        <w:t>breadth and quality of financial depth and neglect</w:t>
      </w:r>
      <w:r w:rsidR="00226FB8" w:rsidRPr="000C4364">
        <w:rPr>
          <w:rFonts w:ascii="Times New Roman" w:hAnsi="Times New Roman" w:cs="Times New Roman"/>
          <w:sz w:val="24"/>
          <w:szCs w:val="24"/>
        </w:rPr>
        <w:t xml:space="preserve"> other issues</w:t>
      </w:r>
      <w:r w:rsidR="00D40B00" w:rsidRPr="000C4364">
        <w:rPr>
          <w:rFonts w:ascii="Times New Roman" w:hAnsi="Times New Roman" w:cs="Times New Roman"/>
          <w:sz w:val="24"/>
          <w:szCs w:val="24"/>
        </w:rPr>
        <w:t xml:space="preserve">, </w:t>
      </w:r>
      <w:r w:rsidR="00226FB8" w:rsidRPr="000C4364">
        <w:rPr>
          <w:rFonts w:ascii="Times New Roman" w:hAnsi="Times New Roman" w:cs="Times New Roman"/>
          <w:sz w:val="24"/>
          <w:szCs w:val="24"/>
        </w:rPr>
        <w:t xml:space="preserve">such as </w:t>
      </w:r>
      <w:r w:rsidR="00D40B00" w:rsidRPr="000C4364">
        <w:rPr>
          <w:rFonts w:ascii="Times New Roman" w:hAnsi="Times New Roman" w:cs="Times New Roman"/>
          <w:sz w:val="24"/>
          <w:szCs w:val="24"/>
        </w:rPr>
        <w:t>the proportion of economically active entities responsible for the utilisation of available formal finance (</w:t>
      </w:r>
      <w:proofErr w:type="spellStart"/>
      <w:r w:rsidR="00D40B00" w:rsidRPr="000C4364">
        <w:rPr>
          <w:rFonts w:ascii="Times New Roman" w:hAnsi="Times New Roman" w:cs="Times New Roman"/>
          <w:sz w:val="24"/>
          <w:szCs w:val="24"/>
        </w:rPr>
        <w:t>Claessens</w:t>
      </w:r>
      <w:proofErr w:type="spellEnd"/>
      <w:r w:rsidR="00D40B00" w:rsidRPr="000C4364">
        <w:rPr>
          <w:rFonts w:ascii="Times New Roman" w:hAnsi="Times New Roman" w:cs="Times New Roman"/>
          <w:sz w:val="24"/>
          <w:szCs w:val="24"/>
        </w:rPr>
        <w:t xml:space="preserve"> and </w:t>
      </w:r>
      <w:proofErr w:type="spellStart"/>
      <w:r w:rsidR="00D40B00" w:rsidRPr="000C4364">
        <w:rPr>
          <w:rFonts w:ascii="Times New Roman" w:hAnsi="Times New Roman" w:cs="Times New Roman"/>
          <w:sz w:val="24"/>
          <w:szCs w:val="24"/>
        </w:rPr>
        <w:t>Perotti</w:t>
      </w:r>
      <w:proofErr w:type="spellEnd"/>
      <w:r w:rsidR="00D40B00" w:rsidRPr="000C4364">
        <w:rPr>
          <w:rFonts w:ascii="Times New Roman" w:hAnsi="Times New Roman" w:cs="Times New Roman"/>
          <w:sz w:val="24"/>
          <w:szCs w:val="24"/>
        </w:rPr>
        <w:t>, 2007).</w:t>
      </w:r>
      <w:r w:rsidR="0048052D" w:rsidRPr="000C4364">
        <w:rPr>
          <w:rFonts w:ascii="Times New Roman" w:hAnsi="Times New Roman" w:cs="Times New Roman"/>
          <w:sz w:val="24"/>
          <w:szCs w:val="24"/>
        </w:rPr>
        <w:t xml:space="preserve"> </w:t>
      </w:r>
      <w:r w:rsidR="00DB0322" w:rsidRPr="000C4364">
        <w:rPr>
          <w:rFonts w:ascii="Times New Roman" w:hAnsi="Times New Roman" w:cs="Times New Roman"/>
          <w:sz w:val="24"/>
          <w:szCs w:val="24"/>
        </w:rPr>
        <w:t>D</w:t>
      </w:r>
      <w:r w:rsidR="00D40B00" w:rsidRPr="000C4364">
        <w:rPr>
          <w:rFonts w:ascii="Times New Roman" w:hAnsi="Times New Roman" w:cs="Times New Roman"/>
          <w:sz w:val="24"/>
          <w:szCs w:val="24"/>
        </w:rPr>
        <w:t xml:space="preserve">espite the intensification of market-based exchanges and improving credibility of formal bureaucratic organisations in most PCEs, evidence suggests that public officials and civil servants in otherwise impersonal bureaucratic organisations still personalise their positions by using the rigidity of rules and regulations as an excuse for rent-seeking </w:t>
      </w:r>
      <w:r w:rsidR="0048052D" w:rsidRPr="000C4364">
        <w:rPr>
          <w:rFonts w:ascii="Times New Roman" w:hAnsi="Times New Roman" w:cs="Times New Roman"/>
          <w:sz w:val="24"/>
          <w:szCs w:val="24"/>
        </w:rPr>
        <w:t>(</w:t>
      </w:r>
      <w:proofErr w:type="spellStart"/>
      <w:r w:rsidR="0048052D" w:rsidRPr="000C4364">
        <w:rPr>
          <w:rFonts w:ascii="Times New Roman" w:hAnsi="Times New Roman" w:cs="Times New Roman"/>
          <w:sz w:val="24"/>
          <w:szCs w:val="24"/>
        </w:rPr>
        <w:t>Duvanova</w:t>
      </w:r>
      <w:proofErr w:type="spellEnd"/>
      <w:r w:rsidR="0048052D" w:rsidRPr="000C4364">
        <w:rPr>
          <w:rFonts w:ascii="Times New Roman" w:hAnsi="Times New Roman" w:cs="Times New Roman"/>
          <w:sz w:val="24"/>
          <w:szCs w:val="24"/>
        </w:rPr>
        <w:t xml:space="preserve">, </w:t>
      </w:r>
      <w:r w:rsidR="00D40B00" w:rsidRPr="000C4364">
        <w:rPr>
          <w:rFonts w:ascii="Times New Roman" w:hAnsi="Times New Roman" w:cs="Times New Roman"/>
          <w:sz w:val="24"/>
          <w:szCs w:val="24"/>
        </w:rPr>
        <w:t>2014)</w:t>
      </w:r>
      <w:r w:rsidR="00226FB8" w:rsidRPr="000C4364">
        <w:rPr>
          <w:rFonts w:ascii="Times New Roman" w:hAnsi="Times New Roman" w:cs="Times New Roman"/>
          <w:sz w:val="24"/>
          <w:szCs w:val="24"/>
        </w:rPr>
        <w:t>, which Rose (2001)</w:t>
      </w:r>
      <w:r w:rsidR="00D40B00" w:rsidRPr="000C4364">
        <w:rPr>
          <w:rFonts w:ascii="Times New Roman" w:hAnsi="Times New Roman" w:cs="Times New Roman"/>
          <w:sz w:val="24"/>
          <w:szCs w:val="24"/>
        </w:rPr>
        <w:t xml:space="preserve"> describ</w:t>
      </w:r>
      <w:r w:rsidR="00111F12" w:rsidRPr="000C4364">
        <w:rPr>
          <w:rFonts w:ascii="Times New Roman" w:hAnsi="Times New Roman" w:cs="Times New Roman"/>
          <w:sz w:val="24"/>
          <w:szCs w:val="24"/>
        </w:rPr>
        <w:t>e</w:t>
      </w:r>
      <w:r w:rsidR="00CD3381" w:rsidRPr="000C4364">
        <w:rPr>
          <w:rFonts w:ascii="Times New Roman" w:hAnsi="Times New Roman" w:cs="Times New Roman"/>
          <w:sz w:val="24"/>
          <w:szCs w:val="24"/>
        </w:rPr>
        <w:t>s</w:t>
      </w:r>
      <w:r w:rsidR="00111F12" w:rsidRPr="000C4364">
        <w:rPr>
          <w:rFonts w:ascii="Times New Roman" w:hAnsi="Times New Roman" w:cs="Times New Roman"/>
          <w:sz w:val="24"/>
          <w:szCs w:val="24"/>
        </w:rPr>
        <w:t xml:space="preserve"> as an organisational failure</w:t>
      </w:r>
      <w:r w:rsidR="00D40B00" w:rsidRPr="000C4364">
        <w:rPr>
          <w:rFonts w:ascii="Times New Roman" w:hAnsi="Times New Roman" w:cs="Times New Roman"/>
          <w:sz w:val="24"/>
          <w:szCs w:val="24"/>
        </w:rPr>
        <w:t xml:space="preserve"> and </w:t>
      </w:r>
      <w:r w:rsidR="00226FB8" w:rsidRPr="000C4364">
        <w:rPr>
          <w:rFonts w:ascii="Times New Roman" w:hAnsi="Times New Roman" w:cs="Times New Roman"/>
          <w:sz w:val="24"/>
          <w:szCs w:val="24"/>
        </w:rPr>
        <w:t xml:space="preserve">with </w:t>
      </w:r>
      <w:r w:rsidR="00D40B00" w:rsidRPr="000C4364">
        <w:rPr>
          <w:rFonts w:ascii="Times New Roman" w:hAnsi="Times New Roman" w:cs="Times New Roman"/>
          <w:sz w:val="24"/>
          <w:szCs w:val="24"/>
        </w:rPr>
        <w:t>smaller enterprises affected disproportionately more by these institutional constraints (</w:t>
      </w:r>
      <w:r w:rsidR="00BE7D54" w:rsidRPr="000C4364">
        <w:rPr>
          <w:rFonts w:ascii="Times New Roman" w:hAnsi="Times New Roman" w:cs="Times New Roman"/>
          <w:sz w:val="24"/>
          <w:szCs w:val="24"/>
        </w:rPr>
        <w:t xml:space="preserve">Schiffer and </w:t>
      </w:r>
      <w:proofErr w:type="spellStart"/>
      <w:r w:rsidR="00BE7D54" w:rsidRPr="000C4364">
        <w:rPr>
          <w:rFonts w:ascii="Times New Roman" w:hAnsi="Times New Roman" w:cs="Times New Roman"/>
          <w:sz w:val="24"/>
          <w:szCs w:val="24"/>
        </w:rPr>
        <w:t>Weder</w:t>
      </w:r>
      <w:proofErr w:type="spellEnd"/>
      <w:r w:rsidR="00BE7D54" w:rsidRPr="000C4364">
        <w:rPr>
          <w:rFonts w:ascii="Times New Roman" w:hAnsi="Times New Roman" w:cs="Times New Roman"/>
          <w:sz w:val="24"/>
          <w:szCs w:val="24"/>
        </w:rPr>
        <w:t xml:space="preserve">, 2003; </w:t>
      </w:r>
      <w:r w:rsidR="00D40B00" w:rsidRPr="000C4364">
        <w:rPr>
          <w:rFonts w:ascii="Times New Roman" w:hAnsi="Times New Roman" w:cs="Times New Roman"/>
          <w:sz w:val="24"/>
          <w:szCs w:val="24"/>
        </w:rPr>
        <w:t>Ruziev and Midmore, 2015).</w:t>
      </w:r>
    </w:p>
    <w:p w:rsidR="0062083E" w:rsidRPr="000C4364" w:rsidRDefault="00312603" w:rsidP="000C4364">
      <w:pPr>
        <w:spacing w:after="0" w:line="480" w:lineRule="auto"/>
        <w:ind w:firstLine="720"/>
        <w:rPr>
          <w:rFonts w:ascii="Times New Roman" w:hAnsi="Times New Roman" w:cs="Times New Roman"/>
          <w:sz w:val="24"/>
          <w:szCs w:val="24"/>
        </w:rPr>
      </w:pPr>
      <w:r w:rsidRPr="000C4364">
        <w:rPr>
          <w:rFonts w:ascii="Times New Roman" w:hAnsi="Times New Roman" w:cs="Times New Roman"/>
          <w:sz w:val="24"/>
          <w:szCs w:val="24"/>
        </w:rPr>
        <w:t xml:space="preserve">Given the underlying literature and the PCE context, we sought to </w:t>
      </w:r>
      <w:r w:rsidR="00DB0322" w:rsidRPr="000C4364">
        <w:rPr>
          <w:rFonts w:ascii="Times New Roman" w:hAnsi="Times New Roman" w:cs="Times New Roman"/>
          <w:sz w:val="24"/>
          <w:szCs w:val="24"/>
        </w:rPr>
        <w:t>answer</w:t>
      </w:r>
      <w:r w:rsidRPr="000C4364">
        <w:rPr>
          <w:rFonts w:ascii="Times New Roman" w:hAnsi="Times New Roman" w:cs="Times New Roman"/>
          <w:sz w:val="24"/>
          <w:szCs w:val="24"/>
        </w:rPr>
        <w:t xml:space="preserve"> the following strategically important </w:t>
      </w:r>
      <w:r w:rsidR="00A431E0" w:rsidRPr="000C4364">
        <w:rPr>
          <w:rFonts w:ascii="Times New Roman" w:hAnsi="Times New Roman" w:cs="Times New Roman"/>
          <w:sz w:val="24"/>
          <w:szCs w:val="24"/>
        </w:rPr>
        <w:t xml:space="preserve">research </w:t>
      </w:r>
      <w:r w:rsidRPr="000C4364">
        <w:rPr>
          <w:rFonts w:ascii="Times New Roman" w:hAnsi="Times New Roman" w:cs="Times New Roman"/>
          <w:sz w:val="24"/>
          <w:szCs w:val="24"/>
        </w:rPr>
        <w:t xml:space="preserve">question: </w:t>
      </w:r>
      <w:r w:rsidR="00DB0322" w:rsidRPr="000C4364">
        <w:rPr>
          <w:rFonts w:ascii="Times New Roman" w:hAnsi="Times New Roman" w:cs="Times New Roman"/>
          <w:sz w:val="24"/>
          <w:szCs w:val="24"/>
        </w:rPr>
        <w:t>d</w:t>
      </w:r>
      <w:r w:rsidR="003544E4" w:rsidRPr="000C4364">
        <w:rPr>
          <w:rFonts w:ascii="Times New Roman" w:hAnsi="Times New Roman" w:cs="Times New Roman"/>
          <w:sz w:val="24"/>
          <w:szCs w:val="24"/>
        </w:rPr>
        <w:t xml:space="preserve">oes access to and use of </w:t>
      </w:r>
      <w:r w:rsidR="007006D5" w:rsidRPr="000C4364">
        <w:rPr>
          <w:rFonts w:ascii="Times New Roman" w:hAnsi="Times New Roman" w:cs="Times New Roman"/>
          <w:sz w:val="24"/>
          <w:szCs w:val="24"/>
        </w:rPr>
        <w:t>interpersonal connectedness</w:t>
      </w:r>
      <w:r w:rsidR="003544E4" w:rsidRPr="000C4364">
        <w:rPr>
          <w:rFonts w:ascii="Times New Roman" w:hAnsi="Times New Roman" w:cs="Times New Roman"/>
          <w:sz w:val="24"/>
          <w:szCs w:val="24"/>
        </w:rPr>
        <w:t xml:space="preserve"> improve the chance of SMEs receiving formal credit</w:t>
      </w:r>
      <w:r w:rsidR="00130D65" w:rsidRPr="000C4364">
        <w:rPr>
          <w:rFonts w:ascii="Times New Roman" w:hAnsi="Times New Roman" w:cs="Times New Roman"/>
          <w:sz w:val="24"/>
          <w:szCs w:val="24"/>
        </w:rPr>
        <w:t xml:space="preserve"> and lower its cost</w:t>
      </w:r>
      <w:r w:rsidR="003544E4" w:rsidRPr="000C4364">
        <w:rPr>
          <w:rFonts w:ascii="Times New Roman" w:hAnsi="Times New Roman" w:cs="Times New Roman"/>
          <w:sz w:val="24"/>
          <w:szCs w:val="24"/>
        </w:rPr>
        <w:t>?</w:t>
      </w:r>
      <w:r w:rsidR="00CB3038"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We proceed to </w:t>
      </w:r>
      <w:r w:rsidR="00461317" w:rsidRPr="000C4364">
        <w:rPr>
          <w:rFonts w:ascii="Times New Roman" w:hAnsi="Times New Roman" w:cs="Times New Roman"/>
          <w:sz w:val="24"/>
          <w:szCs w:val="24"/>
        </w:rPr>
        <w:t xml:space="preserve">examine </w:t>
      </w:r>
      <w:r w:rsidRPr="000C4364">
        <w:rPr>
          <w:rFonts w:ascii="Times New Roman" w:hAnsi="Times New Roman" w:cs="Times New Roman"/>
          <w:sz w:val="24"/>
          <w:szCs w:val="24"/>
        </w:rPr>
        <w:t xml:space="preserve">whether </w:t>
      </w:r>
      <w:r w:rsidR="00D40B00" w:rsidRPr="000C4364">
        <w:rPr>
          <w:rFonts w:ascii="Times New Roman" w:hAnsi="Times New Roman" w:cs="Times New Roman"/>
          <w:sz w:val="24"/>
          <w:szCs w:val="24"/>
        </w:rPr>
        <w:t>being connected to a</w:t>
      </w:r>
      <w:r w:rsidR="002F10D3" w:rsidRPr="000C4364">
        <w:rPr>
          <w:rFonts w:ascii="Times New Roman" w:hAnsi="Times New Roman" w:cs="Times New Roman"/>
          <w:sz w:val="24"/>
          <w:szCs w:val="24"/>
        </w:rPr>
        <w:t xml:space="preserve">n exclusive </w:t>
      </w:r>
      <w:r w:rsidR="00D40B00" w:rsidRPr="000C4364">
        <w:rPr>
          <w:rFonts w:ascii="Times New Roman" w:hAnsi="Times New Roman" w:cs="Times New Roman"/>
          <w:sz w:val="24"/>
          <w:szCs w:val="24"/>
        </w:rPr>
        <w:t>network</w:t>
      </w:r>
      <w:r w:rsidR="00DB0322" w:rsidRPr="000C4364">
        <w:rPr>
          <w:rFonts w:ascii="Times New Roman" w:hAnsi="Times New Roman" w:cs="Times New Roman"/>
          <w:sz w:val="24"/>
          <w:szCs w:val="24"/>
        </w:rPr>
        <w:t>, as measured by the use of gifts and bribes or in possession of a government contract,</w:t>
      </w:r>
      <w:r w:rsidR="00D40B00" w:rsidRPr="000C4364">
        <w:rPr>
          <w:rFonts w:ascii="Times New Roman" w:hAnsi="Times New Roman" w:cs="Times New Roman"/>
          <w:sz w:val="24"/>
          <w:szCs w:val="24"/>
        </w:rPr>
        <w:t xml:space="preserve"> </w:t>
      </w:r>
      <w:r w:rsidRPr="000C4364">
        <w:rPr>
          <w:rFonts w:ascii="Times New Roman" w:hAnsi="Times New Roman" w:cs="Times New Roman"/>
          <w:sz w:val="24"/>
          <w:szCs w:val="24"/>
        </w:rPr>
        <w:t>i</w:t>
      </w:r>
      <w:r w:rsidR="002F1C8C" w:rsidRPr="000C4364">
        <w:rPr>
          <w:rFonts w:ascii="Times New Roman" w:hAnsi="Times New Roman" w:cs="Times New Roman"/>
          <w:sz w:val="24"/>
          <w:szCs w:val="24"/>
        </w:rPr>
        <w:t>s</w:t>
      </w:r>
      <w:r w:rsidRPr="000C4364">
        <w:rPr>
          <w:rFonts w:ascii="Times New Roman" w:hAnsi="Times New Roman" w:cs="Times New Roman"/>
          <w:sz w:val="24"/>
          <w:szCs w:val="24"/>
        </w:rPr>
        <w:t xml:space="preserve"> important in enabling </w:t>
      </w:r>
      <w:r w:rsidR="00D40B00" w:rsidRPr="000C4364">
        <w:rPr>
          <w:rFonts w:ascii="Times New Roman" w:hAnsi="Times New Roman" w:cs="Times New Roman"/>
          <w:sz w:val="24"/>
          <w:szCs w:val="24"/>
        </w:rPr>
        <w:t xml:space="preserve">SMEs </w:t>
      </w:r>
      <w:r w:rsidRPr="000C4364">
        <w:rPr>
          <w:rFonts w:ascii="Times New Roman" w:hAnsi="Times New Roman" w:cs="Times New Roman"/>
          <w:sz w:val="24"/>
          <w:szCs w:val="24"/>
        </w:rPr>
        <w:t xml:space="preserve">to </w:t>
      </w:r>
      <w:r w:rsidR="00D40B00" w:rsidRPr="000C4364">
        <w:rPr>
          <w:rFonts w:ascii="Times New Roman" w:hAnsi="Times New Roman" w:cs="Times New Roman"/>
          <w:sz w:val="24"/>
          <w:szCs w:val="24"/>
        </w:rPr>
        <w:t>gain access to valuable resources in economies where b</w:t>
      </w:r>
      <w:r w:rsidR="00111F12" w:rsidRPr="000C4364">
        <w:rPr>
          <w:rFonts w:ascii="Times New Roman" w:hAnsi="Times New Roman" w:cs="Times New Roman"/>
          <w:sz w:val="24"/>
          <w:szCs w:val="24"/>
        </w:rPr>
        <w:t>ureaucratic institutions lack</w:t>
      </w:r>
      <w:r w:rsidR="00D40B00" w:rsidRPr="000C4364">
        <w:rPr>
          <w:rFonts w:ascii="Times New Roman" w:hAnsi="Times New Roman" w:cs="Times New Roman"/>
          <w:sz w:val="24"/>
          <w:szCs w:val="24"/>
        </w:rPr>
        <w:t xml:space="preserve"> credibility and efficiency</w:t>
      </w:r>
      <w:r w:rsidR="00A354AB" w:rsidRPr="000C4364">
        <w:rPr>
          <w:rFonts w:ascii="Times New Roman" w:hAnsi="Times New Roman" w:cs="Times New Roman"/>
          <w:sz w:val="24"/>
          <w:szCs w:val="24"/>
        </w:rPr>
        <w:t>,</w:t>
      </w:r>
      <w:r w:rsidR="00D40B00" w:rsidRPr="000C4364">
        <w:rPr>
          <w:rFonts w:ascii="Times New Roman" w:hAnsi="Times New Roman" w:cs="Times New Roman"/>
          <w:sz w:val="24"/>
          <w:szCs w:val="24"/>
        </w:rPr>
        <w:t xml:space="preserve"> </w:t>
      </w:r>
      <w:r w:rsidR="00111F12" w:rsidRPr="000C4364">
        <w:rPr>
          <w:rFonts w:ascii="Times New Roman" w:hAnsi="Times New Roman" w:cs="Times New Roman"/>
          <w:sz w:val="24"/>
          <w:szCs w:val="24"/>
        </w:rPr>
        <w:t>which breeds</w:t>
      </w:r>
      <w:r w:rsidR="00D40B00" w:rsidRPr="000C4364">
        <w:rPr>
          <w:rFonts w:ascii="Times New Roman" w:hAnsi="Times New Roman" w:cs="Times New Roman"/>
          <w:sz w:val="24"/>
          <w:szCs w:val="24"/>
        </w:rPr>
        <w:t xml:space="preserve"> a culture of fav</w:t>
      </w:r>
      <w:r w:rsidR="00111F12" w:rsidRPr="000C4364">
        <w:rPr>
          <w:rFonts w:ascii="Times New Roman" w:hAnsi="Times New Roman" w:cs="Times New Roman"/>
          <w:sz w:val="24"/>
          <w:szCs w:val="24"/>
        </w:rPr>
        <w:t>ouritism, corruption</w:t>
      </w:r>
      <w:r w:rsidR="00D40B00" w:rsidRPr="000C4364">
        <w:rPr>
          <w:rFonts w:ascii="Times New Roman" w:hAnsi="Times New Roman" w:cs="Times New Roman"/>
          <w:sz w:val="24"/>
          <w:szCs w:val="24"/>
        </w:rPr>
        <w:t xml:space="preserve"> and bribery. </w:t>
      </w:r>
    </w:p>
    <w:p w:rsidR="00902F11" w:rsidRPr="000C4364" w:rsidRDefault="00902F11" w:rsidP="000C4364">
      <w:pPr>
        <w:spacing w:after="0" w:line="480" w:lineRule="auto"/>
        <w:rPr>
          <w:rFonts w:ascii="Times New Roman" w:hAnsi="Times New Roman" w:cs="Times New Roman"/>
          <w:i/>
          <w:sz w:val="24"/>
          <w:szCs w:val="24"/>
        </w:rPr>
      </w:pPr>
    </w:p>
    <w:p w:rsidR="0068581D" w:rsidRPr="000C4364" w:rsidRDefault="0068581D" w:rsidP="000C4364">
      <w:pPr>
        <w:spacing w:after="0" w:line="480" w:lineRule="auto"/>
        <w:rPr>
          <w:rFonts w:ascii="Times New Roman" w:hAnsi="Times New Roman" w:cs="Times New Roman"/>
          <w:b/>
          <w:sz w:val="24"/>
          <w:szCs w:val="24"/>
        </w:rPr>
      </w:pPr>
      <w:r w:rsidRPr="000C4364">
        <w:rPr>
          <w:rFonts w:ascii="Times New Roman" w:hAnsi="Times New Roman" w:cs="Times New Roman"/>
          <w:b/>
          <w:sz w:val="24"/>
          <w:szCs w:val="24"/>
        </w:rPr>
        <w:lastRenderedPageBreak/>
        <w:t xml:space="preserve">4. </w:t>
      </w:r>
      <w:r w:rsidR="00312603" w:rsidRPr="000C4364">
        <w:rPr>
          <w:rFonts w:ascii="Times New Roman" w:hAnsi="Times New Roman" w:cs="Times New Roman"/>
          <w:b/>
          <w:sz w:val="24"/>
          <w:szCs w:val="24"/>
        </w:rPr>
        <w:tab/>
      </w:r>
      <w:r w:rsidRPr="000C4364">
        <w:rPr>
          <w:rFonts w:ascii="Times New Roman" w:hAnsi="Times New Roman" w:cs="Times New Roman"/>
          <w:b/>
          <w:sz w:val="24"/>
          <w:szCs w:val="24"/>
        </w:rPr>
        <w:t>Data</w:t>
      </w:r>
    </w:p>
    <w:p w:rsidR="006447BD" w:rsidRPr="000C4364" w:rsidRDefault="000C08D8"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 xml:space="preserve">We </w:t>
      </w:r>
      <w:r w:rsidR="00C80816" w:rsidRPr="000C4364">
        <w:rPr>
          <w:rFonts w:ascii="Times New Roman" w:hAnsi="Times New Roman" w:cs="Times New Roman"/>
          <w:sz w:val="24"/>
          <w:szCs w:val="24"/>
        </w:rPr>
        <w:t xml:space="preserve">sourced data </w:t>
      </w:r>
      <w:r w:rsidR="00DF739E" w:rsidRPr="000C4364">
        <w:rPr>
          <w:rFonts w:ascii="Times New Roman" w:hAnsi="Times New Roman" w:cs="Times New Roman"/>
          <w:sz w:val="24"/>
          <w:szCs w:val="24"/>
        </w:rPr>
        <w:t>from the 2012</w:t>
      </w:r>
      <w:r w:rsidR="0068581D" w:rsidRPr="000C4364">
        <w:rPr>
          <w:rFonts w:ascii="Times New Roman" w:hAnsi="Times New Roman" w:cs="Times New Roman"/>
          <w:sz w:val="24"/>
          <w:szCs w:val="24"/>
        </w:rPr>
        <w:t xml:space="preserve">-2014 </w:t>
      </w:r>
      <w:r w:rsidR="00C80816" w:rsidRPr="000C4364">
        <w:rPr>
          <w:rFonts w:ascii="Times New Roman" w:hAnsi="Times New Roman" w:cs="Times New Roman"/>
          <w:sz w:val="24"/>
          <w:szCs w:val="24"/>
        </w:rPr>
        <w:t xml:space="preserve">sweep of the </w:t>
      </w:r>
      <w:r w:rsidR="00A342E0" w:rsidRPr="000C4364">
        <w:rPr>
          <w:rFonts w:ascii="Times New Roman" w:hAnsi="Times New Roman" w:cs="Times New Roman"/>
          <w:sz w:val="24"/>
          <w:szCs w:val="24"/>
        </w:rPr>
        <w:t>BEEPS</w:t>
      </w:r>
      <w:r w:rsidR="0068581D" w:rsidRPr="000C4364">
        <w:rPr>
          <w:rFonts w:ascii="Times New Roman" w:hAnsi="Times New Roman" w:cs="Times New Roman"/>
          <w:sz w:val="24"/>
          <w:szCs w:val="24"/>
        </w:rPr>
        <w:t xml:space="preserve"> </w:t>
      </w:r>
      <w:r w:rsidR="00B22177" w:rsidRPr="000C4364">
        <w:rPr>
          <w:rFonts w:ascii="Times New Roman" w:hAnsi="Times New Roman" w:cs="Times New Roman"/>
          <w:sz w:val="24"/>
          <w:szCs w:val="24"/>
        </w:rPr>
        <w:t xml:space="preserve">dataset </w:t>
      </w:r>
      <w:r w:rsidR="00E647A9" w:rsidRPr="000C4364">
        <w:rPr>
          <w:rFonts w:ascii="Times New Roman" w:hAnsi="Times New Roman" w:cs="Times New Roman"/>
          <w:sz w:val="24"/>
          <w:szCs w:val="24"/>
        </w:rPr>
        <w:t>(EBRD, 2016)</w:t>
      </w:r>
      <w:r w:rsidR="00CD3381" w:rsidRPr="000C4364">
        <w:rPr>
          <w:rFonts w:ascii="Times New Roman" w:hAnsi="Times New Roman" w:cs="Times New Roman"/>
          <w:sz w:val="24"/>
          <w:szCs w:val="24"/>
        </w:rPr>
        <w:t>,</w:t>
      </w:r>
      <w:r w:rsidRPr="000C4364">
        <w:rPr>
          <w:rFonts w:ascii="Times New Roman" w:hAnsi="Times New Roman" w:cs="Times New Roman"/>
          <w:sz w:val="24"/>
          <w:szCs w:val="24"/>
        </w:rPr>
        <w:t xml:space="preserve"> which </w:t>
      </w:r>
      <w:r w:rsidR="00C80816" w:rsidRPr="000C4364">
        <w:rPr>
          <w:rFonts w:ascii="Times New Roman" w:hAnsi="Times New Roman" w:cs="Times New Roman"/>
          <w:sz w:val="24"/>
          <w:szCs w:val="24"/>
        </w:rPr>
        <w:t xml:space="preserve">provides information on </w:t>
      </w:r>
      <w:r w:rsidR="0068581D" w:rsidRPr="000C4364">
        <w:rPr>
          <w:rFonts w:ascii="Times New Roman" w:hAnsi="Times New Roman" w:cs="Times New Roman"/>
          <w:sz w:val="24"/>
          <w:szCs w:val="24"/>
        </w:rPr>
        <w:t xml:space="preserve">more than 14,000 enterprises in 28 </w:t>
      </w:r>
      <w:r w:rsidR="00BA06FF" w:rsidRPr="000C4364">
        <w:rPr>
          <w:rFonts w:ascii="Times New Roman" w:hAnsi="Times New Roman" w:cs="Times New Roman"/>
          <w:sz w:val="24"/>
          <w:szCs w:val="24"/>
        </w:rPr>
        <w:t xml:space="preserve">post communist economies </w:t>
      </w:r>
      <w:r w:rsidR="0068581D" w:rsidRPr="000C4364">
        <w:rPr>
          <w:rFonts w:ascii="Times New Roman" w:hAnsi="Times New Roman" w:cs="Times New Roman"/>
          <w:sz w:val="24"/>
          <w:szCs w:val="24"/>
        </w:rPr>
        <w:t xml:space="preserve">from </w:t>
      </w:r>
      <w:r w:rsidR="00BA06FF" w:rsidRPr="000C4364">
        <w:rPr>
          <w:rFonts w:ascii="Times New Roman" w:hAnsi="Times New Roman" w:cs="Times New Roman"/>
          <w:sz w:val="24"/>
          <w:szCs w:val="24"/>
        </w:rPr>
        <w:t xml:space="preserve">Eastern Europe and </w:t>
      </w:r>
      <w:r w:rsidR="0068581D" w:rsidRPr="000C4364">
        <w:rPr>
          <w:rFonts w:ascii="Times New Roman" w:hAnsi="Times New Roman" w:cs="Times New Roman"/>
          <w:sz w:val="24"/>
          <w:szCs w:val="24"/>
        </w:rPr>
        <w:t xml:space="preserve">the </w:t>
      </w:r>
      <w:r w:rsidR="00BA06FF" w:rsidRPr="000C4364">
        <w:rPr>
          <w:rFonts w:ascii="Times New Roman" w:hAnsi="Times New Roman" w:cs="Times New Roman"/>
          <w:sz w:val="24"/>
          <w:szCs w:val="24"/>
        </w:rPr>
        <w:t>former Soviet Union</w:t>
      </w:r>
      <w:r w:rsidR="0068581D" w:rsidRPr="000C4364">
        <w:rPr>
          <w:rFonts w:ascii="Times New Roman" w:hAnsi="Times New Roman" w:cs="Times New Roman"/>
          <w:sz w:val="24"/>
          <w:szCs w:val="24"/>
        </w:rPr>
        <w:t xml:space="preserve">. The survey </w:t>
      </w:r>
      <w:r w:rsidRPr="000C4364">
        <w:rPr>
          <w:rFonts w:ascii="Times New Roman" w:hAnsi="Times New Roman" w:cs="Times New Roman"/>
          <w:sz w:val="24"/>
          <w:szCs w:val="24"/>
        </w:rPr>
        <w:t>employ</w:t>
      </w:r>
      <w:r w:rsidR="00C80816" w:rsidRPr="000C4364">
        <w:rPr>
          <w:rFonts w:ascii="Times New Roman" w:hAnsi="Times New Roman" w:cs="Times New Roman"/>
          <w:sz w:val="24"/>
          <w:szCs w:val="24"/>
        </w:rPr>
        <w:t>s</w:t>
      </w:r>
      <w:r w:rsidRPr="000C4364">
        <w:rPr>
          <w:rFonts w:ascii="Times New Roman" w:hAnsi="Times New Roman" w:cs="Times New Roman"/>
          <w:sz w:val="24"/>
          <w:szCs w:val="24"/>
        </w:rPr>
        <w:t xml:space="preserve"> a </w:t>
      </w:r>
      <w:r w:rsidR="001C5104" w:rsidRPr="000C4364">
        <w:rPr>
          <w:rFonts w:ascii="Times New Roman" w:hAnsi="Times New Roman" w:cs="Times New Roman"/>
          <w:sz w:val="24"/>
          <w:szCs w:val="24"/>
        </w:rPr>
        <w:t xml:space="preserve">stratified random sampling </w:t>
      </w:r>
      <w:r w:rsidRPr="000C4364">
        <w:rPr>
          <w:rFonts w:ascii="Times New Roman" w:hAnsi="Times New Roman" w:cs="Times New Roman"/>
          <w:sz w:val="24"/>
          <w:szCs w:val="24"/>
        </w:rPr>
        <w:t xml:space="preserve">technique </w:t>
      </w:r>
      <w:r w:rsidR="001C5104" w:rsidRPr="000C4364">
        <w:rPr>
          <w:rFonts w:ascii="Times New Roman" w:hAnsi="Times New Roman" w:cs="Times New Roman"/>
          <w:sz w:val="24"/>
          <w:szCs w:val="24"/>
        </w:rPr>
        <w:t>where t</w:t>
      </w:r>
      <w:r w:rsidR="0068581D" w:rsidRPr="000C4364">
        <w:rPr>
          <w:rFonts w:ascii="Times New Roman" w:hAnsi="Times New Roman" w:cs="Times New Roman"/>
          <w:sz w:val="24"/>
          <w:szCs w:val="24"/>
        </w:rPr>
        <w:t>he strata are</w:t>
      </w:r>
      <w:r w:rsidR="001C5104" w:rsidRPr="000C4364">
        <w:rPr>
          <w:rFonts w:ascii="Times New Roman" w:hAnsi="Times New Roman" w:cs="Times New Roman"/>
          <w:sz w:val="24"/>
          <w:szCs w:val="24"/>
        </w:rPr>
        <w:t xml:space="preserve"> based on</w:t>
      </w:r>
      <w:r w:rsidR="0068581D" w:rsidRPr="000C4364">
        <w:rPr>
          <w:rFonts w:ascii="Times New Roman" w:hAnsi="Times New Roman" w:cs="Times New Roman"/>
          <w:sz w:val="24"/>
          <w:szCs w:val="24"/>
        </w:rPr>
        <w:t xml:space="preserve"> firm </w:t>
      </w:r>
      <w:r w:rsidR="0013373E" w:rsidRPr="000C4364">
        <w:rPr>
          <w:rFonts w:ascii="Times New Roman" w:hAnsi="Times New Roman" w:cs="Times New Roman"/>
          <w:sz w:val="24"/>
          <w:szCs w:val="24"/>
        </w:rPr>
        <w:t>size</w:t>
      </w:r>
      <w:r w:rsidR="0068581D" w:rsidRPr="000C4364">
        <w:rPr>
          <w:rFonts w:ascii="Times New Roman" w:hAnsi="Times New Roman" w:cs="Times New Roman"/>
          <w:sz w:val="24"/>
          <w:szCs w:val="24"/>
        </w:rPr>
        <w:t>, economic sect</w:t>
      </w:r>
      <w:r w:rsidR="000B47B7" w:rsidRPr="000C4364">
        <w:rPr>
          <w:rFonts w:ascii="Times New Roman" w:hAnsi="Times New Roman" w:cs="Times New Roman"/>
          <w:sz w:val="24"/>
          <w:szCs w:val="24"/>
        </w:rPr>
        <w:t>ors</w:t>
      </w:r>
      <w:r w:rsidR="0068581D" w:rsidRPr="000C4364">
        <w:rPr>
          <w:rFonts w:ascii="Times New Roman" w:hAnsi="Times New Roman" w:cs="Times New Roman"/>
          <w:sz w:val="24"/>
          <w:szCs w:val="24"/>
        </w:rPr>
        <w:t xml:space="preserve"> and geographic regions</w:t>
      </w:r>
      <w:r w:rsidRPr="000C4364">
        <w:rPr>
          <w:rFonts w:ascii="Times New Roman" w:hAnsi="Times New Roman" w:cs="Times New Roman"/>
          <w:sz w:val="24"/>
          <w:szCs w:val="24"/>
        </w:rPr>
        <w:t xml:space="preserve"> within each country</w:t>
      </w:r>
      <w:r w:rsidR="0068581D"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Around 360 enterprises </w:t>
      </w:r>
      <w:r w:rsidR="00C80816" w:rsidRPr="000C4364">
        <w:rPr>
          <w:rFonts w:ascii="Times New Roman" w:hAnsi="Times New Roman" w:cs="Times New Roman"/>
          <w:sz w:val="24"/>
          <w:szCs w:val="24"/>
        </w:rPr>
        <w:t>we</w:t>
      </w:r>
      <w:r w:rsidRPr="000C4364">
        <w:rPr>
          <w:rFonts w:ascii="Times New Roman" w:hAnsi="Times New Roman" w:cs="Times New Roman"/>
          <w:sz w:val="24"/>
          <w:szCs w:val="24"/>
        </w:rPr>
        <w:t xml:space="preserve">re interviewed in most countries although a greater </w:t>
      </w:r>
      <w:r w:rsidR="0068581D" w:rsidRPr="000C4364">
        <w:rPr>
          <w:rFonts w:ascii="Times New Roman" w:hAnsi="Times New Roman" w:cs="Times New Roman"/>
          <w:sz w:val="24"/>
          <w:szCs w:val="24"/>
        </w:rPr>
        <w:t xml:space="preserve">number </w:t>
      </w:r>
      <w:r w:rsidRPr="000C4364">
        <w:rPr>
          <w:rFonts w:ascii="Times New Roman" w:hAnsi="Times New Roman" w:cs="Times New Roman"/>
          <w:sz w:val="24"/>
          <w:szCs w:val="24"/>
        </w:rPr>
        <w:t>we</w:t>
      </w:r>
      <w:r w:rsidR="00B26C3A" w:rsidRPr="000C4364">
        <w:rPr>
          <w:rFonts w:ascii="Times New Roman" w:hAnsi="Times New Roman" w:cs="Times New Roman"/>
          <w:sz w:val="24"/>
          <w:szCs w:val="24"/>
        </w:rPr>
        <w:t>re sampled in larger economies</w:t>
      </w:r>
      <w:r w:rsidR="0068581D" w:rsidRPr="000C4364">
        <w:rPr>
          <w:rFonts w:ascii="Times New Roman" w:hAnsi="Times New Roman" w:cs="Times New Roman"/>
          <w:sz w:val="24"/>
          <w:szCs w:val="24"/>
        </w:rPr>
        <w:t xml:space="preserve">. Only formally registered enterprises with more than 5 employees </w:t>
      </w:r>
      <w:r w:rsidRPr="000C4364">
        <w:rPr>
          <w:rFonts w:ascii="Times New Roman" w:hAnsi="Times New Roman" w:cs="Times New Roman"/>
          <w:sz w:val="24"/>
          <w:szCs w:val="24"/>
        </w:rPr>
        <w:t>we</w:t>
      </w:r>
      <w:r w:rsidR="0068581D" w:rsidRPr="000C4364">
        <w:rPr>
          <w:rFonts w:ascii="Times New Roman" w:hAnsi="Times New Roman" w:cs="Times New Roman"/>
          <w:sz w:val="24"/>
          <w:szCs w:val="24"/>
        </w:rPr>
        <w:t>re interviewed</w:t>
      </w:r>
      <w:r w:rsidR="00C80816" w:rsidRPr="000C4364">
        <w:rPr>
          <w:rFonts w:ascii="Times New Roman" w:hAnsi="Times New Roman" w:cs="Times New Roman"/>
          <w:sz w:val="24"/>
          <w:szCs w:val="24"/>
        </w:rPr>
        <w:t xml:space="preserve"> and </w:t>
      </w:r>
      <w:r w:rsidR="0068581D" w:rsidRPr="000C4364">
        <w:rPr>
          <w:rFonts w:ascii="Times New Roman" w:hAnsi="Times New Roman" w:cs="Times New Roman"/>
          <w:sz w:val="24"/>
          <w:szCs w:val="24"/>
        </w:rPr>
        <w:t>enterprises with 5 to 19</w:t>
      </w:r>
      <w:r w:rsidRPr="000C4364">
        <w:rPr>
          <w:rFonts w:ascii="Times New Roman" w:hAnsi="Times New Roman" w:cs="Times New Roman"/>
          <w:sz w:val="24"/>
          <w:szCs w:val="24"/>
        </w:rPr>
        <w:t>,</w:t>
      </w:r>
      <w:r w:rsidR="0068581D"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20 to 99 </w:t>
      </w:r>
      <w:r w:rsidR="00C80816" w:rsidRPr="000C4364">
        <w:rPr>
          <w:rFonts w:ascii="Times New Roman" w:hAnsi="Times New Roman" w:cs="Times New Roman"/>
          <w:sz w:val="24"/>
          <w:szCs w:val="24"/>
        </w:rPr>
        <w:t>or</w:t>
      </w:r>
      <w:r w:rsidRPr="000C4364">
        <w:rPr>
          <w:rFonts w:ascii="Times New Roman" w:hAnsi="Times New Roman" w:cs="Times New Roman"/>
          <w:sz w:val="24"/>
          <w:szCs w:val="24"/>
        </w:rPr>
        <w:t xml:space="preserve"> 100 or more </w:t>
      </w:r>
      <w:r w:rsidR="00C80816" w:rsidRPr="000C4364">
        <w:rPr>
          <w:rFonts w:ascii="Times New Roman" w:hAnsi="Times New Roman" w:cs="Times New Roman"/>
          <w:sz w:val="24"/>
          <w:szCs w:val="24"/>
        </w:rPr>
        <w:t xml:space="preserve">employees </w:t>
      </w:r>
      <w:r w:rsidRPr="000C4364">
        <w:rPr>
          <w:rFonts w:ascii="Times New Roman" w:hAnsi="Times New Roman" w:cs="Times New Roman"/>
          <w:sz w:val="24"/>
          <w:szCs w:val="24"/>
        </w:rPr>
        <w:t xml:space="preserve">being </w:t>
      </w:r>
      <w:r w:rsidR="0068581D" w:rsidRPr="000C4364">
        <w:rPr>
          <w:rFonts w:ascii="Times New Roman" w:hAnsi="Times New Roman" w:cs="Times New Roman"/>
          <w:sz w:val="24"/>
          <w:szCs w:val="24"/>
        </w:rPr>
        <w:t>defined as small</w:t>
      </w:r>
      <w:r w:rsidRPr="000C4364">
        <w:rPr>
          <w:rFonts w:ascii="Times New Roman" w:hAnsi="Times New Roman" w:cs="Times New Roman"/>
          <w:sz w:val="24"/>
          <w:szCs w:val="24"/>
        </w:rPr>
        <w:t xml:space="preserve">, medium </w:t>
      </w:r>
      <w:r w:rsidR="00C80816" w:rsidRPr="000C4364">
        <w:rPr>
          <w:rFonts w:ascii="Times New Roman" w:hAnsi="Times New Roman" w:cs="Times New Roman"/>
          <w:sz w:val="24"/>
          <w:szCs w:val="24"/>
        </w:rPr>
        <w:t xml:space="preserve">or </w:t>
      </w:r>
      <w:r w:rsidRPr="000C4364">
        <w:rPr>
          <w:rFonts w:ascii="Times New Roman" w:hAnsi="Times New Roman" w:cs="Times New Roman"/>
          <w:sz w:val="24"/>
          <w:szCs w:val="24"/>
        </w:rPr>
        <w:t>large respectively</w:t>
      </w:r>
      <w:r w:rsidR="0068581D" w:rsidRPr="000C4364">
        <w:rPr>
          <w:rFonts w:ascii="Times New Roman" w:hAnsi="Times New Roman" w:cs="Times New Roman"/>
          <w:sz w:val="24"/>
          <w:szCs w:val="24"/>
        </w:rPr>
        <w:t>.</w:t>
      </w:r>
    </w:p>
    <w:p w:rsidR="00650808" w:rsidRPr="000C4364" w:rsidRDefault="00B971CC"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650808" w:rsidRPr="000C4364">
        <w:rPr>
          <w:rFonts w:ascii="Times New Roman" w:hAnsi="Times New Roman" w:cs="Times New Roman"/>
          <w:sz w:val="24"/>
          <w:szCs w:val="24"/>
        </w:rPr>
        <w:t xml:space="preserve">Since SMEs are not </w:t>
      </w:r>
      <w:r w:rsidR="00E84C5C" w:rsidRPr="000C4364">
        <w:rPr>
          <w:rFonts w:ascii="Times New Roman" w:hAnsi="Times New Roman" w:cs="Times New Roman"/>
          <w:sz w:val="24"/>
          <w:szCs w:val="24"/>
        </w:rPr>
        <w:t xml:space="preserve">simply </w:t>
      </w:r>
      <w:r w:rsidR="00650808" w:rsidRPr="000C4364">
        <w:rPr>
          <w:rFonts w:ascii="Times New Roman" w:hAnsi="Times New Roman" w:cs="Times New Roman"/>
          <w:sz w:val="24"/>
          <w:szCs w:val="24"/>
        </w:rPr>
        <w:t xml:space="preserve">scaled down versions of large enterprises </w:t>
      </w:r>
      <w:r w:rsidR="00396DB4" w:rsidRPr="000C4364">
        <w:rPr>
          <w:rFonts w:ascii="Times New Roman" w:hAnsi="Times New Roman" w:cs="Times New Roman"/>
          <w:sz w:val="24"/>
          <w:szCs w:val="24"/>
        </w:rPr>
        <w:t xml:space="preserve">(Beck, 2013) </w:t>
      </w:r>
      <w:r w:rsidR="00650808" w:rsidRPr="000C4364">
        <w:rPr>
          <w:rFonts w:ascii="Times New Roman" w:hAnsi="Times New Roman" w:cs="Times New Roman"/>
          <w:sz w:val="24"/>
          <w:szCs w:val="24"/>
        </w:rPr>
        <w:t xml:space="preserve">and </w:t>
      </w:r>
      <w:r w:rsidR="00E84C5C" w:rsidRPr="000C4364">
        <w:rPr>
          <w:rFonts w:ascii="Times New Roman" w:hAnsi="Times New Roman" w:cs="Times New Roman"/>
          <w:sz w:val="24"/>
          <w:szCs w:val="24"/>
        </w:rPr>
        <w:t xml:space="preserve">typically </w:t>
      </w:r>
      <w:r w:rsidR="00396DB4" w:rsidRPr="000C4364">
        <w:rPr>
          <w:rFonts w:ascii="Times New Roman" w:hAnsi="Times New Roman" w:cs="Times New Roman"/>
          <w:sz w:val="24"/>
          <w:szCs w:val="24"/>
        </w:rPr>
        <w:t xml:space="preserve">do </w:t>
      </w:r>
      <w:r w:rsidR="00650808" w:rsidRPr="000C4364">
        <w:rPr>
          <w:rFonts w:ascii="Times New Roman" w:hAnsi="Times New Roman" w:cs="Times New Roman"/>
          <w:sz w:val="24"/>
          <w:szCs w:val="24"/>
        </w:rPr>
        <w:t xml:space="preserve">face qualitatively different obstacles for their operation and </w:t>
      </w:r>
      <w:r w:rsidR="00C27AD9" w:rsidRPr="000C4364">
        <w:rPr>
          <w:rFonts w:ascii="Times New Roman" w:hAnsi="Times New Roman" w:cs="Times New Roman"/>
          <w:sz w:val="24"/>
          <w:szCs w:val="24"/>
        </w:rPr>
        <w:t>growth</w:t>
      </w:r>
      <w:r w:rsidR="00E84C5C" w:rsidRPr="000C4364">
        <w:rPr>
          <w:rFonts w:ascii="Times New Roman" w:hAnsi="Times New Roman" w:cs="Times New Roman"/>
          <w:sz w:val="24"/>
          <w:szCs w:val="24"/>
        </w:rPr>
        <w:t xml:space="preserve"> than larger enterprises</w:t>
      </w:r>
      <w:r w:rsidR="00C27AD9" w:rsidRPr="000C4364">
        <w:rPr>
          <w:rFonts w:ascii="Times New Roman" w:hAnsi="Times New Roman" w:cs="Times New Roman"/>
          <w:sz w:val="24"/>
          <w:szCs w:val="24"/>
        </w:rPr>
        <w:t>, we extracted</w:t>
      </w:r>
      <w:r w:rsidR="00650808" w:rsidRPr="000C4364">
        <w:rPr>
          <w:rFonts w:ascii="Times New Roman" w:hAnsi="Times New Roman" w:cs="Times New Roman"/>
          <w:sz w:val="24"/>
          <w:szCs w:val="24"/>
        </w:rPr>
        <w:t xml:space="preserve"> </w:t>
      </w:r>
      <w:r w:rsidR="00396DB4" w:rsidRPr="000C4364">
        <w:rPr>
          <w:rFonts w:ascii="Times New Roman" w:hAnsi="Times New Roman" w:cs="Times New Roman"/>
          <w:sz w:val="24"/>
          <w:szCs w:val="24"/>
        </w:rPr>
        <w:t xml:space="preserve">data </w:t>
      </w:r>
      <w:r w:rsidR="00E84C5C" w:rsidRPr="000C4364">
        <w:rPr>
          <w:rFonts w:ascii="Times New Roman" w:hAnsi="Times New Roman" w:cs="Times New Roman"/>
          <w:sz w:val="24"/>
          <w:szCs w:val="24"/>
        </w:rPr>
        <w:t xml:space="preserve">from the BEEPS </w:t>
      </w:r>
      <w:r w:rsidR="00396DB4" w:rsidRPr="000C4364">
        <w:rPr>
          <w:rFonts w:ascii="Times New Roman" w:hAnsi="Times New Roman" w:cs="Times New Roman"/>
          <w:sz w:val="24"/>
          <w:szCs w:val="24"/>
        </w:rPr>
        <w:t xml:space="preserve">that corresponds only to </w:t>
      </w:r>
      <w:r w:rsidR="00650808" w:rsidRPr="000C4364">
        <w:rPr>
          <w:rFonts w:ascii="Times New Roman" w:hAnsi="Times New Roman" w:cs="Times New Roman"/>
          <w:sz w:val="24"/>
          <w:szCs w:val="24"/>
        </w:rPr>
        <w:t xml:space="preserve">SMEs. </w:t>
      </w:r>
      <w:r w:rsidR="00E84C5C" w:rsidRPr="000C4364">
        <w:rPr>
          <w:rFonts w:ascii="Times New Roman" w:hAnsi="Times New Roman" w:cs="Times New Roman"/>
          <w:sz w:val="24"/>
          <w:szCs w:val="24"/>
        </w:rPr>
        <w:t>T</w:t>
      </w:r>
      <w:r w:rsidR="00650808" w:rsidRPr="000C4364">
        <w:rPr>
          <w:rFonts w:ascii="Times New Roman" w:hAnsi="Times New Roman" w:cs="Times New Roman"/>
          <w:sz w:val="24"/>
          <w:szCs w:val="24"/>
        </w:rPr>
        <w:t xml:space="preserve">he total number of </w:t>
      </w:r>
      <w:r w:rsidR="00CD3381" w:rsidRPr="000C4364">
        <w:rPr>
          <w:rFonts w:ascii="Times New Roman" w:hAnsi="Times New Roman" w:cs="Times New Roman"/>
          <w:sz w:val="24"/>
          <w:szCs w:val="24"/>
        </w:rPr>
        <w:t xml:space="preserve">enterprise </w:t>
      </w:r>
      <w:r w:rsidR="00650808" w:rsidRPr="000C4364">
        <w:rPr>
          <w:rFonts w:ascii="Times New Roman" w:hAnsi="Times New Roman" w:cs="Times New Roman"/>
          <w:sz w:val="24"/>
          <w:szCs w:val="24"/>
        </w:rPr>
        <w:t xml:space="preserve">observations in </w:t>
      </w:r>
      <w:r w:rsidR="008C4EA3" w:rsidRPr="000C4364">
        <w:rPr>
          <w:rFonts w:ascii="Times New Roman" w:hAnsi="Times New Roman" w:cs="Times New Roman"/>
          <w:sz w:val="24"/>
          <w:szCs w:val="24"/>
        </w:rPr>
        <w:t>our</w:t>
      </w:r>
      <w:r w:rsidR="00650808" w:rsidRPr="000C4364">
        <w:rPr>
          <w:rFonts w:ascii="Times New Roman" w:hAnsi="Times New Roman" w:cs="Times New Roman"/>
          <w:sz w:val="24"/>
          <w:szCs w:val="24"/>
        </w:rPr>
        <w:t xml:space="preserve"> SME sample is 11,714.</w:t>
      </w:r>
    </w:p>
    <w:p w:rsidR="00BA06FF" w:rsidRPr="000C4364" w:rsidRDefault="001E3884"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2A069F" w:rsidRPr="000C4364">
        <w:rPr>
          <w:rFonts w:ascii="Times New Roman" w:hAnsi="Times New Roman" w:cs="Times New Roman"/>
          <w:sz w:val="24"/>
          <w:szCs w:val="24"/>
        </w:rPr>
        <w:t>The BEEPS</w:t>
      </w:r>
      <w:r w:rsidR="00F66500" w:rsidRPr="000C4364">
        <w:rPr>
          <w:rFonts w:ascii="Times New Roman" w:hAnsi="Times New Roman" w:cs="Times New Roman"/>
          <w:sz w:val="24"/>
          <w:szCs w:val="24"/>
        </w:rPr>
        <w:t xml:space="preserve"> dataset has several advantages. It uses a standard questionnaire across </w:t>
      </w:r>
      <w:r w:rsidR="002A069F" w:rsidRPr="000C4364">
        <w:rPr>
          <w:rFonts w:ascii="Times New Roman" w:hAnsi="Times New Roman" w:cs="Times New Roman"/>
          <w:sz w:val="24"/>
          <w:szCs w:val="24"/>
        </w:rPr>
        <w:t xml:space="preserve">all </w:t>
      </w:r>
      <w:r w:rsidR="00F66500" w:rsidRPr="000C4364">
        <w:rPr>
          <w:rFonts w:ascii="Times New Roman" w:hAnsi="Times New Roman" w:cs="Times New Roman"/>
          <w:sz w:val="24"/>
          <w:szCs w:val="24"/>
        </w:rPr>
        <w:t>countries</w:t>
      </w:r>
      <w:r w:rsidR="00396DB4" w:rsidRPr="000C4364">
        <w:rPr>
          <w:rFonts w:ascii="Times New Roman" w:hAnsi="Times New Roman" w:cs="Times New Roman"/>
          <w:sz w:val="24"/>
          <w:szCs w:val="24"/>
        </w:rPr>
        <w:t xml:space="preserve"> and </w:t>
      </w:r>
      <w:r w:rsidR="00F66500" w:rsidRPr="000C4364">
        <w:rPr>
          <w:rFonts w:ascii="Times New Roman" w:hAnsi="Times New Roman" w:cs="Times New Roman"/>
          <w:sz w:val="24"/>
          <w:szCs w:val="24"/>
        </w:rPr>
        <w:t xml:space="preserve">contains information on </w:t>
      </w:r>
      <w:r w:rsidR="009A7236" w:rsidRPr="000C4364">
        <w:rPr>
          <w:rFonts w:ascii="Times New Roman" w:hAnsi="Times New Roman" w:cs="Times New Roman"/>
          <w:sz w:val="24"/>
          <w:szCs w:val="24"/>
        </w:rPr>
        <w:t>business environment</w:t>
      </w:r>
      <w:r w:rsidR="008C4EA3" w:rsidRPr="000C4364">
        <w:rPr>
          <w:rFonts w:ascii="Times New Roman" w:hAnsi="Times New Roman" w:cs="Times New Roman"/>
          <w:sz w:val="24"/>
          <w:szCs w:val="24"/>
        </w:rPr>
        <w:t>s</w:t>
      </w:r>
      <w:r w:rsidR="009A7236" w:rsidRPr="000C4364">
        <w:rPr>
          <w:rFonts w:ascii="Times New Roman" w:hAnsi="Times New Roman" w:cs="Times New Roman"/>
          <w:sz w:val="24"/>
          <w:szCs w:val="24"/>
        </w:rPr>
        <w:t xml:space="preserve">, business-government relations and </w:t>
      </w:r>
      <w:r w:rsidR="00F66500" w:rsidRPr="000C4364">
        <w:rPr>
          <w:rFonts w:ascii="Times New Roman" w:hAnsi="Times New Roman" w:cs="Times New Roman"/>
          <w:sz w:val="24"/>
          <w:szCs w:val="24"/>
        </w:rPr>
        <w:t>enterprise characteristics</w:t>
      </w:r>
      <w:r w:rsidR="00962B68" w:rsidRPr="000C4364">
        <w:rPr>
          <w:rFonts w:ascii="Times New Roman" w:hAnsi="Times New Roman" w:cs="Times New Roman"/>
          <w:sz w:val="24"/>
          <w:szCs w:val="24"/>
        </w:rPr>
        <w:t>,</w:t>
      </w:r>
      <w:r w:rsidR="00F66500" w:rsidRPr="000C4364">
        <w:rPr>
          <w:rFonts w:ascii="Times New Roman" w:hAnsi="Times New Roman" w:cs="Times New Roman"/>
          <w:sz w:val="24"/>
          <w:szCs w:val="24"/>
        </w:rPr>
        <w:t xml:space="preserve"> </w:t>
      </w:r>
      <w:r w:rsidR="006A368F" w:rsidRPr="000C4364">
        <w:rPr>
          <w:rFonts w:ascii="Times New Roman" w:hAnsi="Times New Roman" w:cs="Times New Roman"/>
          <w:sz w:val="24"/>
          <w:szCs w:val="24"/>
        </w:rPr>
        <w:t xml:space="preserve">such as </w:t>
      </w:r>
      <w:r w:rsidR="00F66500" w:rsidRPr="000C4364">
        <w:rPr>
          <w:rFonts w:ascii="Times New Roman" w:hAnsi="Times New Roman" w:cs="Times New Roman"/>
          <w:sz w:val="24"/>
          <w:szCs w:val="24"/>
        </w:rPr>
        <w:t>firm age, industry experience, annual sales</w:t>
      </w:r>
      <w:r w:rsidR="00962B68" w:rsidRPr="000C4364">
        <w:rPr>
          <w:rFonts w:ascii="Times New Roman" w:hAnsi="Times New Roman" w:cs="Times New Roman"/>
          <w:sz w:val="24"/>
          <w:szCs w:val="24"/>
        </w:rPr>
        <w:t xml:space="preserve"> and</w:t>
      </w:r>
      <w:r w:rsidR="00F66500" w:rsidRPr="000C4364">
        <w:rPr>
          <w:rFonts w:ascii="Times New Roman" w:hAnsi="Times New Roman" w:cs="Times New Roman"/>
          <w:sz w:val="24"/>
          <w:szCs w:val="24"/>
        </w:rPr>
        <w:t xml:space="preserve"> enterprise financ</w:t>
      </w:r>
      <w:r w:rsidR="009A7236" w:rsidRPr="000C4364">
        <w:rPr>
          <w:rFonts w:ascii="Times New Roman" w:hAnsi="Times New Roman" w:cs="Times New Roman"/>
          <w:sz w:val="24"/>
          <w:szCs w:val="24"/>
        </w:rPr>
        <w:t>ing sources</w:t>
      </w:r>
      <w:r w:rsidR="00BA06FF" w:rsidRPr="000C4364">
        <w:rPr>
          <w:rFonts w:ascii="Times New Roman" w:hAnsi="Times New Roman" w:cs="Times New Roman"/>
          <w:sz w:val="24"/>
          <w:szCs w:val="24"/>
        </w:rPr>
        <w:t>.</w:t>
      </w:r>
    </w:p>
    <w:p w:rsidR="00F87AA3" w:rsidRPr="000C4364" w:rsidRDefault="00BA06FF" w:rsidP="000C4364">
      <w:pPr>
        <w:spacing w:after="0" w:line="480" w:lineRule="auto"/>
        <w:ind w:firstLine="720"/>
        <w:jc w:val="both"/>
        <w:rPr>
          <w:rFonts w:ascii="Times New Roman" w:hAnsi="Times New Roman" w:cs="Times New Roman"/>
          <w:color w:val="000000" w:themeColor="text1"/>
          <w:sz w:val="24"/>
          <w:szCs w:val="24"/>
        </w:rPr>
      </w:pPr>
      <w:r w:rsidRPr="000C4364">
        <w:rPr>
          <w:rFonts w:ascii="Times New Roman" w:hAnsi="Times New Roman" w:cs="Times New Roman"/>
          <w:sz w:val="24"/>
          <w:szCs w:val="24"/>
        </w:rPr>
        <w:t xml:space="preserve">Interpersonal connectedness is difficult to capture. </w:t>
      </w:r>
      <w:r w:rsidR="0055144A" w:rsidRPr="000C4364">
        <w:rPr>
          <w:rFonts w:ascii="Times New Roman" w:hAnsi="Times New Roman" w:cs="Times New Roman"/>
          <w:sz w:val="24"/>
          <w:szCs w:val="24"/>
        </w:rPr>
        <w:t xml:space="preserve">Proxies of the interpersonal connectedness vary in empirical studies </w:t>
      </w:r>
      <w:r w:rsidR="00D07ED3" w:rsidRPr="000C4364">
        <w:rPr>
          <w:rFonts w:ascii="Times New Roman" w:hAnsi="Times New Roman" w:cs="Times New Roman"/>
          <w:sz w:val="24"/>
          <w:szCs w:val="24"/>
        </w:rPr>
        <w:t>as</w:t>
      </w:r>
      <w:r w:rsidR="0055144A" w:rsidRPr="000C4364">
        <w:rPr>
          <w:rFonts w:ascii="Times New Roman" w:hAnsi="Times New Roman" w:cs="Times New Roman"/>
          <w:sz w:val="24"/>
          <w:szCs w:val="24"/>
        </w:rPr>
        <w:t xml:space="preserve"> dictated by data availability and constrains. The most popular measures include, for example, proportion of top managers’ time spent with public officials, lobbying, frequency of offering bribes and gifts to public officials, holding government contracts, and whether or not top managers’ friends and/or family members work </w:t>
      </w:r>
      <w:r w:rsidR="00C95613" w:rsidRPr="000C4364">
        <w:rPr>
          <w:rFonts w:ascii="Times New Roman" w:hAnsi="Times New Roman" w:cs="Times New Roman"/>
          <w:sz w:val="24"/>
          <w:szCs w:val="24"/>
        </w:rPr>
        <w:t xml:space="preserve">or worked </w:t>
      </w:r>
      <w:r w:rsidR="0055144A" w:rsidRPr="000C4364">
        <w:rPr>
          <w:rFonts w:ascii="Times New Roman" w:hAnsi="Times New Roman" w:cs="Times New Roman"/>
          <w:sz w:val="24"/>
          <w:szCs w:val="24"/>
        </w:rPr>
        <w:t>at government institutions (</w:t>
      </w:r>
      <w:r w:rsidR="00D07ED3" w:rsidRPr="000C4364">
        <w:rPr>
          <w:rFonts w:ascii="Times New Roman" w:hAnsi="Times New Roman" w:cs="Times New Roman"/>
          <w:sz w:val="24"/>
          <w:szCs w:val="24"/>
        </w:rPr>
        <w:t xml:space="preserve">See e.g. </w:t>
      </w:r>
      <w:proofErr w:type="spellStart"/>
      <w:r w:rsidR="0055144A" w:rsidRPr="000C4364">
        <w:rPr>
          <w:rFonts w:ascii="Times New Roman" w:hAnsi="Times New Roman" w:cs="Times New Roman"/>
          <w:sz w:val="24"/>
          <w:szCs w:val="24"/>
        </w:rPr>
        <w:t>Faccio</w:t>
      </w:r>
      <w:proofErr w:type="spellEnd"/>
      <w:r w:rsidR="0055144A" w:rsidRPr="000C4364">
        <w:rPr>
          <w:rFonts w:ascii="Times New Roman" w:hAnsi="Times New Roman" w:cs="Times New Roman"/>
          <w:sz w:val="24"/>
          <w:szCs w:val="24"/>
        </w:rPr>
        <w:t xml:space="preserve">, 2006; </w:t>
      </w:r>
      <w:proofErr w:type="spellStart"/>
      <w:r w:rsidR="0055144A" w:rsidRPr="000C4364">
        <w:rPr>
          <w:rFonts w:ascii="Times New Roman" w:hAnsi="Times New Roman" w:cs="Times New Roman"/>
          <w:sz w:val="24"/>
          <w:szCs w:val="24"/>
        </w:rPr>
        <w:t>Boubakri</w:t>
      </w:r>
      <w:proofErr w:type="spellEnd"/>
      <w:r w:rsidR="0055144A" w:rsidRPr="000C4364">
        <w:rPr>
          <w:rFonts w:ascii="Times New Roman" w:hAnsi="Times New Roman" w:cs="Times New Roman"/>
          <w:sz w:val="24"/>
          <w:szCs w:val="24"/>
        </w:rPr>
        <w:t xml:space="preserve"> </w:t>
      </w:r>
      <w:r w:rsidR="00CF5E5E" w:rsidRPr="000C4364">
        <w:rPr>
          <w:rFonts w:ascii="Times New Roman" w:hAnsi="Times New Roman" w:cs="Times New Roman"/>
          <w:i/>
          <w:sz w:val="24"/>
          <w:szCs w:val="24"/>
        </w:rPr>
        <w:t>et al</w:t>
      </w:r>
      <w:r w:rsidR="0055144A" w:rsidRPr="000C4364">
        <w:rPr>
          <w:rFonts w:ascii="Times New Roman" w:hAnsi="Times New Roman" w:cs="Times New Roman"/>
          <w:i/>
          <w:sz w:val="24"/>
          <w:szCs w:val="24"/>
        </w:rPr>
        <w:t>.,</w:t>
      </w:r>
      <w:r w:rsidR="0055144A" w:rsidRPr="000C4364">
        <w:rPr>
          <w:rFonts w:ascii="Times New Roman" w:hAnsi="Times New Roman" w:cs="Times New Roman"/>
          <w:sz w:val="24"/>
          <w:szCs w:val="24"/>
        </w:rPr>
        <w:t xml:space="preserve"> 2012, 2013; </w:t>
      </w:r>
      <w:r w:rsidR="00ED1609" w:rsidRPr="000C4364">
        <w:rPr>
          <w:rFonts w:ascii="Times New Roman" w:hAnsi="Times New Roman" w:cs="Times New Roman"/>
          <w:sz w:val="24"/>
          <w:szCs w:val="24"/>
        </w:rPr>
        <w:t xml:space="preserve">Saeed </w:t>
      </w:r>
      <w:r w:rsidR="00ED1609" w:rsidRPr="000C4364">
        <w:rPr>
          <w:rFonts w:ascii="Times New Roman" w:hAnsi="Times New Roman" w:cs="Times New Roman"/>
          <w:i/>
          <w:sz w:val="24"/>
          <w:szCs w:val="24"/>
        </w:rPr>
        <w:t>et al.</w:t>
      </w:r>
      <w:r w:rsidR="00ED1609" w:rsidRPr="000C4364">
        <w:rPr>
          <w:rFonts w:ascii="Times New Roman" w:hAnsi="Times New Roman" w:cs="Times New Roman"/>
          <w:sz w:val="24"/>
          <w:szCs w:val="24"/>
        </w:rPr>
        <w:t xml:space="preserve">, 2014, </w:t>
      </w:r>
      <w:r w:rsidR="0055144A" w:rsidRPr="000C4364">
        <w:rPr>
          <w:rFonts w:ascii="Times New Roman" w:hAnsi="Times New Roman" w:cs="Times New Roman"/>
          <w:sz w:val="24"/>
          <w:szCs w:val="24"/>
        </w:rPr>
        <w:t xml:space="preserve">Ruziev and Midmore, 2015). Despite their variability, all of these proxies </w:t>
      </w:r>
      <w:r w:rsidR="00D07ED3" w:rsidRPr="000C4364">
        <w:rPr>
          <w:rFonts w:ascii="Times New Roman" w:hAnsi="Times New Roman" w:cs="Times New Roman"/>
          <w:sz w:val="24"/>
          <w:szCs w:val="24"/>
        </w:rPr>
        <w:t xml:space="preserve">have </w:t>
      </w:r>
      <w:r w:rsidR="0055144A" w:rsidRPr="000C4364">
        <w:rPr>
          <w:rFonts w:ascii="Times New Roman" w:hAnsi="Times New Roman" w:cs="Times New Roman"/>
          <w:sz w:val="24"/>
          <w:szCs w:val="24"/>
        </w:rPr>
        <w:t xml:space="preserve">one thing in common, i.e. they attempt to measure firms’ interpersonal connectedness </w:t>
      </w:r>
      <w:r w:rsidR="0055144A" w:rsidRPr="000C4364">
        <w:rPr>
          <w:rFonts w:ascii="Times New Roman" w:hAnsi="Times New Roman" w:cs="Times New Roman"/>
          <w:sz w:val="24"/>
          <w:szCs w:val="24"/>
        </w:rPr>
        <w:lastRenderedPageBreak/>
        <w:t xml:space="preserve">with public official in bureaucratic institutions. </w:t>
      </w:r>
      <w:r w:rsidR="00505A84" w:rsidRPr="000C4364">
        <w:rPr>
          <w:rFonts w:ascii="Times New Roman" w:hAnsi="Times New Roman" w:cs="Times New Roman"/>
          <w:sz w:val="24"/>
          <w:szCs w:val="24"/>
        </w:rPr>
        <w:t xml:space="preserve">We source our indicators of interpersonal connectedness from </w:t>
      </w:r>
      <w:r w:rsidR="003E00D7" w:rsidRPr="000C4364">
        <w:rPr>
          <w:rFonts w:ascii="Times New Roman" w:hAnsi="Times New Roman" w:cs="Times New Roman"/>
          <w:color w:val="000000" w:themeColor="text1"/>
          <w:sz w:val="24"/>
          <w:szCs w:val="24"/>
        </w:rPr>
        <w:t>two</w:t>
      </w:r>
      <w:r w:rsidR="00100510" w:rsidRPr="000C4364">
        <w:rPr>
          <w:rFonts w:ascii="Times New Roman" w:hAnsi="Times New Roman" w:cs="Times New Roman"/>
          <w:color w:val="000000" w:themeColor="text1"/>
          <w:sz w:val="24"/>
          <w:szCs w:val="24"/>
        </w:rPr>
        <w:t xml:space="preserve"> questions </w:t>
      </w:r>
      <w:r w:rsidR="00505A84" w:rsidRPr="000C4364">
        <w:rPr>
          <w:rFonts w:ascii="Times New Roman" w:hAnsi="Times New Roman" w:cs="Times New Roman"/>
          <w:color w:val="000000" w:themeColor="text1"/>
          <w:sz w:val="24"/>
          <w:szCs w:val="24"/>
        </w:rPr>
        <w:t xml:space="preserve">in the BEEPS: </w:t>
      </w:r>
      <w:r w:rsidR="00100510" w:rsidRPr="000C4364">
        <w:rPr>
          <w:rFonts w:ascii="Times New Roman" w:hAnsi="Times New Roman" w:cs="Times New Roman"/>
          <w:color w:val="000000" w:themeColor="text1"/>
          <w:sz w:val="24"/>
          <w:szCs w:val="24"/>
        </w:rPr>
        <w:t xml:space="preserve">the frequency of bribes and gifts (q.39) </w:t>
      </w:r>
      <w:r w:rsidR="00EB3D4F" w:rsidRPr="000C4364">
        <w:rPr>
          <w:rFonts w:ascii="Times New Roman" w:hAnsi="Times New Roman" w:cs="Times New Roman"/>
          <w:color w:val="000000" w:themeColor="text1"/>
          <w:sz w:val="24"/>
          <w:szCs w:val="24"/>
        </w:rPr>
        <w:t xml:space="preserve">and </w:t>
      </w:r>
      <w:r w:rsidR="0038191E" w:rsidRPr="000C4364">
        <w:rPr>
          <w:rFonts w:ascii="Times New Roman" w:hAnsi="Times New Roman" w:cs="Times New Roman"/>
          <w:color w:val="000000" w:themeColor="text1"/>
          <w:sz w:val="24"/>
          <w:szCs w:val="24"/>
        </w:rPr>
        <w:t xml:space="preserve">the receipt of </w:t>
      </w:r>
      <w:r w:rsidR="00100510" w:rsidRPr="000C4364">
        <w:rPr>
          <w:rFonts w:ascii="Times New Roman" w:hAnsi="Times New Roman" w:cs="Times New Roman"/>
          <w:color w:val="000000" w:themeColor="text1"/>
          <w:sz w:val="24"/>
          <w:szCs w:val="24"/>
        </w:rPr>
        <w:t>government contracts (</w:t>
      </w:r>
      <w:r w:rsidR="00EB3D4F" w:rsidRPr="000C4364">
        <w:rPr>
          <w:rFonts w:ascii="Times New Roman" w:hAnsi="Times New Roman" w:cs="Times New Roman"/>
          <w:color w:val="000000" w:themeColor="text1"/>
          <w:sz w:val="24"/>
          <w:szCs w:val="24"/>
        </w:rPr>
        <w:t>q.</w:t>
      </w:r>
      <w:r w:rsidR="00100510" w:rsidRPr="000C4364">
        <w:rPr>
          <w:rFonts w:ascii="Times New Roman" w:hAnsi="Times New Roman" w:cs="Times New Roman"/>
          <w:color w:val="000000" w:themeColor="text1"/>
          <w:sz w:val="24"/>
          <w:szCs w:val="24"/>
        </w:rPr>
        <w:t>j6a).</w:t>
      </w:r>
      <w:r w:rsidR="00505A84" w:rsidRPr="000C4364">
        <w:rPr>
          <w:rStyle w:val="EndnoteReference"/>
          <w:rFonts w:ascii="Times New Roman" w:hAnsi="Times New Roman" w:cs="Times New Roman"/>
          <w:color w:val="000000" w:themeColor="text1"/>
          <w:sz w:val="24"/>
          <w:szCs w:val="24"/>
        </w:rPr>
        <w:endnoteReference w:id="2"/>
      </w:r>
      <w:r w:rsidR="00100510" w:rsidRPr="000C4364">
        <w:rPr>
          <w:rFonts w:ascii="Times New Roman" w:hAnsi="Times New Roman" w:cs="Times New Roman"/>
          <w:color w:val="000000" w:themeColor="text1"/>
          <w:sz w:val="24"/>
          <w:szCs w:val="24"/>
        </w:rPr>
        <w:t xml:space="preserve"> </w:t>
      </w:r>
      <w:r w:rsidR="00DB0322" w:rsidRPr="000C4364">
        <w:rPr>
          <w:rFonts w:ascii="Times New Roman" w:hAnsi="Times New Roman" w:cs="Times New Roman"/>
          <w:sz w:val="24"/>
          <w:szCs w:val="24"/>
        </w:rPr>
        <w:t>Since belonging to a network may open access to other networks, it is possible to gain indirect access to formal finance when one has personal connections with government officials.</w:t>
      </w:r>
    </w:p>
    <w:p w:rsidR="00055526" w:rsidRPr="000C4364" w:rsidRDefault="001F2F1E"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 xml:space="preserve">Descriptions and summary statistics of variables </w:t>
      </w:r>
      <w:r w:rsidR="00A22534" w:rsidRPr="000C4364">
        <w:rPr>
          <w:rFonts w:ascii="Times New Roman" w:hAnsi="Times New Roman" w:cs="Times New Roman"/>
          <w:sz w:val="24"/>
          <w:szCs w:val="24"/>
        </w:rPr>
        <w:t xml:space="preserve">are </w:t>
      </w:r>
      <w:r w:rsidRPr="000C4364">
        <w:rPr>
          <w:rFonts w:ascii="Times New Roman" w:hAnsi="Times New Roman" w:cs="Times New Roman"/>
          <w:sz w:val="24"/>
          <w:szCs w:val="24"/>
        </w:rPr>
        <w:t xml:space="preserve">reported in </w:t>
      </w:r>
      <w:r w:rsidR="00FB45E5" w:rsidRPr="000C4364">
        <w:rPr>
          <w:rFonts w:ascii="Times New Roman" w:hAnsi="Times New Roman" w:cs="Times New Roman"/>
          <w:sz w:val="24"/>
          <w:szCs w:val="24"/>
        </w:rPr>
        <w:t xml:space="preserve">table </w:t>
      </w:r>
      <w:r w:rsidR="002215D7" w:rsidRPr="000C4364">
        <w:rPr>
          <w:rFonts w:ascii="Times New Roman" w:hAnsi="Times New Roman" w:cs="Times New Roman"/>
          <w:sz w:val="24"/>
          <w:szCs w:val="24"/>
        </w:rPr>
        <w:t>3</w:t>
      </w:r>
      <w:r w:rsidR="00906DD1" w:rsidRPr="000C4364">
        <w:rPr>
          <w:rFonts w:ascii="Times New Roman" w:hAnsi="Times New Roman" w:cs="Times New Roman"/>
          <w:sz w:val="24"/>
          <w:szCs w:val="24"/>
        </w:rPr>
        <w:t>, which show</w:t>
      </w:r>
      <w:r w:rsidR="004C5644" w:rsidRPr="000C4364">
        <w:rPr>
          <w:rFonts w:ascii="Times New Roman" w:hAnsi="Times New Roman" w:cs="Times New Roman"/>
          <w:sz w:val="24"/>
          <w:szCs w:val="24"/>
        </w:rPr>
        <w:t xml:space="preserve"> that</w:t>
      </w:r>
      <w:r w:rsidRPr="000C4364">
        <w:rPr>
          <w:rFonts w:ascii="Times New Roman" w:hAnsi="Times New Roman" w:cs="Times New Roman"/>
          <w:sz w:val="24"/>
          <w:szCs w:val="24"/>
        </w:rPr>
        <w:t xml:space="preserve"> </w:t>
      </w:r>
      <w:r w:rsidR="0034530F" w:rsidRPr="000C4364">
        <w:rPr>
          <w:rFonts w:ascii="Times New Roman" w:hAnsi="Times New Roman" w:cs="Times New Roman"/>
          <w:sz w:val="24"/>
          <w:szCs w:val="24"/>
        </w:rPr>
        <w:t xml:space="preserve">almost one third of SMEs held bank loans, and banks required collateral for 81 percent of these loans. </w:t>
      </w:r>
      <w:r w:rsidR="008A7790" w:rsidRPr="000C4364">
        <w:rPr>
          <w:rFonts w:ascii="Times New Roman" w:hAnsi="Times New Roman" w:cs="Times New Roman"/>
          <w:sz w:val="24"/>
          <w:szCs w:val="24"/>
        </w:rPr>
        <w:t>T</w:t>
      </w:r>
      <w:r w:rsidR="002215D7" w:rsidRPr="000C4364">
        <w:rPr>
          <w:rFonts w:ascii="Times New Roman" w:hAnsi="Times New Roman" w:cs="Times New Roman"/>
          <w:sz w:val="24"/>
          <w:szCs w:val="24"/>
        </w:rPr>
        <w:t xml:space="preserve">he average age of SMEs in the sample is approximately 14 years </w:t>
      </w:r>
      <w:r w:rsidR="00906DD1" w:rsidRPr="000C4364">
        <w:rPr>
          <w:rFonts w:ascii="Times New Roman" w:hAnsi="Times New Roman" w:cs="Times New Roman"/>
          <w:sz w:val="24"/>
          <w:szCs w:val="24"/>
        </w:rPr>
        <w:t xml:space="preserve">(standard deviation = </w:t>
      </w:r>
      <w:r w:rsidR="002215D7" w:rsidRPr="000C4364">
        <w:rPr>
          <w:rFonts w:ascii="Times New Roman" w:hAnsi="Times New Roman" w:cs="Times New Roman"/>
          <w:sz w:val="24"/>
          <w:szCs w:val="24"/>
        </w:rPr>
        <w:t>9 years</w:t>
      </w:r>
      <w:r w:rsidR="00906DD1" w:rsidRPr="000C4364">
        <w:rPr>
          <w:rFonts w:ascii="Times New Roman" w:hAnsi="Times New Roman" w:cs="Times New Roman"/>
          <w:sz w:val="24"/>
          <w:szCs w:val="24"/>
        </w:rPr>
        <w:t>)</w:t>
      </w:r>
      <w:r w:rsidR="002215D7" w:rsidRPr="000C4364">
        <w:rPr>
          <w:rFonts w:ascii="Times New Roman" w:hAnsi="Times New Roman" w:cs="Times New Roman"/>
          <w:sz w:val="24"/>
          <w:szCs w:val="24"/>
        </w:rPr>
        <w:t xml:space="preserve"> implying </w:t>
      </w:r>
      <w:r w:rsidR="00A22534" w:rsidRPr="000C4364">
        <w:rPr>
          <w:rFonts w:ascii="Times New Roman" w:hAnsi="Times New Roman" w:cs="Times New Roman"/>
          <w:sz w:val="24"/>
          <w:szCs w:val="24"/>
        </w:rPr>
        <w:t xml:space="preserve">that </w:t>
      </w:r>
      <w:r w:rsidR="002215D7" w:rsidRPr="000C4364">
        <w:rPr>
          <w:rFonts w:ascii="Times New Roman" w:hAnsi="Times New Roman" w:cs="Times New Roman"/>
          <w:sz w:val="24"/>
          <w:szCs w:val="24"/>
        </w:rPr>
        <w:t xml:space="preserve">more than two thirds of SMEs are at least 5 years old. </w:t>
      </w:r>
      <w:r w:rsidR="00B13C9A" w:rsidRPr="000C4364">
        <w:rPr>
          <w:rFonts w:ascii="Times New Roman" w:hAnsi="Times New Roman" w:cs="Times New Roman"/>
          <w:sz w:val="24"/>
          <w:szCs w:val="24"/>
        </w:rPr>
        <w:t xml:space="preserve">The average </w:t>
      </w:r>
      <w:r w:rsidR="00A22534" w:rsidRPr="000C4364">
        <w:rPr>
          <w:rFonts w:ascii="Times New Roman" w:hAnsi="Times New Roman" w:cs="Times New Roman"/>
          <w:sz w:val="24"/>
          <w:szCs w:val="24"/>
        </w:rPr>
        <w:t xml:space="preserve">SME </w:t>
      </w:r>
      <w:r w:rsidR="00B13C9A" w:rsidRPr="000C4364">
        <w:rPr>
          <w:rFonts w:ascii="Times New Roman" w:hAnsi="Times New Roman" w:cs="Times New Roman"/>
          <w:sz w:val="24"/>
          <w:szCs w:val="24"/>
        </w:rPr>
        <w:t xml:space="preserve">has a </w:t>
      </w:r>
      <w:r w:rsidR="00A22534" w:rsidRPr="000C4364">
        <w:rPr>
          <w:rFonts w:ascii="Times New Roman" w:hAnsi="Times New Roman" w:cs="Times New Roman"/>
          <w:sz w:val="24"/>
          <w:szCs w:val="24"/>
        </w:rPr>
        <w:t>relatively experienced manager</w:t>
      </w:r>
      <w:r w:rsidR="00B13C9A" w:rsidRPr="000C4364">
        <w:rPr>
          <w:rFonts w:ascii="Times New Roman" w:hAnsi="Times New Roman" w:cs="Times New Roman"/>
          <w:sz w:val="24"/>
          <w:szCs w:val="24"/>
        </w:rPr>
        <w:t xml:space="preserve"> (16 </w:t>
      </w:r>
      <w:r w:rsidR="002215D7" w:rsidRPr="000C4364">
        <w:rPr>
          <w:rFonts w:ascii="Times New Roman" w:hAnsi="Times New Roman" w:cs="Times New Roman"/>
          <w:sz w:val="24"/>
          <w:szCs w:val="24"/>
        </w:rPr>
        <w:t>years</w:t>
      </w:r>
      <w:r w:rsidR="00B13C9A" w:rsidRPr="000C4364">
        <w:rPr>
          <w:rFonts w:ascii="Times New Roman" w:hAnsi="Times New Roman" w:cs="Times New Roman"/>
          <w:sz w:val="24"/>
          <w:szCs w:val="24"/>
        </w:rPr>
        <w:t>)</w:t>
      </w:r>
      <w:r w:rsidR="002215D7" w:rsidRPr="000C4364">
        <w:rPr>
          <w:rFonts w:ascii="Times New Roman" w:hAnsi="Times New Roman" w:cs="Times New Roman"/>
          <w:sz w:val="24"/>
          <w:szCs w:val="24"/>
        </w:rPr>
        <w:t xml:space="preserve">. </w:t>
      </w:r>
      <w:r w:rsidR="00A22534" w:rsidRPr="000C4364">
        <w:rPr>
          <w:rFonts w:ascii="Times New Roman" w:hAnsi="Times New Roman" w:cs="Times New Roman"/>
          <w:sz w:val="24"/>
          <w:szCs w:val="24"/>
        </w:rPr>
        <w:t>Thirty-one p</w:t>
      </w:r>
      <w:r w:rsidR="00FB45E5" w:rsidRPr="000C4364">
        <w:rPr>
          <w:rFonts w:ascii="Times New Roman" w:hAnsi="Times New Roman" w:cs="Times New Roman"/>
          <w:sz w:val="24"/>
          <w:szCs w:val="24"/>
        </w:rPr>
        <w:t>ercent</w:t>
      </w:r>
      <w:r w:rsidR="005C35D3" w:rsidRPr="000C4364">
        <w:rPr>
          <w:rFonts w:ascii="Times New Roman" w:hAnsi="Times New Roman" w:cs="Times New Roman"/>
          <w:sz w:val="24"/>
          <w:szCs w:val="24"/>
        </w:rPr>
        <w:t xml:space="preserve"> </w:t>
      </w:r>
      <w:r w:rsidR="00A22534" w:rsidRPr="000C4364">
        <w:rPr>
          <w:rFonts w:ascii="Times New Roman" w:hAnsi="Times New Roman" w:cs="Times New Roman"/>
          <w:sz w:val="24"/>
          <w:szCs w:val="24"/>
        </w:rPr>
        <w:t xml:space="preserve">of enterprises </w:t>
      </w:r>
      <w:r w:rsidR="005C35D3" w:rsidRPr="000C4364">
        <w:rPr>
          <w:rFonts w:ascii="Times New Roman" w:hAnsi="Times New Roman" w:cs="Times New Roman"/>
          <w:sz w:val="24"/>
          <w:szCs w:val="24"/>
        </w:rPr>
        <w:t>claim</w:t>
      </w:r>
      <w:r w:rsidR="00CD3381" w:rsidRPr="000C4364">
        <w:rPr>
          <w:rFonts w:ascii="Times New Roman" w:hAnsi="Times New Roman" w:cs="Times New Roman"/>
          <w:sz w:val="24"/>
          <w:szCs w:val="24"/>
        </w:rPr>
        <w:t>ed</w:t>
      </w:r>
      <w:r w:rsidR="005C35D3" w:rsidRPr="000C4364">
        <w:rPr>
          <w:rFonts w:ascii="Times New Roman" w:hAnsi="Times New Roman" w:cs="Times New Roman"/>
          <w:sz w:val="24"/>
          <w:szCs w:val="24"/>
        </w:rPr>
        <w:t xml:space="preserve"> to have offered bribes an</w:t>
      </w:r>
      <w:r w:rsidR="00B13C9A" w:rsidRPr="000C4364">
        <w:rPr>
          <w:rFonts w:ascii="Times New Roman" w:hAnsi="Times New Roman" w:cs="Times New Roman"/>
          <w:sz w:val="24"/>
          <w:szCs w:val="24"/>
        </w:rPr>
        <w:t>d</w:t>
      </w:r>
      <w:r w:rsidR="005C35D3" w:rsidRPr="000C4364">
        <w:rPr>
          <w:rFonts w:ascii="Times New Roman" w:hAnsi="Times New Roman" w:cs="Times New Roman"/>
          <w:sz w:val="24"/>
          <w:szCs w:val="24"/>
        </w:rPr>
        <w:t xml:space="preserve"> gifts to pub</w:t>
      </w:r>
      <w:r w:rsidR="000B47B7" w:rsidRPr="000C4364">
        <w:rPr>
          <w:rFonts w:ascii="Times New Roman" w:hAnsi="Times New Roman" w:cs="Times New Roman"/>
          <w:sz w:val="24"/>
          <w:szCs w:val="24"/>
        </w:rPr>
        <w:t>lic official</w:t>
      </w:r>
      <w:r w:rsidR="00410C46" w:rsidRPr="000C4364">
        <w:rPr>
          <w:rFonts w:ascii="Times New Roman" w:hAnsi="Times New Roman" w:cs="Times New Roman"/>
          <w:sz w:val="24"/>
          <w:szCs w:val="24"/>
        </w:rPr>
        <w:t>s</w:t>
      </w:r>
      <w:r w:rsidR="004F178C" w:rsidRPr="000C4364">
        <w:rPr>
          <w:rFonts w:ascii="Times New Roman" w:hAnsi="Times New Roman" w:cs="Times New Roman"/>
          <w:sz w:val="24"/>
          <w:szCs w:val="24"/>
        </w:rPr>
        <w:t xml:space="preserve"> </w:t>
      </w:r>
      <w:r w:rsidR="002D5B01" w:rsidRPr="000C4364">
        <w:rPr>
          <w:rFonts w:ascii="Times New Roman" w:hAnsi="Times New Roman" w:cs="Times New Roman"/>
          <w:sz w:val="24"/>
          <w:szCs w:val="24"/>
        </w:rPr>
        <w:t xml:space="preserve">at least sometimes </w:t>
      </w:r>
      <w:r w:rsidR="004F178C" w:rsidRPr="000C4364">
        <w:rPr>
          <w:rFonts w:ascii="Times New Roman" w:hAnsi="Times New Roman" w:cs="Times New Roman"/>
          <w:sz w:val="24"/>
          <w:szCs w:val="24"/>
        </w:rPr>
        <w:t>and</w:t>
      </w:r>
      <w:r w:rsidR="005C35D3" w:rsidRPr="000C4364">
        <w:rPr>
          <w:rFonts w:ascii="Times New Roman" w:hAnsi="Times New Roman" w:cs="Times New Roman"/>
          <w:sz w:val="24"/>
          <w:szCs w:val="24"/>
        </w:rPr>
        <w:t xml:space="preserve"> </w:t>
      </w:r>
      <w:r w:rsidR="00CD3381" w:rsidRPr="000C4364">
        <w:rPr>
          <w:rFonts w:ascii="Times New Roman" w:hAnsi="Times New Roman" w:cs="Times New Roman"/>
          <w:sz w:val="24"/>
          <w:szCs w:val="24"/>
        </w:rPr>
        <w:t xml:space="preserve">20 percent </w:t>
      </w:r>
      <w:r w:rsidR="00C6322A" w:rsidRPr="000C4364">
        <w:rPr>
          <w:rFonts w:ascii="Times New Roman" w:hAnsi="Times New Roman" w:cs="Times New Roman"/>
          <w:sz w:val="24"/>
          <w:szCs w:val="24"/>
        </w:rPr>
        <w:t>h</w:t>
      </w:r>
      <w:r w:rsidR="00307F4A" w:rsidRPr="000C4364">
        <w:rPr>
          <w:rFonts w:ascii="Times New Roman" w:hAnsi="Times New Roman" w:cs="Times New Roman"/>
          <w:sz w:val="24"/>
          <w:szCs w:val="24"/>
        </w:rPr>
        <w:t>el</w:t>
      </w:r>
      <w:r w:rsidR="00C6322A" w:rsidRPr="000C4364">
        <w:rPr>
          <w:rFonts w:ascii="Times New Roman" w:hAnsi="Times New Roman" w:cs="Times New Roman"/>
          <w:sz w:val="24"/>
          <w:szCs w:val="24"/>
        </w:rPr>
        <w:t>d</w:t>
      </w:r>
      <w:r w:rsidR="00CD3381" w:rsidRPr="000C4364">
        <w:rPr>
          <w:rFonts w:ascii="Times New Roman" w:hAnsi="Times New Roman" w:cs="Times New Roman"/>
          <w:sz w:val="24"/>
          <w:szCs w:val="24"/>
        </w:rPr>
        <w:t xml:space="preserve"> </w:t>
      </w:r>
      <w:r w:rsidR="00A0784E" w:rsidRPr="000C4364">
        <w:rPr>
          <w:rFonts w:ascii="Times New Roman" w:hAnsi="Times New Roman" w:cs="Times New Roman"/>
          <w:sz w:val="24"/>
          <w:szCs w:val="24"/>
        </w:rPr>
        <w:t>government contracts.</w:t>
      </w:r>
      <w:r w:rsidR="00A22534" w:rsidRPr="000C4364">
        <w:rPr>
          <w:rFonts w:ascii="Times New Roman" w:hAnsi="Times New Roman" w:cs="Times New Roman"/>
          <w:sz w:val="24"/>
          <w:szCs w:val="24"/>
        </w:rPr>
        <w:t xml:space="preserve"> </w:t>
      </w:r>
    </w:p>
    <w:p w:rsidR="00A0784E" w:rsidRPr="000C4364" w:rsidRDefault="00A0784E" w:rsidP="000C4364">
      <w:pPr>
        <w:spacing w:after="0" w:line="480" w:lineRule="auto"/>
        <w:jc w:val="center"/>
        <w:rPr>
          <w:rFonts w:ascii="Times New Roman" w:hAnsi="Times New Roman" w:cs="Times New Roman"/>
          <w:i/>
          <w:sz w:val="24"/>
          <w:szCs w:val="24"/>
        </w:rPr>
      </w:pPr>
      <w:r w:rsidRPr="000C4364">
        <w:rPr>
          <w:rFonts w:ascii="Times New Roman" w:hAnsi="Times New Roman" w:cs="Times New Roman"/>
          <w:i/>
          <w:sz w:val="24"/>
          <w:szCs w:val="24"/>
        </w:rPr>
        <w:t>&lt;Table 3 &gt;</w:t>
      </w:r>
    </w:p>
    <w:p w:rsidR="00B13C9A" w:rsidRPr="000C4364" w:rsidRDefault="00A0784E" w:rsidP="000C4364">
      <w:p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ab/>
      </w:r>
      <w:r w:rsidR="00147212" w:rsidRPr="000C4364">
        <w:rPr>
          <w:rFonts w:ascii="Times New Roman" w:hAnsi="Times New Roman" w:cs="Times New Roman"/>
          <w:sz w:val="24"/>
          <w:szCs w:val="24"/>
        </w:rPr>
        <w:t>Additional</w:t>
      </w:r>
      <w:r w:rsidRPr="000C4364">
        <w:rPr>
          <w:rFonts w:ascii="Times New Roman" w:hAnsi="Times New Roman" w:cs="Times New Roman"/>
          <w:sz w:val="24"/>
          <w:szCs w:val="24"/>
        </w:rPr>
        <w:t xml:space="preserve"> information about some of the </w:t>
      </w:r>
      <w:r w:rsidR="008A7790" w:rsidRPr="000C4364">
        <w:rPr>
          <w:rFonts w:ascii="Times New Roman" w:hAnsi="Times New Roman" w:cs="Times New Roman"/>
          <w:sz w:val="24"/>
          <w:szCs w:val="24"/>
        </w:rPr>
        <w:t xml:space="preserve">key </w:t>
      </w:r>
      <w:r w:rsidRPr="000C4364">
        <w:rPr>
          <w:rFonts w:ascii="Times New Roman" w:hAnsi="Times New Roman" w:cs="Times New Roman"/>
          <w:sz w:val="24"/>
          <w:szCs w:val="24"/>
        </w:rPr>
        <w:t xml:space="preserve">variables is presented in </w:t>
      </w:r>
      <w:r w:rsidR="0034530F" w:rsidRPr="000C4364">
        <w:rPr>
          <w:rFonts w:ascii="Times New Roman" w:hAnsi="Times New Roman" w:cs="Times New Roman"/>
          <w:sz w:val="24"/>
          <w:szCs w:val="24"/>
        </w:rPr>
        <w:t xml:space="preserve">Panels A and B of </w:t>
      </w:r>
      <w:r w:rsidR="00FB45E5" w:rsidRPr="000C4364">
        <w:rPr>
          <w:rFonts w:ascii="Times New Roman" w:hAnsi="Times New Roman" w:cs="Times New Roman"/>
          <w:sz w:val="24"/>
          <w:szCs w:val="24"/>
        </w:rPr>
        <w:t>t</w:t>
      </w:r>
      <w:r w:rsidR="0034530F" w:rsidRPr="000C4364">
        <w:rPr>
          <w:rFonts w:ascii="Times New Roman" w:hAnsi="Times New Roman" w:cs="Times New Roman"/>
          <w:sz w:val="24"/>
          <w:szCs w:val="24"/>
        </w:rPr>
        <w:t>able 4</w:t>
      </w:r>
      <w:r w:rsidRPr="000C4364">
        <w:rPr>
          <w:rFonts w:ascii="Times New Roman" w:hAnsi="Times New Roman" w:cs="Times New Roman"/>
          <w:sz w:val="24"/>
          <w:szCs w:val="24"/>
        </w:rPr>
        <w:t>. Table 4 breaks down the data on bank loans, bribes and gifts, and government contracts across five geographic regions:</w:t>
      </w:r>
    </w:p>
    <w:p w:rsidR="0083742B" w:rsidRPr="000C4364" w:rsidRDefault="00A0784E" w:rsidP="000C4364">
      <w:pPr>
        <w:pStyle w:val="ListParagraph"/>
        <w:numPr>
          <w:ilvl w:val="0"/>
          <w:numId w:val="6"/>
        </w:num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 xml:space="preserve">11 EU member </w:t>
      </w:r>
      <w:r w:rsidR="007747BD" w:rsidRPr="000C4364">
        <w:rPr>
          <w:rFonts w:ascii="Times New Roman" w:hAnsi="Times New Roman" w:cs="Times New Roman"/>
          <w:sz w:val="24"/>
          <w:szCs w:val="24"/>
        </w:rPr>
        <w:t xml:space="preserve">EE </w:t>
      </w:r>
      <w:r w:rsidRPr="000C4364">
        <w:rPr>
          <w:rFonts w:ascii="Times New Roman" w:hAnsi="Times New Roman" w:cs="Times New Roman"/>
          <w:sz w:val="24"/>
          <w:szCs w:val="24"/>
        </w:rPr>
        <w:t>count</w:t>
      </w:r>
      <w:r w:rsidR="009A25D9" w:rsidRPr="000C4364">
        <w:rPr>
          <w:rFonts w:ascii="Times New Roman" w:hAnsi="Times New Roman" w:cs="Times New Roman"/>
          <w:sz w:val="24"/>
          <w:szCs w:val="24"/>
        </w:rPr>
        <w:t>r</w:t>
      </w:r>
      <w:r w:rsidRPr="000C4364">
        <w:rPr>
          <w:rFonts w:ascii="Times New Roman" w:hAnsi="Times New Roman" w:cs="Times New Roman"/>
          <w:sz w:val="24"/>
          <w:szCs w:val="24"/>
        </w:rPr>
        <w:t>ies</w:t>
      </w:r>
      <w:r w:rsidR="00BD110E" w:rsidRPr="000C4364">
        <w:rPr>
          <w:rFonts w:ascii="Times New Roman" w:hAnsi="Times New Roman" w:cs="Times New Roman"/>
          <w:sz w:val="24"/>
          <w:szCs w:val="24"/>
        </w:rPr>
        <w:t xml:space="preserve"> (EU-EE</w:t>
      </w:r>
      <w:r w:rsidR="00B13C9A" w:rsidRPr="000C4364">
        <w:rPr>
          <w:rFonts w:ascii="Times New Roman" w:hAnsi="Times New Roman" w:cs="Times New Roman"/>
          <w:sz w:val="24"/>
          <w:szCs w:val="24"/>
        </w:rPr>
        <w:t>)</w:t>
      </w:r>
      <w:r w:rsidR="00CD3381" w:rsidRPr="000C4364">
        <w:rPr>
          <w:rFonts w:ascii="Times New Roman" w:hAnsi="Times New Roman" w:cs="Times New Roman"/>
          <w:sz w:val="24"/>
          <w:szCs w:val="24"/>
        </w:rPr>
        <w:t>,</w:t>
      </w:r>
      <w:r w:rsidR="0083742B" w:rsidRPr="000C4364">
        <w:rPr>
          <w:rStyle w:val="EndnoteReference"/>
          <w:rFonts w:ascii="Times New Roman" w:hAnsi="Times New Roman" w:cs="Times New Roman"/>
          <w:sz w:val="24"/>
          <w:szCs w:val="24"/>
        </w:rPr>
        <w:endnoteReference w:id="3"/>
      </w:r>
    </w:p>
    <w:p w:rsidR="0083742B" w:rsidRPr="000C4364" w:rsidRDefault="0083742B" w:rsidP="000C4364">
      <w:pPr>
        <w:pStyle w:val="ListParagraph"/>
        <w:numPr>
          <w:ilvl w:val="0"/>
          <w:numId w:val="6"/>
        </w:num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6 non-EU countries of EE (non-EU-EE),</w:t>
      </w:r>
      <w:r w:rsidRPr="000C4364">
        <w:rPr>
          <w:rStyle w:val="EndnoteReference"/>
          <w:rFonts w:ascii="Times New Roman" w:hAnsi="Times New Roman" w:cs="Times New Roman"/>
          <w:sz w:val="24"/>
          <w:szCs w:val="24"/>
        </w:rPr>
        <w:endnoteReference w:id="4"/>
      </w:r>
    </w:p>
    <w:p w:rsidR="0083742B" w:rsidRPr="000C4364" w:rsidRDefault="0083742B" w:rsidP="000C4364">
      <w:pPr>
        <w:pStyle w:val="ListParagraph"/>
        <w:numPr>
          <w:ilvl w:val="0"/>
          <w:numId w:val="6"/>
        </w:num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3 countries of the Caucasus region,</w:t>
      </w:r>
      <w:r w:rsidRPr="000C4364">
        <w:rPr>
          <w:rStyle w:val="EndnoteReference"/>
          <w:rFonts w:ascii="Times New Roman" w:hAnsi="Times New Roman" w:cs="Times New Roman"/>
          <w:sz w:val="24"/>
          <w:szCs w:val="24"/>
        </w:rPr>
        <w:endnoteReference w:id="5"/>
      </w:r>
    </w:p>
    <w:p w:rsidR="0083742B" w:rsidRPr="000C4364" w:rsidRDefault="0083742B" w:rsidP="000C4364">
      <w:pPr>
        <w:pStyle w:val="ListParagraph"/>
        <w:numPr>
          <w:ilvl w:val="0"/>
          <w:numId w:val="6"/>
        </w:num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4 countries from Central Asia</w:t>
      </w:r>
      <w:r w:rsidRPr="000C4364">
        <w:rPr>
          <w:rStyle w:val="EndnoteReference"/>
          <w:rFonts w:ascii="Times New Roman" w:hAnsi="Times New Roman" w:cs="Times New Roman"/>
          <w:sz w:val="24"/>
          <w:szCs w:val="24"/>
        </w:rPr>
        <w:endnoteReference w:id="6"/>
      </w:r>
      <w:r w:rsidRPr="000C4364">
        <w:rPr>
          <w:rFonts w:ascii="Times New Roman" w:hAnsi="Times New Roman" w:cs="Times New Roman"/>
          <w:sz w:val="24"/>
          <w:szCs w:val="24"/>
        </w:rPr>
        <w:t xml:space="preserve"> and</w:t>
      </w:r>
    </w:p>
    <w:p w:rsidR="0083742B" w:rsidRPr="000C4364" w:rsidRDefault="00753BB1" w:rsidP="000C4364">
      <w:pPr>
        <w:pStyle w:val="ListParagraph"/>
        <w:numPr>
          <w:ilvl w:val="0"/>
          <w:numId w:val="6"/>
        </w:num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the</w:t>
      </w:r>
      <w:proofErr w:type="gramEnd"/>
      <w:r w:rsidRPr="000C4364">
        <w:rPr>
          <w:rFonts w:ascii="Times New Roman" w:hAnsi="Times New Roman" w:cs="Times New Roman"/>
          <w:sz w:val="24"/>
          <w:szCs w:val="24"/>
        </w:rPr>
        <w:t xml:space="preserve"> remaining </w:t>
      </w:r>
      <w:r w:rsidR="00483B0A" w:rsidRPr="000C4364">
        <w:rPr>
          <w:rFonts w:ascii="Times New Roman" w:hAnsi="Times New Roman" w:cs="Times New Roman"/>
          <w:sz w:val="24"/>
          <w:szCs w:val="24"/>
        </w:rPr>
        <w:t xml:space="preserve">FSU </w:t>
      </w:r>
      <w:r w:rsidRPr="000C4364">
        <w:rPr>
          <w:rFonts w:ascii="Times New Roman" w:hAnsi="Times New Roman" w:cs="Times New Roman"/>
          <w:sz w:val="24"/>
          <w:szCs w:val="24"/>
        </w:rPr>
        <w:t>countries</w:t>
      </w:r>
      <w:r w:rsidR="005E7323" w:rsidRPr="000C4364">
        <w:rPr>
          <w:rFonts w:ascii="Times New Roman" w:hAnsi="Times New Roman" w:cs="Times New Roman"/>
          <w:sz w:val="24"/>
          <w:szCs w:val="24"/>
        </w:rPr>
        <w:t xml:space="preserve"> </w:t>
      </w:r>
      <w:r w:rsidR="00906DD1" w:rsidRPr="000C4364">
        <w:rPr>
          <w:rFonts w:ascii="Times New Roman" w:hAnsi="Times New Roman" w:cs="Times New Roman"/>
          <w:sz w:val="24"/>
          <w:szCs w:val="24"/>
        </w:rPr>
        <w:t>(</w:t>
      </w:r>
      <w:r w:rsidRPr="000C4364">
        <w:rPr>
          <w:rFonts w:ascii="Times New Roman" w:hAnsi="Times New Roman" w:cs="Times New Roman"/>
          <w:sz w:val="24"/>
          <w:szCs w:val="24"/>
        </w:rPr>
        <w:t>Belarus, Russia, Ukraine and Moldova</w:t>
      </w:r>
      <w:r w:rsidR="00906DD1" w:rsidRPr="000C4364">
        <w:rPr>
          <w:rFonts w:ascii="Times New Roman" w:hAnsi="Times New Roman" w:cs="Times New Roman"/>
          <w:sz w:val="24"/>
          <w:szCs w:val="24"/>
        </w:rPr>
        <w:t xml:space="preserve">: i.e. </w:t>
      </w:r>
      <w:r w:rsidR="0083742B" w:rsidRPr="000C4364">
        <w:rPr>
          <w:rFonts w:ascii="Times New Roman" w:hAnsi="Times New Roman" w:cs="Times New Roman"/>
          <w:sz w:val="24"/>
          <w:szCs w:val="24"/>
        </w:rPr>
        <w:t>BRUM</w:t>
      </w:r>
      <w:r w:rsidRPr="000C4364">
        <w:rPr>
          <w:rFonts w:ascii="Times New Roman" w:hAnsi="Times New Roman" w:cs="Times New Roman"/>
          <w:sz w:val="24"/>
          <w:szCs w:val="24"/>
        </w:rPr>
        <w:t>)</w:t>
      </w:r>
      <w:r w:rsidR="0083742B" w:rsidRPr="000C4364">
        <w:rPr>
          <w:rFonts w:ascii="Times New Roman" w:hAnsi="Times New Roman" w:cs="Times New Roman"/>
          <w:sz w:val="24"/>
          <w:szCs w:val="24"/>
        </w:rPr>
        <w:t>.</w:t>
      </w:r>
      <w:r w:rsidR="0083742B" w:rsidRPr="000C4364">
        <w:rPr>
          <w:rStyle w:val="EndnoteReference"/>
          <w:rFonts w:ascii="Times New Roman" w:hAnsi="Times New Roman" w:cs="Times New Roman"/>
          <w:sz w:val="24"/>
          <w:szCs w:val="24"/>
        </w:rPr>
        <w:endnoteReference w:id="7"/>
      </w:r>
    </w:p>
    <w:p w:rsidR="0083742B" w:rsidRPr="000C4364" w:rsidRDefault="00B22361"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 xml:space="preserve">As can be seen from Panel </w:t>
      </w:r>
      <w:proofErr w:type="gramStart"/>
      <w:r w:rsidRPr="000C4364">
        <w:rPr>
          <w:rFonts w:ascii="Times New Roman" w:hAnsi="Times New Roman" w:cs="Times New Roman"/>
          <w:sz w:val="24"/>
          <w:szCs w:val="24"/>
        </w:rPr>
        <w:t>A</w:t>
      </w:r>
      <w:proofErr w:type="gramEnd"/>
      <w:r w:rsidR="00DC4472" w:rsidRPr="000C4364">
        <w:rPr>
          <w:rFonts w:ascii="Times New Roman" w:hAnsi="Times New Roman" w:cs="Times New Roman"/>
          <w:sz w:val="24"/>
          <w:szCs w:val="24"/>
        </w:rPr>
        <w:t xml:space="preserve"> in</w:t>
      </w:r>
      <w:r w:rsidRPr="000C4364">
        <w:rPr>
          <w:rFonts w:ascii="Times New Roman" w:hAnsi="Times New Roman" w:cs="Times New Roman"/>
          <w:sz w:val="24"/>
          <w:szCs w:val="24"/>
        </w:rPr>
        <w:t xml:space="preserve"> table 4, e</w:t>
      </w:r>
      <w:r w:rsidR="0083742B" w:rsidRPr="000C4364">
        <w:rPr>
          <w:rFonts w:ascii="Times New Roman" w:hAnsi="Times New Roman" w:cs="Times New Roman"/>
          <w:sz w:val="24"/>
          <w:szCs w:val="24"/>
        </w:rPr>
        <w:t xml:space="preserve">nterprise access to bank loans varies across these regions: in general, SMEs have greater access to bank loans in the EE region which boasts more developed financial sectors and higher per capita income levels. Part of this can be explained by the strong presence of western banks in the EE region where the share of </w:t>
      </w:r>
      <w:r w:rsidR="0083742B" w:rsidRPr="000C4364">
        <w:rPr>
          <w:rFonts w:ascii="Times New Roman" w:hAnsi="Times New Roman" w:cs="Times New Roman"/>
          <w:sz w:val="24"/>
          <w:szCs w:val="24"/>
        </w:rPr>
        <w:lastRenderedPageBreak/>
        <w:t>foreign-owned bank assets in to</w:t>
      </w:r>
      <w:r w:rsidR="000C662B" w:rsidRPr="000C4364">
        <w:rPr>
          <w:rFonts w:ascii="Times New Roman" w:hAnsi="Times New Roman" w:cs="Times New Roman"/>
          <w:sz w:val="24"/>
          <w:szCs w:val="24"/>
        </w:rPr>
        <w:t>tal banking sector assets range</w:t>
      </w:r>
      <w:r w:rsidR="0083742B" w:rsidRPr="000C4364">
        <w:rPr>
          <w:rFonts w:ascii="Times New Roman" w:hAnsi="Times New Roman" w:cs="Times New Roman"/>
          <w:sz w:val="24"/>
          <w:szCs w:val="24"/>
        </w:rPr>
        <w:t xml:space="preserve"> from 60 to 90 percent across the region (Bonin </w:t>
      </w:r>
      <w:r w:rsidR="00CF5E5E" w:rsidRPr="000C4364">
        <w:rPr>
          <w:rFonts w:ascii="Times New Roman" w:hAnsi="Times New Roman" w:cs="Times New Roman"/>
          <w:i/>
          <w:sz w:val="24"/>
          <w:szCs w:val="24"/>
        </w:rPr>
        <w:t>et al</w:t>
      </w:r>
      <w:r w:rsidR="0083742B" w:rsidRPr="000C4364">
        <w:rPr>
          <w:rFonts w:ascii="Times New Roman" w:hAnsi="Times New Roman" w:cs="Times New Roman"/>
          <w:i/>
          <w:sz w:val="24"/>
          <w:szCs w:val="24"/>
        </w:rPr>
        <w:t>.</w:t>
      </w:r>
      <w:r w:rsidR="00A865A7" w:rsidRPr="000C4364">
        <w:rPr>
          <w:rFonts w:ascii="Times New Roman" w:hAnsi="Times New Roman" w:cs="Times New Roman"/>
          <w:sz w:val="24"/>
          <w:szCs w:val="24"/>
        </w:rPr>
        <w:t>, 2015</w:t>
      </w:r>
      <w:r w:rsidR="0028270A" w:rsidRPr="000C4364">
        <w:rPr>
          <w:rFonts w:ascii="Times New Roman" w:hAnsi="Times New Roman" w:cs="Times New Roman"/>
          <w:sz w:val="24"/>
          <w:szCs w:val="24"/>
        </w:rPr>
        <w:t>; Weller, 2000</w:t>
      </w:r>
      <w:r w:rsidR="0083742B" w:rsidRPr="000C4364">
        <w:rPr>
          <w:rFonts w:ascii="Times New Roman" w:hAnsi="Times New Roman" w:cs="Times New Roman"/>
          <w:sz w:val="24"/>
          <w:szCs w:val="24"/>
        </w:rPr>
        <w:t xml:space="preserve">). </w:t>
      </w:r>
      <w:r w:rsidR="000C662B" w:rsidRPr="000C4364">
        <w:rPr>
          <w:rFonts w:ascii="Times New Roman" w:hAnsi="Times New Roman" w:cs="Times New Roman"/>
          <w:sz w:val="24"/>
          <w:szCs w:val="24"/>
        </w:rPr>
        <w:t>F</w:t>
      </w:r>
      <w:r w:rsidR="0083742B" w:rsidRPr="000C4364">
        <w:rPr>
          <w:rFonts w:ascii="Times New Roman" w:hAnsi="Times New Roman" w:cs="Times New Roman"/>
          <w:sz w:val="24"/>
          <w:szCs w:val="24"/>
        </w:rPr>
        <w:t>oreign banks do not have significant presence in the CIS countries (Ruziev and Dow, 2014)</w:t>
      </w:r>
      <w:r w:rsidR="000C662B" w:rsidRPr="000C4364">
        <w:rPr>
          <w:rFonts w:ascii="Times New Roman" w:hAnsi="Times New Roman" w:cs="Times New Roman"/>
          <w:sz w:val="24"/>
          <w:szCs w:val="24"/>
        </w:rPr>
        <w:t xml:space="preserve"> with, </w:t>
      </w:r>
      <w:r w:rsidR="0083742B" w:rsidRPr="000C4364">
        <w:rPr>
          <w:rFonts w:ascii="Times New Roman" w:hAnsi="Times New Roman" w:cs="Times New Roman"/>
          <w:sz w:val="24"/>
          <w:szCs w:val="24"/>
        </w:rPr>
        <w:t xml:space="preserve">for example, foreign banks in Russia </w:t>
      </w:r>
      <w:r w:rsidR="000C662B" w:rsidRPr="000C4364">
        <w:rPr>
          <w:rFonts w:ascii="Times New Roman" w:hAnsi="Times New Roman" w:cs="Times New Roman"/>
          <w:sz w:val="24"/>
          <w:szCs w:val="24"/>
        </w:rPr>
        <w:t>accounting</w:t>
      </w:r>
      <w:r w:rsidR="0083742B" w:rsidRPr="000C4364">
        <w:rPr>
          <w:rFonts w:ascii="Times New Roman" w:hAnsi="Times New Roman" w:cs="Times New Roman"/>
          <w:sz w:val="24"/>
          <w:szCs w:val="24"/>
        </w:rPr>
        <w:t xml:space="preserve"> for less than 20 percent of banking sector assets in 2010 (IMF, 2011). A strong foreign bank presence can contribute to a deepening of the financial sector, and this explains the relatively high share of foreign-currency deno</w:t>
      </w:r>
      <w:r w:rsidR="000C662B" w:rsidRPr="000C4364">
        <w:rPr>
          <w:rFonts w:ascii="Times New Roman" w:hAnsi="Times New Roman" w:cs="Times New Roman"/>
          <w:sz w:val="24"/>
          <w:szCs w:val="24"/>
        </w:rPr>
        <w:t>minated loans in the EE region.</w:t>
      </w:r>
    </w:p>
    <w:p w:rsidR="0083742B" w:rsidRPr="000C4364" w:rsidRDefault="0083742B" w:rsidP="000C4364">
      <w:pPr>
        <w:spacing w:after="0" w:line="480" w:lineRule="auto"/>
        <w:ind w:firstLine="720"/>
        <w:jc w:val="both"/>
        <w:rPr>
          <w:rFonts w:ascii="Times New Roman" w:hAnsi="Times New Roman" w:cs="Times New Roman"/>
          <w:sz w:val="24"/>
          <w:szCs w:val="24"/>
        </w:rPr>
      </w:pPr>
      <w:r w:rsidRPr="000C4364">
        <w:rPr>
          <w:rFonts w:ascii="Times New Roman" w:hAnsi="Times New Roman" w:cs="Times New Roman"/>
          <w:sz w:val="24"/>
          <w:szCs w:val="24"/>
        </w:rPr>
        <w:t xml:space="preserve">The practice of offering bribes and gifts seems to be more prevalent in the BRUM and Central Asia regions than in the </w:t>
      </w:r>
      <w:r w:rsidR="008116FB" w:rsidRPr="000C4364">
        <w:rPr>
          <w:rFonts w:ascii="Times New Roman" w:hAnsi="Times New Roman" w:cs="Times New Roman"/>
          <w:sz w:val="24"/>
          <w:szCs w:val="24"/>
        </w:rPr>
        <w:t>non-EU-EE</w:t>
      </w:r>
      <w:r w:rsidRPr="000C4364">
        <w:rPr>
          <w:rFonts w:ascii="Times New Roman" w:hAnsi="Times New Roman" w:cs="Times New Roman"/>
          <w:sz w:val="24"/>
          <w:szCs w:val="24"/>
        </w:rPr>
        <w:t>, EU-EE and Caucasus regions. Government contracts seem to be more prevalent in the BRUM and Central Asia</w:t>
      </w:r>
      <w:r w:rsidR="008116FB" w:rsidRPr="000C4364">
        <w:rPr>
          <w:rFonts w:ascii="Times New Roman" w:hAnsi="Times New Roman" w:cs="Times New Roman"/>
          <w:sz w:val="24"/>
          <w:szCs w:val="24"/>
        </w:rPr>
        <w:t xml:space="preserve"> regions, followed by the EU-EE, Caucasus</w:t>
      </w:r>
      <w:r w:rsidRPr="000C4364">
        <w:rPr>
          <w:rFonts w:ascii="Times New Roman" w:hAnsi="Times New Roman" w:cs="Times New Roman"/>
          <w:sz w:val="24"/>
          <w:szCs w:val="24"/>
        </w:rPr>
        <w:t xml:space="preserve"> and non-EU-EE regions. Although EU-EE countries are assigned higher scores in transition indicators of institutional and market reforms by international financial institutions (EBRD, 2011), around 20 percent of enterprises from this region reported offering bribes and gifts to government officials, which reflects the complex and time-consuming nature of building impersonal and market-facilitating bureaucratic organisations.</w:t>
      </w:r>
    </w:p>
    <w:p w:rsidR="002B31F3" w:rsidRPr="000C4364" w:rsidRDefault="0083742B"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DC4472" w:rsidRPr="000C4364">
        <w:rPr>
          <w:rFonts w:ascii="Times New Roman" w:hAnsi="Times New Roman" w:cs="Times New Roman"/>
          <w:sz w:val="24"/>
          <w:szCs w:val="24"/>
        </w:rPr>
        <w:t>Panel B in table 4</w:t>
      </w:r>
      <w:r w:rsidRPr="000C4364">
        <w:rPr>
          <w:rFonts w:ascii="Times New Roman" w:hAnsi="Times New Roman" w:cs="Times New Roman"/>
          <w:sz w:val="24"/>
          <w:szCs w:val="24"/>
        </w:rPr>
        <w:t xml:space="preserve"> reveals the potential impact of interpersonal connections on access to bank loans across the five regions. </w:t>
      </w:r>
      <w:r w:rsidR="00DC4472" w:rsidRPr="000C4364">
        <w:rPr>
          <w:rFonts w:ascii="Times New Roman" w:hAnsi="Times New Roman" w:cs="Times New Roman"/>
          <w:sz w:val="24"/>
          <w:szCs w:val="24"/>
        </w:rPr>
        <w:t>Row 1 in panel B</w:t>
      </w:r>
      <w:r w:rsidRPr="000C4364">
        <w:rPr>
          <w:rFonts w:ascii="Times New Roman" w:hAnsi="Times New Roman" w:cs="Times New Roman"/>
          <w:sz w:val="24"/>
          <w:szCs w:val="24"/>
        </w:rPr>
        <w:t xml:space="preserve"> shows the proportion of SMEs with bank loans that reported offering bribes and gifts to public officials whereas </w:t>
      </w:r>
      <w:r w:rsidR="00DC4472" w:rsidRPr="000C4364">
        <w:rPr>
          <w:rFonts w:ascii="Times New Roman" w:hAnsi="Times New Roman" w:cs="Times New Roman"/>
          <w:sz w:val="24"/>
          <w:szCs w:val="24"/>
        </w:rPr>
        <w:t>row</w:t>
      </w:r>
      <w:r w:rsidRPr="000C4364">
        <w:rPr>
          <w:rFonts w:ascii="Times New Roman" w:hAnsi="Times New Roman" w:cs="Times New Roman"/>
          <w:sz w:val="24"/>
          <w:szCs w:val="24"/>
        </w:rPr>
        <w:t xml:space="preserve"> </w:t>
      </w:r>
      <w:r w:rsidR="00DC4472" w:rsidRPr="000C4364">
        <w:rPr>
          <w:rFonts w:ascii="Times New Roman" w:hAnsi="Times New Roman" w:cs="Times New Roman"/>
          <w:sz w:val="24"/>
          <w:szCs w:val="24"/>
        </w:rPr>
        <w:t xml:space="preserve">2 </w:t>
      </w:r>
      <w:r w:rsidRPr="000C4364">
        <w:rPr>
          <w:rFonts w:ascii="Times New Roman" w:hAnsi="Times New Roman" w:cs="Times New Roman"/>
          <w:sz w:val="24"/>
          <w:szCs w:val="24"/>
        </w:rPr>
        <w:t xml:space="preserve">shows the proportion of SMEs with bank loans that did not offer bribes and gifts; the difference between these two </w:t>
      </w:r>
      <w:r w:rsidR="00DC4472" w:rsidRPr="000C4364">
        <w:rPr>
          <w:rFonts w:ascii="Times New Roman" w:hAnsi="Times New Roman" w:cs="Times New Roman"/>
          <w:sz w:val="24"/>
          <w:szCs w:val="24"/>
        </w:rPr>
        <w:t>rows</w:t>
      </w:r>
      <w:r w:rsidRPr="000C4364">
        <w:rPr>
          <w:rFonts w:ascii="Times New Roman" w:hAnsi="Times New Roman" w:cs="Times New Roman"/>
          <w:sz w:val="24"/>
          <w:szCs w:val="24"/>
        </w:rPr>
        <w:t xml:space="preserve"> is presented in </w:t>
      </w:r>
      <w:r w:rsidR="00DC4472" w:rsidRPr="000C4364">
        <w:rPr>
          <w:rFonts w:ascii="Times New Roman" w:hAnsi="Times New Roman" w:cs="Times New Roman"/>
          <w:sz w:val="24"/>
          <w:szCs w:val="24"/>
        </w:rPr>
        <w:t xml:space="preserve">row </w:t>
      </w:r>
      <w:r w:rsidR="002B31F3" w:rsidRPr="000C4364">
        <w:rPr>
          <w:rFonts w:ascii="Times New Roman" w:hAnsi="Times New Roman" w:cs="Times New Roman"/>
          <w:sz w:val="24"/>
          <w:szCs w:val="24"/>
        </w:rPr>
        <w:t>3</w:t>
      </w:r>
      <w:r w:rsidRPr="000C4364">
        <w:rPr>
          <w:rFonts w:ascii="Times New Roman" w:hAnsi="Times New Roman" w:cs="Times New Roman"/>
          <w:sz w:val="24"/>
          <w:szCs w:val="24"/>
        </w:rPr>
        <w:t xml:space="preserve"> along with an indication of statistical significance using a </w:t>
      </w:r>
      <w:r w:rsidRPr="000C4364">
        <w:rPr>
          <w:rFonts w:ascii="Times New Roman" w:hAnsi="Times New Roman" w:cs="Times New Roman"/>
          <w:i/>
          <w:sz w:val="24"/>
          <w:szCs w:val="24"/>
        </w:rPr>
        <w:t>t</w:t>
      </w:r>
      <w:r w:rsidRPr="000C4364">
        <w:rPr>
          <w:rFonts w:ascii="Times New Roman" w:hAnsi="Times New Roman" w:cs="Times New Roman"/>
          <w:sz w:val="24"/>
          <w:szCs w:val="24"/>
        </w:rPr>
        <w:t xml:space="preserve">-test. Similar information for bank loans with and without government contracts is presented in </w:t>
      </w:r>
      <w:r w:rsidR="00DC4472" w:rsidRPr="000C4364">
        <w:rPr>
          <w:rFonts w:ascii="Times New Roman" w:hAnsi="Times New Roman" w:cs="Times New Roman"/>
          <w:sz w:val="24"/>
          <w:szCs w:val="24"/>
        </w:rPr>
        <w:t>rows 4-6</w:t>
      </w:r>
      <w:r w:rsidR="002B31F3" w:rsidRPr="000C4364">
        <w:rPr>
          <w:rFonts w:ascii="Times New Roman" w:hAnsi="Times New Roman" w:cs="Times New Roman"/>
          <w:sz w:val="24"/>
          <w:szCs w:val="24"/>
        </w:rPr>
        <w:t>.</w:t>
      </w:r>
    </w:p>
    <w:p w:rsidR="0083742B" w:rsidRPr="000C4364" w:rsidRDefault="002B31F3"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83742B" w:rsidRPr="000C4364">
        <w:rPr>
          <w:rFonts w:ascii="Times New Roman" w:hAnsi="Times New Roman" w:cs="Times New Roman"/>
          <w:sz w:val="24"/>
          <w:szCs w:val="24"/>
        </w:rPr>
        <w:t xml:space="preserve">As can be seen from </w:t>
      </w:r>
      <w:r w:rsidR="00DC4472" w:rsidRPr="000C4364">
        <w:rPr>
          <w:rFonts w:ascii="Times New Roman" w:hAnsi="Times New Roman" w:cs="Times New Roman"/>
          <w:sz w:val="24"/>
          <w:szCs w:val="24"/>
        </w:rPr>
        <w:t>row 3 in panel B</w:t>
      </w:r>
      <w:r w:rsidR="0083742B" w:rsidRPr="000C4364">
        <w:rPr>
          <w:rFonts w:ascii="Times New Roman" w:hAnsi="Times New Roman" w:cs="Times New Roman"/>
          <w:sz w:val="24"/>
          <w:szCs w:val="24"/>
        </w:rPr>
        <w:t xml:space="preserve">, with the exception of the Central Asian region, a greater proportion of SMEs that bribed public officials obtained bank loans than SMEs that did not bribe and these differences are statistically significant.  In particular, the magnitudes of the differences between the two sub-sample averages reported in </w:t>
      </w:r>
      <w:r w:rsidR="00DC4472" w:rsidRPr="000C4364">
        <w:rPr>
          <w:rFonts w:ascii="Times New Roman" w:hAnsi="Times New Roman" w:cs="Times New Roman"/>
          <w:sz w:val="24"/>
          <w:szCs w:val="24"/>
        </w:rPr>
        <w:t xml:space="preserve">rows </w:t>
      </w:r>
      <w:r w:rsidRPr="000C4364">
        <w:rPr>
          <w:rFonts w:ascii="Times New Roman" w:hAnsi="Times New Roman" w:cs="Times New Roman"/>
          <w:sz w:val="24"/>
          <w:szCs w:val="24"/>
        </w:rPr>
        <w:t>1</w:t>
      </w:r>
      <w:r w:rsidR="00DC4472" w:rsidRPr="000C4364">
        <w:rPr>
          <w:rFonts w:ascii="Times New Roman" w:hAnsi="Times New Roman" w:cs="Times New Roman"/>
          <w:sz w:val="24"/>
          <w:szCs w:val="24"/>
        </w:rPr>
        <w:t xml:space="preserve"> and </w:t>
      </w:r>
      <w:r w:rsidRPr="000C4364">
        <w:rPr>
          <w:rFonts w:ascii="Times New Roman" w:hAnsi="Times New Roman" w:cs="Times New Roman"/>
          <w:sz w:val="24"/>
          <w:szCs w:val="24"/>
        </w:rPr>
        <w:t>2</w:t>
      </w:r>
      <w:r w:rsidR="00DC4472" w:rsidRPr="000C4364">
        <w:rPr>
          <w:rFonts w:ascii="Times New Roman" w:hAnsi="Times New Roman" w:cs="Times New Roman"/>
          <w:sz w:val="24"/>
          <w:szCs w:val="24"/>
        </w:rPr>
        <w:t xml:space="preserve"> are</w:t>
      </w:r>
      <w:r w:rsidR="0083742B" w:rsidRPr="000C4364">
        <w:rPr>
          <w:rFonts w:ascii="Times New Roman" w:hAnsi="Times New Roman" w:cs="Times New Roman"/>
          <w:sz w:val="24"/>
          <w:szCs w:val="24"/>
        </w:rPr>
        <w:t xml:space="preserve"> larger </w:t>
      </w:r>
      <w:r w:rsidR="0083742B" w:rsidRPr="000C4364">
        <w:rPr>
          <w:rFonts w:ascii="Times New Roman" w:hAnsi="Times New Roman" w:cs="Times New Roman"/>
          <w:sz w:val="24"/>
          <w:szCs w:val="24"/>
        </w:rPr>
        <w:lastRenderedPageBreak/>
        <w:t xml:space="preserve">and their statistical significance levels </w:t>
      </w:r>
      <w:r w:rsidR="00DC4472" w:rsidRPr="000C4364">
        <w:rPr>
          <w:rFonts w:ascii="Times New Roman" w:hAnsi="Times New Roman" w:cs="Times New Roman"/>
          <w:sz w:val="24"/>
          <w:szCs w:val="24"/>
        </w:rPr>
        <w:t xml:space="preserve">are </w:t>
      </w:r>
      <w:r w:rsidR="0083742B" w:rsidRPr="000C4364">
        <w:rPr>
          <w:rFonts w:ascii="Times New Roman" w:hAnsi="Times New Roman" w:cs="Times New Roman"/>
          <w:sz w:val="24"/>
          <w:szCs w:val="24"/>
        </w:rPr>
        <w:t xml:space="preserve">stronger in the EE and Caucasus regions. </w:t>
      </w:r>
      <w:r w:rsidR="007B1572" w:rsidRPr="000C4364">
        <w:rPr>
          <w:rFonts w:ascii="Times New Roman" w:hAnsi="Times New Roman" w:cs="Times New Roman"/>
          <w:sz w:val="24"/>
          <w:szCs w:val="24"/>
        </w:rPr>
        <w:t>A</w:t>
      </w:r>
      <w:r w:rsidR="0083742B" w:rsidRPr="000C4364">
        <w:rPr>
          <w:rFonts w:ascii="Times New Roman" w:hAnsi="Times New Roman" w:cs="Times New Roman"/>
          <w:sz w:val="24"/>
          <w:szCs w:val="24"/>
        </w:rPr>
        <w:t xml:space="preserve"> greater proportion of SMEs that held government contracts received bank loans compared to those that did not hold government contracts</w:t>
      </w:r>
      <w:r w:rsidR="00462E7F" w:rsidRPr="000C4364">
        <w:rPr>
          <w:rFonts w:ascii="Times New Roman" w:hAnsi="Times New Roman" w:cs="Times New Roman"/>
          <w:sz w:val="24"/>
          <w:szCs w:val="24"/>
        </w:rPr>
        <w:t xml:space="preserve"> (row 6)</w:t>
      </w:r>
      <w:r w:rsidR="0083742B" w:rsidRPr="000C4364">
        <w:rPr>
          <w:rFonts w:ascii="Times New Roman" w:hAnsi="Times New Roman" w:cs="Times New Roman"/>
          <w:sz w:val="24"/>
          <w:szCs w:val="24"/>
        </w:rPr>
        <w:t xml:space="preserve">, and this </w:t>
      </w:r>
      <w:r w:rsidR="00462E7F" w:rsidRPr="000C4364">
        <w:rPr>
          <w:rFonts w:ascii="Times New Roman" w:hAnsi="Times New Roman" w:cs="Times New Roman"/>
          <w:sz w:val="24"/>
          <w:szCs w:val="24"/>
        </w:rPr>
        <w:t>result</w:t>
      </w:r>
      <w:r w:rsidR="0083742B" w:rsidRPr="000C4364">
        <w:rPr>
          <w:rFonts w:ascii="Times New Roman" w:hAnsi="Times New Roman" w:cs="Times New Roman"/>
          <w:sz w:val="24"/>
          <w:szCs w:val="24"/>
        </w:rPr>
        <w:t xml:space="preserve"> </w:t>
      </w:r>
      <w:r w:rsidR="00462E7F" w:rsidRPr="000C4364">
        <w:rPr>
          <w:rFonts w:ascii="Times New Roman" w:hAnsi="Times New Roman" w:cs="Times New Roman"/>
          <w:sz w:val="24"/>
          <w:szCs w:val="24"/>
        </w:rPr>
        <w:t>is</w:t>
      </w:r>
      <w:r w:rsidR="0083742B" w:rsidRPr="000C4364">
        <w:rPr>
          <w:rFonts w:ascii="Times New Roman" w:hAnsi="Times New Roman" w:cs="Times New Roman"/>
          <w:sz w:val="24"/>
          <w:szCs w:val="24"/>
        </w:rPr>
        <w:t xml:space="preserve"> </w:t>
      </w:r>
      <w:r w:rsidR="00462E7F" w:rsidRPr="000C4364">
        <w:rPr>
          <w:rFonts w:ascii="Times New Roman" w:hAnsi="Times New Roman" w:cs="Times New Roman"/>
          <w:sz w:val="24"/>
          <w:szCs w:val="24"/>
        </w:rPr>
        <w:t xml:space="preserve">consistent </w:t>
      </w:r>
      <w:r w:rsidR="0083742B" w:rsidRPr="000C4364">
        <w:rPr>
          <w:rFonts w:ascii="Times New Roman" w:hAnsi="Times New Roman" w:cs="Times New Roman"/>
          <w:sz w:val="24"/>
          <w:szCs w:val="24"/>
        </w:rPr>
        <w:t xml:space="preserve">across all regions. </w:t>
      </w:r>
    </w:p>
    <w:p w:rsidR="0083742B" w:rsidRPr="000C4364" w:rsidRDefault="00180248" w:rsidP="000C4364">
      <w:pPr>
        <w:spacing w:after="0" w:line="480" w:lineRule="auto"/>
        <w:jc w:val="center"/>
        <w:rPr>
          <w:rFonts w:ascii="Times New Roman" w:hAnsi="Times New Roman" w:cs="Times New Roman"/>
          <w:i/>
          <w:sz w:val="24"/>
          <w:szCs w:val="24"/>
        </w:rPr>
      </w:pPr>
      <w:r>
        <w:rPr>
          <w:rFonts w:ascii="Times New Roman" w:hAnsi="Times New Roman" w:cs="Times New Roman"/>
          <w:i/>
          <w:sz w:val="24"/>
          <w:szCs w:val="24"/>
        </w:rPr>
        <w:t>&lt;Table 4</w:t>
      </w:r>
      <w:r w:rsidR="0083742B" w:rsidRPr="000C4364">
        <w:rPr>
          <w:rFonts w:ascii="Times New Roman" w:hAnsi="Times New Roman" w:cs="Times New Roman"/>
          <w:i/>
          <w:sz w:val="24"/>
          <w:szCs w:val="24"/>
        </w:rPr>
        <w:t xml:space="preserve"> &gt;</w:t>
      </w:r>
    </w:p>
    <w:p w:rsidR="0083742B" w:rsidRPr="000C4364" w:rsidRDefault="0083742B" w:rsidP="000C4364">
      <w:pPr>
        <w:pStyle w:val="BodyText"/>
        <w:tabs>
          <w:tab w:val="left" w:pos="2839"/>
        </w:tabs>
        <w:spacing w:line="480" w:lineRule="auto"/>
        <w:jc w:val="left"/>
        <w:rPr>
          <w:szCs w:val="24"/>
        </w:rPr>
      </w:pPr>
      <w:r w:rsidRPr="000C4364">
        <w:rPr>
          <w:b/>
          <w:szCs w:val="24"/>
        </w:rPr>
        <w:t xml:space="preserve">5. </w:t>
      </w:r>
      <w:r w:rsidR="00ED1609" w:rsidRPr="000C4364">
        <w:rPr>
          <w:b/>
          <w:szCs w:val="24"/>
        </w:rPr>
        <w:t xml:space="preserve">Interpersonal </w:t>
      </w:r>
      <w:r w:rsidRPr="000C4364">
        <w:rPr>
          <w:b/>
          <w:szCs w:val="24"/>
        </w:rPr>
        <w:t>connectedness and access to bank loans</w:t>
      </w:r>
    </w:p>
    <w:p w:rsidR="008325A4" w:rsidRPr="000C4364" w:rsidRDefault="004C73C1" w:rsidP="000C4364">
      <w:pPr>
        <w:pStyle w:val="BodyText"/>
        <w:tabs>
          <w:tab w:val="left" w:pos="567"/>
        </w:tabs>
        <w:spacing w:line="480" w:lineRule="auto"/>
        <w:rPr>
          <w:szCs w:val="24"/>
        </w:rPr>
      </w:pPr>
      <w:r w:rsidRPr="000C4364">
        <w:rPr>
          <w:szCs w:val="24"/>
        </w:rPr>
        <w:t>M</w:t>
      </w:r>
      <w:r w:rsidR="0083742B" w:rsidRPr="000C4364">
        <w:rPr>
          <w:szCs w:val="24"/>
        </w:rPr>
        <w:t xml:space="preserve">ore than 37 percent of SMEs </w:t>
      </w:r>
      <w:r w:rsidRPr="000C4364">
        <w:rPr>
          <w:szCs w:val="24"/>
        </w:rPr>
        <w:t xml:space="preserve">in our dataset </w:t>
      </w:r>
      <w:r w:rsidR="0083742B" w:rsidRPr="000C4364">
        <w:rPr>
          <w:szCs w:val="24"/>
        </w:rPr>
        <w:t xml:space="preserve">reported that access to formal finance was a moderate to severe obstacle to their current operations and access to finance was chosen as the second biggest obstacle </w:t>
      </w:r>
      <w:r w:rsidRPr="000C4364">
        <w:rPr>
          <w:szCs w:val="24"/>
        </w:rPr>
        <w:t xml:space="preserve">in the business environment </w:t>
      </w:r>
      <w:r w:rsidR="0083742B" w:rsidRPr="000C4364">
        <w:rPr>
          <w:szCs w:val="24"/>
        </w:rPr>
        <w:t>(after the tax rate). The raw data indicates that SMEs with connectedness to bureaucrats seem to enjoy more privileged access to scarce resources.</w:t>
      </w:r>
    </w:p>
    <w:p w:rsidR="003F4ECA" w:rsidRPr="000C4364" w:rsidRDefault="004C73C1" w:rsidP="000C4364">
      <w:pPr>
        <w:pStyle w:val="BodyText"/>
        <w:tabs>
          <w:tab w:val="left" w:pos="567"/>
        </w:tabs>
        <w:spacing w:line="480" w:lineRule="auto"/>
        <w:rPr>
          <w:szCs w:val="24"/>
        </w:rPr>
      </w:pPr>
      <w:r w:rsidRPr="000C4364">
        <w:rPr>
          <w:szCs w:val="24"/>
        </w:rPr>
        <w:tab/>
      </w:r>
      <w:r w:rsidR="0083742B" w:rsidRPr="000C4364">
        <w:rPr>
          <w:szCs w:val="24"/>
        </w:rPr>
        <w:t>We proceed to estimate models to examine if SMEs with connectedness to bureaucrats have more privileged access to bank finance than those who do not, and identify if such a relationship remains after controlling for a variety of firm- and country-specific characteristics. The equation to estimate is:</w:t>
      </w:r>
    </w:p>
    <w:p w:rsidR="00196F04" w:rsidRDefault="00196F04" w:rsidP="000C4364">
      <w:pPr>
        <w:pStyle w:val="BodyText"/>
        <w:tabs>
          <w:tab w:val="left" w:pos="567"/>
        </w:tabs>
        <w:spacing w:line="480" w:lineRule="auto"/>
        <w:rPr>
          <w:i/>
          <w:color w:val="000000" w:themeColor="text1"/>
          <w:szCs w:val="24"/>
        </w:rPr>
      </w:pPr>
    </w:p>
    <w:p w:rsidR="0083742B" w:rsidRPr="000C4364" w:rsidRDefault="007B39BA" w:rsidP="000C4364">
      <w:pPr>
        <w:pStyle w:val="BodyText"/>
        <w:tabs>
          <w:tab w:val="left" w:pos="567"/>
        </w:tabs>
        <w:spacing w:line="480" w:lineRule="auto"/>
        <w:rPr>
          <w:color w:val="000000" w:themeColor="text1"/>
          <w:szCs w:val="24"/>
        </w:rPr>
      </w:pPr>
      <w:r w:rsidRPr="000C4364">
        <w:rPr>
          <w:i/>
          <w:color w:val="000000" w:themeColor="text1"/>
          <w:szCs w:val="24"/>
        </w:rPr>
        <w:t>LOAN</w:t>
      </w:r>
      <w:r w:rsidR="0083742B" w:rsidRPr="000C4364">
        <w:rPr>
          <w:i/>
          <w:color w:val="000000" w:themeColor="text1"/>
          <w:szCs w:val="24"/>
          <w:vertAlign w:val="subscript"/>
        </w:rPr>
        <w:t>i</w:t>
      </w:r>
      <w:r w:rsidR="0083742B" w:rsidRPr="000C4364">
        <w:rPr>
          <w:i/>
          <w:color w:val="000000" w:themeColor="text1"/>
          <w:szCs w:val="24"/>
        </w:rPr>
        <w:t xml:space="preserve"> = α + </w:t>
      </w:r>
      <w:r w:rsidRPr="000C4364">
        <w:rPr>
          <w:i/>
          <w:color w:val="000000" w:themeColor="text1"/>
          <w:szCs w:val="24"/>
        </w:rPr>
        <w:t>FIRM</w:t>
      </w:r>
      <w:r w:rsidR="003F4ECA" w:rsidRPr="000C4364">
        <w:rPr>
          <w:i/>
          <w:color w:val="000000" w:themeColor="text1"/>
          <w:szCs w:val="24"/>
          <w:vertAlign w:val="subscript"/>
        </w:rPr>
        <w:t xml:space="preserve">i </w:t>
      </w:r>
      <w:r w:rsidR="003F4ECA" w:rsidRPr="000C4364">
        <w:rPr>
          <w:i/>
          <w:color w:val="000000" w:themeColor="text1"/>
          <w:szCs w:val="24"/>
        </w:rPr>
        <w:t>β</w:t>
      </w:r>
      <w:r w:rsidR="0083742B" w:rsidRPr="000C4364">
        <w:rPr>
          <w:i/>
          <w:color w:val="000000" w:themeColor="text1"/>
          <w:szCs w:val="24"/>
        </w:rPr>
        <w:t xml:space="preserve"> + </w:t>
      </w:r>
      <w:r w:rsidRPr="000C4364">
        <w:rPr>
          <w:i/>
          <w:color w:val="000000" w:themeColor="text1"/>
          <w:szCs w:val="24"/>
        </w:rPr>
        <w:t>CONNECTEDNESS</w:t>
      </w:r>
      <w:r w:rsidR="0083742B" w:rsidRPr="000C4364">
        <w:rPr>
          <w:i/>
          <w:color w:val="000000" w:themeColor="text1"/>
          <w:szCs w:val="24"/>
          <w:vertAlign w:val="subscript"/>
        </w:rPr>
        <w:t>i</w:t>
      </w:r>
      <w:r w:rsidR="003F4ECA" w:rsidRPr="000C4364">
        <w:rPr>
          <w:i/>
          <w:color w:val="000000" w:themeColor="text1"/>
          <w:szCs w:val="24"/>
          <w:vertAlign w:val="subscript"/>
        </w:rPr>
        <w:t xml:space="preserve"> </w:t>
      </w:r>
      <w:r w:rsidR="003F4ECA" w:rsidRPr="000C4364">
        <w:rPr>
          <w:i/>
          <w:color w:val="000000" w:themeColor="text1"/>
          <w:szCs w:val="24"/>
        </w:rPr>
        <w:t>γ</w:t>
      </w:r>
      <w:r w:rsidR="0083742B" w:rsidRPr="000C4364">
        <w:rPr>
          <w:i/>
          <w:color w:val="000000" w:themeColor="text1"/>
          <w:szCs w:val="24"/>
        </w:rPr>
        <w:t xml:space="preserve"> </w:t>
      </w:r>
      <w:r w:rsidR="003F4ECA" w:rsidRPr="000C4364">
        <w:rPr>
          <w:i/>
          <w:color w:val="000000" w:themeColor="text1"/>
          <w:szCs w:val="24"/>
        </w:rPr>
        <w:t>+</w:t>
      </w:r>
      <w:r w:rsidRPr="000C4364">
        <w:rPr>
          <w:i/>
          <w:color w:val="000000" w:themeColor="text1"/>
          <w:szCs w:val="24"/>
        </w:rPr>
        <w:t xml:space="preserve"> </w:t>
      </w:r>
      <w:r w:rsidR="003F4ECA" w:rsidRPr="000C4364">
        <w:rPr>
          <w:i/>
          <w:color w:val="000000" w:themeColor="text1"/>
          <w:szCs w:val="24"/>
        </w:rPr>
        <w:t>D</w:t>
      </w:r>
      <w:r w:rsidRPr="000C4364">
        <w:rPr>
          <w:i/>
          <w:color w:val="000000" w:themeColor="text1"/>
          <w:szCs w:val="24"/>
          <w:vertAlign w:val="subscript"/>
        </w:rPr>
        <w:t>i</w:t>
      </w:r>
      <w:r w:rsidR="003F4ECA" w:rsidRPr="000C4364">
        <w:rPr>
          <w:i/>
          <w:color w:val="000000" w:themeColor="text1"/>
          <w:szCs w:val="24"/>
        </w:rPr>
        <w:t xml:space="preserve"> δ </w:t>
      </w:r>
      <w:r w:rsidRPr="000C4364">
        <w:rPr>
          <w:i/>
          <w:color w:val="000000" w:themeColor="text1"/>
          <w:szCs w:val="24"/>
        </w:rPr>
        <w:t xml:space="preserve">+ </w:t>
      </w:r>
      <w:r w:rsidR="0083742B" w:rsidRPr="000C4364">
        <w:rPr>
          <w:i/>
          <w:color w:val="000000" w:themeColor="text1"/>
          <w:szCs w:val="24"/>
        </w:rPr>
        <w:t>ε</w:t>
      </w:r>
      <w:r w:rsidR="0083742B" w:rsidRPr="000C4364">
        <w:rPr>
          <w:i/>
          <w:color w:val="000000" w:themeColor="text1"/>
          <w:szCs w:val="24"/>
          <w:vertAlign w:val="subscript"/>
        </w:rPr>
        <w:t>i</w:t>
      </w:r>
      <w:r w:rsidRPr="000C4364">
        <w:rPr>
          <w:i/>
          <w:color w:val="000000" w:themeColor="text1"/>
          <w:szCs w:val="24"/>
        </w:rPr>
        <w:t xml:space="preserve"> </w:t>
      </w:r>
      <w:r w:rsidR="00546F9A" w:rsidRPr="000C4364">
        <w:rPr>
          <w:i/>
          <w:color w:val="000000" w:themeColor="text1"/>
          <w:szCs w:val="24"/>
        </w:rPr>
        <w:tab/>
      </w:r>
      <w:r w:rsidR="00546F9A" w:rsidRPr="000C4364">
        <w:rPr>
          <w:i/>
          <w:color w:val="000000" w:themeColor="text1"/>
          <w:szCs w:val="24"/>
        </w:rPr>
        <w:tab/>
      </w:r>
      <w:r w:rsidR="00F87AA3" w:rsidRPr="000C4364">
        <w:rPr>
          <w:i/>
          <w:color w:val="000000" w:themeColor="text1"/>
          <w:szCs w:val="24"/>
        </w:rPr>
        <w:tab/>
      </w:r>
      <w:r w:rsidR="00F87AA3" w:rsidRPr="000C4364">
        <w:rPr>
          <w:i/>
          <w:color w:val="000000" w:themeColor="text1"/>
          <w:szCs w:val="24"/>
        </w:rPr>
        <w:tab/>
      </w:r>
      <w:r w:rsidR="00546F9A" w:rsidRPr="000C4364">
        <w:rPr>
          <w:i/>
          <w:color w:val="000000" w:themeColor="text1"/>
          <w:szCs w:val="24"/>
        </w:rPr>
        <w:tab/>
      </w:r>
      <w:r w:rsidR="0083742B" w:rsidRPr="000C4364">
        <w:rPr>
          <w:color w:val="000000" w:themeColor="text1"/>
          <w:szCs w:val="24"/>
        </w:rPr>
        <w:t>(1)</w:t>
      </w:r>
    </w:p>
    <w:p w:rsidR="00196F04" w:rsidRDefault="00196F04" w:rsidP="000C4364">
      <w:pPr>
        <w:pStyle w:val="BodyText"/>
        <w:tabs>
          <w:tab w:val="left" w:pos="567"/>
        </w:tabs>
        <w:spacing w:line="480" w:lineRule="auto"/>
        <w:rPr>
          <w:color w:val="000000" w:themeColor="text1"/>
          <w:szCs w:val="24"/>
        </w:rPr>
      </w:pPr>
    </w:p>
    <w:p w:rsidR="0083742B" w:rsidRPr="000C4364" w:rsidRDefault="0083742B" w:rsidP="000C4364">
      <w:pPr>
        <w:pStyle w:val="BodyText"/>
        <w:tabs>
          <w:tab w:val="left" w:pos="567"/>
        </w:tabs>
        <w:spacing w:line="480" w:lineRule="auto"/>
        <w:rPr>
          <w:color w:val="000000" w:themeColor="text1"/>
          <w:szCs w:val="24"/>
        </w:rPr>
      </w:pPr>
      <w:proofErr w:type="gramStart"/>
      <w:r w:rsidRPr="000C4364">
        <w:rPr>
          <w:color w:val="000000" w:themeColor="text1"/>
          <w:szCs w:val="24"/>
        </w:rPr>
        <w:t>where</w:t>
      </w:r>
      <w:proofErr w:type="gramEnd"/>
      <w:r w:rsidRPr="000C4364">
        <w:rPr>
          <w:color w:val="000000" w:themeColor="text1"/>
          <w:szCs w:val="24"/>
        </w:rPr>
        <w:t xml:space="preserve"> </w:t>
      </w:r>
      <w:r w:rsidR="007B39BA" w:rsidRPr="000C4364">
        <w:rPr>
          <w:i/>
          <w:color w:val="000000" w:themeColor="text1"/>
          <w:szCs w:val="24"/>
        </w:rPr>
        <w:t>LOAN</w:t>
      </w:r>
      <w:r w:rsidR="003F4ECA" w:rsidRPr="000C4364">
        <w:rPr>
          <w:i/>
          <w:color w:val="000000" w:themeColor="text1"/>
          <w:szCs w:val="24"/>
          <w:vertAlign w:val="subscript"/>
        </w:rPr>
        <w:t>i</w:t>
      </w:r>
      <w:r w:rsidR="00546F9A" w:rsidRPr="000C4364">
        <w:rPr>
          <w:i/>
          <w:color w:val="000000" w:themeColor="text1"/>
          <w:szCs w:val="24"/>
        </w:rPr>
        <w:t xml:space="preserve"> </w:t>
      </w:r>
      <w:r w:rsidRPr="000C4364">
        <w:rPr>
          <w:color w:val="000000" w:themeColor="text1"/>
          <w:szCs w:val="24"/>
        </w:rPr>
        <w:t xml:space="preserve">is a dependent variable that reflects </w:t>
      </w:r>
      <w:r w:rsidR="00F341D3" w:rsidRPr="000C4364">
        <w:rPr>
          <w:color w:val="000000" w:themeColor="text1"/>
          <w:szCs w:val="24"/>
        </w:rPr>
        <w:t xml:space="preserve">either </w:t>
      </w:r>
      <w:r w:rsidRPr="000C4364">
        <w:rPr>
          <w:color w:val="000000" w:themeColor="text1"/>
          <w:szCs w:val="24"/>
        </w:rPr>
        <w:t>the use of bank loans</w:t>
      </w:r>
      <w:r w:rsidR="00F341D3" w:rsidRPr="000C4364">
        <w:rPr>
          <w:color w:val="000000" w:themeColor="text1"/>
          <w:szCs w:val="24"/>
        </w:rPr>
        <w:t xml:space="preserve"> or interest rate on these loans</w:t>
      </w:r>
      <w:r w:rsidRPr="000C4364">
        <w:rPr>
          <w:color w:val="000000" w:themeColor="text1"/>
          <w:szCs w:val="24"/>
        </w:rPr>
        <w:t xml:space="preserve">; </w:t>
      </w:r>
      <w:r w:rsidR="00474ABD" w:rsidRPr="000C4364">
        <w:rPr>
          <w:i/>
          <w:color w:val="000000" w:themeColor="text1"/>
          <w:szCs w:val="24"/>
        </w:rPr>
        <w:t>FIRM</w:t>
      </w:r>
      <w:r w:rsidR="003F4ECA" w:rsidRPr="000C4364">
        <w:rPr>
          <w:i/>
          <w:color w:val="000000" w:themeColor="text1"/>
          <w:szCs w:val="24"/>
          <w:vertAlign w:val="subscript"/>
        </w:rPr>
        <w:t>i</w:t>
      </w:r>
      <w:r w:rsidRPr="000C4364">
        <w:rPr>
          <w:color w:val="000000" w:themeColor="text1"/>
          <w:szCs w:val="24"/>
        </w:rPr>
        <w:t xml:space="preserve"> and </w:t>
      </w:r>
      <w:r w:rsidR="00474ABD" w:rsidRPr="000C4364">
        <w:rPr>
          <w:i/>
          <w:color w:val="000000" w:themeColor="text1"/>
          <w:szCs w:val="24"/>
        </w:rPr>
        <w:t>CONNECTEDNESS</w:t>
      </w:r>
      <w:r w:rsidR="003F4ECA" w:rsidRPr="000C4364">
        <w:rPr>
          <w:i/>
          <w:color w:val="000000" w:themeColor="text1"/>
          <w:szCs w:val="24"/>
          <w:vertAlign w:val="subscript"/>
        </w:rPr>
        <w:t>i</w:t>
      </w:r>
      <w:r w:rsidR="00474ABD" w:rsidRPr="000C4364">
        <w:rPr>
          <w:color w:val="000000" w:themeColor="text1"/>
          <w:szCs w:val="24"/>
        </w:rPr>
        <w:t xml:space="preserve"> </w:t>
      </w:r>
      <w:r w:rsidRPr="000C4364">
        <w:rPr>
          <w:color w:val="000000" w:themeColor="text1"/>
          <w:szCs w:val="24"/>
        </w:rPr>
        <w:t xml:space="preserve">are vectors of predictors that affect </w:t>
      </w:r>
      <w:r w:rsidR="00474ABD" w:rsidRPr="000C4364">
        <w:rPr>
          <w:i/>
          <w:color w:val="000000" w:themeColor="text1"/>
          <w:szCs w:val="24"/>
        </w:rPr>
        <w:t>LOAN</w:t>
      </w:r>
      <w:r w:rsidR="003F4ECA" w:rsidRPr="000C4364">
        <w:rPr>
          <w:i/>
          <w:color w:val="000000" w:themeColor="text1"/>
          <w:szCs w:val="24"/>
          <w:vertAlign w:val="subscript"/>
        </w:rPr>
        <w:t>i</w:t>
      </w:r>
      <w:r w:rsidRPr="000C4364">
        <w:rPr>
          <w:color w:val="000000" w:themeColor="text1"/>
          <w:szCs w:val="24"/>
        </w:rPr>
        <w:t xml:space="preserve">, where the former includes both continuous and categorical control </w:t>
      </w:r>
      <w:r w:rsidR="00C527B7" w:rsidRPr="000C4364">
        <w:rPr>
          <w:color w:val="000000" w:themeColor="text1"/>
          <w:szCs w:val="24"/>
        </w:rPr>
        <w:t xml:space="preserve">variables reflecting firm </w:t>
      </w:r>
      <w:r w:rsidRPr="000C4364">
        <w:rPr>
          <w:color w:val="000000" w:themeColor="text1"/>
          <w:szCs w:val="24"/>
        </w:rPr>
        <w:t xml:space="preserve">characteristics and the latter includes variables representing </w:t>
      </w:r>
      <w:r w:rsidR="004C73C1" w:rsidRPr="000C4364">
        <w:rPr>
          <w:color w:val="000000" w:themeColor="text1"/>
          <w:szCs w:val="24"/>
        </w:rPr>
        <w:t>interpersonal</w:t>
      </w:r>
      <w:r w:rsidR="003F4ECA" w:rsidRPr="000C4364">
        <w:rPr>
          <w:color w:val="000000" w:themeColor="text1"/>
          <w:szCs w:val="24"/>
        </w:rPr>
        <w:t xml:space="preserve"> connectedness</w:t>
      </w:r>
      <w:r w:rsidR="00474ABD" w:rsidRPr="000C4364">
        <w:rPr>
          <w:color w:val="000000" w:themeColor="text1"/>
          <w:szCs w:val="24"/>
        </w:rPr>
        <w:t xml:space="preserve">, namely </w:t>
      </w:r>
      <w:r w:rsidR="00F341D3" w:rsidRPr="000C4364">
        <w:rPr>
          <w:i/>
          <w:color w:val="000000" w:themeColor="text1"/>
          <w:szCs w:val="24"/>
        </w:rPr>
        <w:t>Bribes and Gifts</w:t>
      </w:r>
      <w:r w:rsidR="00F341D3" w:rsidRPr="000C4364">
        <w:rPr>
          <w:color w:val="000000" w:themeColor="text1"/>
          <w:szCs w:val="24"/>
        </w:rPr>
        <w:t xml:space="preserve"> </w:t>
      </w:r>
      <w:r w:rsidR="00474ABD" w:rsidRPr="000C4364">
        <w:rPr>
          <w:color w:val="000000" w:themeColor="text1"/>
          <w:szCs w:val="24"/>
        </w:rPr>
        <w:t xml:space="preserve">and </w:t>
      </w:r>
      <w:r w:rsidR="00F341D3" w:rsidRPr="000C4364">
        <w:rPr>
          <w:i/>
          <w:color w:val="000000" w:themeColor="text1"/>
          <w:szCs w:val="24"/>
        </w:rPr>
        <w:t>Government Contract</w:t>
      </w:r>
      <w:r w:rsidRPr="000C4364">
        <w:rPr>
          <w:color w:val="000000" w:themeColor="text1"/>
          <w:szCs w:val="24"/>
        </w:rPr>
        <w:t xml:space="preserve">. </w:t>
      </w:r>
      <w:r w:rsidR="005F7B4E" w:rsidRPr="000C4364">
        <w:rPr>
          <w:i/>
          <w:color w:val="000000" w:themeColor="text1"/>
          <w:szCs w:val="24"/>
        </w:rPr>
        <w:t>D</w:t>
      </w:r>
      <w:r w:rsidR="005F7B4E" w:rsidRPr="000C4364">
        <w:rPr>
          <w:i/>
          <w:color w:val="000000" w:themeColor="text1"/>
          <w:szCs w:val="24"/>
          <w:vertAlign w:val="subscript"/>
        </w:rPr>
        <w:t xml:space="preserve">i </w:t>
      </w:r>
      <w:r w:rsidR="005F7B4E" w:rsidRPr="000C4364">
        <w:rPr>
          <w:color w:val="000000" w:themeColor="text1"/>
          <w:szCs w:val="24"/>
        </w:rPr>
        <w:t>is a set of dummy variables for sectors, countries and time;</w:t>
      </w:r>
      <w:r w:rsidR="00474ABD" w:rsidRPr="000C4364">
        <w:rPr>
          <w:color w:val="000000" w:themeColor="text1"/>
          <w:szCs w:val="24"/>
        </w:rPr>
        <w:t xml:space="preserve"> </w:t>
      </w:r>
      <w:r w:rsidR="005F7B4E" w:rsidRPr="000C4364">
        <w:rPr>
          <w:color w:val="000000" w:themeColor="text1"/>
          <w:szCs w:val="24"/>
        </w:rPr>
        <w:t>the sector and</w:t>
      </w:r>
      <w:r w:rsidR="00474ABD" w:rsidRPr="000C4364">
        <w:rPr>
          <w:color w:val="000000" w:themeColor="text1"/>
          <w:szCs w:val="24"/>
        </w:rPr>
        <w:t xml:space="preserve"> </w:t>
      </w:r>
      <w:r w:rsidR="005F7B4E" w:rsidRPr="000C4364">
        <w:rPr>
          <w:color w:val="000000" w:themeColor="text1"/>
          <w:szCs w:val="24"/>
        </w:rPr>
        <w:t>country</w:t>
      </w:r>
      <w:r w:rsidR="00474ABD" w:rsidRPr="000C4364">
        <w:rPr>
          <w:color w:val="000000" w:themeColor="text1"/>
          <w:szCs w:val="24"/>
        </w:rPr>
        <w:t xml:space="preserve"> dummy variables control sector- and country-fixed effects</w:t>
      </w:r>
      <w:r w:rsidR="005F7B4E" w:rsidRPr="000C4364">
        <w:rPr>
          <w:color w:val="000000" w:themeColor="text1"/>
          <w:szCs w:val="24"/>
        </w:rPr>
        <w:t xml:space="preserve"> and the time</w:t>
      </w:r>
      <w:r w:rsidR="007C0259" w:rsidRPr="000C4364">
        <w:rPr>
          <w:color w:val="000000" w:themeColor="text1"/>
          <w:szCs w:val="24"/>
        </w:rPr>
        <w:t xml:space="preserve"> dummy variable controls the year of data collection in individual countries. </w:t>
      </w:r>
      <w:r w:rsidRPr="000C4364">
        <w:rPr>
          <w:color w:val="000000" w:themeColor="text1"/>
          <w:szCs w:val="24"/>
        </w:rPr>
        <w:t>Parameters α</w:t>
      </w:r>
      <w:r w:rsidRPr="000C4364">
        <w:rPr>
          <w:i/>
          <w:color w:val="000000" w:themeColor="text1"/>
          <w:szCs w:val="24"/>
        </w:rPr>
        <w:t>,</w:t>
      </w:r>
      <w:r w:rsidRPr="000C4364">
        <w:rPr>
          <w:color w:val="000000" w:themeColor="text1"/>
          <w:szCs w:val="24"/>
        </w:rPr>
        <w:t xml:space="preserve"> </w:t>
      </w:r>
      <w:r w:rsidR="00474ABD" w:rsidRPr="000C4364">
        <w:rPr>
          <w:i/>
          <w:color w:val="000000" w:themeColor="text1"/>
          <w:szCs w:val="24"/>
        </w:rPr>
        <w:t>β</w:t>
      </w:r>
      <w:r w:rsidR="003F4ECA" w:rsidRPr="000C4364">
        <w:rPr>
          <w:i/>
          <w:color w:val="000000" w:themeColor="text1"/>
          <w:szCs w:val="24"/>
        </w:rPr>
        <w:t>,</w:t>
      </w:r>
      <w:r w:rsidRPr="000C4364">
        <w:rPr>
          <w:color w:val="000000" w:themeColor="text1"/>
          <w:szCs w:val="24"/>
        </w:rPr>
        <w:t xml:space="preserve"> </w:t>
      </w:r>
      <w:r w:rsidR="003F4ECA" w:rsidRPr="000C4364">
        <w:rPr>
          <w:i/>
          <w:color w:val="000000" w:themeColor="text1"/>
          <w:szCs w:val="24"/>
        </w:rPr>
        <w:t>γ</w:t>
      </w:r>
      <w:r w:rsidR="003F4ECA" w:rsidRPr="000C4364">
        <w:rPr>
          <w:color w:val="000000" w:themeColor="text1"/>
          <w:szCs w:val="24"/>
        </w:rPr>
        <w:t xml:space="preserve">, and </w:t>
      </w:r>
      <w:r w:rsidR="003F4ECA" w:rsidRPr="000C4364">
        <w:rPr>
          <w:i/>
          <w:color w:val="000000" w:themeColor="text1"/>
          <w:szCs w:val="24"/>
        </w:rPr>
        <w:t>δ</w:t>
      </w:r>
      <w:r w:rsidR="003F4ECA" w:rsidRPr="000C4364">
        <w:rPr>
          <w:color w:val="000000" w:themeColor="text1"/>
          <w:szCs w:val="24"/>
        </w:rPr>
        <w:t xml:space="preserve"> </w:t>
      </w:r>
      <w:r w:rsidRPr="000C4364">
        <w:rPr>
          <w:color w:val="000000" w:themeColor="text1"/>
          <w:szCs w:val="24"/>
        </w:rPr>
        <w:t xml:space="preserve">are to be estimated and </w:t>
      </w:r>
      <w:r w:rsidRPr="000C4364">
        <w:rPr>
          <w:i/>
          <w:color w:val="000000" w:themeColor="text1"/>
          <w:szCs w:val="24"/>
        </w:rPr>
        <w:t>ε</w:t>
      </w:r>
      <w:r w:rsidRPr="000C4364">
        <w:rPr>
          <w:color w:val="000000" w:themeColor="text1"/>
          <w:szCs w:val="24"/>
        </w:rPr>
        <w:t xml:space="preserve"> is the random error </w:t>
      </w:r>
      <w:r w:rsidRPr="000C4364">
        <w:rPr>
          <w:color w:val="000000" w:themeColor="text1"/>
          <w:szCs w:val="24"/>
        </w:rPr>
        <w:lastRenderedPageBreak/>
        <w:t>term</w:t>
      </w:r>
      <w:r w:rsidR="00575E7B" w:rsidRPr="000C4364">
        <w:rPr>
          <w:color w:val="000000" w:themeColor="text1"/>
          <w:szCs w:val="24"/>
        </w:rPr>
        <w:t xml:space="preserve">, which </w:t>
      </w:r>
      <w:r w:rsidR="00F436EF" w:rsidRPr="000C4364">
        <w:rPr>
          <w:color w:val="000000" w:themeColor="text1"/>
          <w:szCs w:val="24"/>
        </w:rPr>
        <w:t xml:space="preserve">is clustered </w:t>
      </w:r>
      <w:r w:rsidR="00474ABD" w:rsidRPr="000C4364">
        <w:rPr>
          <w:color w:val="000000" w:themeColor="text1"/>
          <w:szCs w:val="24"/>
        </w:rPr>
        <w:t>at the country level to allow for correlation of errors within but not across countries</w:t>
      </w:r>
      <w:r w:rsidR="00575E7B" w:rsidRPr="000C4364">
        <w:rPr>
          <w:color w:val="000000" w:themeColor="text1"/>
          <w:szCs w:val="24"/>
        </w:rPr>
        <w:t xml:space="preserve"> in our estimations</w:t>
      </w:r>
      <w:r w:rsidR="006545DA" w:rsidRPr="000C4364">
        <w:rPr>
          <w:color w:val="000000" w:themeColor="text1"/>
          <w:szCs w:val="24"/>
        </w:rPr>
        <w:t>.</w:t>
      </w:r>
    </w:p>
    <w:p w:rsidR="001445D1" w:rsidRPr="000C4364" w:rsidRDefault="0083742B" w:rsidP="000C4364">
      <w:pPr>
        <w:pStyle w:val="BodyText"/>
        <w:tabs>
          <w:tab w:val="left" w:pos="709"/>
        </w:tabs>
        <w:spacing w:line="480" w:lineRule="auto"/>
        <w:rPr>
          <w:color w:val="000000" w:themeColor="text1"/>
          <w:szCs w:val="24"/>
        </w:rPr>
      </w:pPr>
      <w:r w:rsidRPr="000C4364">
        <w:rPr>
          <w:color w:val="000000" w:themeColor="text1"/>
          <w:szCs w:val="24"/>
        </w:rPr>
        <w:tab/>
      </w:r>
      <w:r w:rsidR="001445D1" w:rsidRPr="000C4364">
        <w:rPr>
          <w:color w:val="000000" w:themeColor="text1"/>
          <w:szCs w:val="24"/>
        </w:rPr>
        <w:t>The BEEPS datas</w:t>
      </w:r>
      <w:r w:rsidR="00CF5E5E" w:rsidRPr="000C4364">
        <w:rPr>
          <w:color w:val="000000" w:themeColor="text1"/>
          <w:szCs w:val="24"/>
        </w:rPr>
        <w:t>et al</w:t>
      </w:r>
      <w:r w:rsidR="001445D1" w:rsidRPr="000C4364">
        <w:rPr>
          <w:color w:val="000000" w:themeColor="text1"/>
          <w:szCs w:val="24"/>
        </w:rPr>
        <w:t xml:space="preserve">lows for the parameterisation of access to and use of formal credit in two distinct ways. First, we estimate equation (1) </w:t>
      </w:r>
      <w:r w:rsidR="004C73C1" w:rsidRPr="000C4364">
        <w:rPr>
          <w:color w:val="000000" w:themeColor="text1"/>
          <w:szCs w:val="24"/>
        </w:rPr>
        <w:t xml:space="preserve">with the </w:t>
      </w:r>
      <w:r w:rsidR="001445D1" w:rsidRPr="000C4364">
        <w:rPr>
          <w:color w:val="000000" w:themeColor="text1"/>
          <w:szCs w:val="24"/>
        </w:rPr>
        <w:t>dependent var</w:t>
      </w:r>
      <w:r w:rsidR="004C73C1" w:rsidRPr="000C4364">
        <w:rPr>
          <w:color w:val="000000" w:themeColor="text1"/>
          <w:szCs w:val="24"/>
        </w:rPr>
        <w:t>iable taking</w:t>
      </w:r>
      <w:r w:rsidR="001445D1" w:rsidRPr="000C4364">
        <w:rPr>
          <w:color w:val="000000" w:themeColor="text1"/>
          <w:szCs w:val="24"/>
        </w:rPr>
        <w:t xml:space="preserve"> the value of 1 if an SME held a </w:t>
      </w:r>
      <w:r w:rsidR="001445D1" w:rsidRPr="000C4364">
        <w:rPr>
          <w:i/>
          <w:color w:val="000000" w:themeColor="text1"/>
          <w:szCs w:val="24"/>
        </w:rPr>
        <w:t xml:space="preserve">bank </w:t>
      </w:r>
      <w:r w:rsidR="004C73C1" w:rsidRPr="000C4364">
        <w:rPr>
          <w:i/>
          <w:color w:val="000000" w:themeColor="text1"/>
          <w:szCs w:val="24"/>
        </w:rPr>
        <w:t>loan</w:t>
      </w:r>
      <w:r w:rsidR="004C73C1" w:rsidRPr="000C4364">
        <w:rPr>
          <w:color w:val="000000" w:themeColor="text1"/>
          <w:szCs w:val="24"/>
        </w:rPr>
        <w:t xml:space="preserve"> </w:t>
      </w:r>
      <w:r w:rsidR="001445D1" w:rsidRPr="000C4364">
        <w:rPr>
          <w:color w:val="000000" w:themeColor="text1"/>
          <w:szCs w:val="24"/>
        </w:rPr>
        <w:t>in the last fiscal year and 0 otherwise. We then estimate equation (1)</w:t>
      </w:r>
      <w:r w:rsidR="00245EE3" w:rsidRPr="000C4364">
        <w:rPr>
          <w:color w:val="000000" w:themeColor="text1"/>
          <w:szCs w:val="24"/>
        </w:rPr>
        <w:t xml:space="preserve"> </w:t>
      </w:r>
      <w:r w:rsidR="004C73C1" w:rsidRPr="000C4364">
        <w:rPr>
          <w:color w:val="000000" w:themeColor="text1"/>
          <w:szCs w:val="24"/>
        </w:rPr>
        <w:t>with the dependent variable measuring</w:t>
      </w:r>
      <w:r w:rsidR="001445D1" w:rsidRPr="000C4364">
        <w:rPr>
          <w:color w:val="000000" w:themeColor="text1"/>
          <w:szCs w:val="24"/>
        </w:rPr>
        <w:t xml:space="preserve"> the annual </w:t>
      </w:r>
      <w:r w:rsidR="004C73C1" w:rsidRPr="000C4364">
        <w:rPr>
          <w:i/>
          <w:color w:val="000000" w:themeColor="text1"/>
          <w:szCs w:val="24"/>
        </w:rPr>
        <w:t xml:space="preserve">loan </w:t>
      </w:r>
      <w:r w:rsidR="001445D1" w:rsidRPr="000C4364">
        <w:rPr>
          <w:i/>
          <w:color w:val="000000" w:themeColor="text1"/>
          <w:szCs w:val="24"/>
        </w:rPr>
        <w:t xml:space="preserve">interest </w:t>
      </w:r>
      <w:r w:rsidR="001445D1" w:rsidRPr="000C4364">
        <w:rPr>
          <w:color w:val="000000" w:themeColor="text1"/>
          <w:szCs w:val="24"/>
        </w:rPr>
        <w:t xml:space="preserve">rate paid on the most recent loan. The estimation results of the </w:t>
      </w:r>
      <w:r w:rsidR="004C73C1" w:rsidRPr="000C4364">
        <w:rPr>
          <w:i/>
          <w:color w:val="000000" w:themeColor="text1"/>
          <w:szCs w:val="24"/>
        </w:rPr>
        <w:t>bank l</w:t>
      </w:r>
      <w:r w:rsidR="001A2ACD" w:rsidRPr="000C4364">
        <w:rPr>
          <w:i/>
          <w:color w:val="000000" w:themeColor="text1"/>
          <w:szCs w:val="24"/>
        </w:rPr>
        <w:t>oan</w:t>
      </w:r>
      <w:r w:rsidR="001445D1" w:rsidRPr="000C4364">
        <w:rPr>
          <w:color w:val="000000" w:themeColor="text1"/>
          <w:szCs w:val="24"/>
        </w:rPr>
        <w:t xml:space="preserve"> models are presented in table 5 and those of the </w:t>
      </w:r>
      <w:r w:rsidR="004C73C1" w:rsidRPr="000C4364">
        <w:rPr>
          <w:i/>
          <w:color w:val="000000" w:themeColor="text1"/>
          <w:szCs w:val="24"/>
        </w:rPr>
        <w:t>l</w:t>
      </w:r>
      <w:r w:rsidR="001A2ACD" w:rsidRPr="000C4364">
        <w:rPr>
          <w:i/>
          <w:color w:val="000000" w:themeColor="text1"/>
          <w:szCs w:val="24"/>
        </w:rPr>
        <w:t xml:space="preserve">oan </w:t>
      </w:r>
      <w:r w:rsidR="004C73C1" w:rsidRPr="000C4364">
        <w:rPr>
          <w:i/>
          <w:color w:val="000000" w:themeColor="text1"/>
          <w:szCs w:val="24"/>
        </w:rPr>
        <w:t>i</w:t>
      </w:r>
      <w:r w:rsidR="001A2ACD" w:rsidRPr="000C4364">
        <w:rPr>
          <w:i/>
          <w:color w:val="000000" w:themeColor="text1"/>
          <w:szCs w:val="24"/>
        </w:rPr>
        <w:t>nterest</w:t>
      </w:r>
      <w:r w:rsidR="001445D1" w:rsidRPr="000C4364">
        <w:rPr>
          <w:color w:val="000000" w:themeColor="text1"/>
          <w:szCs w:val="24"/>
        </w:rPr>
        <w:t xml:space="preserve"> models are in table 6. Models 1-5 in table 5 are estimated using a probit maximum likelihood approach and </w:t>
      </w:r>
      <w:r w:rsidR="00533B6F" w:rsidRPr="000C4364">
        <w:rPr>
          <w:color w:val="000000" w:themeColor="text1"/>
          <w:szCs w:val="24"/>
        </w:rPr>
        <w:t xml:space="preserve">Models 6-10 </w:t>
      </w:r>
      <w:r w:rsidR="001445D1" w:rsidRPr="000C4364">
        <w:rPr>
          <w:color w:val="000000" w:themeColor="text1"/>
          <w:szCs w:val="24"/>
        </w:rPr>
        <w:t xml:space="preserve">in table 6 </w:t>
      </w:r>
      <w:r w:rsidR="00533B6F" w:rsidRPr="000C4364">
        <w:rPr>
          <w:color w:val="000000" w:themeColor="text1"/>
          <w:szCs w:val="24"/>
        </w:rPr>
        <w:t xml:space="preserve">are estimated </w:t>
      </w:r>
      <w:r w:rsidR="001445D1" w:rsidRPr="000C4364">
        <w:rPr>
          <w:color w:val="000000" w:themeColor="text1"/>
          <w:szCs w:val="24"/>
        </w:rPr>
        <w:t>using ordinary least squares (OLS). Coefficient estimates for models 1-5 in table 5 are marginal effects at the mean after probit est</w:t>
      </w:r>
      <w:r w:rsidR="001A2ACD" w:rsidRPr="000C4364">
        <w:rPr>
          <w:color w:val="000000" w:themeColor="text1"/>
          <w:szCs w:val="24"/>
        </w:rPr>
        <w:t>imation and those for models 6-10</w:t>
      </w:r>
      <w:r w:rsidR="001445D1" w:rsidRPr="000C4364">
        <w:rPr>
          <w:color w:val="000000" w:themeColor="text1"/>
          <w:szCs w:val="24"/>
        </w:rPr>
        <w:t xml:space="preserve"> in table 6 are OLS estimates. Asymptotic standard errors, clustered by country, are reported in parentheses.</w:t>
      </w:r>
    </w:p>
    <w:p w:rsidR="001445D1" w:rsidRPr="000C4364" w:rsidRDefault="001445D1" w:rsidP="000C4364">
      <w:pPr>
        <w:spacing w:after="0" w:line="480" w:lineRule="auto"/>
        <w:jc w:val="center"/>
        <w:rPr>
          <w:rFonts w:ascii="Times New Roman" w:hAnsi="Times New Roman" w:cs="Times New Roman"/>
          <w:i/>
          <w:color w:val="000000" w:themeColor="text1"/>
          <w:sz w:val="24"/>
          <w:szCs w:val="24"/>
        </w:rPr>
      </w:pPr>
      <w:r w:rsidRPr="000C4364">
        <w:rPr>
          <w:rFonts w:ascii="Times New Roman" w:hAnsi="Times New Roman" w:cs="Times New Roman"/>
          <w:i/>
          <w:color w:val="000000" w:themeColor="text1"/>
          <w:sz w:val="24"/>
          <w:szCs w:val="24"/>
        </w:rPr>
        <w:t>&lt;Table 5&gt;</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We start our estimation of the </w:t>
      </w:r>
      <w:r w:rsidR="008457B8" w:rsidRPr="000C4364">
        <w:rPr>
          <w:i/>
          <w:color w:val="000000" w:themeColor="text1"/>
          <w:szCs w:val="24"/>
        </w:rPr>
        <w:t>bank l</w:t>
      </w:r>
      <w:r w:rsidRPr="000C4364">
        <w:rPr>
          <w:i/>
          <w:color w:val="000000" w:themeColor="text1"/>
          <w:szCs w:val="24"/>
        </w:rPr>
        <w:t>oan</w:t>
      </w:r>
      <w:r w:rsidRPr="000C4364">
        <w:rPr>
          <w:color w:val="000000" w:themeColor="text1"/>
          <w:szCs w:val="24"/>
        </w:rPr>
        <w:t xml:space="preserve"> equation with our target variables </w:t>
      </w:r>
      <w:r w:rsidR="008457B8" w:rsidRPr="000C4364">
        <w:rPr>
          <w:i/>
          <w:color w:val="000000" w:themeColor="text1"/>
          <w:szCs w:val="24"/>
        </w:rPr>
        <w:t>b</w:t>
      </w:r>
      <w:r w:rsidRPr="000C4364">
        <w:rPr>
          <w:i/>
          <w:color w:val="000000" w:themeColor="text1"/>
          <w:szCs w:val="24"/>
        </w:rPr>
        <w:t xml:space="preserve">ribes and </w:t>
      </w:r>
      <w:r w:rsidR="008457B8" w:rsidRPr="000C4364">
        <w:rPr>
          <w:i/>
          <w:color w:val="000000" w:themeColor="text1"/>
          <w:szCs w:val="24"/>
        </w:rPr>
        <w:t>g</w:t>
      </w:r>
      <w:r w:rsidRPr="000C4364">
        <w:rPr>
          <w:i/>
          <w:color w:val="000000" w:themeColor="text1"/>
          <w:szCs w:val="24"/>
        </w:rPr>
        <w:t>ifts</w:t>
      </w:r>
      <w:r w:rsidRPr="000C4364">
        <w:rPr>
          <w:color w:val="000000" w:themeColor="text1"/>
          <w:szCs w:val="24"/>
        </w:rPr>
        <w:t xml:space="preserve"> and </w:t>
      </w:r>
      <w:r w:rsidR="008457B8" w:rsidRPr="000C4364">
        <w:rPr>
          <w:i/>
          <w:color w:val="000000" w:themeColor="text1"/>
          <w:szCs w:val="24"/>
        </w:rPr>
        <w:t>g</w:t>
      </w:r>
      <w:r w:rsidRPr="000C4364">
        <w:rPr>
          <w:i/>
          <w:color w:val="000000" w:themeColor="text1"/>
          <w:szCs w:val="24"/>
        </w:rPr>
        <w:t xml:space="preserve">overnment </w:t>
      </w:r>
      <w:r w:rsidR="008457B8" w:rsidRPr="000C4364">
        <w:rPr>
          <w:i/>
          <w:color w:val="000000" w:themeColor="text1"/>
          <w:szCs w:val="24"/>
        </w:rPr>
        <w:t>c</w:t>
      </w:r>
      <w:r w:rsidRPr="000C4364">
        <w:rPr>
          <w:i/>
          <w:color w:val="000000" w:themeColor="text1"/>
          <w:szCs w:val="24"/>
        </w:rPr>
        <w:t xml:space="preserve">ontract </w:t>
      </w:r>
      <w:r w:rsidR="00C310C5" w:rsidRPr="000C4364">
        <w:rPr>
          <w:color w:val="000000" w:themeColor="text1"/>
          <w:szCs w:val="24"/>
        </w:rPr>
        <w:t>in m</w:t>
      </w:r>
      <w:r w:rsidRPr="000C4364">
        <w:rPr>
          <w:color w:val="000000" w:themeColor="text1"/>
          <w:szCs w:val="24"/>
        </w:rPr>
        <w:t xml:space="preserve">odels 1 and 2, and sequentially add other important measures of firm characteristics and macroeconomic factors to the right hand side of the equation. The estimates presented in table </w:t>
      </w:r>
      <w:r w:rsidR="00C310C5" w:rsidRPr="000C4364">
        <w:rPr>
          <w:color w:val="000000" w:themeColor="text1"/>
          <w:szCs w:val="24"/>
        </w:rPr>
        <w:t>5 corroborate expectations. In m</w:t>
      </w:r>
      <w:r w:rsidRPr="000C4364">
        <w:rPr>
          <w:color w:val="000000" w:themeColor="text1"/>
          <w:szCs w:val="24"/>
        </w:rPr>
        <w:t xml:space="preserve">odel 1, only our main target variable </w:t>
      </w:r>
      <w:r w:rsidR="008457B8" w:rsidRPr="000C4364">
        <w:rPr>
          <w:i/>
          <w:color w:val="000000" w:themeColor="text1"/>
          <w:szCs w:val="24"/>
        </w:rPr>
        <w:t>b</w:t>
      </w:r>
      <w:r w:rsidRPr="000C4364">
        <w:rPr>
          <w:i/>
          <w:color w:val="000000" w:themeColor="text1"/>
          <w:szCs w:val="24"/>
        </w:rPr>
        <w:t xml:space="preserve">ribes and </w:t>
      </w:r>
      <w:r w:rsidR="008457B8" w:rsidRPr="000C4364">
        <w:rPr>
          <w:i/>
          <w:color w:val="000000" w:themeColor="text1"/>
          <w:szCs w:val="24"/>
        </w:rPr>
        <w:t>g</w:t>
      </w:r>
      <w:r w:rsidRPr="000C4364">
        <w:rPr>
          <w:i/>
          <w:color w:val="000000" w:themeColor="text1"/>
          <w:szCs w:val="24"/>
        </w:rPr>
        <w:t xml:space="preserve">ifts </w:t>
      </w:r>
      <w:proofErr w:type="gramStart"/>
      <w:r w:rsidRPr="000C4364">
        <w:rPr>
          <w:color w:val="000000" w:themeColor="text1"/>
          <w:szCs w:val="24"/>
        </w:rPr>
        <w:t>is</w:t>
      </w:r>
      <w:proofErr w:type="gramEnd"/>
      <w:r w:rsidRPr="000C4364">
        <w:rPr>
          <w:color w:val="000000" w:themeColor="text1"/>
          <w:szCs w:val="24"/>
        </w:rPr>
        <w:t xml:space="preserve"> included and its estimate has </w:t>
      </w:r>
      <w:r w:rsidR="00C310C5" w:rsidRPr="000C4364">
        <w:rPr>
          <w:color w:val="000000" w:themeColor="text1"/>
          <w:szCs w:val="24"/>
        </w:rPr>
        <w:t xml:space="preserve">the </w:t>
      </w:r>
      <w:r w:rsidRPr="000C4364">
        <w:rPr>
          <w:color w:val="000000" w:themeColor="text1"/>
          <w:szCs w:val="24"/>
        </w:rPr>
        <w:t xml:space="preserve">expected sign and is statistically significant at the 1 percent level. Model 2 includes both of our target variables, </w:t>
      </w:r>
      <w:r w:rsidR="008457B8" w:rsidRPr="000C4364">
        <w:rPr>
          <w:i/>
          <w:color w:val="000000" w:themeColor="text1"/>
          <w:szCs w:val="24"/>
        </w:rPr>
        <w:t>b</w:t>
      </w:r>
      <w:r w:rsidRPr="000C4364">
        <w:rPr>
          <w:i/>
          <w:color w:val="000000" w:themeColor="text1"/>
          <w:szCs w:val="24"/>
        </w:rPr>
        <w:t xml:space="preserve">ribes and </w:t>
      </w:r>
      <w:r w:rsidR="008457B8" w:rsidRPr="000C4364">
        <w:rPr>
          <w:i/>
          <w:color w:val="000000" w:themeColor="text1"/>
          <w:szCs w:val="24"/>
        </w:rPr>
        <w:t>g</w:t>
      </w:r>
      <w:r w:rsidRPr="000C4364">
        <w:rPr>
          <w:i/>
          <w:color w:val="000000" w:themeColor="text1"/>
          <w:szCs w:val="24"/>
        </w:rPr>
        <w:t>ifts</w:t>
      </w:r>
      <w:r w:rsidRPr="000C4364">
        <w:rPr>
          <w:color w:val="000000" w:themeColor="text1"/>
          <w:szCs w:val="24"/>
        </w:rPr>
        <w:t xml:space="preserve"> and </w:t>
      </w:r>
      <w:r w:rsidR="008457B8" w:rsidRPr="000C4364">
        <w:rPr>
          <w:i/>
          <w:color w:val="000000" w:themeColor="text1"/>
          <w:szCs w:val="24"/>
        </w:rPr>
        <w:t>g</w:t>
      </w:r>
      <w:r w:rsidRPr="000C4364">
        <w:rPr>
          <w:i/>
          <w:color w:val="000000" w:themeColor="text1"/>
          <w:szCs w:val="24"/>
        </w:rPr>
        <w:t xml:space="preserve">overnment </w:t>
      </w:r>
      <w:proofErr w:type="gramStart"/>
      <w:r w:rsidR="008457B8" w:rsidRPr="000C4364">
        <w:rPr>
          <w:i/>
          <w:color w:val="000000" w:themeColor="text1"/>
          <w:szCs w:val="24"/>
        </w:rPr>
        <w:t>c</w:t>
      </w:r>
      <w:r w:rsidRPr="000C4364">
        <w:rPr>
          <w:i/>
          <w:color w:val="000000" w:themeColor="text1"/>
          <w:szCs w:val="24"/>
        </w:rPr>
        <w:t>ontract,</w:t>
      </w:r>
      <w:proofErr w:type="gramEnd"/>
      <w:r w:rsidRPr="000C4364">
        <w:rPr>
          <w:i/>
          <w:color w:val="000000" w:themeColor="text1"/>
          <w:szCs w:val="24"/>
        </w:rPr>
        <w:t xml:space="preserve"> </w:t>
      </w:r>
      <w:r w:rsidRPr="000C4364">
        <w:rPr>
          <w:color w:val="000000" w:themeColor="text1"/>
          <w:szCs w:val="24"/>
        </w:rPr>
        <w:t>and both of these variables have expected signs and are statistically significant. Although the marginal effects of the estimated coefficients should be interpreted with caution, results indicate that offering bribes and gifts increases the chance of gaining access to formal credit by about 3</w:t>
      </w:r>
      <w:r w:rsidR="00C310C5" w:rsidRPr="000C4364">
        <w:rPr>
          <w:color w:val="000000" w:themeColor="text1"/>
          <w:szCs w:val="24"/>
        </w:rPr>
        <w:t xml:space="preserve"> to </w:t>
      </w:r>
      <w:r w:rsidR="00A83F98" w:rsidRPr="000C4364">
        <w:rPr>
          <w:color w:val="000000" w:themeColor="text1"/>
          <w:szCs w:val="24"/>
        </w:rPr>
        <w:t>4</w:t>
      </w:r>
      <w:r w:rsidR="00C310C5" w:rsidRPr="000C4364">
        <w:rPr>
          <w:color w:val="000000" w:themeColor="text1"/>
          <w:szCs w:val="24"/>
        </w:rPr>
        <w:t xml:space="preserve"> </w:t>
      </w:r>
      <w:r w:rsidRPr="000C4364">
        <w:rPr>
          <w:color w:val="000000" w:themeColor="text1"/>
          <w:szCs w:val="24"/>
        </w:rPr>
        <w:t xml:space="preserve">percent and having a government contract improves the chance of obtaining a bank loan by 7 percent. To check if the estimated relationships persist after we control for various firm characteristics, we add several variables </w:t>
      </w:r>
      <w:r w:rsidRPr="000C4364">
        <w:rPr>
          <w:color w:val="000000" w:themeColor="text1"/>
          <w:szCs w:val="24"/>
        </w:rPr>
        <w:lastRenderedPageBreak/>
        <w:t>to our es</w:t>
      </w:r>
      <w:r w:rsidR="00C310C5" w:rsidRPr="000C4364">
        <w:rPr>
          <w:color w:val="000000" w:themeColor="text1"/>
          <w:szCs w:val="24"/>
        </w:rPr>
        <w:t>timation in m</w:t>
      </w:r>
      <w:r w:rsidRPr="000C4364">
        <w:rPr>
          <w:color w:val="000000" w:themeColor="text1"/>
          <w:szCs w:val="24"/>
        </w:rPr>
        <w:t xml:space="preserve">odel 3, which consists of </w:t>
      </w:r>
      <w:r w:rsidR="00C310C5" w:rsidRPr="000C4364">
        <w:rPr>
          <w:i/>
          <w:color w:val="000000" w:themeColor="text1"/>
          <w:szCs w:val="24"/>
        </w:rPr>
        <w:t>e</w:t>
      </w:r>
      <w:r w:rsidRPr="000C4364">
        <w:rPr>
          <w:i/>
          <w:color w:val="000000" w:themeColor="text1"/>
          <w:szCs w:val="24"/>
        </w:rPr>
        <w:t xml:space="preserve">nterprise </w:t>
      </w:r>
      <w:r w:rsidR="00C310C5" w:rsidRPr="000C4364">
        <w:rPr>
          <w:i/>
          <w:color w:val="000000" w:themeColor="text1"/>
          <w:szCs w:val="24"/>
        </w:rPr>
        <w:t>a</w:t>
      </w:r>
      <w:r w:rsidRPr="000C4364">
        <w:rPr>
          <w:i/>
          <w:color w:val="000000" w:themeColor="text1"/>
          <w:szCs w:val="24"/>
        </w:rPr>
        <w:t xml:space="preserve">ge, </w:t>
      </w:r>
      <w:r w:rsidR="00C310C5" w:rsidRPr="000C4364">
        <w:rPr>
          <w:i/>
          <w:color w:val="000000" w:themeColor="text1"/>
          <w:szCs w:val="24"/>
        </w:rPr>
        <w:t>t</w:t>
      </w:r>
      <w:r w:rsidRPr="000C4364">
        <w:rPr>
          <w:i/>
          <w:color w:val="000000" w:themeColor="text1"/>
          <w:szCs w:val="24"/>
        </w:rPr>
        <w:t xml:space="preserve">rade </w:t>
      </w:r>
      <w:r w:rsidR="00C310C5" w:rsidRPr="000C4364">
        <w:rPr>
          <w:i/>
          <w:color w:val="000000" w:themeColor="text1"/>
          <w:szCs w:val="24"/>
        </w:rPr>
        <w:t>c</w:t>
      </w:r>
      <w:r w:rsidRPr="000C4364">
        <w:rPr>
          <w:i/>
          <w:color w:val="000000" w:themeColor="text1"/>
          <w:szCs w:val="24"/>
        </w:rPr>
        <w:t xml:space="preserve">redit, </w:t>
      </w:r>
      <w:r w:rsidR="00C310C5" w:rsidRPr="000C4364">
        <w:rPr>
          <w:i/>
          <w:color w:val="000000" w:themeColor="text1"/>
          <w:szCs w:val="24"/>
        </w:rPr>
        <w:t>l</w:t>
      </w:r>
      <w:r w:rsidRPr="000C4364">
        <w:rPr>
          <w:i/>
          <w:color w:val="000000" w:themeColor="text1"/>
          <w:szCs w:val="24"/>
        </w:rPr>
        <w:t xml:space="preserve">easing, </w:t>
      </w:r>
      <w:r w:rsidR="00C310C5" w:rsidRPr="000C4364">
        <w:rPr>
          <w:i/>
          <w:color w:val="000000" w:themeColor="text1"/>
          <w:szCs w:val="24"/>
        </w:rPr>
        <w:t>l</w:t>
      </w:r>
      <w:r w:rsidRPr="000C4364">
        <w:rPr>
          <w:i/>
          <w:color w:val="000000" w:themeColor="text1"/>
          <w:szCs w:val="24"/>
        </w:rPr>
        <w:t>og(</w:t>
      </w:r>
      <w:r w:rsidR="00C310C5" w:rsidRPr="000C4364">
        <w:rPr>
          <w:i/>
          <w:color w:val="000000" w:themeColor="text1"/>
          <w:szCs w:val="24"/>
        </w:rPr>
        <w:t>l</w:t>
      </w:r>
      <w:r w:rsidRPr="000C4364">
        <w:rPr>
          <w:i/>
          <w:color w:val="000000" w:themeColor="text1"/>
          <w:szCs w:val="24"/>
        </w:rPr>
        <w:t xml:space="preserve">abour), </w:t>
      </w:r>
      <w:r w:rsidR="00C310C5" w:rsidRPr="000C4364">
        <w:rPr>
          <w:i/>
          <w:color w:val="000000" w:themeColor="text1"/>
          <w:szCs w:val="24"/>
        </w:rPr>
        <w:t>e</w:t>
      </w:r>
      <w:r w:rsidRPr="000C4364">
        <w:rPr>
          <w:i/>
          <w:color w:val="000000" w:themeColor="text1"/>
          <w:szCs w:val="24"/>
        </w:rPr>
        <w:t xml:space="preserve">xpected </w:t>
      </w:r>
      <w:r w:rsidR="00C310C5" w:rsidRPr="000C4364">
        <w:rPr>
          <w:i/>
          <w:color w:val="000000" w:themeColor="text1"/>
          <w:szCs w:val="24"/>
        </w:rPr>
        <w:t>s</w:t>
      </w:r>
      <w:r w:rsidRPr="000C4364">
        <w:rPr>
          <w:i/>
          <w:color w:val="000000" w:themeColor="text1"/>
          <w:szCs w:val="24"/>
        </w:rPr>
        <w:t xml:space="preserve">ales, </w:t>
      </w:r>
      <w:r w:rsidR="00C310C5" w:rsidRPr="000C4364">
        <w:rPr>
          <w:i/>
          <w:color w:val="000000" w:themeColor="text1"/>
          <w:szCs w:val="24"/>
        </w:rPr>
        <w:t>q</w:t>
      </w:r>
      <w:r w:rsidRPr="000C4364">
        <w:rPr>
          <w:i/>
          <w:color w:val="000000" w:themeColor="text1"/>
          <w:szCs w:val="24"/>
        </w:rPr>
        <w:t xml:space="preserve">uality </w:t>
      </w:r>
      <w:r w:rsidR="00C310C5" w:rsidRPr="000C4364">
        <w:rPr>
          <w:i/>
          <w:color w:val="000000" w:themeColor="text1"/>
          <w:szCs w:val="24"/>
        </w:rPr>
        <w:t>c</w:t>
      </w:r>
      <w:r w:rsidRPr="000C4364">
        <w:rPr>
          <w:i/>
          <w:color w:val="000000" w:themeColor="text1"/>
          <w:szCs w:val="24"/>
        </w:rPr>
        <w:t xml:space="preserve">ertificate, </w:t>
      </w:r>
      <w:r w:rsidR="00C310C5" w:rsidRPr="000C4364">
        <w:rPr>
          <w:i/>
          <w:color w:val="000000" w:themeColor="text1"/>
          <w:szCs w:val="24"/>
        </w:rPr>
        <w:t>a</w:t>
      </w:r>
      <w:r w:rsidRPr="000C4364">
        <w:rPr>
          <w:i/>
          <w:color w:val="000000" w:themeColor="text1"/>
          <w:szCs w:val="24"/>
        </w:rPr>
        <w:t xml:space="preserve">ccounts </w:t>
      </w:r>
      <w:r w:rsidR="00C310C5" w:rsidRPr="000C4364">
        <w:rPr>
          <w:i/>
          <w:color w:val="000000" w:themeColor="text1"/>
          <w:szCs w:val="24"/>
        </w:rPr>
        <w:t>a</w:t>
      </w:r>
      <w:r w:rsidRPr="000C4364">
        <w:rPr>
          <w:i/>
          <w:color w:val="000000" w:themeColor="text1"/>
          <w:szCs w:val="24"/>
        </w:rPr>
        <w:t xml:space="preserve">udited, </w:t>
      </w:r>
      <w:r w:rsidR="00C310C5" w:rsidRPr="000C4364">
        <w:rPr>
          <w:i/>
          <w:color w:val="000000" w:themeColor="text1"/>
          <w:szCs w:val="24"/>
        </w:rPr>
        <w:t>p</w:t>
      </w:r>
      <w:r w:rsidRPr="000C4364">
        <w:rPr>
          <w:i/>
          <w:color w:val="000000" w:themeColor="text1"/>
          <w:szCs w:val="24"/>
        </w:rPr>
        <w:t>ro</w:t>
      </w:r>
      <w:r w:rsidR="00A83F98" w:rsidRPr="000C4364">
        <w:rPr>
          <w:i/>
          <w:color w:val="000000" w:themeColor="text1"/>
          <w:szCs w:val="24"/>
        </w:rPr>
        <w:t xml:space="preserve">duct </w:t>
      </w:r>
      <w:r w:rsidR="00C310C5" w:rsidRPr="000C4364">
        <w:rPr>
          <w:i/>
          <w:color w:val="000000" w:themeColor="text1"/>
          <w:szCs w:val="24"/>
        </w:rPr>
        <w:t>c</w:t>
      </w:r>
      <w:r w:rsidR="00A83F98" w:rsidRPr="000C4364">
        <w:rPr>
          <w:i/>
          <w:color w:val="000000" w:themeColor="text1"/>
          <w:szCs w:val="24"/>
        </w:rPr>
        <w:t xml:space="preserve">oncentration, </w:t>
      </w:r>
      <w:r w:rsidR="00C310C5" w:rsidRPr="000C4364">
        <w:rPr>
          <w:i/>
          <w:color w:val="000000" w:themeColor="text1"/>
          <w:szCs w:val="24"/>
        </w:rPr>
        <w:t>o</w:t>
      </w:r>
      <w:r w:rsidR="00A83F98" w:rsidRPr="000C4364">
        <w:rPr>
          <w:i/>
          <w:color w:val="000000" w:themeColor="text1"/>
          <w:szCs w:val="24"/>
        </w:rPr>
        <w:t xml:space="preserve">wn </w:t>
      </w:r>
      <w:r w:rsidR="00C310C5" w:rsidRPr="000C4364">
        <w:rPr>
          <w:i/>
          <w:color w:val="000000" w:themeColor="text1"/>
          <w:szCs w:val="24"/>
        </w:rPr>
        <w:t>w</w:t>
      </w:r>
      <w:r w:rsidR="00A83F98" w:rsidRPr="000C4364">
        <w:rPr>
          <w:i/>
          <w:color w:val="000000" w:themeColor="text1"/>
          <w:szCs w:val="24"/>
        </w:rPr>
        <w:t>ebsite</w:t>
      </w:r>
      <w:r w:rsidRPr="000C4364">
        <w:rPr>
          <w:i/>
          <w:color w:val="000000" w:themeColor="text1"/>
          <w:szCs w:val="24"/>
        </w:rPr>
        <w:t xml:space="preserve"> </w:t>
      </w:r>
      <w:r w:rsidRPr="000C4364">
        <w:rPr>
          <w:color w:val="000000" w:themeColor="text1"/>
          <w:szCs w:val="24"/>
        </w:rPr>
        <w:t xml:space="preserve">and </w:t>
      </w:r>
      <w:r w:rsidR="00C310C5" w:rsidRPr="000C4364">
        <w:rPr>
          <w:i/>
          <w:color w:val="000000" w:themeColor="text1"/>
          <w:szCs w:val="24"/>
        </w:rPr>
        <w:t>c</w:t>
      </w:r>
      <w:r w:rsidRPr="000C4364">
        <w:rPr>
          <w:i/>
          <w:color w:val="000000" w:themeColor="text1"/>
          <w:szCs w:val="24"/>
        </w:rPr>
        <w:t xml:space="preserve">ity. </w:t>
      </w:r>
      <w:r w:rsidRPr="000C4364">
        <w:rPr>
          <w:color w:val="000000" w:themeColor="text1"/>
          <w:szCs w:val="24"/>
        </w:rPr>
        <w:t>The inclusion of these variables reduces the magnitudes of our ta</w:t>
      </w:r>
      <w:r w:rsidR="00C310C5" w:rsidRPr="000C4364">
        <w:rPr>
          <w:color w:val="000000" w:themeColor="text1"/>
          <w:szCs w:val="24"/>
        </w:rPr>
        <w:t>rgets variables slightly</w:t>
      </w:r>
      <w:r w:rsidRPr="000C4364">
        <w:rPr>
          <w:color w:val="000000" w:themeColor="text1"/>
          <w:szCs w:val="24"/>
        </w:rPr>
        <w:t xml:space="preserve"> but </w:t>
      </w:r>
      <w:r w:rsidR="00C310C5" w:rsidRPr="000C4364">
        <w:rPr>
          <w:color w:val="000000" w:themeColor="text1"/>
          <w:szCs w:val="24"/>
        </w:rPr>
        <w:t xml:space="preserve">our results </w:t>
      </w:r>
      <w:r w:rsidRPr="000C4364">
        <w:rPr>
          <w:color w:val="000000" w:themeColor="text1"/>
          <w:szCs w:val="24"/>
        </w:rPr>
        <w:t>remain statistically significant at least at the 5 percent level.</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 As for the control variables, </w:t>
      </w:r>
      <w:r w:rsidR="00C310C5" w:rsidRPr="000C4364">
        <w:rPr>
          <w:i/>
          <w:color w:val="000000" w:themeColor="text1"/>
          <w:szCs w:val="24"/>
        </w:rPr>
        <w:t>e</w:t>
      </w:r>
      <w:r w:rsidRPr="000C4364">
        <w:rPr>
          <w:i/>
          <w:color w:val="000000" w:themeColor="text1"/>
          <w:szCs w:val="24"/>
        </w:rPr>
        <w:t xml:space="preserve">nterprise </w:t>
      </w:r>
      <w:r w:rsidR="00C310C5" w:rsidRPr="000C4364">
        <w:rPr>
          <w:i/>
          <w:color w:val="000000" w:themeColor="text1"/>
          <w:szCs w:val="24"/>
        </w:rPr>
        <w:t>a</w:t>
      </w:r>
      <w:r w:rsidRPr="000C4364">
        <w:rPr>
          <w:i/>
          <w:color w:val="000000" w:themeColor="text1"/>
          <w:szCs w:val="24"/>
        </w:rPr>
        <w:t>ge</w:t>
      </w:r>
      <w:r w:rsidRPr="000C4364">
        <w:rPr>
          <w:color w:val="000000" w:themeColor="text1"/>
          <w:szCs w:val="24"/>
        </w:rPr>
        <w:t xml:space="preserve"> is expected to have positive association with the probability of obtaining formal credit. From the lenders’ perspective, enterprises that have been established for a longer time may have better reputations, credit histories and longer-term relationships with formal credit institutions (</w:t>
      </w:r>
      <w:proofErr w:type="spellStart"/>
      <w:r w:rsidRPr="000C4364">
        <w:rPr>
          <w:color w:val="000000" w:themeColor="text1"/>
          <w:szCs w:val="24"/>
        </w:rPr>
        <w:t>Cavaluzzo</w:t>
      </w:r>
      <w:proofErr w:type="spellEnd"/>
      <w:r w:rsidRPr="000C4364">
        <w:rPr>
          <w:color w:val="000000" w:themeColor="text1"/>
          <w:szCs w:val="24"/>
        </w:rPr>
        <w:t xml:space="preserve"> and </w:t>
      </w:r>
      <w:proofErr w:type="spellStart"/>
      <w:r w:rsidRPr="000C4364">
        <w:rPr>
          <w:color w:val="000000" w:themeColor="text1"/>
          <w:szCs w:val="24"/>
        </w:rPr>
        <w:t>Cavaluzzo</w:t>
      </w:r>
      <w:proofErr w:type="spellEnd"/>
      <w:r w:rsidRPr="000C4364">
        <w:rPr>
          <w:color w:val="000000" w:themeColor="text1"/>
          <w:szCs w:val="24"/>
        </w:rPr>
        <w:t xml:space="preserve">, 1998). The relationship, however, is not linear: its importance diminishes as the values of </w:t>
      </w:r>
      <w:r w:rsidR="00C310C5" w:rsidRPr="000C4364">
        <w:rPr>
          <w:i/>
          <w:color w:val="000000" w:themeColor="text1"/>
          <w:szCs w:val="24"/>
        </w:rPr>
        <w:t>e</w:t>
      </w:r>
      <w:r w:rsidRPr="000C4364">
        <w:rPr>
          <w:i/>
          <w:color w:val="000000" w:themeColor="text1"/>
          <w:szCs w:val="24"/>
        </w:rPr>
        <w:t xml:space="preserve">nterprise </w:t>
      </w:r>
      <w:r w:rsidR="00C310C5" w:rsidRPr="000C4364">
        <w:rPr>
          <w:i/>
          <w:color w:val="000000" w:themeColor="text1"/>
          <w:szCs w:val="24"/>
        </w:rPr>
        <w:t>a</w:t>
      </w:r>
      <w:r w:rsidRPr="000C4364">
        <w:rPr>
          <w:i/>
          <w:color w:val="000000" w:themeColor="text1"/>
          <w:szCs w:val="24"/>
        </w:rPr>
        <w:t>ge</w:t>
      </w:r>
      <w:r w:rsidRPr="000C4364">
        <w:rPr>
          <w:color w:val="000000" w:themeColor="text1"/>
          <w:szCs w:val="24"/>
        </w:rPr>
        <w:t xml:space="preserve"> increase, as illustrated through the estimates of </w:t>
      </w:r>
      <w:r w:rsidR="00C310C5" w:rsidRPr="000C4364">
        <w:rPr>
          <w:i/>
          <w:color w:val="000000" w:themeColor="text1"/>
          <w:szCs w:val="24"/>
        </w:rPr>
        <w:t>e</w:t>
      </w:r>
      <w:r w:rsidRPr="000C4364">
        <w:rPr>
          <w:i/>
          <w:color w:val="000000" w:themeColor="text1"/>
          <w:szCs w:val="24"/>
        </w:rPr>
        <w:t xml:space="preserve">nterprise </w:t>
      </w:r>
      <w:r w:rsidR="00C310C5" w:rsidRPr="000C4364">
        <w:rPr>
          <w:i/>
          <w:color w:val="000000" w:themeColor="text1"/>
          <w:szCs w:val="24"/>
        </w:rPr>
        <w:t>a</w:t>
      </w:r>
      <w:r w:rsidRPr="000C4364">
        <w:rPr>
          <w:i/>
          <w:color w:val="000000" w:themeColor="text1"/>
          <w:szCs w:val="24"/>
        </w:rPr>
        <w:t xml:space="preserve">ge </w:t>
      </w:r>
      <w:r w:rsidR="00C310C5" w:rsidRPr="000C4364">
        <w:rPr>
          <w:i/>
          <w:color w:val="000000" w:themeColor="text1"/>
          <w:szCs w:val="24"/>
        </w:rPr>
        <w:t>s</w:t>
      </w:r>
      <w:r w:rsidRPr="000C4364">
        <w:rPr>
          <w:i/>
          <w:color w:val="000000" w:themeColor="text1"/>
          <w:szCs w:val="24"/>
        </w:rPr>
        <w:t>quared</w:t>
      </w:r>
      <w:r w:rsidRPr="000C4364">
        <w:rPr>
          <w:color w:val="000000" w:themeColor="text1"/>
          <w:szCs w:val="24"/>
        </w:rPr>
        <w:t>.</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Variables </w:t>
      </w:r>
      <w:r w:rsidR="00C310C5" w:rsidRPr="000C4364">
        <w:rPr>
          <w:i/>
          <w:color w:val="000000" w:themeColor="text1"/>
          <w:szCs w:val="24"/>
        </w:rPr>
        <w:t>t</w:t>
      </w:r>
      <w:r w:rsidRPr="000C4364">
        <w:rPr>
          <w:i/>
          <w:color w:val="000000" w:themeColor="text1"/>
          <w:szCs w:val="24"/>
        </w:rPr>
        <w:t xml:space="preserve">rade </w:t>
      </w:r>
      <w:r w:rsidR="00C310C5" w:rsidRPr="000C4364">
        <w:rPr>
          <w:i/>
          <w:color w:val="000000" w:themeColor="text1"/>
          <w:szCs w:val="24"/>
        </w:rPr>
        <w:t>c</w:t>
      </w:r>
      <w:r w:rsidRPr="000C4364">
        <w:rPr>
          <w:i/>
          <w:color w:val="000000" w:themeColor="text1"/>
          <w:szCs w:val="24"/>
        </w:rPr>
        <w:t xml:space="preserve">redit </w:t>
      </w:r>
      <w:r w:rsidRPr="000C4364">
        <w:rPr>
          <w:color w:val="000000" w:themeColor="text1"/>
          <w:szCs w:val="24"/>
        </w:rPr>
        <w:t xml:space="preserve">and </w:t>
      </w:r>
      <w:r w:rsidR="00C310C5" w:rsidRPr="000C4364">
        <w:rPr>
          <w:i/>
          <w:color w:val="000000" w:themeColor="text1"/>
          <w:szCs w:val="24"/>
        </w:rPr>
        <w:t>l</w:t>
      </w:r>
      <w:r w:rsidRPr="000C4364">
        <w:rPr>
          <w:i/>
          <w:color w:val="000000" w:themeColor="text1"/>
          <w:szCs w:val="24"/>
        </w:rPr>
        <w:t xml:space="preserve">easing </w:t>
      </w:r>
      <w:r w:rsidRPr="000C4364">
        <w:rPr>
          <w:color w:val="000000" w:themeColor="text1"/>
          <w:szCs w:val="24"/>
        </w:rPr>
        <w:t xml:space="preserve">are expected to have positive signs. Because SMEs are informationally more opaque than larger enterprises and as the financial systems in emerging economies are still evolving considerably, banks in PCEs tend to use SMEs’ formal credit arrangements with their suppliers and other credit institutions as screening devices when considering loan applications (Cook, 1999; </w:t>
      </w:r>
      <w:proofErr w:type="spellStart"/>
      <w:r w:rsidRPr="000C4364">
        <w:rPr>
          <w:color w:val="000000" w:themeColor="text1"/>
          <w:szCs w:val="24"/>
        </w:rPr>
        <w:t>Agostina</w:t>
      </w:r>
      <w:proofErr w:type="spellEnd"/>
      <w:r w:rsidRPr="000C4364">
        <w:rPr>
          <w:color w:val="000000" w:themeColor="text1"/>
          <w:szCs w:val="24"/>
        </w:rPr>
        <w:t xml:space="preserve"> and </w:t>
      </w:r>
      <w:proofErr w:type="spellStart"/>
      <w:r w:rsidRPr="000C4364">
        <w:rPr>
          <w:color w:val="000000" w:themeColor="text1"/>
          <w:szCs w:val="24"/>
        </w:rPr>
        <w:t>Trivieri</w:t>
      </w:r>
      <w:proofErr w:type="spellEnd"/>
      <w:r w:rsidRPr="000C4364">
        <w:rPr>
          <w:color w:val="000000" w:themeColor="text1"/>
          <w:szCs w:val="24"/>
        </w:rPr>
        <w:t xml:space="preserve">, 2014; Martinez </w:t>
      </w:r>
      <w:r w:rsidR="00CF5E5E" w:rsidRPr="000C4364">
        <w:rPr>
          <w:i/>
          <w:color w:val="000000" w:themeColor="text1"/>
          <w:szCs w:val="24"/>
        </w:rPr>
        <w:t>et al</w:t>
      </w:r>
      <w:r w:rsidRPr="000C4364">
        <w:rPr>
          <w:color w:val="000000" w:themeColor="text1"/>
          <w:szCs w:val="24"/>
        </w:rPr>
        <w:t>., 2014; Beck, 2013)</w:t>
      </w:r>
      <w:r w:rsidR="00C310C5" w:rsidRPr="000C4364">
        <w:rPr>
          <w:color w:val="000000" w:themeColor="text1"/>
          <w:szCs w:val="24"/>
        </w:rPr>
        <w:t>, and o</w:t>
      </w:r>
      <w:r w:rsidRPr="000C4364">
        <w:rPr>
          <w:color w:val="000000" w:themeColor="text1"/>
          <w:szCs w:val="24"/>
        </w:rPr>
        <w:t xml:space="preserve">ur results corroborate this perspective. The difference in the estimated coefficient magnitudes between </w:t>
      </w:r>
      <w:r w:rsidR="00C310C5" w:rsidRPr="000C4364">
        <w:rPr>
          <w:i/>
          <w:color w:val="000000" w:themeColor="text1"/>
          <w:szCs w:val="24"/>
        </w:rPr>
        <w:t>t</w:t>
      </w:r>
      <w:r w:rsidRPr="000C4364">
        <w:rPr>
          <w:i/>
          <w:color w:val="000000" w:themeColor="text1"/>
          <w:szCs w:val="24"/>
        </w:rPr>
        <w:t xml:space="preserve">rade </w:t>
      </w:r>
      <w:r w:rsidR="00C310C5" w:rsidRPr="000C4364">
        <w:rPr>
          <w:i/>
          <w:color w:val="000000" w:themeColor="text1"/>
          <w:szCs w:val="24"/>
        </w:rPr>
        <w:t>c</w:t>
      </w:r>
      <w:r w:rsidRPr="000C4364">
        <w:rPr>
          <w:i/>
          <w:color w:val="000000" w:themeColor="text1"/>
          <w:szCs w:val="24"/>
        </w:rPr>
        <w:t xml:space="preserve">redit </w:t>
      </w:r>
      <w:r w:rsidRPr="000C4364">
        <w:rPr>
          <w:color w:val="000000" w:themeColor="text1"/>
          <w:szCs w:val="24"/>
        </w:rPr>
        <w:t xml:space="preserve">and </w:t>
      </w:r>
      <w:r w:rsidR="00C310C5" w:rsidRPr="000C4364">
        <w:rPr>
          <w:i/>
          <w:color w:val="000000" w:themeColor="text1"/>
          <w:szCs w:val="24"/>
        </w:rPr>
        <w:t>l</w:t>
      </w:r>
      <w:r w:rsidRPr="000C4364">
        <w:rPr>
          <w:i/>
          <w:color w:val="000000" w:themeColor="text1"/>
          <w:szCs w:val="24"/>
        </w:rPr>
        <w:t>easing</w:t>
      </w:r>
      <w:r w:rsidRPr="000C4364">
        <w:rPr>
          <w:color w:val="000000" w:themeColor="text1"/>
          <w:szCs w:val="24"/>
        </w:rPr>
        <w:t xml:space="preserve"> (0.1% vs. 7.0% respectively) underscores that banks see SMEs’ prior formal credit arrangements with other credit institutions as a stronger screening device when considering loan applications.</w:t>
      </w:r>
    </w:p>
    <w:p w:rsidR="00340DEE" w:rsidRPr="000C4364" w:rsidRDefault="00340DEE" w:rsidP="000C4364">
      <w:pPr>
        <w:pStyle w:val="BodyText"/>
        <w:tabs>
          <w:tab w:val="left" w:pos="567"/>
        </w:tabs>
        <w:spacing w:line="480" w:lineRule="auto"/>
        <w:rPr>
          <w:color w:val="000000" w:themeColor="text1"/>
          <w:szCs w:val="24"/>
        </w:rPr>
      </w:pPr>
      <w:r w:rsidRPr="000C4364">
        <w:rPr>
          <w:color w:val="000000" w:themeColor="text1"/>
          <w:szCs w:val="24"/>
        </w:rPr>
        <w:tab/>
        <w:t xml:space="preserve">The estimate of the effect of </w:t>
      </w:r>
      <w:proofErr w:type="gramStart"/>
      <w:r w:rsidR="00C310C5" w:rsidRPr="000C4364">
        <w:rPr>
          <w:i/>
          <w:color w:val="000000" w:themeColor="text1"/>
          <w:szCs w:val="24"/>
        </w:rPr>
        <w:t>l</w:t>
      </w:r>
      <w:r w:rsidRPr="000C4364">
        <w:rPr>
          <w:i/>
          <w:color w:val="000000" w:themeColor="text1"/>
          <w:szCs w:val="24"/>
        </w:rPr>
        <w:t>o</w:t>
      </w:r>
      <w:r w:rsidR="00C310C5" w:rsidRPr="000C4364">
        <w:rPr>
          <w:i/>
          <w:color w:val="000000" w:themeColor="text1"/>
          <w:szCs w:val="24"/>
        </w:rPr>
        <w:t>g(</w:t>
      </w:r>
      <w:proofErr w:type="gramEnd"/>
      <w:r w:rsidR="00C310C5" w:rsidRPr="000C4364">
        <w:rPr>
          <w:i/>
          <w:color w:val="000000" w:themeColor="text1"/>
          <w:szCs w:val="24"/>
        </w:rPr>
        <w:t>l</w:t>
      </w:r>
      <w:r w:rsidRPr="000C4364">
        <w:rPr>
          <w:i/>
          <w:color w:val="000000" w:themeColor="text1"/>
          <w:szCs w:val="24"/>
        </w:rPr>
        <w:t>abour)</w:t>
      </w:r>
      <w:r w:rsidRPr="000C4364">
        <w:rPr>
          <w:color w:val="000000" w:themeColor="text1"/>
          <w:szCs w:val="24"/>
        </w:rPr>
        <w:t>, which measures enterprise size (see</w:t>
      </w:r>
      <w:r w:rsidR="00C310C5" w:rsidRPr="000C4364">
        <w:rPr>
          <w:color w:val="000000" w:themeColor="text1"/>
          <w:szCs w:val="24"/>
        </w:rPr>
        <w:t xml:space="preserve"> </w:t>
      </w:r>
      <w:proofErr w:type="spellStart"/>
      <w:r w:rsidR="00C310C5" w:rsidRPr="000C4364">
        <w:rPr>
          <w:color w:val="000000" w:themeColor="text1"/>
          <w:szCs w:val="24"/>
        </w:rPr>
        <w:t>Cavaluzzo</w:t>
      </w:r>
      <w:proofErr w:type="spellEnd"/>
      <w:r w:rsidR="00C310C5" w:rsidRPr="000C4364">
        <w:rPr>
          <w:color w:val="000000" w:themeColor="text1"/>
          <w:szCs w:val="24"/>
        </w:rPr>
        <w:t xml:space="preserve"> and </w:t>
      </w:r>
      <w:proofErr w:type="spellStart"/>
      <w:r w:rsidR="00C310C5" w:rsidRPr="000C4364">
        <w:rPr>
          <w:color w:val="000000" w:themeColor="text1"/>
          <w:szCs w:val="24"/>
        </w:rPr>
        <w:t>Cavaluzzo</w:t>
      </w:r>
      <w:proofErr w:type="spellEnd"/>
      <w:r w:rsidR="00C310C5" w:rsidRPr="000C4364">
        <w:rPr>
          <w:color w:val="000000" w:themeColor="text1"/>
          <w:szCs w:val="24"/>
        </w:rPr>
        <w:t>, 1998)</w:t>
      </w:r>
      <w:r w:rsidRPr="000C4364">
        <w:rPr>
          <w:color w:val="000000" w:themeColor="text1"/>
          <w:szCs w:val="24"/>
        </w:rPr>
        <w:t xml:space="preserve"> has the expected positive sign and is statistically significant. This means that formal credit organisations prefer lending to larger SMEs due to the higher transaction costs associated with monitoring a large number of small loans. Signs of coefficients associated with enterprise competitiveness and quality of financial information </w:t>
      </w:r>
      <w:r w:rsidRPr="000C4364">
        <w:rPr>
          <w:color w:val="000000" w:themeColor="text1"/>
          <w:szCs w:val="24"/>
        </w:rPr>
        <w:lastRenderedPageBreak/>
        <w:t>(</w:t>
      </w:r>
      <w:r w:rsidR="00C310C5" w:rsidRPr="000C4364">
        <w:rPr>
          <w:i/>
          <w:color w:val="000000" w:themeColor="text1"/>
          <w:szCs w:val="24"/>
        </w:rPr>
        <w:t>e</w:t>
      </w:r>
      <w:r w:rsidRPr="000C4364">
        <w:rPr>
          <w:i/>
          <w:color w:val="000000" w:themeColor="text1"/>
          <w:szCs w:val="24"/>
        </w:rPr>
        <w:t xml:space="preserve">xpected </w:t>
      </w:r>
      <w:r w:rsidR="00C310C5" w:rsidRPr="000C4364">
        <w:rPr>
          <w:i/>
          <w:color w:val="000000" w:themeColor="text1"/>
          <w:szCs w:val="24"/>
        </w:rPr>
        <w:t>s</w:t>
      </w:r>
      <w:r w:rsidRPr="000C4364">
        <w:rPr>
          <w:i/>
          <w:color w:val="000000" w:themeColor="text1"/>
          <w:szCs w:val="24"/>
        </w:rPr>
        <w:t xml:space="preserve">ales, </w:t>
      </w:r>
      <w:r w:rsidR="00C310C5" w:rsidRPr="000C4364">
        <w:rPr>
          <w:i/>
          <w:color w:val="000000" w:themeColor="text1"/>
          <w:szCs w:val="24"/>
        </w:rPr>
        <w:t>q</w:t>
      </w:r>
      <w:r w:rsidRPr="000C4364">
        <w:rPr>
          <w:i/>
          <w:color w:val="000000" w:themeColor="text1"/>
          <w:szCs w:val="24"/>
        </w:rPr>
        <w:t xml:space="preserve">uality </w:t>
      </w:r>
      <w:r w:rsidR="00C310C5" w:rsidRPr="000C4364">
        <w:rPr>
          <w:i/>
          <w:color w:val="000000" w:themeColor="text1"/>
          <w:szCs w:val="24"/>
        </w:rPr>
        <w:t>c</w:t>
      </w:r>
      <w:r w:rsidRPr="000C4364">
        <w:rPr>
          <w:i/>
          <w:color w:val="000000" w:themeColor="text1"/>
          <w:szCs w:val="24"/>
        </w:rPr>
        <w:t xml:space="preserve">ertificate, </w:t>
      </w:r>
      <w:r w:rsidR="00C310C5" w:rsidRPr="000C4364">
        <w:rPr>
          <w:i/>
          <w:color w:val="000000" w:themeColor="text1"/>
          <w:szCs w:val="24"/>
        </w:rPr>
        <w:t>a</w:t>
      </w:r>
      <w:r w:rsidRPr="000C4364">
        <w:rPr>
          <w:i/>
          <w:color w:val="000000" w:themeColor="text1"/>
          <w:szCs w:val="24"/>
        </w:rPr>
        <w:t xml:space="preserve">ccounts </w:t>
      </w:r>
      <w:r w:rsidR="00C310C5" w:rsidRPr="000C4364">
        <w:rPr>
          <w:i/>
          <w:color w:val="000000" w:themeColor="text1"/>
          <w:szCs w:val="24"/>
        </w:rPr>
        <w:t>a</w:t>
      </w:r>
      <w:r w:rsidRPr="000C4364">
        <w:rPr>
          <w:i/>
          <w:color w:val="000000" w:themeColor="text1"/>
          <w:szCs w:val="24"/>
        </w:rPr>
        <w:t xml:space="preserve">udited, </w:t>
      </w:r>
      <w:r w:rsidR="00C310C5" w:rsidRPr="000C4364">
        <w:rPr>
          <w:i/>
          <w:color w:val="000000" w:themeColor="text1"/>
          <w:szCs w:val="24"/>
        </w:rPr>
        <w:t>p</w:t>
      </w:r>
      <w:r w:rsidRPr="000C4364">
        <w:rPr>
          <w:i/>
          <w:color w:val="000000" w:themeColor="text1"/>
          <w:szCs w:val="24"/>
        </w:rPr>
        <w:t xml:space="preserve">roduct </w:t>
      </w:r>
      <w:r w:rsidR="00C310C5" w:rsidRPr="000C4364">
        <w:rPr>
          <w:i/>
          <w:color w:val="000000" w:themeColor="text1"/>
          <w:szCs w:val="24"/>
        </w:rPr>
        <w:t>c</w:t>
      </w:r>
      <w:r w:rsidRPr="000C4364">
        <w:rPr>
          <w:i/>
          <w:color w:val="000000" w:themeColor="text1"/>
          <w:szCs w:val="24"/>
        </w:rPr>
        <w:t xml:space="preserve">oncentration </w:t>
      </w:r>
      <w:r w:rsidRPr="000C4364">
        <w:rPr>
          <w:color w:val="000000" w:themeColor="text1"/>
          <w:szCs w:val="24"/>
        </w:rPr>
        <w:t>and</w:t>
      </w:r>
      <w:r w:rsidRPr="000C4364">
        <w:rPr>
          <w:i/>
          <w:color w:val="000000" w:themeColor="text1"/>
          <w:szCs w:val="24"/>
        </w:rPr>
        <w:t xml:space="preserve"> </w:t>
      </w:r>
      <w:r w:rsidR="00C310C5" w:rsidRPr="000C4364">
        <w:rPr>
          <w:i/>
          <w:color w:val="000000" w:themeColor="text1"/>
          <w:szCs w:val="24"/>
        </w:rPr>
        <w:t>o</w:t>
      </w:r>
      <w:r w:rsidRPr="000C4364">
        <w:rPr>
          <w:i/>
          <w:color w:val="000000" w:themeColor="text1"/>
          <w:szCs w:val="24"/>
        </w:rPr>
        <w:t xml:space="preserve">wn </w:t>
      </w:r>
      <w:r w:rsidR="00C310C5" w:rsidRPr="000C4364">
        <w:rPr>
          <w:i/>
          <w:color w:val="000000" w:themeColor="text1"/>
          <w:szCs w:val="24"/>
        </w:rPr>
        <w:t>w</w:t>
      </w:r>
      <w:r w:rsidRPr="000C4364">
        <w:rPr>
          <w:i/>
          <w:color w:val="000000" w:themeColor="text1"/>
          <w:szCs w:val="24"/>
        </w:rPr>
        <w:t>ebsite</w:t>
      </w:r>
      <w:r w:rsidRPr="000C4364">
        <w:rPr>
          <w:color w:val="000000" w:themeColor="text1"/>
          <w:szCs w:val="24"/>
        </w:rPr>
        <w:t xml:space="preserve">) meet expectations and most are statistically significant. </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In </w:t>
      </w:r>
      <w:r w:rsidR="00311D2B" w:rsidRPr="000C4364">
        <w:rPr>
          <w:color w:val="000000" w:themeColor="text1"/>
          <w:szCs w:val="24"/>
        </w:rPr>
        <w:t>m</w:t>
      </w:r>
      <w:r w:rsidRPr="000C4364">
        <w:rPr>
          <w:color w:val="000000" w:themeColor="text1"/>
          <w:szCs w:val="24"/>
        </w:rPr>
        <w:t xml:space="preserve">odel 4, we add </w:t>
      </w:r>
      <w:r w:rsidR="00311D2B" w:rsidRPr="000C4364">
        <w:rPr>
          <w:i/>
          <w:color w:val="000000" w:themeColor="text1"/>
          <w:szCs w:val="24"/>
        </w:rPr>
        <w:t>m</w:t>
      </w:r>
      <w:r w:rsidRPr="000C4364">
        <w:rPr>
          <w:i/>
          <w:color w:val="000000" w:themeColor="text1"/>
          <w:szCs w:val="24"/>
        </w:rPr>
        <w:t xml:space="preserve">anager </w:t>
      </w:r>
      <w:r w:rsidR="00311D2B" w:rsidRPr="000C4364">
        <w:rPr>
          <w:i/>
          <w:color w:val="000000" w:themeColor="text1"/>
          <w:szCs w:val="24"/>
        </w:rPr>
        <w:t>e</w:t>
      </w:r>
      <w:r w:rsidRPr="000C4364">
        <w:rPr>
          <w:i/>
          <w:color w:val="000000" w:themeColor="text1"/>
          <w:szCs w:val="24"/>
        </w:rPr>
        <w:t xml:space="preserve">xperience, </w:t>
      </w:r>
      <w:r w:rsidR="00311D2B" w:rsidRPr="000C4364">
        <w:rPr>
          <w:color w:val="000000" w:themeColor="text1"/>
          <w:szCs w:val="24"/>
        </w:rPr>
        <w:t>which measures top managers’</w:t>
      </w:r>
      <w:r w:rsidRPr="000C4364">
        <w:rPr>
          <w:color w:val="000000" w:themeColor="text1"/>
          <w:szCs w:val="24"/>
        </w:rPr>
        <w:t xml:space="preserve"> experience in industry to capture human capital and entrepreneurial ability. The underlying logic is that the length of business experience will make entrepreneurs appreciate the importance of using their input resources, including external finance, more efficiently. The squared term of the variable is included to reflect diminishing marginal impact of the variable. Both </w:t>
      </w:r>
      <w:r w:rsidR="00311D2B" w:rsidRPr="000C4364">
        <w:rPr>
          <w:i/>
          <w:color w:val="000000" w:themeColor="text1"/>
          <w:szCs w:val="24"/>
        </w:rPr>
        <w:t>m</w:t>
      </w:r>
      <w:r w:rsidRPr="000C4364">
        <w:rPr>
          <w:i/>
          <w:color w:val="000000" w:themeColor="text1"/>
          <w:szCs w:val="24"/>
        </w:rPr>
        <w:t xml:space="preserve">anagerial </w:t>
      </w:r>
      <w:r w:rsidR="00311D2B" w:rsidRPr="000C4364">
        <w:rPr>
          <w:i/>
          <w:color w:val="000000" w:themeColor="text1"/>
          <w:szCs w:val="24"/>
        </w:rPr>
        <w:t>e</w:t>
      </w:r>
      <w:r w:rsidRPr="000C4364">
        <w:rPr>
          <w:i/>
          <w:color w:val="000000" w:themeColor="text1"/>
          <w:szCs w:val="24"/>
        </w:rPr>
        <w:t xml:space="preserve">xperience </w:t>
      </w:r>
      <w:r w:rsidRPr="000C4364">
        <w:rPr>
          <w:color w:val="000000" w:themeColor="text1"/>
          <w:szCs w:val="24"/>
        </w:rPr>
        <w:t xml:space="preserve">and its squared term have expected signs and are statistically significant. </w:t>
      </w:r>
      <w:r w:rsidR="00311D2B" w:rsidRPr="000C4364">
        <w:rPr>
          <w:color w:val="000000" w:themeColor="text1"/>
          <w:szCs w:val="24"/>
        </w:rPr>
        <w:t>T</w:t>
      </w:r>
      <w:r w:rsidRPr="000C4364">
        <w:rPr>
          <w:color w:val="000000" w:themeColor="text1"/>
          <w:szCs w:val="24"/>
        </w:rPr>
        <w:t>he impact</w:t>
      </w:r>
      <w:r w:rsidR="00311D2B" w:rsidRPr="000C4364">
        <w:rPr>
          <w:color w:val="000000" w:themeColor="text1"/>
          <w:szCs w:val="24"/>
        </w:rPr>
        <w:t>s</w:t>
      </w:r>
      <w:r w:rsidRPr="000C4364">
        <w:rPr>
          <w:color w:val="000000" w:themeColor="text1"/>
          <w:szCs w:val="24"/>
        </w:rPr>
        <w:t xml:space="preserve"> of interpersonal connectedness proxies persist after controlling for enterprise characteristics.</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One of the caveat</w:t>
      </w:r>
      <w:r w:rsidR="00373117" w:rsidRPr="000C4364">
        <w:rPr>
          <w:color w:val="000000" w:themeColor="text1"/>
          <w:szCs w:val="24"/>
        </w:rPr>
        <w:t>s with the results reported in m</w:t>
      </w:r>
      <w:r w:rsidRPr="000C4364">
        <w:rPr>
          <w:color w:val="000000" w:themeColor="text1"/>
          <w:szCs w:val="24"/>
        </w:rPr>
        <w:t>odel 5 is that they may be sensitive to macroeconomic factors</w:t>
      </w:r>
      <w:r w:rsidR="00ED1609" w:rsidRPr="000C4364">
        <w:rPr>
          <w:color w:val="000000" w:themeColor="text1"/>
          <w:szCs w:val="24"/>
        </w:rPr>
        <w:t xml:space="preserve"> including the depth of financial development (</w:t>
      </w:r>
      <w:proofErr w:type="spellStart"/>
      <w:r w:rsidR="00ED1609" w:rsidRPr="000C4364">
        <w:rPr>
          <w:color w:val="000000" w:themeColor="text1"/>
          <w:szCs w:val="24"/>
        </w:rPr>
        <w:t>Arestis</w:t>
      </w:r>
      <w:proofErr w:type="spellEnd"/>
      <w:r w:rsidR="002E2CED" w:rsidRPr="000C4364">
        <w:rPr>
          <w:color w:val="000000" w:themeColor="text1"/>
          <w:szCs w:val="24"/>
        </w:rPr>
        <w:t xml:space="preserve"> and </w:t>
      </w:r>
      <w:proofErr w:type="spellStart"/>
      <w:r w:rsidR="002E2CED" w:rsidRPr="000C4364">
        <w:rPr>
          <w:color w:val="000000" w:themeColor="text1"/>
          <w:szCs w:val="24"/>
        </w:rPr>
        <w:t>Demetriades</w:t>
      </w:r>
      <w:proofErr w:type="spellEnd"/>
      <w:r w:rsidR="002E2CED" w:rsidRPr="000C4364">
        <w:rPr>
          <w:color w:val="000000" w:themeColor="text1"/>
          <w:szCs w:val="24"/>
        </w:rPr>
        <w:t>, 1997)</w:t>
      </w:r>
      <w:r w:rsidRPr="000C4364">
        <w:rPr>
          <w:color w:val="000000" w:themeColor="text1"/>
          <w:szCs w:val="24"/>
        </w:rPr>
        <w:t>. We therefore add three v</w:t>
      </w:r>
      <w:r w:rsidR="00373117" w:rsidRPr="000C4364">
        <w:rPr>
          <w:color w:val="000000" w:themeColor="text1"/>
          <w:szCs w:val="24"/>
        </w:rPr>
        <w:t>ariables to our estimations in m</w:t>
      </w:r>
      <w:r w:rsidRPr="000C4364">
        <w:rPr>
          <w:color w:val="000000" w:themeColor="text1"/>
          <w:szCs w:val="24"/>
        </w:rPr>
        <w:t>odel 5: the share of the private sector credit to GDP (as a proxy for financial depth), the inflation rate (a proxy for macroeconomic stability) and the tax rate (which was ranked as the number one obstacle for SMEs in our survey and is a proxy for the general business environment). The results of model 5 reveal that all three macroeconomic variables have expected signs and are statistically significant</w:t>
      </w:r>
      <w:r w:rsidR="00373117" w:rsidRPr="000C4364">
        <w:rPr>
          <w:color w:val="000000" w:themeColor="text1"/>
          <w:szCs w:val="24"/>
        </w:rPr>
        <w:t xml:space="preserve">. </w:t>
      </w:r>
      <w:r w:rsidRPr="000C4364">
        <w:rPr>
          <w:color w:val="000000" w:themeColor="text1"/>
          <w:szCs w:val="24"/>
        </w:rPr>
        <w:t>The inclusion of the macroeconomic indicators had no impact on the magnitudes and statistical significances o</w:t>
      </w:r>
      <w:r w:rsidR="00373117" w:rsidRPr="000C4364">
        <w:rPr>
          <w:color w:val="000000" w:themeColor="text1"/>
          <w:szCs w:val="24"/>
        </w:rPr>
        <w:t>f</w:t>
      </w:r>
      <w:r w:rsidRPr="000C4364">
        <w:rPr>
          <w:color w:val="000000" w:themeColor="text1"/>
          <w:szCs w:val="24"/>
        </w:rPr>
        <w:t xml:space="preserve"> the coefficients and corroborate</w:t>
      </w:r>
      <w:r w:rsidR="00373117" w:rsidRPr="000C4364">
        <w:rPr>
          <w:color w:val="000000" w:themeColor="text1"/>
          <w:szCs w:val="24"/>
        </w:rPr>
        <w:t>s</w:t>
      </w:r>
      <w:r w:rsidRPr="000C4364">
        <w:rPr>
          <w:color w:val="000000" w:themeColor="text1"/>
          <w:szCs w:val="24"/>
        </w:rPr>
        <w:t xml:space="preserve"> the results from </w:t>
      </w:r>
      <w:r w:rsidR="00373117" w:rsidRPr="000C4364">
        <w:rPr>
          <w:color w:val="000000" w:themeColor="text1"/>
          <w:szCs w:val="24"/>
        </w:rPr>
        <w:t>m</w:t>
      </w:r>
      <w:r w:rsidRPr="000C4364">
        <w:rPr>
          <w:color w:val="000000" w:themeColor="text1"/>
          <w:szCs w:val="24"/>
        </w:rPr>
        <w:t xml:space="preserve">odels 1-4: both </w:t>
      </w:r>
      <w:r w:rsidR="000D0E88" w:rsidRPr="000C4364">
        <w:rPr>
          <w:color w:val="000000" w:themeColor="text1"/>
          <w:szCs w:val="24"/>
        </w:rPr>
        <w:t xml:space="preserve">of the </w:t>
      </w:r>
      <w:r w:rsidRPr="000C4364">
        <w:rPr>
          <w:color w:val="000000" w:themeColor="text1"/>
          <w:szCs w:val="24"/>
        </w:rPr>
        <w:t>connectedness proxies remain statistically significant in improving access to formal finance.</w:t>
      </w:r>
    </w:p>
    <w:p w:rsidR="00F87AA3"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We next estimate the </w:t>
      </w:r>
      <w:r w:rsidR="00373117" w:rsidRPr="000C4364">
        <w:rPr>
          <w:i/>
          <w:color w:val="000000" w:themeColor="text1"/>
          <w:szCs w:val="24"/>
        </w:rPr>
        <w:t>l</w:t>
      </w:r>
      <w:r w:rsidRPr="000C4364">
        <w:rPr>
          <w:i/>
          <w:color w:val="000000" w:themeColor="text1"/>
          <w:szCs w:val="24"/>
        </w:rPr>
        <w:t xml:space="preserve">oan </w:t>
      </w:r>
      <w:r w:rsidR="00373117" w:rsidRPr="000C4364">
        <w:rPr>
          <w:i/>
          <w:color w:val="000000" w:themeColor="text1"/>
          <w:szCs w:val="24"/>
        </w:rPr>
        <w:t>i</w:t>
      </w:r>
      <w:r w:rsidRPr="000C4364">
        <w:rPr>
          <w:i/>
          <w:color w:val="000000" w:themeColor="text1"/>
          <w:szCs w:val="24"/>
        </w:rPr>
        <w:t>nterest</w:t>
      </w:r>
      <w:r w:rsidRPr="000C4364">
        <w:rPr>
          <w:color w:val="000000" w:themeColor="text1"/>
          <w:szCs w:val="24"/>
        </w:rPr>
        <w:t xml:space="preserve"> equation to test if the </w:t>
      </w:r>
      <w:r w:rsidR="00941E2C" w:rsidRPr="000C4364">
        <w:rPr>
          <w:color w:val="000000" w:themeColor="text1"/>
          <w:szCs w:val="24"/>
        </w:rPr>
        <w:t xml:space="preserve">interpersonal </w:t>
      </w:r>
      <w:r w:rsidRPr="000C4364">
        <w:rPr>
          <w:color w:val="000000" w:themeColor="text1"/>
          <w:szCs w:val="24"/>
        </w:rPr>
        <w:t>connectedness proxies can help SMEs to reduce the cost of loans</w:t>
      </w:r>
      <w:r w:rsidR="00373117" w:rsidRPr="000C4364">
        <w:rPr>
          <w:color w:val="000000" w:themeColor="text1"/>
          <w:szCs w:val="24"/>
        </w:rPr>
        <w:t xml:space="preserve"> with these </w:t>
      </w:r>
      <w:r w:rsidRPr="000C4364">
        <w:rPr>
          <w:color w:val="000000" w:themeColor="text1"/>
          <w:szCs w:val="24"/>
        </w:rPr>
        <w:t xml:space="preserve">results presented in table 6. Most of the right hand side variables in the </w:t>
      </w:r>
      <w:r w:rsidR="00373117" w:rsidRPr="000C4364">
        <w:rPr>
          <w:i/>
          <w:color w:val="000000" w:themeColor="text1"/>
          <w:szCs w:val="24"/>
        </w:rPr>
        <w:t>l</w:t>
      </w:r>
      <w:r w:rsidRPr="000C4364">
        <w:rPr>
          <w:i/>
          <w:color w:val="000000" w:themeColor="text1"/>
          <w:szCs w:val="24"/>
        </w:rPr>
        <w:t xml:space="preserve">oan </w:t>
      </w:r>
      <w:r w:rsidR="00373117" w:rsidRPr="000C4364">
        <w:rPr>
          <w:i/>
          <w:color w:val="000000" w:themeColor="text1"/>
          <w:szCs w:val="24"/>
        </w:rPr>
        <w:t>i</w:t>
      </w:r>
      <w:r w:rsidRPr="000C4364">
        <w:rPr>
          <w:i/>
          <w:color w:val="000000" w:themeColor="text1"/>
          <w:szCs w:val="24"/>
        </w:rPr>
        <w:t xml:space="preserve">nterest </w:t>
      </w:r>
      <w:r w:rsidRPr="000C4364">
        <w:rPr>
          <w:color w:val="000000" w:themeColor="text1"/>
          <w:szCs w:val="24"/>
        </w:rPr>
        <w:t xml:space="preserve">equation are the same as in the </w:t>
      </w:r>
      <w:r w:rsidR="00373117" w:rsidRPr="000C4364">
        <w:rPr>
          <w:i/>
          <w:color w:val="000000" w:themeColor="text1"/>
          <w:szCs w:val="24"/>
        </w:rPr>
        <w:t>b</w:t>
      </w:r>
      <w:r w:rsidRPr="000C4364">
        <w:rPr>
          <w:i/>
          <w:color w:val="000000" w:themeColor="text1"/>
          <w:szCs w:val="24"/>
        </w:rPr>
        <w:t xml:space="preserve">ank </w:t>
      </w:r>
      <w:r w:rsidR="00373117" w:rsidRPr="000C4364">
        <w:rPr>
          <w:i/>
          <w:color w:val="000000" w:themeColor="text1"/>
          <w:szCs w:val="24"/>
        </w:rPr>
        <w:t>l</w:t>
      </w:r>
      <w:r w:rsidRPr="000C4364">
        <w:rPr>
          <w:i/>
          <w:color w:val="000000" w:themeColor="text1"/>
          <w:szCs w:val="24"/>
        </w:rPr>
        <w:t xml:space="preserve">oan </w:t>
      </w:r>
      <w:r w:rsidRPr="000C4364">
        <w:rPr>
          <w:color w:val="000000" w:themeColor="text1"/>
          <w:szCs w:val="24"/>
        </w:rPr>
        <w:t xml:space="preserve">equation. Because the variables that relate to an </w:t>
      </w:r>
      <w:r w:rsidRPr="000C4364">
        <w:rPr>
          <w:i/>
          <w:color w:val="000000" w:themeColor="text1"/>
          <w:szCs w:val="24"/>
        </w:rPr>
        <w:t>improvement</w:t>
      </w:r>
      <w:r w:rsidRPr="000C4364">
        <w:rPr>
          <w:color w:val="000000" w:themeColor="text1"/>
          <w:szCs w:val="24"/>
        </w:rPr>
        <w:t xml:space="preserve"> in access to bank loans </w:t>
      </w:r>
      <w:r w:rsidRPr="000C4364">
        <w:rPr>
          <w:color w:val="000000" w:themeColor="text1"/>
          <w:szCs w:val="24"/>
        </w:rPr>
        <w:lastRenderedPageBreak/>
        <w:t xml:space="preserve">(table 5) are also likely to </w:t>
      </w:r>
      <w:r w:rsidRPr="000C4364">
        <w:rPr>
          <w:i/>
          <w:color w:val="000000" w:themeColor="text1"/>
          <w:szCs w:val="24"/>
        </w:rPr>
        <w:t xml:space="preserve">lower </w:t>
      </w:r>
      <w:r w:rsidRPr="000C4364">
        <w:rPr>
          <w:color w:val="000000" w:themeColor="text1"/>
          <w:szCs w:val="24"/>
        </w:rPr>
        <w:t xml:space="preserve">the interest rate charges on these loans, the coefficient estimates for the sets of models in tables 5 and 6 are expected to have the opposite signs. For example, </w:t>
      </w:r>
      <w:r w:rsidR="00373117" w:rsidRPr="000C4364">
        <w:rPr>
          <w:i/>
          <w:color w:val="000000" w:themeColor="text1"/>
          <w:szCs w:val="24"/>
        </w:rPr>
        <w:t>b</w:t>
      </w:r>
      <w:r w:rsidRPr="000C4364">
        <w:rPr>
          <w:i/>
          <w:color w:val="000000" w:themeColor="text1"/>
          <w:szCs w:val="24"/>
        </w:rPr>
        <w:t xml:space="preserve">ribes and </w:t>
      </w:r>
      <w:r w:rsidR="00373117" w:rsidRPr="000C4364">
        <w:rPr>
          <w:i/>
          <w:color w:val="000000" w:themeColor="text1"/>
          <w:szCs w:val="24"/>
        </w:rPr>
        <w:t>g</w:t>
      </w:r>
      <w:r w:rsidRPr="000C4364">
        <w:rPr>
          <w:i/>
          <w:color w:val="000000" w:themeColor="text1"/>
          <w:szCs w:val="24"/>
        </w:rPr>
        <w:t xml:space="preserve">ifts </w:t>
      </w:r>
      <w:proofErr w:type="gramStart"/>
      <w:r w:rsidRPr="000C4364">
        <w:rPr>
          <w:color w:val="000000" w:themeColor="text1"/>
          <w:szCs w:val="24"/>
        </w:rPr>
        <w:t>is</w:t>
      </w:r>
      <w:proofErr w:type="gramEnd"/>
      <w:r w:rsidRPr="000C4364">
        <w:rPr>
          <w:color w:val="000000" w:themeColor="text1"/>
          <w:szCs w:val="24"/>
        </w:rPr>
        <w:t xml:space="preserve"> expected not only to </w:t>
      </w:r>
      <w:r w:rsidRPr="000C4364">
        <w:rPr>
          <w:i/>
          <w:color w:val="000000" w:themeColor="text1"/>
          <w:szCs w:val="24"/>
        </w:rPr>
        <w:t>increase</w:t>
      </w:r>
      <w:r w:rsidRPr="000C4364">
        <w:rPr>
          <w:color w:val="000000" w:themeColor="text1"/>
          <w:szCs w:val="24"/>
        </w:rPr>
        <w:t xml:space="preserve"> access to formal finance but also </w:t>
      </w:r>
      <w:r w:rsidR="00373117" w:rsidRPr="000C4364">
        <w:rPr>
          <w:color w:val="000000" w:themeColor="text1"/>
          <w:szCs w:val="24"/>
        </w:rPr>
        <w:t xml:space="preserve">to </w:t>
      </w:r>
      <w:r w:rsidRPr="000C4364">
        <w:rPr>
          <w:i/>
          <w:color w:val="000000" w:themeColor="text1"/>
          <w:szCs w:val="24"/>
        </w:rPr>
        <w:t xml:space="preserve">reduce </w:t>
      </w:r>
      <w:r w:rsidRPr="000C4364">
        <w:rPr>
          <w:color w:val="000000" w:themeColor="text1"/>
          <w:szCs w:val="24"/>
        </w:rPr>
        <w:t xml:space="preserve">its cost to connected firms. </w:t>
      </w:r>
      <w:r w:rsidRPr="000C4364">
        <w:rPr>
          <w:i/>
          <w:color w:val="000000" w:themeColor="text1"/>
          <w:szCs w:val="24"/>
        </w:rPr>
        <w:t xml:space="preserve">Collateral </w:t>
      </w:r>
      <w:r w:rsidRPr="000C4364">
        <w:rPr>
          <w:color w:val="000000" w:themeColor="text1"/>
          <w:szCs w:val="24"/>
        </w:rPr>
        <w:t xml:space="preserve">is the only new variable </w:t>
      </w:r>
      <w:r w:rsidR="00373117" w:rsidRPr="000C4364">
        <w:rPr>
          <w:color w:val="000000" w:themeColor="text1"/>
          <w:szCs w:val="24"/>
        </w:rPr>
        <w:t>added to m</w:t>
      </w:r>
      <w:r w:rsidR="00091DC3" w:rsidRPr="000C4364">
        <w:rPr>
          <w:color w:val="000000" w:themeColor="text1"/>
          <w:szCs w:val="24"/>
        </w:rPr>
        <w:t>odels 9 and 10</w:t>
      </w:r>
      <w:r w:rsidR="00373117" w:rsidRPr="000C4364">
        <w:rPr>
          <w:color w:val="000000" w:themeColor="text1"/>
          <w:szCs w:val="24"/>
        </w:rPr>
        <w:t xml:space="preserve">, and it </w:t>
      </w:r>
      <w:r w:rsidRPr="000C4364">
        <w:rPr>
          <w:color w:val="000000" w:themeColor="text1"/>
          <w:szCs w:val="24"/>
        </w:rPr>
        <w:t xml:space="preserve">is expected to have a negative sign as banks are likely to charge lower rates on loans with good collateral. The estimation results </w:t>
      </w:r>
      <w:r w:rsidR="00091DC3" w:rsidRPr="000C4364">
        <w:rPr>
          <w:color w:val="000000" w:themeColor="text1"/>
          <w:szCs w:val="24"/>
        </w:rPr>
        <w:t>from model</w:t>
      </w:r>
      <w:r w:rsidR="00373117" w:rsidRPr="000C4364">
        <w:rPr>
          <w:color w:val="000000" w:themeColor="text1"/>
          <w:szCs w:val="24"/>
        </w:rPr>
        <w:t>s</w:t>
      </w:r>
      <w:r w:rsidR="00091DC3" w:rsidRPr="000C4364">
        <w:rPr>
          <w:color w:val="000000" w:themeColor="text1"/>
          <w:szCs w:val="24"/>
        </w:rPr>
        <w:t xml:space="preserve"> 6-10</w:t>
      </w:r>
      <w:r w:rsidRPr="000C4364">
        <w:rPr>
          <w:color w:val="000000" w:themeColor="text1"/>
          <w:szCs w:val="24"/>
        </w:rPr>
        <w:t xml:space="preserve"> indicate that all variables have expected signs. </w:t>
      </w:r>
      <w:r w:rsidR="00373117" w:rsidRPr="000C4364">
        <w:rPr>
          <w:color w:val="000000" w:themeColor="text1"/>
          <w:szCs w:val="24"/>
        </w:rPr>
        <w:t>For brevity t</w:t>
      </w:r>
      <w:r w:rsidR="00091DC3" w:rsidRPr="000C4364">
        <w:rPr>
          <w:color w:val="000000" w:themeColor="text1"/>
          <w:szCs w:val="24"/>
        </w:rPr>
        <w:t xml:space="preserve">able 6 only reports the results for </w:t>
      </w:r>
      <w:r w:rsidR="00373117" w:rsidRPr="000C4364">
        <w:rPr>
          <w:i/>
          <w:color w:val="000000" w:themeColor="text1"/>
          <w:szCs w:val="24"/>
        </w:rPr>
        <w:t>b</w:t>
      </w:r>
      <w:r w:rsidR="00091DC3" w:rsidRPr="000C4364">
        <w:rPr>
          <w:i/>
          <w:color w:val="000000" w:themeColor="text1"/>
          <w:szCs w:val="24"/>
        </w:rPr>
        <w:t xml:space="preserve">ribes and </w:t>
      </w:r>
      <w:r w:rsidR="00373117" w:rsidRPr="000C4364">
        <w:rPr>
          <w:i/>
          <w:color w:val="000000" w:themeColor="text1"/>
          <w:szCs w:val="24"/>
        </w:rPr>
        <w:t>g</w:t>
      </w:r>
      <w:r w:rsidR="00091DC3" w:rsidRPr="000C4364">
        <w:rPr>
          <w:i/>
          <w:color w:val="000000" w:themeColor="text1"/>
          <w:szCs w:val="24"/>
        </w:rPr>
        <w:t xml:space="preserve">ifts </w:t>
      </w:r>
      <w:r w:rsidR="00091DC3" w:rsidRPr="000C4364">
        <w:rPr>
          <w:color w:val="000000" w:themeColor="text1"/>
          <w:szCs w:val="24"/>
        </w:rPr>
        <w:t xml:space="preserve">and </w:t>
      </w:r>
      <w:r w:rsidR="00373117" w:rsidRPr="000C4364">
        <w:rPr>
          <w:i/>
          <w:color w:val="000000" w:themeColor="text1"/>
          <w:szCs w:val="24"/>
        </w:rPr>
        <w:t>g</w:t>
      </w:r>
      <w:r w:rsidR="00091DC3" w:rsidRPr="000C4364">
        <w:rPr>
          <w:i/>
          <w:color w:val="000000" w:themeColor="text1"/>
          <w:szCs w:val="24"/>
        </w:rPr>
        <w:t xml:space="preserve">overnment </w:t>
      </w:r>
      <w:r w:rsidR="00373117" w:rsidRPr="000C4364">
        <w:rPr>
          <w:i/>
          <w:color w:val="000000" w:themeColor="text1"/>
          <w:szCs w:val="24"/>
        </w:rPr>
        <w:t>c</w:t>
      </w:r>
      <w:r w:rsidR="00091DC3" w:rsidRPr="000C4364">
        <w:rPr>
          <w:i/>
          <w:color w:val="000000" w:themeColor="text1"/>
          <w:szCs w:val="24"/>
        </w:rPr>
        <w:t>ontract</w:t>
      </w:r>
      <w:r w:rsidRPr="000C4364">
        <w:rPr>
          <w:color w:val="000000" w:themeColor="text1"/>
          <w:szCs w:val="24"/>
        </w:rPr>
        <w:t xml:space="preserve"> </w:t>
      </w:r>
      <w:r w:rsidR="00373117" w:rsidRPr="000C4364">
        <w:rPr>
          <w:color w:val="000000" w:themeColor="text1"/>
          <w:szCs w:val="24"/>
        </w:rPr>
        <w:t>but b</w:t>
      </w:r>
      <w:r w:rsidR="00091DC3" w:rsidRPr="000C4364">
        <w:rPr>
          <w:color w:val="000000" w:themeColor="text1"/>
          <w:szCs w:val="24"/>
        </w:rPr>
        <w:t>oth target variables have</w:t>
      </w:r>
      <w:r w:rsidRPr="000C4364">
        <w:rPr>
          <w:color w:val="000000" w:themeColor="text1"/>
          <w:szCs w:val="24"/>
        </w:rPr>
        <w:t xml:space="preserve"> expected signs in all models </w:t>
      </w:r>
      <w:r w:rsidR="00373117" w:rsidRPr="000C4364">
        <w:rPr>
          <w:color w:val="000000" w:themeColor="text1"/>
          <w:szCs w:val="24"/>
        </w:rPr>
        <w:t xml:space="preserve">although </w:t>
      </w:r>
      <w:r w:rsidRPr="000C4364">
        <w:rPr>
          <w:color w:val="000000" w:themeColor="text1"/>
          <w:szCs w:val="24"/>
        </w:rPr>
        <w:t xml:space="preserve">only </w:t>
      </w:r>
      <w:r w:rsidR="00373117" w:rsidRPr="000C4364">
        <w:rPr>
          <w:i/>
          <w:color w:val="000000" w:themeColor="text1"/>
          <w:szCs w:val="24"/>
        </w:rPr>
        <w:t>g</w:t>
      </w:r>
      <w:r w:rsidRPr="000C4364">
        <w:rPr>
          <w:i/>
          <w:color w:val="000000" w:themeColor="text1"/>
          <w:szCs w:val="24"/>
        </w:rPr>
        <w:t xml:space="preserve">overnment </w:t>
      </w:r>
      <w:r w:rsidR="00373117" w:rsidRPr="000C4364">
        <w:rPr>
          <w:i/>
          <w:color w:val="000000" w:themeColor="text1"/>
          <w:szCs w:val="24"/>
        </w:rPr>
        <w:t>c</w:t>
      </w:r>
      <w:r w:rsidRPr="000C4364">
        <w:rPr>
          <w:i/>
          <w:color w:val="000000" w:themeColor="text1"/>
          <w:szCs w:val="24"/>
        </w:rPr>
        <w:t xml:space="preserve">ontract </w:t>
      </w:r>
      <w:r w:rsidRPr="000C4364">
        <w:rPr>
          <w:color w:val="000000" w:themeColor="text1"/>
          <w:szCs w:val="24"/>
        </w:rPr>
        <w:t xml:space="preserve">is statistically significant in </w:t>
      </w:r>
      <w:r w:rsidR="00373117" w:rsidRPr="000C4364">
        <w:rPr>
          <w:color w:val="000000" w:themeColor="text1"/>
          <w:szCs w:val="24"/>
        </w:rPr>
        <w:t>m</w:t>
      </w:r>
      <w:r w:rsidRPr="000C4364">
        <w:rPr>
          <w:color w:val="000000" w:themeColor="text1"/>
          <w:szCs w:val="24"/>
        </w:rPr>
        <w:t xml:space="preserve">odel 7. </w:t>
      </w:r>
      <w:r w:rsidR="00373117" w:rsidRPr="000C4364">
        <w:rPr>
          <w:color w:val="000000" w:themeColor="text1"/>
          <w:szCs w:val="24"/>
        </w:rPr>
        <w:t>W</w:t>
      </w:r>
      <w:r w:rsidRPr="000C4364">
        <w:rPr>
          <w:color w:val="000000" w:themeColor="text1"/>
          <w:szCs w:val="24"/>
        </w:rPr>
        <w:t xml:space="preserve">hen we control for firm characteristics and macroeconomic factors </w:t>
      </w:r>
      <w:r w:rsidR="00373117" w:rsidRPr="000C4364">
        <w:rPr>
          <w:i/>
          <w:color w:val="000000" w:themeColor="text1"/>
          <w:szCs w:val="24"/>
        </w:rPr>
        <w:t xml:space="preserve">government contract </w:t>
      </w:r>
      <w:r w:rsidRPr="000C4364">
        <w:rPr>
          <w:color w:val="000000" w:themeColor="text1"/>
          <w:szCs w:val="24"/>
        </w:rPr>
        <w:t xml:space="preserve">becomes insignificant in Models 8-10. </w:t>
      </w:r>
      <w:r w:rsidR="00F87AA3" w:rsidRPr="000C4364">
        <w:rPr>
          <w:color w:val="000000" w:themeColor="text1"/>
          <w:szCs w:val="24"/>
        </w:rPr>
        <w:t xml:space="preserve">To summarise, our results reveal the following: offering bribes or gifts and possessing a government contract enhance the likelihood of an SME acquiring a bank loan although the same factors are not associated with lowering borrowing costs. </w:t>
      </w:r>
    </w:p>
    <w:p w:rsidR="00340DEE" w:rsidRPr="00E5038A" w:rsidRDefault="00340DEE" w:rsidP="000C4364">
      <w:pPr>
        <w:pStyle w:val="BodyText"/>
        <w:spacing w:line="480" w:lineRule="auto"/>
        <w:jc w:val="center"/>
        <w:rPr>
          <w:i/>
          <w:color w:val="000000" w:themeColor="text1"/>
          <w:szCs w:val="24"/>
        </w:rPr>
      </w:pPr>
      <w:r w:rsidRPr="00E5038A">
        <w:rPr>
          <w:i/>
          <w:color w:val="000000" w:themeColor="text1"/>
          <w:szCs w:val="24"/>
        </w:rPr>
        <w:t>&lt;Table 6&gt;</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The ramifications of these results could be far-reaching with important and timely pol</w:t>
      </w:r>
      <w:r w:rsidR="006545DA" w:rsidRPr="000C4364">
        <w:rPr>
          <w:color w:val="000000" w:themeColor="text1"/>
          <w:szCs w:val="24"/>
        </w:rPr>
        <w:t>icy implications that have wide</w:t>
      </w:r>
      <w:r w:rsidRPr="000C4364">
        <w:rPr>
          <w:color w:val="000000" w:themeColor="text1"/>
          <w:szCs w:val="24"/>
        </w:rPr>
        <w:t xml:space="preserve">spread significance for growth and development across the FSU and EE. Such findings deserve and require further sensitivity testing to identify the stability of the results. Below we present the results of four sensitivity analyses to examine different aspects of stability of our </w:t>
      </w:r>
      <w:r w:rsidR="00C95A0E" w:rsidRPr="000C4364">
        <w:rPr>
          <w:i/>
          <w:color w:val="000000" w:themeColor="text1"/>
          <w:szCs w:val="24"/>
        </w:rPr>
        <w:t>bank l</w:t>
      </w:r>
      <w:r w:rsidRPr="000C4364">
        <w:rPr>
          <w:i/>
          <w:color w:val="000000" w:themeColor="text1"/>
          <w:szCs w:val="24"/>
        </w:rPr>
        <w:t xml:space="preserve">oan </w:t>
      </w:r>
      <w:r w:rsidR="00A27210" w:rsidRPr="000C4364">
        <w:rPr>
          <w:color w:val="000000" w:themeColor="text1"/>
          <w:szCs w:val="24"/>
        </w:rPr>
        <w:t>equation estimations. We use m</w:t>
      </w:r>
      <w:r w:rsidRPr="000C4364">
        <w:rPr>
          <w:color w:val="000000" w:themeColor="text1"/>
          <w:szCs w:val="24"/>
        </w:rPr>
        <w:t>odel 5 in table 5 for our sensitivity tests.</w:t>
      </w:r>
      <w:r w:rsidR="006B7900" w:rsidRPr="000C4364">
        <w:rPr>
          <w:rStyle w:val="EndnoteReference"/>
          <w:color w:val="000000" w:themeColor="text1"/>
          <w:szCs w:val="24"/>
        </w:rPr>
        <w:endnoteReference w:id="8"/>
      </w:r>
    </w:p>
    <w:p w:rsidR="00340DEE" w:rsidRPr="000C4364" w:rsidRDefault="00340DEE" w:rsidP="000C4364">
      <w:pPr>
        <w:pStyle w:val="BodyText"/>
        <w:spacing w:line="480" w:lineRule="auto"/>
        <w:rPr>
          <w:i/>
          <w:color w:val="000000" w:themeColor="text1"/>
          <w:szCs w:val="24"/>
        </w:rPr>
      </w:pPr>
    </w:p>
    <w:p w:rsidR="00340DEE" w:rsidRPr="000C4364" w:rsidRDefault="00340DEE" w:rsidP="000C4364">
      <w:pPr>
        <w:pStyle w:val="BodyText"/>
        <w:spacing w:line="480" w:lineRule="auto"/>
        <w:rPr>
          <w:i/>
          <w:color w:val="000000" w:themeColor="text1"/>
          <w:szCs w:val="24"/>
        </w:rPr>
      </w:pPr>
      <w:r w:rsidRPr="000C4364">
        <w:rPr>
          <w:i/>
          <w:color w:val="000000" w:themeColor="text1"/>
          <w:szCs w:val="24"/>
        </w:rPr>
        <w:t>Sensitivity test #1: subsamples</w:t>
      </w:r>
    </w:p>
    <w:p w:rsidR="00340DEE" w:rsidRPr="000C4364" w:rsidRDefault="00340DEE" w:rsidP="000C4364">
      <w:pPr>
        <w:pStyle w:val="BodyText"/>
        <w:spacing w:line="480" w:lineRule="auto"/>
        <w:rPr>
          <w:color w:val="000000" w:themeColor="text1"/>
          <w:szCs w:val="24"/>
        </w:rPr>
      </w:pPr>
      <w:proofErr w:type="spellStart"/>
      <w:r w:rsidRPr="000C4364">
        <w:rPr>
          <w:color w:val="000000" w:themeColor="text1"/>
          <w:szCs w:val="24"/>
        </w:rPr>
        <w:t>Blanchflower</w:t>
      </w:r>
      <w:proofErr w:type="spellEnd"/>
      <w:r w:rsidRPr="000C4364">
        <w:rPr>
          <w:color w:val="000000" w:themeColor="text1"/>
          <w:szCs w:val="24"/>
        </w:rPr>
        <w:t xml:space="preserve"> </w:t>
      </w:r>
      <w:r w:rsidR="00CF5E5E" w:rsidRPr="000C4364">
        <w:rPr>
          <w:i/>
          <w:color w:val="000000" w:themeColor="text1"/>
          <w:szCs w:val="24"/>
        </w:rPr>
        <w:t>et al</w:t>
      </w:r>
      <w:r w:rsidRPr="000C4364">
        <w:rPr>
          <w:i/>
          <w:color w:val="000000" w:themeColor="text1"/>
          <w:szCs w:val="24"/>
        </w:rPr>
        <w:t xml:space="preserve">. </w:t>
      </w:r>
      <w:r w:rsidRPr="000C4364">
        <w:rPr>
          <w:color w:val="000000" w:themeColor="text1"/>
          <w:szCs w:val="24"/>
        </w:rPr>
        <w:t xml:space="preserve">(2003) and </w:t>
      </w:r>
      <w:proofErr w:type="spellStart"/>
      <w:r w:rsidRPr="000C4364">
        <w:rPr>
          <w:color w:val="000000" w:themeColor="text1"/>
          <w:szCs w:val="24"/>
        </w:rPr>
        <w:t>Muravyev</w:t>
      </w:r>
      <w:proofErr w:type="spellEnd"/>
      <w:r w:rsidRPr="000C4364">
        <w:rPr>
          <w:color w:val="000000" w:themeColor="text1"/>
          <w:szCs w:val="24"/>
        </w:rPr>
        <w:t xml:space="preserve"> </w:t>
      </w:r>
      <w:r w:rsidR="00CF5E5E" w:rsidRPr="000C4364">
        <w:rPr>
          <w:i/>
          <w:color w:val="000000" w:themeColor="text1"/>
          <w:szCs w:val="24"/>
        </w:rPr>
        <w:t>et al</w:t>
      </w:r>
      <w:r w:rsidRPr="000C4364">
        <w:rPr>
          <w:i/>
          <w:color w:val="000000" w:themeColor="text1"/>
          <w:szCs w:val="24"/>
        </w:rPr>
        <w:t>.</w:t>
      </w:r>
      <w:r w:rsidRPr="000C4364">
        <w:rPr>
          <w:color w:val="000000" w:themeColor="text1"/>
          <w:szCs w:val="24"/>
        </w:rPr>
        <w:t xml:space="preserve"> (2009) suggest estimating regressions on sub-samples to ensure coefficient stability and we adopt the following approaches. First, as more established enterprises are more likely to obtain bank loans and rely on businesses’ rather </w:t>
      </w:r>
      <w:r w:rsidRPr="000C4364">
        <w:rPr>
          <w:color w:val="000000" w:themeColor="text1"/>
          <w:szCs w:val="24"/>
        </w:rPr>
        <w:lastRenderedPageBreak/>
        <w:t xml:space="preserve">than owners’ resources to repay obligations, we create two sub-samples involving SMEs that are younger than 10 years old versus SMEs that </w:t>
      </w:r>
      <w:r w:rsidR="00A83F98" w:rsidRPr="000C4364">
        <w:rPr>
          <w:color w:val="000000" w:themeColor="text1"/>
          <w:szCs w:val="24"/>
        </w:rPr>
        <w:t xml:space="preserve">are </w:t>
      </w:r>
      <w:r w:rsidRPr="000C4364">
        <w:rPr>
          <w:color w:val="000000" w:themeColor="text1"/>
          <w:szCs w:val="24"/>
        </w:rPr>
        <w:t>more than 10 years old. Second, the dataset contains a variable which measures respondents’ subjective evaluation of their access to bank credit from 0 to 4, with 0 representing ‘no obstacle’ to access to finance and 4 representing a ‘very severe obstacle.’ Since wealthier business owners are less likely to be constrained by a lack of external finance, they are also less likely to complain about access to bank credit. Hence, we split the sample into two with the first subsample containing SMEs with ‘no obstacle’ and ‘minor obstacle’ responses, which we term ‘access easy,’ and the remaining responses belong to the second sub-sample which we term ‘access difficult.’</w:t>
      </w:r>
    </w:p>
    <w:p w:rsidR="00C27EE1"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The results from these sub-samples are presented in table 7. For brevity, only the estimates of </w:t>
      </w:r>
      <w:r w:rsidR="004E00A0" w:rsidRPr="000C4364">
        <w:rPr>
          <w:i/>
          <w:color w:val="000000" w:themeColor="text1"/>
          <w:szCs w:val="24"/>
        </w:rPr>
        <w:t>b</w:t>
      </w:r>
      <w:r w:rsidRPr="000C4364">
        <w:rPr>
          <w:i/>
          <w:color w:val="000000" w:themeColor="text1"/>
          <w:szCs w:val="24"/>
        </w:rPr>
        <w:t xml:space="preserve">ribes and </w:t>
      </w:r>
      <w:r w:rsidR="004E00A0" w:rsidRPr="000C4364">
        <w:rPr>
          <w:i/>
          <w:color w:val="000000" w:themeColor="text1"/>
          <w:szCs w:val="24"/>
        </w:rPr>
        <w:t>g</w:t>
      </w:r>
      <w:r w:rsidRPr="000C4364">
        <w:rPr>
          <w:i/>
          <w:color w:val="000000" w:themeColor="text1"/>
          <w:szCs w:val="24"/>
        </w:rPr>
        <w:t>ifts</w:t>
      </w:r>
      <w:r w:rsidRPr="000C4364">
        <w:rPr>
          <w:color w:val="000000" w:themeColor="text1"/>
          <w:szCs w:val="24"/>
        </w:rPr>
        <w:t xml:space="preserve"> and</w:t>
      </w:r>
      <w:r w:rsidR="004E00A0" w:rsidRPr="000C4364">
        <w:rPr>
          <w:i/>
          <w:color w:val="000000" w:themeColor="text1"/>
          <w:szCs w:val="24"/>
        </w:rPr>
        <w:t xml:space="preserve"> g</w:t>
      </w:r>
      <w:r w:rsidRPr="000C4364">
        <w:rPr>
          <w:i/>
          <w:color w:val="000000" w:themeColor="text1"/>
          <w:szCs w:val="24"/>
        </w:rPr>
        <w:t xml:space="preserve">overnment </w:t>
      </w:r>
      <w:r w:rsidR="004E00A0" w:rsidRPr="000C4364">
        <w:rPr>
          <w:i/>
          <w:color w:val="000000" w:themeColor="text1"/>
          <w:szCs w:val="24"/>
        </w:rPr>
        <w:t>c</w:t>
      </w:r>
      <w:r w:rsidRPr="000C4364">
        <w:rPr>
          <w:i/>
          <w:color w:val="000000" w:themeColor="text1"/>
          <w:szCs w:val="24"/>
        </w:rPr>
        <w:t>ontract</w:t>
      </w:r>
      <w:r w:rsidRPr="000C4364">
        <w:rPr>
          <w:color w:val="000000" w:themeColor="text1"/>
          <w:szCs w:val="24"/>
        </w:rPr>
        <w:t xml:space="preserve"> are reported. The results for the enterprise age sub-samples, which are reported in columns 3 and 4, indicate that </w:t>
      </w:r>
      <w:r w:rsidR="004E00A0" w:rsidRPr="000C4364">
        <w:rPr>
          <w:i/>
          <w:color w:val="000000" w:themeColor="text1"/>
          <w:szCs w:val="24"/>
        </w:rPr>
        <w:t>b</w:t>
      </w:r>
      <w:r w:rsidRPr="000C4364">
        <w:rPr>
          <w:i/>
          <w:color w:val="000000" w:themeColor="text1"/>
          <w:szCs w:val="24"/>
        </w:rPr>
        <w:t xml:space="preserve">ribes and </w:t>
      </w:r>
      <w:r w:rsidR="004E00A0" w:rsidRPr="000C4364">
        <w:rPr>
          <w:i/>
          <w:color w:val="000000" w:themeColor="text1"/>
          <w:szCs w:val="24"/>
        </w:rPr>
        <w:t>g</w:t>
      </w:r>
      <w:r w:rsidRPr="000C4364">
        <w:rPr>
          <w:i/>
          <w:color w:val="000000" w:themeColor="text1"/>
          <w:szCs w:val="24"/>
        </w:rPr>
        <w:t xml:space="preserve">ifts </w:t>
      </w:r>
      <w:r w:rsidR="00CE4FAA" w:rsidRPr="000C4364">
        <w:rPr>
          <w:color w:val="000000" w:themeColor="text1"/>
          <w:szCs w:val="24"/>
        </w:rPr>
        <w:t xml:space="preserve">and </w:t>
      </w:r>
      <w:r w:rsidR="00CE4FAA" w:rsidRPr="000C4364">
        <w:rPr>
          <w:i/>
          <w:color w:val="000000" w:themeColor="text1"/>
          <w:szCs w:val="24"/>
        </w:rPr>
        <w:t xml:space="preserve">government contract </w:t>
      </w:r>
      <w:r w:rsidR="00CE4FAA" w:rsidRPr="000C4364">
        <w:rPr>
          <w:color w:val="000000" w:themeColor="text1"/>
          <w:szCs w:val="24"/>
        </w:rPr>
        <w:t>are</w:t>
      </w:r>
      <w:r w:rsidRPr="000C4364">
        <w:rPr>
          <w:color w:val="000000" w:themeColor="text1"/>
          <w:szCs w:val="24"/>
        </w:rPr>
        <w:t xml:space="preserve"> statistically significant for older</w:t>
      </w:r>
      <w:r w:rsidR="00A83F98" w:rsidRPr="000C4364">
        <w:rPr>
          <w:color w:val="000000" w:themeColor="text1"/>
          <w:szCs w:val="24"/>
        </w:rPr>
        <w:t>,</w:t>
      </w:r>
      <w:r w:rsidRPr="000C4364">
        <w:rPr>
          <w:color w:val="000000" w:themeColor="text1"/>
          <w:szCs w:val="24"/>
        </w:rPr>
        <w:t xml:space="preserve"> more established firms. </w:t>
      </w:r>
      <w:r w:rsidRPr="000C4364">
        <w:rPr>
          <w:i/>
          <w:color w:val="000000" w:themeColor="text1"/>
          <w:szCs w:val="24"/>
        </w:rPr>
        <w:t xml:space="preserve">Government </w:t>
      </w:r>
      <w:r w:rsidR="004E00A0" w:rsidRPr="000C4364">
        <w:rPr>
          <w:i/>
          <w:color w:val="000000" w:themeColor="text1"/>
          <w:szCs w:val="24"/>
        </w:rPr>
        <w:t>c</w:t>
      </w:r>
      <w:r w:rsidRPr="000C4364">
        <w:rPr>
          <w:i/>
          <w:color w:val="000000" w:themeColor="text1"/>
          <w:szCs w:val="24"/>
        </w:rPr>
        <w:t xml:space="preserve">ontract </w:t>
      </w:r>
      <w:r w:rsidRPr="000C4364">
        <w:rPr>
          <w:color w:val="000000" w:themeColor="text1"/>
          <w:szCs w:val="24"/>
        </w:rPr>
        <w:t xml:space="preserve">is only marginally significant for younger firms, and the magnitude of the coefficient is also smaller (3.7% v 4.9%). The results for the access to finance sub-sample, which are presented in columns 5 and 6 in table 7, show that both </w:t>
      </w:r>
      <w:r w:rsidR="004E00A0" w:rsidRPr="000C4364">
        <w:rPr>
          <w:i/>
          <w:color w:val="000000" w:themeColor="text1"/>
          <w:szCs w:val="24"/>
        </w:rPr>
        <w:t>b</w:t>
      </w:r>
      <w:r w:rsidRPr="000C4364">
        <w:rPr>
          <w:i/>
          <w:color w:val="000000" w:themeColor="text1"/>
          <w:szCs w:val="24"/>
        </w:rPr>
        <w:t xml:space="preserve">ribes and </w:t>
      </w:r>
      <w:r w:rsidR="004E00A0" w:rsidRPr="000C4364">
        <w:rPr>
          <w:i/>
          <w:color w:val="000000" w:themeColor="text1"/>
          <w:szCs w:val="24"/>
        </w:rPr>
        <w:t>g</w:t>
      </w:r>
      <w:r w:rsidRPr="000C4364">
        <w:rPr>
          <w:i/>
          <w:color w:val="000000" w:themeColor="text1"/>
          <w:szCs w:val="24"/>
        </w:rPr>
        <w:t xml:space="preserve">ifts </w:t>
      </w:r>
      <w:r w:rsidRPr="000C4364">
        <w:rPr>
          <w:color w:val="000000" w:themeColor="text1"/>
          <w:szCs w:val="24"/>
        </w:rPr>
        <w:t xml:space="preserve">and </w:t>
      </w:r>
      <w:r w:rsidR="004E00A0" w:rsidRPr="000C4364">
        <w:rPr>
          <w:i/>
          <w:color w:val="000000" w:themeColor="text1"/>
          <w:szCs w:val="24"/>
        </w:rPr>
        <w:t>government c</w:t>
      </w:r>
      <w:r w:rsidRPr="000C4364">
        <w:rPr>
          <w:i/>
          <w:color w:val="000000" w:themeColor="text1"/>
          <w:szCs w:val="24"/>
        </w:rPr>
        <w:t xml:space="preserve">ontract </w:t>
      </w:r>
      <w:r w:rsidRPr="000C4364">
        <w:rPr>
          <w:color w:val="000000" w:themeColor="text1"/>
          <w:szCs w:val="24"/>
        </w:rPr>
        <w:t xml:space="preserve">are highly insignificant for </w:t>
      </w:r>
      <w:r w:rsidR="00A83F98" w:rsidRPr="000C4364">
        <w:rPr>
          <w:color w:val="000000" w:themeColor="text1"/>
          <w:szCs w:val="24"/>
        </w:rPr>
        <w:t>poorer firms (</w:t>
      </w:r>
      <w:r w:rsidRPr="000C4364">
        <w:rPr>
          <w:color w:val="000000" w:themeColor="text1"/>
          <w:szCs w:val="24"/>
        </w:rPr>
        <w:t>the firm sample that says access to bank finance is difficult</w:t>
      </w:r>
      <w:r w:rsidR="00A83F98" w:rsidRPr="000C4364">
        <w:rPr>
          <w:color w:val="000000" w:themeColor="text1"/>
          <w:szCs w:val="24"/>
        </w:rPr>
        <w:t>)</w:t>
      </w:r>
      <w:r w:rsidRPr="000C4364">
        <w:rPr>
          <w:color w:val="000000" w:themeColor="text1"/>
          <w:szCs w:val="24"/>
        </w:rPr>
        <w:t xml:space="preserve">. As for the alternative sub-sample, </w:t>
      </w:r>
      <w:r w:rsidR="004E00A0" w:rsidRPr="000C4364">
        <w:rPr>
          <w:i/>
          <w:color w:val="000000" w:themeColor="text1"/>
          <w:szCs w:val="24"/>
        </w:rPr>
        <w:t>b</w:t>
      </w:r>
      <w:r w:rsidRPr="000C4364">
        <w:rPr>
          <w:i/>
          <w:color w:val="000000" w:themeColor="text1"/>
          <w:szCs w:val="24"/>
        </w:rPr>
        <w:t xml:space="preserve">ribes and </w:t>
      </w:r>
      <w:r w:rsidR="004E00A0" w:rsidRPr="000C4364">
        <w:rPr>
          <w:i/>
          <w:color w:val="000000" w:themeColor="text1"/>
          <w:szCs w:val="24"/>
        </w:rPr>
        <w:t>g</w:t>
      </w:r>
      <w:r w:rsidRPr="000C4364">
        <w:rPr>
          <w:i/>
          <w:color w:val="000000" w:themeColor="text1"/>
          <w:szCs w:val="24"/>
        </w:rPr>
        <w:t xml:space="preserve">ifts </w:t>
      </w:r>
      <w:proofErr w:type="gramStart"/>
      <w:r w:rsidRPr="000C4364">
        <w:rPr>
          <w:color w:val="000000" w:themeColor="text1"/>
          <w:szCs w:val="24"/>
        </w:rPr>
        <w:t>is</w:t>
      </w:r>
      <w:proofErr w:type="gramEnd"/>
      <w:r w:rsidRPr="000C4364">
        <w:rPr>
          <w:color w:val="000000" w:themeColor="text1"/>
          <w:szCs w:val="24"/>
        </w:rPr>
        <w:t xml:space="preserve"> marginally significant at the 11.6% level and </w:t>
      </w:r>
      <w:r w:rsidR="004E00A0" w:rsidRPr="000C4364">
        <w:rPr>
          <w:i/>
          <w:color w:val="000000" w:themeColor="text1"/>
          <w:szCs w:val="24"/>
        </w:rPr>
        <w:t>g</w:t>
      </w:r>
      <w:r w:rsidRPr="000C4364">
        <w:rPr>
          <w:i/>
          <w:color w:val="000000" w:themeColor="text1"/>
          <w:szCs w:val="24"/>
        </w:rPr>
        <w:t xml:space="preserve">overnment </w:t>
      </w:r>
      <w:r w:rsidR="004E00A0" w:rsidRPr="000C4364">
        <w:rPr>
          <w:i/>
          <w:color w:val="000000" w:themeColor="text1"/>
          <w:szCs w:val="24"/>
        </w:rPr>
        <w:t>c</w:t>
      </w:r>
      <w:r w:rsidRPr="000C4364">
        <w:rPr>
          <w:i/>
          <w:color w:val="000000" w:themeColor="text1"/>
          <w:szCs w:val="24"/>
        </w:rPr>
        <w:t xml:space="preserve">ontract </w:t>
      </w:r>
      <w:r w:rsidRPr="000C4364">
        <w:rPr>
          <w:color w:val="000000" w:themeColor="text1"/>
          <w:szCs w:val="24"/>
        </w:rPr>
        <w:t>is statistically significant at the 1 percent lev</w:t>
      </w:r>
      <w:r w:rsidR="00CE4FAA" w:rsidRPr="000C4364">
        <w:rPr>
          <w:color w:val="000000" w:themeColor="text1"/>
          <w:szCs w:val="24"/>
        </w:rPr>
        <w:t>el.</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In general, these sensitivity tests suggest that both </w:t>
      </w:r>
      <w:r w:rsidR="004E00A0" w:rsidRPr="000C4364">
        <w:rPr>
          <w:i/>
          <w:color w:val="000000" w:themeColor="text1"/>
          <w:szCs w:val="24"/>
        </w:rPr>
        <w:t>b</w:t>
      </w:r>
      <w:r w:rsidRPr="000C4364">
        <w:rPr>
          <w:i/>
          <w:color w:val="000000" w:themeColor="text1"/>
          <w:szCs w:val="24"/>
        </w:rPr>
        <w:t xml:space="preserve">ribes and </w:t>
      </w:r>
      <w:r w:rsidR="004E00A0" w:rsidRPr="000C4364">
        <w:rPr>
          <w:i/>
          <w:color w:val="000000" w:themeColor="text1"/>
          <w:szCs w:val="24"/>
        </w:rPr>
        <w:t>g</w:t>
      </w:r>
      <w:r w:rsidRPr="000C4364">
        <w:rPr>
          <w:i/>
          <w:color w:val="000000" w:themeColor="text1"/>
          <w:szCs w:val="24"/>
        </w:rPr>
        <w:t xml:space="preserve">ifts </w:t>
      </w:r>
      <w:r w:rsidRPr="000C4364">
        <w:rPr>
          <w:color w:val="000000" w:themeColor="text1"/>
          <w:szCs w:val="24"/>
        </w:rPr>
        <w:t xml:space="preserve">and </w:t>
      </w:r>
      <w:r w:rsidR="004E00A0" w:rsidRPr="000C4364">
        <w:rPr>
          <w:i/>
          <w:color w:val="000000" w:themeColor="text1"/>
          <w:szCs w:val="24"/>
        </w:rPr>
        <w:t>g</w:t>
      </w:r>
      <w:r w:rsidRPr="000C4364">
        <w:rPr>
          <w:i/>
          <w:color w:val="000000" w:themeColor="text1"/>
          <w:szCs w:val="24"/>
        </w:rPr>
        <w:t xml:space="preserve">overnment </w:t>
      </w:r>
      <w:r w:rsidR="004E00A0" w:rsidRPr="000C4364">
        <w:rPr>
          <w:i/>
          <w:color w:val="000000" w:themeColor="text1"/>
          <w:szCs w:val="24"/>
        </w:rPr>
        <w:t>c</w:t>
      </w:r>
      <w:r w:rsidRPr="000C4364">
        <w:rPr>
          <w:i/>
          <w:color w:val="000000" w:themeColor="text1"/>
          <w:szCs w:val="24"/>
        </w:rPr>
        <w:t xml:space="preserve">ontract </w:t>
      </w:r>
      <w:r w:rsidRPr="000C4364">
        <w:rPr>
          <w:color w:val="000000" w:themeColor="text1"/>
          <w:szCs w:val="24"/>
        </w:rPr>
        <w:t xml:space="preserve">are likely to have greater impact on improving access to bank finance for more established and wealthier enterprises. Since younger enterprises are also likely to be less wealthy, these findings imply that, on top of information opacity, lack of interpersonal connectedness to bureaucratic officials will further exacerbate access to formal finance for </w:t>
      </w:r>
      <w:r w:rsidRPr="000C4364">
        <w:rPr>
          <w:color w:val="000000" w:themeColor="text1"/>
          <w:szCs w:val="24"/>
        </w:rPr>
        <w:lastRenderedPageBreak/>
        <w:t>newer firms.</w:t>
      </w:r>
      <w:r w:rsidR="00CE4FAA" w:rsidRPr="000C4364">
        <w:rPr>
          <w:color w:val="000000" w:themeColor="text1"/>
          <w:szCs w:val="24"/>
        </w:rPr>
        <w:t xml:space="preserve"> Moreover, we cannot rule out reverse causality, and firms with more access to finance to have greater </w:t>
      </w:r>
      <w:proofErr w:type="spellStart"/>
      <w:r w:rsidR="00CE4FAA" w:rsidRPr="000C4364">
        <w:rPr>
          <w:color w:val="000000" w:themeColor="text1"/>
          <w:szCs w:val="24"/>
        </w:rPr>
        <w:t>liquity</w:t>
      </w:r>
      <w:proofErr w:type="spellEnd"/>
      <w:r w:rsidR="00CE4FAA" w:rsidRPr="000C4364">
        <w:rPr>
          <w:color w:val="000000" w:themeColor="text1"/>
          <w:szCs w:val="24"/>
        </w:rPr>
        <w:t xml:space="preserve"> and better performance could </w:t>
      </w:r>
      <w:r w:rsidR="004E4C33" w:rsidRPr="000C4364">
        <w:rPr>
          <w:color w:val="000000" w:themeColor="text1"/>
          <w:szCs w:val="24"/>
        </w:rPr>
        <w:t>be awarded with more government contracts and have larger cash reserves that enable them to conduct more bribes</w:t>
      </w:r>
      <w:r w:rsidR="00690284" w:rsidRPr="000C4364">
        <w:rPr>
          <w:color w:val="000000" w:themeColor="text1"/>
          <w:szCs w:val="24"/>
        </w:rPr>
        <w:t>; when a panel of firms is available for analysis, future research should establish which way(s) the causality runs.</w:t>
      </w:r>
    </w:p>
    <w:p w:rsidR="00340DEE" w:rsidRPr="000C4364" w:rsidRDefault="00340DEE" w:rsidP="000C4364">
      <w:pPr>
        <w:pStyle w:val="BodyText"/>
        <w:spacing w:line="480" w:lineRule="auto"/>
        <w:jc w:val="center"/>
        <w:rPr>
          <w:i/>
          <w:color w:val="000000" w:themeColor="text1"/>
          <w:szCs w:val="24"/>
        </w:rPr>
      </w:pPr>
      <w:r w:rsidRPr="000C4364">
        <w:rPr>
          <w:i/>
          <w:color w:val="000000" w:themeColor="text1"/>
          <w:szCs w:val="24"/>
        </w:rPr>
        <w:t>&lt;Table 7 &gt;</w:t>
      </w:r>
    </w:p>
    <w:p w:rsidR="00340DEE" w:rsidRPr="000C4364" w:rsidRDefault="00340DEE" w:rsidP="000C4364">
      <w:pPr>
        <w:pStyle w:val="BodyText"/>
        <w:spacing w:line="480" w:lineRule="auto"/>
        <w:rPr>
          <w:i/>
          <w:color w:val="000000" w:themeColor="text1"/>
          <w:szCs w:val="24"/>
        </w:rPr>
      </w:pPr>
      <w:r w:rsidRPr="000C4364">
        <w:rPr>
          <w:i/>
          <w:color w:val="000000" w:themeColor="text1"/>
          <w:szCs w:val="24"/>
        </w:rPr>
        <w:t>Sensitivity test #2: scale effects</w:t>
      </w:r>
    </w:p>
    <w:p w:rsidR="00340DEE" w:rsidRPr="000C4364" w:rsidRDefault="00340DEE" w:rsidP="000C4364">
      <w:pPr>
        <w:pStyle w:val="BodyText"/>
        <w:spacing w:line="480" w:lineRule="auto"/>
        <w:rPr>
          <w:color w:val="000000" w:themeColor="text1"/>
          <w:szCs w:val="24"/>
        </w:rPr>
      </w:pPr>
      <w:r w:rsidRPr="000C4364">
        <w:rPr>
          <w:color w:val="000000" w:themeColor="text1"/>
          <w:szCs w:val="24"/>
        </w:rPr>
        <w:t xml:space="preserve">The estimated effects of our proxy variables for enterprise connectedness on the ability to obtain a bank loan may vary with the scale of the SME. Table 8 reports the marginal effects of </w:t>
      </w:r>
      <w:r w:rsidR="002E5604" w:rsidRPr="000C4364">
        <w:rPr>
          <w:i/>
          <w:color w:val="000000" w:themeColor="text1"/>
          <w:szCs w:val="24"/>
        </w:rPr>
        <w:t>b</w:t>
      </w:r>
      <w:r w:rsidRPr="000C4364">
        <w:rPr>
          <w:i/>
          <w:color w:val="000000" w:themeColor="text1"/>
          <w:szCs w:val="24"/>
        </w:rPr>
        <w:t xml:space="preserve">ribes and </w:t>
      </w:r>
      <w:r w:rsidR="002E5604" w:rsidRPr="000C4364">
        <w:rPr>
          <w:i/>
          <w:color w:val="000000" w:themeColor="text1"/>
          <w:szCs w:val="24"/>
        </w:rPr>
        <w:t>g</w:t>
      </w:r>
      <w:r w:rsidRPr="000C4364">
        <w:rPr>
          <w:i/>
          <w:color w:val="000000" w:themeColor="text1"/>
          <w:szCs w:val="24"/>
        </w:rPr>
        <w:t>ifts</w:t>
      </w:r>
      <w:r w:rsidRPr="000C4364">
        <w:rPr>
          <w:color w:val="000000" w:themeColor="text1"/>
          <w:szCs w:val="24"/>
        </w:rPr>
        <w:t xml:space="preserve"> and </w:t>
      </w:r>
      <w:r w:rsidR="002E5604" w:rsidRPr="000C4364">
        <w:rPr>
          <w:i/>
          <w:color w:val="000000" w:themeColor="text1"/>
          <w:szCs w:val="24"/>
        </w:rPr>
        <w:t>g</w:t>
      </w:r>
      <w:r w:rsidRPr="000C4364">
        <w:rPr>
          <w:i/>
          <w:color w:val="000000" w:themeColor="text1"/>
          <w:szCs w:val="24"/>
        </w:rPr>
        <w:t xml:space="preserve">overnment </w:t>
      </w:r>
      <w:r w:rsidR="002E5604" w:rsidRPr="000C4364">
        <w:rPr>
          <w:i/>
          <w:color w:val="000000" w:themeColor="text1"/>
          <w:szCs w:val="24"/>
        </w:rPr>
        <w:t>c</w:t>
      </w:r>
      <w:r w:rsidRPr="000C4364">
        <w:rPr>
          <w:i/>
          <w:color w:val="000000" w:themeColor="text1"/>
          <w:szCs w:val="24"/>
        </w:rPr>
        <w:t>ontract</w:t>
      </w:r>
      <w:r w:rsidRPr="000C4364">
        <w:rPr>
          <w:color w:val="000000" w:themeColor="text1"/>
          <w:szCs w:val="24"/>
        </w:rPr>
        <w:t xml:space="preserve"> on holding a bank loan if the representative values of </w:t>
      </w:r>
      <w:proofErr w:type="gramStart"/>
      <w:r w:rsidR="002E5604" w:rsidRPr="000C4364">
        <w:rPr>
          <w:i/>
          <w:color w:val="000000" w:themeColor="text1"/>
          <w:szCs w:val="24"/>
        </w:rPr>
        <w:t>l</w:t>
      </w:r>
      <w:r w:rsidRPr="000C4364">
        <w:rPr>
          <w:i/>
          <w:color w:val="000000" w:themeColor="text1"/>
          <w:szCs w:val="24"/>
        </w:rPr>
        <w:t>og</w:t>
      </w:r>
      <w:r w:rsidRPr="000C4364">
        <w:rPr>
          <w:color w:val="000000" w:themeColor="text1"/>
          <w:szCs w:val="24"/>
        </w:rPr>
        <w:t>(</w:t>
      </w:r>
      <w:proofErr w:type="gramEnd"/>
      <w:r w:rsidR="002E5604" w:rsidRPr="000C4364">
        <w:rPr>
          <w:i/>
          <w:color w:val="000000" w:themeColor="text1"/>
          <w:szCs w:val="24"/>
        </w:rPr>
        <w:t>l</w:t>
      </w:r>
      <w:r w:rsidRPr="000C4364">
        <w:rPr>
          <w:i/>
          <w:color w:val="000000" w:themeColor="text1"/>
          <w:szCs w:val="24"/>
        </w:rPr>
        <w:t>abour)</w:t>
      </w:r>
      <w:r w:rsidRPr="000C4364">
        <w:rPr>
          <w:color w:val="000000" w:themeColor="text1"/>
          <w:szCs w:val="24"/>
        </w:rPr>
        <w:t xml:space="preserve"> move </w:t>
      </w:r>
      <w:r w:rsidR="00941E2C" w:rsidRPr="000C4364">
        <w:rPr>
          <w:color w:val="000000" w:themeColor="text1"/>
          <w:szCs w:val="24"/>
        </w:rPr>
        <w:t xml:space="preserve">up to </w:t>
      </w:r>
      <w:r w:rsidRPr="000C4364">
        <w:rPr>
          <w:color w:val="000000" w:themeColor="text1"/>
          <w:szCs w:val="24"/>
        </w:rPr>
        <w:t xml:space="preserve">two standard deviations from their mean values. The results show that the magnitudes of </w:t>
      </w:r>
      <w:r w:rsidR="002E5604" w:rsidRPr="000C4364">
        <w:rPr>
          <w:color w:val="000000" w:themeColor="text1"/>
          <w:szCs w:val="24"/>
        </w:rPr>
        <w:t xml:space="preserve">the </w:t>
      </w:r>
      <w:r w:rsidRPr="000C4364">
        <w:rPr>
          <w:color w:val="000000" w:themeColor="text1"/>
          <w:szCs w:val="24"/>
        </w:rPr>
        <w:t xml:space="preserve">marginal effects of both variables increase, albeit marginally when the values of </w:t>
      </w:r>
      <w:proofErr w:type="gramStart"/>
      <w:r w:rsidR="002E5604" w:rsidRPr="000C4364">
        <w:rPr>
          <w:i/>
          <w:color w:val="000000" w:themeColor="text1"/>
          <w:szCs w:val="24"/>
        </w:rPr>
        <w:t>l</w:t>
      </w:r>
      <w:r w:rsidRPr="000C4364">
        <w:rPr>
          <w:i/>
          <w:color w:val="000000" w:themeColor="text1"/>
          <w:szCs w:val="24"/>
        </w:rPr>
        <w:t>og(</w:t>
      </w:r>
      <w:proofErr w:type="gramEnd"/>
      <w:r w:rsidR="002E5604" w:rsidRPr="000C4364">
        <w:rPr>
          <w:i/>
          <w:color w:val="000000" w:themeColor="text1"/>
          <w:szCs w:val="24"/>
        </w:rPr>
        <w:t>l</w:t>
      </w:r>
      <w:r w:rsidRPr="000C4364">
        <w:rPr>
          <w:i/>
          <w:color w:val="000000" w:themeColor="text1"/>
          <w:szCs w:val="24"/>
        </w:rPr>
        <w:t>abour)</w:t>
      </w:r>
      <w:r w:rsidRPr="000C4364">
        <w:rPr>
          <w:color w:val="000000" w:themeColor="text1"/>
          <w:szCs w:val="24"/>
        </w:rPr>
        <w:t xml:space="preserve"> increase. In other words, interpersonal connections become increasingly important as the enterprise gets bigger</w:t>
      </w:r>
      <w:r w:rsidR="002E5604" w:rsidRPr="000C4364">
        <w:rPr>
          <w:color w:val="000000" w:themeColor="text1"/>
          <w:szCs w:val="24"/>
        </w:rPr>
        <w:t>, and t</w:t>
      </w:r>
      <w:r w:rsidRPr="000C4364">
        <w:rPr>
          <w:color w:val="000000" w:themeColor="text1"/>
          <w:szCs w:val="24"/>
        </w:rPr>
        <w:t>his adds an additional dimension to our earlier observation about the importance of interpersonal connections for older and wealthier enterprises.</w:t>
      </w:r>
    </w:p>
    <w:p w:rsidR="00340DEE" w:rsidRPr="000C4364" w:rsidRDefault="00340DEE" w:rsidP="000C4364">
      <w:pPr>
        <w:pStyle w:val="BodyText"/>
        <w:spacing w:line="480" w:lineRule="auto"/>
        <w:jc w:val="center"/>
        <w:rPr>
          <w:color w:val="000000" w:themeColor="text1"/>
          <w:szCs w:val="24"/>
        </w:rPr>
      </w:pPr>
      <w:r w:rsidRPr="000C4364">
        <w:rPr>
          <w:i/>
          <w:color w:val="000000" w:themeColor="text1"/>
          <w:szCs w:val="24"/>
        </w:rPr>
        <w:t>&lt;Table 8&gt;</w:t>
      </w:r>
    </w:p>
    <w:p w:rsidR="00E5038A" w:rsidRDefault="00E5038A" w:rsidP="000C4364">
      <w:pPr>
        <w:pStyle w:val="BodyText"/>
        <w:spacing w:line="480" w:lineRule="auto"/>
        <w:rPr>
          <w:i/>
          <w:color w:val="000000" w:themeColor="text1"/>
          <w:szCs w:val="24"/>
        </w:rPr>
      </w:pPr>
    </w:p>
    <w:p w:rsidR="00340DEE" w:rsidRPr="000C4364" w:rsidRDefault="00340DEE" w:rsidP="000C4364">
      <w:pPr>
        <w:pStyle w:val="BodyText"/>
        <w:spacing w:line="480" w:lineRule="auto"/>
        <w:rPr>
          <w:i/>
          <w:color w:val="000000" w:themeColor="text1"/>
          <w:szCs w:val="24"/>
        </w:rPr>
      </w:pPr>
      <w:r w:rsidRPr="000C4364">
        <w:rPr>
          <w:i/>
          <w:color w:val="000000" w:themeColor="text1"/>
          <w:szCs w:val="24"/>
        </w:rPr>
        <w:t>Sensitivity test #3: variations across regions</w:t>
      </w:r>
    </w:p>
    <w:p w:rsidR="00340DEE" w:rsidRPr="000C4364" w:rsidRDefault="00340DEE" w:rsidP="000C4364">
      <w:pPr>
        <w:pStyle w:val="BodyText"/>
        <w:spacing w:line="480" w:lineRule="auto"/>
        <w:rPr>
          <w:color w:val="000000" w:themeColor="text1"/>
          <w:szCs w:val="24"/>
        </w:rPr>
      </w:pPr>
      <w:r w:rsidRPr="000C4364">
        <w:rPr>
          <w:color w:val="000000" w:themeColor="text1"/>
          <w:szCs w:val="24"/>
        </w:rPr>
        <w:t xml:space="preserve">Although we allow for correlation of errors within countries in our estimations, the overall results are presented as representing PCE averages. It is </w:t>
      </w:r>
      <w:proofErr w:type="gramStart"/>
      <w:r w:rsidRPr="000C4364">
        <w:rPr>
          <w:color w:val="000000" w:themeColor="text1"/>
          <w:szCs w:val="24"/>
        </w:rPr>
        <w:t>possible</w:t>
      </w:r>
      <w:r w:rsidR="00C3209E" w:rsidRPr="000C4364">
        <w:rPr>
          <w:color w:val="000000" w:themeColor="text1"/>
          <w:szCs w:val="24"/>
        </w:rPr>
        <w:t>,</w:t>
      </w:r>
      <w:proofErr w:type="gramEnd"/>
      <w:r w:rsidR="00C3209E" w:rsidRPr="000C4364">
        <w:rPr>
          <w:color w:val="000000" w:themeColor="text1"/>
          <w:szCs w:val="24"/>
        </w:rPr>
        <w:t xml:space="preserve"> however</w:t>
      </w:r>
      <w:r w:rsidRPr="000C4364">
        <w:rPr>
          <w:color w:val="000000" w:themeColor="text1"/>
          <w:szCs w:val="24"/>
        </w:rPr>
        <w:t xml:space="preserve">, that interpersonal connectedness </w:t>
      </w:r>
      <w:r w:rsidR="00C3209E" w:rsidRPr="000C4364">
        <w:rPr>
          <w:color w:val="000000" w:themeColor="text1"/>
          <w:szCs w:val="24"/>
        </w:rPr>
        <w:t>is</w:t>
      </w:r>
      <w:r w:rsidRPr="000C4364">
        <w:rPr>
          <w:color w:val="000000" w:themeColor="text1"/>
          <w:szCs w:val="24"/>
        </w:rPr>
        <w:t xml:space="preserve"> more important in some regions than others. In order to account for potential variation across regions, we divide</w:t>
      </w:r>
      <w:r w:rsidR="00941E2C" w:rsidRPr="000C4364">
        <w:rPr>
          <w:color w:val="000000" w:themeColor="text1"/>
          <w:szCs w:val="24"/>
        </w:rPr>
        <w:t>d</w:t>
      </w:r>
      <w:r w:rsidRPr="000C4364">
        <w:rPr>
          <w:color w:val="000000" w:themeColor="text1"/>
          <w:szCs w:val="24"/>
        </w:rPr>
        <w:t xml:space="preserve"> the sample across five geographic regions as in table 4. We differentiate between EU member (EU-EE) and non-EU (non-EU-EE) member </w:t>
      </w:r>
      <w:r w:rsidRPr="000C4364">
        <w:rPr>
          <w:color w:val="000000" w:themeColor="text1"/>
          <w:szCs w:val="24"/>
        </w:rPr>
        <w:lastRenderedPageBreak/>
        <w:t>countries of EE, and use popular geographic boundaries for the CIS countries: BRUM (to represent the European part of the CIS), Caucasus and Centra</w:t>
      </w:r>
      <w:r w:rsidR="00C3209E" w:rsidRPr="000C4364">
        <w:rPr>
          <w:color w:val="000000" w:themeColor="text1"/>
          <w:szCs w:val="24"/>
        </w:rPr>
        <w:t>l Asia.</w:t>
      </w:r>
    </w:p>
    <w:p w:rsidR="00340DEE" w:rsidRPr="000C4364" w:rsidRDefault="00340DEE" w:rsidP="000C4364">
      <w:pPr>
        <w:pStyle w:val="BodyText"/>
        <w:spacing w:line="480" w:lineRule="auto"/>
        <w:rPr>
          <w:color w:val="000000" w:themeColor="text1"/>
          <w:szCs w:val="24"/>
        </w:rPr>
      </w:pPr>
      <w:r w:rsidRPr="000C4364">
        <w:rPr>
          <w:color w:val="000000" w:themeColor="text1"/>
          <w:szCs w:val="24"/>
        </w:rPr>
        <w:tab/>
        <w:t xml:space="preserve">The results of these estimations are presented in table 9. The coefficient estimates of </w:t>
      </w:r>
      <w:r w:rsidR="00C3209E" w:rsidRPr="000C4364">
        <w:rPr>
          <w:i/>
          <w:color w:val="000000" w:themeColor="text1"/>
          <w:szCs w:val="24"/>
        </w:rPr>
        <w:t>b</w:t>
      </w:r>
      <w:r w:rsidRPr="000C4364">
        <w:rPr>
          <w:i/>
          <w:color w:val="000000" w:themeColor="text1"/>
          <w:szCs w:val="24"/>
        </w:rPr>
        <w:t xml:space="preserve">ribes and </w:t>
      </w:r>
      <w:r w:rsidR="00C3209E" w:rsidRPr="000C4364">
        <w:rPr>
          <w:i/>
          <w:color w:val="000000" w:themeColor="text1"/>
          <w:szCs w:val="24"/>
        </w:rPr>
        <w:t>g</w:t>
      </w:r>
      <w:r w:rsidRPr="000C4364">
        <w:rPr>
          <w:i/>
          <w:color w:val="000000" w:themeColor="text1"/>
          <w:szCs w:val="24"/>
        </w:rPr>
        <w:t>ifts</w:t>
      </w:r>
      <w:r w:rsidRPr="000C4364">
        <w:rPr>
          <w:color w:val="000000" w:themeColor="text1"/>
          <w:szCs w:val="24"/>
        </w:rPr>
        <w:t xml:space="preserve"> and </w:t>
      </w:r>
      <w:r w:rsidR="00C3209E" w:rsidRPr="000C4364">
        <w:rPr>
          <w:i/>
          <w:color w:val="000000" w:themeColor="text1"/>
          <w:szCs w:val="24"/>
        </w:rPr>
        <w:t>g</w:t>
      </w:r>
      <w:r w:rsidRPr="000C4364">
        <w:rPr>
          <w:i/>
          <w:color w:val="000000" w:themeColor="text1"/>
          <w:szCs w:val="24"/>
        </w:rPr>
        <w:t xml:space="preserve">overnment </w:t>
      </w:r>
      <w:r w:rsidR="00C3209E" w:rsidRPr="000C4364">
        <w:rPr>
          <w:i/>
          <w:color w:val="000000" w:themeColor="text1"/>
          <w:szCs w:val="24"/>
        </w:rPr>
        <w:t>c</w:t>
      </w:r>
      <w:r w:rsidRPr="000C4364">
        <w:rPr>
          <w:i/>
          <w:color w:val="000000" w:themeColor="text1"/>
          <w:szCs w:val="24"/>
        </w:rPr>
        <w:t xml:space="preserve">ontract </w:t>
      </w:r>
      <w:r w:rsidRPr="000C4364">
        <w:rPr>
          <w:color w:val="000000" w:themeColor="text1"/>
          <w:szCs w:val="24"/>
        </w:rPr>
        <w:t xml:space="preserve">have expected signs and are statistically significant for the EU-EE and non-EU-EE regions. While </w:t>
      </w:r>
      <w:r w:rsidR="00C3209E" w:rsidRPr="000C4364">
        <w:rPr>
          <w:i/>
          <w:color w:val="000000" w:themeColor="text1"/>
          <w:szCs w:val="24"/>
        </w:rPr>
        <w:t>b</w:t>
      </w:r>
      <w:r w:rsidRPr="000C4364">
        <w:rPr>
          <w:i/>
          <w:color w:val="000000" w:themeColor="text1"/>
          <w:szCs w:val="24"/>
        </w:rPr>
        <w:t xml:space="preserve">ribes and </w:t>
      </w:r>
      <w:r w:rsidR="00C3209E" w:rsidRPr="000C4364">
        <w:rPr>
          <w:i/>
          <w:color w:val="000000" w:themeColor="text1"/>
          <w:szCs w:val="24"/>
        </w:rPr>
        <w:t>g</w:t>
      </w:r>
      <w:r w:rsidRPr="000C4364">
        <w:rPr>
          <w:i/>
          <w:color w:val="000000" w:themeColor="text1"/>
          <w:szCs w:val="24"/>
        </w:rPr>
        <w:t>ifts</w:t>
      </w:r>
      <w:r w:rsidRPr="000C4364">
        <w:rPr>
          <w:color w:val="000000" w:themeColor="text1"/>
          <w:szCs w:val="24"/>
        </w:rPr>
        <w:t xml:space="preserve"> is highly insignificant, </w:t>
      </w:r>
      <w:r w:rsidR="00C3209E" w:rsidRPr="000C4364">
        <w:rPr>
          <w:i/>
          <w:color w:val="000000" w:themeColor="text1"/>
          <w:szCs w:val="24"/>
        </w:rPr>
        <w:t>g</w:t>
      </w:r>
      <w:r w:rsidRPr="000C4364">
        <w:rPr>
          <w:i/>
          <w:color w:val="000000" w:themeColor="text1"/>
          <w:szCs w:val="24"/>
        </w:rPr>
        <w:t xml:space="preserve">overnment </w:t>
      </w:r>
      <w:r w:rsidR="00C3209E" w:rsidRPr="000C4364">
        <w:rPr>
          <w:i/>
          <w:color w:val="000000" w:themeColor="text1"/>
          <w:szCs w:val="24"/>
        </w:rPr>
        <w:t>c</w:t>
      </w:r>
      <w:r w:rsidRPr="000C4364">
        <w:rPr>
          <w:i/>
          <w:color w:val="000000" w:themeColor="text1"/>
          <w:szCs w:val="24"/>
        </w:rPr>
        <w:t>ontract</w:t>
      </w:r>
      <w:r w:rsidRPr="000C4364">
        <w:rPr>
          <w:color w:val="000000" w:themeColor="text1"/>
          <w:szCs w:val="24"/>
        </w:rPr>
        <w:t xml:space="preserve"> is statistically significant for the Caucasus and Central Asia regions. Neither of our target variables </w:t>
      </w:r>
      <w:proofErr w:type="gramStart"/>
      <w:r w:rsidRPr="000C4364">
        <w:rPr>
          <w:color w:val="000000" w:themeColor="text1"/>
          <w:szCs w:val="24"/>
        </w:rPr>
        <w:t>are</w:t>
      </w:r>
      <w:proofErr w:type="gramEnd"/>
      <w:r w:rsidRPr="000C4364">
        <w:rPr>
          <w:color w:val="000000" w:themeColor="text1"/>
          <w:szCs w:val="24"/>
        </w:rPr>
        <w:t xml:space="preserve"> statistically significant for the BRUM region. Given the slower pace of market-oriented institutional reforms in the CIS region, the results across the CIS regions are </w:t>
      </w:r>
      <w:r w:rsidR="00C3209E" w:rsidRPr="000C4364">
        <w:rPr>
          <w:color w:val="000000" w:themeColor="text1"/>
          <w:szCs w:val="24"/>
        </w:rPr>
        <w:t xml:space="preserve">initially </w:t>
      </w:r>
      <w:r w:rsidRPr="000C4364">
        <w:rPr>
          <w:color w:val="000000" w:themeColor="text1"/>
          <w:szCs w:val="24"/>
        </w:rPr>
        <w:t xml:space="preserve">counter-intuitive and puzzling. </w:t>
      </w:r>
      <w:r w:rsidR="00C3209E" w:rsidRPr="000C4364">
        <w:rPr>
          <w:color w:val="000000" w:themeColor="text1"/>
          <w:szCs w:val="24"/>
        </w:rPr>
        <w:t>However, t</w:t>
      </w:r>
      <w:r w:rsidRPr="000C4364">
        <w:rPr>
          <w:color w:val="000000" w:themeColor="text1"/>
          <w:szCs w:val="24"/>
        </w:rPr>
        <w:t xml:space="preserve">his may indicate that the similarity of economic structures, and not the simple geographic proximities, may be a better measure for creating the CIS sub-samples. Consequently, we separate three oil rich </w:t>
      </w:r>
      <w:proofErr w:type="gramStart"/>
      <w:r w:rsidRPr="000C4364">
        <w:rPr>
          <w:color w:val="000000" w:themeColor="text1"/>
          <w:szCs w:val="24"/>
        </w:rPr>
        <w:t>countries,</w:t>
      </w:r>
      <w:proofErr w:type="gramEnd"/>
      <w:r w:rsidRPr="000C4364">
        <w:rPr>
          <w:color w:val="000000" w:themeColor="text1"/>
          <w:szCs w:val="24"/>
        </w:rPr>
        <w:t xml:space="preserve"> Azerbaijan, Kazakhstan and Russia (CIS Oil Rich), from the rest of the CIS sample (CIS Other) and re-estimate the</w:t>
      </w:r>
      <w:r w:rsidR="00C3209E" w:rsidRPr="000C4364">
        <w:rPr>
          <w:color w:val="000000" w:themeColor="text1"/>
          <w:szCs w:val="24"/>
        </w:rPr>
        <w:t xml:space="preserve"> relationships.</w:t>
      </w:r>
    </w:p>
    <w:p w:rsidR="00340DEE" w:rsidRPr="00E5038A" w:rsidRDefault="00340DEE" w:rsidP="000C4364">
      <w:pPr>
        <w:pStyle w:val="BodyText"/>
        <w:spacing w:line="480" w:lineRule="auto"/>
        <w:jc w:val="center"/>
        <w:rPr>
          <w:i/>
          <w:color w:val="000000" w:themeColor="text1"/>
          <w:szCs w:val="24"/>
        </w:rPr>
      </w:pPr>
      <w:r w:rsidRPr="00E5038A">
        <w:rPr>
          <w:i/>
          <w:color w:val="000000" w:themeColor="text1"/>
          <w:szCs w:val="24"/>
        </w:rPr>
        <w:t>&lt;Table 9&gt;</w:t>
      </w:r>
    </w:p>
    <w:p w:rsidR="00340DEE" w:rsidRPr="000C4364" w:rsidRDefault="00340DEE" w:rsidP="000C4364">
      <w:pPr>
        <w:pStyle w:val="BodyText"/>
        <w:spacing w:line="480" w:lineRule="auto"/>
        <w:ind w:firstLine="720"/>
        <w:rPr>
          <w:color w:val="000000" w:themeColor="text1"/>
          <w:szCs w:val="24"/>
        </w:rPr>
      </w:pPr>
      <w:r w:rsidRPr="000C4364">
        <w:rPr>
          <w:color w:val="000000" w:themeColor="text1"/>
          <w:szCs w:val="24"/>
        </w:rPr>
        <w:t xml:space="preserve">The estimation results for these sub-samples, presented in the last two columns of table 9, indicate that both </w:t>
      </w:r>
      <w:r w:rsidR="00C3209E" w:rsidRPr="000C4364">
        <w:rPr>
          <w:i/>
          <w:color w:val="000000" w:themeColor="text1"/>
          <w:szCs w:val="24"/>
        </w:rPr>
        <w:t>b</w:t>
      </w:r>
      <w:r w:rsidRPr="000C4364">
        <w:rPr>
          <w:i/>
          <w:color w:val="000000" w:themeColor="text1"/>
          <w:szCs w:val="24"/>
        </w:rPr>
        <w:t xml:space="preserve">ribes and </w:t>
      </w:r>
      <w:r w:rsidR="00C3209E" w:rsidRPr="000C4364">
        <w:rPr>
          <w:i/>
          <w:color w:val="000000" w:themeColor="text1"/>
          <w:szCs w:val="24"/>
        </w:rPr>
        <w:t>g</w:t>
      </w:r>
      <w:r w:rsidRPr="000C4364">
        <w:rPr>
          <w:i/>
          <w:color w:val="000000" w:themeColor="text1"/>
          <w:szCs w:val="24"/>
        </w:rPr>
        <w:t xml:space="preserve">ifts </w:t>
      </w:r>
      <w:r w:rsidRPr="000C4364">
        <w:rPr>
          <w:color w:val="000000" w:themeColor="text1"/>
          <w:szCs w:val="24"/>
        </w:rPr>
        <w:t xml:space="preserve">and </w:t>
      </w:r>
      <w:r w:rsidR="00C3209E" w:rsidRPr="000C4364">
        <w:rPr>
          <w:i/>
          <w:color w:val="000000" w:themeColor="text1"/>
          <w:szCs w:val="24"/>
        </w:rPr>
        <w:t>g</w:t>
      </w:r>
      <w:r w:rsidRPr="000C4364">
        <w:rPr>
          <w:i/>
          <w:color w:val="000000" w:themeColor="text1"/>
          <w:szCs w:val="24"/>
        </w:rPr>
        <w:t xml:space="preserve">overnment </w:t>
      </w:r>
      <w:r w:rsidR="00C3209E" w:rsidRPr="000C4364">
        <w:rPr>
          <w:i/>
          <w:color w:val="000000" w:themeColor="text1"/>
          <w:szCs w:val="24"/>
        </w:rPr>
        <w:t>c</w:t>
      </w:r>
      <w:r w:rsidRPr="000C4364">
        <w:rPr>
          <w:i/>
          <w:color w:val="000000" w:themeColor="text1"/>
          <w:szCs w:val="24"/>
        </w:rPr>
        <w:t xml:space="preserve">ontract </w:t>
      </w:r>
      <w:r w:rsidRPr="000C4364">
        <w:rPr>
          <w:color w:val="000000" w:themeColor="text1"/>
          <w:szCs w:val="24"/>
        </w:rPr>
        <w:t>are now statistically significant for</w:t>
      </w:r>
      <w:r w:rsidR="004B1D20" w:rsidRPr="000C4364">
        <w:rPr>
          <w:color w:val="000000" w:themeColor="text1"/>
          <w:szCs w:val="24"/>
        </w:rPr>
        <w:t xml:space="preserve"> the non-oil rich CIS countries</w:t>
      </w:r>
      <w:r w:rsidRPr="000C4364">
        <w:rPr>
          <w:color w:val="000000" w:themeColor="text1"/>
          <w:szCs w:val="24"/>
        </w:rPr>
        <w:t xml:space="preserve"> but highly insignificant for the oil-rich CIS countries. The context of recent economic developments in the three oil-rich countries explains why this might be the case</w:t>
      </w:r>
      <w:r w:rsidR="00FE5DD8" w:rsidRPr="000C4364">
        <w:rPr>
          <w:color w:val="000000" w:themeColor="text1"/>
          <w:szCs w:val="24"/>
        </w:rPr>
        <w:t>:</w:t>
      </w:r>
      <w:r w:rsidRPr="000C4364">
        <w:rPr>
          <w:color w:val="000000" w:themeColor="text1"/>
          <w:szCs w:val="24"/>
        </w:rPr>
        <w:t xml:space="preserve"> </w:t>
      </w:r>
      <w:r w:rsidR="00FE5DD8" w:rsidRPr="000C4364">
        <w:rPr>
          <w:color w:val="000000" w:themeColor="text1"/>
          <w:szCs w:val="24"/>
        </w:rPr>
        <w:t>t</w:t>
      </w:r>
      <w:r w:rsidRPr="000C4364">
        <w:rPr>
          <w:color w:val="000000" w:themeColor="text1"/>
          <w:szCs w:val="24"/>
        </w:rPr>
        <w:t>he three</w:t>
      </w:r>
      <w:r w:rsidR="003F5E1B" w:rsidRPr="000C4364">
        <w:rPr>
          <w:color w:val="000000" w:themeColor="text1"/>
          <w:szCs w:val="24"/>
        </w:rPr>
        <w:t xml:space="preserve"> oil rich</w:t>
      </w:r>
      <w:r w:rsidRPr="000C4364">
        <w:rPr>
          <w:color w:val="000000" w:themeColor="text1"/>
          <w:szCs w:val="24"/>
        </w:rPr>
        <w:t xml:space="preserve"> </w:t>
      </w:r>
      <w:r w:rsidR="003F5E1B" w:rsidRPr="000C4364">
        <w:rPr>
          <w:color w:val="000000" w:themeColor="text1"/>
          <w:szCs w:val="24"/>
        </w:rPr>
        <w:t xml:space="preserve">CIS </w:t>
      </w:r>
      <w:r w:rsidRPr="000C4364">
        <w:rPr>
          <w:color w:val="000000" w:themeColor="text1"/>
          <w:szCs w:val="24"/>
        </w:rPr>
        <w:t xml:space="preserve">economies grew at about 10 percent per year for most of the 2000s, mostly due to their booming oil sectors, which resulted in significant foreign reserve accumulation. Although part of these reserves were sterilised, inevitably, domestic currencies appreciated sharply and the domestic money supplies increased. The latter was partly by design as the authorities tried to promote diversification of their economies by supporting domestic production (see e.g. Ruziev and Majidov, 2013). </w:t>
      </w:r>
      <w:r w:rsidR="00904B19" w:rsidRPr="000C4364">
        <w:rPr>
          <w:color w:val="000000" w:themeColor="text1"/>
          <w:szCs w:val="24"/>
        </w:rPr>
        <w:t>It is important to point out, however, that t</w:t>
      </w:r>
      <w:r w:rsidR="003F5E1B" w:rsidRPr="000C4364">
        <w:rPr>
          <w:color w:val="000000" w:themeColor="text1"/>
          <w:szCs w:val="24"/>
        </w:rPr>
        <w:t>he l</w:t>
      </w:r>
      <w:r w:rsidRPr="000C4364">
        <w:rPr>
          <w:color w:val="000000" w:themeColor="text1"/>
          <w:szCs w:val="24"/>
        </w:rPr>
        <w:t xml:space="preserve">ack of statistical significance </w:t>
      </w:r>
      <w:r w:rsidRPr="000C4364">
        <w:rPr>
          <w:color w:val="000000" w:themeColor="text1"/>
          <w:szCs w:val="24"/>
        </w:rPr>
        <w:lastRenderedPageBreak/>
        <w:t>of the connectedness proxies for the oil-ric</w:t>
      </w:r>
      <w:r w:rsidR="00FE5DD8" w:rsidRPr="000C4364">
        <w:rPr>
          <w:color w:val="000000" w:themeColor="text1"/>
          <w:szCs w:val="24"/>
        </w:rPr>
        <w:t>h CIS countries does not</w:t>
      </w:r>
      <w:r w:rsidRPr="000C4364">
        <w:rPr>
          <w:color w:val="000000" w:themeColor="text1"/>
          <w:szCs w:val="24"/>
        </w:rPr>
        <w:t xml:space="preserve"> imply that corruption is less of a problem in these economies</w:t>
      </w:r>
      <w:r w:rsidR="00904B19" w:rsidRPr="000C4364">
        <w:rPr>
          <w:color w:val="000000" w:themeColor="text1"/>
          <w:szCs w:val="24"/>
        </w:rPr>
        <w:t>.</w:t>
      </w:r>
      <w:r w:rsidR="00FE5DD8" w:rsidRPr="000C4364">
        <w:rPr>
          <w:color w:val="000000" w:themeColor="text1"/>
          <w:szCs w:val="24"/>
        </w:rPr>
        <w:t xml:space="preserve"> </w:t>
      </w:r>
      <w:r w:rsidR="00904B19" w:rsidRPr="000C4364">
        <w:rPr>
          <w:color w:val="000000" w:themeColor="text1"/>
          <w:szCs w:val="24"/>
        </w:rPr>
        <w:t>I</w:t>
      </w:r>
      <w:r w:rsidR="00FE5DD8" w:rsidRPr="000C4364">
        <w:rPr>
          <w:color w:val="000000" w:themeColor="text1"/>
          <w:szCs w:val="24"/>
        </w:rPr>
        <w:t xml:space="preserve">t </w:t>
      </w:r>
      <w:r w:rsidRPr="000C4364">
        <w:rPr>
          <w:color w:val="000000" w:themeColor="text1"/>
          <w:szCs w:val="24"/>
        </w:rPr>
        <w:t xml:space="preserve">simply means that interpersonal connectedness matters more when resources in question </w:t>
      </w:r>
      <w:r w:rsidR="00FE5DD8" w:rsidRPr="000C4364">
        <w:rPr>
          <w:color w:val="000000" w:themeColor="text1"/>
          <w:szCs w:val="24"/>
        </w:rPr>
        <w:t>are in relatively short supply.</w:t>
      </w:r>
    </w:p>
    <w:p w:rsidR="00340DEE" w:rsidRPr="000C4364" w:rsidRDefault="00340DEE" w:rsidP="000C4364">
      <w:pPr>
        <w:pStyle w:val="BodyText"/>
        <w:spacing w:line="480" w:lineRule="auto"/>
        <w:rPr>
          <w:i/>
          <w:color w:val="000000" w:themeColor="text1"/>
          <w:szCs w:val="24"/>
        </w:rPr>
      </w:pPr>
    </w:p>
    <w:p w:rsidR="00340DEE" w:rsidRPr="000C4364" w:rsidRDefault="00340DEE" w:rsidP="000C4364">
      <w:pPr>
        <w:pStyle w:val="BodyText"/>
        <w:spacing w:line="480" w:lineRule="auto"/>
        <w:rPr>
          <w:i/>
          <w:color w:val="000000" w:themeColor="text1"/>
          <w:szCs w:val="24"/>
        </w:rPr>
      </w:pPr>
      <w:r w:rsidRPr="000C4364">
        <w:rPr>
          <w:i/>
          <w:color w:val="000000" w:themeColor="text1"/>
          <w:szCs w:val="24"/>
        </w:rPr>
        <w:t>Sensitivity test #4: previously successful enterprises</w:t>
      </w:r>
    </w:p>
    <w:p w:rsidR="00340DEE" w:rsidRPr="000C4364" w:rsidRDefault="00340DEE" w:rsidP="000C4364">
      <w:pPr>
        <w:pStyle w:val="BodyText"/>
        <w:spacing w:line="480" w:lineRule="auto"/>
        <w:rPr>
          <w:color w:val="000000" w:themeColor="text1"/>
          <w:szCs w:val="24"/>
        </w:rPr>
      </w:pPr>
      <w:r w:rsidRPr="000C4364">
        <w:rPr>
          <w:color w:val="000000" w:themeColor="text1"/>
          <w:szCs w:val="24"/>
        </w:rPr>
        <w:t xml:space="preserve">A further concern is that well-connected SMEs may have been more successful enterprises in the recent past and so may subsequently </w:t>
      </w:r>
      <w:r w:rsidR="002604A5" w:rsidRPr="000C4364">
        <w:rPr>
          <w:color w:val="000000" w:themeColor="text1"/>
          <w:szCs w:val="24"/>
        </w:rPr>
        <w:t xml:space="preserve">have </w:t>
      </w:r>
      <w:r w:rsidRPr="000C4364">
        <w:rPr>
          <w:color w:val="000000" w:themeColor="text1"/>
          <w:szCs w:val="24"/>
        </w:rPr>
        <w:t>receive</w:t>
      </w:r>
      <w:r w:rsidR="002604A5" w:rsidRPr="000C4364">
        <w:rPr>
          <w:color w:val="000000" w:themeColor="text1"/>
          <w:szCs w:val="24"/>
        </w:rPr>
        <w:t>d</w:t>
      </w:r>
      <w:r w:rsidRPr="000C4364">
        <w:rPr>
          <w:color w:val="000000" w:themeColor="text1"/>
          <w:szCs w:val="24"/>
        </w:rPr>
        <w:t xml:space="preserve"> preferential treatment. We estimate additional regressions to test the potential relationship between SME growth and our variables representing enterprise connectedness. We use two popular measures of SME growth as our dependent variables: employment growth, which according to </w:t>
      </w:r>
      <w:proofErr w:type="spellStart"/>
      <w:r w:rsidRPr="000C4364">
        <w:rPr>
          <w:color w:val="000000" w:themeColor="text1"/>
          <w:szCs w:val="24"/>
        </w:rPr>
        <w:t>Xheneti</w:t>
      </w:r>
      <w:proofErr w:type="spellEnd"/>
      <w:r w:rsidRPr="000C4364">
        <w:rPr>
          <w:color w:val="000000" w:themeColor="text1"/>
          <w:szCs w:val="24"/>
        </w:rPr>
        <w:t xml:space="preserve"> and Bartlett (2012) is one of the most reliable measures especially for PCEs, and sales growth. The results of these regressions are reported in table 10. In model 11, the dependent variable takes the value of 1 if the SME reported employment growth and 0 otherwise</w:t>
      </w:r>
      <w:r w:rsidR="005D4868" w:rsidRPr="000C4364">
        <w:rPr>
          <w:color w:val="000000" w:themeColor="text1"/>
          <w:szCs w:val="24"/>
        </w:rPr>
        <w:t>,</w:t>
      </w:r>
      <w:r w:rsidRPr="000C4364">
        <w:rPr>
          <w:color w:val="000000" w:themeColor="text1"/>
          <w:szCs w:val="24"/>
        </w:rPr>
        <w:t xml:space="preserve"> while in model 12 the dependent variable takes the value of 1 if the enterprise reports sales growth compared to the previous period and 0 otherwise. The results indicate that </w:t>
      </w:r>
      <w:r w:rsidR="005D4868" w:rsidRPr="000C4364">
        <w:rPr>
          <w:i/>
          <w:color w:val="000000" w:themeColor="text1"/>
          <w:szCs w:val="24"/>
        </w:rPr>
        <w:t>b</w:t>
      </w:r>
      <w:r w:rsidRPr="000C4364">
        <w:rPr>
          <w:i/>
          <w:color w:val="000000" w:themeColor="text1"/>
          <w:szCs w:val="24"/>
        </w:rPr>
        <w:t xml:space="preserve">ribes and </w:t>
      </w:r>
      <w:r w:rsidR="005D4868" w:rsidRPr="000C4364">
        <w:rPr>
          <w:i/>
          <w:color w:val="000000" w:themeColor="text1"/>
          <w:szCs w:val="24"/>
        </w:rPr>
        <w:t>g</w:t>
      </w:r>
      <w:r w:rsidRPr="000C4364">
        <w:rPr>
          <w:i/>
          <w:color w:val="000000" w:themeColor="text1"/>
          <w:szCs w:val="24"/>
        </w:rPr>
        <w:t>ifts</w:t>
      </w:r>
      <w:r w:rsidRPr="000C4364">
        <w:rPr>
          <w:color w:val="000000" w:themeColor="text1"/>
          <w:szCs w:val="24"/>
        </w:rPr>
        <w:t xml:space="preserve"> are not statistically associated with either employment or sale growth. However, </w:t>
      </w:r>
      <w:r w:rsidR="005D4868" w:rsidRPr="000C4364">
        <w:rPr>
          <w:i/>
          <w:color w:val="000000" w:themeColor="text1"/>
          <w:szCs w:val="24"/>
        </w:rPr>
        <w:t>g</w:t>
      </w:r>
      <w:r w:rsidRPr="000C4364">
        <w:rPr>
          <w:i/>
          <w:color w:val="000000" w:themeColor="text1"/>
          <w:szCs w:val="24"/>
        </w:rPr>
        <w:t xml:space="preserve">overnment </w:t>
      </w:r>
      <w:r w:rsidR="005D4868" w:rsidRPr="000C4364">
        <w:rPr>
          <w:i/>
          <w:color w:val="000000" w:themeColor="text1"/>
          <w:szCs w:val="24"/>
        </w:rPr>
        <w:t>c</w:t>
      </w:r>
      <w:r w:rsidRPr="000C4364">
        <w:rPr>
          <w:i/>
          <w:color w:val="000000" w:themeColor="text1"/>
          <w:szCs w:val="24"/>
        </w:rPr>
        <w:t>ontract</w:t>
      </w:r>
      <w:r w:rsidRPr="000C4364">
        <w:rPr>
          <w:color w:val="000000" w:themeColor="text1"/>
          <w:szCs w:val="24"/>
        </w:rPr>
        <w:t xml:space="preserve"> is strongly and negatively associated with sales growth. All in all, our results indicate that enterprises with interpersonal connectedness to bureaucrats have better access to formal finance despite having lower growth potential.</w:t>
      </w:r>
    </w:p>
    <w:p w:rsidR="00340DEE" w:rsidRPr="00E5038A" w:rsidRDefault="00340DEE" w:rsidP="000C4364">
      <w:pPr>
        <w:pStyle w:val="BodyText"/>
        <w:spacing w:line="480" w:lineRule="auto"/>
        <w:jc w:val="center"/>
        <w:rPr>
          <w:i/>
          <w:color w:val="000000" w:themeColor="text1"/>
          <w:szCs w:val="24"/>
        </w:rPr>
      </w:pPr>
      <w:r w:rsidRPr="00E5038A">
        <w:rPr>
          <w:i/>
          <w:color w:val="000000" w:themeColor="text1"/>
          <w:szCs w:val="24"/>
        </w:rPr>
        <w:t>&lt;Table 10&gt;</w:t>
      </w:r>
    </w:p>
    <w:p w:rsidR="00340DEE" w:rsidRPr="000C4364" w:rsidRDefault="00340DEE" w:rsidP="000C4364">
      <w:pPr>
        <w:pStyle w:val="BodyText"/>
        <w:spacing w:line="480" w:lineRule="auto"/>
        <w:rPr>
          <w:color w:val="000000" w:themeColor="text1"/>
          <w:szCs w:val="24"/>
        </w:rPr>
      </w:pPr>
      <w:r w:rsidRPr="000C4364">
        <w:rPr>
          <w:color w:val="000000" w:themeColor="text1"/>
          <w:szCs w:val="24"/>
        </w:rPr>
        <w:tab/>
      </w:r>
      <w:r w:rsidR="003C1AFB" w:rsidRPr="000C4364">
        <w:rPr>
          <w:color w:val="000000" w:themeColor="text1"/>
          <w:szCs w:val="24"/>
        </w:rPr>
        <w:t>All in all, a</w:t>
      </w:r>
      <w:r w:rsidRPr="000C4364">
        <w:rPr>
          <w:color w:val="000000" w:themeColor="text1"/>
          <w:szCs w:val="24"/>
        </w:rPr>
        <w:t xml:space="preserve">lthough our findings only confirm </w:t>
      </w:r>
      <w:r w:rsidR="003F756F" w:rsidRPr="000C4364">
        <w:rPr>
          <w:color w:val="000000" w:themeColor="text1"/>
          <w:szCs w:val="24"/>
        </w:rPr>
        <w:t xml:space="preserve">the </w:t>
      </w:r>
      <w:r w:rsidRPr="000C4364">
        <w:rPr>
          <w:color w:val="000000" w:themeColor="text1"/>
          <w:szCs w:val="24"/>
        </w:rPr>
        <w:t>existence of a statistical correlation and not of a theoretical causation, the literature is full of empirical studies that find corruption to be negatively associ</w:t>
      </w:r>
      <w:r w:rsidR="003F756F" w:rsidRPr="000C4364">
        <w:rPr>
          <w:color w:val="000000" w:themeColor="text1"/>
          <w:szCs w:val="24"/>
        </w:rPr>
        <w:t>ated with firm performance (</w:t>
      </w:r>
      <w:r w:rsidRPr="000C4364">
        <w:rPr>
          <w:color w:val="000000" w:themeColor="text1"/>
          <w:szCs w:val="24"/>
        </w:rPr>
        <w:t>e.g</w:t>
      </w:r>
      <w:r w:rsidR="005D4868" w:rsidRPr="000C4364">
        <w:rPr>
          <w:color w:val="000000" w:themeColor="text1"/>
          <w:szCs w:val="24"/>
        </w:rPr>
        <w:t>. Frye and Shleifer, 1997;</w:t>
      </w:r>
      <w:r w:rsidRPr="000C4364">
        <w:rPr>
          <w:color w:val="000000" w:themeColor="text1"/>
          <w:szCs w:val="24"/>
        </w:rPr>
        <w:t xml:space="preserve"> Hunt and Laszlo, 2011</w:t>
      </w:r>
      <w:r w:rsidR="005D4868" w:rsidRPr="000C4364">
        <w:rPr>
          <w:color w:val="000000" w:themeColor="text1"/>
          <w:szCs w:val="24"/>
        </w:rPr>
        <w:t>;</w:t>
      </w:r>
      <w:r w:rsidRPr="000C4364">
        <w:rPr>
          <w:color w:val="000000" w:themeColor="text1"/>
          <w:szCs w:val="24"/>
        </w:rPr>
        <w:t xml:space="preserve"> </w:t>
      </w:r>
      <w:proofErr w:type="spellStart"/>
      <w:r w:rsidRPr="000C4364">
        <w:rPr>
          <w:color w:val="000000" w:themeColor="text1"/>
          <w:szCs w:val="24"/>
        </w:rPr>
        <w:t>Seker</w:t>
      </w:r>
      <w:proofErr w:type="spellEnd"/>
      <w:r w:rsidRPr="000C4364">
        <w:rPr>
          <w:color w:val="000000" w:themeColor="text1"/>
          <w:szCs w:val="24"/>
        </w:rPr>
        <w:t xml:space="preserve"> and Yang, 2014).</w:t>
      </w:r>
      <w:r w:rsidR="003F5E1B" w:rsidRPr="000C4364">
        <w:rPr>
          <w:color w:val="000000" w:themeColor="text1"/>
          <w:szCs w:val="24"/>
        </w:rPr>
        <w:t xml:space="preserve"> Further</w:t>
      </w:r>
      <w:r w:rsidR="00B3481A" w:rsidRPr="000C4364">
        <w:rPr>
          <w:color w:val="000000" w:themeColor="text1"/>
          <w:szCs w:val="24"/>
        </w:rPr>
        <w:t xml:space="preserve">, </w:t>
      </w:r>
      <w:r w:rsidR="003F5E1B" w:rsidRPr="000C4364">
        <w:rPr>
          <w:color w:val="000000" w:themeColor="text1"/>
          <w:szCs w:val="24"/>
        </w:rPr>
        <w:t>c</w:t>
      </w:r>
      <w:r w:rsidRPr="000C4364">
        <w:rPr>
          <w:color w:val="000000" w:themeColor="text1"/>
          <w:szCs w:val="24"/>
        </w:rPr>
        <w:t xml:space="preserve">orruption and rent seeking cannot be justified </w:t>
      </w:r>
      <w:r w:rsidRPr="000C4364">
        <w:rPr>
          <w:color w:val="000000" w:themeColor="text1"/>
          <w:szCs w:val="24"/>
        </w:rPr>
        <w:lastRenderedPageBreak/>
        <w:t xml:space="preserve">as these practices rely on insider-outsider distinctions, suffocate equality of opportunities, and hence are morally repugnant and economically costly (Bowles and </w:t>
      </w:r>
      <w:proofErr w:type="spellStart"/>
      <w:r w:rsidRPr="000C4364">
        <w:rPr>
          <w:color w:val="000000" w:themeColor="text1"/>
          <w:szCs w:val="24"/>
        </w:rPr>
        <w:t>Gintis</w:t>
      </w:r>
      <w:proofErr w:type="spellEnd"/>
      <w:r w:rsidRPr="000C4364">
        <w:rPr>
          <w:color w:val="000000" w:themeColor="text1"/>
          <w:szCs w:val="24"/>
        </w:rPr>
        <w:t>, 2002).</w:t>
      </w:r>
    </w:p>
    <w:p w:rsidR="003F5E1B" w:rsidRPr="000C4364" w:rsidRDefault="003F5E1B" w:rsidP="000C4364">
      <w:pPr>
        <w:pStyle w:val="BodyText"/>
        <w:spacing w:line="480" w:lineRule="auto"/>
        <w:jc w:val="left"/>
        <w:rPr>
          <w:b/>
          <w:szCs w:val="24"/>
        </w:rPr>
      </w:pPr>
    </w:p>
    <w:p w:rsidR="004F646B" w:rsidRPr="000C4364" w:rsidRDefault="00A410EB" w:rsidP="000C4364">
      <w:pPr>
        <w:pStyle w:val="BodyText"/>
        <w:spacing w:line="480" w:lineRule="auto"/>
        <w:jc w:val="left"/>
        <w:rPr>
          <w:i/>
          <w:szCs w:val="24"/>
        </w:rPr>
      </w:pPr>
      <w:r w:rsidRPr="000C4364">
        <w:rPr>
          <w:b/>
          <w:szCs w:val="24"/>
        </w:rPr>
        <w:t>6</w:t>
      </w:r>
      <w:r w:rsidRPr="000C4364">
        <w:rPr>
          <w:b/>
          <w:i/>
          <w:szCs w:val="24"/>
        </w:rPr>
        <w:t xml:space="preserve">. </w:t>
      </w:r>
      <w:r w:rsidR="00360489" w:rsidRPr="000C4364">
        <w:rPr>
          <w:b/>
          <w:szCs w:val="24"/>
        </w:rPr>
        <w:t>Concluding Remarks</w:t>
      </w:r>
    </w:p>
    <w:p w:rsidR="006F0DBB" w:rsidRPr="000C4364" w:rsidRDefault="00CB3318"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T</w:t>
      </w:r>
      <w:r w:rsidR="006F0DBB" w:rsidRPr="000C4364">
        <w:rPr>
          <w:rFonts w:ascii="Times New Roman" w:hAnsi="Times New Roman" w:cs="Times New Roman"/>
          <w:sz w:val="24"/>
          <w:szCs w:val="24"/>
        </w:rPr>
        <w:t>raditional explanations to the unequal distribution of finance focus on market and information imperfections. A more recent approach adds an additional dimension to this phenomenon by highlighting the role of institutional and political factors in the economic process. Market-based systems can be characterised by anonymous markets and impersonal public and private bureaucratic organisations which</w:t>
      </w:r>
      <w:r w:rsidR="00AE709B" w:rsidRPr="000C4364">
        <w:rPr>
          <w:rFonts w:ascii="Times New Roman" w:hAnsi="Times New Roman" w:cs="Times New Roman"/>
          <w:sz w:val="24"/>
          <w:szCs w:val="24"/>
        </w:rPr>
        <w:t>, by enforcing contracts, rules</w:t>
      </w:r>
      <w:r w:rsidR="006F0DBB" w:rsidRPr="000C4364">
        <w:rPr>
          <w:rFonts w:ascii="Times New Roman" w:hAnsi="Times New Roman" w:cs="Times New Roman"/>
          <w:sz w:val="24"/>
          <w:szCs w:val="24"/>
        </w:rPr>
        <w:t xml:space="preserve"> and regulations, facilitate entrepreneurial decisions </w:t>
      </w:r>
      <w:r w:rsidR="00AE709B" w:rsidRPr="000C4364">
        <w:rPr>
          <w:rFonts w:ascii="Times New Roman" w:hAnsi="Times New Roman" w:cs="Times New Roman"/>
          <w:sz w:val="24"/>
          <w:szCs w:val="24"/>
        </w:rPr>
        <w:t>concerning exchange, production</w:t>
      </w:r>
      <w:r w:rsidR="006F0DBB" w:rsidRPr="000C4364">
        <w:rPr>
          <w:rFonts w:ascii="Times New Roman" w:hAnsi="Times New Roman" w:cs="Times New Roman"/>
          <w:sz w:val="24"/>
          <w:szCs w:val="24"/>
        </w:rPr>
        <w:t xml:space="preserve"> and investment (Weber, 1968). Whe</w:t>
      </w:r>
      <w:r w:rsidR="00AB323E" w:rsidRPr="000C4364">
        <w:rPr>
          <w:rFonts w:ascii="Times New Roman" w:hAnsi="Times New Roman" w:cs="Times New Roman"/>
          <w:sz w:val="24"/>
          <w:szCs w:val="24"/>
        </w:rPr>
        <w:t>n</w:t>
      </w:r>
      <w:r w:rsidR="006F0DBB" w:rsidRPr="000C4364">
        <w:rPr>
          <w:rFonts w:ascii="Times New Roman" w:hAnsi="Times New Roman" w:cs="Times New Roman"/>
          <w:sz w:val="24"/>
          <w:szCs w:val="24"/>
        </w:rPr>
        <w:t xml:space="preserve"> markets are thin or suppressed, bureaucratic state institutions lack credibility and rules and laws are dysfunctional, </w:t>
      </w:r>
      <w:r w:rsidR="008C45DA" w:rsidRPr="000C4364">
        <w:rPr>
          <w:rFonts w:ascii="Times New Roman" w:hAnsi="Times New Roman" w:cs="Times New Roman"/>
          <w:sz w:val="24"/>
          <w:szCs w:val="24"/>
        </w:rPr>
        <w:t xml:space="preserve">so </w:t>
      </w:r>
      <w:r w:rsidR="006F0DBB" w:rsidRPr="000C4364">
        <w:rPr>
          <w:rFonts w:ascii="Times New Roman" w:hAnsi="Times New Roman" w:cs="Times New Roman"/>
          <w:sz w:val="24"/>
          <w:szCs w:val="24"/>
        </w:rPr>
        <w:t xml:space="preserve">rent-seeking behaviour may became prevalent as agents try to profit from the web of interpersonal relations. </w:t>
      </w:r>
    </w:p>
    <w:p w:rsidR="006F0DBB" w:rsidRPr="000C4364" w:rsidRDefault="006F0DBB" w:rsidP="000C4364">
      <w:pPr>
        <w:spacing w:after="0" w:line="480" w:lineRule="auto"/>
        <w:jc w:val="both"/>
        <w:rPr>
          <w:rFonts w:ascii="Times New Roman" w:hAnsi="Times New Roman" w:cs="Times New Roman"/>
          <w:color w:val="000000" w:themeColor="text1"/>
          <w:sz w:val="24"/>
          <w:szCs w:val="24"/>
        </w:rPr>
      </w:pPr>
      <w:r w:rsidRPr="000C4364">
        <w:rPr>
          <w:rFonts w:ascii="Times New Roman" w:hAnsi="Times New Roman" w:cs="Times New Roman"/>
          <w:sz w:val="24"/>
          <w:szCs w:val="24"/>
        </w:rPr>
        <w:tab/>
        <w:t>Growing evidence suggests that political connections play an important role in gaining access to formal finance for large</w:t>
      </w:r>
      <w:r w:rsidR="008C45DA" w:rsidRPr="000C4364">
        <w:rPr>
          <w:rFonts w:ascii="Times New Roman" w:hAnsi="Times New Roman" w:cs="Times New Roman"/>
          <w:sz w:val="24"/>
          <w:szCs w:val="24"/>
        </w:rPr>
        <w:t>r</w:t>
      </w:r>
      <w:r w:rsidRPr="000C4364">
        <w:rPr>
          <w:rFonts w:ascii="Times New Roman" w:hAnsi="Times New Roman" w:cs="Times New Roman"/>
          <w:sz w:val="24"/>
          <w:szCs w:val="24"/>
        </w:rPr>
        <w:t xml:space="preserve"> enterprises. </w:t>
      </w:r>
      <w:r w:rsidR="000F3EF2" w:rsidRPr="000C4364">
        <w:rPr>
          <w:rFonts w:ascii="Times New Roman" w:hAnsi="Times New Roman" w:cs="Times New Roman"/>
          <w:sz w:val="24"/>
          <w:szCs w:val="24"/>
        </w:rPr>
        <w:t xml:space="preserve">This is the first study to assess whether interpersonal connections with government officials (among other potential factors) improve SMEs’ access to formal finance across post-communist countries. </w:t>
      </w:r>
      <w:r w:rsidRPr="000C4364">
        <w:rPr>
          <w:rFonts w:ascii="Times New Roman" w:hAnsi="Times New Roman" w:cs="Times New Roman"/>
          <w:sz w:val="24"/>
          <w:szCs w:val="24"/>
        </w:rPr>
        <w:t xml:space="preserve">Using the most recent </w:t>
      </w:r>
      <w:r w:rsidR="00071B7C" w:rsidRPr="000C4364">
        <w:rPr>
          <w:rFonts w:ascii="Times New Roman" w:hAnsi="Times New Roman" w:cs="Times New Roman"/>
          <w:sz w:val="24"/>
          <w:szCs w:val="24"/>
        </w:rPr>
        <w:t xml:space="preserve">wave of the </w:t>
      </w:r>
      <w:r w:rsidRPr="000C4364">
        <w:rPr>
          <w:rFonts w:ascii="Times New Roman" w:hAnsi="Times New Roman" w:cs="Times New Roman"/>
          <w:sz w:val="24"/>
          <w:szCs w:val="24"/>
        </w:rPr>
        <w:t xml:space="preserve">BEEPS dataset, this study shows that </w:t>
      </w:r>
      <w:r w:rsidR="00AE709B" w:rsidRPr="000C4364">
        <w:rPr>
          <w:rFonts w:ascii="Times New Roman" w:hAnsi="Times New Roman" w:cs="Times New Roman"/>
          <w:sz w:val="24"/>
          <w:szCs w:val="24"/>
        </w:rPr>
        <w:t>access to and the use of</w:t>
      </w:r>
      <w:r w:rsidRPr="000C4364">
        <w:rPr>
          <w:rFonts w:ascii="Times New Roman" w:hAnsi="Times New Roman" w:cs="Times New Roman"/>
          <w:sz w:val="24"/>
          <w:szCs w:val="24"/>
        </w:rPr>
        <w:t xml:space="preserve"> inte</w:t>
      </w:r>
      <w:r w:rsidR="00F2015C" w:rsidRPr="000C4364">
        <w:rPr>
          <w:rFonts w:ascii="Times New Roman" w:hAnsi="Times New Roman" w:cs="Times New Roman"/>
          <w:sz w:val="24"/>
          <w:szCs w:val="24"/>
        </w:rPr>
        <w:t>rpersonal bureaucratic network</w:t>
      </w:r>
      <w:r w:rsidR="00463D58" w:rsidRPr="000C4364">
        <w:rPr>
          <w:rFonts w:ascii="Times New Roman" w:hAnsi="Times New Roman" w:cs="Times New Roman"/>
          <w:sz w:val="24"/>
          <w:szCs w:val="24"/>
        </w:rPr>
        <w:t>s</w:t>
      </w:r>
      <w:r w:rsidR="00F2015C"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improve </w:t>
      </w:r>
      <w:r w:rsidR="00463D58" w:rsidRPr="000C4364">
        <w:rPr>
          <w:rFonts w:ascii="Times New Roman" w:hAnsi="Times New Roman" w:cs="Times New Roman"/>
          <w:sz w:val="24"/>
          <w:szCs w:val="24"/>
        </w:rPr>
        <w:t xml:space="preserve">the chances of receiving </w:t>
      </w:r>
      <w:r w:rsidRPr="000C4364">
        <w:rPr>
          <w:rFonts w:ascii="Times New Roman" w:hAnsi="Times New Roman" w:cs="Times New Roman"/>
          <w:color w:val="000000" w:themeColor="text1"/>
          <w:sz w:val="24"/>
          <w:szCs w:val="24"/>
        </w:rPr>
        <w:t xml:space="preserve">bank credit </w:t>
      </w:r>
      <w:r w:rsidR="00AE709B" w:rsidRPr="000C4364">
        <w:rPr>
          <w:rFonts w:ascii="Times New Roman" w:hAnsi="Times New Roman" w:cs="Times New Roman"/>
          <w:color w:val="000000" w:themeColor="text1"/>
          <w:sz w:val="24"/>
          <w:szCs w:val="24"/>
        </w:rPr>
        <w:t xml:space="preserve">by </w:t>
      </w:r>
      <w:r w:rsidR="00117DD2" w:rsidRPr="000C4364">
        <w:rPr>
          <w:rFonts w:ascii="Times New Roman" w:hAnsi="Times New Roman" w:cs="Times New Roman"/>
          <w:color w:val="000000" w:themeColor="text1"/>
          <w:sz w:val="24"/>
          <w:szCs w:val="24"/>
        </w:rPr>
        <w:t>between 3</w:t>
      </w:r>
      <w:r w:rsidR="008C45DA" w:rsidRPr="000C4364">
        <w:rPr>
          <w:rFonts w:ascii="Times New Roman" w:hAnsi="Times New Roman" w:cs="Times New Roman"/>
          <w:color w:val="000000" w:themeColor="text1"/>
          <w:sz w:val="24"/>
          <w:szCs w:val="24"/>
        </w:rPr>
        <w:t xml:space="preserve"> and </w:t>
      </w:r>
      <w:r w:rsidR="00117DD2" w:rsidRPr="000C4364">
        <w:rPr>
          <w:rFonts w:ascii="Times New Roman" w:hAnsi="Times New Roman" w:cs="Times New Roman"/>
          <w:color w:val="000000" w:themeColor="text1"/>
          <w:sz w:val="24"/>
          <w:szCs w:val="24"/>
        </w:rPr>
        <w:t>8</w:t>
      </w:r>
      <w:r w:rsidR="00FB45E5" w:rsidRPr="000C4364">
        <w:rPr>
          <w:rFonts w:ascii="Times New Roman" w:hAnsi="Times New Roman" w:cs="Times New Roman"/>
          <w:color w:val="000000" w:themeColor="text1"/>
          <w:sz w:val="24"/>
          <w:szCs w:val="24"/>
        </w:rPr>
        <w:t xml:space="preserve"> </w:t>
      </w:r>
      <w:r w:rsidR="008C417C" w:rsidRPr="000C4364">
        <w:rPr>
          <w:rFonts w:ascii="Times New Roman" w:hAnsi="Times New Roman" w:cs="Times New Roman"/>
          <w:color w:val="000000" w:themeColor="text1"/>
          <w:sz w:val="24"/>
          <w:szCs w:val="24"/>
        </w:rPr>
        <w:t>percent</w:t>
      </w:r>
      <w:r w:rsidR="008C45DA" w:rsidRPr="000C4364">
        <w:rPr>
          <w:rFonts w:ascii="Times New Roman" w:hAnsi="Times New Roman" w:cs="Times New Roman"/>
          <w:color w:val="000000" w:themeColor="text1"/>
          <w:sz w:val="24"/>
          <w:szCs w:val="24"/>
        </w:rPr>
        <w:t xml:space="preserve">. The </w:t>
      </w:r>
      <w:r w:rsidRPr="000C4364">
        <w:rPr>
          <w:rFonts w:ascii="Times New Roman" w:hAnsi="Times New Roman" w:cs="Times New Roman"/>
          <w:color w:val="000000" w:themeColor="text1"/>
          <w:sz w:val="24"/>
          <w:szCs w:val="24"/>
        </w:rPr>
        <w:t xml:space="preserve">benefits of </w:t>
      </w:r>
      <w:r w:rsidR="00463D58" w:rsidRPr="000C4364">
        <w:rPr>
          <w:rFonts w:ascii="Times New Roman" w:hAnsi="Times New Roman" w:cs="Times New Roman"/>
          <w:color w:val="000000" w:themeColor="text1"/>
          <w:sz w:val="24"/>
          <w:szCs w:val="24"/>
        </w:rPr>
        <w:t>interpersonal</w:t>
      </w:r>
      <w:r w:rsidRPr="000C4364">
        <w:rPr>
          <w:rFonts w:ascii="Times New Roman" w:hAnsi="Times New Roman" w:cs="Times New Roman"/>
          <w:color w:val="000000" w:themeColor="text1"/>
          <w:sz w:val="24"/>
          <w:szCs w:val="24"/>
        </w:rPr>
        <w:t xml:space="preserve"> links </w:t>
      </w:r>
      <w:r w:rsidR="00463D58" w:rsidRPr="000C4364">
        <w:rPr>
          <w:rFonts w:ascii="Times New Roman" w:hAnsi="Times New Roman" w:cs="Times New Roman"/>
          <w:color w:val="000000" w:themeColor="text1"/>
          <w:sz w:val="24"/>
          <w:szCs w:val="24"/>
        </w:rPr>
        <w:t>are</w:t>
      </w:r>
      <w:r w:rsidRPr="000C4364">
        <w:rPr>
          <w:rFonts w:ascii="Times New Roman" w:hAnsi="Times New Roman" w:cs="Times New Roman"/>
          <w:color w:val="000000" w:themeColor="text1"/>
          <w:sz w:val="24"/>
          <w:szCs w:val="24"/>
        </w:rPr>
        <w:t xml:space="preserve"> </w:t>
      </w:r>
      <w:r w:rsidR="008C45DA" w:rsidRPr="000C4364">
        <w:rPr>
          <w:rFonts w:ascii="Times New Roman" w:hAnsi="Times New Roman" w:cs="Times New Roman"/>
          <w:color w:val="000000" w:themeColor="text1"/>
          <w:sz w:val="24"/>
          <w:szCs w:val="24"/>
        </w:rPr>
        <w:t xml:space="preserve">also found to be </w:t>
      </w:r>
      <w:r w:rsidRPr="000C4364">
        <w:rPr>
          <w:rFonts w:ascii="Times New Roman" w:hAnsi="Times New Roman" w:cs="Times New Roman"/>
          <w:color w:val="000000" w:themeColor="text1"/>
          <w:sz w:val="24"/>
          <w:szCs w:val="24"/>
        </w:rPr>
        <w:t xml:space="preserve">stronger for </w:t>
      </w:r>
      <w:r w:rsidR="00117DD2" w:rsidRPr="000C4364">
        <w:rPr>
          <w:rFonts w:ascii="Times New Roman" w:hAnsi="Times New Roman" w:cs="Times New Roman"/>
          <w:color w:val="000000" w:themeColor="text1"/>
          <w:sz w:val="24"/>
          <w:szCs w:val="24"/>
        </w:rPr>
        <w:t xml:space="preserve">older, wealthier and </w:t>
      </w:r>
      <w:r w:rsidRPr="000C4364">
        <w:rPr>
          <w:rFonts w:ascii="Times New Roman" w:hAnsi="Times New Roman" w:cs="Times New Roman"/>
          <w:color w:val="000000" w:themeColor="text1"/>
          <w:sz w:val="24"/>
          <w:szCs w:val="24"/>
        </w:rPr>
        <w:t>larger SMEs. Being connected to strategic networks, however, does not seem to be associated with enterprise growth.</w:t>
      </w:r>
    </w:p>
    <w:p w:rsidR="00DA01E0" w:rsidRPr="000C4364" w:rsidRDefault="006F0DBB"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t xml:space="preserve">Our findings have important policy implications. The traditional policy response to </w:t>
      </w:r>
      <w:r w:rsidR="00AE709B" w:rsidRPr="000C4364">
        <w:rPr>
          <w:rFonts w:ascii="Times New Roman" w:hAnsi="Times New Roman" w:cs="Times New Roman"/>
          <w:sz w:val="24"/>
          <w:szCs w:val="24"/>
        </w:rPr>
        <w:t xml:space="preserve">an </w:t>
      </w:r>
      <w:r w:rsidRPr="000C4364">
        <w:rPr>
          <w:rFonts w:ascii="Times New Roman" w:hAnsi="Times New Roman" w:cs="Times New Roman"/>
          <w:sz w:val="24"/>
          <w:szCs w:val="24"/>
        </w:rPr>
        <w:t xml:space="preserve">unequal distribution of finance has been </w:t>
      </w:r>
      <w:r w:rsidR="008C45DA" w:rsidRPr="000C4364">
        <w:rPr>
          <w:rFonts w:ascii="Times New Roman" w:hAnsi="Times New Roman" w:cs="Times New Roman"/>
          <w:sz w:val="24"/>
          <w:szCs w:val="24"/>
        </w:rPr>
        <w:t xml:space="preserve">to </w:t>
      </w:r>
      <w:r w:rsidRPr="000C4364">
        <w:rPr>
          <w:rFonts w:ascii="Times New Roman" w:hAnsi="Times New Roman" w:cs="Times New Roman"/>
          <w:sz w:val="24"/>
          <w:szCs w:val="24"/>
        </w:rPr>
        <w:t>increas</w:t>
      </w:r>
      <w:r w:rsidR="008C45DA" w:rsidRPr="000C4364">
        <w:rPr>
          <w:rFonts w:ascii="Times New Roman" w:hAnsi="Times New Roman" w:cs="Times New Roman"/>
          <w:sz w:val="24"/>
          <w:szCs w:val="24"/>
        </w:rPr>
        <w:t>e</w:t>
      </w:r>
      <w:r w:rsidRPr="000C4364">
        <w:rPr>
          <w:rFonts w:ascii="Times New Roman" w:hAnsi="Times New Roman" w:cs="Times New Roman"/>
          <w:sz w:val="24"/>
          <w:szCs w:val="24"/>
        </w:rPr>
        <w:t xml:space="preserve"> the supply of funds to SME</w:t>
      </w:r>
      <w:r w:rsidR="008C45DA" w:rsidRPr="000C4364">
        <w:rPr>
          <w:rFonts w:ascii="Times New Roman" w:hAnsi="Times New Roman" w:cs="Times New Roman"/>
          <w:sz w:val="24"/>
          <w:szCs w:val="24"/>
        </w:rPr>
        <w:t>s</w:t>
      </w:r>
      <w:r w:rsidR="00D1107F" w:rsidRPr="000C4364">
        <w:rPr>
          <w:rFonts w:ascii="Times New Roman" w:hAnsi="Times New Roman" w:cs="Times New Roman"/>
          <w:sz w:val="24"/>
          <w:szCs w:val="24"/>
        </w:rPr>
        <w:t>, for example,</w:t>
      </w:r>
      <w:r w:rsidRPr="000C4364">
        <w:rPr>
          <w:rFonts w:ascii="Times New Roman" w:hAnsi="Times New Roman" w:cs="Times New Roman"/>
          <w:sz w:val="24"/>
          <w:szCs w:val="24"/>
        </w:rPr>
        <w:t xml:space="preserve"> by offering tax incentives to commercial banks and/or </w:t>
      </w:r>
      <w:r w:rsidR="008C45DA" w:rsidRPr="000C4364">
        <w:rPr>
          <w:rFonts w:ascii="Times New Roman" w:hAnsi="Times New Roman" w:cs="Times New Roman"/>
          <w:sz w:val="24"/>
          <w:szCs w:val="24"/>
        </w:rPr>
        <w:t xml:space="preserve">by </w:t>
      </w:r>
      <w:r w:rsidRPr="000C4364">
        <w:rPr>
          <w:rFonts w:ascii="Times New Roman" w:hAnsi="Times New Roman" w:cs="Times New Roman"/>
          <w:sz w:val="24"/>
          <w:szCs w:val="24"/>
        </w:rPr>
        <w:t xml:space="preserve">setting up specialised </w:t>
      </w:r>
      <w:r w:rsidRPr="000C4364">
        <w:rPr>
          <w:rFonts w:ascii="Times New Roman" w:hAnsi="Times New Roman" w:cs="Times New Roman"/>
          <w:sz w:val="24"/>
          <w:szCs w:val="24"/>
        </w:rPr>
        <w:lastRenderedPageBreak/>
        <w:t xml:space="preserve">institutions to cater </w:t>
      </w:r>
      <w:r w:rsidR="00AE709B" w:rsidRPr="000C4364">
        <w:rPr>
          <w:rFonts w:ascii="Times New Roman" w:hAnsi="Times New Roman" w:cs="Times New Roman"/>
          <w:sz w:val="24"/>
          <w:szCs w:val="24"/>
        </w:rPr>
        <w:t xml:space="preserve">for </w:t>
      </w:r>
      <w:r w:rsidRPr="000C4364">
        <w:rPr>
          <w:rFonts w:ascii="Times New Roman" w:hAnsi="Times New Roman" w:cs="Times New Roman"/>
          <w:sz w:val="24"/>
          <w:szCs w:val="24"/>
        </w:rPr>
        <w:t>the needs of SME</w:t>
      </w:r>
      <w:r w:rsidR="008C45DA" w:rsidRPr="000C4364">
        <w:rPr>
          <w:rFonts w:ascii="Times New Roman" w:hAnsi="Times New Roman" w:cs="Times New Roman"/>
          <w:sz w:val="24"/>
          <w:szCs w:val="24"/>
        </w:rPr>
        <w:t>s</w:t>
      </w:r>
      <w:r w:rsidRPr="000C4364">
        <w:rPr>
          <w:rFonts w:ascii="Times New Roman" w:hAnsi="Times New Roman" w:cs="Times New Roman"/>
          <w:sz w:val="24"/>
          <w:szCs w:val="24"/>
        </w:rPr>
        <w:t>. Our results show that, in less mature market-based systems where political connectedness and interpersonal networks matter</w:t>
      </w:r>
      <w:r w:rsidR="00E93AE8" w:rsidRPr="000C4364">
        <w:rPr>
          <w:rFonts w:ascii="Times New Roman" w:hAnsi="Times New Roman" w:cs="Times New Roman"/>
          <w:sz w:val="24"/>
          <w:szCs w:val="24"/>
        </w:rPr>
        <w:t xml:space="preserve"> in issues concerning resource allocation</w:t>
      </w:r>
      <w:r w:rsidRPr="000C4364">
        <w:rPr>
          <w:rFonts w:ascii="Times New Roman" w:hAnsi="Times New Roman" w:cs="Times New Roman"/>
          <w:sz w:val="24"/>
          <w:szCs w:val="24"/>
        </w:rPr>
        <w:t>, even the smaller portion of formal finance left for SM</w:t>
      </w:r>
      <w:r w:rsidR="00AB323E" w:rsidRPr="000C4364">
        <w:rPr>
          <w:rFonts w:ascii="Times New Roman" w:hAnsi="Times New Roman" w:cs="Times New Roman"/>
          <w:sz w:val="24"/>
          <w:szCs w:val="24"/>
        </w:rPr>
        <w:t>Es can be distributed unequally</w:t>
      </w:r>
      <w:r w:rsidR="008C45DA" w:rsidRPr="000C4364">
        <w:rPr>
          <w:rFonts w:ascii="Times New Roman" w:hAnsi="Times New Roman" w:cs="Times New Roman"/>
          <w:sz w:val="24"/>
          <w:szCs w:val="24"/>
        </w:rPr>
        <w:t xml:space="preserve"> with a</w:t>
      </w:r>
      <w:r w:rsidRPr="000C4364">
        <w:rPr>
          <w:rFonts w:ascii="Times New Roman" w:hAnsi="Times New Roman" w:cs="Times New Roman"/>
          <w:sz w:val="24"/>
          <w:szCs w:val="24"/>
        </w:rPr>
        <w:t xml:space="preserve"> disproportionately higher portion </w:t>
      </w:r>
      <w:r w:rsidR="008C45DA" w:rsidRPr="000C4364">
        <w:rPr>
          <w:rFonts w:ascii="Times New Roman" w:hAnsi="Times New Roman" w:cs="Times New Roman"/>
          <w:sz w:val="24"/>
          <w:szCs w:val="24"/>
        </w:rPr>
        <w:t xml:space="preserve">being </w:t>
      </w:r>
      <w:r w:rsidRPr="000C4364">
        <w:rPr>
          <w:rFonts w:ascii="Times New Roman" w:hAnsi="Times New Roman" w:cs="Times New Roman"/>
          <w:sz w:val="24"/>
          <w:szCs w:val="24"/>
        </w:rPr>
        <w:t xml:space="preserve">allocated to SMEs </w:t>
      </w:r>
      <w:r w:rsidR="007C235E" w:rsidRPr="000C4364">
        <w:rPr>
          <w:rFonts w:ascii="Times New Roman" w:hAnsi="Times New Roman" w:cs="Times New Roman"/>
          <w:sz w:val="24"/>
          <w:szCs w:val="24"/>
        </w:rPr>
        <w:t>with interpersonal links to government officials</w:t>
      </w:r>
      <w:r w:rsidR="00AB323E" w:rsidRPr="000C4364">
        <w:rPr>
          <w:rFonts w:ascii="Times New Roman" w:hAnsi="Times New Roman" w:cs="Times New Roman"/>
          <w:sz w:val="24"/>
          <w:szCs w:val="24"/>
        </w:rPr>
        <w:t>, which consequently c</w:t>
      </w:r>
      <w:r w:rsidR="00117DD2" w:rsidRPr="000C4364">
        <w:rPr>
          <w:rFonts w:ascii="Times New Roman" w:hAnsi="Times New Roman" w:cs="Times New Roman"/>
          <w:sz w:val="24"/>
          <w:szCs w:val="24"/>
        </w:rPr>
        <w:t xml:space="preserve">rowds out other </w:t>
      </w:r>
      <w:r w:rsidR="00AB323E" w:rsidRPr="000C4364">
        <w:rPr>
          <w:rFonts w:ascii="Times New Roman" w:hAnsi="Times New Roman" w:cs="Times New Roman"/>
          <w:sz w:val="24"/>
          <w:szCs w:val="24"/>
        </w:rPr>
        <w:t>SMEs</w:t>
      </w:r>
      <w:r w:rsidR="007C235E" w:rsidRPr="000C4364">
        <w:rPr>
          <w:rFonts w:ascii="Times New Roman" w:hAnsi="Times New Roman" w:cs="Times New Roman"/>
          <w:sz w:val="24"/>
          <w:szCs w:val="24"/>
        </w:rPr>
        <w:t xml:space="preserve"> </w:t>
      </w:r>
      <w:r w:rsidR="000A6EAC" w:rsidRPr="000C4364">
        <w:rPr>
          <w:rFonts w:ascii="Times New Roman" w:hAnsi="Times New Roman" w:cs="Times New Roman"/>
          <w:sz w:val="24"/>
          <w:szCs w:val="24"/>
        </w:rPr>
        <w:t xml:space="preserve">from the credit market </w:t>
      </w:r>
      <w:r w:rsidR="00AB323E" w:rsidRPr="000C4364">
        <w:rPr>
          <w:rFonts w:ascii="Times New Roman" w:hAnsi="Times New Roman" w:cs="Times New Roman"/>
          <w:sz w:val="24"/>
          <w:szCs w:val="24"/>
        </w:rPr>
        <w:t xml:space="preserve">despite </w:t>
      </w:r>
      <w:r w:rsidR="000A6EAC" w:rsidRPr="000C4364">
        <w:rPr>
          <w:rFonts w:ascii="Times New Roman" w:hAnsi="Times New Roman" w:cs="Times New Roman"/>
          <w:sz w:val="24"/>
          <w:szCs w:val="24"/>
        </w:rPr>
        <w:t xml:space="preserve">having </w:t>
      </w:r>
      <w:r w:rsidR="007C235E" w:rsidRPr="000C4364">
        <w:rPr>
          <w:rFonts w:ascii="Times New Roman" w:hAnsi="Times New Roman" w:cs="Times New Roman"/>
          <w:sz w:val="24"/>
          <w:szCs w:val="24"/>
        </w:rPr>
        <w:t>high</w:t>
      </w:r>
      <w:r w:rsidR="000A6EAC" w:rsidRPr="000C4364">
        <w:rPr>
          <w:rFonts w:ascii="Times New Roman" w:hAnsi="Times New Roman" w:cs="Times New Roman"/>
          <w:sz w:val="24"/>
          <w:szCs w:val="24"/>
        </w:rPr>
        <w:t>er</w:t>
      </w:r>
      <w:r w:rsidR="007C235E" w:rsidRPr="000C4364">
        <w:rPr>
          <w:rFonts w:ascii="Times New Roman" w:hAnsi="Times New Roman" w:cs="Times New Roman"/>
          <w:sz w:val="24"/>
          <w:szCs w:val="24"/>
        </w:rPr>
        <w:t xml:space="preserve"> investment productivity</w:t>
      </w:r>
      <w:r w:rsidR="00117DD2" w:rsidRPr="000C4364">
        <w:rPr>
          <w:rFonts w:ascii="Times New Roman" w:hAnsi="Times New Roman" w:cs="Times New Roman"/>
          <w:sz w:val="24"/>
          <w:szCs w:val="24"/>
        </w:rPr>
        <w:t xml:space="preserve">. </w:t>
      </w:r>
    </w:p>
    <w:p w:rsidR="00F87AA3" w:rsidRPr="000C4364" w:rsidRDefault="00DA01E0"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sz w:val="24"/>
          <w:szCs w:val="24"/>
        </w:rPr>
        <w:tab/>
      </w:r>
      <w:r w:rsidR="00D1107F" w:rsidRPr="000C4364">
        <w:rPr>
          <w:rFonts w:ascii="Times New Roman" w:hAnsi="Times New Roman" w:cs="Times New Roman"/>
          <w:sz w:val="24"/>
          <w:szCs w:val="24"/>
        </w:rPr>
        <w:t>The evidence presented in this study imply that t</w:t>
      </w:r>
      <w:r w:rsidR="000A6EAC" w:rsidRPr="000C4364">
        <w:rPr>
          <w:rFonts w:ascii="Times New Roman" w:hAnsi="Times New Roman" w:cs="Times New Roman"/>
          <w:sz w:val="24"/>
          <w:szCs w:val="24"/>
        </w:rPr>
        <w:t xml:space="preserve">raditional </w:t>
      </w:r>
      <w:r w:rsidR="006F0DBB" w:rsidRPr="000C4364">
        <w:rPr>
          <w:rFonts w:ascii="Times New Roman" w:hAnsi="Times New Roman" w:cs="Times New Roman"/>
          <w:sz w:val="24"/>
          <w:szCs w:val="24"/>
        </w:rPr>
        <w:t xml:space="preserve">policy measures </w:t>
      </w:r>
      <w:r w:rsidR="000A6EAC" w:rsidRPr="000C4364">
        <w:rPr>
          <w:rFonts w:ascii="Times New Roman" w:hAnsi="Times New Roman" w:cs="Times New Roman"/>
          <w:sz w:val="24"/>
          <w:szCs w:val="24"/>
        </w:rPr>
        <w:t>designed to</w:t>
      </w:r>
      <w:r w:rsidR="006F0DBB" w:rsidRPr="000C4364">
        <w:rPr>
          <w:rFonts w:ascii="Times New Roman" w:hAnsi="Times New Roman" w:cs="Times New Roman"/>
          <w:sz w:val="24"/>
          <w:szCs w:val="24"/>
        </w:rPr>
        <w:t xml:space="preserve"> increase </w:t>
      </w:r>
      <w:r w:rsidR="000A6EAC" w:rsidRPr="000C4364">
        <w:rPr>
          <w:rFonts w:ascii="Times New Roman" w:hAnsi="Times New Roman" w:cs="Times New Roman"/>
          <w:sz w:val="24"/>
          <w:szCs w:val="24"/>
        </w:rPr>
        <w:t xml:space="preserve">the supply of </w:t>
      </w:r>
      <w:r w:rsidR="006F0DBB" w:rsidRPr="000C4364">
        <w:rPr>
          <w:rFonts w:ascii="Times New Roman" w:hAnsi="Times New Roman" w:cs="Times New Roman"/>
          <w:sz w:val="24"/>
          <w:szCs w:val="24"/>
        </w:rPr>
        <w:t>formal finance to SME</w:t>
      </w:r>
      <w:r w:rsidR="000A6EAC" w:rsidRPr="000C4364">
        <w:rPr>
          <w:rFonts w:ascii="Times New Roman" w:hAnsi="Times New Roman" w:cs="Times New Roman"/>
          <w:sz w:val="24"/>
          <w:szCs w:val="24"/>
        </w:rPr>
        <w:t>s</w:t>
      </w:r>
      <w:r w:rsidR="006F0DBB" w:rsidRPr="000C4364">
        <w:rPr>
          <w:rFonts w:ascii="Times New Roman" w:hAnsi="Times New Roman" w:cs="Times New Roman"/>
          <w:sz w:val="24"/>
          <w:szCs w:val="24"/>
        </w:rPr>
        <w:t xml:space="preserve"> should be complemented with decisive </w:t>
      </w:r>
      <w:r w:rsidR="00294E70" w:rsidRPr="000C4364">
        <w:rPr>
          <w:rFonts w:ascii="Times New Roman" w:hAnsi="Times New Roman" w:cs="Times New Roman"/>
          <w:sz w:val="24"/>
          <w:szCs w:val="24"/>
        </w:rPr>
        <w:t xml:space="preserve">and credible </w:t>
      </w:r>
      <w:r w:rsidR="000A6EAC" w:rsidRPr="000C4364">
        <w:rPr>
          <w:rFonts w:ascii="Times New Roman" w:hAnsi="Times New Roman" w:cs="Times New Roman"/>
          <w:sz w:val="24"/>
          <w:szCs w:val="24"/>
        </w:rPr>
        <w:t>reforms</w:t>
      </w:r>
      <w:r w:rsidR="00294E70" w:rsidRPr="000C4364">
        <w:rPr>
          <w:rFonts w:ascii="Times New Roman" w:hAnsi="Times New Roman" w:cs="Times New Roman"/>
          <w:sz w:val="24"/>
          <w:szCs w:val="24"/>
        </w:rPr>
        <w:t xml:space="preserve"> </w:t>
      </w:r>
      <w:r w:rsidR="000A6EAC" w:rsidRPr="000C4364">
        <w:rPr>
          <w:rFonts w:ascii="Times New Roman" w:hAnsi="Times New Roman" w:cs="Times New Roman"/>
          <w:sz w:val="24"/>
          <w:szCs w:val="24"/>
        </w:rPr>
        <w:t xml:space="preserve">to improve </w:t>
      </w:r>
      <w:r w:rsidR="00294E70" w:rsidRPr="000C4364">
        <w:rPr>
          <w:rFonts w:ascii="Times New Roman" w:hAnsi="Times New Roman" w:cs="Times New Roman"/>
          <w:sz w:val="24"/>
          <w:szCs w:val="24"/>
        </w:rPr>
        <w:t xml:space="preserve">the transparency and impartiality of bureaucratic institutions whose ultimate goals is to facilitate, not to hinder, market-based exchanges. </w:t>
      </w:r>
      <w:r w:rsidRPr="000C4364">
        <w:rPr>
          <w:rFonts w:ascii="Times New Roman" w:hAnsi="Times New Roman" w:cs="Times New Roman"/>
          <w:sz w:val="24"/>
          <w:szCs w:val="24"/>
          <w:lang w:val="en-US"/>
        </w:rPr>
        <w:t xml:space="preserve">The reforms </w:t>
      </w:r>
      <w:r w:rsidR="00D1107F" w:rsidRPr="000C4364">
        <w:rPr>
          <w:rFonts w:ascii="Times New Roman" w:hAnsi="Times New Roman" w:cs="Times New Roman"/>
          <w:sz w:val="24"/>
          <w:szCs w:val="24"/>
          <w:lang w:val="en-US"/>
        </w:rPr>
        <w:t xml:space="preserve">in this area, for example, </w:t>
      </w:r>
      <w:r w:rsidRPr="000C4364">
        <w:rPr>
          <w:rFonts w:ascii="Times New Roman" w:hAnsi="Times New Roman" w:cs="Times New Roman"/>
          <w:sz w:val="24"/>
          <w:szCs w:val="24"/>
          <w:lang w:val="en-US"/>
        </w:rPr>
        <w:t>could include developing fair and competitive remuneration schemes for government employees, including establishing explicit meritocratic criteria to foster longer term career development planning, careful identification and credible punishment of corrupt officials, continuous professional development workshops aimed at raising awareness about the consequences of corruption</w:t>
      </w:r>
      <w:r w:rsidR="001F125B" w:rsidRPr="000C4364">
        <w:rPr>
          <w:rFonts w:ascii="Times New Roman" w:hAnsi="Times New Roman" w:cs="Times New Roman"/>
          <w:sz w:val="24"/>
          <w:szCs w:val="24"/>
          <w:lang w:val="en-US"/>
        </w:rPr>
        <w:t>,</w:t>
      </w:r>
      <w:r w:rsidRPr="000C4364">
        <w:rPr>
          <w:rFonts w:ascii="Times New Roman" w:hAnsi="Times New Roman" w:cs="Times New Roman"/>
          <w:sz w:val="24"/>
          <w:szCs w:val="24"/>
          <w:lang w:val="en-US"/>
        </w:rPr>
        <w:t xml:space="preserve"> etc. </w:t>
      </w:r>
    </w:p>
    <w:p w:rsidR="00F87AA3" w:rsidRPr="000C4364" w:rsidRDefault="00F87AA3" w:rsidP="000C4364">
      <w:pPr>
        <w:spacing w:after="0" w:line="480" w:lineRule="auto"/>
        <w:jc w:val="both"/>
        <w:rPr>
          <w:rFonts w:ascii="Times New Roman" w:hAnsi="Times New Roman" w:cs="Times New Roman"/>
          <w:sz w:val="24"/>
          <w:szCs w:val="24"/>
        </w:rPr>
      </w:pPr>
    </w:p>
    <w:p w:rsidR="0001689E" w:rsidRPr="000C4364" w:rsidRDefault="009B37E1" w:rsidP="000C4364">
      <w:pPr>
        <w:spacing w:after="0" w:line="480" w:lineRule="auto"/>
        <w:jc w:val="both"/>
        <w:rPr>
          <w:rFonts w:ascii="Times New Roman" w:hAnsi="Times New Roman" w:cs="Times New Roman"/>
          <w:sz w:val="24"/>
          <w:szCs w:val="24"/>
        </w:rPr>
      </w:pPr>
      <w:r w:rsidRPr="000C4364">
        <w:rPr>
          <w:rFonts w:ascii="Times New Roman" w:hAnsi="Times New Roman" w:cs="Times New Roman"/>
          <w:b/>
          <w:sz w:val="24"/>
          <w:szCs w:val="24"/>
        </w:rPr>
        <w:t>References</w:t>
      </w:r>
    </w:p>
    <w:p w:rsidR="006C16AA" w:rsidRPr="000C4364" w:rsidRDefault="008C417C" w:rsidP="001C4472">
      <w:pPr>
        <w:spacing w:after="0" w:line="480" w:lineRule="auto"/>
        <w:rPr>
          <w:rFonts w:ascii="Times New Roman" w:hAnsi="Times New Roman" w:cs="Times New Roman"/>
          <w:sz w:val="24"/>
          <w:szCs w:val="24"/>
        </w:rPr>
      </w:pPr>
      <w:proofErr w:type="spellStart"/>
      <w:r w:rsidRPr="000C4364">
        <w:rPr>
          <w:rFonts w:ascii="Times New Roman" w:hAnsi="Times New Roman" w:cs="Times New Roman"/>
          <w:sz w:val="24"/>
          <w:szCs w:val="24"/>
        </w:rPr>
        <w:t>Acemoglu</w:t>
      </w:r>
      <w:proofErr w:type="spellEnd"/>
      <w:r w:rsidRPr="000C4364">
        <w:rPr>
          <w:rFonts w:ascii="Times New Roman" w:hAnsi="Times New Roman" w:cs="Times New Roman"/>
          <w:sz w:val="24"/>
          <w:szCs w:val="24"/>
        </w:rPr>
        <w:t>, D., Johnson,</w:t>
      </w:r>
      <w:r w:rsidRPr="000C4364">
        <w:rPr>
          <w:rFonts w:ascii="Times New Roman" w:hAnsi="Times New Roman" w:cs="Times New Roman"/>
          <w:sz w:val="24"/>
          <w:szCs w:val="24"/>
          <w:lang w:val="en-US"/>
        </w:rPr>
        <w:t xml:space="preserve"> S.</w:t>
      </w:r>
      <w:r w:rsidR="0025279E" w:rsidRPr="000C4364">
        <w:rPr>
          <w:rFonts w:ascii="Times New Roman" w:hAnsi="Times New Roman" w:cs="Times New Roman"/>
          <w:sz w:val="24"/>
          <w:szCs w:val="24"/>
        </w:rPr>
        <w:t xml:space="preserve"> and</w:t>
      </w:r>
      <w:r w:rsidR="003F3DD1" w:rsidRPr="000C4364">
        <w:rPr>
          <w:rFonts w:ascii="Times New Roman" w:hAnsi="Times New Roman" w:cs="Times New Roman"/>
          <w:sz w:val="24"/>
          <w:szCs w:val="24"/>
        </w:rPr>
        <w:t xml:space="preserve"> Robinson, J. </w:t>
      </w:r>
      <w:r w:rsidR="0025279E" w:rsidRPr="000C4364">
        <w:rPr>
          <w:rFonts w:ascii="Times New Roman" w:hAnsi="Times New Roman" w:cs="Times New Roman"/>
          <w:sz w:val="24"/>
          <w:szCs w:val="24"/>
        </w:rPr>
        <w:t>(</w:t>
      </w:r>
      <w:r w:rsidR="003F3DD1" w:rsidRPr="000C4364">
        <w:rPr>
          <w:rFonts w:ascii="Times New Roman" w:hAnsi="Times New Roman" w:cs="Times New Roman"/>
          <w:sz w:val="24"/>
          <w:szCs w:val="24"/>
        </w:rPr>
        <w:t>2005</w:t>
      </w:r>
      <w:r w:rsidR="001C4472">
        <w:rPr>
          <w:rFonts w:ascii="Times New Roman" w:hAnsi="Times New Roman" w:cs="Times New Roman"/>
          <w:sz w:val="24"/>
          <w:szCs w:val="24"/>
        </w:rPr>
        <w:t>).</w:t>
      </w:r>
      <w:r w:rsidRPr="000C4364">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Institutions as the fundamental cause of long-run growth</w:t>
      </w:r>
      <w:r w:rsidR="001C4472">
        <w:rPr>
          <w:rFonts w:ascii="Times New Roman" w:hAnsi="Times New Roman" w:cs="Times New Roman"/>
          <w:sz w:val="24"/>
          <w:szCs w:val="24"/>
        </w:rPr>
        <w:t>.</w:t>
      </w:r>
      <w:proofErr w:type="gramEnd"/>
      <w:r w:rsidR="00622316" w:rsidRPr="000C4364">
        <w:rPr>
          <w:rFonts w:ascii="Times New Roman" w:hAnsi="Times New Roman" w:cs="Times New Roman"/>
          <w:sz w:val="24"/>
          <w:szCs w:val="24"/>
        </w:rPr>
        <w:t xml:space="preserve"> </w:t>
      </w:r>
      <w:proofErr w:type="gramStart"/>
      <w:r w:rsidR="00622316" w:rsidRPr="000C4364">
        <w:rPr>
          <w:rFonts w:ascii="Times New Roman" w:hAnsi="Times New Roman" w:cs="Times New Roman"/>
          <w:sz w:val="24"/>
          <w:szCs w:val="24"/>
        </w:rPr>
        <w:t>in</w:t>
      </w:r>
      <w:proofErr w:type="gramEnd"/>
      <w:r w:rsidRPr="000C4364">
        <w:rPr>
          <w:rFonts w:ascii="Times New Roman" w:hAnsi="Times New Roman" w:cs="Times New Roman"/>
          <w:sz w:val="24"/>
          <w:szCs w:val="24"/>
        </w:rPr>
        <w:t xml:space="preserve"> </w:t>
      </w:r>
      <w:proofErr w:type="spellStart"/>
      <w:r w:rsidRPr="000C4364">
        <w:rPr>
          <w:rFonts w:ascii="Times New Roman" w:hAnsi="Times New Roman" w:cs="Times New Roman"/>
          <w:sz w:val="24"/>
          <w:szCs w:val="24"/>
        </w:rPr>
        <w:t>Aghion</w:t>
      </w:r>
      <w:proofErr w:type="spellEnd"/>
      <w:r w:rsidR="003F3DD1" w:rsidRPr="000C4364">
        <w:rPr>
          <w:rFonts w:ascii="Times New Roman" w:hAnsi="Times New Roman" w:cs="Times New Roman"/>
          <w:sz w:val="24"/>
          <w:szCs w:val="24"/>
        </w:rPr>
        <w:t>, P.</w:t>
      </w:r>
      <w:r w:rsidR="0025279E" w:rsidRPr="000C4364">
        <w:rPr>
          <w:rFonts w:ascii="Times New Roman" w:hAnsi="Times New Roman" w:cs="Times New Roman"/>
          <w:sz w:val="24"/>
          <w:szCs w:val="24"/>
        </w:rPr>
        <w:t xml:space="preserve"> and</w:t>
      </w:r>
      <w:r w:rsidR="003F3DD1" w:rsidRPr="000C4364">
        <w:rPr>
          <w:rFonts w:ascii="Times New Roman" w:hAnsi="Times New Roman" w:cs="Times New Roman"/>
          <w:sz w:val="24"/>
          <w:szCs w:val="24"/>
        </w:rPr>
        <w:t xml:space="preserve"> </w:t>
      </w:r>
      <w:r w:rsidR="001C4472">
        <w:rPr>
          <w:rFonts w:ascii="Times New Roman" w:hAnsi="Times New Roman" w:cs="Times New Roman"/>
          <w:sz w:val="24"/>
          <w:szCs w:val="24"/>
        </w:rPr>
        <w:t xml:space="preserve">S. </w:t>
      </w:r>
      <w:proofErr w:type="spellStart"/>
      <w:r w:rsidRPr="000C4364">
        <w:rPr>
          <w:rFonts w:ascii="Times New Roman" w:hAnsi="Times New Roman" w:cs="Times New Roman"/>
          <w:sz w:val="24"/>
          <w:szCs w:val="24"/>
        </w:rPr>
        <w:t>Durlauf</w:t>
      </w:r>
      <w:proofErr w:type="spellEnd"/>
      <w:r w:rsidR="00622316" w:rsidRPr="000C4364">
        <w:rPr>
          <w:rFonts w:ascii="Times New Roman" w:hAnsi="Times New Roman" w:cs="Times New Roman"/>
          <w:sz w:val="24"/>
          <w:szCs w:val="24"/>
        </w:rPr>
        <w:t xml:space="preserve"> (Eds.),</w:t>
      </w:r>
      <w:r w:rsidRPr="000C4364">
        <w:rPr>
          <w:rFonts w:ascii="Times New Roman" w:hAnsi="Times New Roman" w:cs="Times New Roman"/>
          <w:sz w:val="24"/>
          <w:szCs w:val="24"/>
        </w:rPr>
        <w:t xml:space="preserve"> </w:t>
      </w:r>
      <w:r w:rsidR="003F3DD1" w:rsidRPr="000C4364">
        <w:rPr>
          <w:rFonts w:ascii="Times New Roman" w:hAnsi="Times New Roman" w:cs="Times New Roman"/>
          <w:i/>
          <w:sz w:val="24"/>
          <w:szCs w:val="24"/>
        </w:rPr>
        <w:t>Handbook of Economic Growth</w:t>
      </w:r>
      <w:r w:rsidR="001C4472">
        <w:rPr>
          <w:rFonts w:ascii="Times New Roman" w:hAnsi="Times New Roman" w:cs="Times New Roman"/>
          <w:i/>
          <w:sz w:val="24"/>
          <w:szCs w:val="24"/>
        </w:rPr>
        <w:t xml:space="preserve"> </w:t>
      </w:r>
      <w:r w:rsidR="001C4472" w:rsidRPr="001C4472">
        <w:rPr>
          <w:rFonts w:ascii="Times New Roman" w:hAnsi="Times New Roman" w:cs="Times New Roman"/>
          <w:sz w:val="24"/>
          <w:szCs w:val="24"/>
        </w:rPr>
        <w:t>(</w:t>
      </w:r>
      <w:r w:rsidR="001C4472" w:rsidRPr="000C4364">
        <w:rPr>
          <w:rFonts w:ascii="Times New Roman" w:hAnsi="Times New Roman" w:cs="Times New Roman"/>
          <w:sz w:val="24"/>
          <w:szCs w:val="24"/>
        </w:rPr>
        <w:t>pp. 386-464</w:t>
      </w:r>
      <w:r w:rsidR="001C4472" w:rsidRPr="001C4472">
        <w:rPr>
          <w:rFonts w:ascii="Times New Roman" w:hAnsi="Times New Roman" w:cs="Times New Roman"/>
          <w:sz w:val="24"/>
          <w:szCs w:val="24"/>
        </w:rPr>
        <w:t>)</w:t>
      </w:r>
      <w:r w:rsidR="003F3DD1" w:rsidRPr="000C4364">
        <w:rPr>
          <w:rFonts w:ascii="Times New Roman" w:hAnsi="Times New Roman" w:cs="Times New Roman"/>
          <w:sz w:val="24"/>
          <w:szCs w:val="24"/>
        </w:rPr>
        <w:t xml:space="preserve">. </w:t>
      </w:r>
      <w:r w:rsidRPr="000C4364">
        <w:rPr>
          <w:rFonts w:ascii="Times New Roman" w:hAnsi="Times New Roman" w:cs="Times New Roman"/>
          <w:sz w:val="24"/>
          <w:szCs w:val="24"/>
        </w:rPr>
        <w:t>Amsterdam: North Holland.</w:t>
      </w:r>
    </w:p>
    <w:p w:rsidR="006C16AA" w:rsidRPr="000C4364" w:rsidRDefault="0025279E" w:rsidP="00BB7E02">
      <w:pPr>
        <w:spacing w:after="0" w:line="480" w:lineRule="auto"/>
        <w:rPr>
          <w:rFonts w:ascii="Times New Roman" w:hAnsi="Times New Roman" w:cs="Times New Roman"/>
          <w:iCs/>
          <w:color w:val="000000"/>
          <w:sz w:val="24"/>
          <w:szCs w:val="24"/>
          <w:shd w:val="clear" w:color="auto" w:fill="FFFFFF"/>
        </w:rPr>
      </w:pPr>
      <w:proofErr w:type="spellStart"/>
      <w:proofErr w:type="gramStart"/>
      <w:r w:rsidRPr="000C4364">
        <w:rPr>
          <w:rFonts w:ascii="Times New Roman" w:hAnsi="Times New Roman" w:cs="Times New Roman"/>
          <w:iCs/>
          <w:color w:val="000000"/>
          <w:sz w:val="24"/>
          <w:szCs w:val="24"/>
          <w:shd w:val="clear" w:color="auto" w:fill="FFFFFF"/>
        </w:rPr>
        <w:t>Agostina</w:t>
      </w:r>
      <w:proofErr w:type="spellEnd"/>
      <w:r w:rsidRPr="000C4364">
        <w:rPr>
          <w:rFonts w:ascii="Times New Roman" w:hAnsi="Times New Roman" w:cs="Times New Roman"/>
          <w:iCs/>
          <w:color w:val="000000"/>
          <w:sz w:val="24"/>
          <w:szCs w:val="24"/>
          <w:shd w:val="clear" w:color="auto" w:fill="FFFFFF"/>
        </w:rPr>
        <w:t>, M. and</w:t>
      </w:r>
      <w:r w:rsidR="003F3DD1" w:rsidRPr="000C4364">
        <w:rPr>
          <w:rFonts w:ascii="Times New Roman" w:hAnsi="Times New Roman" w:cs="Times New Roman"/>
          <w:iCs/>
          <w:color w:val="000000"/>
          <w:sz w:val="24"/>
          <w:szCs w:val="24"/>
          <w:shd w:val="clear" w:color="auto" w:fill="FFFFFF"/>
        </w:rPr>
        <w:t xml:space="preserve"> </w:t>
      </w:r>
      <w:proofErr w:type="spellStart"/>
      <w:r w:rsidR="003F3DD1" w:rsidRPr="000C4364">
        <w:rPr>
          <w:rFonts w:ascii="Times New Roman" w:hAnsi="Times New Roman" w:cs="Times New Roman"/>
          <w:iCs/>
          <w:color w:val="000000"/>
          <w:sz w:val="24"/>
          <w:szCs w:val="24"/>
          <w:shd w:val="clear" w:color="auto" w:fill="FFFFFF"/>
        </w:rPr>
        <w:t>Trivieri</w:t>
      </w:r>
      <w:proofErr w:type="spellEnd"/>
      <w:r w:rsidR="003F3DD1" w:rsidRPr="000C4364">
        <w:rPr>
          <w:rFonts w:ascii="Times New Roman" w:hAnsi="Times New Roman" w:cs="Times New Roman"/>
          <w:iCs/>
          <w:color w:val="000000"/>
          <w:sz w:val="24"/>
          <w:szCs w:val="24"/>
          <w:shd w:val="clear" w:color="auto" w:fill="FFFFFF"/>
        </w:rPr>
        <w:t xml:space="preserve">, F. </w:t>
      </w:r>
      <w:r w:rsidRPr="000C4364">
        <w:rPr>
          <w:rFonts w:ascii="Times New Roman" w:hAnsi="Times New Roman" w:cs="Times New Roman"/>
          <w:iCs/>
          <w:color w:val="000000"/>
          <w:sz w:val="24"/>
          <w:szCs w:val="24"/>
          <w:shd w:val="clear" w:color="auto" w:fill="FFFFFF"/>
        </w:rPr>
        <w:t>(</w:t>
      </w:r>
      <w:r w:rsidR="003F3DD1" w:rsidRPr="000C4364">
        <w:rPr>
          <w:rFonts w:ascii="Times New Roman" w:hAnsi="Times New Roman" w:cs="Times New Roman"/>
          <w:iCs/>
          <w:color w:val="000000"/>
          <w:sz w:val="24"/>
          <w:szCs w:val="24"/>
          <w:shd w:val="clear" w:color="auto" w:fill="FFFFFF"/>
        </w:rPr>
        <w:t>2014</w:t>
      </w:r>
      <w:r w:rsidR="00BB7E02">
        <w:rPr>
          <w:rFonts w:ascii="Times New Roman" w:hAnsi="Times New Roman" w:cs="Times New Roman"/>
          <w:iCs/>
          <w:color w:val="000000"/>
          <w:sz w:val="24"/>
          <w:szCs w:val="24"/>
          <w:shd w:val="clear" w:color="auto" w:fill="FFFFFF"/>
        </w:rPr>
        <w:t>).</w:t>
      </w:r>
      <w:proofErr w:type="gramEnd"/>
      <w:r w:rsidR="00BB7E02">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Cs/>
          <w:color w:val="000000"/>
          <w:sz w:val="24"/>
          <w:szCs w:val="24"/>
          <w:shd w:val="clear" w:color="auto" w:fill="FFFFFF"/>
        </w:rPr>
        <w:t>Does trade credit play a signalling role? Some evidence from SMEs microdata</w:t>
      </w:r>
      <w:r w:rsidR="00BB7E02">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
          <w:iCs/>
          <w:color w:val="000000"/>
          <w:sz w:val="24"/>
          <w:szCs w:val="24"/>
          <w:shd w:val="clear" w:color="auto" w:fill="FFFFFF"/>
        </w:rPr>
        <w:t xml:space="preserve">Small Business Economics, </w:t>
      </w:r>
      <w:r w:rsidR="003F3DD1" w:rsidRPr="000C4364">
        <w:rPr>
          <w:rFonts w:ascii="Times New Roman" w:hAnsi="Times New Roman" w:cs="Times New Roman"/>
          <w:iCs/>
          <w:color w:val="000000"/>
          <w:sz w:val="24"/>
          <w:szCs w:val="24"/>
          <w:shd w:val="clear" w:color="auto" w:fill="FFFFFF"/>
        </w:rPr>
        <w:t>42</w:t>
      </w:r>
      <w:r w:rsidR="00BB7E02">
        <w:rPr>
          <w:rFonts w:ascii="Times New Roman" w:hAnsi="Times New Roman" w:cs="Times New Roman"/>
          <w:iCs/>
          <w:color w:val="000000"/>
          <w:sz w:val="24"/>
          <w:szCs w:val="24"/>
          <w:shd w:val="clear" w:color="auto" w:fill="FFFFFF"/>
        </w:rPr>
        <w:t xml:space="preserve">(1), </w:t>
      </w:r>
      <w:r w:rsidR="008C417C" w:rsidRPr="000C4364">
        <w:rPr>
          <w:rFonts w:ascii="Times New Roman" w:hAnsi="Times New Roman" w:cs="Times New Roman"/>
          <w:iCs/>
          <w:color w:val="000000"/>
          <w:sz w:val="24"/>
          <w:szCs w:val="24"/>
          <w:shd w:val="clear" w:color="auto" w:fill="FFFFFF"/>
        </w:rPr>
        <w:t>131-151.</w:t>
      </w:r>
    </w:p>
    <w:p w:rsidR="00F478F5" w:rsidRPr="000C4364" w:rsidRDefault="00F478F5" w:rsidP="00BB7E02">
      <w:pPr>
        <w:spacing w:after="0" w:line="480" w:lineRule="auto"/>
        <w:rPr>
          <w:rFonts w:ascii="Times New Roman" w:hAnsi="Times New Roman" w:cs="Times New Roman"/>
          <w:iCs/>
          <w:color w:val="000000"/>
          <w:sz w:val="24"/>
          <w:szCs w:val="24"/>
          <w:shd w:val="clear" w:color="auto" w:fill="FFFFFF"/>
        </w:rPr>
      </w:pPr>
      <w:proofErr w:type="spellStart"/>
      <w:proofErr w:type="gramStart"/>
      <w:r w:rsidRPr="000C4364">
        <w:rPr>
          <w:rFonts w:ascii="Times New Roman" w:hAnsi="Times New Roman" w:cs="Times New Roman"/>
          <w:iCs/>
          <w:color w:val="000000"/>
          <w:sz w:val="24"/>
          <w:szCs w:val="24"/>
          <w:shd w:val="clear" w:color="auto" w:fill="FFFFFF"/>
        </w:rPr>
        <w:t>Aidt</w:t>
      </w:r>
      <w:proofErr w:type="spellEnd"/>
      <w:r w:rsidRPr="000C4364">
        <w:rPr>
          <w:rFonts w:ascii="Times New Roman" w:hAnsi="Times New Roman" w:cs="Times New Roman"/>
          <w:iCs/>
          <w:color w:val="000000"/>
          <w:sz w:val="24"/>
          <w:szCs w:val="24"/>
          <w:shd w:val="clear" w:color="auto" w:fill="FFFFFF"/>
        </w:rPr>
        <w:t>, T., Dutta, J.</w:t>
      </w:r>
      <w:r w:rsidR="00BB7E02">
        <w:rPr>
          <w:rFonts w:ascii="Times New Roman" w:hAnsi="Times New Roman" w:cs="Times New Roman"/>
          <w:iCs/>
          <w:color w:val="000000"/>
          <w:sz w:val="24"/>
          <w:szCs w:val="24"/>
          <w:shd w:val="clear" w:color="auto" w:fill="FFFFFF"/>
        </w:rPr>
        <w:t xml:space="preserve"> and </w:t>
      </w:r>
      <w:proofErr w:type="spellStart"/>
      <w:r w:rsidR="00BB7E02">
        <w:rPr>
          <w:rFonts w:ascii="Times New Roman" w:hAnsi="Times New Roman" w:cs="Times New Roman"/>
          <w:iCs/>
          <w:color w:val="000000"/>
          <w:sz w:val="24"/>
          <w:szCs w:val="24"/>
          <w:shd w:val="clear" w:color="auto" w:fill="FFFFFF"/>
        </w:rPr>
        <w:t>Sena</w:t>
      </w:r>
      <w:proofErr w:type="spellEnd"/>
      <w:r w:rsidR="00BB7E02">
        <w:rPr>
          <w:rFonts w:ascii="Times New Roman" w:hAnsi="Times New Roman" w:cs="Times New Roman"/>
          <w:iCs/>
          <w:color w:val="000000"/>
          <w:sz w:val="24"/>
          <w:szCs w:val="24"/>
          <w:shd w:val="clear" w:color="auto" w:fill="FFFFFF"/>
        </w:rPr>
        <w:t>, V. (2008).</w:t>
      </w:r>
      <w:proofErr w:type="gramEnd"/>
      <w:r w:rsidRPr="000C4364">
        <w:rPr>
          <w:rFonts w:ascii="Times New Roman" w:hAnsi="Times New Roman" w:cs="Times New Roman"/>
          <w:iCs/>
          <w:color w:val="000000"/>
          <w:sz w:val="24"/>
          <w:szCs w:val="24"/>
          <w:shd w:val="clear" w:color="auto" w:fill="FFFFFF"/>
        </w:rPr>
        <w:t xml:space="preserve"> Governance regimes, corruption and growth: Theory and evidence</w:t>
      </w:r>
      <w:r w:rsidR="00BB7E02">
        <w:rPr>
          <w:rFonts w:ascii="Times New Roman" w:hAnsi="Times New Roman" w:cs="Times New Roman"/>
          <w:iCs/>
          <w:color w:val="000000"/>
          <w:sz w:val="24"/>
          <w:szCs w:val="24"/>
          <w:shd w:val="clear" w:color="auto" w:fill="FFFFFF"/>
        </w:rPr>
        <w:t xml:space="preserve">. </w:t>
      </w:r>
      <w:r w:rsidRPr="000C4364">
        <w:rPr>
          <w:rFonts w:ascii="Times New Roman" w:hAnsi="Times New Roman" w:cs="Times New Roman"/>
          <w:i/>
          <w:iCs/>
          <w:color w:val="000000"/>
          <w:sz w:val="24"/>
          <w:szCs w:val="24"/>
          <w:shd w:val="clear" w:color="auto" w:fill="FFFFFF"/>
        </w:rPr>
        <w:t>Journal of Comparative Economics</w:t>
      </w:r>
      <w:r w:rsidRPr="000C4364">
        <w:rPr>
          <w:rFonts w:ascii="Times New Roman" w:hAnsi="Times New Roman" w:cs="Times New Roman"/>
          <w:iCs/>
          <w:color w:val="000000"/>
          <w:sz w:val="24"/>
          <w:szCs w:val="24"/>
          <w:shd w:val="clear" w:color="auto" w:fill="FFFFFF"/>
        </w:rPr>
        <w:t>, 36</w:t>
      </w:r>
      <w:r w:rsidR="00BB7E02">
        <w:rPr>
          <w:rFonts w:ascii="Times New Roman" w:hAnsi="Times New Roman" w:cs="Times New Roman"/>
          <w:iCs/>
          <w:color w:val="000000"/>
          <w:sz w:val="24"/>
          <w:szCs w:val="24"/>
          <w:shd w:val="clear" w:color="auto" w:fill="FFFFFF"/>
        </w:rPr>
        <w:t>(2)</w:t>
      </w:r>
      <w:r w:rsidRPr="000C4364">
        <w:rPr>
          <w:rFonts w:ascii="Times New Roman" w:hAnsi="Times New Roman" w:cs="Times New Roman"/>
          <w:iCs/>
          <w:color w:val="000000"/>
          <w:sz w:val="24"/>
          <w:szCs w:val="24"/>
          <w:shd w:val="clear" w:color="auto" w:fill="FFFFFF"/>
        </w:rPr>
        <w:t>,</w:t>
      </w:r>
      <w:r w:rsidR="0025279E" w:rsidRPr="000C4364">
        <w:rPr>
          <w:rFonts w:ascii="Times New Roman" w:hAnsi="Times New Roman" w:cs="Times New Roman"/>
          <w:iCs/>
          <w:color w:val="000000"/>
          <w:sz w:val="24"/>
          <w:szCs w:val="24"/>
          <w:shd w:val="clear" w:color="auto" w:fill="FFFFFF"/>
        </w:rPr>
        <w:t xml:space="preserve"> pp. </w:t>
      </w:r>
      <w:r w:rsidRPr="000C4364">
        <w:rPr>
          <w:rFonts w:ascii="Times New Roman" w:hAnsi="Times New Roman" w:cs="Times New Roman"/>
          <w:iCs/>
          <w:color w:val="000000"/>
          <w:sz w:val="24"/>
          <w:szCs w:val="24"/>
          <w:shd w:val="clear" w:color="auto" w:fill="FFFFFF"/>
        </w:rPr>
        <w:t>195-220.</w:t>
      </w:r>
    </w:p>
    <w:p w:rsidR="006C16AA" w:rsidRPr="000C4364" w:rsidRDefault="008C417C" w:rsidP="00BB7E02">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lastRenderedPageBreak/>
        <w:t>Anyadike</w:t>
      </w:r>
      <w:proofErr w:type="spellEnd"/>
      <w:r w:rsidRPr="000C4364">
        <w:rPr>
          <w:rFonts w:ascii="Times New Roman" w:hAnsi="Times New Roman" w:cs="Times New Roman"/>
          <w:sz w:val="24"/>
          <w:szCs w:val="24"/>
        </w:rPr>
        <w:t>-Da</w:t>
      </w:r>
      <w:r w:rsidR="003F3DD1" w:rsidRPr="000C4364">
        <w:rPr>
          <w:rFonts w:ascii="Times New Roman" w:hAnsi="Times New Roman" w:cs="Times New Roman"/>
          <w:sz w:val="24"/>
          <w:szCs w:val="24"/>
        </w:rPr>
        <w:t xml:space="preserve">nes, M. Bonner, K., Hart, M., </w:t>
      </w:r>
      <w:r w:rsidR="0025279E" w:rsidRPr="000C4364">
        <w:rPr>
          <w:rFonts w:ascii="Times New Roman" w:hAnsi="Times New Roman" w:cs="Times New Roman"/>
          <w:sz w:val="24"/>
          <w:szCs w:val="24"/>
        </w:rPr>
        <w:t xml:space="preserve">and </w:t>
      </w:r>
      <w:r w:rsidR="003F3DD1" w:rsidRPr="000C4364">
        <w:rPr>
          <w:rFonts w:ascii="Times New Roman" w:hAnsi="Times New Roman" w:cs="Times New Roman"/>
          <w:sz w:val="24"/>
          <w:szCs w:val="24"/>
        </w:rPr>
        <w:t xml:space="preserve">Mason, C. </w:t>
      </w:r>
      <w:r w:rsidR="0025279E" w:rsidRPr="000C4364">
        <w:rPr>
          <w:rFonts w:ascii="Times New Roman" w:hAnsi="Times New Roman" w:cs="Times New Roman"/>
          <w:sz w:val="24"/>
          <w:szCs w:val="24"/>
        </w:rPr>
        <w:t>(</w:t>
      </w:r>
      <w:r w:rsidR="003F3DD1" w:rsidRPr="000C4364">
        <w:rPr>
          <w:rFonts w:ascii="Times New Roman" w:hAnsi="Times New Roman" w:cs="Times New Roman"/>
          <w:sz w:val="24"/>
          <w:szCs w:val="24"/>
        </w:rPr>
        <w:t>2009</w:t>
      </w:r>
      <w:r w:rsidR="00BB7E02">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Measuring business growth: High-growth firms and their contribution to employment in the UK</w:t>
      </w:r>
      <w:r w:rsidR="00BB7E02">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proofErr w:type="gramStart"/>
      <w:r w:rsidRPr="00BB7E02">
        <w:rPr>
          <w:rFonts w:ascii="Times New Roman" w:hAnsi="Times New Roman" w:cs="Times New Roman"/>
          <w:i/>
          <w:sz w:val="24"/>
          <w:szCs w:val="24"/>
        </w:rPr>
        <w:t>The National Endowment for Science, Technology and the Arts</w:t>
      </w:r>
      <w:r w:rsidRPr="000C4364">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r w:rsidR="00266119" w:rsidRPr="000C4364">
        <w:rPr>
          <w:rFonts w:ascii="Times New Roman" w:hAnsi="Times New Roman" w:cs="Times New Roman"/>
          <w:sz w:val="24"/>
          <w:szCs w:val="24"/>
        </w:rPr>
        <w:t>http://eprints.aston.ac.uk/18370/1/</w:t>
      </w:r>
      <w:hyperlink w:history="1"/>
      <w:r w:rsidRPr="000C4364">
        <w:rPr>
          <w:rFonts w:ascii="Times New Roman" w:hAnsi="Times New Roman" w:cs="Times New Roman"/>
          <w:sz w:val="24"/>
          <w:szCs w:val="24"/>
        </w:rPr>
        <w:t>Measuring_business_gr</w:t>
      </w:r>
      <w:r w:rsidR="002C5279" w:rsidRPr="000C4364">
        <w:rPr>
          <w:rFonts w:ascii="Times New Roman" w:hAnsi="Times New Roman" w:cs="Times New Roman"/>
          <w:sz w:val="24"/>
          <w:szCs w:val="24"/>
        </w:rPr>
        <w:t xml:space="preserve">owth.pdf. </w:t>
      </w:r>
      <w:proofErr w:type="gramStart"/>
      <w:r w:rsidR="002C5279" w:rsidRPr="000C4364">
        <w:rPr>
          <w:rFonts w:ascii="Times New Roman" w:hAnsi="Times New Roman" w:cs="Times New Roman"/>
          <w:sz w:val="24"/>
          <w:szCs w:val="24"/>
        </w:rPr>
        <w:t>Accessed 26 July 2015.</w:t>
      </w:r>
      <w:proofErr w:type="gramEnd"/>
    </w:p>
    <w:p w:rsidR="002E2CED" w:rsidRPr="000C4364" w:rsidRDefault="002E2CED" w:rsidP="000C4364">
      <w:pPr>
        <w:shd w:val="clear" w:color="auto" w:fill="FFFFFF"/>
        <w:spacing w:after="0" w:line="480" w:lineRule="auto"/>
        <w:outlineLvl w:val="0"/>
        <w:rPr>
          <w:rFonts w:ascii="Times New Roman" w:eastAsiaTheme="minorHAnsi" w:hAnsi="Times New Roman" w:cs="Times New Roman"/>
          <w:sz w:val="24"/>
          <w:szCs w:val="24"/>
          <w:lang w:eastAsia="en-US"/>
        </w:rPr>
      </w:pPr>
      <w:proofErr w:type="spellStart"/>
      <w:proofErr w:type="gramStart"/>
      <w:r w:rsidRPr="000C4364">
        <w:rPr>
          <w:rFonts w:ascii="Times New Roman" w:eastAsiaTheme="minorHAnsi" w:hAnsi="Times New Roman" w:cs="Times New Roman"/>
          <w:sz w:val="24"/>
          <w:szCs w:val="24"/>
          <w:lang w:eastAsia="en-US"/>
        </w:rPr>
        <w:t>Arestis</w:t>
      </w:r>
      <w:proofErr w:type="spellEnd"/>
      <w:r w:rsidRPr="000C4364">
        <w:rPr>
          <w:rFonts w:ascii="Times New Roman" w:eastAsiaTheme="minorHAnsi" w:hAnsi="Times New Roman" w:cs="Times New Roman"/>
          <w:sz w:val="24"/>
          <w:szCs w:val="24"/>
          <w:lang w:eastAsia="en-US"/>
        </w:rPr>
        <w:t xml:space="preserve">, P. and P. </w:t>
      </w:r>
      <w:proofErr w:type="spellStart"/>
      <w:r w:rsidRPr="000C4364">
        <w:rPr>
          <w:rFonts w:ascii="Times New Roman" w:eastAsiaTheme="minorHAnsi" w:hAnsi="Times New Roman" w:cs="Times New Roman"/>
          <w:sz w:val="24"/>
          <w:szCs w:val="24"/>
          <w:lang w:eastAsia="en-US"/>
        </w:rPr>
        <w:t>Demetriades</w:t>
      </w:r>
      <w:proofErr w:type="spellEnd"/>
      <w:r w:rsidRPr="000C4364">
        <w:rPr>
          <w:rFonts w:ascii="Times New Roman" w:eastAsiaTheme="minorHAnsi" w:hAnsi="Times New Roman" w:cs="Times New Roman"/>
          <w:sz w:val="24"/>
          <w:szCs w:val="24"/>
          <w:lang w:eastAsia="en-US"/>
        </w:rPr>
        <w:t xml:space="preserve"> (1997)</w:t>
      </w:r>
      <w:r w:rsidR="00BB7E02">
        <w:rPr>
          <w:rFonts w:ascii="Times New Roman" w:hAnsi="Times New Roman" w:cs="Times New Roman"/>
          <w:sz w:val="24"/>
          <w:szCs w:val="24"/>
        </w:rPr>
        <w:t>.</w:t>
      </w:r>
      <w:proofErr w:type="gramEnd"/>
      <w:r w:rsidRPr="000C4364">
        <w:rPr>
          <w:rFonts w:ascii="Times New Roman" w:eastAsiaTheme="minorHAnsi" w:hAnsi="Times New Roman" w:cs="Times New Roman"/>
          <w:sz w:val="24"/>
          <w:szCs w:val="24"/>
          <w:lang w:eastAsia="en-US"/>
        </w:rPr>
        <w:t xml:space="preserve"> </w:t>
      </w:r>
      <w:r w:rsidR="008840DF">
        <w:rPr>
          <w:rFonts w:ascii="Times New Roman" w:eastAsiaTheme="minorHAnsi" w:hAnsi="Times New Roman" w:cs="Times New Roman"/>
          <w:sz w:val="24"/>
          <w:szCs w:val="24"/>
          <w:lang w:eastAsia="en-US"/>
        </w:rPr>
        <w:t>Financial development and economic g</w:t>
      </w:r>
      <w:r w:rsidRPr="000C4364">
        <w:rPr>
          <w:rFonts w:ascii="Times New Roman" w:eastAsiaTheme="minorHAnsi" w:hAnsi="Times New Roman" w:cs="Times New Roman"/>
          <w:sz w:val="24"/>
          <w:szCs w:val="24"/>
          <w:lang w:eastAsia="en-US"/>
        </w:rPr>
        <w:t xml:space="preserve">rowth: </w:t>
      </w:r>
      <w:r w:rsidR="008840DF">
        <w:rPr>
          <w:rFonts w:ascii="Times New Roman" w:eastAsiaTheme="minorHAnsi" w:hAnsi="Times New Roman" w:cs="Times New Roman"/>
          <w:sz w:val="24"/>
          <w:szCs w:val="24"/>
          <w:lang w:eastAsia="en-US"/>
        </w:rPr>
        <w:t>a</w:t>
      </w:r>
      <w:r w:rsidRPr="000C4364">
        <w:rPr>
          <w:rFonts w:ascii="Times New Roman" w:eastAsiaTheme="minorHAnsi" w:hAnsi="Times New Roman" w:cs="Times New Roman"/>
          <w:sz w:val="24"/>
          <w:szCs w:val="24"/>
          <w:lang w:eastAsia="en-US"/>
        </w:rPr>
        <w:t xml:space="preserve">ssessing the </w:t>
      </w:r>
      <w:r w:rsidR="008840DF">
        <w:rPr>
          <w:rFonts w:ascii="Times New Roman" w:eastAsiaTheme="minorHAnsi" w:hAnsi="Times New Roman" w:cs="Times New Roman"/>
          <w:sz w:val="24"/>
          <w:szCs w:val="24"/>
          <w:lang w:eastAsia="en-US"/>
        </w:rPr>
        <w:t>e</w:t>
      </w:r>
      <w:r w:rsidRPr="000C4364">
        <w:rPr>
          <w:rFonts w:ascii="Times New Roman" w:eastAsiaTheme="minorHAnsi" w:hAnsi="Times New Roman" w:cs="Times New Roman"/>
          <w:sz w:val="24"/>
          <w:szCs w:val="24"/>
          <w:lang w:eastAsia="en-US"/>
        </w:rPr>
        <w:t xml:space="preserve">vidence. </w:t>
      </w:r>
      <w:r w:rsidRPr="000C4364">
        <w:rPr>
          <w:rFonts w:ascii="Times New Roman" w:eastAsiaTheme="minorHAnsi" w:hAnsi="Times New Roman" w:cs="Times New Roman"/>
          <w:i/>
          <w:sz w:val="24"/>
          <w:szCs w:val="24"/>
          <w:lang w:eastAsia="en-US"/>
        </w:rPr>
        <w:t>The Economic Journal</w:t>
      </w:r>
      <w:r w:rsidRPr="000C4364">
        <w:rPr>
          <w:rFonts w:ascii="Times New Roman" w:hAnsi="Times New Roman" w:cs="Times New Roman"/>
          <w:sz w:val="24"/>
          <w:szCs w:val="24"/>
        </w:rPr>
        <w:t>,</w:t>
      </w:r>
      <w:r w:rsidRPr="000C4364">
        <w:rPr>
          <w:rFonts w:ascii="Times New Roman" w:eastAsiaTheme="minorHAnsi" w:hAnsi="Times New Roman" w:cs="Times New Roman"/>
          <w:sz w:val="24"/>
          <w:szCs w:val="24"/>
          <w:lang w:eastAsia="en-US"/>
        </w:rPr>
        <w:t xml:space="preserve"> </w:t>
      </w:r>
      <w:r w:rsidR="008840DF">
        <w:rPr>
          <w:rFonts w:ascii="Times New Roman" w:eastAsiaTheme="minorHAnsi" w:hAnsi="Times New Roman" w:cs="Times New Roman"/>
          <w:sz w:val="24"/>
          <w:szCs w:val="24"/>
          <w:lang w:eastAsia="en-US"/>
        </w:rPr>
        <w:t>1</w:t>
      </w:r>
      <w:r w:rsidRPr="000C4364">
        <w:rPr>
          <w:rFonts w:ascii="Times New Roman" w:eastAsiaTheme="minorHAnsi" w:hAnsi="Times New Roman" w:cs="Times New Roman"/>
          <w:sz w:val="24"/>
          <w:szCs w:val="24"/>
          <w:lang w:eastAsia="en-US"/>
        </w:rPr>
        <w:t>07</w:t>
      </w:r>
      <w:r w:rsidR="008840DF">
        <w:rPr>
          <w:rFonts w:ascii="Times New Roman" w:eastAsiaTheme="minorHAnsi" w:hAnsi="Times New Roman" w:cs="Times New Roman"/>
          <w:sz w:val="24"/>
          <w:szCs w:val="24"/>
          <w:lang w:eastAsia="en-US"/>
        </w:rPr>
        <w:t>(442),</w:t>
      </w:r>
      <w:r w:rsidRPr="000C4364">
        <w:rPr>
          <w:rFonts w:ascii="Times New Roman" w:eastAsiaTheme="minorHAnsi" w:hAnsi="Times New Roman" w:cs="Times New Roman"/>
          <w:sz w:val="24"/>
          <w:szCs w:val="24"/>
          <w:lang w:eastAsia="en-US"/>
        </w:rPr>
        <w:t xml:space="preserve"> pp. 783-799</w:t>
      </w:r>
    </w:p>
    <w:p w:rsidR="002C5279" w:rsidRPr="000C4364" w:rsidRDefault="002C5279" w:rsidP="000C4364">
      <w:pPr>
        <w:shd w:val="clear" w:color="auto" w:fill="FFFFFF"/>
        <w:spacing w:after="0" w:line="480" w:lineRule="auto"/>
        <w:outlineLvl w:val="0"/>
        <w:rPr>
          <w:rFonts w:ascii="Times New Roman" w:eastAsiaTheme="minorHAnsi" w:hAnsi="Times New Roman" w:cs="Times New Roman"/>
          <w:sz w:val="24"/>
          <w:szCs w:val="24"/>
          <w:lang w:eastAsia="en-US"/>
        </w:rPr>
      </w:pPr>
      <w:proofErr w:type="spellStart"/>
      <w:r w:rsidRPr="000C4364">
        <w:rPr>
          <w:rFonts w:ascii="Times New Roman" w:hAnsi="Times New Roman" w:cs="Times New Roman"/>
          <w:sz w:val="24"/>
          <w:szCs w:val="24"/>
        </w:rPr>
        <w:t>Bauernschuster</w:t>
      </w:r>
      <w:proofErr w:type="spellEnd"/>
      <w:r w:rsidRPr="000C4364">
        <w:rPr>
          <w:rFonts w:ascii="Times New Roman" w:hAnsi="Times New Roman" w:cs="Times New Roman"/>
          <w:sz w:val="24"/>
          <w:szCs w:val="24"/>
        </w:rPr>
        <w:t xml:space="preserve">, S., </w:t>
      </w:r>
      <w:proofErr w:type="spellStart"/>
      <w:r w:rsidRPr="000C4364">
        <w:rPr>
          <w:rFonts w:ascii="Times New Roman" w:hAnsi="Times New Roman" w:cs="Times New Roman"/>
          <w:sz w:val="24"/>
          <w:szCs w:val="24"/>
        </w:rPr>
        <w:t>Falck</w:t>
      </w:r>
      <w:proofErr w:type="spellEnd"/>
      <w:r w:rsidRPr="000C4364">
        <w:rPr>
          <w:rFonts w:ascii="Times New Roman" w:hAnsi="Times New Roman" w:cs="Times New Roman"/>
          <w:sz w:val="24"/>
          <w:szCs w:val="24"/>
        </w:rPr>
        <w:t xml:space="preserve">, O., </w:t>
      </w:r>
      <w:r w:rsidR="0025279E" w:rsidRPr="000C4364">
        <w:rPr>
          <w:rFonts w:ascii="Times New Roman" w:hAnsi="Times New Roman" w:cs="Times New Roman"/>
          <w:sz w:val="24"/>
          <w:szCs w:val="24"/>
        </w:rPr>
        <w:t xml:space="preserve">and </w:t>
      </w:r>
      <w:proofErr w:type="spellStart"/>
      <w:r w:rsidRPr="000C4364">
        <w:rPr>
          <w:rFonts w:ascii="Times New Roman" w:hAnsi="Times New Roman" w:cs="Times New Roman"/>
          <w:sz w:val="24"/>
          <w:szCs w:val="24"/>
        </w:rPr>
        <w:t>Heblich</w:t>
      </w:r>
      <w:proofErr w:type="spellEnd"/>
      <w:r w:rsidRPr="000C4364">
        <w:rPr>
          <w:rFonts w:ascii="Times New Roman" w:hAnsi="Times New Roman" w:cs="Times New Roman"/>
          <w:sz w:val="24"/>
          <w:szCs w:val="24"/>
        </w:rPr>
        <w:t xml:space="preserve">, S. </w:t>
      </w:r>
      <w:r w:rsidR="0025279E" w:rsidRPr="000C4364">
        <w:rPr>
          <w:rFonts w:ascii="Times New Roman" w:hAnsi="Times New Roman" w:cs="Times New Roman"/>
          <w:sz w:val="24"/>
          <w:szCs w:val="24"/>
        </w:rPr>
        <w:t>(</w:t>
      </w:r>
      <w:r w:rsidRPr="000C4364">
        <w:rPr>
          <w:rFonts w:ascii="Times New Roman" w:hAnsi="Times New Roman" w:cs="Times New Roman"/>
          <w:sz w:val="24"/>
          <w:szCs w:val="24"/>
        </w:rPr>
        <w:t>2010</w:t>
      </w:r>
      <w:r w:rsidR="008840DF">
        <w:rPr>
          <w:rFonts w:ascii="Times New Roman" w:hAnsi="Times New Roman" w:cs="Times New Roman"/>
          <w:sz w:val="24"/>
          <w:szCs w:val="24"/>
        </w:rPr>
        <w:t>).</w:t>
      </w:r>
      <w:r w:rsidRPr="000C4364">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Social capital access and entrepreneurship</w:t>
      </w:r>
      <w:r w:rsidR="008840DF">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 xml:space="preserve">Journal of Economic </w:t>
      </w:r>
      <w:proofErr w:type="spellStart"/>
      <w:r w:rsidRPr="000C4364">
        <w:rPr>
          <w:rFonts w:ascii="Times New Roman" w:hAnsi="Times New Roman" w:cs="Times New Roman"/>
          <w:i/>
          <w:sz w:val="24"/>
          <w:szCs w:val="24"/>
        </w:rPr>
        <w:t>Behavior</w:t>
      </w:r>
      <w:proofErr w:type="spellEnd"/>
      <w:r w:rsidRPr="000C4364">
        <w:rPr>
          <w:rFonts w:ascii="Times New Roman" w:hAnsi="Times New Roman" w:cs="Times New Roman"/>
          <w:i/>
          <w:sz w:val="24"/>
          <w:szCs w:val="24"/>
        </w:rPr>
        <w:t xml:space="preserve"> and Organization</w:t>
      </w:r>
      <w:r w:rsidR="0025279E" w:rsidRPr="000C4364">
        <w:rPr>
          <w:rFonts w:ascii="Times New Roman" w:hAnsi="Times New Roman" w:cs="Times New Roman"/>
          <w:sz w:val="24"/>
          <w:szCs w:val="24"/>
        </w:rPr>
        <w:t>,</w:t>
      </w:r>
      <w:r w:rsidRPr="000C4364">
        <w:rPr>
          <w:rFonts w:ascii="Times New Roman" w:hAnsi="Times New Roman" w:cs="Times New Roman"/>
          <w:sz w:val="24"/>
          <w:szCs w:val="24"/>
        </w:rPr>
        <w:t xml:space="preserve"> 76</w:t>
      </w:r>
      <w:r w:rsidR="008840DF">
        <w:rPr>
          <w:rFonts w:ascii="Times New Roman" w:hAnsi="Times New Roman" w:cs="Times New Roman"/>
          <w:sz w:val="24"/>
          <w:szCs w:val="24"/>
        </w:rPr>
        <w:t>(3)</w:t>
      </w:r>
      <w:r w:rsidR="0025279E" w:rsidRPr="000C4364">
        <w:rPr>
          <w:rFonts w:ascii="Times New Roman" w:hAnsi="Times New Roman" w:cs="Times New Roman"/>
          <w:sz w:val="24"/>
          <w:szCs w:val="24"/>
        </w:rPr>
        <w:t xml:space="preserve">, pp. </w:t>
      </w:r>
      <w:r w:rsidRPr="000C4364">
        <w:rPr>
          <w:rFonts w:ascii="Times New Roman" w:hAnsi="Times New Roman" w:cs="Times New Roman"/>
          <w:sz w:val="24"/>
          <w:szCs w:val="24"/>
        </w:rPr>
        <w:t>821-833.</w:t>
      </w:r>
    </w:p>
    <w:p w:rsidR="006C16AA" w:rsidRPr="000C4364" w:rsidRDefault="003F3DD1" w:rsidP="008840DF">
      <w:pPr>
        <w:spacing w:after="0" w:line="480" w:lineRule="auto"/>
        <w:rPr>
          <w:rFonts w:ascii="Times New Roman" w:hAnsi="Times New Roman" w:cs="Times New Roman"/>
          <w:sz w:val="24"/>
          <w:szCs w:val="24"/>
        </w:rPr>
      </w:pPr>
      <w:proofErr w:type="gramStart"/>
      <w:r w:rsidRPr="000C4364">
        <w:rPr>
          <w:rFonts w:ascii="Times New Roman" w:hAnsi="Times New Roman" w:cs="Times New Roman"/>
          <w:iCs/>
          <w:color w:val="000000"/>
          <w:sz w:val="24"/>
          <w:szCs w:val="24"/>
          <w:shd w:val="clear" w:color="auto" w:fill="FFFFFF"/>
        </w:rPr>
        <w:t xml:space="preserve">Beck, T. </w:t>
      </w:r>
      <w:r w:rsidR="0025279E"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2013</w:t>
      </w:r>
      <w:r w:rsidR="008840DF">
        <w:rPr>
          <w:rFonts w:ascii="Times New Roman" w:hAnsi="Times New Roman" w:cs="Times New Roman"/>
          <w:iCs/>
          <w:color w:val="000000"/>
          <w:sz w:val="24"/>
          <w:szCs w:val="24"/>
          <w:shd w:val="clear" w:color="auto" w:fill="FFFFFF"/>
        </w:rPr>
        <w:t>).</w:t>
      </w:r>
      <w:proofErr w:type="gramEnd"/>
      <w:r w:rsidRPr="000C4364">
        <w:rPr>
          <w:rFonts w:ascii="Times New Roman" w:hAnsi="Times New Roman" w:cs="Times New Roman"/>
          <w:iCs/>
          <w:color w:val="000000"/>
          <w:sz w:val="24"/>
          <w:szCs w:val="24"/>
          <w:shd w:val="clear" w:color="auto" w:fill="FFFFFF"/>
        </w:rPr>
        <w:t xml:space="preserve"> </w:t>
      </w:r>
      <w:proofErr w:type="gramStart"/>
      <w:r w:rsidRPr="000C4364">
        <w:rPr>
          <w:rFonts w:ascii="Times New Roman" w:hAnsi="Times New Roman" w:cs="Times New Roman"/>
          <w:iCs/>
          <w:color w:val="000000"/>
          <w:sz w:val="24"/>
          <w:szCs w:val="24"/>
          <w:shd w:val="clear" w:color="auto" w:fill="FFFFFF"/>
        </w:rPr>
        <w:t>Bank financing for SMEs – lessons from the l</w:t>
      </w:r>
      <w:r w:rsidR="008C417C" w:rsidRPr="000C4364">
        <w:rPr>
          <w:rFonts w:ascii="Times New Roman" w:hAnsi="Times New Roman" w:cs="Times New Roman"/>
          <w:iCs/>
          <w:color w:val="000000"/>
          <w:sz w:val="24"/>
          <w:szCs w:val="24"/>
          <w:shd w:val="clear" w:color="auto" w:fill="FFFFFF"/>
        </w:rPr>
        <w:t>iterature</w:t>
      </w:r>
      <w:r w:rsidR="008840DF">
        <w:rPr>
          <w:rFonts w:ascii="Times New Roman" w:hAnsi="Times New Roman" w:cs="Times New Roman"/>
          <w:iCs/>
          <w:color w:val="000000"/>
          <w:sz w:val="24"/>
          <w:szCs w:val="24"/>
          <w:shd w:val="clear" w:color="auto" w:fill="FFFFFF"/>
        </w:rPr>
        <w:t>.</w:t>
      </w:r>
      <w:proofErr w:type="gramEnd"/>
      <w:r w:rsidR="008C417C" w:rsidRPr="000C4364">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
          <w:iCs/>
          <w:color w:val="000000"/>
          <w:sz w:val="24"/>
          <w:szCs w:val="24"/>
          <w:shd w:val="clear" w:color="auto" w:fill="FFFFFF"/>
        </w:rPr>
        <w:t>National Institute Economic Review</w:t>
      </w:r>
      <w:r w:rsidR="008C417C" w:rsidRPr="000C4364">
        <w:rPr>
          <w:rFonts w:ascii="Times New Roman" w:hAnsi="Times New Roman" w:cs="Times New Roman"/>
          <w:iCs/>
          <w:color w:val="000000"/>
          <w:sz w:val="24"/>
          <w:szCs w:val="24"/>
          <w:shd w:val="clear" w:color="auto" w:fill="FFFFFF"/>
        </w:rPr>
        <w:t>, 225</w:t>
      </w:r>
      <w:r w:rsidR="008840DF">
        <w:rPr>
          <w:rFonts w:ascii="Times New Roman" w:hAnsi="Times New Roman" w:cs="Times New Roman"/>
          <w:iCs/>
          <w:color w:val="000000"/>
          <w:sz w:val="24"/>
          <w:szCs w:val="24"/>
          <w:shd w:val="clear" w:color="auto" w:fill="FFFFFF"/>
        </w:rPr>
        <w:t>(1)</w:t>
      </w:r>
      <w:r w:rsidR="008C417C" w:rsidRPr="000C4364">
        <w:rPr>
          <w:rFonts w:ascii="Times New Roman" w:hAnsi="Times New Roman" w:cs="Times New Roman"/>
          <w:iCs/>
          <w:color w:val="000000"/>
          <w:sz w:val="24"/>
          <w:szCs w:val="24"/>
          <w:shd w:val="clear" w:color="auto" w:fill="FFFFFF"/>
        </w:rPr>
        <w:t>,</w:t>
      </w:r>
      <w:r w:rsidR="0025279E" w:rsidRPr="000C4364">
        <w:rPr>
          <w:rFonts w:ascii="Times New Roman" w:hAnsi="Times New Roman" w:cs="Times New Roman"/>
          <w:iCs/>
          <w:color w:val="000000"/>
          <w:sz w:val="24"/>
          <w:szCs w:val="24"/>
          <w:shd w:val="clear" w:color="auto" w:fill="FFFFFF"/>
        </w:rPr>
        <w:t xml:space="preserve"> pp.</w:t>
      </w:r>
      <w:r w:rsidR="008C417C" w:rsidRPr="000C4364">
        <w:rPr>
          <w:rFonts w:ascii="Times New Roman" w:hAnsi="Times New Roman" w:cs="Times New Roman"/>
          <w:iCs/>
          <w:color w:val="000000"/>
          <w:sz w:val="24"/>
          <w:szCs w:val="24"/>
          <w:shd w:val="clear" w:color="auto" w:fill="FFFFFF"/>
        </w:rPr>
        <w:t xml:space="preserve"> R23-R38.</w:t>
      </w:r>
    </w:p>
    <w:p w:rsidR="006C16AA" w:rsidRPr="000C4364" w:rsidRDefault="008C417C" w:rsidP="008840DF">
      <w:pPr>
        <w:spacing w:after="0" w:line="480" w:lineRule="auto"/>
        <w:rPr>
          <w:rFonts w:ascii="Times New Roman" w:hAnsi="Times New Roman" w:cs="Times New Roman"/>
          <w:iCs/>
          <w:color w:val="000000"/>
          <w:sz w:val="24"/>
          <w:szCs w:val="24"/>
          <w:shd w:val="clear" w:color="auto" w:fill="FFFFFF"/>
        </w:rPr>
      </w:pPr>
      <w:proofErr w:type="gramStart"/>
      <w:r w:rsidRPr="000C4364">
        <w:rPr>
          <w:rFonts w:ascii="Times New Roman" w:hAnsi="Times New Roman" w:cs="Times New Roman"/>
          <w:iCs/>
          <w:color w:val="000000"/>
          <w:sz w:val="24"/>
          <w:szCs w:val="24"/>
          <w:shd w:val="clear" w:color="auto" w:fill="FFFFFF"/>
        </w:rPr>
        <w:t xml:space="preserve">Beck, T., </w:t>
      </w:r>
      <w:proofErr w:type="spellStart"/>
      <w:r w:rsidRPr="000C4364">
        <w:rPr>
          <w:rFonts w:ascii="Times New Roman" w:hAnsi="Times New Roman" w:cs="Times New Roman"/>
          <w:iCs/>
          <w:color w:val="000000"/>
          <w:sz w:val="24"/>
          <w:szCs w:val="24"/>
          <w:shd w:val="clear" w:color="auto" w:fill="FFFFFF"/>
        </w:rPr>
        <w:t>Demirguc-Kunt</w:t>
      </w:r>
      <w:proofErr w:type="spellEnd"/>
      <w:r w:rsidRPr="000C4364">
        <w:rPr>
          <w:rFonts w:ascii="Times New Roman" w:hAnsi="Times New Roman" w:cs="Times New Roman"/>
          <w:iCs/>
          <w:color w:val="000000"/>
          <w:sz w:val="24"/>
          <w:szCs w:val="24"/>
          <w:shd w:val="clear" w:color="auto" w:fill="FFFFFF"/>
        </w:rPr>
        <w:t>, A.</w:t>
      </w:r>
      <w:r w:rsidR="003F3DD1"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w:t>
      </w:r>
      <w:r w:rsidR="00601FED" w:rsidRPr="000C4364">
        <w:rPr>
          <w:rFonts w:ascii="Times New Roman" w:hAnsi="Times New Roman" w:cs="Times New Roman"/>
          <w:iCs/>
          <w:color w:val="000000"/>
          <w:sz w:val="24"/>
          <w:szCs w:val="24"/>
          <w:shd w:val="clear" w:color="auto" w:fill="FFFFFF"/>
        </w:rPr>
        <w:t xml:space="preserve">and </w:t>
      </w:r>
      <w:r w:rsidR="003F3DD1" w:rsidRPr="000C4364">
        <w:rPr>
          <w:rFonts w:ascii="Times New Roman" w:hAnsi="Times New Roman" w:cs="Times New Roman"/>
          <w:iCs/>
          <w:color w:val="000000"/>
          <w:sz w:val="24"/>
          <w:szCs w:val="24"/>
          <w:shd w:val="clear" w:color="auto" w:fill="FFFFFF"/>
        </w:rPr>
        <w:t xml:space="preserve">Levine, R. </w:t>
      </w:r>
      <w:r w:rsidR="00601FED" w:rsidRPr="000C4364">
        <w:rPr>
          <w:rFonts w:ascii="Times New Roman" w:hAnsi="Times New Roman" w:cs="Times New Roman"/>
          <w:iCs/>
          <w:color w:val="000000"/>
          <w:sz w:val="24"/>
          <w:szCs w:val="24"/>
          <w:shd w:val="clear" w:color="auto" w:fill="FFFFFF"/>
        </w:rPr>
        <w:t>(</w:t>
      </w:r>
      <w:r w:rsidR="003F3DD1" w:rsidRPr="000C4364">
        <w:rPr>
          <w:rFonts w:ascii="Times New Roman" w:hAnsi="Times New Roman" w:cs="Times New Roman"/>
          <w:iCs/>
          <w:color w:val="000000"/>
          <w:sz w:val="24"/>
          <w:szCs w:val="24"/>
          <w:shd w:val="clear" w:color="auto" w:fill="FFFFFF"/>
        </w:rPr>
        <w:t>2005</w:t>
      </w:r>
      <w:r w:rsidR="008840DF">
        <w:rPr>
          <w:rFonts w:ascii="Times New Roman" w:hAnsi="Times New Roman" w:cs="Times New Roman"/>
          <w:iCs/>
          <w:color w:val="000000"/>
          <w:sz w:val="24"/>
          <w:szCs w:val="24"/>
          <w:shd w:val="clear" w:color="auto" w:fill="FFFFFF"/>
        </w:rPr>
        <w:t>).</w:t>
      </w:r>
      <w:proofErr w:type="gramEnd"/>
      <w:r w:rsidRPr="000C4364">
        <w:rPr>
          <w:rFonts w:ascii="Times New Roman" w:hAnsi="Times New Roman" w:cs="Times New Roman"/>
          <w:iCs/>
          <w:color w:val="000000"/>
          <w:sz w:val="24"/>
          <w:szCs w:val="24"/>
          <w:shd w:val="clear" w:color="auto" w:fill="FFFFFF"/>
        </w:rPr>
        <w:t xml:space="preserve"> SMEs, growth, and poverty: cross-country evidence</w:t>
      </w:r>
      <w:r w:rsidR="008840DF">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w:t>
      </w:r>
      <w:r w:rsidRPr="000C4364">
        <w:rPr>
          <w:rFonts w:ascii="Times New Roman" w:hAnsi="Times New Roman" w:cs="Times New Roman"/>
          <w:i/>
          <w:iCs/>
          <w:color w:val="000000"/>
          <w:sz w:val="24"/>
          <w:szCs w:val="24"/>
          <w:shd w:val="clear" w:color="auto" w:fill="FFFFFF"/>
        </w:rPr>
        <w:t xml:space="preserve">Journal of Economic Growth, </w:t>
      </w:r>
      <w:r w:rsidR="003F3DD1" w:rsidRPr="000C4364">
        <w:rPr>
          <w:rFonts w:ascii="Times New Roman" w:hAnsi="Times New Roman" w:cs="Times New Roman"/>
          <w:iCs/>
          <w:color w:val="000000"/>
          <w:sz w:val="24"/>
          <w:szCs w:val="24"/>
          <w:shd w:val="clear" w:color="auto" w:fill="FFFFFF"/>
        </w:rPr>
        <w:t>10</w:t>
      </w:r>
      <w:r w:rsidR="008840DF">
        <w:rPr>
          <w:rFonts w:ascii="Times New Roman" w:hAnsi="Times New Roman" w:cs="Times New Roman"/>
          <w:iCs/>
          <w:color w:val="000000"/>
          <w:sz w:val="24"/>
          <w:szCs w:val="24"/>
          <w:shd w:val="clear" w:color="auto" w:fill="FFFFFF"/>
        </w:rPr>
        <w:t>(3)</w:t>
      </w:r>
      <w:r w:rsidR="00601FED" w:rsidRPr="000C4364">
        <w:rPr>
          <w:rFonts w:ascii="Times New Roman" w:hAnsi="Times New Roman" w:cs="Times New Roman"/>
          <w:iCs/>
          <w:color w:val="000000"/>
          <w:sz w:val="24"/>
          <w:szCs w:val="24"/>
          <w:shd w:val="clear" w:color="auto" w:fill="FFFFFF"/>
        </w:rPr>
        <w:t xml:space="preserve">, pp. </w:t>
      </w:r>
      <w:r w:rsidRPr="000C4364">
        <w:rPr>
          <w:rFonts w:ascii="Times New Roman" w:hAnsi="Times New Roman" w:cs="Times New Roman"/>
          <w:iCs/>
          <w:color w:val="000000"/>
          <w:sz w:val="24"/>
          <w:szCs w:val="24"/>
          <w:shd w:val="clear" w:color="auto" w:fill="FFFFFF"/>
        </w:rPr>
        <w:t>199-229.</w:t>
      </w:r>
    </w:p>
    <w:p w:rsidR="006C16AA" w:rsidRPr="000C4364" w:rsidRDefault="00601FED" w:rsidP="008840DF">
      <w:pPr>
        <w:spacing w:after="0" w:line="480" w:lineRule="auto"/>
        <w:rPr>
          <w:rFonts w:ascii="Times New Roman" w:hAnsi="Times New Roman" w:cs="Times New Roman"/>
          <w:iCs/>
          <w:color w:val="000000"/>
          <w:sz w:val="24"/>
          <w:szCs w:val="24"/>
          <w:shd w:val="clear" w:color="auto" w:fill="FFFFFF"/>
        </w:rPr>
      </w:pPr>
      <w:proofErr w:type="gramStart"/>
      <w:r w:rsidRPr="000C4364">
        <w:rPr>
          <w:rFonts w:ascii="Times New Roman" w:hAnsi="Times New Roman" w:cs="Times New Roman"/>
          <w:iCs/>
          <w:color w:val="000000"/>
          <w:sz w:val="24"/>
          <w:szCs w:val="24"/>
          <w:shd w:val="clear" w:color="auto" w:fill="FFFFFF"/>
        </w:rPr>
        <w:t xml:space="preserve">Beck, T. and </w:t>
      </w:r>
      <w:proofErr w:type="spellStart"/>
      <w:r w:rsidR="003F3DD1" w:rsidRPr="000C4364">
        <w:rPr>
          <w:rFonts w:ascii="Times New Roman" w:hAnsi="Times New Roman" w:cs="Times New Roman"/>
          <w:iCs/>
          <w:color w:val="000000"/>
          <w:sz w:val="24"/>
          <w:szCs w:val="24"/>
          <w:shd w:val="clear" w:color="auto" w:fill="FFFFFF"/>
        </w:rPr>
        <w:t>Demirguc-Kunt</w:t>
      </w:r>
      <w:proofErr w:type="spellEnd"/>
      <w:r w:rsidR="003F3DD1" w:rsidRPr="000C4364">
        <w:rPr>
          <w:rFonts w:ascii="Times New Roman" w:hAnsi="Times New Roman" w:cs="Times New Roman"/>
          <w:iCs/>
          <w:color w:val="000000"/>
          <w:sz w:val="24"/>
          <w:szCs w:val="24"/>
          <w:shd w:val="clear" w:color="auto" w:fill="FFFFFF"/>
        </w:rPr>
        <w:t xml:space="preserve">, A. </w:t>
      </w:r>
      <w:r w:rsidRPr="000C4364">
        <w:rPr>
          <w:rFonts w:ascii="Times New Roman" w:hAnsi="Times New Roman" w:cs="Times New Roman"/>
          <w:iCs/>
          <w:color w:val="000000"/>
          <w:sz w:val="24"/>
          <w:szCs w:val="24"/>
          <w:shd w:val="clear" w:color="auto" w:fill="FFFFFF"/>
        </w:rPr>
        <w:t>(</w:t>
      </w:r>
      <w:r w:rsidR="003F3DD1" w:rsidRPr="000C4364">
        <w:rPr>
          <w:rFonts w:ascii="Times New Roman" w:hAnsi="Times New Roman" w:cs="Times New Roman"/>
          <w:iCs/>
          <w:color w:val="000000"/>
          <w:sz w:val="24"/>
          <w:szCs w:val="24"/>
          <w:shd w:val="clear" w:color="auto" w:fill="FFFFFF"/>
        </w:rPr>
        <w:t>2006</w:t>
      </w:r>
      <w:r w:rsidR="008840DF">
        <w:rPr>
          <w:rFonts w:ascii="Times New Roman" w:hAnsi="Times New Roman" w:cs="Times New Roman"/>
          <w:iCs/>
          <w:color w:val="000000"/>
          <w:sz w:val="24"/>
          <w:szCs w:val="24"/>
          <w:shd w:val="clear" w:color="auto" w:fill="FFFFFF"/>
        </w:rPr>
        <w:t>).</w:t>
      </w:r>
      <w:proofErr w:type="gramEnd"/>
      <w:r w:rsidR="008C417C" w:rsidRPr="000C4364">
        <w:rPr>
          <w:rFonts w:ascii="Times New Roman" w:hAnsi="Times New Roman" w:cs="Times New Roman"/>
          <w:iCs/>
          <w:color w:val="000000"/>
          <w:sz w:val="24"/>
          <w:szCs w:val="24"/>
          <w:shd w:val="clear" w:color="auto" w:fill="FFFFFF"/>
        </w:rPr>
        <w:t xml:space="preserve"> Small and medium enterprises: access to finance as a growth constraint</w:t>
      </w:r>
      <w:r w:rsidR="008840DF">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
          <w:iCs/>
          <w:color w:val="000000"/>
          <w:sz w:val="24"/>
          <w:szCs w:val="24"/>
          <w:shd w:val="clear" w:color="auto" w:fill="FFFFFF"/>
        </w:rPr>
        <w:t>Journal of Banking and Finance</w:t>
      </w:r>
      <w:r w:rsidR="008C417C" w:rsidRPr="000C4364">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
          <w:iCs/>
          <w:color w:val="000000"/>
          <w:sz w:val="24"/>
          <w:szCs w:val="24"/>
          <w:shd w:val="clear" w:color="auto" w:fill="FFFFFF"/>
        </w:rPr>
        <w:t xml:space="preserve"> </w:t>
      </w:r>
      <w:r w:rsidR="003F3DD1" w:rsidRPr="000C4364">
        <w:rPr>
          <w:rFonts w:ascii="Times New Roman" w:hAnsi="Times New Roman" w:cs="Times New Roman"/>
          <w:iCs/>
          <w:color w:val="000000"/>
          <w:sz w:val="24"/>
          <w:szCs w:val="24"/>
          <w:shd w:val="clear" w:color="auto" w:fill="FFFFFF"/>
        </w:rPr>
        <w:t>30</w:t>
      </w:r>
      <w:r w:rsidR="008840DF">
        <w:rPr>
          <w:rFonts w:ascii="Times New Roman" w:hAnsi="Times New Roman" w:cs="Times New Roman"/>
          <w:iCs/>
          <w:color w:val="000000"/>
          <w:sz w:val="24"/>
          <w:szCs w:val="24"/>
          <w:shd w:val="clear" w:color="auto" w:fill="FFFFFF"/>
        </w:rPr>
        <w:t>(11),</w:t>
      </w:r>
      <w:r w:rsidRPr="000C4364">
        <w:rPr>
          <w:rFonts w:ascii="Times New Roman" w:hAnsi="Times New Roman" w:cs="Times New Roman"/>
          <w:iCs/>
          <w:color w:val="000000"/>
          <w:sz w:val="24"/>
          <w:szCs w:val="24"/>
          <w:shd w:val="clear" w:color="auto" w:fill="FFFFFF"/>
        </w:rPr>
        <w:t xml:space="preserve"> pp. </w:t>
      </w:r>
      <w:r w:rsidR="008C417C" w:rsidRPr="000C4364">
        <w:rPr>
          <w:rFonts w:ascii="Times New Roman" w:hAnsi="Times New Roman" w:cs="Times New Roman"/>
          <w:iCs/>
          <w:color w:val="000000"/>
          <w:sz w:val="24"/>
          <w:szCs w:val="24"/>
          <w:shd w:val="clear" w:color="auto" w:fill="FFFFFF"/>
        </w:rPr>
        <w:t xml:space="preserve">2931-2943. </w:t>
      </w:r>
    </w:p>
    <w:p w:rsidR="006C16AA" w:rsidRPr="000C4364" w:rsidRDefault="008C417C" w:rsidP="008840DF">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Beck,</w:t>
      </w:r>
      <w:r w:rsidR="003F3DD1" w:rsidRPr="000C4364">
        <w:rPr>
          <w:rFonts w:ascii="Times New Roman" w:hAnsi="Times New Roman" w:cs="Times New Roman"/>
          <w:sz w:val="24"/>
          <w:szCs w:val="24"/>
        </w:rPr>
        <w:t xml:space="preserve"> T. and </w:t>
      </w:r>
      <w:proofErr w:type="spellStart"/>
      <w:r w:rsidR="003F3DD1" w:rsidRPr="000C4364">
        <w:rPr>
          <w:rFonts w:ascii="Times New Roman" w:hAnsi="Times New Roman" w:cs="Times New Roman"/>
          <w:sz w:val="24"/>
          <w:szCs w:val="24"/>
        </w:rPr>
        <w:t>Demirguc-Kunt</w:t>
      </w:r>
      <w:proofErr w:type="spellEnd"/>
      <w:r w:rsidR="003F3DD1" w:rsidRPr="000C4364">
        <w:rPr>
          <w:rFonts w:ascii="Times New Roman" w:hAnsi="Times New Roman" w:cs="Times New Roman"/>
          <w:sz w:val="24"/>
          <w:szCs w:val="24"/>
        </w:rPr>
        <w:t xml:space="preserve">, A. </w:t>
      </w:r>
      <w:r w:rsidR="00601FED" w:rsidRPr="000C4364">
        <w:rPr>
          <w:rFonts w:ascii="Times New Roman" w:hAnsi="Times New Roman" w:cs="Times New Roman"/>
          <w:sz w:val="24"/>
          <w:szCs w:val="24"/>
        </w:rPr>
        <w:t>(</w:t>
      </w:r>
      <w:r w:rsidR="003F3DD1" w:rsidRPr="000C4364">
        <w:rPr>
          <w:rFonts w:ascii="Times New Roman" w:hAnsi="Times New Roman" w:cs="Times New Roman"/>
          <w:sz w:val="24"/>
          <w:szCs w:val="24"/>
        </w:rPr>
        <w:t>2008</w:t>
      </w:r>
      <w:r w:rsidR="008840DF">
        <w:rPr>
          <w:rFonts w:ascii="Times New Roman" w:hAnsi="Times New Roman" w:cs="Times New Roman"/>
          <w:sz w:val="24"/>
          <w:szCs w:val="24"/>
        </w:rPr>
        <w:t>).</w:t>
      </w:r>
      <w:proofErr w:type="gramEnd"/>
      <w:r w:rsidR="008840DF">
        <w:rPr>
          <w:rFonts w:ascii="Times New Roman" w:hAnsi="Times New Roman" w:cs="Times New Roman"/>
          <w:sz w:val="24"/>
          <w:szCs w:val="24"/>
        </w:rPr>
        <w:t xml:space="preserve"> </w:t>
      </w:r>
      <w:r w:rsidRPr="000C4364">
        <w:rPr>
          <w:rFonts w:ascii="Times New Roman" w:hAnsi="Times New Roman" w:cs="Times New Roman"/>
          <w:sz w:val="24"/>
          <w:szCs w:val="24"/>
        </w:rPr>
        <w:t>Access to finance: An unfinished agenda</w:t>
      </w:r>
      <w:r w:rsidR="008840DF">
        <w:rPr>
          <w:rFonts w:ascii="Times New Roman" w:hAnsi="Times New Roman" w:cs="Times New Roman"/>
          <w:sz w:val="24"/>
          <w:szCs w:val="24"/>
        </w:rPr>
        <w:t>.</w:t>
      </w:r>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World Bank Economic Review</w:t>
      </w:r>
      <w:r w:rsidRPr="000C4364">
        <w:rPr>
          <w:rFonts w:ascii="Times New Roman" w:hAnsi="Times New Roman" w:cs="Times New Roman"/>
          <w:sz w:val="24"/>
          <w:szCs w:val="24"/>
        </w:rPr>
        <w:t>,</w:t>
      </w:r>
      <w:r w:rsidR="00601FED" w:rsidRPr="000C4364">
        <w:rPr>
          <w:rFonts w:ascii="Times New Roman" w:hAnsi="Times New Roman" w:cs="Times New Roman"/>
          <w:sz w:val="24"/>
          <w:szCs w:val="24"/>
        </w:rPr>
        <w:t xml:space="preserve"> </w:t>
      </w:r>
      <w:r w:rsidR="003F3DD1" w:rsidRPr="000C4364">
        <w:rPr>
          <w:rFonts w:ascii="Times New Roman" w:hAnsi="Times New Roman" w:cs="Times New Roman"/>
          <w:sz w:val="24"/>
          <w:szCs w:val="24"/>
        </w:rPr>
        <w:t>22</w:t>
      </w:r>
      <w:r w:rsidR="008840DF">
        <w:rPr>
          <w:rFonts w:ascii="Times New Roman" w:hAnsi="Times New Roman" w:cs="Times New Roman"/>
          <w:sz w:val="24"/>
          <w:szCs w:val="24"/>
        </w:rPr>
        <w:t>(</w:t>
      </w:r>
      <w:r w:rsidR="00601FED" w:rsidRPr="000C4364">
        <w:rPr>
          <w:rFonts w:ascii="Times New Roman" w:hAnsi="Times New Roman" w:cs="Times New Roman"/>
          <w:sz w:val="24"/>
          <w:szCs w:val="24"/>
        </w:rPr>
        <w:t>3</w:t>
      </w:r>
      <w:r w:rsidR="008840DF">
        <w:rPr>
          <w:rFonts w:ascii="Times New Roman" w:hAnsi="Times New Roman" w:cs="Times New Roman"/>
          <w:sz w:val="24"/>
          <w:szCs w:val="24"/>
        </w:rPr>
        <w:t>)</w:t>
      </w:r>
      <w:r w:rsidR="00601FED" w:rsidRPr="000C4364">
        <w:rPr>
          <w:rFonts w:ascii="Times New Roman" w:hAnsi="Times New Roman" w:cs="Times New Roman"/>
          <w:sz w:val="24"/>
          <w:szCs w:val="24"/>
        </w:rPr>
        <w:t>, pp.</w:t>
      </w:r>
      <w:r w:rsidRPr="000C4364">
        <w:rPr>
          <w:rFonts w:ascii="Times New Roman" w:hAnsi="Times New Roman" w:cs="Times New Roman"/>
          <w:sz w:val="24"/>
          <w:szCs w:val="24"/>
        </w:rPr>
        <w:t xml:space="preserve"> 383-396. </w:t>
      </w:r>
    </w:p>
    <w:p w:rsidR="006C16AA" w:rsidRPr="000C4364" w:rsidRDefault="003F3DD1" w:rsidP="008840DF">
      <w:p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 xml:space="preserve">Becker, G. S. </w:t>
      </w:r>
      <w:r w:rsidR="00601FED" w:rsidRPr="000C4364">
        <w:rPr>
          <w:rFonts w:ascii="Times New Roman" w:hAnsi="Times New Roman" w:cs="Times New Roman"/>
          <w:sz w:val="24"/>
          <w:szCs w:val="24"/>
        </w:rPr>
        <w:t>(</w:t>
      </w:r>
      <w:r w:rsidRPr="000C4364">
        <w:rPr>
          <w:rFonts w:ascii="Times New Roman" w:hAnsi="Times New Roman" w:cs="Times New Roman"/>
          <w:sz w:val="24"/>
          <w:szCs w:val="24"/>
        </w:rPr>
        <w:t>1968</w:t>
      </w:r>
      <w:r w:rsidR="008840DF">
        <w:rPr>
          <w:rFonts w:ascii="Times New Roman" w:hAnsi="Times New Roman" w:cs="Times New Roman"/>
          <w:sz w:val="24"/>
          <w:szCs w:val="24"/>
        </w:rPr>
        <w:t xml:space="preserve">). </w:t>
      </w:r>
      <w:r w:rsidR="008C417C" w:rsidRPr="000C4364">
        <w:rPr>
          <w:rFonts w:ascii="Times New Roman" w:hAnsi="Times New Roman" w:cs="Times New Roman"/>
          <w:sz w:val="24"/>
          <w:szCs w:val="24"/>
        </w:rPr>
        <w:t>Crime and punishment: An economic approach</w:t>
      </w:r>
      <w:r w:rsidR="008840DF">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Journal of Political Economy</w:t>
      </w:r>
      <w:r w:rsidR="00601FED" w:rsidRPr="000C4364">
        <w:rPr>
          <w:rFonts w:ascii="Times New Roman" w:hAnsi="Times New Roman" w:cs="Times New Roman"/>
          <w:sz w:val="24"/>
          <w:szCs w:val="24"/>
        </w:rPr>
        <w:t>,</w:t>
      </w:r>
      <w:r w:rsidRPr="000C4364">
        <w:rPr>
          <w:rFonts w:ascii="Times New Roman" w:hAnsi="Times New Roman" w:cs="Times New Roman"/>
          <w:sz w:val="24"/>
          <w:szCs w:val="24"/>
        </w:rPr>
        <w:t xml:space="preserve"> 76</w:t>
      </w:r>
      <w:r w:rsidR="008840DF">
        <w:rPr>
          <w:rFonts w:ascii="Times New Roman" w:hAnsi="Times New Roman" w:cs="Times New Roman"/>
          <w:sz w:val="24"/>
          <w:szCs w:val="24"/>
        </w:rPr>
        <w:t>(2),</w:t>
      </w:r>
      <w:r w:rsidR="008C417C" w:rsidRPr="000C4364">
        <w:rPr>
          <w:rFonts w:ascii="Times New Roman" w:hAnsi="Times New Roman" w:cs="Times New Roman"/>
          <w:sz w:val="24"/>
          <w:szCs w:val="24"/>
        </w:rPr>
        <w:t xml:space="preserve"> </w:t>
      </w:r>
      <w:r w:rsidR="00601FED" w:rsidRPr="000C4364">
        <w:rPr>
          <w:rFonts w:ascii="Times New Roman" w:hAnsi="Times New Roman" w:cs="Times New Roman"/>
          <w:sz w:val="24"/>
          <w:szCs w:val="24"/>
        </w:rPr>
        <w:t xml:space="preserve">pp. </w:t>
      </w:r>
      <w:r w:rsidR="008C417C" w:rsidRPr="000C4364">
        <w:rPr>
          <w:rFonts w:ascii="Times New Roman" w:hAnsi="Times New Roman" w:cs="Times New Roman"/>
          <w:sz w:val="24"/>
          <w:szCs w:val="24"/>
        </w:rPr>
        <w:t xml:space="preserve">637-653. </w:t>
      </w:r>
    </w:p>
    <w:p w:rsidR="006C16AA" w:rsidRPr="000C4364" w:rsidRDefault="00601FED" w:rsidP="008840DF">
      <w:pPr>
        <w:spacing w:after="0" w:line="480" w:lineRule="auto"/>
        <w:rPr>
          <w:rFonts w:ascii="Times New Roman" w:hAnsi="Times New Roman" w:cs="Times New Roman"/>
          <w:sz w:val="24"/>
          <w:szCs w:val="24"/>
        </w:rPr>
      </w:pPr>
      <w:proofErr w:type="gramStart"/>
      <w:r w:rsidRPr="000C4364">
        <w:rPr>
          <w:rFonts w:ascii="Times New Roman" w:hAnsi="Times New Roman" w:cs="Times New Roman"/>
          <w:bCs/>
          <w:sz w:val="24"/>
          <w:szCs w:val="24"/>
        </w:rPr>
        <w:t xml:space="preserve">Berger, A. N. and </w:t>
      </w:r>
      <w:proofErr w:type="spellStart"/>
      <w:r w:rsidR="003F3DD1" w:rsidRPr="000C4364">
        <w:rPr>
          <w:rFonts w:ascii="Times New Roman" w:hAnsi="Times New Roman" w:cs="Times New Roman"/>
          <w:bCs/>
          <w:sz w:val="24"/>
          <w:szCs w:val="24"/>
        </w:rPr>
        <w:t>Udell</w:t>
      </w:r>
      <w:proofErr w:type="spellEnd"/>
      <w:r w:rsidR="003F3DD1" w:rsidRPr="000C4364">
        <w:rPr>
          <w:rFonts w:ascii="Times New Roman" w:hAnsi="Times New Roman" w:cs="Times New Roman"/>
          <w:bCs/>
          <w:sz w:val="24"/>
          <w:szCs w:val="24"/>
        </w:rPr>
        <w:t xml:space="preserve">, G. F. </w:t>
      </w:r>
      <w:r w:rsidRPr="000C4364">
        <w:rPr>
          <w:rFonts w:ascii="Times New Roman" w:hAnsi="Times New Roman" w:cs="Times New Roman"/>
          <w:bCs/>
          <w:sz w:val="24"/>
          <w:szCs w:val="24"/>
        </w:rPr>
        <w:t>(</w:t>
      </w:r>
      <w:r w:rsidR="003F3DD1" w:rsidRPr="000C4364">
        <w:rPr>
          <w:rFonts w:ascii="Times New Roman" w:hAnsi="Times New Roman" w:cs="Times New Roman"/>
          <w:bCs/>
          <w:sz w:val="24"/>
          <w:szCs w:val="24"/>
        </w:rPr>
        <w:t>1998</w:t>
      </w:r>
      <w:r w:rsidR="008840DF">
        <w:rPr>
          <w:rFonts w:ascii="Times New Roman" w:hAnsi="Times New Roman" w:cs="Times New Roman"/>
          <w:bCs/>
          <w:sz w:val="24"/>
          <w:szCs w:val="24"/>
        </w:rPr>
        <w:t>).</w:t>
      </w:r>
      <w:proofErr w:type="gramEnd"/>
      <w:r w:rsidR="008C417C" w:rsidRPr="000C4364">
        <w:rPr>
          <w:rFonts w:ascii="Times New Roman" w:hAnsi="Times New Roman" w:cs="Times New Roman"/>
          <w:sz w:val="24"/>
          <w:szCs w:val="24"/>
        </w:rPr>
        <w:t xml:space="preserve"> The Economics of small business finance: The role of private equity and debt market</w:t>
      </w:r>
      <w:r w:rsidR="008840DF">
        <w:rPr>
          <w:rFonts w:ascii="Times New Roman" w:hAnsi="Times New Roman" w:cs="Times New Roman"/>
          <w:sz w:val="24"/>
          <w:szCs w:val="24"/>
        </w:rPr>
        <w:t>s in the financial growth cycle.</w:t>
      </w:r>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Journal of Banking and Finance</w:t>
      </w:r>
      <w:r w:rsidR="008C417C" w:rsidRPr="000C4364">
        <w:rPr>
          <w:rFonts w:ascii="Times New Roman" w:hAnsi="Times New Roman" w:cs="Times New Roman"/>
          <w:sz w:val="24"/>
          <w:szCs w:val="24"/>
        </w:rPr>
        <w:t>,</w:t>
      </w:r>
      <w:r w:rsidR="008C417C" w:rsidRPr="000C4364">
        <w:rPr>
          <w:rFonts w:ascii="Times New Roman" w:hAnsi="Times New Roman" w:cs="Times New Roman"/>
          <w:i/>
          <w:sz w:val="24"/>
          <w:szCs w:val="24"/>
        </w:rPr>
        <w:t xml:space="preserve"> </w:t>
      </w:r>
      <w:r w:rsidRPr="000C4364">
        <w:rPr>
          <w:rFonts w:ascii="Times New Roman" w:hAnsi="Times New Roman" w:cs="Times New Roman"/>
          <w:sz w:val="24"/>
          <w:szCs w:val="24"/>
        </w:rPr>
        <w:t>68</w:t>
      </w:r>
      <w:r w:rsidR="008840DF">
        <w:rPr>
          <w:rFonts w:ascii="Times New Roman" w:hAnsi="Times New Roman" w:cs="Times New Roman"/>
          <w:sz w:val="24"/>
          <w:szCs w:val="24"/>
        </w:rPr>
        <w:t>(</w:t>
      </w:r>
      <w:r w:rsidRPr="000C4364">
        <w:rPr>
          <w:rFonts w:ascii="Times New Roman" w:hAnsi="Times New Roman" w:cs="Times New Roman"/>
          <w:sz w:val="24"/>
          <w:szCs w:val="24"/>
        </w:rPr>
        <w:t>6</w:t>
      </w:r>
      <w:proofErr w:type="gramStart"/>
      <w:r w:rsidR="008840DF">
        <w:rPr>
          <w:rFonts w:ascii="Times New Roman" w:hAnsi="Times New Roman" w:cs="Times New Roman"/>
          <w:sz w:val="24"/>
          <w:szCs w:val="24"/>
        </w:rPr>
        <w:t>)</w:t>
      </w:r>
      <w:r w:rsidRPr="000C4364">
        <w:rPr>
          <w:rFonts w:ascii="Times New Roman" w:hAnsi="Times New Roman" w:cs="Times New Roman"/>
          <w:sz w:val="24"/>
          <w:szCs w:val="24"/>
        </w:rPr>
        <w:t xml:space="preserve"> ,</w:t>
      </w:r>
      <w:proofErr w:type="gramEnd"/>
      <w:r w:rsidRPr="000C4364">
        <w:rPr>
          <w:rFonts w:ascii="Times New Roman" w:hAnsi="Times New Roman" w:cs="Times New Roman"/>
          <w:sz w:val="24"/>
          <w:szCs w:val="24"/>
        </w:rPr>
        <w:t xml:space="preserve"> pp.</w:t>
      </w:r>
      <w:r w:rsidR="008C417C" w:rsidRPr="000C4364">
        <w:rPr>
          <w:rFonts w:ascii="Times New Roman" w:hAnsi="Times New Roman" w:cs="Times New Roman"/>
          <w:sz w:val="24"/>
          <w:szCs w:val="24"/>
        </w:rPr>
        <w:t xml:space="preserve"> 613-673. </w:t>
      </w:r>
    </w:p>
    <w:p w:rsidR="006C16AA" w:rsidRPr="000C4364" w:rsidRDefault="008C417C" w:rsidP="008840DF">
      <w:pPr>
        <w:spacing w:after="0" w:line="480" w:lineRule="auto"/>
        <w:rPr>
          <w:rFonts w:ascii="Times New Roman" w:hAnsi="Times New Roman" w:cs="Times New Roman"/>
          <w:color w:val="333333"/>
          <w:sz w:val="24"/>
          <w:szCs w:val="24"/>
        </w:rPr>
      </w:pPr>
      <w:proofErr w:type="gramStart"/>
      <w:r w:rsidRPr="000C4364">
        <w:rPr>
          <w:rFonts w:ascii="Times New Roman" w:hAnsi="Times New Roman" w:cs="Times New Roman"/>
          <w:sz w:val="24"/>
          <w:szCs w:val="24"/>
        </w:rPr>
        <w:t xml:space="preserve">Berger, A., </w:t>
      </w:r>
      <w:proofErr w:type="spellStart"/>
      <w:r w:rsidRPr="000C4364">
        <w:rPr>
          <w:rFonts w:ascii="Times New Roman" w:hAnsi="Times New Roman" w:cs="Times New Roman"/>
          <w:sz w:val="24"/>
          <w:szCs w:val="24"/>
        </w:rPr>
        <w:t>Kl</w:t>
      </w:r>
      <w:r w:rsidR="008840DF">
        <w:rPr>
          <w:rFonts w:ascii="Times New Roman" w:hAnsi="Times New Roman" w:cs="Times New Roman"/>
          <w:sz w:val="24"/>
          <w:szCs w:val="24"/>
        </w:rPr>
        <w:t>apper</w:t>
      </w:r>
      <w:proofErr w:type="spellEnd"/>
      <w:r w:rsidR="008840DF">
        <w:rPr>
          <w:rFonts w:ascii="Times New Roman" w:hAnsi="Times New Roman" w:cs="Times New Roman"/>
          <w:sz w:val="24"/>
          <w:szCs w:val="24"/>
        </w:rPr>
        <w:t xml:space="preserve">, L. and </w:t>
      </w:r>
      <w:proofErr w:type="spellStart"/>
      <w:r w:rsidR="008840DF">
        <w:rPr>
          <w:rFonts w:ascii="Times New Roman" w:hAnsi="Times New Roman" w:cs="Times New Roman"/>
          <w:sz w:val="24"/>
          <w:szCs w:val="24"/>
        </w:rPr>
        <w:t>Udell</w:t>
      </w:r>
      <w:proofErr w:type="spellEnd"/>
      <w:r w:rsidR="008840DF">
        <w:rPr>
          <w:rFonts w:ascii="Times New Roman" w:hAnsi="Times New Roman" w:cs="Times New Roman"/>
          <w:sz w:val="24"/>
          <w:szCs w:val="24"/>
        </w:rPr>
        <w:t>, G. (2001).</w:t>
      </w:r>
      <w:proofErr w:type="gramEnd"/>
      <w:r w:rsidR="008840DF">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The ability of banks to lend to informationa</w:t>
      </w:r>
      <w:r w:rsidR="008840DF">
        <w:rPr>
          <w:rFonts w:ascii="Times New Roman" w:hAnsi="Times New Roman" w:cs="Times New Roman"/>
          <w:sz w:val="24"/>
          <w:szCs w:val="24"/>
        </w:rPr>
        <w:t>lly opaque firms.</w:t>
      </w:r>
      <w:proofErr w:type="gramEnd"/>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Journal of Banking and Finance</w:t>
      </w:r>
      <w:r w:rsidRPr="000C4364">
        <w:rPr>
          <w:rFonts w:ascii="Times New Roman" w:hAnsi="Times New Roman" w:cs="Times New Roman"/>
          <w:sz w:val="24"/>
          <w:szCs w:val="24"/>
        </w:rPr>
        <w:t xml:space="preserve">, </w:t>
      </w:r>
      <w:r w:rsidR="003F3DD1" w:rsidRPr="000C4364">
        <w:rPr>
          <w:rFonts w:ascii="Times New Roman" w:hAnsi="Times New Roman" w:cs="Times New Roman"/>
          <w:sz w:val="24"/>
          <w:szCs w:val="24"/>
        </w:rPr>
        <w:t>25</w:t>
      </w:r>
      <w:r w:rsidR="008840DF">
        <w:rPr>
          <w:rFonts w:ascii="Times New Roman" w:hAnsi="Times New Roman" w:cs="Times New Roman"/>
          <w:sz w:val="24"/>
          <w:szCs w:val="24"/>
        </w:rPr>
        <w:t>(12)</w:t>
      </w:r>
      <w:r w:rsidR="00601FED" w:rsidRPr="000C4364">
        <w:rPr>
          <w:rFonts w:ascii="Times New Roman" w:hAnsi="Times New Roman" w:cs="Times New Roman"/>
          <w:sz w:val="24"/>
          <w:szCs w:val="24"/>
        </w:rPr>
        <w:t xml:space="preserve">, pp. </w:t>
      </w:r>
      <w:r w:rsidRPr="000C4364">
        <w:rPr>
          <w:rFonts w:ascii="Times New Roman" w:hAnsi="Times New Roman" w:cs="Times New Roman"/>
          <w:sz w:val="24"/>
          <w:szCs w:val="24"/>
        </w:rPr>
        <w:t>2127-2167</w:t>
      </w:r>
      <w:r w:rsidRPr="000C4364">
        <w:rPr>
          <w:rFonts w:ascii="Times New Roman" w:hAnsi="Times New Roman" w:cs="Times New Roman"/>
          <w:color w:val="333333"/>
          <w:sz w:val="24"/>
          <w:szCs w:val="24"/>
        </w:rPr>
        <w:t>.</w:t>
      </w:r>
    </w:p>
    <w:p w:rsidR="00002421" w:rsidRPr="000C4364" w:rsidRDefault="00002421" w:rsidP="008840DF">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lastRenderedPageBreak/>
        <w:t xml:space="preserve">Blackburn, </w:t>
      </w:r>
      <w:r w:rsidR="00601FED" w:rsidRPr="000C4364">
        <w:rPr>
          <w:rFonts w:ascii="Times New Roman" w:hAnsi="Times New Roman" w:cs="Times New Roman"/>
          <w:sz w:val="24"/>
          <w:szCs w:val="24"/>
        </w:rPr>
        <w:t>K. and</w:t>
      </w:r>
      <w:r w:rsidRPr="000C4364">
        <w:rPr>
          <w:rFonts w:ascii="Times New Roman" w:hAnsi="Times New Roman" w:cs="Times New Roman"/>
          <w:sz w:val="24"/>
          <w:szCs w:val="24"/>
        </w:rPr>
        <w:t xml:space="preserve"> </w:t>
      </w:r>
      <w:proofErr w:type="spellStart"/>
      <w:r w:rsidRPr="000C4364">
        <w:rPr>
          <w:rFonts w:ascii="Times New Roman" w:hAnsi="Times New Roman" w:cs="Times New Roman"/>
          <w:sz w:val="24"/>
          <w:szCs w:val="24"/>
        </w:rPr>
        <w:t>Forgues-Puccio</w:t>
      </w:r>
      <w:proofErr w:type="spellEnd"/>
      <w:r w:rsidRPr="000C4364">
        <w:rPr>
          <w:rFonts w:ascii="Times New Roman" w:hAnsi="Times New Roman" w:cs="Times New Roman"/>
          <w:sz w:val="24"/>
          <w:szCs w:val="24"/>
        </w:rPr>
        <w:t xml:space="preserve">, G. </w:t>
      </w:r>
      <w:r w:rsidR="00601FED" w:rsidRPr="000C4364">
        <w:rPr>
          <w:rFonts w:ascii="Times New Roman" w:hAnsi="Times New Roman" w:cs="Times New Roman"/>
          <w:sz w:val="24"/>
          <w:szCs w:val="24"/>
        </w:rPr>
        <w:t>(</w:t>
      </w:r>
      <w:r w:rsidRPr="000C4364">
        <w:rPr>
          <w:rFonts w:ascii="Times New Roman" w:hAnsi="Times New Roman" w:cs="Times New Roman"/>
          <w:sz w:val="24"/>
          <w:szCs w:val="24"/>
        </w:rPr>
        <w:t>2009</w:t>
      </w:r>
      <w:r w:rsidR="008840DF">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Why is corruption less harmful in some countries than in others? </w:t>
      </w:r>
      <w:r w:rsidRPr="000C4364">
        <w:rPr>
          <w:rFonts w:ascii="Times New Roman" w:hAnsi="Times New Roman" w:cs="Times New Roman"/>
          <w:i/>
          <w:sz w:val="24"/>
          <w:szCs w:val="24"/>
        </w:rPr>
        <w:t xml:space="preserve">Journal of Economic </w:t>
      </w:r>
      <w:proofErr w:type="spellStart"/>
      <w:r w:rsidRPr="000C4364">
        <w:rPr>
          <w:rFonts w:ascii="Times New Roman" w:hAnsi="Times New Roman" w:cs="Times New Roman"/>
          <w:i/>
          <w:sz w:val="24"/>
          <w:szCs w:val="24"/>
        </w:rPr>
        <w:t>Behavior</w:t>
      </w:r>
      <w:proofErr w:type="spellEnd"/>
      <w:r w:rsidRPr="000C4364">
        <w:rPr>
          <w:rFonts w:ascii="Times New Roman" w:hAnsi="Times New Roman" w:cs="Times New Roman"/>
          <w:i/>
          <w:sz w:val="24"/>
          <w:szCs w:val="24"/>
        </w:rPr>
        <w:t xml:space="preserve"> and Organization</w:t>
      </w:r>
      <w:r w:rsidR="00601FED" w:rsidRPr="000C4364">
        <w:rPr>
          <w:rFonts w:ascii="Times New Roman" w:hAnsi="Times New Roman" w:cs="Times New Roman"/>
          <w:sz w:val="24"/>
          <w:szCs w:val="24"/>
        </w:rPr>
        <w:t>,</w:t>
      </w:r>
      <w:r w:rsidRPr="000C4364">
        <w:rPr>
          <w:rFonts w:ascii="Times New Roman" w:hAnsi="Times New Roman" w:cs="Times New Roman"/>
          <w:sz w:val="24"/>
          <w:szCs w:val="24"/>
        </w:rPr>
        <w:t xml:space="preserve"> </w:t>
      </w:r>
      <w:r w:rsidR="008840DF">
        <w:rPr>
          <w:rFonts w:ascii="Times New Roman" w:hAnsi="Times New Roman" w:cs="Times New Roman"/>
          <w:sz w:val="24"/>
          <w:szCs w:val="24"/>
        </w:rPr>
        <w:t>72(</w:t>
      </w:r>
      <w:r w:rsidR="00601FED" w:rsidRPr="000C4364">
        <w:rPr>
          <w:rFonts w:ascii="Times New Roman" w:hAnsi="Times New Roman" w:cs="Times New Roman"/>
          <w:sz w:val="24"/>
          <w:szCs w:val="24"/>
        </w:rPr>
        <w:t>3</w:t>
      </w:r>
      <w:r w:rsidR="008840DF">
        <w:rPr>
          <w:rFonts w:ascii="Times New Roman" w:hAnsi="Times New Roman" w:cs="Times New Roman"/>
          <w:sz w:val="24"/>
          <w:szCs w:val="24"/>
        </w:rPr>
        <w:t>)</w:t>
      </w:r>
      <w:r w:rsidR="00601FED" w:rsidRPr="000C4364">
        <w:rPr>
          <w:rFonts w:ascii="Times New Roman" w:hAnsi="Times New Roman" w:cs="Times New Roman"/>
          <w:sz w:val="24"/>
          <w:szCs w:val="24"/>
        </w:rPr>
        <w:t>, pp.</w:t>
      </w:r>
      <w:r w:rsidRPr="000C4364">
        <w:rPr>
          <w:rFonts w:ascii="Times New Roman" w:hAnsi="Times New Roman" w:cs="Times New Roman"/>
          <w:sz w:val="24"/>
          <w:szCs w:val="24"/>
        </w:rPr>
        <w:t xml:space="preserve"> 797-810. </w:t>
      </w:r>
    </w:p>
    <w:p w:rsidR="006C16AA" w:rsidRPr="000C4364" w:rsidRDefault="008C417C" w:rsidP="008840DF">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Blanch</w:t>
      </w:r>
      <w:r w:rsidR="00A865A7" w:rsidRPr="000C4364">
        <w:rPr>
          <w:rFonts w:ascii="Times New Roman" w:hAnsi="Times New Roman" w:cs="Times New Roman"/>
          <w:sz w:val="24"/>
          <w:szCs w:val="24"/>
        </w:rPr>
        <w:t>flower</w:t>
      </w:r>
      <w:proofErr w:type="spellEnd"/>
      <w:r w:rsidR="00A865A7" w:rsidRPr="000C4364">
        <w:rPr>
          <w:rFonts w:ascii="Times New Roman" w:hAnsi="Times New Roman" w:cs="Times New Roman"/>
          <w:sz w:val="24"/>
          <w:szCs w:val="24"/>
        </w:rPr>
        <w:t>, D. G., Levin</w:t>
      </w:r>
      <w:r w:rsidR="00601FED" w:rsidRPr="000C4364">
        <w:rPr>
          <w:rFonts w:ascii="Times New Roman" w:hAnsi="Times New Roman" w:cs="Times New Roman"/>
          <w:sz w:val="24"/>
          <w:szCs w:val="24"/>
        </w:rPr>
        <w:t xml:space="preserve">e, P. B. and </w:t>
      </w:r>
      <w:r w:rsidR="00A865A7" w:rsidRPr="000C4364">
        <w:rPr>
          <w:rFonts w:ascii="Times New Roman" w:hAnsi="Times New Roman" w:cs="Times New Roman"/>
          <w:sz w:val="24"/>
          <w:szCs w:val="24"/>
        </w:rPr>
        <w:t xml:space="preserve">Zimmerman, D. J. </w:t>
      </w:r>
      <w:r w:rsidR="00601FED" w:rsidRPr="000C4364">
        <w:rPr>
          <w:rFonts w:ascii="Times New Roman" w:hAnsi="Times New Roman" w:cs="Times New Roman"/>
          <w:sz w:val="24"/>
          <w:szCs w:val="24"/>
        </w:rPr>
        <w:t>(</w:t>
      </w:r>
      <w:r w:rsidR="00A865A7" w:rsidRPr="000C4364">
        <w:rPr>
          <w:rFonts w:ascii="Times New Roman" w:hAnsi="Times New Roman" w:cs="Times New Roman"/>
          <w:sz w:val="24"/>
          <w:szCs w:val="24"/>
        </w:rPr>
        <w:t>2003</w:t>
      </w:r>
      <w:r w:rsidR="008840DF">
        <w:rPr>
          <w:rFonts w:ascii="Times New Roman" w:hAnsi="Times New Roman" w:cs="Times New Roman"/>
          <w:sz w:val="24"/>
          <w:szCs w:val="24"/>
        </w:rPr>
        <w:t>).</w:t>
      </w:r>
      <w:proofErr w:type="gramEnd"/>
      <w:r w:rsidR="008840DF">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Discrimination in t</w:t>
      </w:r>
      <w:r w:rsidR="008840DF">
        <w:rPr>
          <w:rFonts w:ascii="Times New Roman" w:hAnsi="Times New Roman" w:cs="Times New Roman"/>
          <w:sz w:val="24"/>
          <w:szCs w:val="24"/>
        </w:rPr>
        <w:t>he small-business credit market.</w:t>
      </w:r>
      <w:proofErr w:type="gramEnd"/>
      <w:r w:rsidR="00601FED" w:rsidRPr="000C4364">
        <w:rPr>
          <w:rFonts w:ascii="Times New Roman" w:hAnsi="Times New Roman" w:cs="Times New Roman"/>
          <w:sz w:val="24"/>
          <w:szCs w:val="24"/>
        </w:rPr>
        <w:t xml:space="preserve"> </w:t>
      </w:r>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 xml:space="preserve">Review of Economics and Statistics, </w:t>
      </w:r>
      <w:r w:rsidR="00A865A7" w:rsidRPr="000C4364">
        <w:rPr>
          <w:rFonts w:ascii="Times New Roman" w:hAnsi="Times New Roman" w:cs="Times New Roman"/>
          <w:sz w:val="24"/>
          <w:szCs w:val="24"/>
        </w:rPr>
        <w:t>85</w:t>
      </w:r>
      <w:r w:rsidR="008840DF">
        <w:rPr>
          <w:rFonts w:ascii="Times New Roman" w:hAnsi="Times New Roman" w:cs="Times New Roman"/>
          <w:sz w:val="24"/>
          <w:szCs w:val="24"/>
        </w:rPr>
        <w:t>(</w:t>
      </w:r>
      <w:r w:rsidR="00622316" w:rsidRPr="000C4364">
        <w:rPr>
          <w:rFonts w:ascii="Times New Roman" w:hAnsi="Times New Roman" w:cs="Times New Roman"/>
          <w:sz w:val="24"/>
          <w:szCs w:val="24"/>
        </w:rPr>
        <w:t>4</w:t>
      </w:r>
      <w:r w:rsidR="008840DF">
        <w:rPr>
          <w:rFonts w:ascii="Times New Roman" w:hAnsi="Times New Roman" w:cs="Times New Roman"/>
          <w:sz w:val="24"/>
          <w:szCs w:val="24"/>
        </w:rPr>
        <w:t>)</w:t>
      </w:r>
      <w:r w:rsidR="00601FED" w:rsidRPr="000C4364">
        <w:rPr>
          <w:rFonts w:ascii="Times New Roman" w:hAnsi="Times New Roman" w:cs="Times New Roman"/>
          <w:sz w:val="24"/>
          <w:szCs w:val="24"/>
        </w:rPr>
        <w:t>, pp.</w:t>
      </w:r>
      <w:r w:rsidRPr="000C4364">
        <w:rPr>
          <w:rFonts w:ascii="Times New Roman" w:hAnsi="Times New Roman" w:cs="Times New Roman"/>
          <w:sz w:val="24"/>
          <w:szCs w:val="24"/>
        </w:rPr>
        <w:t xml:space="preserve"> 930-943. </w:t>
      </w:r>
    </w:p>
    <w:p w:rsidR="006C16AA" w:rsidRPr="000C4364" w:rsidRDefault="008C417C" w:rsidP="008840DF">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Bonin, J., Hasan, I</w:t>
      </w:r>
      <w:r w:rsidR="008840AD" w:rsidRPr="000C4364">
        <w:rPr>
          <w:rFonts w:ascii="Times New Roman" w:hAnsi="Times New Roman" w:cs="Times New Roman"/>
          <w:sz w:val="24"/>
          <w:szCs w:val="24"/>
        </w:rPr>
        <w:t>.</w:t>
      </w:r>
      <w:r w:rsidR="00622316" w:rsidRPr="000C4364">
        <w:rPr>
          <w:rFonts w:ascii="Times New Roman" w:hAnsi="Times New Roman" w:cs="Times New Roman"/>
          <w:sz w:val="24"/>
          <w:szCs w:val="24"/>
        </w:rPr>
        <w:t xml:space="preserve"> and </w:t>
      </w:r>
      <w:proofErr w:type="spellStart"/>
      <w:r w:rsidR="00A865A7" w:rsidRPr="000C4364">
        <w:rPr>
          <w:rFonts w:ascii="Times New Roman" w:hAnsi="Times New Roman" w:cs="Times New Roman"/>
          <w:sz w:val="24"/>
          <w:szCs w:val="24"/>
        </w:rPr>
        <w:t>Wachtel</w:t>
      </w:r>
      <w:proofErr w:type="spellEnd"/>
      <w:r w:rsidR="00A865A7" w:rsidRPr="000C4364">
        <w:rPr>
          <w:rFonts w:ascii="Times New Roman" w:hAnsi="Times New Roman" w:cs="Times New Roman"/>
          <w:sz w:val="24"/>
          <w:szCs w:val="24"/>
        </w:rPr>
        <w:t xml:space="preserve">, P. </w:t>
      </w:r>
      <w:r w:rsidR="00622316" w:rsidRPr="000C4364">
        <w:rPr>
          <w:rFonts w:ascii="Times New Roman" w:hAnsi="Times New Roman" w:cs="Times New Roman"/>
          <w:sz w:val="24"/>
          <w:szCs w:val="24"/>
        </w:rPr>
        <w:t>(</w:t>
      </w:r>
      <w:r w:rsidR="00A865A7" w:rsidRPr="000C4364">
        <w:rPr>
          <w:rFonts w:ascii="Times New Roman" w:hAnsi="Times New Roman" w:cs="Times New Roman"/>
          <w:sz w:val="24"/>
          <w:szCs w:val="24"/>
        </w:rPr>
        <w:t>2015</w:t>
      </w:r>
      <w:r w:rsidR="008840DF">
        <w:rPr>
          <w:rFonts w:ascii="Times New Roman" w:hAnsi="Times New Roman" w:cs="Times New Roman"/>
          <w:sz w:val="24"/>
          <w:szCs w:val="24"/>
        </w:rPr>
        <w:t>).</w:t>
      </w:r>
      <w:proofErr w:type="gramEnd"/>
      <w:r w:rsidR="008840DF">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Banking in Transition Countries</w:t>
      </w:r>
      <w:r w:rsidR="008840DF">
        <w:rPr>
          <w:rFonts w:ascii="Times New Roman" w:hAnsi="Times New Roman" w:cs="Times New Roman"/>
          <w:sz w:val="24"/>
          <w:szCs w:val="24"/>
        </w:rPr>
        <w:t>.</w:t>
      </w:r>
      <w:proofErr w:type="gramEnd"/>
      <w:r w:rsidR="00622316" w:rsidRPr="000C4364">
        <w:rPr>
          <w:rFonts w:ascii="Times New Roman" w:hAnsi="Times New Roman" w:cs="Times New Roman"/>
          <w:sz w:val="24"/>
          <w:szCs w:val="24"/>
        </w:rPr>
        <w:t xml:space="preserve"> </w:t>
      </w:r>
      <w:proofErr w:type="gramStart"/>
      <w:r w:rsidR="00622316" w:rsidRPr="000C4364">
        <w:rPr>
          <w:rFonts w:ascii="Times New Roman" w:hAnsi="Times New Roman" w:cs="Times New Roman"/>
          <w:sz w:val="24"/>
          <w:szCs w:val="24"/>
        </w:rPr>
        <w:t>i</w:t>
      </w:r>
      <w:r w:rsidRPr="000C4364">
        <w:rPr>
          <w:rFonts w:ascii="Times New Roman" w:hAnsi="Times New Roman" w:cs="Times New Roman"/>
          <w:sz w:val="24"/>
          <w:szCs w:val="24"/>
        </w:rPr>
        <w:t>n</w:t>
      </w:r>
      <w:proofErr w:type="gramEnd"/>
      <w:r w:rsidR="00622316" w:rsidRPr="000C4364">
        <w:rPr>
          <w:rFonts w:ascii="Times New Roman" w:hAnsi="Times New Roman" w:cs="Times New Roman"/>
          <w:sz w:val="24"/>
          <w:szCs w:val="24"/>
        </w:rPr>
        <w:t xml:space="preserve"> </w:t>
      </w:r>
      <w:r w:rsidRPr="000C4364">
        <w:rPr>
          <w:rFonts w:ascii="Times New Roman" w:hAnsi="Times New Roman" w:cs="Times New Roman"/>
          <w:sz w:val="24"/>
          <w:szCs w:val="24"/>
        </w:rPr>
        <w:t>Berger,</w:t>
      </w:r>
      <w:r w:rsidR="00622316" w:rsidRPr="000C4364">
        <w:rPr>
          <w:rFonts w:ascii="Times New Roman" w:hAnsi="Times New Roman" w:cs="Times New Roman"/>
          <w:sz w:val="24"/>
          <w:szCs w:val="24"/>
        </w:rPr>
        <w:t xml:space="preserve"> A., </w:t>
      </w:r>
      <w:proofErr w:type="spellStart"/>
      <w:r w:rsidRPr="000C4364">
        <w:rPr>
          <w:rFonts w:ascii="Times New Roman" w:hAnsi="Times New Roman" w:cs="Times New Roman"/>
          <w:sz w:val="24"/>
          <w:szCs w:val="24"/>
        </w:rPr>
        <w:t>Molyneux</w:t>
      </w:r>
      <w:proofErr w:type="spellEnd"/>
      <w:r w:rsidRPr="000C4364">
        <w:rPr>
          <w:rFonts w:ascii="Times New Roman" w:hAnsi="Times New Roman" w:cs="Times New Roman"/>
          <w:sz w:val="24"/>
          <w:szCs w:val="24"/>
        </w:rPr>
        <w:t>,</w:t>
      </w:r>
      <w:r w:rsidR="00622316" w:rsidRPr="000C4364">
        <w:rPr>
          <w:rFonts w:ascii="Times New Roman" w:hAnsi="Times New Roman" w:cs="Times New Roman"/>
          <w:sz w:val="24"/>
          <w:szCs w:val="24"/>
        </w:rPr>
        <w:t xml:space="preserve"> P. and</w:t>
      </w:r>
      <w:r w:rsidRPr="000C4364">
        <w:rPr>
          <w:rFonts w:ascii="Times New Roman" w:hAnsi="Times New Roman" w:cs="Times New Roman"/>
          <w:sz w:val="24"/>
          <w:szCs w:val="24"/>
        </w:rPr>
        <w:t xml:space="preserve"> Wilson</w:t>
      </w:r>
      <w:r w:rsidR="00A865A7" w:rsidRPr="000C4364">
        <w:rPr>
          <w:rFonts w:ascii="Times New Roman" w:hAnsi="Times New Roman" w:cs="Times New Roman"/>
          <w:sz w:val="24"/>
          <w:szCs w:val="24"/>
        </w:rPr>
        <w:t>, J.</w:t>
      </w:r>
      <w:r w:rsidRPr="000C4364">
        <w:rPr>
          <w:rFonts w:ascii="Times New Roman" w:hAnsi="Times New Roman" w:cs="Times New Roman"/>
          <w:sz w:val="24"/>
          <w:szCs w:val="24"/>
        </w:rPr>
        <w:t xml:space="preserve"> (Eds</w:t>
      </w:r>
      <w:r w:rsidR="00622316" w:rsidRPr="000C4364">
        <w:rPr>
          <w:rFonts w:ascii="Times New Roman" w:hAnsi="Times New Roman" w:cs="Times New Roman"/>
          <w:sz w:val="24"/>
          <w:szCs w:val="24"/>
        </w:rPr>
        <w:t xml:space="preserve">.), </w:t>
      </w:r>
      <w:r w:rsidRPr="000C4364">
        <w:rPr>
          <w:rFonts w:ascii="Times New Roman" w:hAnsi="Times New Roman" w:cs="Times New Roman"/>
          <w:i/>
          <w:iCs/>
          <w:sz w:val="24"/>
          <w:szCs w:val="24"/>
        </w:rPr>
        <w:t>The Oxford Handbook of Banking</w:t>
      </w:r>
      <w:r w:rsidR="008840DF">
        <w:rPr>
          <w:rFonts w:ascii="Times New Roman" w:hAnsi="Times New Roman" w:cs="Times New Roman"/>
          <w:i/>
          <w:iCs/>
          <w:sz w:val="24"/>
          <w:szCs w:val="24"/>
        </w:rPr>
        <w:t xml:space="preserve"> (</w:t>
      </w:r>
      <w:r w:rsidR="008840DF" w:rsidRPr="000C4364">
        <w:rPr>
          <w:rFonts w:ascii="Times New Roman" w:hAnsi="Times New Roman" w:cs="Times New Roman"/>
          <w:sz w:val="24"/>
          <w:szCs w:val="24"/>
        </w:rPr>
        <w:t>pp. 963-984</w:t>
      </w:r>
      <w:r w:rsidR="008840DF">
        <w:rPr>
          <w:rFonts w:ascii="Times New Roman" w:hAnsi="Times New Roman" w:cs="Times New Roman"/>
          <w:i/>
          <w:iCs/>
          <w:sz w:val="24"/>
          <w:szCs w:val="24"/>
        </w:rPr>
        <w:t>)</w:t>
      </w:r>
      <w:r w:rsidR="00622316" w:rsidRPr="000C4364">
        <w:rPr>
          <w:rFonts w:ascii="Times New Roman" w:hAnsi="Times New Roman" w:cs="Times New Roman"/>
          <w:sz w:val="24"/>
          <w:szCs w:val="24"/>
        </w:rPr>
        <w:t>,</w:t>
      </w:r>
      <w:r w:rsidRPr="000C4364">
        <w:rPr>
          <w:rFonts w:ascii="Times New Roman" w:hAnsi="Times New Roman" w:cs="Times New Roman"/>
          <w:sz w:val="24"/>
          <w:szCs w:val="24"/>
        </w:rPr>
        <w:t xml:space="preserve"> Oxford: Oxford University Press.</w:t>
      </w:r>
    </w:p>
    <w:p w:rsidR="006C16AA" w:rsidRPr="000C4364" w:rsidRDefault="008C417C" w:rsidP="008840DF">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Boubakri</w:t>
      </w:r>
      <w:proofErr w:type="spellEnd"/>
      <w:r w:rsidRPr="000C4364">
        <w:rPr>
          <w:rFonts w:ascii="Times New Roman" w:hAnsi="Times New Roman" w:cs="Times New Roman"/>
          <w:sz w:val="24"/>
          <w:szCs w:val="24"/>
        </w:rPr>
        <w:t xml:space="preserve">, N., </w:t>
      </w:r>
      <w:proofErr w:type="spellStart"/>
      <w:r w:rsidRPr="000C4364">
        <w:rPr>
          <w:rFonts w:ascii="Times New Roman" w:hAnsi="Times New Roman" w:cs="Times New Roman"/>
          <w:sz w:val="24"/>
          <w:szCs w:val="24"/>
        </w:rPr>
        <w:t>Guedhami</w:t>
      </w:r>
      <w:proofErr w:type="spellEnd"/>
      <w:r w:rsidRPr="000C4364">
        <w:rPr>
          <w:rFonts w:ascii="Times New Roman" w:hAnsi="Times New Roman" w:cs="Times New Roman"/>
          <w:sz w:val="24"/>
          <w:szCs w:val="24"/>
        </w:rPr>
        <w:t>,</w:t>
      </w:r>
      <w:r w:rsidR="008E3F5D" w:rsidRPr="000C4364">
        <w:rPr>
          <w:rFonts w:ascii="Times New Roman" w:hAnsi="Times New Roman" w:cs="Times New Roman"/>
          <w:sz w:val="24"/>
          <w:szCs w:val="24"/>
        </w:rPr>
        <w:t xml:space="preserve"> O., Mishra, D. and</w:t>
      </w:r>
      <w:r w:rsidR="00A865A7" w:rsidRPr="000C4364">
        <w:rPr>
          <w:rFonts w:ascii="Times New Roman" w:hAnsi="Times New Roman" w:cs="Times New Roman"/>
          <w:sz w:val="24"/>
          <w:szCs w:val="24"/>
        </w:rPr>
        <w:t xml:space="preserve"> </w:t>
      </w:r>
      <w:proofErr w:type="spellStart"/>
      <w:r w:rsidR="00A865A7" w:rsidRPr="000C4364">
        <w:rPr>
          <w:rFonts w:ascii="Times New Roman" w:hAnsi="Times New Roman" w:cs="Times New Roman"/>
          <w:sz w:val="24"/>
          <w:szCs w:val="24"/>
        </w:rPr>
        <w:t>Saffar</w:t>
      </w:r>
      <w:proofErr w:type="spellEnd"/>
      <w:r w:rsidR="00A865A7" w:rsidRPr="000C4364">
        <w:rPr>
          <w:rFonts w:ascii="Times New Roman" w:hAnsi="Times New Roman" w:cs="Times New Roman"/>
          <w:sz w:val="24"/>
          <w:szCs w:val="24"/>
        </w:rPr>
        <w:t xml:space="preserve">, W. </w:t>
      </w:r>
      <w:r w:rsidR="008E3F5D" w:rsidRPr="000C4364">
        <w:rPr>
          <w:rFonts w:ascii="Times New Roman" w:hAnsi="Times New Roman" w:cs="Times New Roman"/>
          <w:sz w:val="24"/>
          <w:szCs w:val="24"/>
        </w:rPr>
        <w:t>(</w:t>
      </w:r>
      <w:r w:rsidR="00A865A7" w:rsidRPr="000C4364">
        <w:rPr>
          <w:rFonts w:ascii="Times New Roman" w:hAnsi="Times New Roman" w:cs="Times New Roman"/>
          <w:sz w:val="24"/>
          <w:szCs w:val="24"/>
        </w:rPr>
        <w:t>2012</w:t>
      </w:r>
      <w:r w:rsidR="008840DF">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Political connections and the cost of equity capital</w:t>
      </w:r>
      <w:r w:rsidR="008840DF">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r w:rsidR="00266119" w:rsidRPr="000C4364">
        <w:rPr>
          <w:rFonts w:ascii="Times New Roman" w:hAnsi="Times New Roman" w:cs="Times New Roman"/>
          <w:i/>
          <w:sz w:val="24"/>
          <w:szCs w:val="24"/>
        </w:rPr>
        <w:t>Journal of Corporate Finance</w:t>
      </w:r>
      <w:r w:rsidRPr="000C4364">
        <w:rPr>
          <w:rFonts w:ascii="Times New Roman" w:hAnsi="Times New Roman" w:cs="Times New Roman"/>
          <w:sz w:val="24"/>
          <w:szCs w:val="24"/>
        </w:rPr>
        <w:t xml:space="preserve">, </w:t>
      </w:r>
      <w:hyperlink r:id="rId11" w:tooltip="Go to table of contents for this volume/issue" w:history="1">
        <w:r w:rsidR="00A865A7" w:rsidRPr="000C4364">
          <w:rPr>
            <w:rFonts w:ascii="Times New Roman" w:hAnsi="Times New Roman" w:cs="Times New Roman"/>
            <w:sz w:val="24"/>
            <w:szCs w:val="24"/>
          </w:rPr>
          <w:t>18</w:t>
        </w:r>
        <w:r w:rsidR="008840DF">
          <w:rPr>
            <w:rFonts w:ascii="Times New Roman" w:hAnsi="Times New Roman" w:cs="Times New Roman"/>
            <w:sz w:val="24"/>
            <w:szCs w:val="24"/>
          </w:rPr>
          <w:t>(3)</w:t>
        </w:r>
        <w:r w:rsidRPr="000C4364">
          <w:rPr>
            <w:rFonts w:ascii="Times New Roman" w:hAnsi="Times New Roman" w:cs="Times New Roman"/>
            <w:sz w:val="24"/>
            <w:szCs w:val="24"/>
          </w:rPr>
          <w:t xml:space="preserve">, </w:t>
        </w:r>
      </w:hyperlink>
      <w:r w:rsidR="008E3F5D" w:rsidRPr="000C4364">
        <w:rPr>
          <w:rFonts w:ascii="Times New Roman" w:hAnsi="Times New Roman" w:cs="Times New Roman"/>
          <w:sz w:val="24"/>
          <w:szCs w:val="24"/>
        </w:rPr>
        <w:t xml:space="preserve">pp. </w:t>
      </w:r>
      <w:r w:rsidRPr="000C4364">
        <w:rPr>
          <w:rFonts w:ascii="Times New Roman" w:hAnsi="Times New Roman" w:cs="Times New Roman"/>
          <w:sz w:val="24"/>
          <w:szCs w:val="24"/>
        </w:rPr>
        <w:t>541–559.</w:t>
      </w:r>
    </w:p>
    <w:p w:rsidR="006C16AA" w:rsidRPr="000C4364" w:rsidRDefault="008E3F5D" w:rsidP="008840DF">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Boubakri</w:t>
      </w:r>
      <w:proofErr w:type="spellEnd"/>
      <w:r w:rsidRPr="000C4364">
        <w:rPr>
          <w:rFonts w:ascii="Times New Roman" w:hAnsi="Times New Roman" w:cs="Times New Roman"/>
          <w:sz w:val="24"/>
          <w:szCs w:val="24"/>
        </w:rPr>
        <w:t>, N., Mansi, S. and</w:t>
      </w:r>
      <w:r w:rsidR="00A865A7" w:rsidRPr="000C4364">
        <w:rPr>
          <w:rFonts w:ascii="Times New Roman" w:hAnsi="Times New Roman" w:cs="Times New Roman"/>
          <w:sz w:val="24"/>
          <w:szCs w:val="24"/>
        </w:rPr>
        <w:t xml:space="preserve"> </w:t>
      </w:r>
      <w:proofErr w:type="spellStart"/>
      <w:r w:rsidR="00A865A7" w:rsidRPr="000C4364">
        <w:rPr>
          <w:rFonts w:ascii="Times New Roman" w:hAnsi="Times New Roman" w:cs="Times New Roman"/>
          <w:sz w:val="24"/>
          <w:szCs w:val="24"/>
        </w:rPr>
        <w:t>Saffar</w:t>
      </w:r>
      <w:proofErr w:type="spellEnd"/>
      <w:r w:rsidR="00A865A7" w:rsidRPr="000C4364">
        <w:rPr>
          <w:rFonts w:ascii="Times New Roman" w:hAnsi="Times New Roman" w:cs="Times New Roman"/>
          <w:sz w:val="24"/>
          <w:szCs w:val="24"/>
        </w:rPr>
        <w:t xml:space="preserve">, W. </w:t>
      </w:r>
      <w:r w:rsidRPr="000C4364">
        <w:rPr>
          <w:rFonts w:ascii="Times New Roman" w:hAnsi="Times New Roman" w:cs="Times New Roman"/>
          <w:sz w:val="24"/>
          <w:szCs w:val="24"/>
        </w:rPr>
        <w:t>(</w:t>
      </w:r>
      <w:r w:rsidR="00A865A7" w:rsidRPr="000C4364">
        <w:rPr>
          <w:rFonts w:ascii="Times New Roman" w:hAnsi="Times New Roman" w:cs="Times New Roman"/>
          <w:sz w:val="24"/>
          <w:szCs w:val="24"/>
        </w:rPr>
        <w:t>2013</w:t>
      </w:r>
      <w:r w:rsidRPr="000C4364">
        <w:rPr>
          <w:rFonts w:ascii="Times New Roman" w:hAnsi="Times New Roman" w:cs="Times New Roman"/>
          <w:sz w:val="24"/>
          <w:szCs w:val="24"/>
        </w:rPr>
        <w:t>)</w:t>
      </w:r>
      <w:r w:rsidR="008840DF">
        <w:rPr>
          <w:rFonts w:ascii="Times New Roman" w:hAnsi="Times New Roman" w:cs="Times New Roman"/>
          <w:sz w:val="24"/>
          <w:szCs w:val="24"/>
        </w:rPr>
        <w:t>.</w:t>
      </w:r>
      <w:proofErr w:type="gramEnd"/>
      <w:r w:rsidR="008840DF">
        <w:rPr>
          <w:rFonts w:ascii="Times New Roman" w:hAnsi="Times New Roman" w:cs="Times New Roman"/>
          <w:sz w:val="24"/>
          <w:szCs w:val="24"/>
        </w:rPr>
        <w:t xml:space="preserve"> </w:t>
      </w:r>
      <w:hyperlink r:id="rId12" w:history="1">
        <w:proofErr w:type="gramStart"/>
        <w:r w:rsidR="008C417C" w:rsidRPr="000C4364">
          <w:rPr>
            <w:rFonts w:ascii="Times New Roman" w:hAnsi="Times New Roman" w:cs="Times New Roman"/>
            <w:sz w:val="24"/>
            <w:szCs w:val="24"/>
          </w:rPr>
          <w:t>Political institutions, connectedness, and corporate risk-taking</w:t>
        </w:r>
      </w:hyperlink>
      <w:r w:rsidR="008840DF">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hyperlink r:id="rId13" w:history="1">
        <w:r w:rsidR="008C417C" w:rsidRPr="000C4364">
          <w:rPr>
            <w:rFonts w:ascii="Times New Roman" w:hAnsi="Times New Roman" w:cs="Times New Roman"/>
            <w:i/>
            <w:sz w:val="24"/>
            <w:szCs w:val="24"/>
          </w:rPr>
          <w:t>Journal of International Business Studies</w:t>
        </w:r>
      </w:hyperlink>
      <w:r w:rsidR="008C417C" w:rsidRPr="000C4364">
        <w:rPr>
          <w:rFonts w:ascii="Times New Roman" w:hAnsi="Times New Roman" w:cs="Times New Roman"/>
          <w:i/>
          <w:sz w:val="24"/>
          <w:szCs w:val="24"/>
        </w:rPr>
        <w:t>,</w:t>
      </w:r>
      <w:r w:rsidR="008C417C" w:rsidRPr="000C4364">
        <w:rPr>
          <w:rFonts w:ascii="Times New Roman" w:hAnsi="Times New Roman" w:cs="Times New Roman"/>
          <w:sz w:val="24"/>
          <w:szCs w:val="24"/>
        </w:rPr>
        <w:t xml:space="preserve"> 44</w:t>
      </w:r>
      <w:r w:rsidR="008840DF">
        <w:rPr>
          <w:rFonts w:ascii="Times New Roman" w:hAnsi="Times New Roman" w:cs="Times New Roman"/>
          <w:sz w:val="24"/>
          <w:szCs w:val="24"/>
        </w:rPr>
        <w:t>(3)</w:t>
      </w:r>
      <w:r w:rsidRPr="000C4364">
        <w:rPr>
          <w:rFonts w:ascii="Times New Roman" w:hAnsi="Times New Roman" w:cs="Times New Roman"/>
          <w:sz w:val="24"/>
          <w:szCs w:val="24"/>
        </w:rPr>
        <w:t>, pp.</w:t>
      </w:r>
      <w:r w:rsidR="008C417C" w:rsidRPr="000C4364">
        <w:rPr>
          <w:rFonts w:ascii="Times New Roman" w:hAnsi="Times New Roman" w:cs="Times New Roman"/>
          <w:sz w:val="24"/>
          <w:szCs w:val="24"/>
        </w:rPr>
        <w:t xml:space="preserve"> 195-215.</w:t>
      </w:r>
    </w:p>
    <w:p w:rsidR="004A09E0" w:rsidRPr="000C4364" w:rsidRDefault="004A09E0" w:rsidP="008840DF">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 xml:space="preserve">Bowles, S. and H. </w:t>
      </w:r>
      <w:proofErr w:type="spellStart"/>
      <w:r w:rsidRPr="000C4364">
        <w:rPr>
          <w:rFonts w:ascii="Times New Roman" w:hAnsi="Times New Roman" w:cs="Times New Roman"/>
          <w:sz w:val="24"/>
          <w:szCs w:val="24"/>
        </w:rPr>
        <w:t>Gintis</w:t>
      </w:r>
      <w:proofErr w:type="spellEnd"/>
      <w:r w:rsidRPr="000C4364">
        <w:rPr>
          <w:rFonts w:ascii="Times New Roman" w:hAnsi="Times New Roman" w:cs="Times New Roman"/>
          <w:sz w:val="24"/>
          <w:szCs w:val="24"/>
        </w:rPr>
        <w:t xml:space="preserve"> (200</w:t>
      </w:r>
      <w:r w:rsidR="008840DF">
        <w:rPr>
          <w:rFonts w:ascii="Times New Roman" w:hAnsi="Times New Roman" w:cs="Times New Roman"/>
          <w:sz w:val="24"/>
          <w:szCs w:val="24"/>
        </w:rPr>
        <w:t>2).</w:t>
      </w:r>
      <w:proofErr w:type="gramEnd"/>
      <w:r w:rsidR="008840DF">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Social Capital and Community Governance</w:t>
      </w:r>
      <w:r w:rsidR="008840DF">
        <w:rPr>
          <w:rFonts w:ascii="Times New Roman" w:hAnsi="Times New Roman" w:cs="Times New Roman"/>
          <w:sz w:val="24"/>
          <w:szCs w:val="24"/>
        </w:rPr>
        <w:t>.</w:t>
      </w:r>
      <w:proofErr w:type="gramEnd"/>
      <w:r w:rsidR="008840DF">
        <w:rPr>
          <w:rFonts w:ascii="Times New Roman" w:hAnsi="Times New Roman" w:cs="Times New Roman"/>
          <w:sz w:val="24"/>
          <w:szCs w:val="24"/>
        </w:rPr>
        <w:t xml:space="preserve"> </w:t>
      </w:r>
      <w:proofErr w:type="gramStart"/>
      <w:r w:rsidRPr="000C4364">
        <w:rPr>
          <w:rFonts w:ascii="Times New Roman" w:hAnsi="Times New Roman" w:cs="Times New Roman"/>
          <w:i/>
          <w:sz w:val="24"/>
          <w:szCs w:val="24"/>
        </w:rPr>
        <w:t>Economic Journal</w:t>
      </w:r>
      <w:r w:rsidRPr="000C4364">
        <w:rPr>
          <w:rFonts w:ascii="Times New Roman" w:hAnsi="Times New Roman" w:cs="Times New Roman"/>
          <w:sz w:val="24"/>
          <w:szCs w:val="24"/>
        </w:rPr>
        <w:t>, 112</w:t>
      </w:r>
      <w:r w:rsidR="008840DF">
        <w:rPr>
          <w:rFonts w:ascii="Times New Roman" w:hAnsi="Times New Roman" w:cs="Times New Roman"/>
          <w:sz w:val="24"/>
          <w:szCs w:val="24"/>
        </w:rPr>
        <w:t xml:space="preserve"> (</w:t>
      </w:r>
      <w:r w:rsidR="00DD0A4D" w:rsidRPr="000C4364">
        <w:rPr>
          <w:rFonts w:ascii="Times New Roman" w:hAnsi="Times New Roman" w:cs="Times New Roman"/>
          <w:sz w:val="24"/>
          <w:szCs w:val="24"/>
        </w:rPr>
        <w:t>483</w:t>
      </w:r>
      <w:r w:rsidR="008840DF">
        <w:rPr>
          <w:rFonts w:ascii="Times New Roman" w:hAnsi="Times New Roman" w:cs="Times New Roman"/>
          <w:sz w:val="24"/>
          <w:szCs w:val="24"/>
        </w:rPr>
        <w:t>)</w:t>
      </w:r>
      <w:r w:rsidRPr="000C4364">
        <w:rPr>
          <w:rFonts w:ascii="Times New Roman" w:hAnsi="Times New Roman" w:cs="Times New Roman"/>
          <w:sz w:val="24"/>
          <w:szCs w:val="24"/>
        </w:rPr>
        <w:t xml:space="preserve">, </w:t>
      </w:r>
      <w:r w:rsidR="00DD0A4D" w:rsidRPr="000C4364">
        <w:rPr>
          <w:rFonts w:ascii="Times New Roman" w:hAnsi="Times New Roman" w:cs="Times New Roman"/>
          <w:sz w:val="24"/>
          <w:szCs w:val="24"/>
        </w:rPr>
        <w:t xml:space="preserve">pp. </w:t>
      </w:r>
      <w:r w:rsidRPr="000C4364">
        <w:rPr>
          <w:rFonts w:ascii="Times New Roman" w:hAnsi="Times New Roman" w:cs="Times New Roman"/>
          <w:sz w:val="24"/>
          <w:szCs w:val="24"/>
        </w:rPr>
        <w:t>F419-436.</w:t>
      </w:r>
      <w:proofErr w:type="gramEnd"/>
      <w:r w:rsidRPr="000C4364">
        <w:rPr>
          <w:rFonts w:ascii="Times New Roman" w:hAnsi="Times New Roman" w:cs="Times New Roman"/>
          <w:sz w:val="24"/>
          <w:szCs w:val="24"/>
        </w:rPr>
        <w:t xml:space="preserve"> </w:t>
      </w:r>
    </w:p>
    <w:p w:rsidR="006C16AA" w:rsidRPr="000C4364" w:rsidRDefault="008C417C" w:rsidP="008840DF">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Cavalluzzo</w:t>
      </w:r>
      <w:proofErr w:type="spellEnd"/>
      <w:r w:rsidRPr="000C4364">
        <w:rPr>
          <w:rFonts w:ascii="Times New Roman" w:hAnsi="Times New Roman" w:cs="Times New Roman"/>
          <w:sz w:val="24"/>
          <w:szCs w:val="24"/>
        </w:rPr>
        <w:t>, K</w:t>
      </w:r>
      <w:r w:rsidR="00DD0A4D" w:rsidRPr="000C4364">
        <w:rPr>
          <w:rFonts w:ascii="Times New Roman" w:hAnsi="Times New Roman" w:cs="Times New Roman"/>
          <w:sz w:val="24"/>
          <w:szCs w:val="24"/>
        </w:rPr>
        <w:t xml:space="preserve">. S., and </w:t>
      </w:r>
      <w:proofErr w:type="spellStart"/>
      <w:r w:rsidR="00C03041" w:rsidRPr="000C4364">
        <w:rPr>
          <w:rFonts w:ascii="Times New Roman" w:hAnsi="Times New Roman" w:cs="Times New Roman"/>
          <w:sz w:val="24"/>
          <w:szCs w:val="24"/>
        </w:rPr>
        <w:t>Cavaluzzo</w:t>
      </w:r>
      <w:proofErr w:type="spellEnd"/>
      <w:r w:rsidR="00C03041" w:rsidRPr="000C4364">
        <w:rPr>
          <w:rFonts w:ascii="Times New Roman" w:hAnsi="Times New Roman" w:cs="Times New Roman"/>
          <w:sz w:val="24"/>
          <w:szCs w:val="24"/>
        </w:rPr>
        <w:t xml:space="preserve">, L. C. </w:t>
      </w:r>
      <w:r w:rsidR="00DD0A4D" w:rsidRPr="000C4364">
        <w:rPr>
          <w:rFonts w:ascii="Times New Roman" w:hAnsi="Times New Roman" w:cs="Times New Roman"/>
          <w:sz w:val="24"/>
          <w:szCs w:val="24"/>
        </w:rPr>
        <w:t>(</w:t>
      </w:r>
      <w:r w:rsidR="00C03041" w:rsidRPr="000C4364">
        <w:rPr>
          <w:rFonts w:ascii="Times New Roman" w:hAnsi="Times New Roman" w:cs="Times New Roman"/>
          <w:sz w:val="24"/>
          <w:szCs w:val="24"/>
        </w:rPr>
        <w:t>1998</w:t>
      </w:r>
      <w:r w:rsidR="008840DF">
        <w:rPr>
          <w:rFonts w:ascii="Times New Roman" w:hAnsi="Times New Roman" w:cs="Times New Roman"/>
          <w:sz w:val="24"/>
          <w:szCs w:val="24"/>
        </w:rPr>
        <w:t>).</w:t>
      </w:r>
      <w:proofErr w:type="gramEnd"/>
      <w:r w:rsidR="008840DF">
        <w:rPr>
          <w:rFonts w:ascii="Times New Roman" w:hAnsi="Times New Roman" w:cs="Times New Roman"/>
          <w:sz w:val="24"/>
          <w:szCs w:val="24"/>
        </w:rPr>
        <w:t xml:space="preserve"> </w:t>
      </w:r>
      <w:r w:rsidRPr="000C4364">
        <w:rPr>
          <w:rFonts w:ascii="Times New Roman" w:hAnsi="Times New Roman" w:cs="Times New Roman"/>
          <w:sz w:val="24"/>
          <w:szCs w:val="24"/>
        </w:rPr>
        <w:t>Market structure and discrimination: the case of small businesses</w:t>
      </w:r>
      <w:r w:rsidR="008840DF">
        <w:rPr>
          <w:rFonts w:ascii="Times New Roman" w:hAnsi="Times New Roman" w:cs="Times New Roman"/>
          <w:sz w:val="24"/>
          <w:szCs w:val="24"/>
        </w:rPr>
        <w:t>.</w:t>
      </w:r>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Journal of Money, Credit, and Banking</w:t>
      </w:r>
      <w:r w:rsidRPr="000C4364">
        <w:rPr>
          <w:rFonts w:ascii="Times New Roman" w:hAnsi="Times New Roman" w:cs="Times New Roman"/>
          <w:sz w:val="24"/>
          <w:szCs w:val="24"/>
        </w:rPr>
        <w:t xml:space="preserve">, </w:t>
      </w:r>
      <w:r w:rsidR="00C03041" w:rsidRPr="000C4364">
        <w:rPr>
          <w:rFonts w:ascii="Times New Roman" w:hAnsi="Times New Roman" w:cs="Times New Roman"/>
          <w:sz w:val="24"/>
          <w:szCs w:val="24"/>
        </w:rPr>
        <w:t>30</w:t>
      </w:r>
      <w:r w:rsidR="008840DF">
        <w:rPr>
          <w:rFonts w:ascii="Times New Roman" w:hAnsi="Times New Roman" w:cs="Times New Roman"/>
          <w:sz w:val="24"/>
          <w:szCs w:val="24"/>
        </w:rPr>
        <w:t>(4),</w:t>
      </w:r>
      <w:r w:rsidRPr="000C4364">
        <w:rPr>
          <w:rFonts w:ascii="Times New Roman" w:hAnsi="Times New Roman" w:cs="Times New Roman"/>
          <w:sz w:val="24"/>
          <w:szCs w:val="24"/>
        </w:rPr>
        <w:t xml:space="preserve"> </w:t>
      </w:r>
      <w:r w:rsidR="00DD0A4D" w:rsidRPr="000C4364">
        <w:rPr>
          <w:rFonts w:ascii="Times New Roman" w:hAnsi="Times New Roman" w:cs="Times New Roman"/>
          <w:sz w:val="24"/>
          <w:szCs w:val="24"/>
        </w:rPr>
        <w:t xml:space="preserve">pp. </w:t>
      </w:r>
      <w:r w:rsidRPr="000C4364">
        <w:rPr>
          <w:rFonts w:ascii="Times New Roman" w:hAnsi="Times New Roman" w:cs="Times New Roman"/>
          <w:sz w:val="24"/>
          <w:szCs w:val="24"/>
        </w:rPr>
        <w:t xml:space="preserve">771-792. </w:t>
      </w:r>
    </w:p>
    <w:p w:rsidR="006C16AA" w:rsidRPr="000C4364" w:rsidRDefault="008C417C" w:rsidP="008840DF">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Cavalluz</w:t>
      </w:r>
      <w:r w:rsidR="00DD0A4D" w:rsidRPr="000C4364">
        <w:rPr>
          <w:rFonts w:ascii="Times New Roman" w:hAnsi="Times New Roman" w:cs="Times New Roman"/>
          <w:sz w:val="24"/>
          <w:szCs w:val="24"/>
        </w:rPr>
        <w:t>zo</w:t>
      </w:r>
      <w:proofErr w:type="spellEnd"/>
      <w:r w:rsidR="00DD0A4D" w:rsidRPr="000C4364">
        <w:rPr>
          <w:rFonts w:ascii="Times New Roman" w:hAnsi="Times New Roman" w:cs="Times New Roman"/>
          <w:sz w:val="24"/>
          <w:szCs w:val="24"/>
        </w:rPr>
        <w:t xml:space="preserve">, K. S., </w:t>
      </w:r>
      <w:proofErr w:type="spellStart"/>
      <w:r w:rsidR="00DD0A4D" w:rsidRPr="000C4364">
        <w:rPr>
          <w:rFonts w:ascii="Times New Roman" w:hAnsi="Times New Roman" w:cs="Times New Roman"/>
          <w:sz w:val="24"/>
          <w:szCs w:val="24"/>
        </w:rPr>
        <w:t>Cavaluzzo</w:t>
      </w:r>
      <w:proofErr w:type="spellEnd"/>
      <w:r w:rsidR="00DD0A4D" w:rsidRPr="000C4364">
        <w:rPr>
          <w:rFonts w:ascii="Times New Roman" w:hAnsi="Times New Roman" w:cs="Times New Roman"/>
          <w:sz w:val="24"/>
          <w:szCs w:val="24"/>
        </w:rPr>
        <w:t xml:space="preserve">, L. C. and </w:t>
      </w:r>
      <w:proofErr w:type="spellStart"/>
      <w:r w:rsidR="00C03041" w:rsidRPr="000C4364">
        <w:rPr>
          <w:rFonts w:ascii="Times New Roman" w:hAnsi="Times New Roman" w:cs="Times New Roman"/>
          <w:sz w:val="24"/>
          <w:szCs w:val="24"/>
        </w:rPr>
        <w:t>Wolken</w:t>
      </w:r>
      <w:proofErr w:type="spellEnd"/>
      <w:r w:rsidR="00C03041" w:rsidRPr="000C4364">
        <w:rPr>
          <w:rFonts w:ascii="Times New Roman" w:hAnsi="Times New Roman" w:cs="Times New Roman"/>
          <w:sz w:val="24"/>
          <w:szCs w:val="24"/>
        </w:rPr>
        <w:t xml:space="preserve">, J. D. </w:t>
      </w:r>
      <w:r w:rsidR="00DD0A4D" w:rsidRPr="000C4364">
        <w:rPr>
          <w:rFonts w:ascii="Times New Roman" w:hAnsi="Times New Roman" w:cs="Times New Roman"/>
          <w:sz w:val="24"/>
          <w:szCs w:val="24"/>
        </w:rPr>
        <w:t>(</w:t>
      </w:r>
      <w:r w:rsidR="00C03041" w:rsidRPr="000C4364">
        <w:rPr>
          <w:rFonts w:ascii="Times New Roman" w:hAnsi="Times New Roman" w:cs="Times New Roman"/>
          <w:sz w:val="24"/>
          <w:szCs w:val="24"/>
        </w:rPr>
        <w:t>2002</w:t>
      </w:r>
      <w:r w:rsidR="008840DF">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Competition, small business financing and discrimination: evidence from a new survey</w:t>
      </w:r>
      <w:r w:rsidR="008840DF">
        <w:rPr>
          <w:rFonts w:ascii="Times New Roman" w:hAnsi="Times New Roman" w:cs="Times New Roman"/>
          <w:sz w:val="24"/>
          <w:szCs w:val="24"/>
        </w:rPr>
        <w:t>.</w:t>
      </w:r>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 xml:space="preserve">Journal of Business, </w:t>
      </w:r>
      <w:r w:rsidRPr="000C4364">
        <w:rPr>
          <w:rFonts w:ascii="Times New Roman" w:hAnsi="Times New Roman" w:cs="Times New Roman"/>
          <w:sz w:val="24"/>
          <w:szCs w:val="24"/>
        </w:rPr>
        <w:t>75</w:t>
      </w:r>
      <w:r w:rsidR="008840DF">
        <w:rPr>
          <w:rFonts w:ascii="Times New Roman" w:hAnsi="Times New Roman" w:cs="Times New Roman"/>
          <w:sz w:val="24"/>
          <w:szCs w:val="24"/>
        </w:rPr>
        <w:t>(4),</w:t>
      </w:r>
      <w:r w:rsidR="00DD0A4D" w:rsidRPr="000C4364">
        <w:rPr>
          <w:rFonts w:ascii="Times New Roman" w:hAnsi="Times New Roman" w:cs="Times New Roman"/>
          <w:sz w:val="24"/>
          <w:szCs w:val="24"/>
        </w:rPr>
        <w:t xml:space="preserve"> pp.</w:t>
      </w:r>
      <w:r w:rsidRPr="000C4364">
        <w:rPr>
          <w:rFonts w:ascii="Times New Roman" w:hAnsi="Times New Roman" w:cs="Times New Roman"/>
          <w:sz w:val="24"/>
          <w:szCs w:val="24"/>
        </w:rPr>
        <w:t xml:space="preserve"> 641-679. </w:t>
      </w:r>
    </w:p>
    <w:p w:rsidR="006C16AA" w:rsidRPr="000C4364" w:rsidRDefault="008C417C" w:rsidP="008840DF">
      <w:pPr>
        <w:spacing w:after="0" w:line="480" w:lineRule="auto"/>
        <w:rPr>
          <w:rFonts w:ascii="Times New Roman" w:hAnsi="Times New Roman" w:cs="Times New Roman"/>
          <w:sz w:val="24"/>
          <w:szCs w:val="24"/>
        </w:rPr>
      </w:pPr>
      <w:proofErr w:type="gramStart"/>
      <w:r w:rsidRPr="008840DF">
        <w:rPr>
          <w:rFonts w:ascii="Times New Roman" w:hAnsi="Times New Roman" w:cs="Times New Roman"/>
          <w:sz w:val="24"/>
          <w:szCs w:val="24"/>
        </w:rPr>
        <w:t>Carlin</w:t>
      </w:r>
      <w:r w:rsidRPr="000C4364">
        <w:rPr>
          <w:rFonts w:ascii="Times New Roman" w:hAnsi="Times New Roman" w:cs="Times New Roman"/>
          <w:bCs/>
          <w:sz w:val="24"/>
          <w:szCs w:val="24"/>
        </w:rPr>
        <w:t xml:space="preserve">, W. </w:t>
      </w:r>
      <w:r w:rsidR="00DD0A4D" w:rsidRPr="000C4364">
        <w:rPr>
          <w:rFonts w:ascii="Times New Roman" w:hAnsi="Times New Roman" w:cs="Times New Roman"/>
          <w:bCs/>
          <w:iCs/>
          <w:sz w:val="24"/>
          <w:szCs w:val="24"/>
        </w:rPr>
        <w:t>Fries, S., Schaffer, M. and</w:t>
      </w:r>
      <w:r w:rsidR="00C03041" w:rsidRPr="000C4364">
        <w:rPr>
          <w:rFonts w:ascii="Times New Roman" w:hAnsi="Times New Roman" w:cs="Times New Roman"/>
          <w:bCs/>
          <w:iCs/>
          <w:sz w:val="24"/>
          <w:szCs w:val="24"/>
        </w:rPr>
        <w:t xml:space="preserve"> </w:t>
      </w:r>
      <w:proofErr w:type="spellStart"/>
      <w:r w:rsidR="00C03041" w:rsidRPr="000C4364">
        <w:rPr>
          <w:rFonts w:ascii="Times New Roman" w:hAnsi="Times New Roman" w:cs="Times New Roman"/>
          <w:bCs/>
          <w:iCs/>
          <w:sz w:val="24"/>
          <w:szCs w:val="24"/>
        </w:rPr>
        <w:t>Seabright</w:t>
      </w:r>
      <w:proofErr w:type="spellEnd"/>
      <w:r w:rsidR="00DD0A4D" w:rsidRPr="000C4364">
        <w:rPr>
          <w:rFonts w:ascii="Times New Roman" w:hAnsi="Times New Roman" w:cs="Times New Roman"/>
          <w:bCs/>
          <w:iCs/>
          <w:sz w:val="24"/>
          <w:szCs w:val="24"/>
        </w:rPr>
        <w:t>, P</w:t>
      </w:r>
      <w:r w:rsidR="00C03041" w:rsidRPr="000C4364">
        <w:rPr>
          <w:rFonts w:ascii="Times New Roman" w:hAnsi="Times New Roman" w:cs="Times New Roman"/>
          <w:bCs/>
          <w:iCs/>
          <w:sz w:val="24"/>
          <w:szCs w:val="24"/>
        </w:rPr>
        <w:t xml:space="preserve">. </w:t>
      </w:r>
      <w:r w:rsidR="00DD0A4D" w:rsidRPr="000C4364">
        <w:rPr>
          <w:rFonts w:ascii="Times New Roman" w:hAnsi="Times New Roman" w:cs="Times New Roman"/>
          <w:bCs/>
          <w:iCs/>
          <w:sz w:val="24"/>
          <w:szCs w:val="24"/>
        </w:rPr>
        <w:t>(</w:t>
      </w:r>
      <w:r w:rsidR="00C03041" w:rsidRPr="000C4364">
        <w:rPr>
          <w:rFonts w:ascii="Times New Roman" w:hAnsi="Times New Roman" w:cs="Times New Roman"/>
          <w:bCs/>
          <w:sz w:val="24"/>
          <w:szCs w:val="24"/>
        </w:rPr>
        <w:t>2000</w:t>
      </w:r>
      <w:r w:rsidR="008840DF">
        <w:rPr>
          <w:rFonts w:ascii="Times New Roman" w:hAnsi="Times New Roman" w:cs="Times New Roman"/>
          <w:bCs/>
          <w:sz w:val="24"/>
          <w:szCs w:val="24"/>
        </w:rPr>
        <w:t>).</w:t>
      </w:r>
      <w:proofErr w:type="gramEnd"/>
      <w:r w:rsidR="008840DF">
        <w:rPr>
          <w:rFonts w:ascii="Times New Roman" w:hAnsi="Times New Roman" w:cs="Times New Roman"/>
          <w:bCs/>
          <w:sz w:val="24"/>
          <w:szCs w:val="24"/>
        </w:rPr>
        <w:t xml:space="preserve"> </w:t>
      </w:r>
      <w:r w:rsidRPr="000C4364">
        <w:rPr>
          <w:rFonts w:ascii="Times New Roman" w:hAnsi="Times New Roman" w:cs="Times New Roman"/>
          <w:bCs/>
          <w:sz w:val="24"/>
          <w:szCs w:val="24"/>
        </w:rPr>
        <w:t>Barter and non-monetary transactions in transition countries: Evidence from cross-country Survey</w:t>
      </w:r>
      <w:r w:rsidR="008840DF">
        <w:rPr>
          <w:rFonts w:ascii="Times New Roman" w:hAnsi="Times New Roman" w:cs="Times New Roman"/>
          <w:bCs/>
          <w:sz w:val="24"/>
          <w:szCs w:val="24"/>
        </w:rPr>
        <w:t>.</w:t>
      </w:r>
      <w:r w:rsidR="00DD0A4D" w:rsidRPr="000C4364">
        <w:rPr>
          <w:rFonts w:ascii="Times New Roman" w:hAnsi="Times New Roman" w:cs="Times New Roman"/>
          <w:bCs/>
          <w:sz w:val="24"/>
          <w:szCs w:val="24"/>
        </w:rPr>
        <w:t xml:space="preserve"> </w:t>
      </w:r>
      <w:proofErr w:type="gramStart"/>
      <w:r w:rsidR="00DD0A4D" w:rsidRPr="000C4364">
        <w:rPr>
          <w:rFonts w:ascii="Times New Roman" w:hAnsi="Times New Roman" w:cs="Times New Roman"/>
          <w:bCs/>
          <w:sz w:val="24"/>
          <w:szCs w:val="24"/>
        </w:rPr>
        <w:t>in</w:t>
      </w:r>
      <w:proofErr w:type="gramEnd"/>
      <w:r w:rsidRPr="000C4364">
        <w:rPr>
          <w:rFonts w:ascii="Times New Roman" w:hAnsi="Times New Roman" w:cs="Times New Roman"/>
          <w:bCs/>
          <w:sz w:val="24"/>
          <w:szCs w:val="24"/>
        </w:rPr>
        <w:t xml:space="preserve"> </w:t>
      </w:r>
      <w:proofErr w:type="spellStart"/>
      <w:r w:rsidRPr="000C4364">
        <w:rPr>
          <w:rFonts w:ascii="Times New Roman" w:hAnsi="Times New Roman" w:cs="Times New Roman"/>
          <w:bCs/>
          <w:snapToGrid w:val="0"/>
          <w:sz w:val="24"/>
          <w:szCs w:val="24"/>
        </w:rPr>
        <w:t>Seabright</w:t>
      </w:r>
      <w:proofErr w:type="spellEnd"/>
      <w:r w:rsidRPr="000C4364">
        <w:rPr>
          <w:rFonts w:ascii="Times New Roman" w:hAnsi="Times New Roman" w:cs="Times New Roman"/>
          <w:bCs/>
          <w:snapToGrid w:val="0"/>
          <w:sz w:val="24"/>
          <w:szCs w:val="24"/>
        </w:rPr>
        <w:t>, P. (Ed.)</w:t>
      </w:r>
      <w:r w:rsidR="00DD0A4D" w:rsidRPr="000C4364">
        <w:rPr>
          <w:rFonts w:ascii="Times New Roman" w:hAnsi="Times New Roman" w:cs="Times New Roman"/>
          <w:bCs/>
          <w:snapToGrid w:val="0"/>
          <w:sz w:val="24"/>
          <w:szCs w:val="24"/>
        </w:rPr>
        <w:t>,</w:t>
      </w:r>
      <w:r w:rsidRPr="000C4364">
        <w:rPr>
          <w:rFonts w:ascii="Times New Roman" w:hAnsi="Times New Roman" w:cs="Times New Roman"/>
          <w:bCs/>
          <w:snapToGrid w:val="0"/>
          <w:sz w:val="24"/>
          <w:szCs w:val="24"/>
        </w:rPr>
        <w:t xml:space="preserve"> </w:t>
      </w:r>
      <w:r w:rsidRPr="000C4364">
        <w:rPr>
          <w:rFonts w:ascii="Times New Roman" w:hAnsi="Times New Roman" w:cs="Times New Roman"/>
          <w:bCs/>
          <w:i/>
          <w:iCs/>
          <w:snapToGrid w:val="0"/>
          <w:sz w:val="24"/>
          <w:szCs w:val="24"/>
        </w:rPr>
        <w:t>The Vanishing Rouble. Barter Networks and Non-Monetary Transactions in Post-Soviet Societies</w:t>
      </w:r>
      <w:r w:rsidR="008840DF">
        <w:rPr>
          <w:rFonts w:ascii="Times New Roman" w:hAnsi="Times New Roman" w:cs="Times New Roman"/>
          <w:bCs/>
          <w:i/>
          <w:iCs/>
          <w:snapToGrid w:val="0"/>
          <w:sz w:val="24"/>
          <w:szCs w:val="24"/>
        </w:rPr>
        <w:t xml:space="preserve"> </w:t>
      </w:r>
      <w:r w:rsidR="008840DF">
        <w:rPr>
          <w:rFonts w:ascii="Times New Roman" w:hAnsi="Times New Roman" w:cs="Times New Roman"/>
          <w:bCs/>
          <w:iCs/>
          <w:snapToGrid w:val="0"/>
          <w:sz w:val="24"/>
          <w:szCs w:val="24"/>
        </w:rPr>
        <w:t>(</w:t>
      </w:r>
      <w:r w:rsidR="008840DF" w:rsidRPr="000C4364">
        <w:rPr>
          <w:rFonts w:ascii="Times New Roman" w:hAnsi="Times New Roman" w:cs="Times New Roman"/>
          <w:bCs/>
          <w:snapToGrid w:val="0"/>
          <w:sz w:val="24"/>
          <w:szCs w:val="24"/>
        </w:rPr>
        <w:t>pp. 236-259</w:t>
      </w:r>
      <w:r w:rsidR="008840DF" w:rsidRPr="008840DF">
        <w:rPr>
          <w:rFonts w:ascii="Times New Roman" w:hAnsi="Times New Roman" w:cs="Times New Roman"/>
          <w:bCs/>
          <w:snapToGrid w:val="0"/>
          <w:sz w:val="24"/>
          <w:szCs w:val="24"/>
        </w:rPr>
        <w:t>)</w:t>
      </w:r>
      <w:r w:rsidR="00DD0A4D" w:rsidRPr="000C4364">
        <w:rPr>
          <w:rFonts w:ascii="Times New Roman" w:hAnsi="Times New Roman" w:cs="Times New Roman"/>
          <w:bCs/>
          <w:snapToGrid w:val="0"/>
          <w:sz w:val="24"/>
          <w:szCs w:val="24"/>
        </w:rPr>
        <w:t>,</w:t>
      </w:r>
      <w:r w:rsidRPr="000C4364">
        <w:rPr>
          <w:rFonts w:ascii="Times New Roman" w:hAnsi="Times New Roman" w:cs="Times New Roman"/>
          <w:bCs/>
          <w:snapToGrid w:val="0"/>
          <w:sz w:val="24"/>
          <w:szCs w:val="24"/>
        </w:rPr>
        <w:t xml:space="preserve"> Cambridge: Cambridge University Press</w:t>
      </w:r>
      <w:r w:rsidR="008840DF">
        <w:rPr>
          <w:rFonts w:ascii="Times New Roman" w:hAnsi="Times New Roman" w:cs="Times New Roman"/>
          <w:bCs/>
          <w:snapToGrid w:val="0"/>
          <w:sz w:val="24"/>
          <w:szCs w:val="24"/>
        </w:rPr>
        <w:t>.</w:t>
      </w:r>
    </w:p>
    <w:p w:rsidR="006C16AA" w:rsidRPr="000C4364" w:rsidRDefault="008C417C" w:rsidP="008840DF">
      <w:pPr>
        <w:spacing w:after="0" w:line="480" w:lineRule="auto"/>
        <w:rPr>
          <w:rFonts w:ascii="Times New Roman" w:hAnsi="Times New Roman" w:cs="Times New Roman"/>
          <w:sz w:val="24"/>
          <w:szCs w:val="24"/>
        </w:rPr>
      </w:pPr>
      <w:proofErr w:type="spellStart"/>
      <w:r w:rsidRPr="000C4364">
        <w:rPr>
          <w:rFonts w:ascii="Times New Roman" w:hAnsi="Times New Roman" w:cs="Times New Roman"/>
          <w:sz w:val="24"/>
          <w:szCs w:val="24"/>
        </w:rPr>
        <w:t>Clae</w:t>
      </w:r>
      <w:r w:rsidR="00215F4D" w:rsidRPr="000C4364">
        <w:rPr>
          <w:rFonts w:ascii="Times New Roman" w:hAnsi="Times New Roman" w:cs="Times New Roman"/>
          <w:sz w:val="24"/>
          <w:szCs w:val="24"/>
        </w:rPr>
        <w:t>ssens</w:t>
      </w:r>
      <w:proofErr w:type="spellEnd"/>
      <w:r w:rsidR="00215F4D" w:rsidRPr="000C4364">
        <w:rPr>
          <w:rFonts w:ascii="Times New Roman" w:hAnsi="Times New Roman" w:cs="Times New Roman"/>
          <w:sz w:val="24"/>
          <w:szCs w:val="24"/>
        </w:rPr>
        <w:t xml:space="preserve">, S. and </w:t>
      </w:r>
      <w:proofErr w:type="spellStart"/>
      <w:r w:rsidR="00C03041" w:rsidRPr="000C4364">
        <w:rPr>
          <w:rFonts w:ascii="Times New Roman" w:hAnsi="Times New Roman" w:cs="Times New Roman"/>
          <w:sz w:val="24"/>
          <w:szCs w:val="24"/>
        </w:rPr>
        <w:t>Perotti</w:t>
      </w:r>
      <w:proofErr w:type="spellEnd"/>
      <w:r w:rsidR="00C03041" w:rsidRPr="000C4364">
        <w:rPr>
          <w:rFonts w:ascii="Times New Roman" w:hAnsi="Times New Roman" w:cs="Times New Roman"/>
          <w:sz w:val="24"/>
          <w:szCs w:val="24"/>
        </w:rPr>
        <w:t xml:space="preserve">, E. </w:t>
      </w:r>
      <w:r w:rsidR="00215F4D" w:rsidRPr="000C4364">
        <w:rPr>
          <w:rFonts w:ascii="Times New Roman" w:hAnsi="Times New Roman" w:cs="Times New Roman"/>
          <w:sz w:val="24"/>
          <w:szCs w:val="24"/>
        </w:rPr>
        <w:t>(</w:t>
      </w:r>
      <w:r w:rsidR="00C03041" w:rsidRPr="000C4364">
        <w:rPr>
          <w:rFonts w:ascii="Times New Roman" w:hAnsi="Times New Roman" w:cs="Times New Roman"/>
          <w:sz w:val="24"/>
          <w:szCs w:val="24"/>
        </w:rPr>
        <w:t>2007</w:t>
      </w:r>
      <w:r w:rsidR="008840DF">
        <w:rPr>
          <w:rFonts w:ascii="Times New Roman" w:hAnsi="Times New Roman" w:cs="Times New Roman"/>
          <w:sz w:val="24"/>
          <w:szCs w:val="24"/>
        </w:rPr>
        <w:t xml:space="preserve">). </w:t>
      </w:r>
      <w:r w:rsidRPr="000C4364">
        <w:rPr>
          <w:rFonts w:ascii="Times New Roman" w:hAnsi="Times New Roman" w:cs="Times New Roman"/>
          <w:sz w:val="24"/>
          <w:szCs w:val="24"/>
        </w:rPr>
        <w:t>Finance and inequality: channels and evidence</w:t>
      </w:r>
      <w:r w:rsidR="008840DF">
        <w:rPr>
          <w:rFonts w:ascii="Times New Roman" w:hAnsi="Times New Roman" w:cs="Times New Roman"/>
          <w:sz w:val="24"/>
          <w:szCs w:val="24"/>
        </w:rPr>
        <w:t>.</w:t>
      </w:r>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 xml:space="preserve">Journal of Comparative Economics, </w:t>
      </w:r>
      <w:r w:rsidR="00C03041" w:rsidRPr="000C4364">
        <w:rPr>
          <w:rFonts w:ascii="Times New Roman" w:hAnsi="Times New Roman" w:cs="Times New Roman"/>
          <w:sz w:val="24"/>
          <w:szCs w:val="24"/>
        </w:rPr>
        <w:t>35</w:t>
      </w:r>
      <w:r w:rsidR="008840DF">
        <w:rPr>
          <w:rFonts w:ascii="Times New Roman" w:hAnsi="Times New Roman" w:cs="Times New Roman"/>
          <w:sz w:val="24"/>
          <w:szCs w:val="24"/>
        </w:rPr>
        <w:t>(4)</w:t>
      </w:r>
      <w:r w:rsidR="00215F4D" w:rsidRPr="000C4364">
        <w:rPr>
          <w:rFonts w:ascii="Times New Roman" w:hAnsi="Times New Roman" w:cs="Times New Roman"/>
          <w:sz w:val="24"/>
          <w:szCs w:val="24"/>
        </w:rPr>
        <w:t>, pp.</w:t>
      </w:r>
      <w:r w:rsidRPr="000C4364">
        <w:rPr>
          <w:rFonts w:ascii="Times New Roman" w:hAnsi="Times New Roman" w:cs="Times New Roman"/>
          <w:sz w:val="24"/>
          <w:szCs w:val="24"/>
        </w:rPr>
        <w:t xml:space="preserve"> 748-773. </w:t>
      </w:r>
    </w:p>
    <w:p w:rsidR="006C16AA" w:rsidRPr="000C4364" w:rsidRDefault="00215F4D" w:rsidP="00633A72">
      <w:pPr>
        <w:spacing w:after="0" w:line="480" w:lineRule="auto"/>
        <w:rPr>
          <w:rFonts w:ascii="Times New Roman" w:hAnsi="Times New Roman" w:cs="Times New Roman"/>
          <w:iCs/>
          <w:color w:val="000000"/>
          <w:sz w:val="24"/>
          <w:szCs w:val="24"/>
          <w:shd w:val="clear" w:color="auto" w:fill="FFFFFF"/>
        </w:rPr>
      </w:pPr>
      <w:proofErr w:type="spellStart"/>
      <w:proofErr w:type="gramStart"/>
      <w:r w:rsidRPr="000C4364">
        <w:rPr>
          <w:rFonts w:ascii="Times New Roman" w:hAnsi="Times New Roman" w:cs="Times New Roman"/>
          <w:iCs/>
          <w:color w:val="000000"/>
          <w:sz w:val="24"/>
          <w:szCs w:val="24"/>
          <w:shd w:val="clear" w:color="auto" w:fill="FFFFFF"/>
        </w:rPr>
        <w:lastRenderedPageBreak/>
        <w:t>Cressy</w:t>
      </w:r>
      <w:proofErr w:type="spellEnd"/>
      <w:r w:rsidRPr="000C4364">
        <w:rPr>
          <w:rFonts w:ascii="Times New Roman" w:hAnsi="Times New Roman" w:cs="Times New Roman"/>
          <w:iCs/>
          <w:color w:val="000000"/>
          <w:sz w:val="24"/>
          <w:szCs w:val="24"/>
          <w:shd w:val="clear" w:color="auto" w:fill="FFFFFF"/>
        </w:rPr>
        <w:t xml:space="preserve">, R. and </w:t>
      </w:r>
      <w:proofErr w:type="spellStart"/>
      <w:r w:rsidR="008C417C" w:rsidRPr="000C4364">
        <w:rPr>
          <w:rFonts w:ascii="Times New Roman" w:hAnsi="Times New Roman" w:cs="Times New Roman"/>
          <w:iCs/>
          <w:color w:val="000000"/>
          <w:sz w:val="24"/>
          <w:szCs w:val="24"/>
          <w:shd w:val="clear" w:color="auto" w:fill="FFFFFF"/>
        </w:rPr>
        <w:t>Olofsson</w:t>
      </w:r>
      <w:proofErr w:type="spellEnd"/>
      <w:r w:rsidR="008840AD" w:rsidRPr="000C4364">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Cs/>
          <w:color w:val="000000"/>
          <w:sz w:val="24"/>
          <w:szCs w:val="24"/>
          <w:shd w:val="clear" w:color="auto" w:fill="FFFFFF"/>
        </w:rPr>
        <w:t xml:space="preserve"> </w:t>
      </w:r>
      <w:r w:rsidR="008840AD" w:rsidRPr="000C4364">
        <w:rPr>
          <w:rFonts w:ascii="Times New Roman" w:hAnsi="Times New Roman" w:cs="Times New Roman"/>
          <w:iCs/>
          <w:color w:val="000000"/>
          <w:sz w:val="24"/>
          <w:szCs w:val="24"/>
          <w:shd w:val="clear" w:color="auto" w:fill="FFFFFF"/>
        </w:rPr>
        <w:t xml:space="preserve">C. </w:t>
      </w:r>
      <w:r w:rsidRPr="000C4364">
        <w:rPr>
          <w:rFonts w:ascii="Times New Roman" w:hAnsi="Times New Roman" w:cs="Times New Roman"/>
          <w:iCs/>
          <w:color w:val="000000"/>
          <w:sz w:val="24"/>
          <w:szCs w:val="24"/>
          <w:shd w:val="clear" w:color="auto" w:fill="FFFFFF"/>
        </w:rPr>
        <w:t>(</w:t>
      </w:r>
      <w:r w:rsidR="00C03041" w:rsidRPr="000C4364">
        <w:rPr>
          <w:rFonts w:ascii="Times New Roman" w:hAnsi="Times New Roman" w:cs="Times New Roman"/>
          <w:iCs/>
          <w:color w:val="000000"/>
          <w:sz w:val="24"/>
          <w:szCs w:val="24"/>
          <w:shd w:val="clear" w:color="auto" w:fill="FFFFFF"/>
        </w:rPr>
        <w:t>1997</w:t>
      </w:r>
      <w:r w:rsidR="00633A72">
        <w:rPr>
          <w:rFonts w:ascii="Times New Roman" w:hAnsi="Times New Roman" w:cs="Times New Roman"/>
          <w:iCs/>
          <w:color w:val="000000"/>
          <w:sz w:val="24"/>
          <w:szCs w:val="24"/>
          <w:shd w:val="clear" w:color="auto" w:fill="FFFFFF"/>
        </w:rPr>
        <w:t>).</w:t>
      </w:r>
      <w:proofErr w:type="gramEnd"/>
      <w:r w:rsidR="008C417C" w:rsidRPr="000C4364">
        <w:rPr>
          <w:rFonts w:ascii="Times New Roman" w:hAnsi="Times New Roman" w:cs="Times New Roman"/>
          <w:iCs/>
          <w:color w:val="000000"/>
          <w:sz w:val="24"/>
          <w:szCs w:val="24"/>
          <w:shd w:val="clear" w:color="auto" w:fill="FFFFFF"/>
        </w:rPr>
        <w:t xml:space="preserve"> European SME financing: An overview</w:t>
      </w:r>
      <w:r w:rsidR="00633A72">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
          <w:iCs/>
          <w:color w:val="000000"/>
          <w:sz w:val="24"/>
          <w:szCs w:val="24"/>
          <w:shd w:val="clear" w:color="auto" w:fill="FFFFFF"/>
        </w:rPr>
        <w:t>Small Business Economics</w:t>
      </w:r>
      <w:r w:rsidR="008C417C" w:rsidRPr="000C4364">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
          <w:iCs/>
          <w:color w:val="000000"/>
          <w:sz w:val="24"/>
          <w:szCs w:val="24"/>
          <w:shd w:val="clear" w:color="auto" w:fill="FFFFFF"/>
        </w:rPr>
        <w:t xml:space="preserve"> </w:t>
      </w:r>
      <w:r w:rsidR="00C03041" w:rsidRPr="000C4364">
        <w:rPr>
          <w:rFonts w:ascii="Times New Roman" w:hAnsi="Times New Roman" w:cs="Times New Roman"/>
          <w:iCs/>
          <w:color w:val="000000"/>
          <w:sz w:val="24"/>
          <w:szCs w:val="24"/>
          <w:shd w:val="clear" w:color="auto" w:fill="FFFFFF"/>
        </w:rPr>
        <w:t>9</w:t>
      </w:r>
      <w:r w:rsidR="00633A72">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2</w:t>
      </w:r>
      <w:r w:rsidR="00633A72">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pp. </w:t>
      </w:r>
      <w:r w:rsidR="008C417C" w:rsidRPr="000C4364">
        <w:rPr>
          <w:rFonts w:ascii="Times New Roman" w:hAnsi="Times New Roman" w:cs="Times New Roman"/>
          <w:iCs/>
          <w:color w:val="000000"/>
          <w:sz w:val="24"/>
          <w:szCs w:val="24"/>
          <w:shd w:val="clear" w:color="auto" w:fill="FFFFFF"/>
        </w:rPr>
        <w:t xml:space="preserve">87-96. </w:t>
      </w:r>
    </w:p>
    <w:p w:rsidR="006C16AA" w:rsidRPr="000C4364" w:rsidRDefault="00215F4D" w:rsidP="00633A72">
      <w:p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Cull, R., Li, W., Sun, B. and</w:t>
      </w:r>
      <w:r w:rsidR="00C03041" w:rsidRPr="000C4364">
        <w:rPr>
          <w:rFonts w:ascii="Times New Roman" w:hAnsi="Times New Roman" w:cs="Times New Roman"/>
          <w:sz w:val="24"/>
          <w:szCs w:val="24"/>
        </w:rPr>
        <w:t xml:space="preserve"> Xu, L. C. </w:t>
      </w:r>
      <w:r w:rsidRPr="000C4364">
        <w:rPr>
          <w:rFonts w:ascii="Times New Roman" w:hAnsi="Times New Roman" w:cs="Times New Roman"/>
          <w:sz w:val="24"/>
          <w:szCs w:val="24"/>
        </w:rPr>
        <w:t>(</w:t>
      </w:r>
      <w:r w:rsidR="00C03041" w:rsidRPr="000C4364">
        <w:rPr>
          <w:rFonts w:ascii="Times New Roman" w:hAnsi="Times New Roman" w:cs="Times New Roman"/>
          <w:sz w:val="24"/>
          <w:szCs w:val="24"/>
        </w:rPr>
        <w:t>2015</w:t>
      </w:r>
      <w:r w:rsidR="00633A72">
        <w:rPr>
          <w:rFonts w:ascii="Times New Roman" w:hAnsi="Times New Roman" w:cs="Times New Roman"/>
          <w:sz w:val="24"/>
          <w:szCs w:val="24"/>
        </w:rPr>
        <w:t>).</w:t>
      </w:r>
      <w:r w:rsidR="00266119" w:rsidRPr="000C4364">
        <w:rPr>
          <w:rFonts w:ascii="Times New Roman" w:hAnsi="Times New Roman" w:cs="Times New Roman"/>
          <w:sz w:val="24"/>
          <w:szCs w:val="24"/>
        </w:rPr>
        <w:t xml:space="preserve"> Government connections and financial constraints: evidence from a large representative sample of Chinese firms</w:t>
      </w:r>
      <w:r w:rsidR="00633A72">
        <w:rPr>
          <w:rFonts w:ascii="Times New Roman" w:hAnsi="Times New Roman" w:cs="Times New Roman"/>
          <w:sz w:val="24"/>
          <w:szCs w:val="24"/>
        </w:rPr>
        <w:t>.</w:t>
      </w:r>
      <w:r w:rsidR="00266119" w:rsidRPr="000C4364">
        <w:rPr>
          <w:rFonts w:ascii="Times New Roman" w:hAnsi="Times New Roman" w:cs="Times New Roman"/>
          <w:sz w:val="24"/>
          <w:szCs w:val="24"/>
        </w:rPr>
        <w:t xml:space="preserve"> </w:t>
      </w:r>
      <w:r w:rsidR="00695A8E" w:rsidRPr="000C4364">
        <w:rPr>
          <w:rFonts w:ascii="Times New Roman" w:hAnsi="Times New Roman" w:cs="Times New Roman"/>
          <w:i/>
          <w:sz w:val="24"/>
          <w:szCs w:val="24"/>
        </w:rPr>
        <w:t>Journal of Corporate Finance</w:t>
      </w:r>
      <w:r w:rsidR="00C03041" w:rsidRPr="000C4364">
        <w:rPr>
          <w:rFonts w:ascii="Times New Roman" w:hAnsi="Times New Roman" w:cs="Times New Roman"/>
          <w:sz w:val="24"/>
          <w:szCs w:val="24"/>
        </w:rPr>
        <w:t>, 32</w:t>
      </w:r>
      <w:r w:rsidRPr="000C4364">
        <w:rPr>
          <w:rFonts w:ascii="Times New Roman" w:hAnsi="Times New Roman" w:cs="Times New Roman"/>
          <w:sz w:val="24"/>
          <w:szCs w:val="24"/>
        </w:rPr>
        <w:t xml:space="preserve">, pp. </w:t>
      </w:r>
      <w:r w:rsidR="008C417C" w:rsidRPr="000C4364">
        <w:rPr>
          <w:rFonts w:ascii="Times New Roman" w:hAnsi="Times New Roman" w:cs="Times New Roman"/>
          <w:sz w:val="24"/>
          <w:szCs w:val="24"/>
        </w:rPr>
        <w:t>271-294.</w:t>
      </w:r>
    </w:p>
    <w:p w:rsidR="006C16AA" w:rsidRPr="000C4364" w:rsidRDefault="008C417C" w:rsidP="00633A72">
      <w:pPr>
        <w:spacing w:after="0" w:line="480" w:lineRule="auto"/>
        <w:rPr>
          <w:rFonts w:ascii="Times New Roman" w:hAnsi="Times New Roman" w:cs="Times New Roman"/>
          <w:iCs/>
          <w:color w:val="000000"/>
          <w:sz w:val="24"/>
          <w:szCs w:val="24"/>
          <w:shd w:val="clear" w:color="auto" w:fill="FFFFFF"/>
        </w:rPr>
      </w:pPr>
      <w:r w:rsidRPr="000C4364">
        <w:rPr>
          <w:rFonts w:ascii="Times New Roman" w:hAnsi="Times New Roman" w:cs="Times New Roman"/>
          <w:iCs/>
          <w:color w:val="000000"/>
          <w:sz w:val="24"/>
          <w:szCs w:val="24"/>
          <w:shd w:val="clear" w:color="auto" w:fill="FFFFFF"/>
        </w:rPr>
        <w:t>Cook,</w:t>
      </w:r>
      <w:r w:rsidR="00C03041" w:rsidRPr="000C4364">
        <w:rPr>
          <w:rFonts w:ascii="Times New Roman" w:hAnsi="Times New Roman" w:cs="Times New Roman"/>
          <w:iCs/>
          <w:color w:val="000000"/>
          <w:sz w:val="24"/>
          <w:szCs w:val="24"/>
          <w:shd w:val="clear" w:color="auto" w:fill="FFFFFF"/>
        </w:rPr>
        <w:t xml:space="preserve"> L.S.D. </w:t>
      </w:r>
      <w:r w:rsidR="00E46C22" w:rsidRPr="000C4364">
        <w:rPr>
          <w:rFonts w:ascii="Times New Roman" w:hAnsi="Times New Roman" w:cs="Times New Roman"/>
          <w:iCs/>
          <w:color w:val="000000"/>
          <w:sz w:val="24"/>
          <w:szCs w:val="24"/>
          <w:shd w:val="clear" w:color="auto" w:fill="FFFFFF"/>
        </w:rPr>
        <w:t>(</w:t>
      </w:r>
      <w:r w:rsidR="00C03041" w:rsidRPr="000C4364">
        <w:rPr>
          <w:rFonts w:ascii="Times New Roman" w:hAnsi="Times New Roman" w:cs="Times New Roman"/>
          <w:iCs/>
          <w:color w:val="000000"/>
          <w:sz w:val="24"/>
          <w:szCs w:val="24"/>
          <w:shd w:val="clear" w:color="auto" w:fill="FFFFFF"/>
        </w:rPr>
        <w:t>1999</w:t>
      </w:r>
      <w:r w:rsidR="00E46C22"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w:t>
      </w:r>
      <w:r w:rsidR="00E46C22"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Trade credit and bank finance: financing small firms in Russia</w:t>
      </w:r>
      <w:r w:rsidR="00E46C22"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w:t>
      </w:r>
      <w:r w:rsidRPr="000C4364">
        <w:rPr>
          <w:rFonts w:ascii="Times New Roman" w:hAnsi="Times New Roman" w:cs="Times New Roman"/>
          <w:i/>
          <w:iCs/>
          <w:color w:val="000000"/>
          <w:sz w:val="24"/>
          <w:szCs w:val="24"/>
          <w:shd w:val="clear" w:color="auto" w:fill="FFFFFF"/>
        </w:rPr>
        <w:t>Journal of Business Venturing,</w:t>
      </w:r>
      <w:r w:rsidR="00E46C22" w:rsidRPr="000C4364">
        <w:rPr>
          <w:rFonts w:ascii="Times New Roman" w:hAnsi="Times New Roman" w:cs="Times New Roman"/>
          <w:iCs/>
          <w:color w:val="000000"/>
          <w:sz w:val="24"/>
          <w:szCs w:val="24"/>
          <w:shd w:val="clear" w:color="auto" w:fill="FFFFFF"/>
        </w:rPr>
        <w:t xml:space="preserve"> </w:t>
      </w:r>
      <w:r w:rsidR="00C03041" w:rsidRPr="000C4364">
        <w:rPr>
          <w:rFonts w:ascii="Times New Roman" w:hAnsi="Times New Roman" w:cs="Times New Roman"/>
          <w:iCs/>
          <w:color w:val="000000"/>
          <w:sz w:val="24"/>
          <w:szCs w:val="24"/>
          <w:shd w:val="clear" w:color="auto" w:fill="FFFFFF"/>
        </w:rPr>
        <w:t>14</w:t>
      </w:r>
      <w:r w:rsidR="00633A72">
        <w:rPr>
          <w:rFonts w:ascii="Times New Roman" w:hAnsi="Times New Roman" w:cs="Times New Roman"/>
          <w:iCs/>
          <w:color w:val="000000"/>
          <w:sz w:val="24"/>
          <w:szCs w:val="24"/>
          <w:shd w:val="clear" w:color="auto" w:fill="FFFFFF"/>
        </w:rPr>
        <w:t>(5-6)</w:t>
      </w:r>
      <w:r w:rsidR="00E46C22" w:rsidRPr="000C4364">
        <w:rPr>
          <w:rFonts w:ascii="Times New Roman" w:hAnsi="Times New Roman" w:cs="Times New Roman"/>
          <w:iCs/>
          <w:color w:val="000000"/>
          <w:sz w:val="24"/>
          <w:szCs w:val="24"/>
          <w:shd w:val="clear" w:color="auto" w:fill="FFFFFF"/>
        </w:rPr>
        <w:t>, pp.</w:t>
      </w:r>
      <w:r w:rsidR="00C03041" w:rsidRPr="000C4364">
        <w:rPr>
          <w:rFonts w:ascii="Times New Roman" w:hAnsi="Times New Roman" w:cs="Times New Roman"/>
          <w:iCs/>
          <w:color w:val="000000"/>
          <w:sz w:val="24"/>
          <w:szCs w:val="24"/>
          <w:shd w:val="clear" w:color="auto" w:fill="FFFFFF"/>
        </w:rPr>
        <w:t xml:space="preserve"> </w:t>
      </w:r>
      <w:r w:rsidRPr="000C4364">
        <w:rPr>
          <w:rFonts w:ascii="Times New Roman" w:hAnsi="Times New Roman" w:cs="Times New Roman"/>
          <w:iCs/>
          <w:color w:val="000000"/>
          <w:sz w:val="24"/>
          <w:szCs w:val="24"/>
          <w:shd w:val="clear" w:color="auto" w:fill="FFFFFF"/>
        </w:rPr>
        <w:t>493-518.</w:t>
      </w:r>
    </w:p>
    <w:p w:rsidR="006C16AA" w:rsidRPr="000C4364" w:rsidRDefault="00C03041" w:rsidP="000C4364">
      <w:pPr>
        <w:spacing w:after="0" w:line="480" w:lineRule="auto"/>
        <w:ind w:left="567" w:hanging="567"/>
        <w:rPr>
          <w:rFonts w:ascii="Times New Roman" w:hAnsi="Times New Roman" w:cs="Times New Roman"/>
          <w:sz w:val="24"/>
          <w:szCs w:val="24"/>
        </w:rPr>
      </w:pPr>
      <w:proofErr w:type="spellStart"/>
      <w:r w:rsidRPr="000C4364">
        <w:rPr>
          <w:rFonts w:ascii="Times New Roman" w:hAnsi="Times New Roman" w:cs="Times New Roman"/>
          <w:sz w:val="24"/>
          <w:szCs w:val="24"/>
        </w:rPr>
        <w:t>Dasgupta</w:t>
      </w:r>
      <w:proofErr w:type="spellEnd"/>
      <w:r w:rsidRPr="000C4364">
        <w:rPr>
          <w:rFonts w:ascii="Times New Roman" w:hAnsi="Times New Roman" w:cs="Times New Roman"/>
          <w:sz w:val="24"/>
          <w:szCs w:val="24"/>
        </w:rPr>
        <w:t xml:space="preserve">, P. </w:t>
      </w:r>
      <w:r w:rsidR="00E46C22" w:rsidRPr="000C4364">
        <w:rPr>
          <w:rFonts w:ascii="Times New Roman" w:hAnsi="Times New Roman" w:cs="Times New Roman"/>
          <w:sz w:val="24"/>
          <w:szCs w:val="24"/>
        </w:rPr>
        <w:t>(</w:t>
      </w:r>
      <w:r w:rsidRPr="000C4364">
        <w:rPr>
          <w:rFonts w:ascii="Times New Roman" w:hAnsi="Times New Roman" w:cs="Times New Roman"/>
          <w:sz w:val="24"/>
          <w:szCs w:val="24"/>
        </w:rPr>
        <w:t>2005</w:t>
      </w:r>
      <w:r w:rsidR="00633A72">
        <w:rPr>
          <w:rFonts w:ascii="Times New Roman" w:hAnsi="Times New Roman" w:cs="Times New Roman"/>
          <w:sz w:val="24"/>
          <w:szCs w:val="24"/>
        </w:rPr>
        <w:t xml:space="preserve">). </w:t>
      </w:r>
      <w:proofErr w:type="gramStart"/>
      <w:r w:rsidR="008C417C" w:rsidRPr="000C4364">
        <w:rPr>
          <w:rFonts w:ascii="Times New Roman" w:hAnsi="Times New Roman" w:cs="Times New Roman"/>
          <w:sz w:val="24"/>
          <w:szCs w:val="24"/>
        </w:rPr>
        <w:t>Economics of social capital</w:t>
      </w:r>
      <w:r w:rsidR="00633A72">
        <w:rPr>
          <w:rFonts w:ascii="Times New Roman" w:hAnsi="Times New Roman" w:cs="Times New Roman"/>
          <w:sz w:val="24"/>
          <w:szCs w:val="24"/>
        </w:rPr>
        <w:t>.</w:t>
      </w:r>
      <w:proofErr w:type="gramEnd"/>
      <w:r w:rsidR="00633A72">
        <w:rPr>
          <w:rFonts w:ascii="Times New Roman" w:hAnsi="Times New Roman" w:cs="Times New Roman"/>
          <w:sz w:val="24"/>
          <w:szCs w:val="24"/>
        </w:rPr>
        <w:t xml:space="preserve"> </w:t>
      </w:r>
      <w:r w:rsidR="008C417C" w:rsidRPr="000C4364">
        <w:rPr>
          <w:rFonts w:ascii="Times New Roman" w:hAnsi="Times New Roman" w:cs="Times New Roman"/>
          <w:i/>
          <w:sz w:val="24"/>
          <w:szCs w:val="24"/>
        </w:rPr>
        <w:t>Economic Record</w:t>
      </w:r>
      <w:r w:rsidRPr="000C4364">
        <w:rPr>
          <w:rFonts w:ascii="Times New Roman" w:hAnsi="Times New Roman" w:cs="Times New Roman"/>
          <w:sz w:val="24"/>
          <w:szCs w:val="24"/>
        </w:rPr>
        <w:t>, 81</w:t>
      </w:r>
      <w:r w:rsidR="00633A72">
        <w:rPr>
          <w:rFonts w:ascii="Times New Roman" w:hAnsi="Times New Roman" w:cs="Times New Roman"/>
          <w:sz w:val="24"/>
          <w:szCs w:val="24"/>
        </w:rPr>
        <w:t>(225)</w:t>
      </w:r>
      <w:r w:rsidR="00E46C22" w:rsidRPr="000C4364">
        <w:rPr>
          <w:rFonts w:ascii="Times New Roman" w:hAnsi="Times New Roman" w:cs="Times New Roman"/>
          <w:sz w:val="24"/>
          <w:szCs w:val="24"/>
        </w:rPr>
        <w:t xml:space="preserve">, pp. </w:t>
      </w:r>
      <w:r w:rsidR="008C417C" w:rsidRPr="000C4364">
        <w:rPr>
          <w:rFonts w:ascii="Times New Roman" w:hAnsi="Times New Roman" w:cs="Times New Roman"/>
          <w:sz w:val="24"/>
          <w:szCs w:val="24"/>
        </w:rPr>
        <w:t xml:space="preserve">2-21. </w:t>
      </w:r>
    </w:p>
    <w:p w:rsidR="006C16AA" w:rsidRPr="000C4364" w:rsidRDefault="00C03041" w:rsidP="00633A72">
      <w:pPr>
        <w:spacing w:after="0" w:line="480" w:lineRule="auto"/>
        <w:rPr>
          <w:rFonts w:ascii="Times New Roman" w:hAnsi="Times New Roman" w:cs="Times New Roman"/>
          <w:sz w:val="24"/>
          <w:szCs w:val="24"/>
        </w:rPr>
      </w:pPr>
      <w:proofErr w:type="spellStart"/>
      <w:r w:rsidRPr="000C4364">
        <w:rPr>
          <w:rFonts w:ascii="Times New Roman" w:hAnsi="Times New Roman" w:cs="Times New Roman"/>
          <w:sz w:val="24"/>
          <w:szCs w:val="24"/>
        </w:rPr>
        <w:t>Duvanova</w:t>
      </w:r>
      <w:proofErr w:type="spellEnd"/>
      <w:r w:rsidRPr="000C4364">
        <w:rPr>
          <w:rFonts w:ascii="Times New Roman" w:hAnsi="Times New Roman" w:cs="Times New Roman"/>
          <w:sz w:val="24"/>
          <w:szCs w:val="24"/>
        </w:rPr>
        <w:t xml:space="preserve">, D. </w:t>
      </w:r>
      <w:r w:rsidR="00E46C22" w:rsidRPr="000C4364">
        <w:rPr>
          <w:rFonts w:ascii="Times New Roman" w:hAnsi="Times New Roman" w:cs="Times New Roman"/>
          <w:sz w:val="24"/>
          <w:szCs w:val="24"/>
        </w:rPr>
        <w:t>(</w:t>
      </w:r>
      <w:r w:rsidRPr="000C4364">
        <w:rPr>
          <w:rFonts w:ascii="Times New Roman" w:hAnsi="Times New Roman" w:cs="Times New Roman"/>
          <w:sz w:val="24"/>
          <w:szCs w:val="24"/>
        </w:rPr>
        <w:t>2014</w:t>
      </w:r>
      <w:r w:rsidR="00633A72">
        <w:rPr>
          <w:rFonts w:ascii="Times New Roman" w:hAnsi="Times New Roman" w:cs="Times New Roman"/>
          <w:sz w:val="24"/>
          <w:szCs w:val="24"/>
        </w:rPr>
        <w:t xml:space="preserve">). </w:t>
      </w:r>
      <w:proofErr w:type="gramStart"/>
      <w:r w:rsidR="008C417C" w:rsidRPr="000C4364">
        <w:rPr>
          <w:rFonts w:ascii="Times New Roman" w:hAnsi="Times New Roman" w:cs="Times New Roman"/>
          <w:sz w:val="24"/>
          <w:szCs w:val="24"/>
        </w:rPr>
        <w:t>Economic regulations, red tape, and bureaucratic corrupt</w:t>
      </w:r>
      <w:r w:rsidR="00E46C22" w:rsidRPr="000C4364">
        <w:rPr>
          <w:rFonts w:ascii="Times New Roman" w:hAnsi="Times New Roman" w:cs="Times New Roman"/>
          <w:sz w:val="24"/>
          <w:szCs w:val="24"/>
        </w:rPr>
        <w:t>i</w:t>
      </w:r>
      <w:r w:rsidR="00633A72">
        <w:rPr>
          <w:rFonts w:ascii="Times New Roman" w:hAnsi="Times New Roman" w:cs="Times New Roman"/>
          <w:sz w:val="24"/>
          <w:szCs w:val="24"/>
        </w:rPr>
        <w:t>on in post-communist economies.</w:t>
      </w:r>
      <w:proofErr w:type="gramEnd"/>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 xml:space="preserve">World Development, </w:t>
      </w:r>
      <w:r w:rsidRPr="000C4364">
        <w:rPr>
          <w:rFonts w:ascii="Times New Roman" w:hAnsi="Times New Roman" w:cs="Times New Roman"/>
          <w:sz w:val="24"/>
          <w:szCs w:val="24"/>
        </w:rPr>
        <w:t>59</w:t>
      </w:r>
      <w:r w:rsidR="00633A72">
        <w:rPr>
          <w:rFonts w:ascii="Times New Roman" w:hAnsi="Times New Roman" w:cs="Times New Roman"/>
          <w:sz w:val="24"/>
          <w:szCs w:val="24"/>
        </w:rPr>
        <w:t xml:space="preserve"> (C)</w:t>
      </w:r>
      <w:r w:rsidR="00E46C22" w:rsidRPr="000C4364">
        <w:rPr>
          <w:rFonts w:ascii="Times New Roman" w:hAnsi="Times New Roman" w:cs="Times New Roman"/>
          <w:sz w:val="24"/>
          <w:szCs w:val="24"/>
        </w:rPr>
        <w:t xml:space="preserve">, pp. </w:t>
      </w:r>
      <w:r w:rsidR="008C417C" w:rsidRPr="000C4364">
        <w:rPr>
          <w:rFonts w:ascii="Times New Roman" w:hAnsi="Times New Roman" w:cs="Times New Roman"/>
          <w:sz w:val="24"/>
          <w:szCs w:val="24"/>
        </w:rPr>
        <w:t>298-312.</w:t>
      </w:r>
    </w:p>
    <w:p w:rsidR="006C16AA" w:rsidRPr="000C4364" w:rsidRDefault="00E46C22" w:rsidP="00633A72">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Dow, S., Ghosh, D. and</w:t>
      </w:r>
      <w:r w:rsidR="00C03041" w:rsidRPr="000C4364">
        <w:rPr>
          <w:rFonts w:ascii="Times New Roman" w:hAnsi="Times New Roman" w:cs="Times New Roman"/>
          <w:sz w:val="24"/>
          <w:szCs w:val="24"/>
        </w:rPr>
        <w:t xml:space="preserve"> </w:t>
      </w:r>
      <w:r w:rsidR="00633A72">
        <w:rPr>
          <w:rFonts w:ascii="Times New Roman" w:hAnsi="Times New Roman" w:cs="Times New Roman"/>
          <w:sz w:val="24"/>
          <w:szCs w:val="24"/>
        </w:rPr>
        <w:t>Ruziev, K. (2008).</w:t>
      </w:r>
      <w:proofErr w:type="gramEnd"/>
      <w:r w:rsidR="00633A72">
        <w:rPr>
          <w:rFonts w:ascii="Times New Roman" w:hAnsi="Times New Roman" w:cs="Times New Roman"/>
          <w:sz w:val="24"/>
          <w:szCs w:val="24"/>
        </w:rPr>
        <w:t xml:space="preserve"> </w:t>
      </w:r>
      <w:proofErr w:type="gramStart"/>
      <w:r w:rsidR="00695A8E" w:rsidRPr="000C4364">
        <w:rPr>
          <w:rFonts w:ascii="Times New Roman" w:hAnsi="Times New Roman" w:cs="Times New Roman"/>
          <w:sz w:val="24"/>
          <w:szCs w:val="24"/>
        </w:rPr>
        <w:t>A stages approach to banking development in transition economies</w:t>
      </w:r>
      <w:r w:rsidR="00633A72">
        <w:rPr>
          <w:rFonts w:ascii="Times New Roman" w:hAnsi="Times New Roman" w:cs="Times New Roman"/>
          <w:sz w:val="24"/>
          <w:szCs w:val="24"/>
        </w:rPr>
        <w:t>.</w:t>
      </w:r>
      <w:proofErr w:type="gramEnd"/>
      <w:r w:rsidR="00695A8E" w:rsidRPr="000C4364">
        <w:rPr>
          <w:rFonts w:ascii="Times New Roman" w:hAnsi="Times New Roman" w:cs="Times New Roman"/>
          <w:sz w:val="24"/>
          <w:szCs w:val="24"/>
        </w:rPr>
        <w:t xml:space="preserve"> </w:t>
      </w:r>
      <w:r w:rsidR="008C417C" w:rsidRPr="000C4364">
        <w:rPr>
          <w:rFonts w:ascii="Times New Roman" w:hAnsi="Times New Roman" w:cs="Times New Roman"/>
          <w:i/>
          <w:iCs/>
          <w:sz w:val="24"/>
          <w:szCs w:val="24"/>
        </w:rPr>
        <w:t>Journal of Post Keynesian Economics</w:t>
      </w:r>
      <w:r w:rsidR="008C417C" w:rsidRPr="000C4364">
        <w:rPr>
          <w:rFonts w:ascii="Times New Roman" w:hAnsi="Times New Roman" w:cs="Times New Roman"/>
          <w:sz w:val="24"/>
          <w:szCs w:val="24"/>
        </w:rPr>
        <w:t>, 31</w:t>
      </w:r>
      <w:r w:rsidR="00633A72">
        <w:rPr>
          <w:rFonts w:ascii="Times New Roman" w:hAnsi="Times New Roman" w:cs="Times New Roman"/>
          <w:sz w:val="24"/>
          <w:szCs w:val="24"/>
        </w:rPr>
        <w:t xml:space="preserve"> (1)</w:t>
      </w:r>
      <w:r w:rsidR="008C417C" w:rsidRPr="000C4364">
        <w:rPr>
          <w:rFonts w:ascii="Times New Roman" w:hAnsi="Times New Roman" w:cs="Times New Roman"/>
          <w:sz w:val="24"/>
          <w:szCs w:val="24"/>
        </w:rPr>
        <w:t>,</w:t>
      </w:r>
      <w:r w:rsidRPr="000C4364">
        <w:rPr>
          <w:rFonts w:ascii="Times New Roman" w:hAnsi="Times New Roman" w:cs="Times New Roman"/>
          <w:sz w:val="24"/>
          <w:szCs w:val="24"/>
        </w:rPr>
        <w:t xml:space="preserve"> pp.</w:t>
      </w:r>
      <w:r w:rsidR="008C417C" w:rsidRPr="000C4364">
        <w:rPr>
          <w:rFonts w:ascii="Times New Roman" w:hAnsi="Times New Roman" w:cs="Times New Roman"/>
          <w:sz w:val="24"/>
          <w:szCs w:val="24"/>
        </w:rPr>
        <w:t xml:space="preserve"> 3-33. </w:t>
      </w:r>
    </w:p>
    <w:p w:rsidR="006C16AA" w:rsidRPr="000C4364" w:rsidRDefault="00E46C22" w:rsidP="00633A72">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EBRD</w:t>
      </w:r>
      <w:r w:rsidR="00D470CC" w:rsidRPr="000C4364">
        <w:rPr>
          <w:rFonts w:ascii="Times New Roman" w:hAnsi="Times New Roman" w:cs="Times New Roman"/>
          <w:sz w:val="24"/>
          <w:szCs w:val="24"/>
        </w:rPr>
        <w:t xml:space="preserve"> </w:t>
      </w:r>
      <w:r w:rsidRPr="000C4364">
        <w:rPr>
          <w:rFonts w:ascii="Times New Roman" w:hAnsi="Times New Roman" w:cs="Times New Roman"/>
          <w:sz w:val="24"/>
          <w:szCs w:val="24"/>
        </w:rPr>
        <w:t>(</w:t>
      </w:r>
      <w:r w:rsidR="00D470CC" w:rsidRPr="000C4364">
        <w:rPr>
          <w:rFonts w:ascii="Times New Roman" w:hAnsi="Times New Roman" w:cs="Times New Roman"/>
          <w:sz w:val="24"/>
          <w:szCs w:val="24"/>
        </w:rPr>
        <w:t>2006</w:t>
      </w:r>
      <w:r w:rsidR="00633A72">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Transition Report</w:t>
      </w:r>
      <w:r w:rsidRPr="000C4364">
        <w:rPr>
          <w:rFonts w:ascii="Times New Roman" w:hAnsi="Times New Roman" w:cs="Times New Roman"/>
          <w:i/>
          <w:sz w:val="24"/>
          <w:szCs w:val="24"/>
        </w:rPr>
        <w:t>,</w:t>
      </w:r>
      <w:r w:rsidR="008C417C" w:rsidRPr="000C4364">
        <w:rPr>
          <w:rFonts w:ascii="Times New Roman" w:hAnsi="Times New Roman" w:cs="Times New Roman"/>
          <w:sz w:val="24"/>
          <w:szCs w:val="24"/>
        </w:rPr>
        <w:t xml:space="preserve"> London: European Bank for Reconstruction and Development (EBRD).</w:t>
      </w:r>
    </w:p>
    <w:p w:rsidR="008840AD" w:rsidRPr="000C4364" w:rsidRDefault="00E46C22" w:rsidP="00633A72">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EBRD</w:t>
      </w:r>
      <w:r w:rsidR="00D470CC" w:rsidRPr="000C4364">
        <w:rPr>
          <w:rFonts w:ascii="Times New Roman" w:hAnsi="Times New Roman" w:cs="Times New Roman"/>
          <w:sz w:val="24"/>
          <w:szCs w:val="24"/>
        </w:rPr>
        <w:t xml:space="preserve"> </w:t>
      </w:r>
      <w:r w:rsidRPr="000C4364">
        <w:rPr>
          <w:rFonts w:ascii="Times New Roman" w:hAnsi="Times New Roman" w:cs="Times New Roman"/>
          <w:sz w:val="24"/>
          <w:szCs w:val="24"/>
        </w:rPr>
        <w:t>(</w:t>
      </w:r>
      <w:r w:rsidR="00D470CC" w:rsidRPr="000C4364">
        <w:rPr>
          <w:rFonts w:ascii="Times New Roman" w:hAnsi="Times New Roman" w:cs="Times New Roman"/>
          <w:sz w:val="24"/>
          <w:szCs w:val="24"/>
        </w:rPr>
        <w:t>2011</w:t>
      </w:r>
      <w:r w:rsidR="00633A72">
        <w:rPr>
          <w:rFonts w:ascii="Times New Roman" w:hAnsi="Times New Roman" w:cs="Times New Roman"/>
          <w:sz w:val="24"/>
          <w:szCs w:val="24"/>
        </w:rPr>
        <w:t>).</w:t>
      </w:r>
      <w:proofErr w:type="gramEnd"/>
      <w:r w:rsidR="008840AD" w:rsidRPr="000C4364">
        <w:rPr>
          <w:rFonts w:ascii="Times New Roman" w:hAnsi="Times New Roman" w:cs="Times New Roman"/>
          <w:sz w:val="24"/>
          <w:szCs w:val="24"/>
        </w:rPr>
        <w:t xml:space="preserve"> </w:t>
      </w:r>
      <w:r w:rsidR="008840AD" w:rsidRPr="000C4364">
        <w:rPr>
          <w:rFonts w:ascii="Times New Roman" w:hAnsi="Times New Roman" w:cs="Times New Roman"/>
          <w:i/>
          <w:sz w:val="24"/>
          <w:szCs w:val="24"/>
        </w:rPr>
        <w:t>Transition Report</w:t>
      </w:r>
      <w:r w:rsidRPr="000C4364">
        <w:rPr>
          <w:rFonts w:ascii="Times New Roman" w:hAnsi="Times New Roman" w:cs="Times New Roman"/>
          <w:sz w:val="24"/>
          <w:szCs w:val="24"/>
        </w:rPr>
        <w:t>,</w:t>
      </w:r>
      <w:r w:rsidR="008840AD" w:rsidRPr="000C4364">
        <w:rPr>
          <w:rFonts w:ascii="Times New Roman" w:hAnsi="Times New Roman" w:cs="Times New Roman"/>
          <w:sz w:val="24"/>
          <w:szCs w:val="24"/>
        </w:rPr>
        <w:t xml:space="preserve"> London: European Bank for Reconstruction and Development (EBRD).</w:t>
      </w:r>
    </w:p>
    <w:p w:rsidR="006C16AA" w:rsidRPr="000C4364" w:rsidRDefault="00E46C22" w:rsidP="00633A72">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EBRD</w:t>
      </w:r>
      <w:r w:rsidR="00D470CC" w:rsidRPr="000C4364">
        <w:rPr>
          <w:rFonts w:ascii="Times New Roman" w:hAnsi="Times New Roman" w:cs="Times New Roman"/>
          <w:sz w:val="24"/>
          <w:szCs w:val="24"/>
        </w:rPr>
        <w:t xml:space="preserve"> </w:t>
      </w:r>
      <w:r w:rsidRPr="000C4364">
        <w:rPr>
          <w:rFonts w:ascii="Times New Roman" w:hAnsi="Times New Roman" w:cs="Times New Roman"/>
          <w:sz w:val="24"/>
          <w:szCs w:val="24"/>
        </w:rPr>
        <w:t>(</w:t>
      </w:r>
      <w:r w:rsidR="00D470CC" w:rsidRPr="000C4364">
        <w:rPr>
          <w:rFonts w:ascii="Times New Roman" w:hAnsi="Times New Roman" w:cs="Times New Roman"/>
          <w:sz w:val="24"/>
          <w:szCs w:val="24"/>
        </w:rPr>
        <w:t>2016</w:t>
      </w:r>
      <w:r w:rsidR="00633A72">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Business Environment and Enterprise Performance Survey</w:t>
      </w:r>
      <w:r w:rsidR="008C417C" w:rsidRPr="000C4364">
        <w:rPr>
          <w:rFonts w:ascii="Times New Roman" w:hAnsi="Times New Roman" w:cs="Times New Roman"/>
          <w:sz w:val="24"/>
          <w:szCs w:val="24"/>
        </w:rPr>
        <w:t xml:space="preserve"> (BEEPS). London: EBRD. http://ebrd-</w:t>
      </w:r>
      <w:r w:rsidR="00633A72">
        <w:rPr>
          <w:rFonts w:ascii="Times New Roman" w:hAnsi="Times New Roman" w:cs="Times New Roman"/>
          <w:sz w:val="24"/>
          <w:szCs w:val="24"/>
        </w:rPr>
        <w:t xml:space="preserve">beeps.com/. </w:t>
      </w:r>
      <w:proofErr w:type="gramStart"/>
      <w:r w:rsidR="00633A72">
        <w:rPr>
          <w:rFonts w:ascii="Times New Roman" w:hAnsi="Times New Roman" w:cs="Times New Roman"/>
          <w:sz w:val="24"/>
          <w:szCs w:val="24"/>
        </w:rPr>
        <w:t>Accessed 26 May 201</w:t>
      </w:r>
      <w:r w:rsidR="004C7887">
        <w:rPr>
          <w:rFonts w:ascii="Times New Roman" w:hAnsi="Times New Roman" w:cs="Times New Roman"/>
          <w:sz w:val="24"/>
          <w:szCs w:val="24"/>
        </w:rPr>
        <w:t>7</w:t>
      </w:r>
      <w:r w:rsidR="008C417C" w:rsidRPr="000C4364">
        <w:rPr>
          <w:rFonts w:ascii="Times New Roman" w:hAnsi="Times New Roman" w:cs="Times New Roman"/>
          <w:sz w:val="24"/>
          <w:szCs w:val="24"/>
        </w:rPr>
        <w:t>.</w:t>
      </w:r>
      <w:proofErr w:type="gramEnd"/>
    </w:p>
    <w:p w:rsidR="006C16AA" w:rsidRPr="000C4364" w:rsidRDefault="008C417C" w:rsidP="00633A72">
      <w:pPr>
        <w:spacing w:after="0" w:line="480" w:lineRule="auto"/>
        <w:rPr>
          <w:rFonts w:ascii="Times New Roman" w:hAnsi="Times New Roman" w:cs="Times New Roman"/>
          <w:iCs/>
          <w:color w:val="000000"/>
          <w:sz w:val="24"/>
          <w:szCs w:val="24"/>
          <w:shd w:val="clear" w:color="auto" w:fill="FFFFFF"/>
        </w:rPr>
      </w:pPr>
      <w:proofErr w:type="gramStart"/>
      <w:r w:rsidRPr="000C4364">
        <w:rPr>
          <w:rFonts w:ascii="Times New Roman" w:hAnsi="Times New Roman" w:cs="Times New Roman"/>
          <w:iCs/>
          <w:color w:val="000000"/>
          <w:sz w:val="24"/>
          <w:szCs w:val="24"/>
          <w:shd w:val="clear" w:color="auto" w:fill="FFFFFF"/>
        </w:rPr>
        <w:t>de</w:t>
      </w:r>
      <w:proofErr w:type="gramEnd"/>
      <w:r w:rsidRPr="000C4364">
        <w:rPr>
          <w:rFonts w:ascii="Times New Roman" w:hAnsi="Times New Roman" w:cs="Times New Roman"/>
          <w:iCs/>
          <w:color w:val="000000"/>
          <w:sz w:val="24"/>
          <w:szCs w:val="24"/>
          <w:shd w:val="clear" w:color="auto" w:fill="FFFFFF"/>
        </w:rPr>
        <w:t xml:space="preserve"> la Torre, S</w:t>
      </w:r>
      <w:r w:rsidR="00E46C22" w:rsidRPr="000C4364">
        <w:rPr>
          <w:rFonts w:ascii="Times New Roman" w:hAnsi="Times New Roman" w:cs="Times New Roman"/>
          <w:iCs/>
          <w:color w:val="000000"/>
          <w:sz w:val="24"/>
          <w:szCs w:val="24"/>
          <w:shd w:val="clear" w:color="auto" w:fill="FFFFFF"/>
        </w:rPr>
        <w:t xml:space="preserve">oledad Martinez </w:t>
      </w:r>
      <w:proofErr w:type="spellStart"/>
      <w:r w:rsidR="00E46C22" w:rsidRPr="000C4364">
        <w:rPr>
          <w:rFonts w:ascii="Times New Roman" w:hAnsi="Times New Roman" w:cs="Times New Roman"/>
          <w:iCs/>
          <w:color w:val="000000"/>
          <w:sz w:val="24"/>
          <w:szCs w:val="24"/>
          <w:shd w:val="clear" w:color="auto" w:fill="FFFFFF"/>
        </w:rPr>
        <w:t>Peria</w:t>
      </w:r>
      <w:proofErr w:type="spellEnd"/>
      <w:r w:rsidR="00E46C22" w:rsidRPr="000C4364">
        <w:rPr>
          <w:rFonts w:ascii="Times New Roman" w:hAnsi="Times New Roman" w:cs="Times New Roman"/>
          <w:iCs/>
          <w:color w:val="000000"/>
          <w:sz w:val="24"/>
          <w:szCs w:val="24"/>
          <w:shd w:val="clear" w:color="auto" w:fill="FFFFFF"/>
        </w:rPr>
        <w:t>, M.S. and</w:t>
      </w:r>
      <w:r w:rsidR="00C03041" w:rsidRPr="000C4364">
        <w:rPr>
          <w:rFonts w:ascii="Times New Roman" w:hAnsi="Times New Roman" w:cs="Times New Roman"/>
          <w:iCs/>
          <w:color w:val="000000"/>
          <w:sz w:val="24"/>
          <w:szCs w:val="24"/>
          <w:shd w:val="clear" w:color="auto" w:fill="FFFFFF"/>
        </w:rPr>
        <w:t xml:space="preserve"> </w:t>
      </w:r>
      <w:proofErr w:type="spellStart"/>
      <w:r w:rsidR="00C03041" w:rsidRPr="000C4364">
        <w:rPr>
          <w:rFonts w:ascii="Times New Roman" w:hAnsi="Times New Roman" w:cs="Times New Roman"/>
          <w:iCs/>
          <w:color w:val="000000"/>
          <w:sz w:val="24"/>
          <w:szCs w:val="24"/>
          <w:shd w:val="clear" w:color="auto" w:fill="FFFFFF"/>
        </w:rPr>
        <w:t>Schmukler</w:t>
      </w:r>
      <w:proofErr w:type="spellEnd"/>
      <w:r w:rsidR="00C03041" w:rsidRPr="000C4364">
        <w:rPr>
          <w:rFonts w:ascii="Times New Roman" w:hAnsi="Times New Roman" w:cs="Times New Roman"/>
          <w:iCs/>
          <w:color w:val="000000"/>
          <w:sz w:val="24"/>
          <w:szCs w:val="24"/>
          <w:shd w:val="clear" w:color="auto" w:fill="FFFFFF"/>
        </w:rPr>
        <w:t xml:space="preserve">, S.L. </w:t>
      </w:r>
      <w:r w:rsidR="00E46C22" w:rsidRPr="000C4364">
        <w:rPr>
          <w:rFonts w:ascii="Times New Roman" w:hAnsi="Times New Roman" w:cs="Times New Roman"/>
          <w:iCs/>
          <w:color w:val="000000"/>
          <w:sz w:val="24"/>
          <w:szCs w:val="24"/>
          <w:shd w:val="clear" w:color="auto" w:fill="FFFFFF"/>
        </w:rPr>
        <w:t>(</w:t>
      </w:r>
      <w:r w:rsidR="00C03041" w:rsidRPr="000C4364">
        <w:rPr>
          <w:rFonts w:ascii="Times New Roman" w:hAnsi="Times New Roman" w:cs="Times New Roman"/>
          <w:iCs/>
          <w:color w:val="000000"/>
          <w:sz w:val="24"/>
          <w:szCs w:val="24"/>
          <w:shd w:val="clear" w:color="auto" w:fill="FFFFFF"/>
        </w:rPr>
        <w:t>2010</w:t>
      </w:r>
      <w:r w:rsidR="00E46C22"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w:t>
      </w:r>
      <w:r w:rsidR="00E46C22"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Bank involvement with SMEs: Beyond relationship lending</w:t>
      </w:r>
      <w:r w:rsidR="00E46C22"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xml:space="preserve"> </w:t>
      </w:r>
      <w:r w:rsidRPr="000C4364">
        <w:rPr>
          <w:rFonts w:ascii="Times New Roman" w:hAnsi="Times New Roman" w:cs="Times New Roman"/>
          <w:i/>
          <w:iCs/>
          <w:color w:val="000000"/>
          <w:sz w:val="24"/>
          <w:szCs w:val="24"/>
          <w:shd w:val="clear" w:color="auto" w:fill="FFFFFF"/>
        </w:rPr>
        <w:t>Journal of Banking and Finance</w:t>
      </w:r>
      <w:r w:rsidRPr="000C4364">
        <w:rPr>
          <w:rFonts w:ascii="Times New Roman" w:hAnsi="Times New Roman" w:cs="Times New Roman"/>
          <w:iCs/>
          <w:color w:val="000000"/>
          <w:sz w:val="24"/>
          <w:szCs w:val="24"/>
          <w:shd w:val="clear" w:color="auto" w:fill="FFFFFF"/>
        </w:rPr>
        <w:t>,</w:t>
      </w:r>
      <w:r w:rsidR="008840AD" w:rsidRPr="000C4364">
        <w:rPr>
          <w:rFonts w:ascii="Times New Roman" w:hAnsi="Times New Roman" w:cs="Times New Roman"/>
          <w:i/>
          <w:iCs/>
          <w:color w:val="000000"/>
          <w:sz w:val="24"/>
          <w:szCs w:val="24"/>
          <w:shd w:val="clear" w:color="auto" w:fill="FFFFFF"/>
        </w:rPr>
        <w:t xml:space="preserve"> </w:t>
      </w:r>
      <w:r w:rsidR="00E46C22" w:rsidRPr="000C4364">
        <w:rPr>
          <w:rFonts w:ascii="Times New Roman" w:hAnsi="Times New Roman" w:cs="Times New Roman"/>
          <w:iCs/>
          <w:color w:val="000000"/>
          <w:sz w:val="24"/>
          <w:szCs w:val="24"/>
          <w:shd w:val="clear" w:color="auto" w:fill="FFFFFF"/>
        </w:rPr>
        <w:t xml:space="preserve">Vol. </w:t>
      </w:r>
      <w:r w:rsidR="00C03041" w:rsidRPr="000C4364">
        <w:rPr>
          <w:rFonts w:ascii="Times New Roman" w:hAnsi="Times New Roman" w:cs="Times New Roman"/>
          <w:iCs/>
          <w:color w:val="000000"/>
          <w:sz w:val="24"/>
          <w:szCs w:val="24"/>
          <w:shd w:val="clear" w:color="auto" w:fill="FFFFFF"/>
        </w:rPr>
        <w:t>34,</w:t>
      </w:r>
      <w:r w:rsidRPr="000C4364">
        <w:rPr>
          <w:rFonts w:ascii="Times New Roman" w:hAnsi="Times New Roman" w:cs="Times New Roman"/>
          <w:iCs/>
          <w:color w:val="000000"/>
          <w:sz w:val="24"/>
          <w:szCs w:val="24"/>
          <w:shd w:val="clear" w:color="auto" w:fill="FFFFFF"/>
        </w:rPr>
        <w:t xml:space="preserve"> </w:t>
      </w:r>
      <w:r w:rsidR="00E46C22" w:rsidRPr="000C4364">
        <w:rPr>
          <w:rFonts w:ascii="Times New Roman" w:hAnsi="Times New Roman" w:cs="Times New Roman"/>
          <w:iCs/>
          <w:color w:val="000000"/>
          <w:sz w:val="24"/>
          <w:szCs w:val="24"/>
          <w:shd w:val="clear" w:color="auto" w:fill="FFFFFF"/>
        </w:rPr>
        <w:t xml:space="preserve"> No. 9, pp. </w:t>
      </w:r>
      <w:r w:rsidRPr="000C4364">
        <w:rPr>
          <w:rFonts w:ascii="Times New Roman" w:hAnsi="Times New Roman" w:cs="Times New Roman"/>
          <w:iCs/>
          <w:color w:val="000000"/>
          <w:sz w:val="24"/>
          <w:szCs w:val="24"/>
          <w:shd w:val="clear" w:color="auto" w:fill="FFFFFF"/>
        </w:rPr>
        <w:t>2280-2293.</w:t>
      </w:r>
    </w:p>
    <w:p w:rsidR="006C16AA" w:rsidRPr="000C4364" w:rsidRDefault="00D470CC" w:rsidP="00B1462C">
      <w:pPr>
        <w:spacing w:after="0" w:line="480" w:lineRule="auto"/>
        <w:rPr>
          <w:rFonts w:ascii="Times New Roman" w:hAnsi="Times New Roman" w:cs="Times New Roman"/>
          <w:bCs/>
          <w:sz w:val="24"/>
          <w:szCs w:val="24"/>
        </w:rPr>
      </w:pPr>
      <w:proofErr w:type="spellStart"/>
      <w:proofErr w:type="gramStart"/>
      <w:r w:rsidRPr="00B1462C">
        <w:rPr>
          <w:rFonts w:ascii="Times New Roman" w:hAnsi="Times New Roman" w:cs="Times New Roman"/>
          <w:iCs/>
          <w:color w:val="000000"/>
          <w:sz w:val="24"/>
          <w:szCs w:val="24"/>
          <w:shd w:val="clear" w:color="auto" w:fill="FFFFFF"/>
        </w:rPr>
        <w:t>Faccio</w:t>
      </w:r>
      <w:proofErr w:type="spellEnd"/>
      <w:r w:rsidRPr="000C4364">
        <w:rPr>
          <w:rFonts w:ascii="Times New Roman" w:hAnsi="Times New Roman" w:cs="Times New Roman"/>
          <w:bCs/>
          <w:sz w:val="24"/>
          <w:szCs w:val="24"/>
        </w:rPr>
        <w:t xml:space="preserve">, M. </w:t>
      </w:r>
      <w:r w:rsidR="00E46C22" w:rsidRPr="000C4364">
        <w:rPr>
          <w:rFonts w:ascii="Times New Roman" w:hAnsi="Times New Roman" w:cs="Times New Roman"/>
          <w:bCs/>
          <w:sz w:val="24"/>
          <w:szCs w:val="24"/>
        </w:rPr>
        <w:t>(</w:t>
      </w:r>
      <w:r w:rsidRPr="000C4364">
        <w:rPr>
          <w:rFonts w:ascii="Times New Roman" w:hAnsi="Times New Roman" w:cs="Times New Roman"/>
          <w:bCs/>
          <w:sz w:val="24"/>
          <w:szCs w:val="24"/>
        </w:rPr>
        <w:t>2006</w:t>
      </w:r>
      <w:r w:rsidR="00B1462C">
        <w:rPr>
          <w:rFonts w:ascii="Times New Roman" w:hAnsi="Times New Roman" w:cs="Times New Roman"/>
          <w:bCs/>
          <w:sz w:val="24"/>
          <w:szCs w:val="24"/>
        </w:rPr>
        <w:t>).</w:t>
      </w:r>
      <w:proofErr w:type="gramEnd"/>
      <w:r w:rsidR="00B1462C">
        <w:rPr>
          <w:rFonts w:ascii="Times New Roman" w:hAnsi="Times New Roman" w:cs="Times New Roman"/>
          <w:bCs/>
          <w:sz w:val="24"/>
          <w:szCs w:val="24"/>
        </w:rPr>
        <w:t xml:space="preserve"> </w:t>
      </w:r>
      <w:proofErr w:type="gramStart"/>
      <w:r w:rsidR="008C417C" w:rsidRPr="000C4364">
        <w:rPr>
          <w:rFonts w:ascii="Times New Roman" w:hAnsi="Times New Roman" w:cs="Times New Roman"/>
          <w:bCs/>
          <w:sz w:val="24"/>
          <w:szCs w:val="24"/>
        </w:rPr>
        <w:t>Politically connected firms</w:t>
      </w:r>
      <w:r w:rsidR="00B1462C">
        <w:rPr>
          <w:rFonts w:ascii="Times New Roman" w:hAnsi="Times New Roman" w:cs="Times New Roman"/>
          <w:bCs/>
          <w:sz w:val="24"/>
          <w:szCs w:val="24"/>
        </w:rPr>
        <w:t>.</w:t>
      </w:r>
      <w:proofErr w:type="gramEnd"/>
      <w:r w:rsidR="008C417C" w:rsidRPr="000C4364">
        <w:rPr>
          <w:rFonts w:ascii="Times New Roman" w:hAnsi="Times New Roman" w:cs="Times New Roman"/>
          <w:bCs/>
          <w:sz w:val="24"/>
          <w:szCs w:val="24"/>
        </w:rPr>
        <w:t xml:space="preserve"> </w:t>
      </w:r>
      <w:r w:rsidR="008C417C" w:rsidRPr="000C4364">
        <w:rPr>
          <w:rFonts w:ascii="Times New Roman" w:hAnsi="Times New Roman" w:cs="Times New Roman"/>
          <w:bCs/>
          <w:i/>
          <w:sz w:val="24"/>
          <w:szCs w:val="24"/>
        </w:rPr>
        <w:t>American Economic Review,</w:t>
      </w:r>
      <w:r w:rsidR="00B1462C">
        <w:rPr>
          <w:rFonts w:ascii="Times New Roman" w:hAnsi="Times New Roman" w:cs="Times New Roman"/>
          <w:bCs/>
          <w:i/>
          <w:sz w:val="24"/>
          <w:szCs w:val="24"/>
        </w:rPr>
        <w:t xml:space="preserve"> </w:t>
      </w:r>
      <w:r w:rsidR="00C03041" w:rsidRPr="000C4364">
        <w:rPr>
          <w:rFonts w:ascii="Times New Roman" w:hAnsi="Times New Roman" w:cs="Times New Roman"/>
          <w:bCs/>
          <w:sz w:val="24"/>
          <w:szCs w:val="24"/>
        </w:rPr>
        <w:t>96</w:t>
      </w:r>
      <w:r w:rsidR="00B1462C">
        <w:rPr>
          <w:rFonts w:ascii="Times New Roman" w:hAnsi="Times New Roman" w:cs="Times New Roman"/>
          <w:bCs/>
          <w:sz w:val="24"/>
          <w:szCs w:val="24"/>
        </w:rPr>
        <w:t>(1)</w:t>
      </w:r>
      <w:r w:rsidR="00E46C22" w:rsidRPr="000C4364">
        <w:rPr>
          <w:rFonts w:ascii="Times New Roman" w:hAnsi="Times New Roman" w:cs="Times New Roman"/>
          <w:bCs/>
          <w:sz w:val="24"/>
          <w:szCs w:val="24"/>
        </w:rPr>
        <w:t xml:space="preserve">, pp. </w:t>
      </w:r>
      <w:r w:rsidR="008C417C" w:rsidRPr="000C4364">
        <w:rPr>
          <w:rFonts w:ascii="Times New Roman" w:hAnsi="Times New Roman" w:cs="Times New Roman"/>
          <w:bCs/>
          <w:sz w:val="24"/>
          <w:szCs w:val="24"/>
        </w:rPr>
        <w:t xml:space="preserve">369-386. </w:t>
      </w:r>
    </w:p>
    <w:p w:rsidR="006C16AA" w:rsidRPr="000C4364" w:rsidRDefault="00E46C22" w:rsidP="00B1462C">
      <w:pPr>
        <w:shd w:val="clear" w:color="auto" w:fill="FFFFFF"/>
        <w:spacing w:after="0" w:line="480" w:lineRule="auto"/>
        <w:outlineLvl w:val="1"/>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Faccio</w:t>
      </w:r>
      <w:proofErr w:type="spellEnd"/>
      <w:r w:rsidRPr="000C4364">
        <w:rPr>
          <w:rFonts w:ascii="Times New Roman" w:hAnsi="Times New Roman" w:cs="Times New Roman"/>
          <w:sz w:val="24"/>
          <w:szCs w:val="24"/>
        </w:rPr>
        <w:t xml:space="preserve">, M., </w:t>
      </w:r>
      <w:proofErr w:type="spellStart"/>
      <w:r w:rsidRPr="000C4364">
        <w:rPr>
          <w:rFonts w:ascii="Times New Roman" w:hAnsi="Times New Roman" w:cs="Times New Roman"/>
          <w:sz w:val="24"/>
          <w:szCs w:val="24"/>
        </w:rPr>
        <w:t>Masulis</w:t>
      </w:r>
      <w:proofErr w:type="spellEnd"/>
      <w:r w:rsidRPr="000C4364">
        <w:rPr>
          <w:rFonts w:ascii="Times New Roman" w:hAnsi="Times New Roman" w:cs="Times New Roman"/>
          <w:sz w:val="24"/>
          <w:szCs w:val="24"/>
        </w:rPr>
        <w:t xml:space="preserve">, R. and </w:t>
      </w:r>
      <w:r w:rsidR="00C03041" w:rsidRPr="000C4364">
        <w:rPr>
          <w:rFonts w:ascii="Times New Roman" w:hAnsi="Times New Roman" w:cs="Times New Roman"/>
          <w:sz w:val="24"/>
          <w:szCs w:val="24"/>
        </w:rPr>
        <w:t xml:space="preserve">McConnell, J. </w:t>
      </w:r>
      <w:r w:rsidRPr="000C4364">
        <w:rPr>
          <w:rFonts w:ascii="Times New Roman" w:hAnsi="Times New Roman" w:cs="Times New Roman"/>
          <w:sz w:val="24"/>
          <w:szCs w:val="24"/>
        </w:rPr>
        <w:t>(</w:t>
      </w:r>
      <w:r w:rsidR="00C03041" w:rsidRPr="000C4364">
        <w:rPr>
          <w:rFonts w:ascii="Times New Roman" w:hAnsi="Times New Roman" w:cs="Times New Roman"/>
          <w:sz w:val="24"/>
          <w:szCs w:val="24"/>
        </w:rPr>
        <w:t>2006</w:t>
      </w:r>
      <w:r w:rsidR="00B1462C">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w:t>
      </w:r>
      <w:proofErr w:type="gramStart"/>
      <w:r w:rsidR="008C417C" w:rsidRPr="000C4364">
        <w:rPr>
          <w:rFonts w:ascii="Times New Roman" w:hAnsi="Times New Roman" w:cs="Times New Roman"/>
          <w:sz w:val="24"/>
          <w:szCs w:val="24"/>
        </w:rPr>
        <w:t>Political conn</w:t>
      </w:r>
      <w:r w:rsidRPr="000C4364">
        <w:rPr>
          <w:rFonts w:ascii="Times New Roman" w:hAnsi="Times New Roman" w:cs="Times New Roman"/>
          <w:sz w:val="24"/>
          <w:szCs w:val="24"/>
        </w:rPr>
        <w:t>ections and corporate bailouts</w:t>
      </w:r>
      <w:r w:rsidR="00B1462C">
        <w:rPr>
          <w:rFonts w:ascii="Times New Roman" w:hAnsi="Times New Roman" w:cs="Times New Roman"/>
          <w:sz w:val="24"/>
          <w:szCs w:val="24"/>
        </w:rPr>
        <w:t>.</w:t>
      </w:r>
      <w:proofErr w:type="gramEnd"/>
      <w:r w:rsidR="00B1462C">
        <w:rPr>
          <w:rFonts w:ascii="Times New Roman" w:hAnsi="Times New Roman" w:cs="Times New Roman"/>
          <w:sz w:val="24"/>
          <w:szCs w:val="24"/>
        </w:rPr>
        <w:t xml:space="preserve"> </w:t>
      </w:r>
      <w:r w:rsidR="008C417C" w:rsidRPr="000C4364">
        <w:rPr>
          <w:rFonts w:ascii="Times New Roman" w:hAnsi="Times New Roman" w:cs="Times New Roman"/>
          <w:i/>
          <w:sz w:val="24"/>
          <w:szCs w:val="24"/>
        </w:rPr>
        <w:t>Journal of Finance</w:t>
      </w:r>
      <w:r w:rsidR="008C417C" w:rsidRPr="000C4364">
        <w:rPr>
          <w:rFonts w:ascii="Times New Roman" w:hAnsi="Times New Roman" w:cs="Times New Roman"/>
          <w:sz w:val="24"/>
          <w:szCs w:val="24"/>
        </w:rPr>
        <w:t>,</w:t>
      </w:r>
      <w:r w:rsidR="00B1462C">
        <w:rPr>
          <w:rFonts w:ascii="Times New Roman" w:hAnsi="Times New Roman" w:cs="Times New Roman"/>
          <w:sz w:val="24"/>
          <w:szCs w:val="24"/>
        </w:rPr>
        <w:t xml:space="preserve"> </w:t>
      </w:r>
      <w:r w:rsidR="00C03041" w:rsidRPr="000C4364">
        <w:rPr>
          <w:rFonts w:ascii="Times New Roman" w:hAnsi="Times New Roman" w:cs="Times New Roman"/>
          <w:sz w:val="24"/>
          <w:szCs w:val="24"/>
        </w:rPr>
        <w:t>61</w:t>
      </w:r>
      <w:r w:rsidR="00B1462C">
        <w:rPr>
          <w:rFonts w:ascii="Times New Roman" w:hAnsi="Times New Roman" w:cs="Times New Roman"/>
          <w:sz w:val="24"/>
          <w:szCs w:val="24"/>
        </w:rPr>
        <w:t>(6),</w:t>
      </w:r>
      <w:r w:rsidRPr="000C4364">
        <w:rPr>
          <w:rFonts w:ascii="Times New Roman" w:hAnsi="Times New Roman" w:cs="Times New Roman"/>
          <w:sz w:val="24"/>
          <w:szCs w:val="24"/>
        </w:rPr>
        <w:t xml:space="preserve"> pp.</w:t>
      </w:r>
      <w:r w:rsidR="008C417C" w:rsidRPr="000C4364">
        <w:rPr>
          <w:rFonts w:ascii="Times New Roman" w:hAnsi="Times New Roman" w:cs="Times New Roman"/>
          <w:sz w:val="24"/>
          <w:szCs w:val="24"/>
        </w:rPr>
        <w:t xml:space="preserve"> 2597-2635. </w:t>
      </w:r>
    </w:p>
    <w:p w:rsidR="006C16AA" w:rsidRPr="000C4364" w:rsidRDefault="00E46C22" w:rsidP="00B1462C">
      <w:pPr>
        <w:shd w:val="clear" w:color="auto" w:fill="FFFFFF"/>
        <w:spacing w:after="0" w:line="480" w:lineRule="auto"/>
        <w:outlineLvl w:val="1"/>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lastRenderedPageBreak/>
        <w:t>Fedderke</w:t>
      </w:r>
      <w:proofErr w:type="spellEnd"/>
      <w:r w:rsidRPr="000C4364">
        <w:rPr>
          <w:rFonts w:ascii="Times New Roman" w:hAnsi="Times New Roman" w:cs="Times New Roman"/>
          <w:sz w:val="24"/>
          <w:szCs w:val="24"/>
        </w:rPr>
        <w:t xml:space="preserve">, J., de </w:t>
      </w:r>
      <w:proofErr w:type="spellStart"/>
      <w:r w:rsidRPr="000C4364">
        <w:rPr>
          <w:rFonts w:ascii="Times New Roman" w:hAnsi="Times New Roman" w:cs="Times New Roman"/>
          <w:sz w:val="24"/>
          <w:szCs w:val="24"/>
        </w:rPr>
        <w:t>Kadt</w:t>
      </w:r>
      <w:proofErr w:type="spellEnd"/>
      <w:r w:rsidRPr="000C4364">
        <w:rPr>
          <w:rFonts w:ascii="Times New Roman" w:hAnsi="Times New Roman" w:cs="Times New Roman"/>
          <w:sz w:val="24"/>
          <w:szCs w:val="24"/>
        </w:rPr>
        <w:t>, R. and</w:t>
      </w:r>
      <w:r w:rsidR="00D470CC" w:rsidRPr="000C4364">
        <w:rPr>
          <w:rFonts w:ascii="Times New Roman" w:hAnsi="Times New Roman" w:cs="Times New Roman"/>
          <w:sz w:val="24"/>
          <w:szCs w:val="24"/>
        </w:rPr>
        <w:t xml:space="preserve"> Luiz, J. </w:t>
      </w:r>
      <w:r w:rsidRPr="000C4364">
        <w:rPr>
          <w:rFonts w:ascii="Times New Roman" w:hAnsi="Times New Roman" w:cs="Times New Roman"/>
          <w:sz w:val="24"/>
          <w:szCs w:val="24"/>
        </w:rPr>
        <w:t>(</w:t>
      </w:r>
      <w:r w:rsidR="00D470CC" w:rsidRPr="000C4364">
        <w:rPr>
          <w:rFonts w:ascii="Times New Roman" w:hAnsi="Times New Roman" w:cs="Times New Roman"/>
          <w:sz w:val="24"/>
          <w:szCs w:val="24"/>
        </w:rPr>
        <w:t>1999</w:t>
      </w:r>
      <w:r w:rsidRPr="000C4364">
        <w:rPr>
          <w:rFonts w:ascii="Times New Roman" w:hAnsi="Times New Roman" w:cs="Times New Roman"/>
          <w:sz w:val="24"/>
          <w:szCs w:val="24"/>
        </w:rPr>
        <w:t>)</w:t>
      </w:r>
      <w:r w:rsidR="00B1462C">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Economic growth and social capital: A critical reflection</w:t>
      </w:r>
      <w:r w:rsidR="00B1462C">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Theory and Society</w:t>
      </w:r>
      <w:r w:rsidR="00C03041" w:rsidRPr="000C4364">
        <w:rPr>
          <w:rFonts w:ascii="Times New Roman" w:hAnsi="Times New Roman" w:cs="Times New Roman"/>
          <w:sz w:val="24"/>
          <w:szCs w:val="24"/>
        </w:rPr>
        <w:t>, 28</w:t>
      </w:r>
      <w:r w:rsidR="00B1462C">
        <w:rPr>
          <w:rFonts w:ascii="Times New Roman" w:hAnsi="Times New Roman" w:cs="Times New Roman"/>
          <w:sz w:val="24"/>
          <w:szCs w:val="24"/>
        </w:rPr>
        <w:t>(5)</w:t>
      </w:r>
      <w:r w:rsidRPr="000C4364">
        <w:rPr>
          <w:rFonts w:ascii="Times New Roman" w:hAnsi="Times New Roman" w:cs="Times New Roman"/>
          <w:sz w:val="24"/>
          <w:szCs w:val="24"/>
        </w:rPr>
        <w:t>, pp.</w:t>
      </w:r>
      <w:r w:rsidR="008C417C" w:rsidRPr="000C4364">
        <w:rPr>
          <w:rFonts w:ascii="Times New Roman" w:hAnsi="Times New Roman" w:cs="Times New Roman"/>
          <w:sz w:val="24"/>
          <w:szCs w:val="24"/>
        </w:rPr>
        <w:t xml:space="preserve"> 709-745. </w:t>
      </w:r>
    </w:p>
    <w:p w:rsidR="006C16AA" w:rsidRPr="000C4364" w:rsidRDefault="00D470CC" w:rsidP="00B1462C">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 xml:space="preserve">Fischer, S., </w:t>
      </w:r>
      <w:r w:rsidR="00E46C22" w:rsidRPr="000C4364">
        <w:rPr>
          <w:rFonts w:ascii="Times New Roman" w:hAnsi="Times New Roman" w:cs="Times New Roman"/>
          <w:sz w:val="24"/>
          <w:szCs w:val="24"/>
        </w:rPr>
        <w:t xml:space="preserve">and </w:t>
      </w:r>
      <w:r w:rsidR="008C417C" w:rsidRPr="000C4364">
        <w:rPr>
          <w:rFonts w:ascii="Times New Roman" w:hAnsi="Times New Roman" w:cs="Times New Roman"/>
          <w:sz w:val="24"/>
          <w:szCs w:val="24"/>
        </w:rPr>
        <w:t>Gelb</w:t>
      </w:r>
      <w:r w:rsidR="008840AD" w:rsidRPr="000C4364">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r w:rsidR="008840AD" w:rsidRPr="000C4364">
        <w:rPr>
          <w:rFonts w:ascii="Times New Roman" w:hAnsi="Times New Roman" w:cs="Times New Roman"/>
          <w:sz w:val="24"/>
          <w:szCs w:val="24"/>
        </w:rPr>
        <w:t xml:space="preserve">A. </w:t>
      </w:r>
      <w:r w:rsidR="00E46C22" w:rsidRPr="000C4364">
        <w:rPr>
          <w:rFonts w:ascii="Times New Roman" w:hAnsi="Times New Roman" w:cs="Times New Roman"/>
          <w:sz w:val="24"/>
          <w:szCs w:val="24"/>
        </w:rPr>
        <w:t>(</w:t>
      </w:r>
      <w:r w:rsidRPr="000C4364">
        <w:rPr>
          <w:rFonts w:ascii="Times New Roman" w:hAnsi="Times New Roman" w:cs="Times New Roman"/>
          <w:sz w:val="24"/>
          <w:szCs w:val="24"/>
        </w:rPr>
        <w:t>1991</w:t>
      </w:r>
      <w:r w:rsidR="00B1462C">
        <w:rPr>
          <w:rFonts w:ascii="Times New Roman" w:hAnsi="Times New Roman" w:cs="Times New Roman"/>
          <w:sz w:val="24"/>
          <w:szCs w:val="24"/>
        </w:rPr>
        <w:t>).</w:t>
      </w:r>
      <w:proofErr w:type="gramEnd"/>
      <w:r w:rsidR="00B1462C">
        <w:rPr>
          <w:rFonts w:ascii="Times New Roman" w:hAnsi="Times New Roman" w:cs="Times New Roman"/>
          <w:sz w:val="24"/>
          <w:szCs w:val="24"/>
        </w:rPr>
        <w:t xml:space="preserve"> </w:t>
      </w:r>
      <w:proofErr w:type="gramStart"/>
      <w:r w:rsidR="008C417C" w:rsidRPr="000C4364">
        <w:rPr>
          <w:rFonts w:ascii="Times New Roman" w:hAnsi="Times New Roman" w:cs="Times New Roman"/>
          <w:sz w:val="24"/>
          <w:szCs w:val="24"/>
        </w:rPr>
        <w:t>The process of socialist economic transformation</w:t>
      </w:r>
      <w:r w:rsidR="00B1462C">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iCs/>
          <w:sz w:val="24"/>
          <w:szCs w:val="24"/>
        </w:rPr>
        <w:t>Journal of Economic Perspectives</w:t>
      </w:r>
      <w:r w:rsidRPr="000C4364">
        <w:rPr>
          <w:rFonts w:ascii="Times New Roman" w:hAnsi="Times New Roman" w:cs="Times New Roman"/>
          <w:sz w:val="24"/>
          <w:szCs w:val="24"/>
        </w:rPr>
        <w:t xml:space="preserve">, </w:t>
      </w:r>
      <w:r w:rsidR="00B1462C">
        <w:rPr>
          <w:rFonts w:ascii="Times New Roman" w:hAnsi="Times New Roman" w:cs="Times New Roman"/>
          <w:sz w:val="24"/>
          <w:szCs w:val="24"/>
        </w:rPr>
        <w:t>5(4),</w:t>
      </w:r>
      <w:r w:rsidR="002B616C" w:rsidRPr="000C4364">
        <w:rPr>
          <w:rFonts w:ascii="Times New Roman" w:hAnsi="Times New Roman" w:cs="Times New Roman"/>
          <w:sz w:val="24"/>
          <w:szCs w:val="24"/>
        </w:rPr>
        <w:t xml:space="preserve"> pp. </w:t>
      </w:r>
      <w:r w:rsidR="008C417C" w:rsidRPr="000C4364">
        <w:rPr>
          <w:rFonts w:ascii="Times New Roman" w:hAnsi="Times New Roman" w:cs="Times New Roman"/>
          <w:sz w:val="24"/>
          <w:szCs w:val="24"/>
        </w:rPr>
        <w:t>91-105.</w:t>
      </w:r>
    </w:p>
    <w:p w:rsidR="003D6BED" w:rsidRPr="000C4364" w:rsidRDefault="003D6BED" w:rsidP="00B1462C">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Frye, T. A. and Shleifer, A. (1997).</w:t>
      </w:r>
      <w:proofErr w:type="gramEnd"/>
      <w:r w:rsidRPr="000C4364">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The Invisible Hand and the Grabbing Hand</w:t>
      </w:r>
      <w:r w:rsidR="00B1462C">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American Economic Review</w:t>
      </w:r>
      <w:r w:rsidRPr="000C4364">
        <w:rPr>
          <w:rFonts w:ascii="Times New Roman" w:hAnsi="Times New Roman" w:cs="Times New Roman"/>
          <w:sz w:val="24"/>
          <w:szCs w:val="24"/>
        </w:rPr>
        <w:t xml:space="preserve">, </w:t>
      </w:r>
      <w:r w:rsidR="00B1462C">
        <w:rPr>
          <w:rFonts w:ascii="Times New Roman" w:hAnsi="Times New Roman" w:cs="Times New Roman"/>
          <w:sz w:val="24"/>
          <w:szCs w:val="24"/>
        </w:rPr>
        <w:t>87(2)</w:t>
      </w:r>
      <w:r w:rsidR="002B616C" w:rsidRPr="000C4364">
        <w:rPr>
          <w:rFonts w:ascii="Times New Roman" w:hAnsi="Times New Roman" w:cs="Times New Roman"/>
          <w:sz w:val="24"/>
          <w:szCs w:val="24"/>
        </w:rPr>
        <w:t>, pp.</w:t>
      </w:r>
      <w:r w:rsidRPr="000C4364">
        <w:rPr>
          <w:rFonts w:ascii="Times New Roman" w:hAnsi="Times New Roman" w:cs="Times New Roman"/>
          <w:sz w:val="24"/>
          <w:szCs w:val="24"/>
        </w:rPr>
        <w:t xml:space="preserve"> 354-58.</w:t>
      </w:r>
    </w:p>
    <w:p w:rsidR="006C16AA" w:rsidRPr="000C4364" w:rsidRDefault="002B616C" w:rsidP="00B1462C">
      <w:pPr>
        <w:spacing w:after="0" w:line="480" w:lineRule="auto"/>
        <w:rPr>
          <w:rFonts w:ascii="Times New Roman" w:eastAsia="Calibri" w:hAnsi="Times New Roman" w:cs="Times New Roman"/>
          <w:sz w:val="24"/>
          <w:szCs w:val="24"/>
        </w:rPr>
      </w:pPr>
      <w:proofErr w:type="spellStart"/>
      <w:proofErr w:type="gramStart"/>
      <w:r w:rsidRPr="000C4364">
        <w:rPr>
          <w:rFonts w:ascii="Times New Roman" w:eastAsia="Calibri" w:hAnsi="Times New Roman" w:cs="Times New Roman"/>
          <w:sz w:val="24"/>
          <w:szCs w:val="24"/>
        </w:rPr>
        <w:t>Geraschenko</w:t>
      </w:r>
      <w:proofErr w:type="spellEnd"/>
      <w:r w:rsidRPr="000C4364">
        <w:rPr>
          <w:rFonts w:ascii="Times New Roman" w:eastAsia="Calibri" w:hAnsi="Times New Roman" w:cs="Times New Roman"/>
          <w:sz w:val="24"/>
          <w:szCs w:val="24"/>
        </w:rPr>
        <w:t>, V. S. and</w:t>
      </w:r>
      <w:r w:rsidR="00D470CC" w:rsidRPr="000C4364">
        <w:rPr>
          <w:rFonts w:ascii="Times New Roman" w:eastAsia="Calibri" w:hAnsi="Times New Roman" w:cs="Times New Roman"/>
          <w:sz w:val="24"/>
          <w:szCs w:val="24"/>
        </w:rPr>
        <w:t xml:space="preserve"> </w:t>
      </w:r>
      <w:proofErr w:type="spellStart"/>
      <w:r w:rsidR="00D470CC" w:rsidRPr="000C4364">
        <w:rPr>
          <w:rFonts w:ascii="Times New Roman" w:eastAsia="Calibri" w:hAnsi="Times New Roman" w:cs="Times New Roman"/>
          <w:sz w:val="24"/>
          <w:szCs w:val="24"/>
        </w:rPr>
        <w:t>Lavrushin</w:t>
      </w:r>
      <w:proofErr w:type="spellEnd"/>
      <w:r w:rsidR="00D470CC" w:rsidRPr="000C4364">
        <w:rPr>
          <w:rFonts w:ascii="Times New Roman" w:eastAsia="Calibri" w:hAnsi="Times New Roman" w:cs="Times New Roman"/>
          <w:sz w:val="24"/>
          <w:szCs w:val="24"/>
        </w:rPr>
        <w:t xml:space="preserve">, O. I. </w:t>
      </w:r>
      <w:r w:rsidRPr="000C4364">
        <w:rPr>
          <w:rFonts w:ascii="Times New Roman" w:eastAsia="Calibri" w:hAnsi="Times New Roman" w:cs="Times New Roman"/>
          <w:sz w:val="24"/>
          <w:szCs w:val="24"/>
        </w:rPr>
        <w:t>(</w:t>
      </w:r>
      <w:r w:rsidR="00D470CC" w:rsidRPr="000C4364">
        <w:rPr>
          <w:rFonts w:ascii="Times New Roman" w:eastAsia="Calibri" w:hAnsi="Times New Roman" w:cs="Times New Roman"/>
          <w:sz w:val="24"/>
          <w:szCs w:val="24"/>
        </w:rPr>
        <w:t>1982</w:t>
      </w:r>
      <w:r w:rsidR="00B1462C">
        <w:rPr>
          <w:rFonts w:ascii="Times New Roman" w:eastAsia="Calibri" w:hAnsi="Times New Roman" w:cs="Times New Roman"/>
          <w:sz w:val="24"/>
          <w:szCs w:val="24"/>
        </w:rPr>
        <w:t>).</w:t>
      </w:r>
      <w:proofErr w:type="gramEnd"/>
      <w:r w:rsidR="008C417C" w:rsidRPr="000C4364">
        <w:rPr>
          <w:rFonts w:ascii="Times New Roman" w:eastAsia="Calibri" w:hAnsi="Times New Roman" w:cs="Times New Roman"/>
          <w:sz w:val="24"/>
          <w:szCs w:val="24"/>
        </w:rPr>
        <w:t xml:space="preserve"> </w:t>
      </w:r>
      <w:proofErr w:type="spellStart"/>
      <w:r w:rsidR="008C417C" w:rsidRPr="000C4364">
        <w:rPr>
          <w:rFonts w:ascii="Times New Roman" w:eastAsia="Calibri" w:hAnsi="Times New Roman" w:cs="Times New Roman"/>
          <w:i/>
          <w:sz w:val="24"/>
          <w:szCs w:val="24"/>
        </w:rPr>
        <w:t>Organi</w:t>
      </w:r>
      <w:r w:rsidR="00B1462C">
        <w:rPr>
          <w:rFonts w:ascii="Times New Roman" w:eastAsia="Calibri" w:hAnsi="Times New Roman" w:cs="Times New Roman"/>
          <w:i/>
          <w:sz w:val="24"/>
          <w:szCs w:val="24"/>
        </w:rPr>
        <w:t>satsiya</w:t>
      </w:r>
      <w:proofErr w:type="spellEnd"/>
      <w:r w:rsidR="00B1462C">
        <w:rPr>
          <w:rFonts w:ascii="Times New Roman" w:eastAsia="Calibri" w:hAnsi="Times New Roman" w:cs="Times New Roman"/>
          <w:i/>
          <w:sz w:val="24"/>
          <w:szCs w:val="24"/>
        </w:rPr>
        <w:t xml:space="preserve"> </w:t>
      </w:r>
      <w:proofErr w:type="spellStart"/>
      <w:r w:rsidR="00B1462C">
        <w:rPr>
          <w:rFonts w:ascii="Times New Roman" w:eastAsia="Calibri" w:hAnsi="Times New Roman" w:cs="Times New Roman"/>
          <w:i/>
          <w:sz w:val="24"/>
          <w:szCs w:val="24"/>
        </w:rPr>
        <w:t>i</w:t>
      </w:r>
      <w:proofErr w:type="spellEnd"/>
      <w:r w:rsidR="00B1462C">
        <w:rPr>
          <w:rFonts w:ascii="Times New Roman" w:eastAsia="Calibri" w:hAnsi="Times New Roman" w:cs="Times New Roman"/>
          <w:i/>
          <w:sz w:val="24"/>
          <w:szCs w:val="24"/>
        </w:rPr>
        <w:t xml:space="preserve"> </w:t>
      </w:r>
      <w:proofErr w:type="spellStart"/>
      <w:r w:rsidR="00B1462C">
        <w:rPr>
          <w:rFonts w:ascii="Times New Roman" w:eastAsia="Calibri" w:hAnsi="Times New Roman" w:cs="Times New Roman"/>
          <w:i/>
          <w:sz w:val="24"/>
          <w:szCs w:val="24"/>
        </w:rPr>
        <w:t>Planirovanie</w:t>
      </w:r>
      <w:proofErr w:type="spellEnd"/>
      <w:r w:rsidR="00B1462C">
        <w:rPr>
          <w:rFonts w:ascii="Times New Roman" w:eastAsia="Calibri" w:hAnsi="Times New Roman" w:cs="Times New Roman"/>
          <w:i/>
          <w:sz w:val="24"/>
          <w:szCs w:val="24"/>
        </w:rPr>
        <w:t xml:space="preserve"> </w:t>
      </w:r>
      <w:proofErr w:type="spellStart"/>
      <w:r w:rsidR="00B1462C">
        <w:rPr>
          <w:rFonts w:ascii="Times New Roman" w:eastAsia="Calibri" w:hAnsi="Times New Roman" w:cs="Times New Roman"/>
          <w:i/>
          <w:sz w:val="24"/>
          <w:szCs w:val="24"/>
        </w:rPr>
        <w:t>Kredita</w:t>
      </w:r>
      <w:proofErr w:type="spellEnd"/>
      <w:r w:rsidR="00B1462C">
        <w:rPr>
          <w:rFonts w:ascii="Times New Roman" w:eastAsia="Calibri" w:hAnsi="Times New Roman" w:cs="Times New Roman"/>
          <w:i/>
          <w:sz w:val="24"/>
          <w:szCs w:val="24"/>
        </w:rPr>
        <w:t xml:space="preserve"> [</w:t>
      </w:r>
      <w:r w:rsidR="008C417C" w:rsidRPr="000C4364">
        <w:rPr>
          <w:rFonts w:ascii="Times New Roman" w:eastAsia="Calibri" w:hAnsi="Times New Roman" w:cs="Times New Roman"/>
          <w:i/>
          <w:sz w:val="24"/>
          <w:szCs w:val="24"/>
        </w:rPr>
        <w:t>Organisation and Planning of Credit</w:t>
      </w:r>
      <w:r w:rsidR="00B1462C">
        <w:rPr>
          <w:rFonts w:ascii="Times New Roman" w:eastAsia="Calibri" w:hAnsi="Times New Roman" w:cs="Times New Roman"/>
          <w:i/>
          <w:sz w:val="24"/>
          <w:szCs w:val="24"/>
        </w:rPr>
        <w:t>]</w:t>
      </w:r>
      <w:r w:rsidRPr="000C4364">
        <w:rPr>
          <w:rFonts w:ascii="Times New Roman" w:eastAsia="Calibri" w:hAnsi="Times New Roman" w:cs="Times New Roman"/>
          <w:sz w:val="24"/>
          <w:szCs w:val="24"/>
        </w:rPr>
        <w:t>,</w:t>
      </w:r>
      <w:r w:rsidR="008C417C" w:rsidRPr="000C4364">
        <w:rPr>
          <w:rFonts w:ascii="Times New Roman" w:eastAsia="Calibri" w:hAnsi="Times New Roman" w:cs="Times New Roman"/>
          <w:sz w:val="24"/>
          <w:szCs w:val="24"/>
        </w:rPr>
        <w:t xml:space="preserve"> Moscow: </w:t>
      </w:r>
      <w:proofErr w:type="spellStart"/>
      <w:r w:rsidR="008C417C" w:rsidRPr="000C4364">
        <w:rPr>
          <w:rFonts w:ascii="Times New Roman" w:eastAsia="Calibri" w:hAnsi="Times New Roman" w:cs="Times New Roman"/>
          <w:sz w:val="24"/>
          <w:szCs w:val="24"/>
        </w:rPr>
        <w:t>Finansi</w:t>
      </w:r>
      <w:proofErr w:type="spellEnd"/>
      <w:r w:rsidR="00B1462C">
        <w:rPr>
          <w:rFonts w:ascii="Times New Roman" w:eastAsia="Calibri" w:hAnsi="Times New Roman" w:cs="Times New Roman"/>
          <w:sz w:val="24"/>
          <w:szCs w:val="24"/>
        </w:rPr>
        <w:t>.</w:t>
      </w:r>
    </w:p>
    <w:p w:rsidR="003F6E9A" w:rsidRPr="000C4364" w:rsidRDefault="003F6E9A" w:rsidP="00B1462C">
      <w:pPr>
        <w:spacing w:after="0" w:line="480" w:lineRule="auto"/>
        <w:rPr>
          <w:rFonts w:ascii="Times New Roman" w:eastAsia="Calibri" w:hAnsi="Times New Roman" w:cs="Times New Roman"/>
          <w:sz w:val="24"/>
          <w:szCs w:val="24"/>
        </w:rPr>
      </w:pPr>
      <w:r w:rsidRPr="000C4364">
        <w:rPr>
          <w:rFonts w:ascii="Times New Roman" w:eastAsia="Calibri" w:hAnsi="Times New Roman" w:cs="Times New Roman"/>
          <w:sz w:val="24"/>
          <w:szCs w:val="24"/>
        </w:rPr>
        <w:t xml:space="preserve">Goldsmith, A. </w:t>
      </w:r>
      <w:r w:rsidR="002B616C" w:rsidRPr="000C4364">
        <w:rPr>
          <w:rFonts w:ascii="Times New Roman" w:eastAsia="Calibri" w:hAnsi="Times New Roman" w:cs="Times New Roman"/>
          <w:sz w:val="24"/>
          <w:szCs w:val="24"/>
        </w:rPr>
        <w:t>(</w:t>
      </w:r>
      <w:r w:rsidRPr="000C4364">
        <w:rPr>
          <w:rFonts w:ascii="Times New Roman" w:eastAsia="Calibri" w:hAnsi="Times New Roman" w:cs="Times New Roman"/>
          <w:sz w:val="24"/>
          <w:szCs w:val="24"/>
        </w:rPr>
        <w:t>1995</w:t>
      </w:r>
      <w:r w:rsidR="00B1462C">
        <w:rPr>
          <w:rFonts w:ascii="Times New Roman" w:eastAsia="Calibri" w:hAnsi="Times New Roman" w:cs="Times New Roman"/>
          <w:sz w:val="24"/>
          <w:szCs w:val="24"/>
        </w:rPr>
        <w:t>). T</w:t>
      </w:r>
      <w:r w:rsidR="00B1462C" w:rsidRPr="000C4364">
        <w:rPr>
          <w:rFonts w:ascii="Times New Roman" w:eastAsia="Calibri" w:hAnsi="Times New Roman" w:cs="Times New Roman"/>
          <w:sz w:val="24"/>
          <w:szCs w:val="24"/>
        </w:rPr>
        <w:t xml:space="preserve">he state, the market, and economic development: a second look at </w:t>
      </w:r>
      <w:r w:rsidR="00B1462C">
        <w:rPr>
          <w:rFonts w:ascii="Times New Roman" w:eastAsia="Calibri" w:hAnsi="Times New Roman" w:cs="Times New Roman"/>
          <w:sz w:val="24"/>
          <w:szCs w:val="24"/>
        </w:rPr>
        <w:t>A</w:t>
      </w:r>
      <w:r w:rsidR="00B1462C" w:rsidRPr="000C4364">
        <w:rPr>
          <w:rFonts w:ascii="Times New Roman" w:eastAsia="Calibri" w:hAnsi="Times New Roman" w:cs="Times New Roman"/>
          <w:sz w:val="24"/>
          <w:szCs w:val="24"/>
        </w:rPr>
        <w:t xml:space="preserve">dam </w:t>
      </w:r>
      <w:r w:rsidR="00B1462C">
        <w:rPr>
          <w:rFonts w:ascii="Times New Roman" w:eastAsia="Calibri" w:hAnsi="Times New Roman" w:cs="Times New Roman"/>
          <w:sz w:val="24"/>
          <w:szCs w:val="24"/>
        </w:rPr>
        <w:t>S</w:t>
      </w:r>
      <w:r w:rsidR="00B1462C" w:rsidRPr="000C4364">
        <w:rPr>
          <w:rFonts w:ascii="Times New Roman" w:eastAsia="Calibri" w:hAnsi="Times New Roman" w:cs="Times New Roman"/>
          <w:sz w:val="24"/>
          <w:szCs w:val="24"/>
        </w:rPr>
        <w:t>mith in theory and practice</w:t>
      </w:r>
      <w:r w:rsidR="00B1462C">
        <w:rPr>
          <w:rFonts w:ascii="Times New Roman" w:eastAsia="Calibri" w:hAnsi="Times New Roman" w:cs="Times New Roman"/>
          <w:sz w:val="24"/>
          <w:szCs w:val="24"/>
        </w:rPr>
        <w:t>.</w:t>
      </w:r>
      <w:r w:rsidRPr="000C4364">
        <w:rPr>
          <w:rFonts w:ascii="Times New Roman" w:eastAsia="Calibri" w:hAnsi="Times New Roman" w:cs="Times New Roman"/>
          <w:sz w:val="24"/>
          <w:szCs w:val="24"/>
        </w:rPr>
        <w:t xml:space="preserve"> </w:t>
      </w:r>
      <w:proofErr w:type="gramStart"/>
      <w:r w:rsidRPr="000C4364">
        <w:rPr>
          <w:rFonts w:ascii="Times New Roman" w:eastAsia="Calibri" w:hAnsi="Times New Roman" w:cs="Times New Roman"/>
          <w:i/>
          <w:sz w:val="24"/>
          <w:szCs w:val="24"/>
        </w:rPr>
        <w:t xml:space="preserve">Development and Change, </w:t>
      </w:r>
      <w:r w:rsidR="00B1462C">
        <w:rPr>
          <w:rFonts w:ascii="Times New Roman" w:eastAsia="Calibri" w:hAnsi="Times New Roman" w:cs="Times New Roman"/>
          <w:sz w:val="24"/>
          <w:szCs w:val="24"/>
        </w:rPr>
        <w:t>26(4)</w:t>
      </w:r>
      <w:r w:rsidRPr="000C4364">
        <w:rPr>
          <w:rFonts w:ascii="Times New Roman" w:eastAsia="Calibri" w:hAnsi="Times New Roman" w:cs="Times New Roman"/>
          <w:sz w:val="24"/>
          <w:szCs w:val="24"/>
        </w:rPr>
        <w:t>, pp.633-650.</w:t>
      </w:r>
      <w:proofErr w:type="gramEnd"/>
    </w:p>
    <w:p w:rsidR="006C5928" w:rsidRPr="000C4364" w:rsidRDefault="00B1462C" w:rsidP="00B1462C">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Hunt, J. and Laszlo, S. (2011).</w:t>
      </w:r>
      <w:r w:rsidR="006C5928" w:rsidRPr="000C4364">
        <w:rPr>
          <w:rFonts w:ascii="Times New Roman" w:eastAsia="Calibri" w:hAnsi="Times New Roman" w:cs="Times New Roman"/>
          <w:sz w:val="24"/>
          <w:szCs w:val="24"/>
        </w:rPr>
        <w:t xml:space="preserve"> Is Bribery Really Regressive? </w:t>
      </w:r>
      <w:proofErr w:type="gramStart"/>
      <w:r w:rsidR="006C5928" w:rsidRPr="000C4364">
        <w:rPr>
          <w:rFonts w:ascii="Times New Roman" w:eastAsia="Calibri" w:hAnsi="Times New Roman" w:cs="Times New Roman"/>
          <w:sz w:val="24"/>
          <w:szCs w:val="24"/>
        </w:rPr>
        <w:t>Bribery’s Costs, Benefits, and Mechanisms</w:t>
      </w:r>
      <w:r>
        <w:rPr>
          <w:rFonts w:ascii="Times New Roman" w:eastAsia="Calibri" w:hAnsi="Times New Roman" w:cs="Times New Roman"/>
          <w:sz w:val="24"/>
          <w:szCs w:val="24"/>
        </w:rPr>
        <w:t>.</w:t>
      </w:r>
      <w:proofErr w:type="gramEnd"/>
      <w:r w:rsidR="006C5928" w:rsidRPr="000C4364">
        <w:rPr>
          <w:rFonts w:ascii="Times New Roman" w:eastAsia="Calibri" w:hAnsi="Times New Roman" w:cs="Times New Roman"/>
          <w:sz w:val="24"/>
          <w:szCs w:val="24"/>
        </w:rPr>
        <w:t xml:space="preserve"> </w:t>
      </w:r>
      <w:r w:rsidR="006C5928" w:rsidRPr="000C4364">
        <w:rPr>
          <w:rFonts w:ascii="Times New Roman" w:eastAsia="Calibri" w:hAnsi="Times New Roman" w:cs="Times New Roman"/>
          <w:i/>
          <w:sz w:val="24"/>
          <w:szCs w:val="24"/>
        </w:rPr>
        <w:t>World Development</w:t>
      </w:r>
      <w:r w:rsidR="006C5928" w:rsidRPr="000C4364">
        <w:rPr>
          <w:rFonts w:ascii="Times New Roman" w:eastAsia="Calibri" w:hAnsi="Times New Roman" w:cs="Times New Roman"/>
          <w:sz w:val="24"/>
          <w:szCs w:val="24"/>
        </w:rPr>
        <w:t xml:space="preserve">, </w:t>
      </w:r>
      <w:r w:rsidR="00871AAC">
        <w:rPr>
          <w:rFonts w:ascii="Times New Roman" w:eastAsia="Calibri" w:hAnsi="Times New Roman" w:cs="Times New Roman"/>
          <w:sz w:val="24"/>
          <w:szCs w:val="24"/>
        </w:rPr>
        <w:t>40(2)</w:t>
      </w:r>
      <w:r w:rsidR="002B616C" w:rsidRPr="000C4364">
        <w:rPr>
          <w:rFonts w:ascii="Times New Roman" w:eastAsia="Calibri" w:hAnsi="Times New Roman" w:cs="Times New Roman"/>
          <w:sz w:val="24"/>
          <w:szCs w:val="24"/>
        </w:rPr>
        <w:t>, pp.</w:t>
      </w:r>
      <w:r w:rsidR="006C5928" w:rsidRPr="000C4364">
        <w:rPr>
          <w:rFonts w:ascii="Times New Roman" w:eastAsia="Calibri" w:hAnsi="Times New Roman" w:cs="Times New Roman"/>
          <w:sz w:val="24"/>
          <w:szCs w:val="24"/>
        </w:rPr>
        <w:t xml:space="preserve"> 355-372. </w:t>
      </w:r>
    </w:p>
    <w:p w:rsidR="006C16AA" w:rsidRPr="000C4364" w:rsidRDefault="002B616C" w:rsidP="00871AAC">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IMF</w:t>
      </w:r>
      <w:r w:rsidR="00C03041" w:rsidRPr="000C4364">
        <w:rPr>
          <w:rFonts w:ascii="Times New Roman" w:hAnsi="Times New Roman" w:cs="Times New Roman"/>
          <w:sz w:val="24"/>
          <w:szCs w:val="24"/>
        </w:rPr>
        <w:t xml:space="preserve"> </w:t>
      </w:r>
      <w:r w:rsidRPr="000C4364">
        <w:rPr>
          <w:rFonts w:ascii="Times New Roman" w:hAnsi="Times New Roman" w:cs="Times New Roman"/>
          <w:sz w:val="24"/>
          <w:szCs w:val="24"/>
        </w:rPr>
        <w:t>(</w:t>
      </w:r>
      <w:r w:rsidR="00C03041" w:rsidRPr="00871AAC">
        <w:rPr>
          <w:rFonts w:ascii="Times New Roman" w:eastAsia="Calibri" w:hAnsi="Times New Roman" w:cs="Times New Roman"/>
          <w:sz w:val="24"/>
          <w:szCs w:val="24"/>
        </w:rPr>
        <w:t>2011</w:t>
      </w:r>
      <w:r w:rsidR="00871AAC">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Russian Federation: Financial System Stability Assessment</w:t>
      </w:r>
      <w:r w:rsidRPr="000C4364">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IMF Country Report No 11/291</w:t>
      </w:r>
      <w:r w:rsidR="008C417C" w:rsidRPr="000C4364">
        <w:rPr>
          <w:rFonts w:ascii="Times New Roman" w:hAnsi="Times New Roman" w:cs="Times New Roman"/>
          <w:sz w:val="24"/>
          <w:szCs w:val="24"/>
        </w:rPr>
        <w:t>. Washington D.C.: IMF.</w:t>
      </w:r>
    </w:p>
    <w:p w:rsidR="006C16AA" w:rsidRPr="000C4364" w:rsidRDefault="002B616C" w:rsidP="00871AAC">
      <w:pPr>
        <w:shd w:val="clear" w:color="auto" w:fill="FFFFFF"/>
        <w:spacing w:after="0" w:line="480" w:lineRule="auto"/>
        <w:outlineLvl w:val="1"/>
        <w:rPr>
          <w:rFonts w:ascii="Times New Roman" w:hAnsi="Times New Roman" w:cs="Times New Roman"/>
          <w:bCs/>
          <w:iCs/>
          <w:sz w:val="24"/>
          <w:szCs w:val="24"/>
        </w:rPr>
      </w:pPr>
      <w:proofErr w:type="spellStart"/>
      <w:r w:rsidRPr="000C4364">
        <w:rPr>
          <w:rFonts w:ascii="Times New Roman" w:hAnsi="Times New Roman" w:cs="Times New Roman"/>
          <w:bCs/>
          <w:iCs/>
          <w:sz w:val="24"/>
          <w:szCs w:val="24"/>
        </w:rPr>
        <w:t>Ivanenko</w:t>
      </w:r>
      <w:proofErr w:type="spellEnd"/>
      <w:r w:rsidRPr="000C4364">
        <w:rPr>
          <w:rFonts w:ascii="Times New Roman" w:hAnsi="Times New Roman" w:cs="Times New Roman"/>
          <w:bCs/>
          <w:iCs/>
          <w:sz w:val="24"/>
          <w:szCs w:val="24"/>
        </w:rPr>
        <w:t xml:space="preserve">, V. </w:t>
      </w:r>
      <w:proofErr w:type="gramStart"/>
      <w:r w:rsidRPr="000C4364">
        <w:rPr>
          <w:rFonts w:ascii="Times New Roman" w:hAnsi="Times New Roman" w:cs="Times New Roman"/>
          <w:bCs/>
          <w:iCs/>
          <w:sz w:val="24"/>
          <w:szCs w:val="24"/>
        </w:rPr>
        <w:t>and</w:t>
      </w:r>
      <w:r w:rsidR="00C03041" w:rsidRPr="000C4364">
        <w:rPr>
          <w:rFonts w:ascii="Times New Roman" w:hAnsi="Times New Roman" w:cs="Times New Roman"/>
          <w:bCs/>
          <w:iCs/>
          <w:sz w:val="24"/>
          <w:szCs w:val="24"/>
        </w:rPr>
        <w:t xml:space="preserve">  </w:t>
      </w:r>
      <w:proofErr w:type="spellStart"/>
      <w:r w:rsidR="00C03041" w:rsidRPr="000C4364">
        <w:rPr>
          <w:rFonts w:ascii="Times New Roman" w:hAnsi="Times New Roman" w:cs="Times New Roman"/>
          <w:bCs/>
          <w:iCs/>
          <w:sz w:val="24"/>
          <w:szCs w:val="24"/>
        </w:rPr>
        <w:t>Mikheyev</w:t>
      </w:r>
      <w:proofErr w:type="spellEnd"/>
      <w:proofErr w:type="gramEnd"/>
      <w:r w:rsidR="00C03041" w:rsidRPr="000C4364">
        <w:rPr>
          <w:rFonts w:ascii="Times New Roman" w:hAnsi="Times New Roman" w:cs="Times New Roman"/>
          <w:bCs/>
          <w:iCs/>
          <w:sz w:val="24"/>
          <w:szCs w:val="24"/>
        </w:rPr>
        <w:t xml:space="preserve">, D. </w:t>
      </w:r>
      <w:r w:rsidRPr="000C4364">
        <w:rPr>
          <w:rFonts w:ascii="Times New Roman" w:hAnsi="Times New Roman" w:cs="Times New Roman"/>
          <w:bCs/>
          <w:iCs/>
          <w:sz w:val="24"/>
          <w:szCs w:val="24"/>
        </w:rPr>
        <w:t>(</w:t>
      </w:r>
      <w:r w:rsidR="00C03041" w:rsidRPr="000C4364">
        <w:rPr>
          <w:rFonts w:ascii="Times New Roman" w:hAnsi="Times New Roman" w:cs="Times New Roman"/>
          <w:bCs/>
          <w:iCs/>
          <w:sz w:val="24"/>
          <w:szCs w:val="24"/>
        </w:rPr>
        <w:t>2002</w:t>
      </w:r>
      <w:r w:rsidR="00871AAC">
        <w:rPr>
          <w:rFonts w:ascii="Times New Roman" w:hAnsi="Times New Roman" w:cs="Times New Roman"/>
          <w:bCs/>
          <w:iCs/>
          <w:sz w:val="24"/>
          <w:szCs w:val="24"/>
        </w:rPr>
        <w:t>).</w:t>
      </w:r>
      <w:r w:rsidR="008C417C" w:rsidRPr="000C4364">
        <w:rPr>
          <w:rFonts w:ascii="Times New Roman" w:hAnsi="Times New Roman" w:cs="Times New Roman"/>
          <w:bCs/>
          <w:iCs/>
          <w:sz w:val="24"/>
          <w:szCs w:val="24"/>
        </w:rPr>
        <w:t xml:space="preserve"> </w:t>
      </w:r>
      <w:proofErr w:type="gramStart"/>
      <w:r w:rsidR="008C417C" w:rsidRPr="000C4364">
        <w:rPr>
          <w:rFonts w:ascii="Times New Roman" w:hAnsi="Times New Roman" w:cs="Times New Roman"/>
          <w:bCs/>
          <w:iCs/>
          <w:sz w:val="24"/>
          <w:szCs w:val="24"/>
        </w:rPr>
        <w:t>The role of non-monetary trade in Russian transition</w:t>
      </w:r>
      <w:r w:rsidR="00871AAC">
        <w:rPr>
          <w:rFonts w:ascii="Times New Roman" w:hAnsi="Times New Roman" w:cs="Times New Roman"/>
          <w:bCs/>
          <w:iCs/>
          <w:sz w:val="24"/>
          <w:szCs w:val="24"/>
        </w:rPr>
        <w:t>.</w:t>
      </w:r>
      <w:proofErr w:type="gramEnd"/>
      <w:r w:rsidR="008C417C" w:rsidRPr="000C4364">
        <w:rPr>
          <w:rFonts w:ascii="Times New Roman" w:hAnsi="Times New Roman" w:cs="Times New Roman"/>
          <w:bCs/>
          <w:iCs/>
          <w:sz w:val="24"/>
          <w:szCs w:val="24"/>
        </w:rPr>
        <w:t xml:space="preserve"> </w:t>
      </w:r>
      <w:r w:rsidR="008C417C" w:rsidRPr="000C4364">
        <w:rPr>
          <w:rFonts w:ascii="Times New Roman" w:hAnsi="Times New Roman" w:cs="Times New Roman"/>
          <w:bCs/>
          <w:i/>
          <w:sz w:val="24"/>
          <w:szCs w:val="24"/>
        </w:rPr>
        <w:t>Post-Communist Economies</w:t>
      </w:r>
      <w:r w:rsidRPr="000C4364">
        <w:rPr>
          <w:rFonts w:ascii="Times New Roman" w:hAnsi="Times New Roman" w:cs="Times New Roman"/>
          <w:bCs/>
          <w:i/>
          <w:sz w:val="24"/>
          <w:szCs w:val="24"/>
        </w:rPr>
        <w:t>,</w:t>
      </w:r>
      <w:r w:rsidR="008C417C" w:rsidRPr="000C4364">
        <w:rPr>
          <w:rFonts w:ascii="Times New Roman" w:hAnsi="Times New Roman" w:cs="Times New Roman"/>
          <w:bCs/>
          <w:i/>
          <w:sz w:val="24"/>
          <w:szCs w:val="24"/>
        </w:rPr>
        <w:t xml:space="preserve"> </w:t>
      </w:r>
      <w:r w:rsidR="000D0600">
        <w:rPr>
          <w:rFonts w:ascii="Times New Roman" w:hAnsi="Times New Roman" w:cs="Times New Roman"/>
          <w:bCs/>
          <w:iCs/>
          <w:sz w:val="24"/>
          <w:szCs w:val="24"/>
        </w:rPr>
        <w:t>14(4)</w:t>
      </w:r>
      <w:r w:rsidRPr="000C4364">
        <w:rPr>
          <w:rFonts w:ascii="Times New Roman" w:hAnsi="Times New Roman" w:cs="Times New Roman"/>
          <w:bCs/>
          <w:iCs/>
          <w:sz w:val="24"/>
          <w:szCs w:val="24"/>
        </w:rPr>
        <w:t>, pp.</w:t>
      </w:r>
      <w:r w:rsidR="008C417C" w:rsidRPr="000C4364">
        <w:rPr>
          <w:rFonts w:ascii="Times New Roman" w:hAnsi="Times New Roman" w:cs="Times New Roman"/>
          <w:bCs/>
          <w:iCs/>
          <w:sz w:val="24"/>
          <w:szCs w:val="24"/>
        </w:rPr>
        <w:t xml:space="preserve"> 405-419.</w:t>
      </w:r>
    </w:p>
    <w:p w:rsidR="006C16AA" w:rsidRPr="000C4364" w:rsidRDefault="00C03041" w:rsidP="000C4364">
      <w:pPr>
        <w:shd w:val="clear" w:color="auto" w:fill="FFFFFF"/>
        <w:spacing w:after="0" w:line="480" w:lineRule="auto"/>
        <w:ind w:left="567" w:hanging="567"/>
        <w:outlineLvl w:val="1"/>
        <w:rPr>
          <w:rFonts w:ascii="Times New Roman" w:hAnsi="Times New Roman" w:cs="Times New Roman"/>
          <w:iCs/>
          <w:color w:val="000000"/>
          <w:sz w:val="24"/>
          <w:szCs w:val="24"/>
          <w:shd w:val="clear" w:color="auto" w:fill="FFFFFF"/>
        </w:rPr>
      </w:pPr>
      <w:proofErr w:type="spellStart"/>
      <w:r w:rsidRPr="000C4364">
        <w:rPr>
          <w:rFonts w:ascii="Times New Roman" w:hAnsi="Times New Roman" w:cs="Times New Roman"/>
          <w:iCs/>
          <w:color w:val="000000"/>
          <w:sz w:val="24"/>
          <w:szCs w:val="24"/>
          <w:shd w:val="clear" w:color="auto" w:fill="FFFFFF"/>
        </w:rPr>
        <w:t>Kornai</w:t>
      </w:r>
      <w:proofErr w:type="spellEnd"/>
      <w:r w:rsidRPr="000C4364">
        <w:rPr>
          <w:rFonts w:ascii="Times New Roman" w:hAnsi="Times New Roman" w:cs="Times New Roman"/>
          <w:iCs/>
          <w:color w:val="000000"/>
          <w:sz w:val="24"/>
          <w:szCs w:val="24"/>
          <w:shd w:val="clear" w:color="auto" w:fill="FFFFFF"/>
        </w:rPr>
        <w:t xml:space="preserve">, J. </w:t>
      </w:r>
      <w:r w:rsidR="00606529"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1982</w:t>
      </w:r>
      <w:r w:rsidR="00E20B77">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
          <w:iCs/>
          <w:color w:val="000000"/>
          <w:sz w:val="24"/>
          <w:szCs w:val="24"/>
          <w:shd w:val="clear" w:color="auto" w:fill="FFFFFF"/>
        </w:rPr>
        <w:t>Growth, Shortage and Efficiency</w:t>
      </w:r>
      <w:r w:rsidR="00606529" w:rsidRPr="000C4364">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Cs/>
          <w:color w:val="000000"/>
          <w:sz w:val="24"/>
          <w:szCs w:val="24"/>
          <w:shd w:val="clear" w:color="auto" w:fill="FFFFFF"/>
        </w:rPr>
        <w:t xml:space="preserve"> Oxford: Basil Blackwell</w:t>
      </w:r>
      <w:r w:rsidR="00606529" w:rsidRPr="000C4364">
        <w:rPr>
          <w:rFonts w:ascii="Times New Roman" w:hAnsi="Times New Roman" w:cs="Times New Roman"/>
          <w:iCs/>
          <w:color w:val="000000"/>
          <w:sz w:val="24"/>
          <w:szCs w:val="24"/>
          <w:shd w:val="clear" w:color="auto" w:fill="FFFFFF"/>
        </w:rPr>
        <w:t>.</w:t>
      </w:r>
    </w:p>
    <w:p w:rsidR="006C16AA" w:rsidRPr="000C4364" w:rsidRDefault="00C03041" w:rsidP="00F86BEB">
      <w:pPr>
        <w:spacing w:after="0" w:line="480" w:lineRule="auto"/>
        <w:rPr>
          <w:rFonts w:ascii="Times New Roman" w:hAnsi="Times New Roman" w:cs="Times New Roman"/>
          <w:sz w:val="24"/>
          <w:szCs w:val="24"/>
          <w:lang w:val="en-US"/>
        </w:rPr>
      </w:pPr>
      <w:r w:rsidRPr="000C4364">
        <w:rPr>
          <w:rFonts w:ascii="Times New Roman" w:hAnsi="Times New Roman" w:cs="Times New Roman"/>
          <w:sz w:val="24"/>
          <w:szCs w:val="24"/>
          <w:lang w:val="en-US"/>
        </w:rPr>
        <w:t xml:space="preserve">Li, D. D. </w:t>
      </w:r>
      <w:r w:rsidR="00606529" w:rsidRPr="000C4364">
        <w:rPr>
          <w:rFonts w:ascii="Times New Roman" w:hAnsi="Times New Roman" w:cs="Times New Roman"/>
          <w:sz w:val="24"/>
          <w:szCs w:val="24"/>
          <w:lang w:val="en-US"/>
        </w:rPr>
        <w:t>(</w:t>
      </w:r>
      <w:r w:rsidRPr="000C4364">
        <w:rPr>
          <w:rFonts w:ascii="Times New Roman" w:hAnsi="Times New Roman" w:cs="Times New Roman"/>
          <w:sz w:val="24"/>
          <w:szCs w:val="24"/>
          <w:lang w:val="en-US"/>
        </w:rPr>
        <w:t>1998</w:t>
      </w:r>
      <w:r w:rsidR="00E20B77">
        <w:rPr>
          <w:rFonts w:ascii="Times New Roman" w:hAnsi="Times New Roman" w:cs="Times New Roman"/>
          <w:sz w:val="24"/>
          <w:szCs w:val="24"/>
          <w:lang w:val="en-US"/>
        </w:rPr>
        <w:t xml:space="preserve">). </w:t>
      </w:r>
      <w:proofErr w:type="gramStart"/>
      <w:r w:rsidR="008C417C" w:rsidRPr="000C4364">
        <w:rPr>
          <w:rFonts w:ascii="Times New Roman" w:hAnsi="Times New Roman" w:cs="Times New Roman"/>
          <w:sz w:val="24"/>
          <w:szCs w:val="24"/>
          <w:lang w:val="en-US"/>
        </w:rPr>
        <w:t>Changing incentives of the Chinese bureaucracy</w:t>
      </w:r>
      <w:r w:rsidR="00E20B77">
        <w:rPr>
          <w:rFonts w:ascii="Times New Roman" w:hAnsi="Times New Roman" w:cs="Times New Roman"/>
          <w:sz w:val="24"/>
          <w:szCs w:val="24"/>
          <w:lang w:val="en-US"/>
        </w:rPr>
        <w:t>.</w:t>
      </w:r>
      <w:proofErr w:type="gramEnd"/>
      <w:r w:rsidR="008C417C" w:rsidRPr="000C4364">
        <w:rPr>
          <w:rFonts w:ascii="Times New Roman" w:hAnsi="Times New Roman" w:cs="Times New Roman"/>
          <w:sz w:val="24"/>
          <w:szCs w:val="24"/>
          <w:lang w:val="en-US"/>
        </w:rPr>
        <w:t xml:space="preserve"> </w:t>
      </w:r>
      <w:r w:rsidR="008C417C" w:rsidRPr="000C4364">
        <w:rPr>
          <w:rFonts w:ascii="Times New Roman" w:hAnsi="Times New Roman" w:cs="Times New Roman"/>
          <w:i/>
          <w:sz w:val="24"/>
          <w:szCs w:val="24"/>
          <w:lang w:val="en-US"/>
        </w:rPr>
        <w:t xml:space="preserve">American Economic Review, </w:t>
      </w:r>
      <w:r w:rsidRPr="000C4364">
        <w:rPr>
          <w:rFonts w:ascii="Times New Roman" w:hAnsi="Times New Roman" w:cs="Times New Roman"/>
          <w:sz w:val="24"/>
          <w:szCs w:val="24"/>
          <w:lang w:val="en-US"/>
        </w:rPr>
        <w:t>88</w:t>
      </w:r>
      <w:r w:rsidR="00E20B77">
        <w:rPr>
          <w:rFonts w:ascii="Times New Roman" w:hAnsi="Times New Roman" w:cs="Times New Roman"/>
          <w:sz w:val="24"/>
          <w:szCs w:val="24"/>
          <w:lang w:val="en-US"/>
        </w:rPr>
        <w:t>(2)</w:t>
      </w:r>
      <w:r w:rsidR="00606529" w:rsidRPr="000C4364">
        <w:rPr>
          <w:rFonts w:ascii="Times New Roman" w:hAnsi="Times New Roman" w:cs="Times New Roman"/>
          <w:sz w:val="24"/>
          <w:szCs w:val="24"/>
          <w:lang w:val="en-US"/>
        </w:rPr>
        <w:t>, pp.</w:t>
      </w:r>
      <w:r w:rsidR="008C417C" w:rsidRPr="000C4364">
        <w:rPr>
          <w:rFonts w:ascii="Times New Roman" w:hAnsi="Times New Roman" w:cs="Times New Roman"/>
          <w:sz w:val="24"/>
          <w:szCs w:val="24"/>
          <w:lang w:val="en-US"/>
        </w:rPr>
        <w:t xml:space="preserve"> 323-397.</w:t>
      </w:r>
    </w:p>
    <w:p w:rsidR="006C16AA" w:rsidRPr="000C4364" w:rsidRDefault="00C03041" w:rsidP="00F86BEB">
      <w:pPr>
        <w:spacing w:after="0" w:line="480" w:lineRule="auto"/>
        <w:rPr>
          <w:rFonts w:ascii="Times New Roman" w:hAnsi="Times New Roman" w:cs="Times New Roman"/>
          <w:sz w:val="24"/>
          <w:szCs w:val="24"/>
          <w:lang w:val="en-US"/>
        </w:rPr>
      </w:pPr>
      <w:proofErr w:type="spellStart"/>
      <w:proofErr w:type="gramStart"/>
      <w:r w:rsidRPr="000C4364">
        <w:rPr>
          <w:rFonts w:ascii="Times New Roman" w:hAnsi="Times New Roman" w:cs="Times New Roman"/>
          <w:sz w:val="24"/>
          <w:szCs w:val="24"/>
          <w:lang w:val="en-US"/>
        </w:rPr>
        <w:t>Manion</w:t>
      </w:r>
      <w:proofErr w:type="spellEnd"/>
      <w:r w:rsidRPr="000C4364">
        <w:rPr>
          <w:rFonts w:ascii="Times New Roman" w:hAnsi="Times New Roman" w:cs="Times New Roman"/>
          <w:sz w:val="24"/>
          <w:szCs w:val="24"/>
          <w:lang w:val="en-US"/>
        </w:rPr>
        <w:t xml:space="preserve">, M. </w:t>
      </w:r>
      <w:r w:rsidR="00606529" w:rsidRPr="000C4364">
        <w:rPr>
          <w:rFonts w:ascii="Times New Roman" w:hAnsi="Times New Roman" w:cs="Times New Roman"/>
          <w:sz w:val="24"/>
          <w:szCs w:val="24"/>
          <w:lang w:val="en-US"/>
        </w:rPr>
        <w:t>(</w:t>
      </w:r>
      <w:r w:rsidRPr="000C4364">
        <w:rPr>
          <w:rFonts w:ascii="Times New Roman" w:hAnsi="Times New Roman" w:cs="Times New Roman"/>
          <w:sz w:val="24"/>
          <w:szCs w:val="24"/>
          <w:lang w:val="en-US"/>
        </w:rPr>
        <w:t>1996</w:t>
      </w:r>
      <w:r w:rsidR="00F86BEB">
        <w:rPr>
          <w:rFonts w:ascii="Times New Roman" w:hAnsi="Times New Roman" w:cs="Times New Roman"/>
          <w:sz w:val="24"/>
          <w:szCs w:val="24"/>
          <w:lang w:val="en-US"/>
        </w:rPr>
        <w:t>).</w:t>
      </w:r>
      <w:proofErr w:type="gramEnd"/>
      <w:r w:rsidR="008C417C" w:rsidRPr="000C4364">
        <w:rPr>
          <w:rFonts w:ascii="Times New Roman" w:hAnsi="Times New Roman" w:cs="Times New Roman"/>
          <w:sz w:val="24"/>
          <w:szCs w:val="24"/>
          <w:lang w:val="en-US"/>
        </w:rPr>
        <w:t xml:space="preserve"> Corruption by design: bribery in Chinese enterprise licensing</w:t>
      </w:r>
      <w:r w:rsidR="00F86BEB">
        <w:rPr>
          <w:rFonts w:ascii="Times New Roman" w:hAnsi="Times New Roman" w:cs="Times New Roman"/>
          <w:sz w:val="24"/>
          <w:szCs w:val="24"/>
          <w:lang w:val="en-US"/>
        </w:rPr>
        <w:t>.</w:t>
      </w:r>
      <w:r w:rsidR="008C417C" w:rsidRPr="000C4364">
        <w:rPr>
          <w:rFonts w:ascii="Times New Roman" w:hAnsi="Times New Roman" w:cs="Times New Roman"/>
          <w:sz w:val="24"/>
          <w:szCs w:val="24"/>
          <w:lang w:val="en-US"/>
        </w:rPr>
        <w:t xml:space="preserve"> </w:t>
      </w:r>
      <w:proofErr w:type="gramStart"/>
      <w:r w:rsidR="008C417C" w:rsidRPr="000C4364">
        <w:rPr>
          <w:rFonts w:ascii="Times New Roman" w:hAnsi="Times New Roman" w:cs="Times New Roman"/>
          <w:i/>
          <w:sz w:val="24"/>
          <w:szCs w:val="24"/>
          <w:lang w:val="en-US"/>
        </w:rPr>
        <w:t>Journal of Law, Economics, and Organization</w:t>
      </w:r>
      <w:r w:rsidRPr="000C4364">
        <w:rPr>
          <w:rFonts w:ascii="Times New Roman" w:hAnsi="Times New Roman" w:cs="Times New Roman"/>
          <w:sz w:val="24"/>
          <w:szCs w:val="24"/>
          <w:lang w:val="en-US"/>
        </w:rPr>
        <w:t>, 12</w:t>
      </w:r>
      <w:r w:rsidR="00F86BEB">
        <w:rPr>
          <w:rFonts w:ascii="Times New Roman" w:hAnsi="Times New Roman" w:cs="Times New Roman"/>
          <w:sz w:val="24"/>
          <w:szCs w:val="24"/>
          <w:lang w:val="en-US"/>
        </w:rPr>
        <w:t>(1),</w:t>
      </w:r>
      <w:r w:rsidR="00606529" w:rsidRPr="000C4364">
        <w:rPr>
          <w:rFonts w:ascii="Times New Roman" w:hAnsi="Times New Roman" w:cs="Times New Roman"/>
          <w:sz w:val="24"/>
          <w:szCs w:val="24"/>
          <w:lang w:val="en-US"/>
        </w:rPr>
        <w:t xml:space="preserve"> pp.</w:t>
      </w:r>
      <w:r w:rsidR="008C417C" w:rsidRPr="000C4364">
        <w:rPr>
          <w:rFonts w:ascii="Times New Roman" w:hAnsi="Times New Roman" w:cs="Times New Roman"/>
          <w:sz w:val="24"/>
          <w:szCs w:val="24"/>
          <w:lang w:val="en-US"/>
        </w:rPr>
        <w:t>167-195.</w:t>
      </w:r>
      <w:proofErr w:type="gramEnd"/>
    </w:p>
    <w:p w:rsidR="006C16AA" w:rsidRPr="000C4364" w:rsidRDefault="00C03041" w:rsidP="00F86BEB">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 xml:space="preserve">McKean, M. </w:t>
      </w:r>
      <w:r w:rsidR="00606529" w:rsidRPr="000C4364">
        <w:rPr>
          <w:rFonts w:ascii="Times New Roman" w:hAnsi="Times New Roman" w:cs="Times New Roman"/>
          <w:sz w:val="24"/>
          <w:szCs w:val="24"/>
        </w:rPr>
        <w:t>(</w:t>
      </w:r>
      <w:r w:rsidRPr="000C4364">
        <w:rPr>
          <w:rFonts w:ascii="Times New Roman" w:hAnsi="Times New Roman" w:cs="Times New Roman"/>
          <w:sz w:val="24"/>
          <w:szCs w:val="24"/>
        </w:rPr>
        <w:t>1992</w:t>
      </w:r>
      <w:r w:rsidR="00F86BEB">
        <w:rPr>
          <w:rFonts w:ascii="Times New Roman" w:hAnsi="Times New Roman" w:cs="Times New Roman"/>
          <w:sz w:val="24"/>
          <w:szCs w:val="24"/>
        </w:rPr>
        <w:t>).</w:t>
      </w:r>
      <w:proofErr w:type="gramEnd"/>
      <w:r w:rsidR="00F86BEB">
        <w:rPr>
          <w:rFonts w:ascii="Times New Roman" w:hAnsi="Times New Roman" w:cs="Times New Roman"/>
          <w:sz w:val="24"/>
          <w:szCs w:val="24"/>
        </w:rPr>
        <w:t xml:space="preserve"> </w:t>
      </w:r>
      <w:r w:rsidR="008C417C" w:rsidRPr="000C4364">
        <w:rPr>
          <w:rFonts w:ascii="Times New Roman" w:hAnsi="Times New Roman" w:cs="Times New Roman"/>
          <w:sz w:val="24"/>
          <w:szCs w:val="24"/>
        </w:rPr>
        <w:t>Success on the commons: A comparative examination of institutions for common property resource management</w:t>
      </w:r>
      <w:r w:rsidR="00F86BEB">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Journal of Theoretical Politics</w:t>
      </w:r>
      <w:r w:rsidR="00F86BEB">
        <w:rPr>
          <w:rFonts w:ascii="Times New Roman" w:hAnsi="Times New Roman" w:cs="Times New Roman"/>
          <w:sz w:val="24"/>
          <w:szCs w:val="24"/>
        </w:rPr>
        <w:t>,</w:t>
      </w:r>
      <w:r w:rsidR="00606529" w:rsidRPr="000C4364">
        <w:rPr>
          <w:rFonts w:ascii="Times New Roman" w:hAnsi="Times New Roman" w:cs="Times New Roman"/>
          <w:sz w:val="24"/>
          <w:szCs w:val="24"/>
        </w:rPr>
        <w:t xml:space="preserve"> </w:t>
      </w:r>
      <w:r w:rsidRPr="000C4364">
        <w:rPr>
          <w:rFonts w:ascii="Times New Roman" w:hAnsi="Times New Roman" w:cs="Times New Roman"/>
          <w:sz w:val="24"/>
          <w:szCs w:val="24"/>
        </w:rPr>
        <w:t>4</w:t>
      </w:r>
      <w:r w:rsidR="00F86BEB">
        <w:rPr>
          <w:rFonts w:ascii="Times New Roman" w:hAnsi="Times New Roman" w:cs="Times New Roman"/>
          <w:sz w:val="24"/>
          <w:szCs w:val="24"/>
        </w:rPr>
        <w:t xml:space="preserve"> (</w:t>
      </w:r>
      <w:r w:rsidR="00606529" w:rsidRPr="000C4364">
        <w:rPr>
          <w:rFonts w:ascii="Times New Roman" w:hAnsi="Times New Roman" w:cs="Times New Roman"/>
          <w:sz w:val="24"/>
          <w:szCs w:val="24"/>
        </w:rPr>
        <w:t>1</w:t>
      </w:r>
      <w:r w:rsidR="00F86BEB">
        <w:rPr>
          <w:rFonts w:ascii="Times New Roman" w:hAnsi="Times New Roman" w:cs="Times New Roman"/>
          <w:sz w:val="24"/>
          <w:szCs w:val="24"/>
        </w:rPr>
        <w:t>)</w:t>
      </w:r>
      <w:r w:rsidR="00606529" w:rsidRPr="000C4364">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r w:rsidR="00606529" w:rsidRPr="000C4364">
        <w:rPr>
          <w:rFonts w:ascii="Times New Roman" w:hAnsi="Times New Roman" w:cs="Times New Roman"/>
          <w:sz w:val="24"/>
          <w:szCs w:val="24"/>
        </w:rPr>
        <w:t xml:space="preserve">pp. </w:t>
      </w:r>
      <w:r w:rsidR="008C417C" w:rsidRPr="000C4364">
        <w:rPr>
          <w:rFonts w:ascii="Times New Roman" w:hAnsi="Times New Roman" w:cs="Times New Roman"/>
          <w:sz w:val="24"/>
          <w:szCs w:val="24"/>
        </w:rPr>
        <w:t xml:space="preserve">247-281. </w:t>
      </w:r>
    </w:p>
    <w:p w:rsidR="006C16AA" w:rsidRPr="000C4364" w:rsidRDefault="008C417C" w:rsidP="00F86BEB">
      <w:pPr>
        <w:spacing w:after="0" w:line="480" w:lineRule="auto"/>
        <w:rPr>
          <w:rFonts w:ascii="Times New Roman" w:hAnsi="Times New Roman" w:cs="Times New Roman"/>
          <w:color w:val="000000"/>
          <w:sz w:val="24"/>
          <w:szCs w:val="24"/>
          <w:shd w:val="clear" w:color="auto" w:fill="FFFFFF"/>
        </w:rPr>
      </w:pPr>
      <w:proofErr w:type="gramStart"/>
      <w:r w:rsidRPr="000C4364">
        <w:rPr>
          <w:rFonts w:ascii="Times New Roman" w:hAnsi="Times New Roman" w:cs="Times New Roman"/>
          <w:sz w:val="24"/>
          <w:szCs w:val="24"/>
        </w:rPr>
        <w:t>Mina, A.</w:t>
      </w:r>
      <w:r w:rsidR="00606529" w:rsidRPr="000C4364">
        <w:rPr>
          <w:rFonts w:ascii="Times New Roman" w:hAnsi="Times New Roman" w:cs="Times New Roman"/>
          <w:sz w:val="24"/>
          <w:szCs w:val="24"/>
        </w:rPr>
        <w:t>, Lahr, H. and</w:t>
      </w:r>
      <w:r w:rsidR="00C03041" w:rsidRPr="000C4364">
        <w:rPr>
          <w:rFonts w:ascii="Times New Roman" w:hAnsi="Times New Roman" w:cs="Times New Roman"/>
          <w:sz w:val="24"/>
          <w:szCs w:val="24"/>
        </w:rPr>
        <w:t xml:space="preserve"> Hughes, A. </w:t>
      </w:r>
      <w:r w:rsidR="00606529" w:rsidRPr="000C4364">
        <w:rPr>
          <w:rFonts w:ascii="Times New Roman" w:hAnsi="Times New Roman" w:cs="Times New Roman"/>
          <w:sz w:val="24"/>
          <w:szCs w:val="24"/>
        </w:rPr>
        <w:t>(</w:t>
      </w:r>
      <w:r w:rsidR="00C03041" w:rsidRPr="000C4364">
        <w:rPr>
          <w:rFonts w:ascii="Times New Roman" w:hAnsi="Times New Roman" w:cs="Times New Roman"/>
          <w:sz w:val="24"/>
          <w:szCs w:val="24"/>
        </w:rPr>
        <w:t>2013</w:t>
      </w:r>
      <w:r w:rsidR="00F86BEB">
        <w:rPr>
          <w:rFonts w:ascii="Times New Roman" w:hAnsi="Times New Roman" w:cs="Times New Roman"/>
          <w:sz w:val="24"/>
          <w:szCs w:val="24"/>
        </w:rPr>
        <w:t>).</w:t>
      </w:r>
      <w:proofErr w:type="gramEnd"/>
      <w:r w:rsidR="00F86BEB">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The demand and supply of extern</w:t>
      </w:r>
      <w:r w:rsidR="00F86BEB">
        <w:rPr>
          <w:rFonts w:ascii="Times New Roman" w:hAnsi="Times New Roman" w:cs="Times New Roman"/>
          <w:sz w:val="24"/>
          <w:szCs w:val="24"/>
        </w:rPr>
        <w:t>al finance for innovative firms.</w:t>
      </w:r>
      <w:proofErr w:type="gramEnd"/>
      <w:r w:rsidRPr="000C4364">
        <w:rPr>
          <w:rFonts w:ascii="Times New Roman" w:hAnsi="Times New Roman" w:cs="Times New Roman"/>
          <w:sz w:val="24"/>
          <w:szCs w:val="24"/>
        </w:rPr>
        <w:t xml:space="preserve"> </w:t>
      </w:r>
      <w:r w:rsidRPr="000C4364">
        <w:rPr>
          <w:rFonts w:ascii="Times New Roman" w:hAnsi="Times New Roman" w:cs="Times New Roman"/>
          <w:i/>
          <w:iCs/>
          <w:color w:val="000000"/>
          <w:sz w:val="24"/>
          <w:szCs w:val="24"/>
          <w:shd w:val="clear" w:color="auto" w:fill="FFFFFF"/>
        </w:rPr>
        <w:t>Industrial and Corporate Change</w:t>
      </w:r>
      <w:r w:rsidR="00C03041" w:rsidRPr="000C4364">
        <w:rPr>
          <w:rFonts w:ascii="Times New Roman" w:hAnsi="Times New Roman" w:cs="Times New Roman"/>
          <w:color w:val="000000"/>
          <w:sz w:val="24"/>
          <w:szCs w:val="24"/>
          <w:shd w:val="clear" w:color="auto" w:fill="FFFFFF"/>
        </w:rPr>
        <w:t>, 22</w:t>
      </w:r>
      <w:r w:rsidR="00F86BEB">
        <w:rPr>
          <w:rFonts w:ascii="Times New Roman" w:hAnsi="Times New Roman" w:cs="Times New Roman"/>
          <w:color w:val="000000"/>
          <w:sz w:val="24"/>
          <w:szCs w:val="24"/>
          <w:shd w:val="clear" w:color="auto" w:fill="FFFFFF"/>
        </w:rPr>
        <w:t>(4)</w:t>
      </w:r>
      <w:r w:rsidR="00606529" w:rsidRPr="000C4364">
        <w:rPr>
          <w:rFonts w:ascii="Times New Roman" w:hAnsi="Times New Roman" w:cs="Times New Roman"/>
          <w:color w:val="000000"/>
          <w:sz w:val="24"/>
          <w:szCs w:val="24"/>
          <w:shd w:val="clear" w:color="auto" w:fill="FFFFFF"/>
        </w:rPr>
        <w:t>, pp.</w:t>
      </w:r>
      <w:r w:rsidRPr="000C4364">
        <w:rPr>
          <w:rFonts w:ascii="Times New Roman" w:hAnsi="Times New Roman" w:cs="Times New Roman"/>
          <w:color w:val="000000"/>
          <w:sz w:val="24"/>
          <w:szCs w:val="24"/>
          <w:shd w:val="clear" w:color="auto" w:fill="FFFFFF"/>
        </w:rPr>
        <w:t xml:space="preserve"> 869–901.</w:t>
      </w:r>
    </w:p>
    <w:p w:rsidR="006C16AA" w:rsidRPr="000C4364" w:rsidRDefault="008C417C" w:rsidP="00F86BEB">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lastRenderedPageBreak/>
        <w:t>Modigl</w:t>
      </w:r>
      <w:r w:rsidR="00606529" w:rsidRPr="000C4364">
        <w:rPr>
          <w:rFonts w:ascii="Times New Roman" w:hAnsi="Times New Roman" w:cs="Times New Roman"/>
          <w:sz w:val="24"/>
          <w:szCs w:val="24"/>
        </w:rPr>
        <w:t xml:space="preserve">iani, F. and </w:t>
      </w:r>
      <w:r w:rsidR="00C03041" w:rsidRPr="000C4364">
        <w:rPr>
          <w:rFonts w:ascii="Times New Roman" w:hAnsi="Times New Roman" w:cs="Times New Roman"/>
          <w:sz w:val="24"/>
          <w:szCs w:val="24"/>
        </w:rPr>
        <w:t xml:space="preserve">Miller, M.H. </w:t>
      </w:r>
      <w:r w:rsidR="00606529" w:rsidRPr="000C4364">
        <w:rPr>
          <w:rFonts w:ascii="Times New Roman" w:hAnsi="Times New Roman" w:cs="Times New Roman"/>
          <w:sz w:val="24"/>
          <w:szCs w:val="24"/>
        </w:rPr>
        <w:t>(</w:t>
      </w:r>
      <w:r w:rsidR="00C03041" w:rsidRPr="000C4364">
        <w:rPr>
          <w:rFonts w:ascii="Times New Roman" w:hAnsi="Times New Roman" w:cs="Times New Roman"/>
          <w:sz w:val="24"/>
          <w:szCs w:val="24"/>
        </w:rPr>
        <w:t>1958</w:t>
      </w:r>
      <w:r w:rsidR="00F86BEB">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The cost of capital, corporation finance, and the theory of investment</w:t>
      </w:r>
      <w:r w:rsidR="00F86BEB">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American Economic Review,</w:t>
      </w:r>
      <w:r w:rsidR="00C03041" w:rsidRPr="000C4364">
        <w:rPr>
          <w:rFonts w:ascii="Times New Roman" w:hAnsi="Times New Roman" w:cs="Times New Roman"/>
          <w:sz w:val="24"/>
          <w:szCs w:val="24"/>
        </w:rPr>
        <w:t xml:space="preserve"> 48</w:t>
      </w:r>
      <w:r w:rsidR="00F86BEB">
        <w:rPr>
          <w:rFonts w:ascii="Times New Roman" w:hAnsi="Times New Roman" w:cs="Times New Roman"/>
          <w:sz w:val="24"/>
          <w:szCs w:val="24"/>
        </w:rPr>
        <w:t>(</w:t>
      </w:r>
      <w:r w:rsidR="00606529" w:rsidRPr="000C4364">
        <w:rPr>
          <w:rFonts w:ascii="Times New Roman" w:hAnsi="Times New Roman" w:cs="Times New Roman"/>
          <w:sz w:val="24"/>
          <w:szCs w:val="24"/>
        </w:rPr>
        <w:t>3</w:t>
      </w:r>
      <w:r w:rsidR="00F86BEB">
        <w:rPr>
          <w:rFonts w:ascii="Times New Roman" w:hAnsi="Times New Roman" w:cs="Times New Roman"/>
          <w:sz w:val="24"/>
          <w:szCs w:val="24"/>
        </w:rPr>
        <w:t>)</w:t>
      </w:r>
      <w:r w:rsidR="00606529" w:rsidRPr="000C4364">
        <w:rPr>
          <w:rFonts w:ascii="Times New Roman" w:hAnsi="Times New Roman" w:cs="Times New Roman"/>
          <w:sz w:val="24"/>
          <w:szCs w:val="24"/>
        </w:rPr>
        <w:t xml:space="preserve">, pp. </w:t>
      </w:r>
      <w:r w:rsidRPr="000C4364">
        <w:rPr>
          <w:rFonts w:ascii="Times New Roman" w:hAnsi="Times New Roman" w:cs="Times New Roman"/>
          <w:sz w:val="24"/>
          <w:szCs w:val="24"/>
        </w:rPr>
        <w:t>261-297.</w:t>
      </w:r>
    </w:p>
    <w:p w:rsidR="006C16AA" w:rsidRPr="000C4364" w:rsidRDefault="00606529" w:rsidP="00F86BEB">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Muravyev</w:t>
      </w:r>
      <w:proofErr w:type="spellEnd"/>
      <w:r w:rsidRPr="000C4364">
        <w:rPr>
          <w:rFonts w:ascii="Times New Roman" w:hAnsi="Times New Roman" w:cs="Times New Roman"/>
          <w:sz w:val="24"/>
          <w:szCs w:val="24"/>
        </w:rPr>
        <w:t xml:space="preserve">, A., Talavera, O. and </w:t>
      </w:r>
      <w:r w:rsidR="00D470CC" w:rsidRPr="000C4364">
        <w:rPr>
          <w:rFonts w:ascii="Times New Roman" w:hAnsi="Times New Roman" w:cs="Times New Roman"/>
          <w:sz w:val="24"/>
          <w:szCs w:val="24"/>
        </w:rPr>
        <w:t xml:space="preserve">Schafer, D. </w:t>
      </w:r>
      <w:r w:rsidRPr="000C4364">
        <w:rPr>
          <w:rFonts w:ascii="Times New Roman" w:hAnsi="Times New Roman" w:cs="Times New Roman"/>
          <w:sz w:val="24"/>
          <w:szCs w:val="24"/>
        </w:rPr>
        <w:t>(</w:t>
      </w:r>
      <w:r w:rsidR="00D470CC" w:rsidRPr="000C4364">
        <w:rPr>
          <w:rFonts w:ascii="Times New Roman" w:hAnsi="Times New Roman" w:cs="Times New Roman"/>
          <w:sz w:val="24"/>
          <w:szCs w:val="24"/>
        </w:rPr>
        <w:t>2009</w:t>
      </w:r>
      <w:r w:rsidR="00F86BEB">
        <w:rPr>
          <w:rFonts w:ascii="Times New Roman" w:hAnsi="Times New Roman" w:cs="Times New Roman"/>
          <w:sz w:val="24"/>
          <w:szCs w:val="24"/>
        </w:rPr>
        <w:t>).</w:t>
      </w:r>
      <w:proofErr w:type="gramEnd"/>
      <w:r w:rsidR="00F86BEB">
        <w:rPr>
          <w:rFonts w:ascii="Times New Roman" w:hAnsi="Times New Roman" w:cs="Times New Roman"/>
          <w:sz w:val="24"/>
          <w:szCs w:val="24"/>
        </w:rPr>
        <w:t xml:space="preserve"> </w:t>
      </w:r>
      <w:r w:rsidR="008C417C" w:rsidRPr="000C4364">
        <w:rPr>
          <w:rFonts w:ascii="Times New Roman" w:hAnsi="Times New Roman" w:cs="Times New Roman"/>
          <w:sz w:val="24"/>
          <w:szCs w:val="24"/>
        </w:rPr>
        <w:t>Entrepreneurs</w:t>
      </w:r>
      <w:r w:rsidR="00531C0A" w:rsidRPr="000C4364">
        <w:rPr>
          <w:rFonts w:ascii="Times New Roman" w:hAnsi="Times New Roman" w:cs="Times New Roman"/>
          <w:sz w:val="24"/>
          <w:szCs w:val="24"/>
        </w:rPr>
        <w:t>’</w:t>
      </w:r>
      <w:r w:rsidR="008C417C" w:rsidRPr="000C4364">
        <w:rPr>
          <w:rFonts w:ascii="Times New Roman" w:hAnsi="Times New Roman" w:cs="Times New Roman"/>
          <w:sz w:val="24"/>
          <w:szCs w:val="24"/>
        </w:rPr>
        <w:t xml:space="preserve"> gender and financial constraints: E</w:t>
      </w:r>
      <w:r w:rsidR="00F56971">
        <w:rPr>
          <w:rFonts w:ascii="Times New Roman" w:hAnsi="Times New Roman" w:cs="Times New Roman"/>
          <w:sz w:val="24"/>
          <w:szCs w:val="24"/>
        </w:rPr>
        <w:t>vidence from international data.</w:t>
      </w:r>
      <w:r w:rsidRPr="000C4364">
        <w:rPr>
          <w:rFonts w:ascii="Times New Roman" w:hAnsi="Times New Roman" w:cs="Times New Roman"/>
          <w:sz w:val="24"/>
          <w:szCs w:val="24"/>
        </w:rPr>
        <w:t xml:space="preserve"> </w:t>
      </w:r>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 xml:space="preserve">Journal of Comparative Economics, </w:t>
      </w:r>
      <w:r w:rsidR="00D470CC" w:rsidRPr="000C4364">
        <w:rPr>
          <w:rFonts w:ascii="Times New Roman" w:hAnsi="Times New Roman" w:cs="Times New Roman"/>
          <w:sz w:val="24"/>
          <w:szCs w:val="24"/>
        </w:rPr>
        <w:t>37</w:t>
      </w:r>
      <w:r w:rsidR="00F86BEB">
        <w:rPr>
          <w:rFonts w:ascii="Times New Roman" w:hAnsi="Times New Roman" w:cs="Times New Roman"/>
          <w:sz w:val="24"/>
          <w:szCs w:val="24"/>
        </w:rPr>
        <w:t>(2)</w:t>
      </w:r>
      <w:r w:rsidRPr="000C4364">
        <w:rPr>
          <w:rFonts w:ascii="Times New Roman" w:hAnsi="Times New Roman" w:cs="Times New Roman"/>
          <w:sz w:val="24"/>
          <w:szCs w:val="24"/>
        </w:rPr>
        <w:t xml:space="preserve">, pp. </w:t>
      </w:r>
      <w:r w:rsidR="008C417C" w:rsidRPr="000C4364">
        <w:rPr>
          <w:rFonts w:ascii="Times New Roman" w:hAnsi="Times New Roman" w:cs="Times New Roman"/>
          <w:sz w:val="24"/>
          <w:szCs w:val="24"/>
        </w:rPr>
        <w:t xml:space="preserve">270-286. </w:t>
      </w:r>
    </w:p>
    <w:p w:rsidR="006C16AA" w:rsidRPr="000C4364" w:rsidRDefault="00D470CC" w:rsidP="00F56971">
      <w:pPr>
        <w:spacing w:after="0" w:line="480" w:lineRule="auto"/>
        <w:rPr>
          <w:rFonts w:ascii="Times New Roman" w:hAnsi="Times New Roman" w:cs="Times New Roman"/>
          <w:iCs/>
          <w:color w:val="000000"/>
          <w:sz w:val="24"/>
          <w:szCs w:val="24"/>
          <w:shd w:val="clear" w:color="auto" w:fill="FFFFFF"/>
        </w:rPr>
      </w:pPr>
      <w:proofErr w:type="spellStart"/>
      <w:proofErr w:type="gramStart"/>
      <w:r w:rsidRPr="000C4364">
        <w:rPr>
          <w:rFonts w:ascii="Times New Roman" w:hAnsi="Times New Roman" w:cs="Times New Roman"/>
          <w:iCs/>
          <w:color w:val="000000"/>
          <w:sz w:val="24"/>
          <w:szCs w:val="24"/>
          <w:shd w:val="clear" w:color="auto" w:fill="FFFFFF"/>
        </w:rPr>
        <w:t>Nichter</w:t>
      </w:r>
      <w:proofErr w:type="spellEnd"/>
      <w:r w:rsidRPr="000C4364">
        <w:rPr>
          <w:rFonts w:ascii="Times New Roman" w:hAnsi="Times New Roman" w:cs="Times New Roman"/>
          <w:iCs/>
          <w:color w:val="000000"/>
          <w:sz w:val="24"/>
          <w:szCs w:val="24"/>
          <w:shd w:val="clear" w:color="auto" w:fill="FFFFFF"/>
        </w:rPr>
        <w:t xml:space="preserve">, S. and </w:t>
      </w:r>
      <w:proofErr w:type="spellStart"/>
      <w:r w:rsidRPr="000C4364">
        <w:rPr>
          <w:rFonts w:ascii="Times New Roman" w:hAnsi="Times New Roman" w:cs="Times New Roman"/>
          <w:iCs/>
          <w:color w:val="000000"/>
          <w:sz w:val="24"/>
          <w:szCs w:val="24"/>
          <w:shd w:val="clear" w:color="auto" w:fill="FFFFFF"/>
        </w:rPr>
        <w:t>Goldmark</w:t>
      </w:r>
      <w:proofErr w:type="spellEnd"/>
      <w:r w:rsidRPr="000C4364">
        <w:rPr>
          <w:rFonts w:ascii="Times New Roman" w:hAnsi="Times New Roman" w:cs="Times New Roman"/>
          <w:iCs/>
          <w:color w:val="000000"/>
          <w:sz w:val="24"/>
          <w:szCs w:val="24"/>
          <w:shd w:val="clear" w:color="auto" w:fill="FFFFFF"/>
        </w:rPr>
        <w:t xml:space="preserve">, L. </w:t>
      </w:r>
      <w:r w:rsidR="00606529" w:rsidRPr="000C4364">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2009</w:t>
      </w:r>
      <w:r w:rsidR="00F56971">
        <w:rPr>
          <w:rFonts w:ascii="Times New Roman" w:hAnsi="Times New Roman" w:cs="Times New Roman"/>
          <w:iCs/>
          <w:color w:val="000000"/>
          <w:sz w:val="24"/>
          <w:szCs w:val="24"/>
          <w:shd w:val="clear" w:color="auto" w:fill="FFFFFF"/>
        </w:rPr>
        <w:t>).</w:t>
      </w:r>
      <w:proofErr w:type="gramEnd"/>
      <w:r w:rsidR="00F56971">
        <w:rPr>
          <w:rFonts w:ascii="Times New Roman" w:hAnsi="Times New Roman" w:cs="Times New Roman"/>
          <w:iCs/>
          <w:color w:val="000000"/>
          <w:sz w:val="24"/>
          <w:szCs w:val="24"/>
          <w:shd w:val="clear" w:color="auto" w:fill="FFFFFF"/>
        </w:rPr>
        <w:t xml:space="preserve"> </w:t>
      </w:r>
      <w:proofErr w:type="gramStart"/>
      <w:r w:rsidR="008C417C" w:rsidRPr="000C4364">
        <w:rPr>
          <w:rFonts w:ascii="Times New Roman" w:hAnsi="Times New Roman" w:cs="Times New Roman"/>
          <w:iCs/>
          <w:color w:val="000000"/>
          <w:sz w:val="24"/>
          <w:szCs w:val="24"/>
          <w:shd w:val="clear" w:color="auto" w:fill="FFFFFF"/>
        </w:rPr>
        <w:t>Small firm growth in developing countries</w:t>
      </w:r>
      <w:r w:rsidR="00F56971">
        <w:rPr>
          <w:rFonts w:ascii="Times New Roman" w:hAnsi="Times New Roman" w:cs="Times New Roman"/>
          <w:iCs/>
          <w:color w:val="000000"/>
          <w:sz w:val="24"/>
          <w:szCs w:val="24"/>
          <w:shd w:val="clear" w:color="auto" w:fill="FFFFFF"/>
        </w:rPr>
        <w:t>.</w:t>
      </w:r>
      <w:proofErr w:type="gramEnd"/>
      <w:r w:rsidR="008C417C" w:rsidRPr="000C4364">
        <w:rPr>
          <w:rFonts w:ascii="Times New Roman" w:hAnsi="Times New Roman" w:cs="Times New Roman"/>
          <w:i/>
          <w:iCs/>
          <w:color w:val="000000"/>
          <w:sz w:val="24"/>
          <w:szCs w:val="24"/>
          <w:shd w:val="clear" w:color="auto" w:fill="FFFFFF"/>
        </w:rPr>
        <w:t xml:space="preserve"> World Development,</w:t>
      </w:r>
      <w:r w:rsidRPr="000C4364">
        <w:rPr>
          <w:rFonts w:ascii="Times New Roman" w:hAnsi="Times New Roman" w:cs="Times New Roman"/>
          <w:iCs/>
          <w:color w:val="000000"/>
          <w:sz w:val="24"/>
          <w:szCs w:val="24"/>
          <w:shd w:val="clear" w:color="auto" w:fill="FFFFFF"/>
        </w:rPr>
        <w:t xml:space="preserve"> 37</w:t>
      </w:r>
      <w:r w:rsidR="00F56971">
        <w:rPr>
          <w:rFonts w:ascii="Times New Roman" w:hAnsi="Times New Roman" w:cs="Times New Roman"/>
          <w:iCs/>
          <w:color w:val="000000"/>
          <w:sz w:val="24"/>
          <w:szCs w:val="24"/>
          <w:shd w:val="clear" w:color="auto" w:fill="FFFFFF"/>
        </w:rPr>
        <w:t>(9)</w:t>
      </w:r>
      <w:r w:rsidR="00606529" w:rsidRPr="000C4364">
        <w:rPr>
          <w:rFonts w:ascii="Times New Roman" w:hAnsi="Times New Roman" w:cs="Times New Roman"/>
          <w:iCs/>
          <w:color w:val="000000"/>
          <w:sz w:val="24"/>
          <w:szCs w:val="24"/>
          <w:shd w:val="clear" w:color="auto" w:fill="FFFFFF"/>
        </w:rPr>
        <w:t xml:space="preserve">, pp. </w:t>
      </w:r>
      <w:r w:rsidR="008C417C" w:rsidRPr="000C4364">
        <w:rPr>
          <w:rFonts w:ascii="Times New Roman" w:hAnsi="Times New Roman" w:cs="Times New Roman"/>
          <w:iCs/>
          <w:color w:val="000000"/>
          <w:sz w:val="24"/>
          <w:szCs w:val="24"/>
          <w:shd w:val="clear" w:color="auto" w:fill="FFFFFF"/>
        </w:rPr>
        <w:t>1453-1464.</w:t>
      </w:r>
    </w:p>
    <w:p w:rsidR="006C16AA" w:rsidRPr="000C4364" w:rsidRDefault="008C417C" w:rsidP="00F56971">
      <w:p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North</w:t>
      </w:r>
      <w:r w:rsidR="00D470CC" w:rsidRPr="000C4364">
        <w:rPr>
          <w:rFonts w:ascii="Times New Roman" w:hAnsi="Times New Roman" w:cs="Times New Roman"/>
          <w:sz w:val="24"/>
          <w:szCs w:val="24"/>
        </w:rPr>
        <w:t xml:space="preserve">, D.C. </w:t>
      </w:r>
      <w:r w:rsidR="005E1564" w:rsidRPr="000C4364">
        <w:rPr>
          <w:rFonts w:ascii="Times New Roman" w:hAnsi="Times New Roman" w:cs="Times New Roman"/>
          <w:sz w:val="24"/>
          <w:szCs w:val="24"/>
        </w:rPr>
        <w:t>(</w:t>
      </w:r>
      <w:r w:rsidR="00D470CC" w:rsidRPr="000C4364">
        <w:rPr>
          <w:rFonts w:ascii="Times New Roman" w:hAnsi="Times New Roman" w:cs="Times New Roman"/>
          <w:sz w:val="24"/>
          <w:szCs w:val="24"/>
        </w:rPr>
        <w:t>1990</w:t>
      </w:r>
      <w:r w:rsidR="00F56971">
        <w:rPr>
          <w:rFonts w:ascii="Times New Roman" w:hAnsi="Times New Roman" w:cs="Times New Roman"/>
          <w:sz w:val="24"/>
          <w:szCs w:val="24"/>
        </w:rPr>
        <w:t>).</w:t>
      </w:r>
      <w:r w:rsidRPr="000C4364">
        <w:rPr>
          <w:rFonts w:ascii="Times New Roman" w:hAnsi="Times New Roman" w:cs="Times New Roman"/>
          <w:sz w:val="24"/>
          <w:szCs w:val="24"/>
        </w:rPr>
        <w:t xml:space="preserve"> </w:t>
      </w:r>
      <w:proofErr w:type="gramStart"/>
      <w:r w:rsidRPr="000C4364">
        <w:rPr>
          <w:rFonts w:ascii="Times New Roman" w:hAnsi="Times New Roman" w:cs="Times New Roman"/>
          <w:i/>
          <w:sz w:val="24"/>
          <w:szCs w:val="24"/>
        </w:rPr>
        <w:t>Institutions, institutional changes, and economic prosperity.</w:t>
      </w:r>
      <w:proofErr w:type="gramEnd"/>
      <w:r w:rsidRPr="000C4364">
        <w:rPr>
          <w:rFonts w:ascii="Times New Roman" w:hAnsi="Times New Roman" w:cs="Times New Roman"/>
          <w:i/>
          <w:sz w:val="24"/>
          <w:szCs w:val="24"/>
        </w:rPr>
        <w:t xml:space="preserve"> </w:t>
      </w:r>
      <w:r w:rsidRPr="000C4364">
        <w:rPr>
          <w:rFonts w:ascii="Times New Roman" w:hAnsi="Times New Roman" w:cs="Times New Roman"/>
          <w:sz w:val="24"/>
          <w:szCs w:val="24"/>
        </w:rPr>
        <w:t xml:space="preserve">New York: Cambridge University Press. </w:t>
      </w:r>
    </w:p>
    <w:p w:rsidR="00B93958" w:rsidRPr="000C4364" w:rsidRDefault="00B93958" w:rsidP="00F56971">
      <w:p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Ruziev, K. and Majidov, T. (2013)</w:t>
      </w:r>
      <w:r w:rsidR="005E1564" w:rsidRPr="000C4364">
        <w:rPr>
          <w:rFonts w:ascii="Times New Roman" w:hAnsi="Times New Roman" w:cs="Times New Roman"/>
          <w:sz w:val="24"/>
          <w:szCs w:val="24"/>
        </w:rPr>
        <w:t>,</w:t>
      </w:r>
      <w:r w:rsidRPr="000C4364">
        <w:rPr>
          <w:rFonts w:ascii="Times New Roman" w:hAnsi="Times New Roman" w:cs="Times New Roman"/>
          <w:sz w:val="24"/>
          <w:szCs w:val="24"/>
        </w:rPr>
        <w:t xml:space="preserve"> </w:t>
      </w:r>
      <w:r w:rsidR="005E1564" w:rsidRPr="000C4364">
        <w:rPr>
          <w:rFonts w:ascii="Times New Roman" w:hAnsi="Times New Roman" w:cs="Times New Roman"/>
          <w:sz w:val="24"/>
          <w:szCs w:val="24"/>
        </w:rPr>
        <w:t>"</w:t>
      </w:r>
      <w:hyperlink r:id="rId14" w:history="1">
        <w:r w:rsidRPr="000C4364">
          <w:rPr>
            <w:rFonts w:ascii="Times New Roman" w:hAnsi="Times New Roman" w:cs="Times New Roman"/>
            <w:sz w:val="24"/>
            <w:szCs w:val="24"/>
          </w:rPr>
          <w:t xml:space="preserve">Differing effects of the global financial crisis on the central </w:t>
        </w:r>
        <w:r w:rsidR="00F56971">
          <w:rPr>
            <w:rFonts w:ascii="Times New Roman" w:hAnsi="Times New Roman" w:cs="Times New Roman"/>
            <w:sz w:val="24"/>
            <w:szCs w:val="24"/>
          </w:rPr>
          <w:t>A</w:t>
        </w:r>
        <w:r w:rsidRPr="000C4364">
          <w:rPr>
            <w:rFonts w:ascii="Times New Roman" w:hAnsi="Times New Roman" w:cs="Times New Roman"/>
            <w:sz w:val="24"/>
            <w:szCs w:val="24"/>
          </w:rPr>
          <w:t>sian countries: Kazakhstan, the Kyrgyz Republic and Uzbekistan</w:t>
        </w:r>
      </w:hyperlink>
      <w:r w:rsidR="005E1564" w:rsidRPr="000C4364">
        <w:rPr>
          <w:rFonts w:ascii="Times New Roman" w:hAnsi="Times New Roman" w:cs="Times New Roman"/>
          <w:sz w:val="24"/>
          <w:szCs w:val="24"/>
        </w:rPr>
        <w:t>",</w:t>
      </w:r>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Europe-Asia Studies</w:t>
      </w:r>
      <w:r w:rsidRPr="000C4364">
        <w:rPr>
          <w:rFonts w:ascii="Times New Roman" w:hAnsi="Times New Roman" w:cs="Times New Roman"/>
          <w:sz w:val="24"/>
          <w:szCs w:val="24"/>
        </w:rPr>
        <w:t>, 65</w:t>
      </w:r>
      <w:r w:rsidR="00F56971">
        <w:rPr>
          <w:rFonts w:ascii="Times New Roman" w:hAnsi="Times New Roman" w:cs="Times New Roman"/>
          <w:sz w:val="24"/>
          <w:szCs w:val="24"/>
        </w:rPr>
        <w:t>(4),</w:t>
      </w:r>
      <w:r w:rsidR="005E1564" w:rsidRPr="000C4364">
        <w:rPr>
          <w:rFonts w:ascii="Times New Roman" w:hAnsi="Times New Roman" w:cs="Times New Roman"/>
          <w:sz w:val="24"/>
          <w:szCs w:val="24"/>
        </w:rPr>
        <w:t xml:space="preserve"> pp.</w:t>
      </w:r>
      <w:r w:rsidRPr="000C4364">
        <w:rPr>
          <w:rFonts w:ascii="Times New Roman" w:hAnsi="Times New Roman" w:cs="Times New Roman"/>
          <w:sz w:val="24"/>
          <w:szCs w:val="24"/>
        </w:rPr>
        <w:t xml:space="preserve"> 682-716.</w:t>
      </w:r>
    </w:p>
    <w:p w:rsidR="00B93958" w:rsidRPr="000C4364" w:rsidRDefault="00B93958" w:rsidP="00F56971">
      <w:pPr>
        <w:spacing w:after="0" w:line="480" w:lineRule="auto"/>
        <w:rPr>
          <w:rFonts w:ascii="Times New Roman" w:hAnsi="Times New Roman" w:cs="Times New Roman"/>
          <w:iCs/>
          <w:color w:val="000000"/>
          <w:sz w:val="24"/>
          <w:szCs w:val="24"/>
        </w:rPr>
      </w:pPr>
      <w:r w:rsidRPr="000C4364">
        <w:rPr>
          <w:rFonts w:ascii="Times New Roman" w:hAnsi="Times New Roman" w:cs="Times New Roman"/>
          <w:iCs/>
          <w:sz w:val="24"/>
          <w:szCs w:val="24"/>
        </w:rPr>
        <w:t>Ruziev, K.</w:t>
      </w:r>
      <w:r w:rsidR="005E1564" w:rsidRPr="000C4364">
        <w:rPr>
          <w:rFonts w:ascii="Times New Roman" w:hAnsi="Times New Roman" w:cs="Times New Roman"/>
          <w:iCs/>
          <w:sz w:val="24"/>
          <w:szCs w:val="24"/>
        </w:rPr>
        <w:t xml:space="preserve"> and</w:t>
      </w:r>
      <w:r w:rsidRPr="000C4364">
        <w:rPr>
          <w:rFonts w:ascii="Times New Roman" w:hAnsi="Times New Roman" w:cs="Times New Roman"/>
          <w:iCs/>
          <w:sz w:val="24"/>
          <w:szCs w:val="24"/>
        </w:rPr>
        <w:t xml:space="preserve"> Dow, S. </w:t>
      </w:r>
      <w:r w:rsidR="005E1564" w:rsidRPr="000C4364">
        <w:rPr>
          <w:rFonts w:ascii="Times New Roman" w:hAnsi="Times New Roman" w:cs="Times New Roman"/>
          <w:iCs/>
          <w:sz w:val="24"/>
          <w:szCs w:val="24"/>
        </w:rPr>
        <w:t>(</w:t>
      </w:r>
      <w:r w:rsidRPr="000C4364">
        <w:rPr>
          <w:rFonts w:ascii="Times New Roman" w:hAnsi="Times New Roman" w:cs="Times New Roman"/>
          <w:iCs/>
          <w:color w:val="000000"/>
          <w:sz w:val="24"/>
          <w:szCs w:val="24"/>
        </w:rPr>
        <w:t>2014</w:t>
      </w:r>
      <w:r w:rsidR="00F56971">
        <w:rPr>
          <w:rFonts w:ascii="Times New Roman" w:hAnsi="Times New Roman" w:cs="Times New Roman"/>
          <w:iCs/>
          <w:sz w:val="24"/>
          <w:szCs w:val="24"/>
        </w:rPr>
        <w:t>).</w:t>
      </w:r>
      <w:r w:rsidRPr="000C4364">
        <w:rPr>
          <w:rFonts w:ascii="Times New Roman" w:hAnsi="Times New Roman" w:cs="Times New Roman"/>
          <w:iCs/>
          <w:sz w:val="24"/>
          <w:szCs w:val="24"/>
        </w:rPr>
        <w:t xml:space="preserve"> </w:t>
      </w:r>
      <w:r w:rsidRPr="000C4364">
        <w:rPr>
          <w:rFonts w:ascii="Times New Roman" w:hAnsi="Times New Roman" w:cs="Times New Roman"/>
          <w:sz w:val="24"/>
          <w:szCs w:val="24"/>
        </w:rPr>
        <w:t>A re-evaluation of banking sector developments in transition economies: intentions and unintended consequences</w:t>
      </w:r>
      <w:r w:rsidR="00F56971">
        <w:rPr>
          <w:rFonts w:ascii="Times New Roman" w:hAnsi="Times New Roman" w:cs="Times New Roman"/>
          <w:sz w:val="24"/>
          <w:szCs w:val="24"/>
        </w:rPr>
        <w:t xml:space="preserve">. </w:t>
      </w:r>
      <w:r w:rsidR="00F56971">
        <w:rPr>
          <w:rFonts w:ascii="Times New Roman" w:hAnsi="Times New Roman" w:cs="Times New Roman"/>
          <w:iCs/>
          <w:color w:val="000000"/>
          <w:sz w:val="24"/>
          <w:szCs w:val="24"/>
        </w:rPr>
        <w:t>I</w:t>
      </w:r>
      <w:r w:rsidRPr="000C4364">
        <w:rPr>
          <w:rFonts w:ascii="Times New Roman" w:hAnsi="Times New Roman" w:cs="Times New Roman"/>
          <w:iCs/>
          <w:color w:val="000000"/>
          <w:sz w:val="24"/>
          <w:szCs w:val="24"/>
        </w:rPr>
        <w:t>n</w:t>
      </w:r>
      <w:r w:rsidR="005E1564" w:rsidRPr="000C4364">
        <w:rPr>
          <w:rFonts w:ascii="Times New Roman" w:hAnsi="Times New Roman" w:cs="Times New Roman"/>
          <w:iCs/>
          <w:sz w:val="24"/>
          <w:szCs w:val="24"/>
        </w:rPr>
        <w:t xml:space="preserve"> Ruziev, K. and</w:t>
      </w:r>
      <w:r w:rsidRPr="000C4364">
        <w:rPr>
          <w:rFonts w:ascii="Times New Roman" w:hAnsi="Times New Roman" w:cs="Times New Roman"/>
          <w:iCs/>
          <w:sz w:val="24"/>
          <w:szCs w:val="24"/>
        </w:rPr>
        <w:t xml:space="preserve"> Perdikis, N. (E</w:t>
      </w:r>
      <w:r w:rsidRPr="000C4364">
        <w:rPr>
          <w:rFonts w:ascii="Times New Roman" w:hAnsi="Times New Roman" w:cs="Times New Roman"/>
          <w:iCs/>
          <w:color w:val="000000"/>
          <w:sz w:val="24"/>
          <w:szCs w:val="24"/>
        </w:rPr>
        <w:t>ds.)</w:t>
      </w:r>
      <w:r w:rsidR="005E1564" w:rsidRPr="000C4364">
        <w:rPr>
          <w:rFonts w:ascii="Times New Roman" w:hAnsi="Times New Roman" w:cs="Times New Roman"/>
          <w:iCs/>
          <w:color w:val="000000"/>
          <w:sz w:val="24"/>
          <w:szCs w:val="24"/>
        </w:rPr>
        <w:t xml:space="preserve">, </w:t>
      </w:r>
      <w:r w:rsidRPr="000C4364">
        <w:rPr>
          <w:rFonts w:ascii="Times New Roman" w:hAnsi="Times New Roman" w:cs="Times New Roman"/>
          <w:i/>
          <w:sz w:val="24"/>
          <w:szCs w:val="24"/>
        </w:rPr>
        <w:t xml:space="preserve">Development and Financial Reform in Emerging </w:t>
      </w:r>
      <w:proofErr w:type="gramStart"/>
      <w:r w:rsidRPr="000C4364">
        <w:rPr>
          <w:rFonts w:ascii="Times New Roman" w:hAnsi="Times New Roman" w:cs="Times New Roman"/>
          <w:i/>
          <w:sz w:val="24"/>
          <w:szCs w:val="24"/>
        </w:rPr>
        <w:t>Economies</w:t>
      </w:r>
      <w:r w:rsidR="00F56971">
        <w:rPr>
          <w:rFonts w:ascii="Times New Roman" w:hAnsi="Times New Roman" w:cs="Times New Roman"/>
          <w:i/>
          <w:sz w:val="24"/>
          <w:szCs w:val="24"/>
        </w:rPr>
        <w:t xml:space="preserve"> </w:t>
      </w:r>
      <w:r w:rsidR="00F56971">
        <w:rPr>
          <w:rFonts w:ascii="Times New Roman" w:hAnsi="Times New Roman" w:cs="Times New Roman"/>
          <w:sz w:val="24"/>
          <w:szCs w:val="24"/>
        </w:rPr>
        <w:t xml:space="preserve"> (</w:t>
      </w:r>
      <w:proofErr w:type="gramEnd"/>
      <w:r w:rsidR="00F56971" w:rsidRPr="000C4364">
        <w:rPr>
          <w:rFonts w:ascii="Times New Roman" w:hAnsi="Times New Roman" w:cs="Times New Roman"/>
          <w:iCs/>
          <w:color w:val="000000"/>
          <w:sz w:val="24"/>
          <w:szCs w:val="24"/>
        </w:rPr>
        <w:t>pp. 81-99</w:t>
      </w:r>
      <w:r w:rsidR="00F56971">
        <w:rPr>
          <w:rFonts w:ascii="Times New Roman" w:hAnsi="Times New Roman" w:cs="Times New Roman"/>
          <w:sz w:val="24"/>
          <w:szCs w:val="24"/>
        </w:rPr>
        <w:t>)</w:t>
      </w:r>
      <w:r w:rsidR="005E1564" w:rsidRPr="000C4364">
        <w:rPr>
          <w:rFonts w:ascii="Times New Roman" w:hAnsi="Times New Roman" w:cs="Times New Roman"/>
          <w:i/>
          <w:sz w:val="24"/>
          <w:szCs w:val="24"/>
        </w:rPr>
        <w:t>,</w:t>
      </w:r>
      <w:r w:rsidRPr="000C4364">
        <w:rPr>
          <w:rFonts w:ascii="Times New Roman" w:hAnsi="Times New Roman" w:cs="Times New Roman"/>
          <w:i/>
          <w:sz w:val="24"/>
          <w:szCs w:val="24"/>
        </w:rPr>
        <w:t xml:space="preserve"> </w:t>
      </w:r>
      <w:r w:rsidR="00F56971">
        <w:rPr>
          <w:rFonts w:ascii="Times New Roman" w:hAnsi="Times New Roman" w:cs="Times New Roman"/>
          <w:iCs/>
          <w:color w:val="000000"/>
          <w:sz w:val="24"/>
          <w:szCs w:val="24"/>
        </w:rPr>
        <w:t xml:space="preserve">London: Pickering and </w:t>
      </w:r>
      <w:proofErr w:type="spellStart"/>
      <w:r w:rsidR="00F56971">
        <w:rPr>
          <w:rFonts w:ascii="Times New Roman" w:hAnsi="Times New Roman" w:cs="Times New Roman"/>
          <w:iCs/>
          <w:color w:val="000000"/>
          <w:sz w:val="24"/>
          <w:szCs w:val="24"/>
        </w:rPr>
        <w:t>Chatto</w:t>
      </w:r>
      <w:proofErr w:type="spellEnd"/>
      <w:r w:rsidR="00F56971">
        <w:rPr>
          <w:rFonts w:ascii="Times New Roman" w:hAnsi="Times New Roman" w:cs="Times New Roman"/>
          <w:iCs/>
          <w:color w:val="000000"/>
          <w:sz w:val="24"/>
          <w:szCs w:val="24"/>
        </w:rPr>
        <w:t>.</w:t>
      </w:r>
    </w:p>
    <w:p w:rsidR="006C16AA" w:rsidRPr="000C4364" w:rsidRDefault="008C417C" w:rsidP="00F56971">
      <w:pPr>
        <w:spacing w:after="0" w:line="480" w:lineRule="auto"/>
        <w:rPr>
          <w:rFonts w:ascii="Times New Roman" w:hAnsi="Times New Roman" w:cs="Times New Roman"/>
          <w:color w:val="000000"/>
          <w:sz w:val="24"/>
          <w:szCs w:val="24"/>
          <w:shd w:val="clear" w:color="auto" w:fill="FFFFFF"/>
        </w:rPr>
      </w:pPr>
      <w:proofErr w:type="gramStart"/>
      <w:r w:rsidRPr="000C4364">
        <w:rPr>
          <w:rStyle w:val="personname"/>
          <w:rFonts w:ascii="Times New Roman" w:hAnsi="Times New Roman" w:cs="Times New Roman"/>
          <w:color w:val="000000"/>
          <w:sz w:val="24"/>
          <w:szCs w:val="24"/>
          <w:shd w:val="clear" w:color="auto" w:fill="FFFFFF"/>
        </w:rPr>
        <w:t xml:space="preserve">Ruziev, K. </w:t>
      </w:r>
      <w:r w:rsidRPr="000C4364">
        <w:rPr>
          <w:rFonts w:ascii="Times New Roman" w:hAnsi="Times New Roman" w:cs="Times New Roman"/>
          <w:color w:val="000000"/>
          <w:sz w:val="24"/>
          <w:szCs w:val="24"/>
          <w:shd w:val="clear" w:color="auto" w:fill="FFFFFF"/>
        </w:rPr>
        <w:t>and</w:t>
      </w:r>
      <w:r w:rsidRPr="000C4364">
        <w:rPr>
          <w:rStyle w:val="apple-converted-space"/>
          <w:rFonts w:ascii="Times New Roman" w:hAnsi="Times New Roman" w:cs="Times New Roman"/>
          <w:color w:val="000000"/>
          <w:sz w:val="24"/>
          <w:szCs w:val="24"/>
          <w:shd w:val="clear" w:color="auto" w:fill="FFFFFF"/>
        </w:rPr>
        <w:t xml:space="preserve"> </w:t>
      </w:r>
      <w:r w:rsidRPr="000C4364">
        <w:rPr>
          <w:rStyle w:val="personname"/>
          <w:rFonts w:ascii="Times New Roman" w:hAnsi="Times New Roman" w:cs="Times New Roman"/>
          <w:color w:val="000000"/>
          <w:sz w:val="24"/>
          <w:szCs w:val="24"/>
          <w:shd w:val="clear" w:color="auto" w:fill="FFFFFF"/>
        </w:rPr>
        <w:t>Midmore</w:t>
      </w:r>
      <w:r w:rsidRPr="000C4364">
        <w:rPr>
          <w:rStyle w:val="apple-converted-space"/>
          <w:rFonts w:ascii="Times New Roman" w:hAnsi="Times New Roman" w:cs="Times New Roman"/>
          <w:color w:val="000000"/>
          <w:sz w:val="24"/>
          <w:szCs w:val="24"/>
          <w:shd w:val="clear" w:color="auto" w:fill="FFFFFF"/>
        </w:rPr>
        <w:t xml:space="preserve">, P. </w:t>
      </w:r>
      <w:r w:rsidR="005E1564" w:rsidRPr="000C4364">
        <w:rPr>
          <w:rStyle w:val="apple-converted-space"/>
          <w:rFonts w:ascii="Times New Roman" w:hAnsi="Times New Roman" w:cs="Times New Roman"/>
          <w:color w:val="000000"/>
          <w:sz w:val="24"/>
          <w:szCs w:val="24"/>
          <w:shd w:val="clear" w:color="auto" w:fill="FFFFFF"/>
        </w:rPr>
        <w:t>(</w:t>
      </w:r>
      <w:r w:rsidR="00D470CC" w:rsidRPr="000C4364">
        <w:rPr>
          <w:rFonts w:ascii="Times New Roman" w:hAnsi="Times New Roman" w:cs="Times New Roman"/>
          <w:color w:val="000000"/>
          <w:sz w:val="24"/>
          <w:szCs w:val="24"/>
          <w:shd w:val="clear" w:color="auto" w:fill="FFFFFF"/>
        </w:rPr>
        <w:t>2015</w:t>
      </w:r>
      <w:r w:rsidR="005E1564" w:rsidRPr="000C4364">
        <w:rPr>
          <w:rFonts w:ascii="Times New Roman" w:hAnsi="Times New Roman" w:cs="Times New Roman"/>
          <w:color w:val="000000"/>
          <w:sz w:val="24"/>
          <w:szCs w:val="24"/>
          <w:shd w:val="clear" w:color="auto" w:fill="FFFFFF"/>
        </w:rPr>
        <w:t>).</w:t>
      </w:r>
      <w:proofErr w:type="gramEnd"/>
      <w:r w:rsidR="00695A8E" w:rsidRPr="000C4364">
        <w:rPr>
          <w:rFonts w:ascii="Times New Roman" w:hAnsi="Times New Roman" w:cs="Times New Roman"/>
          <w:color w:val="000000"/>
          <w:sz w:val="24"/>
          <w:szCs w:val="24"/>
          <w:shd w:val="clear" w:color="auto" w:fill="FFFFFF"/>
        </w:rPr>
        <w:t xml:space="preserve"> Connectedness and SME financing </w:t>
      </w:r>
      <w:r w:rsidR="005E1564" w:rsidRPr="000C4364">
        <w:rPr>
          <w:rFonts w:ascii="Times New Roman" w:hAnsi="Times New Roman" w:cs="Times New Roman"/>
          <w:color w:val="000000"/>
          <w:sz w:val="24"/>
          <w:szCs w:val="24"/>
          <w:shd w:val="clear" w:color="auto" w:fill="FFFFFF"/>
        </w:rPr>
        <w:t xml:space="preserve">in post-communist </w:t>
      </w:r>
      <w:r w:rsidR="005E1564" w:rsidRPr="00F56971">
        <w:rPr>
          <w:rFonts w:ascii="Times New Roman" w:hAnsi="Times New Roman" w:cs="Times New Roman"/>
          <w:sz w:val="24"/>
          <w:szCs w:val="24"/>
        </w:rPr>
        <w:t>economies</w:t>
      </w:r>
      <w:r w:rsidR="005E1564" w:rsidRPr="000C4364">
        <w:rPr>
          <w:rFonts w:ascii="Times New Roman" w:hAnsi="Times New Roman" w:cs="Times New Roman"/>
          <w:color w:val="000000"/>
          <w:sz w:val="24"/>
          <w:szCs w:val="24"/>
          <w:shd w:val="clear" w:color="auto" w:fill="FFFFFF"/>
        </w:rPr>
        <w:t>: ev</w:t>
      </w:r>
      <w:r w:rsidR="00695A8E" w:rsidRPr="000C4364">
        <w:rPr>
          <w:rFonts w:ascii="Times New Roman" w:hAnsi="Times New Roman" w:cs="Times New Roman"/>
          <w:color w:val="000000"/>
          <w:sz w:val="24"/>
          <w:szCs w:val="24"/>
          <w:shd w:val="clear" w:color="auto" w:fill="FFFFFF"/>
        </w:rPr>
        <w:t xml:space="preserve">idence from Uzbekistan. </w:t>
      </w:r>
      <w:r w:rsidRPr="000C4364">
        <w:rPr>
          <w:rStyle w:val="Emphasis"/>
          <w:rFonts w:ascii="Times New Roman" w:hAnsi="Times New Roman" w:cs="Times New Roman"/>
          <w:color w:val="000000"/>
          <w:sz w:val="24"/>
          <w:szCs w:val="24"/>
          <w:shd w:val="clear" w:color="auto" w:fill="FFFFFF"/>
        </w:rPr>
        <w:t>Journal of Development Studies</w:t>
      </w:r>
      <w:r w:rsidR="005E1564" w:rsidRPr="000C4364">
        <w:rPr>
          <w:rStyle w:val="Emphasis"/>
          <w:rFonts w:ascii="Times New Roman" w:hAnsi="Times New Roman" w:cs="Times New Roman"/>
          <w:color w:val="000000"/>
          <w:sz w:val="24"/>
          <w:szCs w:val="24"/>
          <w:shd w:val="clear" w:color="auto" w:fill="FFFFFF"/>
        </w:rPr>
        <w:t>,</w:t>
      </w:r>
      <w:r w:rsidR="00D470CC" w:rsidRPr="000C4364">
        <w:rPr>
          <w:rFonts w:ascii="Times New Roman" w:hAnsi="Times New Roman" w:cs="Times New Roman"/>
          <w:color w:val="000000"/>
          <w:sz w:val="24"/>
          <w:szCs w:val="24"/>
          <w:shd w:val="clear" w:color="auto" w:fill="FFFFFF"/>
        </w:rPr>
        <w:t xml:space="preserve"> 51</w:t>
      </w:r>
      <w:r w:rsidR="00F56971">
        <w:rPr>
          <w:rFonts w:ascii="Times New Roman" w:hAnsi="Times New Roman" w:cs="Times New Roman"/>
          <w:color w:val="000000"/>
          <w:sz w:val="24"/>
          <w:szCs w:val="24"/>
          <w:shd w:val="clear" w:color="auto" w:fill="FFFFFF"/>
        </w:rPr>
        <w:t>(5)</w:t>
      </w:r>
      <w:r w:rsidR="005E1564" w:rsidRPr="000C4364">
        <w:rPr>
          <w:rFonts w:ascii="Times New Roman" w:hAnsi="Times New Roman" w:cs="Times New Roman"/>
          <w:color w:val="000000"/>
          <w:sz w:val="24"/>
          <w:szCs w:val="24"/>
          <w:shd w:val="clear" w:color="auto" w:fill="FFFFFF"/>
        </w:rPr>
        <w:t>, pp.</w:t>
      </w:r>
      <w:r w:rsidRPr="000C4364">
        <w:rPr>
          <w:rFonts w:ascii="Times New Roman" w:hAnsi="Times New Roman" w:cs="Times New Roman"/>
          <w:color w:val="000000"/>
          <w:sz w:val="24"/>
          <w:szCs w:val="24"/>
          <w:shd w:val="clear" w:color="auto" w:fill="FFFFFF"/>
        </w:rPr>
        <w:t xml:space="preserve"> 586-602. </w:t>
      </w:r>
    </w:p>
    <w:p w:rsidR="006C16AA" w:rsidRPr="000C4364" w:rsidRDefault="00D470CC" w:rsidP="00370D45">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Rose</w:t>
      </w:r>
      <w:proofErr w:type="gramEnd"/>
      <w:r w:rsidRPr="000C4364">
        <w:rPr>
          <w:rFonts w:ascii="Times New Roman" w:hAnsi="Times New Roman" w:cs="Times New Roman"/>
          <w:sz w:val="24"/>
          <w:szCs w:val="24"/>
        </w:rPr>
        <w:t xml:space="preserve">, R. </w:t>
      </w:r>
      <w:r w:rsidR="005E1564" w:rsidRPr="000C4364">
        <w:rPr>
          <w:rFonts w:ascii="Times New Roman" w:hAnsi="Times New Roman" w:cs="Times New Roman"/>
          <w:sz w:val="24"/>
          <w:szCs w:val="24"/>
        </w:rPr>
        <w:t>(</w:t>
      </w:r>
      <w:r w:rsidRPr="000C4364">
        <w:rPr>
          <w:rFonts w:ascii="Times New Roman" w:hAnsi="Times New Roman" w:cs="Times New Roman"/>
          <w:sz w:val="24"/>
          <w:szCs w:val="24"/>
        </w:rPr>
        <w:t>2001</w:t>
      </w:r>
      <w:r w:rsidR="00370D45">
        <w:rPr>
          <w:rFonts w:ascii="Times New Roman" w:hAnsi="Times New Roman" w:cs="Times New Roman"/>
          <w:sz w:val="24"/>
          <w:szCs w:val="24"/>
        </w:rPr>
        <w:t xml:space="preserve">). </w:t>
      </w:r>
      <w:proofErr w:type="gramStart"/>
      <w:r w:rsidR="008C417C" w:rsidRPr="000C4364">
        <w:rPr>
          <w:rFonts w:ascii="Times New Roman" w:hAnsi="Times New Roman" w:cs="Times New Roman"/>
          <w:sz w:val="24"/>
          <w:szCs w:val="24"/>
        </w:rPr>
        <w:t xml:space="preserve">Getting things done in </w:t>
      </w:r>
      <w:proofErr w:type="spellStart"/>
      <w:r w:rsidR="008C417C" w:rsidRPr="000C4364">
        <w:rPr>
          <w:rFonts w:ascii="Times New Roman" w:hAnsi="Times New Roman" w:cs="Times New Roman"/>
          <w:sz w:val="24"/>
          <w:szCs w:val="24"/>
        </w:rPr>
        <w:t>antimodern</w:t>
      </w:r>
      <w:proofErr w:type="spellEnd"/>
      <w:r w:rsidR="008C417C" w:rsidRPr="000C4364">
        <w:rPr>
          <w:rFonts w:ascii="Times New Roman" w:hAnsi="Times New Roman" w:cs="Times New Roman"/>
          <w:sz w:val="24"/>
          <w:szCs w:val="24"/>
        </w:rPr>
        <w:t xml:space="preserve"> society: Soc</w:t>
      </w:r>
      <w:r w:rsidR="00F56971">
        <w:rPr>
          <w:rFonts w:ascii="Times New Roman" w:hAnsi="Times New Roman" w:cs="Times New Roman"/>
          <w:sz w:val="24"/>
          <w:szCs w:val="24"/>
        </w:rPr>
        <w:t xml:space="preserve">ial capital networks in </w:t>
      </w:r>
      <w:r w:rsidR="008C417C" w:rsidRPr="000C4364">
        <w:rPr>
          <w:rFonts w:ascii="Times New Roman" w:hAnsi="Times New Roman" w:cs="Times New Roman"/>
          <w:sz w:val="24"/>
          <w:szCs w:val="24"/>
        </w:rPr>
        <w:t>Russia</w:t>
      </w:r>
      <w:r w:rsidR="00370D45">
        <w:rPr>
          <w:rFonts w:ascii="Times New Roman" w:hAnsi="Times New Roman" w:cs="Times New Roman"/>
          <w:sz w:val="24"/>
          <w:szCs w:val="24"/>
        </w:rPr>
        <w:t>.</w:t>
      </w:r>
      <w:proofErr w:type="gramEnd"/>
      <w:r w:rsidR="005E1564" w:rsidRPr="000C4364">
        <w:rPr>
          <w:rFonts w:ascii="Times New Roman" w:hAnsi="Times New Roman" w:cs="Times New Roman"/>
          <w:sz w:val="24"/>
          <w:szCs w:val="24"/>
        </w:rPr>
        <w:t xml:space="preserve"> </w:t>
      </w:r>
      <w:r w:rsidR="00370D45">
        <w:rPr>
          <w:rFonts w:ascii="Times New Roman" w:hAnsi="Times New Roman" w:cs="Times New Roman"/>
          <w:sz w:val="24"/>
          <w:szCs w:val="24"/>
        </w:rPr>
        <w:t>I</w:t>
      </w:r>
      <w:r w:rsidR="008C417C" w:rsidRPr="000C4364">
        <w:rPr>
          <w:rFonts w:ascii="Times New Roman" w:hAnsi="Times New Roman" w:cs="Times New Roman"/>
          <w:sz w:val="24"/>
          <w:szCs w:val="24"/>
        </w:rPr>
        <w:t>n</w:t>
      </w:r>
      <w:r w:rsidRPr="000C4364">
        <w:rPr>
          <w:rFonts w:ascii="Times New Roman" w:hAnsi="Times New Roman" w:cs="Times New Roman"/>
          <w:sz w:val="24"/>
          <w:szCs w:val="24"/>
        </w:rPr>
        <w:t xml:space="preserve"> </w:t>
      </w:r>
      <w:proofErr w:type="spellStart"/>
      <w:r w:rsidR="008C417C" w:rsidRPr="000C4364">
        <w:rPr>
          <w:rFonts w:ascii="Times New Roman" w:hAnsi="Times New Roman" w:cs="Times New Roman"/>
          <w:sz w:val="24"/>
          <w:szCs w:val="24"/>
        </w:rPr>
        <w:t>Dasgupta</w:t>
      </w:r>
      <w:proofErr w:type="spellEnd"/>
      <w:r w:rsidR="005E1564" w:rsidRPr="000C4364">
        <w:rPr>
          <w:rFonts w:ascii="Times New Roman" w:hAnsi="Times New Roman" w:cs="Times New Roman"/>
          <w:sz w:val="24"/>
          <w:szCs w:val="24"/>
        </w:rPr>
        <w:t>, P. and</w:t>
      </w:r>
      <w:r w:rsidRPr="000C4364">
        <w:rPr>
          <w:rFonts w:ascii="Times New Roman" w:hAnsi="Times New Roman" w:cs="Times New Roman"/>
          <w:sz w:val="24"/>
          <w:szCs w:val="24"/>
        </w:rPr>
        <w:t xml:space="preserve"> </w:t>
      </w:r>
      <w:proofErr w:type="spellStart"/>
      <w:r w:rsidR="008C417C" w:rsidRPr="000C4364">
        <w:rPr>
          <w:rFonts w:ascii="Times New Roman" w:hAnsi="Times New Roman" w:cs="Times New Roman"/>
          <w:sz w:val="24"/>
          <w:szCs w:val="24"/>
        </w:rPr>
        <w:t>Serageldin</w:t>
      </w:r>
      <w:proofErr w:type="spellEnd"/>
      <w:r w:rsidRPr="000C4364">
        <w:rPr>
          <w:rFonts w:ascii="Times New Roman" w:hAnsi="Times New Roman" w:cs="Times New Roman"/>
          <w:sz w:val="24"/>
          <w:szCs w:val="24"/>
        </w:rPr>
        <w:t>, I.</w:t>
      </w:r>
      <w:r w:rsidR="008C417C" w:rsidRPr="000C4364">
        <w:rPr>
          <w:rFonts w:ascii="Times New Roman" w:hAnsi="Times New Roman" w:cs="Times New Roman"/>
          <w:sz w:val="24"/>
          <w:szCs w:val="24"/>
        </w:rPr>
        <w:t xml:space="preserve"> (Eds</w:t>
      </w:r>
      <w:r w:rsidRPr="000C4364">
        <w:rPr>
          <w:rFonts w:ascii="Times New Roman" w:hAnsi="Times New Roman" w:cs="Times New Roman"/>
          <w:sz w:val="24"/>
          <w:szCs w:val="24"/>
        </w:rPr>
        <w:t>.</w:t>
      </w:r>
      <w:r w:rsidR="008C417C" w:rsidRPr="000C4364">
        <w:rPr>
          <w:rFonts w:ascii="Times New Roman" w:hAnsi="Times New Roman" w:cs="Times New Roman"/>
          <w:sz w:val="24"/>
          <w:szCs w:val="24"/>
        </w:rPr>
        <w:t>)</w:t>
      </w:r>
      <w:r w:rsidR="005E1564" w:rsidRPr="000C4364">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Social Capital: A Multifaceted Perspective</w:t>
      </w:r>
      <w:r w:rsidR="00370D45">
        <w:rPr>
          <w:rFonts w:ascii="Times New Roman" w:hAnsi="Times New Roman" w:cs="Times New Roman"/>
          <w:i/>
          <w:sz w:val="24"/>
          <w:szCs w:val="24"/>
        </w:rPr>
        <w:t xml:space="preserve"> </w:t>
      </w:r>
      <w:r w:rsidR="00370D45" w:rsidRPr="00370D45">
        <w:rPr>
          <w:rFonts w:ascii="Times New Roman" w:hAnsi="Times New Roman" w:cs="Times New Roman"/>
          <w:sz w:val="24"/>
          <w:szCs w:val="24"/>
        </w:rPr>
        <w:t>(pp. 147-172)</w:t>
      </w:r>
      <w:r w:rsidR="005E1564" w:rsidRPr="000C4364">
        <w:rPr>
          <w:rFonts w:ascii="Times New Roman" w:hAnsi="Times New Roman" w:cs="Times New Roman"/>
          <w:sz w:val="24"/>
          <w:szCs w:val="24"/>
        </w:rPr>
        <w:t>,</w:t>
      </w:r>
      <w:r w:rsidR="008C417C" w:rsidRPr="000C4364">
        <w:rPr>
          <w:rFonts w:ascii="Times New Roman" w:hAnsi="Times New Roman" w:cs="Times New Roman"/>
          <w:sz w:val="24"/>
          <w:szCs w:val="24"/>
        </w:rPr>
        <w:t xml:space="preserve"> Washingto</w:t>
      </w:r>
      <w:r w:rsidR="00370D45">
        <w:rPr>
          <w:rFonts w:ascii="Times New Roman" w:hAnsi="Times New Roman" w:cs="Times New Roman"/>
          <w:sz w:val="24"/>
          <w:szCs w:val="24"/>
        </w:rPr>
        <w:t>n, DC: World Bank</w:t>
      </w:r>
      <w:r w:rsidRPr="000C4364">
        <w:rPr>
          <w:rFonts w:ascii="Times New Roman" w:hAnsi="Times New Roman" w:cs="Times New Roman"/>
          <w:sz w:val="24"/>
          <w:szCs w:val="24"/>
        </w:rPr>
        <w:t>.</w:t>
      </w:r>
    </w:p>
    <w:p w:rsidR="001B28AB" w:rsidRPr="000C4364" w:rsidRDefault="005E1564" w:rsidP="00370D45">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Ryvkin</w:t>
      </w:r>
      <w:proofErr w:type="spellEnd"/>
      <w:r w:rsidRPr="000C4364">
        <w:rPr>
          <w:rFonts w:ascii="Times New Roman" w:hAnsi="Times New Roman" w:cs="Times New Roman"/>
          <w:sz w:val="24"/>
          <w:szCs w:val="24"/>
        </w:rPr>
        <w:t xml:space="preserve">, D. and </w:t>
      </w:r>
      <w:r w:rsidR="001B28AB" w:rsidRPr="000C4364">
        <w:rPr>
          <w:rFonts w:ascii="Times New Roman" w:hAnsi="Times New Roman" w:cs="Times New Roman"/>
          <w:sz w:val="24"/>
          <w:szCs w:val="24"/>
        </w:rPr>
        <w:t xml:space="preserve">Serra, D. </w:t>
      </w:r>
      <w:r w:rsidRPr="000C4364">
        <w:rPr>
          <w:rFonts w:ascii="Times New Roman" w:hAnsi="Times New Roman" w:cs="Times New Roman"/>
          <w:sz w:val="24"/>
          <w:szCs w:val="24"/>
        </w:rPr>
        <w:t>(</w:t>
      </w:r>
      <w:r w:rsidR="001B28AB" w:rsidRPr="000C4364">
        <w:rPr>
          <w:rFonts w:ascii="Times New Roman" w:hAnsi="Times New Roman" w:cs="Times New Roman"/>
          <w:sz w:val="24"/>
          <w:szCs w:val="24"/>
        </w:rPr>
        <w:t>2012</w:t>
      </w:r>
      <w:r w:rsidR="00370D45">
        <w:rPr>
          <w:rFonts w:ascii="Times New Roman" w:hAnsi="Times New Roman" w:cs="Times New Roman"/>
          <w:sz w:val="24"/>
          <w:szCs w:val="24"/>
        </w:rPr>
        <w:t>).</w:t>
      </w:r>
      <w:proofErr w:type="gramEnd"/>
      <w:r w:rsidR="001B28AB" w:rsidRPr="000C4364">
        <w:rPr>
          <w:rFonts w:ascii="Times New Roman" w:hAnsi="Times New Roman" w:cs="Times New Roman"/>
          <w:sz w:val="24"/>
          <w:szCs w:val="24"/>
        </w:rPr>
        <w:t xml:space="preserve"> How corruptible are you? </w:t>
      </w:r>
      <w:proofErr w:type="gramStart"/>
      <w:r w:rsidR="001B28AB" w:rsidRPr="000C4364">
        <w:rPr>
          <w:rFonts w:ascii="Times New Roman" w:hAnsi="Times New Roman" w:cs="Times New Roman"/>
          <w:sz w:val="24"/>
          <w:szCs w:val="24"/>
        </w:rPr>
        <w:t>Bribery under uncertainty</w:t>
      </w:r>
      <w:r w:rsidR="00370D45">
        <w:rPr>
          <w:rFonts w:ascii="Times New Roman" w:hAnsi="Times New Roman" w:cs="Times New Roman"/>
          <w:sz w:val="24"/>
          <w:szCs w:val="24"/>
        </w:rPr>
        <w:t>.</w:t>
      </w:r>
      <w:proofErr w:type="gramEnd"/>
      <w:r w:rsidR="001B28AB" w:rsidRPr="000C4364">
        <w:rPr>
          <w:rFonts w:ascii="Times New Roman" w:hAnsi="Times New Roman" w:cs="Times New Roman"/>
          <w:sz w:val="24"/>
          <w:szCs w:val="24"/>
        </w:rPr>
        <w:t xml:space="preserve"> </w:t>
      </w:r>
      <w:proofErr w:type="gramStart"/>
      <w:r w:rsidR="001B28AB" w:rsidRPr="000C4364">
        <w:rPr>
          <w:rFonts w:ascii="Times New Roman" w:hAnsi="Times New Roman" w:cs="Times New Roman"/>
          <w:i/>
          <w:sz w:val="24"/>
          <w:szCs w:val="24"/>
        </w:rPr>
        <w:t xml:space="preserve">Journal of Economic </w:t>
      </w:r>
      <w:proofErr w:type="spellStart"/>
      <w:r w:rsidR="001B28AB" w:rsidRPr="000C4364">
        <w:rPr>
          <w:rFonts w:ascii="Times New Roman" w:hAnsi="Times New Roman" w:cs="Times New Roman"/>
          <w:i/>
          <w:sz w:val="24"/>
          <w:szCs w:val="24"/>
        </w:rPr>
        <w:t>Behavior</w:t>
      </w:r>
      <w:proofErr w:type="spellEnd"/>
      <w:r w:rsidR="001B28AB" w:rsidRPr="000C4364">
        <w:rPr>
          <w:rFonts w:ascii="Times New Roman" w:hAnsi="Times New Roman" w:cs="Times New Roman"/>
          <w:i/>
          <w:sz w:val="24"/>
          <w:szCs w:val="24"/>
        </w:rPr>
        <w:t xml:space="preserve"> and Organization</w:t>
      </w:r>
      <w:r w:rsidRPr="000C4364">
        <w:rPr>
          <w:rFonts w:ascii="Times New Roman" w:hAnsi="Times New Roman" w:cs="Times New Roman"/>
          <w:sz w:val="24"/>
          <w:szCs w:val="24"/>
        </w:rPr>
        <w:t>,</w:t>
      </w:r>
      <w:r w:rsidR="001B28AB" w:rsidRPr="000C4364">
        <w:rPr>
          <w:rFonts w:ascii="Times New Roman" w:hAnsi="Times New Roman" w:cs="Times New Roman"/>
          <w:sz w:val="24"/>
          <w:szCs w:val="24"/>
        </w:rPr>
        <w:t xml:space="preserve"> 81</w:t>
      </w:r>
      <w:r w:rsidR="00370D45">
        <w:rPr>
          <w:rFonts w:ascii="Times New Roman" w:hAnsi="Times New Roman" w:cs="Times New Roman"/>
          <w:sz w:val="24"/>
          <w:szCs w:val="24"/>
        </w:rPr>
        <w:t>(2)</w:t>
      </w:r>
      <w:r w:rsidRPr="000C4364">
        <w:rPr>
          <w:rFonts w:ascii="Times New Roman" w:hAnsi="Times New Roman" w:cs="Times New Roman"/>
          <w:sz w:val="24"/>
          <w:szCs w:val="24"/>
        </w:rPr>
        <w:t>, pp.</w:t>
      </w:r>
      <w:r w:rsidR="001B28AB" w:rsidRPr="000C4364">
        <w:rPr>
          <w:rFonts w:ascii="Times New Roman" w:hAnsi="Times New Roman" w:cs="Times New Roman"/>
          <w:sz w:val="24"/>
          <w:szCs w:val="24"/>
        </w:rPr>
        <w:t xml:space="preserve"> 466– 477.</w:t>
      </w:r>
      <w:proofErr w:type="gramEnd"/>
    </w:p>
    <w:p w:rsidR="007C1E82" w:rsidRPr="000C4364" w:rsidRDefault="007C1E82" w:rsidP="00370D45">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lastRenderedPageBreak/>
        <w:t xml:space="preserve">Saeed, A., </w:t>
      </w:r>
      <w:proofErr w:type="spellStart"/>
      <w:r w:rsidRPr="000C4364">
        <w:rPr>
          <w:rFonts w:ascii="Times New Roman" w:hAnsi="Times New Roman" w:cs="Times New Roman"/>
          <w:sz w:val="24"/>
          <w:szCs w:val="24"/>
        </w:rPr>
        <w:t>Be</w:t>
      </w:r>
      <w:r w:rsidR="00370D45">
        <w:rPr>
          <w:rFonts w:ascii="Times New Roman" w:hAnsi="Times New Roman" w:cs="Times New Roman"/>
          <w:sz w:val="24"/>
          <w:szCs w:val="24"/>
        </w:rPr>
        <w:t>lghitar</w:t>
      </w:r>
      <w:proofErr w:type="spellEnd"/>
      <w:r w:rsidR="00370D45">
        <w:rPr>
          <w:rFonts w:ascii="Times New Roman" w:hAnsi="Times New Roman" w:cs="Times New Roman"/>
          <w:sz w:val="24"/>
          <w:szCs w:val="24"/>
        </w:rPr>
        <w:t>, Y. and E. Clark (2014).</w:t>
      </w:r>
      <w:proofErr w:type="gramEnd"/>
      <w:r w:rsidR="00370D45">
        <w:rPr>
          <w:rFonts w:ascii="Times New Roman" w:hAnsi="Times New Roman" w:cs="Times New Roman"/>
          <w:sz w:val="24"/>
          <w:szCs w:val="24"/>
        </w:rPr>
        <w:t xml:space="preserve"> </w:t>
      </w:r>
      <w:r w:rsidRPr="000C4364">
        <w:rPr>
          <w:rFonts w:ascii="Times New Roman" w:hAnsi="Times New Roman" w:cs="Times New Roman"/>
          <w:sz w:val="24"/>
          <w:szCs w:val="24"/>
        </w:rPr>
        <w:t>The Theoretical motives of corporate cash holdings and political connections: firm level evi</w:t>
      </w:r>
      <w:r w:rsidR="00370D45">
        <w:rPr>
          <w:rFonts w:ascii="Times New Roman" w:hAnsi="Times New Roman" w:cs="Times New Roman"/>
          <w:sz w:val="24"/>
          <w:szCs w:val="24"/>
        </w:rPr>
        <w:t>dence from a developing economy.</w:t>
      </w:r>
      <w:r w:rsidRPr="000C4364">
        <w:rPr>
          <w:rFonts w:ascii="Times New Roman" w:hAnsi="Times New Roman" w:cs="Times New Roman"/>
          <w:i/>
          <w:sz w:val="24"/>
          <w:szCs w:val="24"/>
        </w:rPr>
        <w:t xml:space="preserve"> International Review of Applied Economics</w:t>
      </w:r>
      <w:r w:rsidR="00370D45">
        <w:rPr>
          <w:rFonts w:ascii="Times New Roman" w:hAnsi="Times New Roman" w:cs="Times New Roman"/>
          <w:sz w:val="24"/>
          <w:szCs w:val="24"/>
        </w:rPr>
        <w:t>, 28(6)</w:t>
      </w:r>
      <w:r w:rsidRPr="000C4364">
        <w:rPr>
          <w:rFonts w:ascii="Times New Roman" w:hAnsi="Times New Roman" w:cs="Times New Roman"/>
          <w:sz w:val="24"/>
          <w:szCs w:val="24"/>
        </w:rPr>
        <w:t xml:space="preserve">, pp. 813-831. </w:t>
      </w:r>
    </w:p>
    <w:p w:rsidR="006C5928" w:rsidRPr="000C4364" w:rsidRDefault="006C5928" w:rsidP="00370D45">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Seker</w:t>
      </w:r>
      <w:proofErr w:type="spellEnd"/>
      <w:r w:rsidRPr="000C4364">
        <w:rPr>
          <w:rFonts w:ascii="Times New Roman" w:hAnsi="Times New Roman" w:cs="Times New Roman"/>
          <w:sz w:val="24"/>
          <w:szCs w:val="24"/>
        </w:rPr>
        <w:t>, M. and</w:t>
      </w:r>
      <w:r w:rsidR="00370D45">
        <w:rPr>
          <w:rFonts w:ascii="Times New Roman" w:hAnsi="Times New Roman" w:cs="Times New Roman"/>
          <w:sz w:val="24"/>
          <w:szCs w:val="24"/>
        </w:rPr>
        <w:t xml:space="preserve"> J. S. Yang (2014).</w:t>
      </w:r>
      <w:proofErr w:type="gramEnd"/>
      <w:r w:rsidR="00370D45">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Bribery Solicitations and Firm Performance in the Lat</w:t>
      </w:r>
      <w:r w:rsidR="00370D45">
        <w:rPr>
          <w:rFonts w:ascii="Times New Roman" w:hAnsi="Times New Roman" w:cs="Times New Roman"/>
          <w:sz w:val="24"/>
          <w:szCs w:val="24"/>
        </w:rPr>
        <w:t>in America and Caribbean Region.</w:t>
      </w:r>
      <w:proofErr w:type="gramEnd"/>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Journal of Comparative Economics</w:t>
      </w:r>
      <w:r w:rsidRPr="000C4364">
        <w:rPr>
          <w:rFonts w:ascii="Times New Roman" w:hAnsi="Times New Roman" w:cs="Times New Roman"/>
          <w:sz w:val="24"/>
          <w:szCs w:val="24"/>
        </w:rPr>
        <w:t>,</w:t>
      </w:r>
      <w:r w:rsidR="005E1564" w:rsidRPr="000C4364">
        <w:rPr>
          <w:rFonts w:ascii="Times New Roman" w:hAnsi="Times New Roman" w:cs="Times New Roman"/>
          <w:sz w:val="24"/>
          <w:szCs w:val="24"/>
        </w:rPr>
        <w:t xml:space="preserve"> </w:t>
      </w:r>
      <w:r w:rsidRPr="000C4364">
        <w:rPr>
          <w:rFonts w:ascii="Times New Roman" w:hAnsi="Times New Roman" w:cs="Times New Roman"/>
          <w:sz w:val="24"/>
          <w:szCs w:val="24"/>
        </w:rPr>
        <w:t>42</w:t>
      </w:r>
      <w:r w:rsidR="00370D45">
        <w:rPr>
          <w:rFonts w:ascii="Times New Roman" w:hAnsi="Times New Roman" w:cs="Times New Roman"/>
          <w:sz w:val="24"/>
          <w:szCs w:val="24"/>
        </w:rPr>
        <w:t>(1)</w:t>
      </w:r>
      <w:r w:rsidR="005E1564" w:rsidRPr="000C4364">
        <w:rPr>
          <w:rFonts w:ascii="Times New Roman" w:hAnsi="Times New Roman" w:cs="Times New Roman"/>
          <w:sz w:val="24"/>
          <w:szCs w:val="24"/>
        </w:rPr>
        <w:t>, pp.</w:t>
      </w:r>
      <w:r w:rsidRPr="000C4364">
        <w:rPr>
          <w:rFonts w:ascii="Times New Roman" w:hAnsi="Times New Roman" w:cs="Times New Roman"/>
          <w:sz w:val="24"/>
          <w:szCs w:val="24"/>
        </w:rPr>
        <w:t xml:space="preserve"> 246-264. </w:t>
      </w:r>
    </w:p>
    <w:p w:rsidR="005E1564" w:rsidRPr="000C4364" w:rsidRDefault="008C417C" w:rsidP="000C4364">
      <w:pPr>
        <w:spacing w:after="0" w:line="480" w:lineRule="auto"/>
        <w:rPr>
          <w:rFonts w:ascii="Times New Roman" w:hAnsi="Times New Roman" w:cs="Times New Roman"/>
          <w:sz w:val="24"/>
          <w:szCs w:val="24"/>
        </w:rPr>
      </w:pPr>
      <w:proofErr w:type="spellStart"/>
      <w:proofErr w:type="gramStart"/>
      <w:r w:rsidRPr="000C4364">
        <w:rPr>
          <w:rFonts w:ascii="Times New Roman" w:hAnsi="Times New Roman" w:cs="Times New Roman"/>
          <w:sz w:val="24"/>
          <w:szCs w:val="24"/>
        </w:rPr>
        <w:t>Serageldin</w:t>
      </w:r>
      <w:proofErr w:type="spellEnd"/>
      <w:r w:rsidRPr="000C4364">
        <w:rPr>
          <w:rFonts w:ascii="Times New Roman" w:hAnsi="Times New Roman" w:cs="Times New Roman"/>
          <w:sz w:val="24"/>
          <w:szCs w:val="24"/>
        </w:rPr>
        <w:t>, I.</w:t>
      </w:r>
      <w:r w:rsidR="005E1564" w:rsidRPr="000C4364">
        <w:rPr>
          <w:rFonts w:ascii="Times New Roman" w:hAnsi="Times New Roman" w:cs="Times New Roman"/>
          <w:sz w:val="24"/>
          <w:szCs w:val="24"/>
        </w:rPr>
        <w:t xml:space="preserve"> and</w:t>
      </w:r>
      <w:r w:rsidRPr="000C4364">
        <w:rPr>
          <w:rFonts w:ascii="Times New Roman" w:hAnsi="Times New Roman" w:cs="Times New Roman"/>
          <w:sz w:val="24"/>
          <w:szCs w:val="24"/>
        </w:rPr>
        <w:t xml:space="preserve"> </w:t>
      </w:r>
      <w:proofErr w:type="spellStart"/>
      <w:r w:rsidR="00D470CC" w:rsidRPr="000C4364">
        <w:rPr>
          <w:rFonts w:ascii="Times New Roman" w:hAnsi="Times New Roman" w:cs="Times New Roman"/>
          <w:sz w:val="24"/>
          <w:szCs w:val="24"/>
        </w:rPr>
        <w:t>Grootaert</w:t>
      </w:r>
      <w:proofErr w:type="spellEnd"/>
      <w:r w:rsidR="00D470CC" w:rsidRPr="000C4364">
        <w:rPr>
          <w:rFonts w:ascii="Times New Roman" w:hAnsi="Times New Roman" w:cs="Times New Roman"/>
          <w:sz w:val="24"/>
          <w:szCs w:val="24"/>
        </w:rPr>
        <w:t xml:space="preserve">, C. </w:t>
      </w:r>
      <w:r w:rsidR="005E1564" w:rsidRPr="000C4364">
        <w:rPr>
          <w:rFonts w:ascii="Times New Roman" w:hAnsi="Times New Roman" w:cs="Times New Roman"/>
          <w:sz w:val="24"/>
          <w:szCs w:val="24"/>
        </w:rPr>
        <w:t>(</w:t>
      </w:r>
      <w:r w:rsidR="00D470CC" w:rsidRPr="000C4364">
        <w:rPr>
          <w:rFonts w:ascii="Times New Roman" w:hAnsi="Times New Roman" w:cs="Times New Roman"/>
          <w:sz w:val="24"/>
          <w:szCs w:val="24"/>
        </w:rPr>
        <w:t>2001</w:t>
      </w:r>
      <w:r w:rsidR="00024FF5">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Defining social capital: An integrating view</w:t>
      </w:r>
      <w:r w:rsidR="00024FF5">
        <w:rPr>
          <w:rFonts w:ascii="Times New Roman" w:hAnsi="Times New Roman" w:cs="Times New Roman"/>
          <w:sz w:val="24"/>
          <w:szCs w:val="24"/>
        </w:rPr>
        <w:t>.</w:t>
      </w:r>
      <w:proofErr w:type="gramEnd"/>
      <w:r w:rsidR="005E1564" w:rsidRPr="000C4364">
        <w:rPr>
          <w:rFonts w:ascii="Times New Roman" w:hAnsi="Times New Roman" w:cs="Times New Roman"/>
          <w:sz w:val="24"/>
          <w:szCs w:val="24"/>
        </w:rPr>
        <w:t xml:space="preserve"> </w:t>
      </w:r>
      <w:r w:rsidR="00024FF5">
        <w:rPr>
          <w:rFonts w:ascii="Times New Roman" w:hAnsi="Times New Roman" w:cs="Times New Roman"/>
          <w:sz w:val="24"/>
          <w:szCs w:val="24"/>
        </w:rPr>
        <w:t>I</w:t>
      </w:r>
      <w:r w:rsidRPr="000C4364">
        <w:rPr>
          <w:rFonts w:ascii="Times New Roman" w:hAnsi="Times New Roman" w:cs="Times New Roman"/>
          <w:sz w:val="24"/>
          <w:szCs w:val="24"/>
        </w:rPr>
        <w:t xml:space="preserve">n </w:t>
      </w:r>
      <w:proofErr w:type="spellStart"/>
      <w:r w:rsidRPr="000C4364">
        <w:rPr>
          <w:rFonts w:ascii="Times New Roman" w:hAnsi="Times New Roman" w:cs="Times New Roman"/>
          <w:sz w:val="24"/>
          <w:szCs w:val="24"/>
        </w:rPr>
        <w:t>Dasgupta</w:t>
      </w:r>
      <w:proofErr w:type="spellEnd"/>
      <w:r w:rsidR="005E1564" w:rsidRPr="000C4364">
        <w:rPr>
          <w:rFonts w:ascii="Times New Roman" w:hAnsi="Times New Roman" w:cs="Times New Roman"/>
          <w:sz w:val="24"/>
          <w:szCs w:val="24"/>
        </w:rPr>
        <w:t xml:space="preserve">, P. and </w:t>
      </w:r>
      <w:proofErr w:type="spellStart"/>
      <w:r w:rsidRPr="000C4364">
        <w:rPr>
          <w:rFonts w:ascii="Times New Roman" w:hAnsi="Times New Roman" w:cs="Times New Roman"/>
          <w:sz w:val="24"/>
          <w:szCs w:val="24"/>
        </w:rPr>
        <w:t>Serageldin</w:t>
      </w:r>
      <w:proofErr w:type="spellEnd"/>
      <w:r w:rsidR="00D470CC" w:rsidRPr="000C4364">
        <w:rPr>
          <w:rFonts w:ascii="Times New Roman" w:hAnsi="Times New Roman" w:cs="Times New Roman"/>
          <w:sz w:val="24"/>
          <w:szCs w:val="24"/>
        </w:rPr>
        <w:t>, I.</w:t>
      </w:r>
      <w:r w:rsidRPr="000C4364">
        <w:rPr>
          <w:rFonts w:ascii="Times New Roman" w:hAnsi="Times New Roman" w:cs="Times New Roman"/>
          <w:sz w:val="24"/>
          <w:szCs w:val="24"/>
        </w:rPr>
        <w:t xml:space="preserve"> (Eds</w:t>
      </w:r>
      <w:r w:rsidR="00D470CC" w:rsidRPr="000C4364">
        <w:rPr>
          <w:rFonts w:ascii="Times New Roman" w:hAnsi="Times New Roman" w:cs="Times New Roman"/>
          <w:sz w:val="24"/>
          <w:szCs w:val="24"/>
        </w:rPr>
        <w:t>.</w:t>
      </w:r>
      <w:r w:rsidRPr="000C4364">
        <w:rPr>
          <w:rFonts w:ascii="Times New Roman" w:hAnsi="Times New Roman" w:cs="Times New Roman"/>
          <w:sz w:val="24"/>
          <w:szCs w:val="24"/>
        </w:rPr>
        <w:t>)</w:t>
      </w:r>
      <w:r w:rsidR="005E1564" w:rsidRPr="000C4364">
        <w:rPr>
          <w:rFonts w:ascii="Times New Roman" w:hAnsi="Times New Roman" w:cs="Times New Roman"/>
          <w:sz w:val="24"/>
          <w:szCs w:val="24"/>
        </w:rPr>
        <w:t>,</w:t>
      </w:r>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Social Capital: A Multifaceted Perspective</w:t>
      </w:r>
      <w:r w:rsidR="00024FF5">
        <w:rPr>
          <w:rFonts w:ascii="Times New Roman" w:hAnsi="Times New Roman" w:cs="Times New Roman"/>
          <w:i/>
          <w:sz w:val="24"/>
          <w:szCs w:val="24"/>
        </w:rPr>
        <w:t xml:space="preserve"> </w:t>
      </w:r>
      <w:r w:rsidR="00024FF5">
        <w:rPr>
          <w:rFonts w:ascii="Times New Roman" w:hAnsi="Times New Roman" w:cs="Times New Roman"/>
          <w:sz w:val="24"/>
          <w:szCs w:val="24"/>
        </w:rPr>
        <w:t>(</w:t>
      </w:r>
      <w:r w:rsidR="00024FF5" w:rsidRPr="000C4364">
        <w:rPr>
          <w:rFonts w:ascii="Times New Roman" w:hAnsi="Times New Roman" w:cs="Times New Roman"/>
          <w:sz w:val="24"/>
          <w:szCs w:val="24"/>
        </w:rPr>
        <w:t>pp. 40-59</w:t>
      </w:r>
      <w:r w:rsidR="00024FF5">
        <w:rPr>
          <w:rFonts w:ascii="Times New Roman" w:hAnsi="Times New Roman" w:cs="Times New Roman"/>
          <w:sz w:val="24"/>
          <w:szCs w:val="24"/>
        </w:rPr>
        <w:t>)</w:t>
      </w:r>
      <w:r w:rsidR="005E1564" w:rsidRPr="000C4364">
        <w:rPr>
          <w:rFonts w:ascii="Times New Roman" w:hAnsi="Times New Roman" w:cs="Times New Roman"/>
          <w:sz w:val="24"/>
          <w:szCs w:val="24"/>
        </w:rPr>
        <w:t>,</w:t>
      </w:r>
      <w:r w:rsidR="00024FF5">
        <w:rPr>
          <w:rFonts w:ascii="Times New Roman" w:hAnsi="Times New Roman" w:cs="Times New Roman"/>
          <w:sz w:val="24"/>
          <w:szCs w:val="24"/>
        </w:rPr>
        <w:t xml:space="preserve"> Washington, DC: World Bank</w:t>
      </w:r>
      <w:r w:rsidR="00D470CC" w:rsidRPr="000C4364">
        <w:rPr>
          <w:rFonts w:ascii="Times New Roman" w:hAnsi="Times New Roman" w:cs="Times New Roman"/>
          <w:sz w:val="24"/>
          <w:szCs w:val="24"/>
        </w:rPr>
        <w:t>.</w:t>
      </w:r>
    </w:p>
    <w:p w:rsidR="006C16AA" w:rsidRPr="000C4364" w:rsidRDefault="005E1564" w:rsidP="000C4364">
      <w:pPr>
        <w:spacing w:after="0" w:line="480" w:lineRule="auto"/>
        <w:rPr>
          <w:rFonts w:ascii="Times New Roman" w:hAnsi="Times New Roman" w:cs="Times New Roman"/>
          <w:color w:val="000000"/>
          <w:sz w:val="24"/>
          <w:szCs w:val="24"/>
          <w:shd w:val="clear" w:color="auto" w:fill="FFFFFF"/>
        </w:rPr>
      </w:pPr>
      <w:proofErr w:type="gramStart"/>
      <w:r w:rsidRPr="000C4364">
        <w:rPr>
          <w:rFonts w:ascii="Times New Roman" w:hAnsi="Times New Roman" w:cs="Times New Roman"/>
          <w:iCs/>
          <w:color w:val="000000"/>
          <w:sz w:val="24"/>
          <w:szCs w:val="24"/>
          <w:shd w:val="clear" w:color="auto" w:fill="FFFFFF"/>
        </w:rPr>
        <w:t>Schiffer, M. and</w:t>
      </w:r>
      <w:r w:rsidR="008C417C" w:rsidRPr="000C4364">
        <w:rPr>
          <w:rFonts w:ascii="Times New Roman" w:hAnsi="Times New Roman" w:cs="Times New Roman"/>
          <w:iCs/>
          <w:color w:val="000000"/>
          <w:sz w:val="24"/>
          <w:szCs w:val="24"/>
          <w:shd w:val="clear" w:color="auto" w:fill="FFFFFF"/>
        </w:rPr>
        <w:t xml:space="preserve"> </w:t>
      </w:r>
      <w:proofErr w:type="spellStart"/>
      <w:r w:rsidR="008C417C" w:rsidRPr="000C4364">
        <w:rPr>
          <w:rFonts w:ascii="Times New Roman" w:hAnsi="Times New Roman" w:cs="Times New Roman"/>
          <w:iCs/>
          <w:color w:val="000000"/>
          <w:sz w:val="24"/>
          <w:szCs w:val="24"/>
          <w:shd w:val="clear" w:color="auto" w:fill="FFFFFF"/>
        </w:rPr>
        <w:t>Weder</w:t>
      </w:r>
      <w:proofErr w:type="spellEnd"/>
      <w:r w:rsidR="008C417C" w:rsidRPr="000C4364">
        <w:rPr>
          <w:rFonts w:ascii="Times New Roman" w:hAnsi="Times New Roman" w:cs="Times New Roman"/>
          <w:iCs/>
          <w:color w:val="000000"/>
          <w:sz w:val="24"/>
          <w:szCs w:val="24"/>
          <w:shd w:val="clear" w:color="auto" w:fill="FFFFFF"/>
        </w:rPr>
        <w:t>, B.</w:t>
      </w:r>
      <w:r w:rsidR="00D470CC" w:rsidRPr="000C4364">
        <w:rPr>
          <w:rFonts w:ascii="Times New Roman" w:hAnsi="Times New Roman" w:cs="Times New Roman"/>
          <w:iCs/>
          <w:color w:val="000000"/>
          <w:sz w:val="24"/>
          <w:szCs w:val="24"/>
          <w:shd w:val="clear" w:color="auto" w:fill="FFFFFF"/>
        </w:rPr>
        <w:t xml:space="preserve"> </w:t>
      </w:r>
      <w:r w:rsidRPr="000C4364">
        <w:rPr>
          <w:rFonts w:ascii="Times New Roman" w:hAnsi="Times New Roman" w:cs="Times New Roman"/>
          <w:iCs/>
          <w:color w:val="000000"/>
          <w:sz w:val="24"/>
          <w:szCs w:val="24"/>
          <w:shd w:val="clear" w:color="auto" w:fill="FFFFFF"/>
        </w:rPr>
        <w:t>(</w:t>
      </w:r>
      <w:r w:rsidR="00D470CC" w:rsidRPr="000C4364">
        <w:rPr>
          <w:rFonts w:ascii="Times New Roman" w:hAnsi="Times New Roman" w:cs="Times New Roman"/>
          <w:iCs/>
          <w:color w:val="000000"/>
          <w:sz w:val="24"/>
          <w:szCs w:val="24"/>
          <w:shd w:val="clear" w:color="auto" w:fill="FFFFFF"/>
        </w:rPr>
        <w:t>2003</w:t>
      </w:r>
      <w:r w:rsidR="00024FF5">
        <w:rPr>
          <w:rFonts w:ascii="Times New Roman" w:hAnsi="Times New Roman" w:cs="Times New Roman"/>
          <w:iCs/>
          <w:color w:val="000000"/>
          <w:sz w:val="24"/>
          <w:szCs w:val="24"/>
          <w:shd w:val="clear" w:color="auto" w:fill="FFFFFF"/>
        </w:rPr>
        <w:t>).</w:t>
      </w:r>
      <w:proofErr w:type="gramEnd"/>
      <w:r w:rsidR="008C417C" w:rsidRPr="000C4364">
        <w:rPr>
          <w:rFonts w:ascii="Times New Roman" w:hAnsi="Times New Roman" w:cs="Times New Roman"/>
          <w:iCs/>
          <w:color w:val="000000"/>
          <w:sz w:val="24"/>
          <w:szCs w:val="24"/>
          <w:shd w:val="clear" w:color="auto" w:fill="FFFFFF"/>
        </w:rPr>
        <w:t xml:space="preserve"> </w:t>
      </w:r>
      <w:r w:rsidR="00D470CC" w:rsidRPr="000C4364">
        <w:rPr>
          <w:rFonts w:ascii="Times New Roman" w:hAnsi="Times New Roman" w:cs="Times New Roman"/>
          <w:iCs/>
          <w:color w:val="000000"/>
          <w:sz w:val="24"/>
          <w:szCs w:val="24"/>
          <w:shd w:val="clear" w:color="auto" w:fill="FFFFFF"/>
        </w:rPr>
        <w:t>Firm size and the business environment: worldwide survey results</w:t>
      </w:r>
      <w:r w:rsidR="00024FF5">
        <w:rPr>
          <w:rFonts w:ascii="Times New Roman" w:hAnsi="Times New Roman" w:cs="Times New Roman"/>
          <w:iCs/>
          <w:color w:val="000000"/>
          <w:sz w:val="24"/>
          <w:szCs w:val="24"/>
          <w:shd w:val="clear" w:color="auto" w:fill="FFFFFF"/>
        </w:rPr>
        <w:t>.</w:t>
      </w:r>
      <w:r w:rsidR="008C417C" w:rsidRPr="000C4364">
        <w:rPr>
          <w:rFonts w:ascii="Times New Roman" w:hAnsi="Times New Roman" w:cs="Times New Roman"/>
          <w:i/>
          <w:iCs/>
          <w:color w:val="000000"/>
          <w:sz w:val="24"/>
          <w:szCs w:val="24"/>
          <w:shd w:val="clear" w:color="auto" w:fill="FFFFFF"/>
        </w:rPr>
        <w:t xml:space="preserve"> </w:t>
      </w:r>
      <w:proofErr w:type="gramStart"/>
      <w:r w:rsidR="008C417C" w:rsidRPr="000C4364">
        <w:rPr>
          <w:rFonts w:ascii="Times New Roman" w:hAnsi="Times New Roman" w:cs="Times New Roman"/>
          <w:i/>
          <w:iCs/>
          <w:color w:val="000000"/>
          <w:sz w:val="24"/>
          <w:szCs w:val="24"/>
          <w:shd w:val="clear" w:color="auto" w:fill="FFFFFF"/>
        </w:rPr>
        <w:t>IFC Working Paper Number 43</w:t>
      </w:r>
      <w:r w:rsidR="008C417C" w:rsidRPr="000C4364">
        <w:rPr>
          <w:rFonts w:ascii="Times New Roman" w:hAnsi="Times New Roman" w:cs="Times New Roman"/>
          <w:iCs/>
          <w:color w:val="000000"/>
          <w:sz w:val="24"/>
          <w:szCs w:val="24"/>
          <w:shd w:val="clear" w:color="auto" w:fill="FFFFFF"/>
        </w:rPr>
        <w:t>.</w:t>
      </w:r>
      <w:proofErr w:type="gramEnd"/>
      <w:r w:rsidR="008C417C" w:rsidRPr="000C4364">
        <w:rPr>
          <w:rFonts w:ascii="Times New Roman" w:hAnsi="Times New Roman" w:cs="Times New Roman"/>
          <w:iCs/>
          <w:color w:val="000000"/>
          <w:sz w:val="24"/>
          <w:szCs w:val="24"/>
          <w:shd w:val="clear" w:color="auto" w:fill="FFFFFF"/>
        </w:rPr>
        <w:t xml:space="preserve"> Washington D.C.: </w:t>
      </w:r>
      <w:r w:rsidR="00024FF5">
        <w:rPr>
          <w:rFonts w:ascii="Times New Roman" w:hAnsi="Times New Roman" w:cs="Times New Roman"/>
          <w:iCs/>
          <w:color w:val="000000"/>
          <w:sz w:val="24"/>
          <w:szCs w:val="24"/>
          <w:shd w:val="clear" w:color="auto" w:fill="FFFFFF"/>
        </w:rPr>
        <w:t>IFC.</w:t>
      </w:r>
    </w:p>
    <w:p w:rsidR="006C16AA" w:rsidRPr="000C4364" w:rsidRDefault="00D470CC" w:rsidP="00024FF5">
      <w:pPr>
        <w:spacing w:after="0" w:line="480" w:lineRule="auto"/>
        <w:rPr>
          <w:rFonts w:ascii="Times New Roman" w:hAnsi="Times New Roman" w:cs="Times New Roman"/>
          <w:sz w:val="24"/>
          <w:szCs w:val="24"/>
        </w:rPr>
      </w:pPr>
      <w:r w:rsidRPr="000C4364">
        <w:rPr>
          <w:rFonts w:ascii="Times New Roman" w:hAnsi="Times New Roman" w:cs="Times New Roman"/>
          <w:sz w:val="24"/>
          <w:szCs w:val="24"/>
        </w:rPr>
        <w:t xml:space="preserve">Stiglitz, J. </w:t>
      </w:r>
      <w:r w:rsidR="005E1564" w:rsidRPr="000C4364">
        <w:rPr>
          <w:rFonts w:ascii="Times New Roman" w:hAnsi="Times New Roman" w:cs="Times New Roman"/>
          <w:sz w:val="24"/>
          <w:szCs w:val="24"/>
        </w:rPr>
        <w:t>(</w:t>
      </w:r>
      <w:r w:rsidRPr="000C4364">
        <w:rPr>
          <w:rFonts w:ascii="Times New Roman" w:hAnsi="Times New Roman" w:cs="Times New Roman"/>
          <w:sz w:val="24"/>
          <w:szCs w:val="24"/>
        </w:rPr>
        <w:t>2001</w:t>
      </w:r>
      <w:r w:rsidR="00024FF5">
        <w:rPr>
          <w:rFonts w:ascii="Times New Roman" w:hAnsi="Times New Roman" w:cs="Times New Roman"/>
          <w:sz w:val="24"/>
          <w:szCs w:val="24"/>
        </w:rPr>
        <w:t>).</w:t>
      </w:r>
      <w:r w:rsidR="008C417C" w:rsidRPr="000C4364">
        <w:rPr>
          <w:rFonts w:ascii="Times New Roman" w:hAnsi="Times New Roman" w:cs="Times New Roman"/>
          <w:sz w:val="24"/>
          <w:szCs w:val="24"/>
        </w:rPr>
        <w:t xml:space="preserve"> </w:t>
      </w:r>
      <w:proofErr w:type="gramStart"/>
      <w:r w:rsidR="008C417C" w:rsidRPr="000C4364">
        <w:rPr>
          <w:rFonts w:ascii="Times New Roman" w:hAnsi="Times New Roman" w:cs="Times New Roman"/>
          <w:sz w:val="24"/>
          <w:szCs w:val="24"/>
        </w:rPr>
        <w:t>Formal and Informal Institutions</w:t>
      </w:r>
      <w:r w:rsidR="00024FF5">
        <w:rPr>
          <w:rFonts w:ascii="Times New Roman" w:hAnsi="Times New Roman" w:cs="Times New Roman"/>
          <w:sz w:val="24"/>
          <w:szCs w:val="24"/>
        </w:rPr>
        <w:t>.</w:t>
      </w:r>
      <w:proofErr w:type="gramEnd"/>
      <w:r w:rsidR="005E1564" w:rsidRPr="000C4364">
        <w:rPr>
          <w:rFonts w:ascii="Times New Roman" w:hAnsi="Times New Roman" w:cs="Times New Roman"/>
          <w:sz w:val="24"/>
          <w:szCs w:val="24"/>
        </w:rPr>
        <w:t xml:space="preserve"> </w:t>
      </w:r>
      <w:proofErr w:type="gramStart"/>
      <w:r w:rsidR="00024FF5">
        <w:rPr>
          <w:rFonts w:ascii="Times New Roman" w:hAnsi="Times New Roman" w:cs="Times New Roman"/>
          <w:sz w:val="24"/>
          <w:szCs w:val="24"/>
        </w:rPr>
        <w:t>I</w:t>
      </w:r>
      <w:r w:rsidR="005E1564" w:rsidRPr="000C4364">
        <w:rPr>
          <w:rFonts w:ascii="Times New Roman" w:hAnsi="Times New Roman" w:cs="Times New Roman"/>
          <w:sz w:val="24"/>
          <w:szCs w:val="24"/>
        </w:rPr>
        <w:t>n</w:t>
      </w:r>
      <w:r w:rsidR="008C417C" w:rsidRPr="000C4364">
        <w:rPr>
          <w:rFonts w:ascii="Times New Roman" w:hAnsi="Times New Roman" w:cs="Times New Roman"/>
          <w:sz w:val="24"/>
          <w:szCs w:val="24"/>
        </w:rPr>
        <w:t xml:space="preserve"> </w:t>
      </w:r>
      <w:proofErr w:type="spellStart"/>
      <w:r w:rsidR="008C417C" w:rsidRPr="000C4364">
        <w:rPr>
          <w:rFonts w:ascii="Times New Roman" w:hAnsi="Times New Roman" w:cs="Times New Roman"/>
          <w:sz w:val="24"/>
          <w:szCs w:val="24"/>
        </w:rPr>
        <w:t>Dasgupta</w:t>
      </w:r>
      <w:proofErr w:type="spellEnd"/>
      <w:r w:rsidR="005E1564" w:rsidRPr="000C4364">
        <w:rPr>
          <w:rFonts w:ascii="Times New Roman" w:hAnsi="Times New Roman" w:cs="Times New Roman"/>
          <w:sz w:val="24"/>
          <w:szCs w:val="24"/>
        </w:rPr>
        <w:t>, P. and</w:t>
      </w:r>
      <w:r w:rsidR="008C417C" w:rsidRPr="000C4364">
        <w:rPr>
          <w:rFonts w:ascii="Times New Roman" w:hAnsi="Times New Roman" w:cs="Times New Roman"/>
          <w:sz w:val="24"/>
          <w:szCs w:val="24"/>
        </w:rPr>
        <w:t xml:space="preserve"> </w:t>
      </w:r>
      <w:proofErr w:type="spellStart"/>
      <w:r w:rsidR="008C417C" w:rsidRPr="000C4364">
        <w:rPr>
          <w:rFonts w:ascii="Times New Roman" w:hAnsi="Times New Roman" w:cs="Times New Roman"/>
          <w:sz w:val="24"/>
          <w:szCs w:val="24"/>
        </w:rPr>
        <w:t>Serageldin</w:t>
      </w:r>
      <w:proofErr w:type="spellEnd"/>
      <w:r w:rsidRPr="000C4364">
        <w:rPr>
          <w:rFonts w:ascii="Times New Roman" w:hAnsi="Times New Roman" w:cs="Times New Roman"/>
          <w:sz w:val="24"/>
          <w:szCs w:val="24"/>
        </w:rPr>
        <w:t>, I.</w:t>
      </w:r>
      <w:r w:rsidR="008C417C" w:rsidRPr="000C4364">
        <w:rPr>
          <w:rFonts w:ascii="Times New Roman" w:hAnsi="Times New Roman" w:cs="Times New Roman"/>
          <w:sz w:val="24"/>
          <w:szCs w:val="24"/>
        </w:rPr>
        <w:t xml:space="preserve"> (Eds</w:t>
      </w:r>
      <w:r w:rsidRPr="000C4364">
        <w:rPr>
          <w:rFonts w:ascii="Times New Roman" w:hAnsi="Times New Roman" w:cs="Times New Roman"/>
          <w:sz w:val="24"/>
          <w:szCs w:val="24"/>
        </w:rPr>
        <w:t>.</w:t>
      </w:r>
      <w:r w:rsidR="008C417C" w:rsidRPr="000C4364">
        <w:rPr>
          <w:rFonts w:ascii="Times New Roman" w:hAnsi="Times New Roman" w:cs="Times New Roman"/>
          <w:sz w:val="24"/>
          <w:szCs w:val="24"/>
        </w:rPr>
        <w:t>)</w:t>
      </w:r>
      <w:r w:rsidRPr="000C4364">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w:t>
      </w:r>
      <w:r w:rsidR="008C417C" w:rsidRPr="000C4364">
        <w:rPr>
          <w:rFonts w:ascii="Times New Roman" w:hAnsi="Times New Roman" w:cs="Times New Roman"/>
          <w:i/>
          <w:sz w:val="24"/>
          <w:szCs w:val="24"/>
        </w:rPr>
        <w:t>Social Capital: A Multifaceted Perspective</w:t>
      </w:r>
      <w:r w:rsidR="005E1564" w:rsidRPr="000C4364">
        <w:rPr>
          <w:rFonts w:ascii="Times New Roman" w:hAnsi="Times New Roman" w:cs="Times New Roman"/>
          <w:sz w:val="24"/>
          <w:szCs w:val="24"/>
        </w:rPr>
        <w:t>,</w:t>
      </w:r>
      <w:r w:rsidR="008C417C" w:rsidRPr="000C4364">
        <w:rPr>
          <w:rFonts w:ascii="Times New Roman" w:hAnsi="Times New Roman" w:cs="Times New Roman"/>
          <w:sz w:val="24"/>
          <w:szCs w:val="24"/>
        </w:rPr>
        <w:t xml:space="preserve"> Washington, DC: World Bank</w:t>
      </w:r>
      <w:r w:rsidRPr="000C4364">
        <w:rPr>
          <w:rFonts w:ascii="Times New Roman" w:hAnsi="Times New Roman" w:cs="Times New Roman"/>
          <w:sz w:val="24"/>
          <w:szCs w:val="24"/>
        </w:rPr>
        <w:t xml:space="preserve">, </w:t>
      </w:r>
      <w:r w:rsidR="005E1564" w:rsidRPr="000C4364">
        <w:rPr>
          <w:rFonts w:ascii="Times New Roman" w:hAnsi="Times New Roman" w:cs="Times New Roman"/>
          <w:sz w:val="24"/>
          <w:szCs w:val="24"/>
        </w:rPr>
        <w:t xml:space="preserve">pp. </w:t>
      </w:r>
      <w:r w:rsidRPr="000C4364">
        <w:rPr>
          <w:rFonts w:ascii="Times New Roman" w:hAnsi="Times New Roman" w:cs="Times New Roman"/>
          <w:sz w:val="24"/>
          <w:szCs w:val="24"/>
        </w:rPr>
        <w:t>59-71</w:t>
      </w:r>
      <w:r w:rsidR="008C417C" w:rsidRPr="000C4364">
        <w:rPr>
          <w:rFonts w:ascii="Times New Roman" w:hAnsi="Times New Roman" w:cs="Times New Roman"/>
          <w:sz w:val="24"/>
          <w:szCs w:val="24"/>
        </w:rPr>
        <w:t>.</w:t>
      </w:r>
    </w:p>
    <w:p w:rsidR="001D3F67" w:rsidRPr="000C4364" w:rsidRDefault="001D3F67" w:rsidP="00024FF5">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Stiglitz, J. and A. Weiss</w:t>
      </w:r>
      <w:r w:rsidR="00024FF5">
        <w:rPr>
          <w:rFonts w:ascii="Times New Roman" w:hAnsi="Times New Roman" w:cs="Times New Roman"/>
          <w:sz w:val="24"/>
          <w:szCs w:val="24"/>
        </w:rPr>
        <w:t xml:space="preserve"> (1981).</w:t>
      </w:r>
      <w:proofErr w:type="gramEnd"/>
      <w:r w:rsidR="00024FF5">
        <w:rPr>
          <w:rFonts w:ascii="Times New Roman" w:hAnsi="Times New Roman" w:cs="Times New Roman"/>
          <w:sz w:val="24"/>
          <w:szCs w:val="24"/>
        </w:rPr>
        <w:t xml:space="preserve"> </w:t>
      </w:r>
      <w:proofErr w:type="gramStart"/>
      <w:r w:rsidR="001E4D09" w:rsidRPr="000C4364">
        <w:rPr>
          <w:rFonts w:ascii="Times New Roman" w:hAnsi="Times New Roman" w:cs="Times New Roman"/>
          <w:sz w:val="24"/>
          <w:szCs w:val="24"/>
        </w:rPr>
        <w:t>Credit Rationing in Markets with Imperfect Information</w:t>
      </w:r>
      <w:r w:rsidR="00024FF5">
        <w:rPr>
          <w:rFonts w:ascii="Times New Roman" w:hAnsi="Times New Roman" w:cs="Times New Roman"/>
          <w:sz w:val="24"/>
          <w:szCs w:val="24"/>
        </w:rPr>
        <w:t>.</w:t>
      </w:r>
      <w:proofErr w:type="gramEnd"/>
      <w:r w:rsidR="00024FF5">
        <w:rPr>
          <w:rFonts w:ascii="Times New Roman" w:hAnsi="Times New Roman" w:cs="Times New Roman"/>
          <w:sz w:val="24"/>
          <w:szCs w:val="24"/>
        </w:rPr>
        <w:t xml:space="preserve"> </w:t>
      </w:r>
      <w:proofErr w:type="gramStart"/>
      <w:r w:rsidR="001E4D09" w:rsidRPr="000C4364">
        <w:rPr>
          <w:rFonts w:ascii="Times New Roman" w:hAnsi="Times New Roman" w:cs="Times New Roman"/>
          <w:i/>
          <w:sz w:val="24"/>
          <w:szCs w:val="24"/>
        </w:rPr>
        <w:t xml:space="preserve">American Economic Review, </w:t>
      </w:r>
      <w:r w:rsidR="001E4D09" w:rsidRPr="000C4364">
        <w:rPr>
          <w:rFonts w:ascii="Times New Roman" w:hAnsi="Times New Roman" w:cs="Times New Roman"/>
          <w:sz w:val="24"/>
          <w:szCs w:val="24"/>
        </w:rPr>
        <w:t>71</w:t>
      </w:r>
      <w:r w:rsidR="00024FF5">
        <w:rPr>
          <w:rFonts w:ascii="Times New Roman" w:hAnsi="Times New Roman" w:cs="Times New Roman"/>
          <w:sz w:val="24"/>
          <w:szCs w:val="24"/>
        </w:rPr>
        <w:t>(3)</w:t>
      </w:r>
      <w:r w:rsidR="005E1564" w:rsidRPr="000C4364">
        <w:rPr>
          <w:rFonts w:ascii="Times New Roman" w:hAnsi="Times New Roman" w:cs="Times New Roman"/>
          <w:sz w:val="24"/>
          <w:szCs w:val="24"/>
        </w:rPr>
        <w:t xml:space="preserve">, </w:t>
      </w:r>
      <w:r w:rsidR="001E4D09" w:rsidRPr="000C4364">
        <w:rPr>
          <w:rFonts w:ascii="Times New Roman" w:hAnsi="Times New Roman" w:cs="Times New Roman"/>
          <w:sz w:val="24"/>
          <w:szCs w:val="24"/>
        </w:rPr>
        <w:t>pp.393-410.</w:t>
      </w:r>
      <w:proofErr w:type="gramEnd"/>
    </w:p>
    <w:p w:rsidR="00CC74A5" w:rsidRPr="000C4364" w:rsidRDefault="005E1564" w:rsidP="000C4364">
      <w:pPr>
        <w:spacing w:after="0" w:line="480" w:lineRule="auto"/>
        <w:ind w:left="567" w:hanging="567"/>
        <w:rPr>
          <w:rFonts w:ascii="Times New Roman" w:hAnsi="Times New Roman" w:cs="Times New Roman"/>
          <w:sz w:val="24"/>
          <w:szCs w:val="24"/>
        </w:rPr>
      </w:pPr>
      <w:r w:rsidRPr="000C4364">
        <w:rPr>
          <w:rFonts w:ascii="Times New Roman" w:hAnsi="Times New Roman" w:cs="Times New Roman"/>
          <w:sz w:val="24"/>
          <w:szCs w:val="24"/>
        </w:rPr>
        <w:t>Storm, S. (2015)</w:t>
      </w:r>
      <w:r w:rsidR="00024FF5">
        <w:rPr>
          <w:rFonts w:ascii="Times New Roman" w:hAnsi="Times New Roman" w:cs="Times New Roman"/>
          <w:sz w:val="24"/>
          <w:szCs w:val="24"/>
        </w:rPr>
        <w:t>.</w:t>
      </w:r>
      <w:r w:rsidR="00CC74A5" w:rsidRPr="000C4364">
        <w:rPr>
          <w:rFonts w:ascii="Times New Roman" w:hAnsi="Times New Roman" w:cs="Times New Roman"/>
          <w:sz w:val="24"/>
          <w:szCs w:val="24"/>
        </w:rPr>
        <w:t xml:space="preserve"> </w:t>
      </w:r>
      <w:proofErr w:type="gramStart"/>
      <w:r w:rsidR="00CC74A5" w:rsidRPr="000C4364">
        <w:rPr>
          <w:rFonts w:ascii="Times New Roman" w:hAnsi="Times New Roman" w:cs="Times New Roman"/>
          <w:sz w:val="24"/>
          <w:szCs w:val="24"/>
        </w:rPr>
        <w:t>Structural Change</w:t>
      </w:r>
      <w:r w:rsidR="00024FF5">
        <w:rPr>
          <w:rFonts w:ascii="Times New Roman" w:hAnsi="Times New Roman" w:cs="Times New Roman"/>
          <w:sz w:val="24"/>
          <w:szCs w:val="24"/>
        </w:rPr>
        <w:t>.</w:t>
      </w:r>
      <w:proofErr w:type="gramEnd"/>
      <w:r w:rsidR="00CC74A5" w:rsidRPr="000C4364">
        <w:rPr>
          <w:rFonts w:ascii="Times New Roman" w:hAnsi="Times New Roman" w:cs="Times New Roman"/>
          <w:sz w:val="24"/>
          <w:szCs w:val="24"/>
        </w:rPr>
        <w:t xml:space="preserve"> </w:t>
      </w:r>
      <w:proofErr w:type="gramStart"/>
      <w:r w:rsidR="00CC74A5" w:rsidRPr="000C4364">
        <w:rPr>
          <w:rFonts w:ascii="Times New Roman" w:hAnsi="Times New Roman" w:cs="Times New Roman"/>
          <w:i/>
          <w:sz w:val="24"/>
          <w:szCs w:val="24"/>
        </w:rPr>
        <w:t xml:space="preserve">Development and Change, </w:t>
      </w:r>
      <w:r w:rsidR="00CC74A5" w:rsidRPr="000C4364">
        <w:rPr>
          <w:rFonts w:ascii="Times New Roman" w:hAnsi="Times New Roman" w:cs="Times New Roman"/>
          <w:sz w:val="24"/>
          <w:szCs w:val="24"/>
        </w:rPr>
        <w:t>46</w:t>
      </w:r>
      <w:r w:rsidR="00024FF5">
        <w:rPr>
          <w:rFonts w:ascii="Times New Roman" w:hAnsi="Times New Roman" w:cs="Times New Roman"/>
          <w:sz w:val="24"/>
          <w:szCs w:val="24"/>
        </w:rPr>
        <w:t>(6)</w:t>
      </w:r>
      <w:r w:rsidR="00CC74A5" w:rsidRPr="000C4364">
        <w:rPr>
          <w:rFonts w:ascii="Times New Roman" w:hAnsi="Times New Roman" w:cs="Times New Roman"/>
          <w:sz w:val="24"/>
          <w:szCs w:val="24"/>
        </w:rPr>
        <w:t>, pp.666-699.</w:t>
      </w:r>
      <w:proofErr w:type="gramEnd"/>
    </w:p>
    <w:p w:rsidR="000F7980" w:rsidRPr="000C4364" w:rsidRDefault="000F7980" w:rsidP="00024FF5">
      <w:pPr>
        <w:spacing w:after="0" w:line="480" w:lineRule="auto"/>
        <w:rPr>
          <w:rFonts w:ascii="Times New Roman" w:hAnsi="Times New Roman" w:cs="Times New Roman"/>
          <w:sz w:val="24"/>
          <w:szCs w:val="24"/>
        </w:rPr>
      </w:pPr>
      <w:proofErr w:type="spellStart"/>
      <w:r w:rsidRPr="000C4364">
        <w:rPr>
          <w:rFonts w:ascii="Times New Roman" w:hAnsi="Times New Roman" w:cs="Times New Roman"/>
          <w:sz w:val="24"/>
          <w:szCs w:val="24"/>
        </w:rPr>
        <w:t>Shurchkov</w:t>
      </w:r>
      <w:proofErr w:type="spellEnd"/>
      <w:r w:rsidRPr="000C4364">
        <w:rPr>
          <w:rFonts w:ascii="Times New Roman" w:hAnsi="Times New Roman" w:cs="Times New Roman"/>
          <w:sz w:val="24"/>
          <w:szCs w:val="24"/>
        </w:rPr>
        <w:t xml:space="preserve">, O. </w:t>
      </w:r>
      <w:r w:rsidR="005E1564" w:rsidRPr="000C4364">
        <w:rPr>
          <w:rFonts w:ascii="Times New Roman" w:hAnsi="Times New Roman" w:cs="Times New Roman"/>
          <w:sz w:val="24"/>
          <w:szCs w:val="24"/>
        </w:rPr>
        <w:t>(</w:t>
      </w:r>
      <w:r w:rsidRPr="000C4364">
        <w:rPr>
          <w:rFonts w:ascii="Times New Roman" w:hAnsi="Times New Roman" w:cs="Times New Roman"/>
          <w:sz w:val="24"/>
          <w:szCs w:val="24"/>
        </w:rPr>
        <w:t>2012</w:t>
      </w:r>
      <w:r w:rsidR="00024FF5">
        <w:rPr>
          <w:rFonts w:ascii="Times New Roman" w:hAnsi="Times New Roman" w:cs="Times New Roman"/>
          <w:sz w:val="24"/>
          <w:szCs w:val="24"/>
        </w:rPr>
        <w:t xml:space="preserve">). </w:t>
      </w:r>
      <w:proofErr w:type="gramStart"/>
      <w:r w:rsidRPr="000C4364">
        <w:rPr>
          <w:rFonts w:ascii="Times New Roman" w:hAnsi="Times New Roman" w:cs="Times New Roman"/>
          <w:sz w:val="24"/>
          <w:szCs w:val="24"/>
        </w:rPr>
        <w:t>New elites and their influence on entrepreneurial activity in Russia</w:t>
      </w:r>
      <w:r w:rsidR="00024FF5">
        <w:rPr>
          <w:rFonts w:ascii="Times New Roman" w:hAnsi="Times New Roman" w:cs="Times New Roman"/>
          <w:sz w:val="24"/>
          <w:szCs w:val="24"/>
        </w:rPr>
        <w:t>.</w:t>
      </w:r>
      <w:proofErr w:type="gramEnd"/>
      <w:r w:rsidRPr="000C4364">
        <w:rPr>
          <w:rFonts w:ascii="Times New Roman" w:hAnsi="Times New Roman" w:cs="Times New Roman"/>
          <w:sz w:val="24"/>
          <w:szCs w:val="24"/>
        </w:rPr>
        <w:t xml:space="preserve"> </w:t>
      </w:r>
      <w:r w:rsidRPr="000C4364">
        <w:rPr>
          <w:rFonts w:ascii="Times New Roman" w:hAnsi="Times New Roman" w:cs="Times New Roman"/>
          <w:i/>
          <w:sz w:val="24"/>
          <w:szCs w:val="24"/>
        </w:rPr>
        <w:t>Journal of Comparative Economics,</w:t>
      </w:r>
      <w:r w:rsidR="00024FF5">
        <w:rPr>
          <w:rFonts w:ascii="Times New Roman" w:hAnsi="Times New Roman" w:cs="Times New Roman"/>
          <w:sz w:val="24"/>
          <w:szCs w:val="24"/>
        </w:rPr>
        <w:t xml:space="preserve"> 40 (</w:t>
      </w:r>
      <w:r w:rsidR="005E1564" w:rsidRPr="000C4364">
        <w:rPr>
          <w:rFonts w:ascii="Times New Roman" w:hAnsi="Times New Roman" w:cs="Times New Roman"/>
          <w:sz w:val="24"/>
          <w:szCs w:val="24"/>
        </w:rPr>
        <w:t>2</w:t>
      </w:r>
      <w:r w:rsidR="00024FF5">
        <w:rPr>
          <w:rFonts w:ascii="Times New Roman" w:hAnsi="Times New Roman" w:cs="Times New Roman"/>
          <w:sz w:val="24"/>
          <w:szCs w:val="24"/>
        </w:rPr>
        <w:t>)</w:t>
      </w:r>
      <w:r w:rsidR="005E1564" w:rsidRPr="000C4364">
        <w:rPr>
          <w:rFonts w:ascii="Times New Roman" w:hAnsi="Times New Roman" w:cs="Times New Roman"/>
          <w:sz w:val="24"/>
          <w:szCs w:val="24"/>
        </w:rPr>
        <w:t>,</w:t>
      </w:r>
      <w:r w:rsidRPr="000C4364">
        <w:rPr>
          <w:rFonts w:ascii="Times New Roman" w:hAnsi="Times New Roman" w:cs="Times New Roman"/>
          <w:sz w:val="24"/>
          <w:szCs w:val="24"/>
        </w:rPr>
        <w:t xml:space="preserve"> </w:t>
      </w:r>
      <w:r w:rsidR="005E1564" w:rsidRPr="000C4364">
        <w:rPr>
          <w:rFonts w:ascii="Times New Roman" w:hAnsi="Times New Roman" w:cs="Times New Roman"/>
          <w:sz w:val="24"/>
          <w:szCs w:val="24"/>
        </w:rPr>
        <w:t xml:space="preserve">pp. </w:t>
      </w:r>
      <w:r w:rsidRPr="000C4364">
        <w:rPr>
          <w:rFonts w:ascii="Times New Roman" w:hAnsi="Times New Roman" w:cs="Times New Roman"/>
          <w:sz w:val="24"/>
          <w:szCs w:val="24"/>
        </w:rPr>
        <w:t xml:space="preserve">240-255. </w:t>
      </w:r>
    </w:p>
    <w:p w:rsidR="006C16AA" w:rsidRPr="000C4364" w:rsidRDefault="00D470CC" w:rsidP="000C4364">
      <w:pPr>
        <w:spacing w:after="0" w:line="480" w:lineRule="auto"/>
        <w:ind w:left="567" w:hanging="567"/>
        <w:rPr>
          <w:rFonts w:ascii="Times New Roman" w:hAnsi="Times New Roman" w:cs="Times New Roman"/>
          <w:sz w:val="24"/>
          <w:szCs w:val="24"/>
        </w:rPr>
      </w:pPr>
      <w:proofErr w:type="gramStart"/>
      <w:r w:rsidRPr="000C4364">
        <w:rPr>
          <w:rFonts w:ascii="Times New Roman" w:hAnsi="Times New Roman" w:cs="Times New Roman"/>
          <w:sz w:val="24"/>
          <w:szCs w:val="24"/>
        </w:rPr>
        <w:t xml:space="preserve">Weber, M. </w:t>
      </w:r>
      <w:r w:rsidR="005E1564" w:rsidRPr="000C4364">
        <w:rPr>
          <w:rFonts w:ascii="Times New Roman" w:hAnsi="Times New Roman" w:cs="Times New Roman"/>
          <w:sz w:val="24"/>
          <w:szCs w:val="24"/>
        </w:rPr>
        <w:t>(</w:t>
      </w:r>
      <w:r w:rsidRPr="000C4364">
        <w:rPr>
          <w:rFonts w:ascii="Times New Roman" w:hAnsi="Times New Roman" w:cs="Times New Roman"/>
          <w:sz w:val="24"/>
          <w:szCs w:val="24"/>
        </w:rPr>
        <w:t>1968</w:t>
      </w:r>
      <w:r w:rsidR="00024FF5">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w:t>
      </w:r>
      <w:proofErr w:type="gramStart"/>
      <w:r w:rsidR="008C417C" w:rsidRPr="000C4364">
        <w:rPr>
          <w:rFonts w:ascii="Times New Roman" w:hAnsi="Times New Roman" w:cs="Times New Roman"/>
          <w:i/>
          <w:sz w:val="24"/>
          <w:szCs w:val="24"/>
        </w:rPr>
        <w:t>Economy and Society.</w:t>
      </w:r>
      <w:proofErr w:type="gramEnd"/>
      <w:r w:rsidR="008C417C" w:rsidRPr="000C4364">
        <w:rPr>
          <w:rFonts w:ascii="Times New Roman" w:hAnsi="Times New Roman" w:cs="Times New Roman"/>
          <w:i/>
          <w:sz w:val="24"/>
          <w:szCs w:val="24"/>
        </w:rPr>
        <w:t xml:space="preserve"> </w:t>
      </w:r>
      <w:r w:rsidR="008C417C" w:rsidRPr="000C4364">
        <w:rPr>
          <w:rFonts w:ascii="Times New Roman" w:hAnsi="Times New Roman" w:cs="Times New Roman"/>
          <w:sz w:val="24"/>
          <w:szCs w:val="24"/>
        </w:rPr>
        <w:t>Berkeley: University of California Press.</w:t>
      </w:r>
    </w:p>
    <w:p w:rsidR="00F5240D" w:rsidRPr="000C4364" w:rsidRDefault="00024FF5" w:rsidP="00024FF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Weller, C. (2000). </w:t>
      </w:r>
      <w:r w:rsidR="00F5240D" w:rsidRPr="000C4364">
        <w:rPr>
          <w:rFonts w:ascii="Times New Roman" w:hAnsi="Times New Roman" w:cs="Times New Roman"/>
          <w:sz w:val="24"/>
          <w:szCs w:val="24"/>
        </w:rPr>
        <w:t>Financial Liberalization, Multinational Banks and Credit Supply: the case of Poland</w:t>
      </w:r>
      <w:r>
        <w:rPr>
          <w:rFonts w:ascii="Times New Roman" w:hAnsi="Times New Roman" w:cs="Times New Roman"/>
          <w:sz w:val="24"/>
          <w:szCs w:val="24"/>
        </w:rPr>
        <w:t>.</w:t>
      </w:r>
      <w:r w:rsidR="00F5240D" w:rsidRPr="000C4364">
        <w:rPr>
          <w:rFonts w:ascii="Times New Roman" w:hAnsi="Times New Roman" w:cs="Times New Roman"/>
          <w:sz w:val="24"/>
          <w:szCs w:val="24"/>
        </w:rPr>
        <w:t xml:space="preserve"> </w:t>
      </w:r>
      <w:proofErr w:type="gramStart"/>
      <w:r w:rsidR="00F5240D" w:rsidRPr="000C4364">
        <w:rPr>
          <w:rFonts w:ascii="Times New Roman" w:hAnsi="Times New Roman" w:cs="Times New Roman"/>
          <w:i/>
          <w:sz w:val="24"/>
          <w:szCs w:val="24"/>
        </w:rPr>
        <w:t>International Review of Applied Economics</w:t>
      </w:r>
      <w:r w:rsidR="00F5240D" w:rsidRPr="000C4364">
        <w:rPr>
          <w:rFonts w:ascii="Times New Roman" w:hAnsi="Times New Roman" w:cs="Times New Roman"/>
          <w:sz w:val="24"/>
          <w:szCs w:val="24"/>
        </w:rPr>
        <w:t>, 14</w:t>
      </w:r>
      <w:r>
        <w:rPr>
          <w:rFonts w:ascii="Times New Roman" w:hAnsi="Times New Roman" w:cs="Times New Roman"/>
          <w:sz w:val="24"/>
          <w:szCs w:val="24"/>
        </w:rPr>
        <w:t>(2)</w:t>
      </w:r>
      <w:r w:rsidR="00F5240D" w:rsidRPr="000C4364">
        <w:rPr>
          <w:rFonts w:ascii="Times New Roman" w:hAnsi="Times New Roman" w:cs="Times New Roman"/>
          <w:sz w:val="24"/>
          <w:szCs w:val="24"/>
        </w:rPr>
        <w:t>, pp.193-211.</w:t>
      </w:r>
      <w:proofErr w:type="gramEnd"/>
    </w:p>
    <w:p w:rsidR="006C16AA" w:rsidRPr="000C4364" w:rsidRDefault="00A33358" w:rsidP="00024FF5">
      <w:pPr>
        <w:spacing w:after="0" w:line="480" w:lineRule="auto"/>
        <w:rPr>
          <w:rFonts w:ascii="Times New Roman" w:hAnsi="Times New Roman" w:cs="Times New Roman"/>
          <w:sz w:val="24"/>
          <w:szCs w:val="24"/>
        </w:rPr>
      </w:pPr>
      <w:proofErr w:type="gramStart"/>
      <w:r w:rsidRPr="000C4364">
        <w:rPr>
          <w:rFonts w:ascii="Times New Roman" w:hAnsi="Times New Roman" w:cs="Times New Roman"/>
          <w:sz w:val="24"/>
          <w:szCs w:val="24"/>
        </w:rPr>
        <w:t>World Bank</w:t>
      </w:r>
      <w:r w:rsidR="00D470CC" w:rsidRPr="000C4364">
        <w:rPr>
          <w:rFonts w:ascii="Times New Roman" w:hAnsi="Times New Roman" w:cs="Times New Roman"/>
          <w:sz w:val="24"/>
          <w:szCs w:val="24"/>
        </w:rPr>
        <w:t xml:space="preserve"> </w:t>
      </w:r>
      <w:r w:rsidRPr="000C4364">
        <w:rPr>
          <w:rFonts w:ascii="Times New Roman" w:hAnsi="Times New Roman" w:cs="Times New Roman"/>
          <w:sz w:val="24"/>
          <w:szCs w:val="24"/>
        </w:rPr>
        <w:t>(</w:t>
      </w:r>
      <w:r w:rsidR="00D470CC" w:rsidRPr="000C4364">
        <w:rPr>
          <w:rFonts w:ascii="Times New Roman" w:hAnsi="Times New Roman" w:cs="Times New Roman"/>
          <w:sz w:val="24"/>
          <w:szCs w:val="24"/>
        </w:rPr>
        <w:t>2016</w:t>
      </w:r>
      <w:r w:rsidR="00024FF5">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w:t>
      </w:r>
      <w:proofErr w:type="gramStart"/>
      <w:r w:rsidR="008C417C" w:rsidRPr="000C4364">
        <w:rPr>
          <w:rFonts w:ascii="Times New Roman" w:hAnsi="Times New Roman" w:cs="Times New Roman"/>
          <w:i/>
          <w:sz w:val="24"/>
          <w:szCs w:val="24"/>
        </w:rPr>
        <w:t>World Development Indicators 2016</w:t>
      </w:r>
      <w:r w:rsidR="008C417C" w:rsidRPr="000C4364">
        <w:rPr>
          <w:rFonts w:ascii="Times New Roman" w:hAnsi="Times New Roman" w:cs="Times New Roman"/>
          <w:sz w:val="24"/>
          <w:szCs w:val="24"/>
        </w:rPr>
        <w:t>.</w:t>
      </w:r>
      <w:proofErr w:type="gramEnd"/>
      <w:r w:rsidR="008C417C" w:rsidRPr="000C4364">
        <w:rPr>
          <w:rFonts w:ascii="Times New Roman" w:hAnsi="Times New Roman" w:cs="Times New Roman"/>
          <w:sz w:val="24"/>
          <w:szCs w:val="24"/>
        </w:rPr>
        <w:t xml:space="preserve"> http://data.worldbank.org/data-catalog/world-development-indicators. </w:t>
      </w:r>
      <w:proofErr w:type="gramStart"/>
      <w:r w:rsidR="008C417C" w:rsidRPr="000C4364">
        <w:rPr>
          <w:rFonts w:ascii="Times New Roman" w:hAnsi="Times New Roman" w:cs="Times New Roman"/>
          <w:sz w:val="24"/>
          <w:szCs w:val="24"/>
        </w:rPr>
        <w:t>Access</w:t>
      </w:r>
      <w:r w:rsidRPr="000C4364">
        <w:rPr>
          <w:rFonts w:ascii="Times New Roman" w:hAnsi="Times New Roman" w:cs="Times New Roman"/>
          <w:sz w:val="24"/>
          <w:szCs w:val="24"/>
        </w:rPr>
        <w:t>ed</w:t>
      </w:r>
      <w:r w:rsidR="00024FF5">
        <w:rPr>
          <w:rFonts w:ascii="Times New Roman" w:hAnsi="Times New Roman" w:cs="Times New Roman"/>
          <w:sz w:val="24"/>
          <w:szCs w:val="24"/>
        </w:rPr>
        <w:t xml:space="preserve"> 26 July 2017</w:t>
      </w:r>
      <w:r w:rsidR="008C417C" w:rsidRPr="000C4364">
        <w:rPr>
          <w:rFonts w:ascii="Times New Roman" w:hAnsi="Times New Roman" w:cs="Times New Roman"/>
          <w:sz w:val="24"/>
          <w:szCs w:val="24"/>
        </w:rPr>
        <w:t>.</w:t>
      </w:r>
      <w:proofErr w:type="gramEnd"/>
    </w:p>
    <w:p w:rsidR="006E4296" w:rsidRDefault="00A33358" w:rsidP="00024FF5">
      <w:pPr>
        <w:spacing w:after="0" w:line="480" w:lineRule="auto"/>
        <w:rPr>
          <w:rFonts w:ascii="Times New Roman" w:hAnsi="Times New Roman" w:cs="Times New Roman"/>
          <w:iCs/>
          <w:color w:val="000000"/>
          <w:sz w:val="24"/>
          <w:szCs w:val="24"/>
          <w:shd w:val="clear" w:color="auto" w:fill="FFFFFF"/>
        </w:rPr>
      </w:pPr>
      <w:proofErr w:type="spellStart"/>
      <w:proofErr w:type="gramStart"/>
      <w:r w:rsidRPr="000C4364">
        <w:rPr>
          <w:rFonts w:ascii="Times New Roman" w:hAnsi="Times New Roman" w:cs="Times New Roman"/>
          <w:iCs/>
          <w:color w:val="000000"/>
          <w:sz w:val="24"/>
          <w:szCs w:val="24"/>
          <w:shd w:val="clear" w:color="auto" w:fill="FFFFFF"/>
        </w:rPr>
        <w:t>Xheneti</w:t>
      </w:r>
      <w:proofErr w:type="spellEnd"/>
      <w:r w:rsidRPr="000C4364">
        <w:rPr>
          <w:rFonts w:ascii="Times New Roman" w:hAnsi="Times New Roman" w:cs="Times New Roman"/>
          <w:iCs/>
          <w:color w:val="000000"/>
          <w:sz w:val="24"/>
          <w:szCs w:val="24"/>
          <w:shd w:val="clear" w:color="auto" w:fill="FFFFFF"/>
        </w:rPr>
        <w:t xml:space="preserve">, M. and </w:t>
      </w:r>
      <w:r w:rsidR="00D470CC" w:rsidRPr="000C4364">
        <w:rPr>
          <w:rFonts w:ascii="Times New Roman" w:hAnsi="Times New Roman" w:cs="Times New Roman"/>
          <w:iCs/>
          <w:color w:val="000000"/>
          <w:sz w:val="24"/>
          <w:szCs w:val="24"/>
          <w:shd w:val="clear" w:color="auto" w:fill="FFFFFF"/>
        </w:rPr>
        <w:t xml:space="preserve">Bartlett, W. </w:t>
      </w:r>
      <w:r w:rsidRPr="000C4364">
        <w:rPr>
          <w:rFonts w:ascii="Times New Roman" w:hAnsi="Times New Roman" w:cs="Times New Roman"/>
          <w:iCs/>
          <w:color w:val="000000"/>
          <w:sz w:val="24"/>
          <w:szCs w:val="24"/>
          <w:shd w:val="clear" w:color="auto" w:fill="FFFFFF"/>
        </w:rPr>
        <w:t>(</w:t>
      </w:r>
      <w:r w:rsidR="00D470CC" w:rsidRPr="000C4364">
        <w:rPr>
          <w:rFonts w:ascii="Times New Roman" w:hAnsi="Times New Roman" w:cs="Times New Roman"/>
          <w:iCs/>
          <w:color w:val="000000"/>
          <w:sz w:val="24"/>
          <w:szCs w:val="24"/>
          <w:shd w:val="clear" w:color="auto" w:fill="FFFFFF"/>
        </w:rPr>
        <w:t>2012</w:t>
      </w:r>
      <w:r w:rsidR="00024FF5">
        <w:rPr>
          <w:rFonts w:ascii="Times New Roman" w:hAnsi="Times New Roman" w:cs="Times New Roman"/>
          <w:iCs/>
          <w:color w:val="000000"/>
          <w:sz w:val="24"/>
          <w:szCs w:val="24"/>
          <w:shd w:val="clear" w:color="auto" w:fill="FFFFFF"/>
        </w:rPr>
        <w:t>).</w:t>
      </w:r>
      <w:proofErr w:type="gramEnd"/>
      <w:r w:rsidR="00024FF5">
        <w:rPr>
          <w:rFonts w:ascii="Times New Roman" w:hAnsi="Times New Roman" w:cs="Times New Roman"/>
          <w:iCs/>
          <w:color w:val="000000"/>
          <w:sz w:val="24"/>
          <w:szCs w:val="24"/>
          <w:shd w:val="clear" w:color="auto" w:fill="FFFFFF"/>
        </w:rPr>
        <w:t xml:space="preserve"> </w:t>
      </w:r>
      <w:proofErr w:type="gramStart"/>
      <w:r w:rsidR="008C417C" w:rsidRPr="000C4364">
        <w:rPr>
          <w:rFonts w:ascii="Times New Roman" w:hAnsi="Times New Roman" w:cs="Times New Roman"/>
          <w:iCs/>
          <w:color w:val="000000"/>
          <w:sz w:val="24"/>
          <w:szCs w:val="24"/>
          <w:shd w:val="clear" w:color="auto" w:fill="FFFFFF"/>
        </w:rPr>
        <w:t>Institutional constraints and SME growth in Post-communist Albania</w:t>
      </w:r>
      <w:r w:rsidR="00024FF5">
        <w:rPr>
          <w:rFonts w:ascii="Times New Roman" w:hAnsi="Times New Roman" w:cs="Times New Roman"/>
          <w:iCs/>
          <w:color w:val="000000"/>
          <w:sz w:val="24"/>
          <w:szCs w:val="24"/>
          <w:shd w:val="clear" w:color="auto" w:fill="FFFFFF"/>
        </w:rPr>
        <w:t>.</w:t>
      </w:r>
      <w:proofErr w:type="gramEnd"/>
      <w:r w:rsidR="008C417C" w:rsidRPr="000C4364">
        <w:rPr>
          <w:rFonts w:ascii="Times New Roman" w:hAnsi="Times New Roman" w:cs="Times New Roman"/>
          <w:iCs/>
          <w:color w:val="000000"/>
          <w:sz w:val="24"/>
          <w:szCs w:val="24"/>
          <w:shd w:val="clear" w:color="auto" w:fill="FFFFFF"/>
        </w:rPr>
        <w:t xml:space="preserve"> </w:t>
      </w:r>
      <w:r w:rsidR="008C417C" w:rsidRPr="000C4364">
        <w:rPr>
          <w:rFonts w:ascii="Times New Roman" w:hAnsi="Times New Roman" w:cs="Times New Roman"/>
          <w:i/>
          <w:iCs/>
          <w:color w:val="000000"/>
          <w:sz w:val="24"/>
          <w:szCs w:val="24"/>
          <w:shd w:val="clear" w:color="auto" w:fill="FFFFFF"/>
        </w:rPr>
        <w:t xml:space="preserve">Journal of Small Business and Enterprise Development, </w:t>
      </w:r>
      <w:r w:rsidR="00D470CC" w:rsidRPr="000C4364">
        <w:rPr>
          <w:rFonts w:ascii="Times New Roman" w:hAnsi="Times New Roman" w:cs="Times New Roman"/>
          <w:iCs/>
          <w:color w:val="000000"/>
          <w:sz w:val="24"/>
          <w:szCs w:val="24"/>
          <w:shd w:val="clear" w:color="auto" w:fill="FFFFFF"/>
        </w:rPr>
        <w:t>19</w:t>
      </w:r>
      <w:r w:rsidR="00024FF5">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4</w:t>
      </w:r>
      <w:r w:rsidR="00024FF5">
        <w:rPr>
          <w:rFonts w:ascii="Times New Roman" w:hAnsi="Times New Roman" w:cs="Times New Roman"/>
          <w:iCs/>
          <w:color w:val="000000"/>
          <w:sz w:val="24"/>
          <w:szCs w:val="24"/>
          <w:shd w:val="clear" w:color="auto" w:fill="FFFFFF"/>
        </w:rPr>
        <w:t>)</w:t>
      </w:r>
      <w:r w:rsidRPr="000C4364">
        <w:rPr>
          <w:rFonts w:ascii="Times New Roman" w:hAnsi="Times New Roman" w:cs="Times New Roman"/>
          <w:iCs/>
          <w:color w:val="000000"/>
          <w:sz w:val="24"/>
          <w:szCs w:val="24"/>
          <w:shd w:val="clear" w:color="auto" w:fill="FFFFFF"/>
        </w:rPr>
        <w:t>, pp.</w:t>
      </w:r>
      <w:r w:rsidR="008C417C" w:rsidRPr="000C4364">
        <w:rPr>
          <w:rFonts w:ascii="Times New Roman" w:hAnsi="Times New Roman" w:cs="Times New Roman"/>
          <w:iCs/>
          <w:color w:val="000000"/>
          <w:sz w:val="24"/>
          <w:szCs w:val="24"/>
          <w:shd w:val="clear" w:color="auto" w:fill="FFFFFF"/>
        </w:rPr>
        <w:t xml:space="preserve"> 607-624.</w:t>
      </w:r>
    </w:p>
    <w:p w:rsidR="006E4296" w:rsidRDefault="006E4296" w:rsidP="006E4296">
      <w:pPr>
        <w:pBdr>
          <w:bottom w:val="single" w:sz="4" w:space="1" w:color="auto"/>
        </w:pBdr>
        <w:rPr>
          <w:rFonts w:ascii="Times New Roman" w:hAnsi="Times New Roman" w:cs="Times New Roman"/>
          <w:b/>
          <w:noProof/>
        </w:rPr>
      </w:pPr>
      <w:r>
        <w:rPr>
          <w:rFonts w:ascii="Times New Roman" w:hAnsi="Times New Roman" w:cs="Times New Roman"/>
          <w:b/>
          <w:noProof/>
        </w:rPr>
        <w:lastRenderedPageBreak/>
        <w:t>FIGURES</w:t>
      </w:r>
    </w:p>
    <w:p w:rsidR="006E4296" w:rsidRDefault="006E4296" w:rsidP="00024FF5">
      <w:pPr>
        <w:spacing w:after="0" w:line="480" w:lineRule="auto"/>
        <w:rPr>
          <w:rFonts w:ascii="Times New Roman" w:hAnsi="Times New Roman" w:cs="Times New Roman"/>
          <w:iCs/>
          <w:color w:val="000000"/>
          <w:sz w:val="24"/>
          <w:szCs w:val="24"/>
          <w:shd w:val="clear" w:color="auto" w:fill="FFFFFF"/>
        </w:rPr>
      </w:pPr>
      <w:r w:rsidRPr="00055526">
        <w:rPr>
          <w:rFonts w:ascii="Times New Roman" w:hAnsi="Times New Roman" w:cs="Times New Roman"/>
          <w:b/>
          <w:noProof/>
        </w:rPr>
        <w:drawing>
          <wp:inline distT="0" distB="0" distL="0" distR="0" wp14:anchorId="7484B23E" wp14:editId="21B6E3CB">
            <wp:extent cx="5010150" cy="2962275"/>
            <wp:effectExtent l="0" t="0" r="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4296" w:rsidRDefault="006E4296">
      <w:pP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br w:type="page"/>
      </w:r>
    </w:p>
    <w:p w:rsidR="006E4296" w:rsidRPr="009B5AEB" w:rsidRDefault="006E4296" w:rsidP="006E4296">
      <w:pPr>
        <w:pBdr>
          <w:bottom w:val="single" w:sz="4" w:space="1" w:color="auto"/>
        </w:pBdr>
        <w:rPr>
          <w:rFonts w:ascii="Times New Roman" w:hAnsi="Times New Roman" w:cs="Times New Roman"/>
          <w:b/>
          <w:bCs/>
        </w:rPr>
      </w:pPr>
      <w:r w:rsidRPr="009B5AEB">
        <w:rPr>
          <w:rFonts w:ascii="Times New Roman" w:hAnsi="Times New Roman" w:cs="Times New Roman"/>
          <w:b/>
          <w:bCs/>
        </w:rPr>
        <w:lastRenderedPageBreak/>
        <w:t>TABLES</w:t>
      </w:r>
    </w:p>
    <w:p w:rsidR="006E4296" w:rsidRPr="009B5AEB" w:rsidRDefault="006E4296" w:rsidP="006E4296">
      <w:pPr>
        <w:rPr>
          <w:rFonts w:ascii="Times New Roman" w:hAnsi="Times New Roman" w:cs="Times New Roman"/>
          <w:b/>
          <w:bCs/>
        </w:rPr>
      </w:pPr>
    </w:p>
    <w:p w:rsidR="006E4296" w:rsidRPr="009B5AEB" w:rsidRDefault="006E4296" w:rsidP="006E4296">
      <w:pPr>
        <w:pStyle w:val="BodyText3"/>
        <w:tabs>
          <w:tab w:val="left" w:pos="1549"/>
        </w:tabs>
        <w:spacing w:after="0" w:line="240" w:lineRule="auto"/>
        <w:jc w:val="center"/>
        <w:rPr>
          <w:rFonts w:ascii="Times New Roman" w:hAnsi="Times New Roman" w:cs="Times New Roman"/>
          <w:b/>
          <w:bCs/>
          <w:sz w:val="22"/>
          <w:szCs w:val="22"/>
        </w:rPr>
      </w:pPr>
      <w:r w:rsidRPr="009B5AEB">
        <w:rPr>
          <w:rFonts w:ascii="Times New Roman" w:hAnsi="Times New Roman" w:cs="Times New Roman"/>
          <w:b/>
          <w:bCs/>
          <w:sz w:val="22"/>
          <w:szCs w:val="22"/>
        </w:rPr>
        <w:t>Table 1: Sources of enterprise working capital financing in the FSU in 1980</w:t>
      </w:r>
    </w:p>
    <w:tbl>
      <w:tblPr>
        <w:tblW w:w="7398" w:type="dxa"/>
        <w:jc w:val="center"/>
        <w:tblLayout w:type="fixed"/>
        <w:tblLook w:val="0000" w:firstRow="0" w:lastRow="0" w:firstColumn="0" w:lastColumn="0" w:noHBand="0" w:noVBand="0"/>
      </w:tblPr>
      <w:tblGrid>
        <w:gridCol w:w="1769"/>
        <w:gridCol w:w="2143"/>
        <w:gridCol w:w="1134"/>
        <w:gridCol w:w="1443"/>
        <w:gridCol w:w="909"/>
      </w:tblGrid>
      <w:tr w:rsidR="006E4296" w:rsidRPr="009B5AEB" w:rsidTr="004F5BDC">
        <w:trPr>
          <w:jc w:val="center"/>
        </w:trPr>
        <w:tc>
          <w:tcPr>
            <w:tcW w:w="1769" w:type="dxa"/>
            <w:tcBorders>
              <w:top w:val="single" w:sz="4" w:space="0" w:color="auto"/>
              <w:bottom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p>
        </w:tc>
        <w:tc>
          <w:tcPr>
            <w:tcW w:w="2143" w:type="dxa"/>
            <w:tcBorders>
              <w:top w:val="single" w:sz="4" w:space="0" w:color="auto"/>
              <w:bottom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National Economy</w:t>
            </w:r>
          </w:p>
        </w:tc>
        <w:tc>
          <w:tcPr>
            <w:tcW w:w="1134" w:type="dxa"/>
            <w:tcBorders>
              <w:top w:val="single" w:sz="4" w:space="0" w:color="auto"/>
              <w:bottom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Industry</w:t>
            </w:r>
          </w:p>
        </w:tc>
        <w:tc>
          <w:tcPr>
            <w:tcW w:w="1443" w:type="dxa"/>
            <w:tcBorders>
              <w:top w:val="single" w:sz="4" w:space="0" w:color="auto"/>
              <w:bottom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Agriculture</w:t>
            </w:r>
          </w:p>
        </w:tc>
        <w:tc>
          <w:tcPr>
            <w:tcW w:w="909" w:type="dxa"/>
            <w:tcBorders>
              <w:top w:val="single" w:sz="4" w:space="0" w:color="auto"/>
              <w:bottom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Trade</w:t>
            </w:r>
          </w:p>
        </w:tc>
      </w:tr>
      <w:tr w:rsidR="006E4296" w:rsidRPr="009B5AEB" w:rsidTr="004F5BDC">
        <w:trPr>
          <w:jc w:val="center"/>
        </w:trPr>
        <w:tc>
          <w:tcPr>
            <w:tcW w:w="1769" w:type="dxa"/>
            <w:tcBorders>
              <w:top w:val="single" w:sz="4" w:space="0" w:color="auto"/>
            </w:tcBorders>
          </w:tcPr>
          <w:p w:rsidR="006E4296" w:rsidRPr="009B5AEB" w:rsidRDefault="006E4296" w:rsidP="004F5BDC">
            <w:pPr>
              <w:pStyle w:val="BodyText3"/>
              <w:tabs>
                <w:tab w:val="left" w:pos="1549"/>
              </w:tabs>
              <w:spacing w:after="0" w:line="240" w:lineRule="auto"/>
              <w:jc w:val="both"/>
              <w:rPr>
                <w:rFonts w:ascii="Times New Roman" w:hAnsi="Times New Roman" w:cs="Times New Roman"/>
                <w:sz w:val="22"/>
                <w:szCs w:val="22"/>
              </w:rPr>
            </w:pPr>
            <w:r w:rsidRPr="009B5AEB">
              <w:rPr>
                <w:rFonts w:ascii="Times New Roman" w:hAnsi="Times New Roman" w:cs="Times New Roman"/>
                <w:sz w:val="22"/>
                <w:szCs w:val="22"/>
              </w:rPr>
              <w:t xml:space="preserve">Own resources </w:t>
            </w:r>
          </w:p>
        </w:tc>
        <w:tc>
          <w:tcPr>
            <w:tcW w:w="2143" w:type="dxa"/>
            <w:tcBorders>
              <w:top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24.0</w:t>
            </w:r>
          </w:p>
        </w:tc>
        <w:tc>
          <w:tcPr>
            <w:tcW w:w="1134" w:type="dxa"/>
            <w:tcBorders>
              <w:top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33.0</w:t>
            </w:r>
          </w:p>
        </w:tc>
        <w:tc>
          <w:tcPr>
            <w:tcW w:w="1443" w:type="dxa"/>
            <w:tcBorders>
              <w:top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22.8</w:t>
            </w:r>
          </w:p>
        </w:tc>
        <w:tc>
          <w:tcPr>
            <w:tcW w:w="909" w:type="dxa"/>
            <w:tcBorders>
              <w:top w:val="single" w:sz="4" w:space="0" w:color="auto"/>
            </w:tcBorders>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28.0</w:t>
            </w:r>
          </w:p>
        </w:tc>
      </w:tr>
      <w:tr w:rsidR="006E4296" w:rsidRPr="009B5AEB" w:rsidTr="004F5BDC">
        <w:trPr>
          <w:jc w:val="center"/>
        </w:trPr>
        <w:tc>
          <w:tcPr>
            <w:tcW w:w="1769" w:type="dxa"/>
          </w:tcPr>
          <w:p w:rsidR="006E4296" w:rsidRPr="009B5AEB" w:rsidRDefault="006E4296" w:rsidP="004F5BDC">
            <w:pPr>
              <w:pStyle w:val="BodyText3"/>
              <w:tabs>
                <w:tab w:val="left" w:pos="1549"/>
              </w:tabs>
              <w:spacing w:after="0" w:line="240" w:lineRule="auto"/>
              <w:jc w:val="both"/>
              <w:rPr>
                <w:rFonts w:ascii="Times New Roman" w:hAnsi="Times New Roman" w:cs="Times New Roman"/>
                <w:sz w:val="22"/>
                <w:szCs w:val="22"/>
              </w:rPr>
            </w:pPr>
            <w:r w:rsidRPr="009B5AEB">
              <w:rPr>
                <w:rFonts w:ascii="Times New Roman" w:hAnsi="Times New Roman" w:cs="Times New Roman"/>
                <w:sz w:val="22"/>
                <w:szCs w:val="22"/>
              </w:rPr>
              <w:t xml:space="preserve">Bank credits </w:t>
            </w:r>
          </w:p>
        </w:tc>
        <w:tc>
          <w:tcPr>
            <w:tcW w:w="2143"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46.3</w:t>
            </w:r>
          </w:p>
        </w:tc>
        <w:tc>
          <w:tcPr>
            <w:tcW w:w="1134"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50.2</w:t>
            </w:r>
          </w:p>
        </w:tc>
        <w:tc>
          <w:tcPr>
            <w:tcW w:w="1443"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55.7</w:t>
            </w:r>
          </w:p>
        </w:tc>
        <w:tc>
          <w:tcPr>
            <w:tcW w:w="909"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56.6</w:t>
            </w:r>
          </w:p>
        </w:tc>
      </w:tr>
      <w:tr w:rsidR="006E4296" w:rsidRPr="009B5AEB" w:rsidTr="004F5BDC">
        <w:trPr>
          <w:jc w:val="center"/>
        </w:trPr>
        <w:tc>
          <w:tcPr>
            <w:tcW w:w="1769" w:type="dxa"/>
          </w:tcPr>
          <w:p w:rsidR="006E4296" w:rsidRPr="009B5AEB" w:rsidRDefault="006E4296" w:rsidP="004F5BDC">
            <w:pPr>
              <w:pStyle w:val="BodyText3"/>
              <w:tabs>
                <w:tab w:val="left" w:pos="1399"/>
              </w:tabs>
              <w:spacing w:after="0" w:line="240" w:lineRule="auto"/>
              <w:jc w:val="both"/>
              <w:rPr>
                <w:rFonts w:ascii="Times New Roman" w:hAnsi="Times New Roman" w:cs="Times New Roman"/>
                <w:sz w:val="22"/>
                <w:szCs w:val="22"/>
              </w:rPr>
            </w:pPr>
            <w:r w:rsidRPr="009B5AEB">
              <w:rPr>
                <w:rFonts w:ascii="Times New Roman" w:hAnsi="Times New Roman" w:cs="Times New Roman"/>
                <w:sz w:val="22"/>
                <w:szCs w:val="22"/>
              </w:rPr>
              <w:t xml:space="preserve">Other </w:t>
            </w:r>
          </w:p>
        </w:tc>
        <w:tc>
          <w:tcPr>
            <w:tcW w:w="2143"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29.7</w:t>
            </w:r>
          </w:p>
        </w:tc>
        <w:tc>
          <w:tcPr>
            <w:tcW w:w="1134"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16.8</w:t>
            </w:r>
          </w:p>
        </w:tc>
        <w:tc>
          <w:tcPr>
            <w:tcW w:w="1443"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21.5</w:t>
            </w:r>
          </w:p>
        </w:tc>
        <w:tc>
          <w:tcPr>
            <w:tcW w:w="909"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15.4</w:t>
            </w:r>
          </w:p>
        </w:tc>
      </w:tr>
      <w:tr w:rsidR="006E4296" w:rsidRPr="009B5AEB" w:rsidTr="004F5BDC">
        <w:trPr>
          <w:jc w:val="center"/>
        </w:trPr>
        <w:tc>
          <w:tcPr>
            <w:tcW w:w="1769" w:type="dxa"/>
            <w:tcBorders>
              <w:bottom w:val="single" w:sz="4" w:space="0" w:color="auto"/>
            </w:tcBorders>
          </w:tcPr>
          <w:p w:rsidR="006E4296" w:rsidRPr="009B5AEB" w:rsidRDefault="006E4296" w:rsidP="004F5BDC">
            <w:pPr>
              <w:pStyle w:val="BodyText3"/>
              <w:tabs>
                <w:tab w:val="left" w:pos="1399"/>
              </w:tabs>
              <w:spacing w:after="0" w:line="240" w:lineRule="auto"/>
              <w:jc w:val="both"/>
              <w:rPr>
                <w:rFonts w:ascii="Times New Roman" w:hAnsi="Times New Roman" w:cs="Times New Roman"/>
                <w:sz w:val="22"/>
                <w:szCs w:val="22"/>
              </w:rPr>
            </w:pPr>
            <w:r w:rsidRPr="009B5AEB">
              <w:rPr>
                <w:rFonts w:ascii="Times New Roman" w:hAnsi="Times New Roman" w:cs="Times New Roman"/>
                <w:sz w:val="22"/>
                <w:szCs w:val="22"/>
              </w:rPr>
              <w:t xml:space="preserve">Total </w:t>
            </w:r>
          </w:p>
        </w:tc>
        <w:tc>
          <w:tcPr>
            <w:tcW w:w="2143"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100.0</w:t>
            </w:r>
          </w:p>
        </w:tc>
        <w:tc>
          <w:tcPr>
            <w:tcW w:w="1134"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100.0</w:t>
            </w:r>
          </w:p>
        </w:tc>
        <w:tc>
          <w:tcPr>
            <w:tcW w:w="1443"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100.0</w:t>
            </w:r>
          </w:p>
        </w:tc>
        <w:tc>
          <w:tcPr>
            <w:tcW w:w="909" w:type="dxa"/>
          </w:tcPr>
          <w:p w:rsidR="006E4296" w:rsidRPr="009B5AEB" w:rsidRDefault="006E4296" w:rsidP="004F5BDC">
            <w:pPr>
              <w:pStyle w:val="BodyText3"/>
              <w:tabs>
                <w:tab w:val="left" w:pos="1549"/>
              </w:tabs>
              <w:spacing w:after="0" w:line="240" w:lineRule="auto"/>
              <w:jc w:val="center"/>
              <w:rPr>
                <w:rFonts w:ascii="Times New Roman" w:hAnsi="Times New Roman" w:cs="Times New Roman"/>
                <w:sz w:val="22"/>
                <w:szCs w:val="22"/>
              </w:rPr>
            </w:pPr>
            <w:r w:rsidRPr="009B5AEB">
              <w:rPr>
                <w:rFonts w:ascii="Times New Roman" w:hAnsi="Times New Roman" w:cs="Times New Roman"/>
                <w:sz w:val="22"/>
                <w:szCs w:val="22"/>
              </w:rPr>
              <w:t>100.0</w:t>
            </w:r>
          </w:p>
        </w:tc>
      </w:tr>
      <w:tr w:rsidR="006E4296" w:rsidRPr="009B5AEB" w:rsidTr="004F5BDC">
        <w:trPr>
          <w:cantSplit/>
          <w:jc w:val="center"/>
        </w:trPr>
        <w:tc>
          <w:tcPr>
            <w:tcW w:w="7398" w:type="dxa"/>
            <w:gridSpan w:val="5"/>
            <w:tcBorders>
              <w:top w:val="single" w:sz="4" w:space="0" w:color="auto"/>
            </w:tcBorders>
          </w:tcPr>
          <w:p w:rsidR="006E4296" w:rsidRPr="009B5AEB" w:rsidRDefault="006E4296" w:rsidP="004F5BDC">
            <w:pPr>
              <w:pStyle w:val="BodyText3"/>
              <w:tabs>
                <w:tab w:val="left" w:pos="1549"/>
              </w:tabs>
              <w:spacing w:after="0" w:line="240" w:lineRule="auto"/>
              <w:jc w:val="both"/>
              <w:rPr>
                <w:rFonts w:ascii="Times New Roman" w:hAnsi="Times New Roman" w:cs="Times New Roman"/>
                <w:sz w:val="22"/>
                <w:szCs w:val="22"/>
              </w:rPr>
            </w:pPr>
            <w:r w:rsidRPr="009B5AEB">
              <w:rPr>
                <w:rFonts w:ascii="Times New Roman" w:hAnsi="Times New Roman" w:cs="Times New Roman"/>
                <w:sz w:val="22"/>
                <w:szCs w:val="22"/>
              </w:rPr>
              <w:t xml:space="preserve">Source: </w:t>
            </w:r>
            <w:proofErr w:type="spellStart"/>
            <w:r w:rsidRPr="009B5AEB">
              <w:rPr>
                <w:rFonts w:ascii="Times New Roman" w:hAnsi="Times New Roman" w:cs="Times New Roman"/>
                <w:sz w:val="22"/>
                <w:szCs w:val="22"/>
              </w:rPr>
              <w:t>Geraschenko</w:t>
            </w:r>
            <w:proofErr w:type="spellEnd"/>
            <w:r w:rsidRPr="009B5AEB">
              <w:rPr>
                <w:rFonts w:ascii="Times New Roman" w:hAnsi="Times New Roman" w:cs="Times New Roman"/>
                <w:sz w:val="22"/>
                <w:szCs w:val="22"/>
              </w:rPr>
              <w:t xml:space="preserve"> and </w:t>
            </w:r>
            <w:proofErr w:type="spellStart"/>
            <w:r w:rsidRPr="009B5AEB">
              <w:rPr>
                <w:rFonts w:ascii="Times New Roman" w:hAnsi="Times New Roman" w:cs="Times New Roman"/>
                <w:sz w:val="22"/>
                <w:szCs w:val="22"/>
              </w:rPr>
              <w:t>Lavrushin</w:t>
            </w:r>
            <w:proofErr w:type="spellEnd"/>
            <w:r w:rsidRPr="009B5AEB">
              <w:rPr>
                <w:rFonts w:ascii="Times New Roman" w:hAnsi="Times New Roman" w:cs="Times New Roman"/>
                <w:sz w:val="22"/>
                <w:szCs w:val="22"/>
              </w:rPr>
              <w:t xml:space="preserve"> (1982)</w:t>
            </w:r>
          </w:p>
        </w:tc>
      </w:tr>
    </w:tbl>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tbl>
      <w:tblPr>
        <w:tblpPr w:leftFromText="180" w:rightFromText="180" w:vertAnchor="text" w:tblpXSpec="center" w:tblpY="1"/>
        <w:tblOverlap w:val="never"/>
        <w:tblW w:w="6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683"/>
        <w:gridCol w:w="2836"/>
        <w:gridCol w:w="9"/>
      </w:tblGrid>
      <w:tr w:rsidR="006E4296" w:rsidRPr="009B5AEB" w:rsidTr="004F5BDC">
        <w:trPr>
          <w:gridAfter w:val="1"/>
          <w:wAfter w:w="9" w:type="dxa"/>
          <w:trHeight w:val="315"/>
        </w:trPr>
        <w:tc>
          <w:tcPr>
            <w:tcW w:w="6861" w:type="dxa"/>
            <w:gridSpan w:val="3"/>
            <w:tcBorders>
              <w:top w:val="nil"/>
              <w:left w:val="nil"/>
              <w:bottom w:val="single" w:sz="4" w:space="0" w:color="auto"/>
              <w:right w:val="nil"/>
            </w:tcBorders>
            <w:shd w:val="clear" w:color="auto" w:fill="auto"/>
            <w:vAlign w:val="bottom"/>
          </w:tcPr>
          <w:p w:rsidR="006E4296" w:rsidRDefault="006E4296" w:rsidP="004F5BDC">
            <w:pPr>
              <w:spacing w:after="0" w:line="240" w:lineRule="auto"/>
              <w:jc w:val="center"/>
              <w:rPr>
                <w:rFonts w:ascii="Times New Roman" w:eastAsia="Times New Roman" w:hAnsi="Times New Roman" w:cs="Times New Roman"/>
                <w:bCs/>
                <w:color w:val="000000"/>
              </w:rPr>
            </w:pPr>
            <w:r w:rsidRPr="009B5AEB">
              <w:rPr>
                <w:rFonts w:ascii="Times New Roman" w:eastAsia="Times New Roman" w:hAnsi="Times New Roman" w:cs="Times New Roman"/>
                <w:b/>
                <w:bCs/>
                <w:color w:val="000000"/>
              </w:rPr>
              <w:t>Table 2: SME financing sources according to BEEPS survey data</w:t>
            </w:r>
            <w:r w:rsidRPr="009B5AEB">
              <w:rPr>
                <w:rFonts w:ascii="Times New Roman" w:eastAsia="Times New Roman" w:hAnsi="Times New Roman" w:cs="Times New Roman"/>
                <w:bCs/>
                <w:color w:val="000000"/>
              </w:rPr>
              <w:t xml:space="preserve"> </w:t>
            </w:r>
          </w:p>
          <w:p w:rsidR="006E4296" w:rsidRPr="009B5AEB" w:rsidRDefault="006E4296" w:rsidP="004F5BDC">
            <w:pPr>
              <w:spacing w:after="0" w:line="240" w:lineRule="auto"/>
              <w:jc w:val="center"/>
              <w:rPr>
                <w:rFonts w:ascii="Times New Roman" w:eastAsia="Times New Roman" w:hAnsi="Times New Roman" w:cs="Times New Roman"/>
                <w:bCs/>
                <w:color w:val="000000"/>
              </w:rPr>
            </w:pPr>
            <w:r w:rsidRPr="009B5AEB">
              <w:rPr>
                <w:rFonts w:ascii="Times New Roman" w:eastAsia="Times New Roman" w:hAnsi="Times New Roman" w:cs="Times New Roman"/>
                <w:bCs/>
                <w:color w:val="000000"/>
              </w:rPr>
              <w:t>(As a percentage of total financing)</w:t>
            </w:r>
          </w:p>
        </w:tc>
      </w:tr>
      <w:tr w:rsidR="006E4296" w:rsidRPr="009B5AEB" w:rsidTr="004F5BDC">
        <w:trPr>
          <w:trHeight w:val="195"/>
        </w:trPr>
        <w:tc>
          <w:tcPr>
            <w:tcW w:w="2342"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color w:val="000000"/>
              </w:rPr>
            </w:pPr>
          </w:p>
        </w:tc>
        <w:tc>
          <w:tcPr>
            <w:tcW w:w="1683"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b/>
                <w:bCs/>
                <w:color w:val="000000"/>
              </w:rPr>
            </w:pPr>
            <w:r w:rsidRPr="009B5AEB">
              <w:rPr>
                <w:rFonts w:ascii="Times New Roman" w:eastAsia="Times New Roman" w:hAnsi="Times New Roman" w:cs="Times New Roman"/>
                <w:b/>
                <w:bCs/>
                <w:color w:val="000000"/>
              </w:rPr>
              <w:t>CIS*</w:t>
            </w:r>
          </w:p>
        </w:tc>
        <w:tc>
          <w:tcPr>
            <w:tcW w:w="2845" w:type="dxa"/>
            <w:gridSpan w:val="2"/>
            <w:tcBorders>
              <w:top w:val="nil"/>
              <w:left w:val="nil"/>
              <w:bottom w:val="nil"/>
              <w:right w:val="nil"/>
            </w:tcBorders>
            <w:shd w:val="clear" w:color="auto" w:fill="auto"/>
            <w:vAlign w:val="bottom"/>
            <w:hideMark/>
          </w:tcPr>
          <w:p w:rsidR="006E4296" w:rsidRPr="009B5AEB" w:rsidRDefault="006E4296" w:rsidP="004F5BDC">
            <w:pPr>
              <w:spacing w:after="0" w:line="240" w:lineRule="auto"/>
              <w:jc w:val="center"/>
              <w:rPr>
                <w:rFonts w:ascii="Times New Roman" w:eastAsia="Times New Roman" w:hAnsi="Times New Roman" w:cs="Times New Roman"/>
                <w:b/>
                <w:bCs/>
                <w:color w:val="000000"/>
              </w:rPr>
            </w:pPr>
            <w:r w:rsidRPr="009B5AEB">
              <w:rPr>
                <w:rFonts w:ascii="Times New Roman" w:eastAsia="Times New Roman" w:hAnsi="Times New Roman" w:cs="Times New Roman"/>
                <w:b/>
                <w:bCs/>
                <w:color w:val="000000"/>
              </w:rPr>
              <w:t>E</w:t>
            </w:r>
            <w:r>
              <w:rPr>
                <w:rFonts w:ascii="Times New Roman" w:eastAsia="Times New Roman" w:hAnsi="Times New Roman" w:cs="Times New Roman"/>
                <w:b/>
                <w:bCs/>
                <w:color w:val="000000"/>
              </w:rPr>
              <w:t xml:space="preserve">astern </w:t>
            </w:r>
            <w:r w:rsidRPr="009B5AEB">
              <w:rPr>
                <w:rFonts w:ascii="Times New Roman" w:eastAsia="Times New Roman" w:hAnsi="Times New Roman" w:cs="Times New Roman"/>
                <w:b/>
                <w:bCs/>
                <w:color w:val="000000"/>
              </w:rPr>
              <w:t>E</w:t>
            </w:r>
            <w:r>
              <w:rPr>
                <w:rFonts w:ascii="Times New Roman" w:eastAsia="Times New Roman" w:hAnsi="Times New Roman" w:cs="Times New Roman"/>
                <w:b/>
                <w:bCs/>
                <w:color w:val="000000"/>
              </w:rPr>
              <w:t>urope</w:t>
            </w:r>
          </w:p>
        </w:tc>
      </w:tr>
      <w:tr w:rsidR="006E4296" w:rsidRPr="009B5AEB" w:rsidTr="004F5BDC">
        <w:trPr>
          <w:trHeight w:val="257"/>
        </w:trPr>
        <w:tc>
          <w:tcPr>
            <w:tcW w:w="2342"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both"/>
              <w:rPr>
                <w:rFonts w:ascii="Times New Roman" w:eastAsia="Times New Roman" w:hAnsi="Times New Roman" w:cs="Times New Roman"/>
                <w:color w:val="000000"/>
              </w:rPr>
            </w:pPr>
            <w:r w:rsidRPr="009B5AEB">
              <w:rPr>
                <w:rFonts w:ascii="Times New Roman" w:eastAsia="Times New Roman" w:hAnsi="Times New Roman" w:cs="Times New Roman"/>
                <w:color w:val="000000"/>
              </w:rPr>
              <w:t>Internal finance</w:t>
            </w:r>
          </w:p>
        </w:tc>
        <w:tc>
          <w:tcPr>
            <w:tcW w:w="1683"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81.7</w:t>
            </w:r>
          </w:p>
        </w:tc>
        <w:tc>
          <w:tcPr>
            <w:tcW w:w="2845" w:type="dxa"/>
            <w:gridSpan w:val="2"/>
            <w:tcBorders>
              <w:top w:val="nil"/>
              <w:left w:val="nil"/>
              <w:bottom w:val="nil"/>
              <w:right w:val="nil"/>
            </w:tcBorders>
            <w:shd w:val="clear" w:color="auto" w:fill="auto"/>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70.1</w:t>
            </w:r>
          </w:p>
        </w:tc>
      </w:tr>
      <w:tr w:rsidR="006E4296" w:rsidRPr="009B5AEB" w:rsidTr="004F5BDC">
        <w:trPr>
          <w:trHeight w:val="157"/>
        </w:trPr>
        <w:tc>
          <w:tcPr>
            <w:tcW w:w="2342"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both"/>
              <w:rPr>
                <w:rFonts w:ascii="Times New Roman" w:eastAsia="Times New Roman" w:hAnsi="Times New Roman" w:cs="Times New Roman"/>
                <w:color w:val="000000"/>
              </w:rPr>
            </w:pPr>
            <w:r w:rsidRPr="009B5AEB">
              <w:rPr>
                <w:rFonts w:ascii="Times New Roman" w:eastAsia="Times New Roman" w:hAnsi="Times New Roman" w:cs="Times New Roman"/>
                <w:color w:val="000000"/>
              </w:rPr>
              <w:t>Formal finance</w:t>
            </w:r>
          </w:p>
        </w:tc>
        <w:tc>
          <w:tcPr>
            <w:tcW w:w="1683"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9.0</w:t>
            </w:r>
          </w:p>
        </w:tc>
        <w:tc>
          <w:tcPr>
            <w:tcW w:w="2845" w:type="dxa"/>
            <w:gridSpan w:val="2"/>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13.7</w:t>
            </w:r>
          </w:p>
        </w:tc>
      </w:tr>
      <w:tr w:rsidR="006E4296" w:rsidRPr="009B5AEB" w:rsidTr="004F5BDC">
        <w:trPr>
          <w:trHeight w:val="217"/>
        </w:trPr>
        <w:tc>
          <w:tcPr>
            <w:tcW w:w="2342"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both"/>
              <w:rPr>
                <w:rFonts w:ascii="Times New Roman" w:eastAsia="Times New Roman" w:hAnsi="Times New Roman" w:cs="Times New Roman"/>
                <w:color w:val="000000"/>
              </w:rPr>
            </w:pPr>
            <w:r w:rsidRPr="009B5AEB">
              <w:rPr>
                <w:rFonts w:ascii="Times New Roman" w:eastAsia="Times New Roman" w:hAnsi="Times New Roman" w:cs="Times New Roman"/>
                <w:color w:val="000000"/>
              </w:rPr>
              <w:t>Trade credit</w:t>
            </w:r>
          </w:p>
        </w:tc>
        <w:tc>
          <w:tcPr>
            <w:tcW w:w="1683"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7.1</w:t>
            </w:r>
          </w:p>
        </w:tc>
        <w:tc>
          <w:tcPr>
            <w:tcW w:w="2845" w:type="dxa"/>
            <w:gridSpan w:val="2"/>
            <w:tcBorders>
              <w:top w:val="nil"/>
              <w:left w:val="nil"/>
              <w:bottom w:val="nil"/>
              <w:right w:val="nil"/>
            </w:tcBorders>
            <w:shd w:val="clear" w:color="auto" w:fill="auto"/>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13.6</w:t>
            </w:r>
          </w:p>
        </w:tc>
      </w:tr>
      <w:tr w:rsidR="006E4296" w:rsidRPr="009B5AEB" w:rsidTr="004F5BDC">
        <w:trPr>
          <w:trHeight w:val="181"/>
        </w:trPr>
        <w:tc>
          <w:tcPr>
            <w:tcW w:w="2342" w:type="dxa"/>
            <w:tcBorders>
              <w:top w:val="nil"/>
              <w:left w:val="nil"/>
              <w:bottom w:val="single" w:sz="4" w:space="0" w:color="auto"/>
              <w:right w:val="nil"/>
            </w:tcBorders>
            <w:shd w:val="clear" w:color="auto" w:fill="auto"/>
            <w:noWrap/>
            <w:vAlign w:val="bottom"/>
            <w:hideMark/>
          </w:tcPr>
          <w:p w:rsidR="006E4296" w:rsidRPr="009B5AEB" w:rsidRDefault="006E4296" w:rsidP="004F5BDC">
            <w:pPr>
              <w:spacing w:after="0" w:line="240" w:lineRule="auto"/>
              <w:jc w:val="both"/>
              <w:rPr>
                <w:rFonts w:ascii="Times New Roman" w:eastAsia="Times New Roman" w:hAnsi="Times New Roman" w:cs="Times New Roman"/>
                <w:color w:val="000000"/>
              </w:rPr>
            </w:pPr>
            <w:r w:rsidRPr="009B5AEB">
              <w:rPr>
                <w:rFonts w:ascii="Times New Roman" w:eastAsia="Times New Roman" w:hAnsi="Times New Roman" w:cs="Times New Roman"/>
                <w:color w:val="000000"/>
              </w:rPr>
              <w:t>Other</w:t>
            </w:r>
          </w:p>
        </w:tc>
        <w:tc>
          <w:tcPr>
            <w:tcW w:w="1683" w:type="dxa"/>
            <w:tcBorders>
              <w:top w:val="nil"/>
              <w:left w:val="nil"/>
              <w:bottom w:val="single" w:sz="4" w:space="0" w:color="auto"/>
              <w:right w:val="nil"/>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2.1</w:t>
            </w:r>
          </w:p>
        </w:tc>
        <w:tc>
          <w:tcPr>
            <w:tcW w:w="2845" w:type="dxa"/>
            <w:gridSpan w:val="2"/>
            <w:tcBorders>
              <w:top w:val="nil"/>
              <w:left w:val="nil"/>
              <w:bottom w:val="single" w:sz="4" w:space="0" w:color="auto"/>
              <w:right w:val="nil"/>
            </w:tcBorders>
            <w:shd w:val="clear" w:color="auto" w:fill="auto"/>
            <w:vAlign w:val="bottom"/>
            <w:hideMark/>
          </w:tcPr>
          <w:p w:rsidR="006E4296" w:rsidRPr="009B5AEB" w:rsidRDefault="006E4296" w:rsidP="004F5BDC">
            <w:pPr>
              <w:keepNext/>
              <w:keepLines/>
              <w:spacing w:after="0" w:line="240" w:lineRule="auto"/>
              <w:jc w:val="center"/>
              <w:outlineLvl w:val="2"/>
              <w:rPr>
                <w:rFonts w:ascii="Times New Roman" w:eastAsia="Times New Roman" w:hAnsi="Times New Roman" w:cs="Times New Roman"/>
                <w:color w:val="000000"/>
              </w:rPr>
            </w:pPr>
            <w:r w:rsidRPr="009B5AEB">
              <w:rPr>
                <w:rFonts w:ascii="Times New Roman" w:eastAsia="Times New Roman" w:hAnsi="Times New Roman" w:cs="Times New Roman"/>
                <w:color w:val="000000"/>
              </w:rPr>
              <w:t>2.5</w:t>
            </w:r>
          </w:p>
        </w:tc>
      </w:tr>
      <w:tr w:rsidR="006E4296" w:rsidRPr="00E019AC" w:rsidTr="004F5BDC">
        <w:trPr>
          <w:gridAfter w:val="1"/>
          <w:wAfter w:w="9" w:type="dxa"/>
          <w:trHeight w:val="330"/>
        </w:trPr>
        <w:tc>
          <w:tcPr>
            <w:tcW w:w="6861" w:type="dxa"/>
            <w:gridSpan w:val="3"/>
            <w:tcBorders>
              <w:top w:val="nil"/>
              <w:left w:val="nil"/>
              <w:bottom w:val="nil"/>
              <w:right w:val="nil"/>
            </w:tcBorders>
            <w:shd w:val="clear" w:color="auto" w:fill="auto"/>
            <w:vAlign w:val="bottom"/>
          </w:tcPr>
          <w:p w:rsidR="006E4296" w:rsidRPr="00E019AC" w:rsidRDefault="006E4296" w:rsidP="004F5BDC">
            <w:pPr>
              <w:spacing w:after="0" w:line="240" w:lineRule="auto"/>
              <w:rPr>
                <w:rFonts w:ascii="Times New Roman" w:eastAsia="Times New Roman" w:hAnsi="Times New Roman" w:cs="Times New Roman"/>
                <w:bCs/>
                <w:color w:val="000000"/>
              </w:rPr>
            </w:pPr>
            <w:r w:rsidRPr="00E019AC">
              <w:rPr>
                <w:rFonts w:ascii="Times New Roman" w:eastAsia="Times New Roman" w:hAnsi="Times New Roman" w:cs="Times New Roman"/>
                <w:bCs/>
                <w:color w:val="000000"/>
              </w:rPr>
              <w:t>Note: * Includes Georgia which is formally no longer a member of the CIS. Source: BEEPS 2012-14 (EBRD, 2016)</w:t>
            </w:r>
          </w:p>
        </w:tc>
      </w:tr>
    </w:tbl>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spacing w:after="0" w:line="240" w:lineRule="auto"/>
        <w:rPr>
          <w:rFonts w:ascii="Times New Roman" w:hAnsi="Times New Roman" w:cs="Times New Roman"/>
        </w:rPr>
      </w:pPr>
    </w:p>
    <w:p w:rsidR="006E4296" w:rsidRDefault="006E4296" w:rsidP="006E4296">
      <w:pPr>
        <w:rPr>
          <w:rFonts w:ascii="Times New Roman" w:hAnsi="Times New Roman" w:cs="Times New Roman"/>
        </w:rPr>
      </w:pPr>
      <w:r>
        <w:rPr>
          <w:rFonts w:ascii="Times New Roman" w:hAnsi="Times New Roman" w:cs="Times New Roman"/>
        </w:rPr>
        <w:br w:type="page"/>
      </w:r>
    </w:p>
    <w:p w:rsidR="006E4296" w:rsidRPr="009B5AEB" w:rsidRDefault="006E4296" w:rsidP="006E4296">
      <w:pPr>
        <w:spacing w:after="0" w:line="240" w:lineRule="auto"/>
        <w:rPr>
          <w:rFonts w:ascii="Times New Roman" w:hAnsi="Times New Roman" w:cs="Times New Roman"/>
        </w:rPr>
      </w:pPr>
    </w:p>
    <w:tbl>
      <w:tblPr>
        <w:tblW w:w="10806" w:type="dxa"/>
        <w:tblInd w:w="-459" w:type="dxa"/>
        <w:tblLook w:val="04A0" w:firstRow="1" w:lastRow="0" w:firstColumn="1" w:lastColumn="0" w:noHBand="0" w:noVBand="1"/>
      </w:tblPr>
      <w:tblGrid>
        <w:gridCol w:w="10806"/>
      </w:tblGrid>
      <w:tr w:rsidR="006E4296" w:rsidRPr="009B5AEB" w:rsidTr="004F5BDC">
        <w:trPr>
          <w:trHeight w:val="300"/>
        </w:trPr>
        <w:tc>
          <w:tcPr>
            <w:tcW w:w="10806" w:type="dxa"/>
            <w:tcBorders>
              <w:top w:val="nil"/>
              <w:left w:val="nil"/>
              <w:bottom w:val="nil"/>
              <w:right w:val="nil"/>
            </w:tcBorders>
            <w:shd w:val="clear" w:color="auto" w:fill="auto"/>
            <w:noWrap/>
            <w:vAlign w:val="bottom"/>
            <w:hideMark/>
          </w:tcPr>
          <w:p w:rsidR="006E4296" w:rsidRPr="009B5AEB" w:rsidRDefault="006E4296" w:rsidP="004F5BDC">
            <w:pPr>
              <w:rPr>
                <w:rFonts w:ascii="Times New Roman" w:eastAsia="Times New Roman" w:hAnsi="Times New Roman" w:cs="Times New Roman"/>
                <w:b/>
                <w:color w:val="000000"/>
              </w:rPr>
            </w:pPr>
            <w:r w:rsidRPr="009B5AEB">
              <w:rPr>
                <w:rFonts w:ascii="Times New Roman" w:eastAsia="Times New Roman" w:hAnsi="Times New Roman" w:cs="Times New Roman"/>
                <w:b/>
                <w:color w:val="000000"/>
              </w:rPr>
              <w:t>Table 3: Description and summary statistics of main variables</w:t>
            </w:r>
          </w:p>
        </w:tc>
      </w:tr>
    </w:tbl>
    <w:tbl>
      <w:tblPr>
        <w:tblStyle w:val="TableGrid"/>
        <w:tblW w:w="10206" w:type="dxa"/>
        <w:tblInd w:w="-459" w:type="dxa"/>
        <w:tblLayout w:type="fixed"/>
        <w:tblLook w:val="04A0" w:firstRow="1" w:lastRow="0" w:firstColumn="1" w:lastColumn="0" w:noHBand="0" w:noVBand="1"/>
      </w:tblPr>
      <w:tblGrid>
        <w:gridCol w:w="709"/>
        <w:gridCol w:w="2410"/>
        <w:gridCol w:w="4536"/>
        <w:gridCol w:w="850"/>
        <w:gridCol w:w="851"/>
        <w:gridCol w:w="850"/>
      </w:tblGrid>
      <w:tr w:rsidR="006E4296" w:rsidRPr="009B5AEB" w:rsidTr="004F5BDC">
        <w:tc>
          <w:tcPr>
            <w:tcW w:w="709" w:type="dxa"/>
            <w:tcBorders>
              <w:top w:val="single" w:sz="4" w:space="0" w:color="auto"/>
              <w:left w:val="nil"/>
              <w:bottom w:val="single" w:sz="4" w:space="0" w:color="auto"/>
              <w:right w:val="nil"/>
            </w:tcBorders>
          </w:tcPr>
          <w:p w:rsidR="006E4296" w:rsidRPr="009B5AEB" w:rsidRDefault="006E4296" w:rsidP="004F5BDC">
            <w:pPr>
              <w:rPr>
                <w:rFonts w:ascii="Times New Roman" w:eastAsia="Times New Roman" w:hAnsi="Times New Roman" w:cs="Times New Roman"/>
                <w:b/>
                <w:bCs/>
                <w:i/>
                <w:color w:val="000000"/>
              </w:rPr>
            </w:pPr>
          </w:p>
        </w:tc>
        <w:tc>
          <w:tcPr>
            <w:tcW w:w="2410" w:type="dxa"/>
            <w:tcBorders>
              <w:top w:val="single" w:sz="4" w:space="0" w:color="auto"/>
              <w:left w:val="nil"/>
              <w:bottom w:val="single" w:sz="4" w:space="0" w:color="auto"/>
              <w:right w:val="nil"/>
            </w:tcBorders>
          </w:tcPr>
          <w:p w:rsidR="006E4296" w:rsidRPr="009B5AEB" w:rsidRDefault="006E4296" w:rsidP="004F5BDC">
            <w:pPr>
              <w:rPr>
                <w:rFonts w:ascii="Times New Roman" w:eastAsia="Times New Roman" w:hAnsi="Times New Roman" w:cs="Times New Roman"/>
                <w:b/>
                <w:bCs/>
                <w:i/>
                <w:color w:val="000000"/>
              </w:rPr>
            </w:pPr>
            <w:r w:rsidRPr="009B5AEB">
              <w:rPr>
                <w:rFonts w:ascii="Times New Roman" w:eastAsia="Times New Roman" w:hAnsi="Times New Roman" w:cs="Times New Roman"/>
                <w:b/>
                <w:bCs/>
                <w:i/>
                <w:color w:val="000000"/>
              </w:rPr>
              <w:t>Variables</w:t>
            </w:r>
          </w:p>
        </w:tc>
        <w:tc>
          <w:tcPr>
            <w:tcW w:w="4536" w:type="dxa"/>
            <w:tcBorders>
              <w:top w:val="single" w:sz="4" w:space="0" w:color="auto"/>
              <w:left w:val="nil"/>
              <w:bottom w:val="single" w:sz="4" w:space="0" w:color="auto"/>
              <w:right w:val="nil"/>
            </w:tcBorders>
          </w:tcPr>
          <w:p w:rsidR="006E4296" w:rsidRPr="009B5AEB" w:rsidRDefault="006E4296" w:rsidP="004F5BDC">
            <w:pPr>
              <w:rPr>
                <w:rFonts w:ascii="Times New Roman" w:eastAsia="Times New Roman" w:hAnsi="Times New Roman" w:cs="Times New Roman"/>
                <w:b/>
                <w:bCs/>
                <w:i/>
                <w:color w:val="000000"/>
              </w:rPr>
            </w:pPr>
            <w:r w:rsidRPr="009B5AEB">
              <w:rPr>
                <w:rFonts w:ascii="Times New Roman" w:eastAsia="Times New Roman" w:hAnsi="Times New Roman" w:cs="Times New Roman"/>
                <w:b/>
                <w:bCs/>
                <w:i/>
                <w:color w:val="000000"/>
              </w:rPr>
              <w:t xml:space="preserve">Description </w:t>
            </w:r>
          </w:p>
        </w:tc>
        <w:tc>
          <w:tcPr>
            <w:tcW w:w="850" w:type="dxa"/>
            <w:tcBorders>
              <w:top w:val="single" w:sz="4" w:space="0" w:color="auto"/>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b/>
                <w:bCs/>
                <w:i/>
                <w:color w:val="000000"/>
              </w:rPr>
            </w:pPr>
            <w:r w:rsidRPr="009B5AEB">
              <w:rPr>
                <w:rFonts w:ascii="Times New Roman" w:eastAsia="Times New Roman" w:hAnsi="Times New Roman" w:cs="Times New Roman"/>
                <w:b/>
                <w:bCs/>
                <w:i/>
                <w:color w:val="000000"/>
              </w:rPr>
              <w:t>μ</w:t>
            </w:r>
          </w:p>
        </w:tc>
        <w:tc>
          <w:tcPr>
            <w:tcW w:w="851" w:type="dxa"/>
            <w:tcBorders>
              <w:top w:val="single" w:sz="4" w:space="0" w:color="auto"/>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b/>
                <w:bCs/>
                <w:i/>
                <w:color w:val="000000"/>
              </w:rPr>
            </w:pPr>
            <w:r w:rsidRPr="009B5AEB">
              <w:rPr>
                <w:rFonts w:ascii="Times New Roman" w:eastAsia="Times New Roman" w:hAnsi="Times New Roman" w:cs="Times New Roman"/>
                <w:b/>
                <w:bCs/>
                <w:i/>
                <w:color w:val="000000"/>
              </w:rPr>
              <w:t>σ</w:t>
            </w:r>
          </w:p>
        </w:tc>
        <w:tc>
          <w:tcPr>
            <w:tcW w:w="850" w:type="dxa"/>
            <w:tcBorders>
              <w:top w:val="single" w:sz="4" w:space="0" w:color="auto"/>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b/>
                <w:bCs/>
                <w:i/>
                <w:color w:val="000000"/>
              </w:rPr>
            </w:pPr>
            <w:r w:rsidRPr="009B5AEB">
              <w:rPr>
                <w:rFonts w:ascii="Times New Roman" w:eastAsia="Times New Roman" w:hAnsi="Times New Roman" w:cs="Times New Roman"/>
                <w:b/>
                <w:bCs/>
                <w:i/>
                <w:color w:val="000000"/>
              </w:rPr>
              <w:t>N</w:t>
            </w:r>
          </w:p>
        </w:tc>
      </w:tr>
      <w:tr w:rsidR="006E4296" w:rsidRPr="009B5AEB" w:rsidTr="004F5BDC">
        <w:tc>
          <w:tcPr>
            <w:tcW w:w="709" w:type="dxa"/>
            <w:vMerge w:val="restart"/>
            <w:tcBorders>
              <w:top w:val="single" w:sz="4" w:space="0" w:color="auto"/>
              <w:left w:val="nil"/>
              <w:bottom w:val="single" w:sz="4" w:space="0" w:color="auto"/>
              <w:right w:val="single" w:sz="4" w:space="0" w:color="auto"/>
            </w:tcBorders>
            <w:textDirection w:val="btLr"/>
          </w:tcPr>
          <w:p w:rsidR="006E4296" w:rsidRPr="009B5AEB" w:rsidRDefault="006E4296" w:rsidP="004F5BDC">
            <w:pPr>
              <w:ind w:left="113" w:right="113"/>
              <w:jc w:val="center"/>
              <w:rPr>
                <w:rFonts w:ascii="Times New Roman" w:eastAsia="Times New Roman" w:hAnsi="Times New Roman" w:cs="Times New Roman"/>
                <w:b/>
                <w:i/>
                <w:color w:val="000000"/>
              </w:rPr>
            </w:pPr>
            <w:r w:rsidRPr="009B5AEB">
              <w:rPr>
                <w:rFonts w:ascii="Times New Roman" w:eastAsia="Times New Roman" w:hAnsi="Times New Roman" w:cs="Times New Roman"/>
                <w:b/>
                <w:i/>
                <w:color w:val="000000"/>
              </w:rPr>
              <w:t>Dependent Variables</w:t>
            </w:r>
          </w:p>
        </w:tc>
        <w:tc>
          <w:tcPr>
            <w:tcW w:w="2410" w:type="dxa"/>
            <w:tcBorders>
              <w:top w:val="single" w:sz="4" w:space="0" w:color="auto"/>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Bank </w:t>
            </w:r>
            <w:r w:rsidRPr="009B5AEB">
              <w:rPr>
                <w:rFonts w:ascii="Times New Roman" w:eastAsia="Times New Roman" w:hAnsi="Times New Roman" w:cs="Times New Roman"/>
                <w:i/>
                <w:color w:val="000000"/>
              </w:rPr>
              <w:t>Loan</w:t>
            </w:r>
          </w:p>
        </w:tc>
        <w:tc>
          <w:tcPr>
            <w:tcW w:w="4536" w:type="dxa"/>
            <w:tcBorders>
              <w:top w:val="single" w:sz="4" w:space="0" w:color="auto"/>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in receipt of bank loan in the last fiscal year, =0 otherwise.</w:t>
            </w:r>
          </w:p>
        </w:tc>
        <w:tc>
          <w:tcPr>
            <w:tcW w:w="850" w:type="dxa"/>
            <w:tcBorders>
              <w:top w:val="single" w:sz="4" w:space="0" w:color="auto"/>
              <w:left w:val="nil"/>
              <w:bottom w:val="nil"/>
              <w:right w:val="nil"/>
            </w:tcBorders>
            <w:vAlign w:val="center"/>
          </w:tcPr>
          <w:p w:rsidR="006E4296" w:rsidRDefault="006E4296" w:rsidP="004F5BDC">
            <w:pPr>
              <w:jc w:val="center"/>
              <w:rPr>
                <w:rFonts w:ascii="Times New Roman" w:eastAsia="Times New Roman" w:hAnsi="Times New Roman" w:cs="Times New Roman"/>
                <w:color w:val="000000"/>
              </w:rPr>
            </w:pPr>
          </w:p>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0.28</w:t>
            </w:r>
          </w:p>
        </w:tc>
        <w:tc>
          <w:tcPr>
            <w:tcW w:w="851" w:type="dxa"/>
            <w:tcBorders>
              <w:top w:val="single" w:sz="4" w:space="0" w:color="auto"/>
              <w:left w:val="nil"/>
              <w:bottom w:val="nil"/>
              <w:right w:val="nil"/>
            </w:tcBorders>
            <w:vAlign w:val="center"/>
          </w:tcPr>
          <w:p w:rsidR="006E4296" w:rsidRDefault="006E4296" w:rsidP="004F5BDC">
            <w:pPr>
              <w:jc w:val="center"/>
              <w:rPr>
                <w:rFonts w:ascii="Times New Roman" w:eastAsia="Times New Roman" w:hAnsi="Times New Roman" w:cs="Times New Roman"/>
                <w:color w:val="000000"/>
              </w:rPr>
            </w:pPr>
          </w:p>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0.45</w:t>
            </w:r>
          </w:p>
        </w:tc>
        <w:tc>
          <w:tcPr>
            <w:tcW w:w="850" w:type="dxa"/>
            <w:tcBorders>
              <w:top w:val="single" w:sz="4" w:space="0" w:color="auto"/>
              <w:left w:val="nil"/>
              <w:bottom w:val="nil"/>
              <w:right w:val="nil"/>
            </w:tcBorders>
            <w:vAlign w:val="center"/>
          </w:tcPr>
          <w:p w:rsidR="006E4296" w:rsidRDefault="006E4296" w:rsidP="004F5BDC">
            <w:pPr>
              <w:jc w:val="center"/>
              <w:rPr>
                <w:rFonts w:ascii="Times New Roman" w:eastAsia="Times New Roman" w:hAnsi="Times New Roman" w:cs="Times New Roman"/>
                <w:color w:val="000000"/>
              </w:rPr>
            </w:pPr>
          </w:p>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11124</w:t>
            </w:r>
          </w:p>
        </w:tc>
      </w:tr>
      <w:tr w:rsidR="006E4296" w:rsidRPr="009B5AEB" w:rsidTr="004F5BDC">
        <w:tc>
          <w:tcPr>
            <w:tcW w:w="709" w:type="dxa"/>
            <w:vMerge/>
            <w:tcBorders>
              <w:top w:val="single" w:sz="4" w:space="0" w:color="auto"/>
              <w:left w:val="nil"/>
              <w:bottom w:val="single" w:sz="4" w:space="0" w:color="auto"/>
              <w:right w:val="single" w:sz="4" w:space="0" w:color="auto"/>
            </w:tcBorders>
          </w:tcPr>
          <w:p w:rsidR="006E4296" w:rsidRPr="009B5AEB" w:rsidRDefault="006E4296" w:rsidP="004F5BDC">
            <w:pPr>
              <w:rPr>
                <w:rFonts w:ascii="Times New Roman" w:eastAsia="Times New Roman" w:hAnsi="Times New Roman" w:cs="Times New Roman"/>
                <w:i/>
                <w:color w:val="000000"/>
              </w:rPr>
            </w:pPr>
          </w:p>
        </w:tc>
        <w:tc>
          <w:tcPr>
            <w:tcW w:w="2410" w:type="dxa"/>
            <w:tcBorders>
              <w:top w:val="nil"/>
              <w:left w:val="single" w:sz="4" w:space="0" w:color="auto"/>
              <w:bottom w:val="nil"/>
              <w:right w:val="nil"/>
            </w:tcBorders>
          </w:tcPr>
          <w:p w:rsidR="006E4296" w:rsidRPr="009B5AEB" w:rsidRDefault="006E4296" w:rsidP="004F5BDC">
            <w:pPr>
              <w:rPr>
                <w:rFonts w:ascii="Times New Roman" w:eastAsia="Times New Roman" w:hAnsi="Times New Roman" w:cs="Times New Roman"/>
                <w:i/>
                <w:color w:val="000000"/>
              </w:rPr>
            </w:pP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p>
        </w:tc>
      </w:tr>
      <w:tr w:rsidR="006E4296" w:rsidRPr="009B5AEB" w:rsidTr="004F5BDC">
        <w:tc>
          <w:tcPr>
            <w:tcW w:w="709" w:type="dxa"/>
            <w:vMerge/>
            <w:tcBorders>
              <w:top w:val="single" w:sz="4" w:space="0" w:color="auto"/>
              <w:left w:val="nil"/>
              <w:bottom w:val="single" w:sz="4" w:space="0" w:color="auto"/>
              <w:right w:val="single" w:sz="4" w:space="0" w:color="auto"/>
            </w:tcBorders>
          </w:tcPr>
          <w:p w:rsidR="006E4296" w:rsidRPr="009B5AEB" w:rsidRDefault="006E4296" w:rsidP="004F5BDC">
            <w:pPr>
              <w:rPr>
                <w:rFonts w:ascii="Times New Roman" w:eastAsia="Times New Roman" w:hAnsi="Times New Roman" w:cs="Times New Roman"/>
                <w:i/>
                <w:color w:val="000000"/>
              </w:rPr>
            </w:pPr>
          </w:p>
        </w:tc>
        <w:tc>
          <w:tcPr>
            <w:tcW w:w="2410" w:type="dxa"/>
            <w:tcBorders>
              <w:top w:val="nil"/>
              <w:left w:val="single" w:sz="4" w:space="0" w:color="auto"/>
              <w:bottom w:val="single" w:sz="4" w:space="0" w:color="auto"/>
              <w:right w:val="nil"/>
            </w:tcBorders>
          </w:tcPr>
          <w:p w:rsidR="006E4296" w:rsidRPr="009B5AEB" w:rsidRDefault="006E4296" w:rsidP="004F5BDC">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Loan </w:t>
            </w:r>
            <w:r w:rsidRPr="009B5AEB">
              <w:rPr>
                <w:rFonts w:ascii="Times New Roman" w:eastAsia="Times New Roman" w:hAnsi="Times New Roman" w:cs="Times New Roman"/>
                <w:i/>
                <w:color w:val="000000"/>
              </w:rPr>
              <w:t xml:space="preserve">Interest </w:t>
            </w:r>
          </w:p>
        </w:tc>
        <w:tc>
          <w:tcPr>
            <w:tcW w:w="4536" w:type="dxa"/>
            <w:tcBorders>
              <w:top w:val="nil"/>
              <w:left w:val="nil"/>
              <w:bottom w:val="single" w:sz="4" w:space="0" w:color="auto"/>
              <w:right w:val="nil"/>
            </w:tcBorders>
          </w:tcPr>
          <w:p w:rsidR="006E4296" w:rsidRPr="009B5AEB" w:rsidRDefault="006E4296" w:rsidP="004F5BDC">
            <w:r w:rsidRPr="009B5AEB">
              <w:rPr>
                <w:rFonts w:ascii="Times New Roman" w:eastAsia="Times New Roman" w:hAnsi="Times New Roman" w:cs="Times New Roman"/>
                <w:color w:val="000000"/>
              </w:rPr>
              <w:t>Annual interest charged on the most recent bank loan, %.</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12.04</w:t>
            </w:r>
          </w:p>
        </w:tc>
        <w:tc>
          <w:tcPr>
            <w:tcW w:w="851"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7.12</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2799</w:t>
            </w:r>
          </w:p>
        </w:tc>
      </w:tr>
      <w:tr w:rsidR="006E4296" w:rsidRPr="009B5AEB" w:rsidTr="004F5BDC">
        <w:tc>
          <w:tcPr>
            <w:tcW w:w="709" w:type="dxa"/>
            <w:vMerge w:val="restart"/>
            <w:tcBorders>
              <w:top w:val="single" w:sz="4" w:space="0" w:color="auto"/>
              <w:left w:val="nil"/>
              <w:right w:val="single" w:sz="4" w:space="0" w:color="auto"/>
            </w:tcBorders>
            <w:textDirection w:val="btLr"/>
          </w:tcPr>
          <w:p w:rsidR="006E4296" w:rsidRPr="009B5AEB" w:rsidRDefault="006E4296" w:rsidP="004F5BDC">
            <w:pPr>
              <w:ind w:left="113" w:right="113"/>
              <w:jc w:val="center"/>
            </w:pPr>
            <w:r w:rsidRPr="009B5AEB">
              <w:rPr>
                <w:rFonts w:ascii="Times New Roman" w:eastAsia="Times New Roman" w:hAnsi="Times New Roman" w:cs="Times New Roman"/>
                <w:b/>
                <w:i/>
                <w:color w:val="000000"/>
              </w:rPr>
              <w:t>Controls for Firm Characteristics</w:t>
            </w:r>
          </w:p>
        </w:tc>
        <w:tc>
          <w:tcPr>
            <w:tcW w:w="2410" w:type="dxa"/>
            <w:tcBorders>
              <w:top w:val="single" w:sz="4" w:space="0" w:color="auto"/>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Enterprise </w:t>
            </w:r>
            <w:r>
              <w:rPr>
                <w:rFonts w:ascii="Times New Roman" w:eastAsia="Times New Roman" w:hAnsi="Times New Roman" w:cs="Times New Roman"/>
                <w:i/>
                <w:iCs/>
                <w:color w:val="000000"/>
              </w:rPr>
              <w:t>A</w:t>
            </w:r>
            <w:r w:rsidRPr="009B5AEB">
              <w:rPr>
                <w:rFonts w:ascii="Times New Roman" w:eastAsia="Times New Roman" w:hAnsi="Times New Roman" w:cs="Times New Roman"/>
                <w:i/>
                <w:iCs/>
                <w:color w:val="000000"/>
              </w:rPr>
              <w:t>ge</w:t>
            </w:r>
          </w:p>
        </w:tc>
        <w:tc>
          <w:tcPr>
            <w:tcW w:w="4536" w:type="dxa"/>
            <w:tcBorders>
              <w:top w:val="single" w:sz="4" w:space="0" w:color="auto"/>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Enterprise age in years.</w:t>
            </w:r>
          </w:p>
        </w:tc>
        <w:tc>
          <w:tcPr>
            <w:tcW w:w="850"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13.63</w:t>
            </w:r>
          </w:p>
        </w:tc>
        <w:tc>
          <w:tcPr>
            <w:tcW w:w="851"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9.39</w:t>
            </w:r>
          </w:p>
        </w:tc>
        <w:tc>
          <w:tcPr>
            <w:tcW w:w="850"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11631</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Enterprise </w:t>
            </w:r>
            <w:r>
              <w:rPr>
                <w:rFonts w:ascii="Times New Roman" w:eastAsia="Times New Roman" w:hAnsi="Times New Roman" w:cs="Times New Roman"/>
                <w:i/>
                <w:iCs/>
                <w:color w:val="000000"/>
              </w:rPr>
              <w:t>A</w:t>
            </w:r>
            <w:r w:rsidRPr="009B5AEB">
              <w:rPr>
                <w:rFonts w:ascii="Times New Roman" w:eastAsia="Times New Roman" w:hAnsi="Times New Roman" w:cs="Times New Roman"/>
                <w:i/>
                <w:iCs/>
                <w:color w:val="000000"/>
              </w:rPr>
              <w:t xml:space="preserve">ge </w:t>
            </w:r>
            <w:r>
              <w:rPr>
                <w:rFonts w:ascii="Times New Roman" w:eastAsia="Times New Roman" w:hAnsi="Times New Roman" w:cs="Times New Roman"/>
                <w:i/>
                <w:iCs/>
                <w:color w:val="000000"/>
              </w:rPr>
              <w:t>S</w:t>
            </w:r>
            <w:r w:rsidRPr="009B5AEB">
              <w:rPr>
                <w:rFonts w:ascii="Times New Roman" w:eastAsia="Times New Roman" w:hAnsi="Times New Roman" w:cs="Times New Roman"/>
                <w:i/>
                <w:iCs/>
                <w:color w:val="000000"/>
              </w:rPr>
              <w:t>quared</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proofErr w:type="gramStart"/>
            <w:r w:rsidRPr="009B5AEB">
              <w:rPr>
                <w:rFonts w:ascii="Times New Roman" w:eastAsia="Times New Roman" w:hAnsi="Times New Roman" w:cs="Times New Roman"/>
                <w:i/>
                <w:color w:val="000000"/>
              </w:rPr>
              <w:t>enterprise</w:t>
            </w:r>
            <w:proofErr w:type="gramEnd"/>
            <w:r w:rsidRPr="009B5AEB">
              <w:rPr>
                <w:rFonts w:ascii="Times New Roman" w:eastAsia="Times New Roman" w:hAnsi="Times New Roman" w:cs="Times New Roman"/>
                <w:i/>
                <w:color w:val="000000"/>
              </w:rPr>
              <w:t xml:space="preserve"> age</w:t>
            </w:r>
            <w:r w:rsidRPr="009B5AEB">
              <w:rPr>
                <w:rFonts w:ascii="Times New Roman" w:eastAsia="Times New Roman" w:hAnsi="Times New Roman" w:cs="Times New Roman"/>
                <w:color w:val="000000"/>
              </w:rPr>
              <w:t xml:space="preserve"> </w:t>
            </w:r>
            <w:r w:rsidRPr="009B5AEB">
              <w:rPr>
                <w:rFonts w:ascii="Times New Roman" w:eastAsia="Times New Roman" w:hAnsi="Times New Roman" w:cs="Times New Roman"/>
                <w:i/>
                <w:color w:val="000000"/>
              </w:rPr>
              <w:t>squared</w:t>
            </w:r>
            <w:r w:rsidRPr="009B5AEB">
              <w:rPr>
                <w:rFonts w:ascii="Times New Roman" w:eastAsia="Times New Roman" w:hAnsi="Times New Roman" w:cs="Times New Roman"/>
                <w:color w:val="000000"/>
              </w:rPr>
              <w:t xml:space="preserve"> divided by 100.</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2.74</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6.78</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11631</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Manager Experience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Top manager’s experience in the sector in years.</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15.99</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9.61</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11425</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Manager </w:t>
            </w:r>
            <w:r>
              <w:rPr>
                <w:rFonts w:ascii="Times New Roman" w:eastAsia="Times New Roman" w:hAnsi="Times New Roman" w:cs="Times New Roman"/>
                <w:i/>
                <w:iCs/>
                <w:color w:val="000000"/>
              </w:rPr>
              <w:t>E</w:t>
            </w:r>
            <w:r w:rsidRPr="009B5AEB">
              <w:rPr>
                <w:rFonts w:ascii="Times New Roman" w:eastAsia="Times New Roman" w:hAnsi="Times New Roman" w:cs="Times New Roman"/>
                <w:i/>
                <w:iCs/>
                <w:color w:val="000000"/>
              </w:rPr>
              <w:t xml:space="preserve">xperience </w:t>
            </w:r>
            <w:r>
              <w:rPr>
                <w:rFonts w:ascii="Times New Roman" w:eastAsia="Times New Roman" w:hAnsi="Times New Roman" w:cs="Times New Roman"/>
                <w:i/>
                <w:iCs/>
                <w:color w:val="000000"/>
              </w:rPr>
              <w:t>S</w:t>
            </w:r>
            <w:r w:rsidRPr="009B5AEB">
              <w:rPr>
                <w:rFonts w:ascii="Times New Roman" w:eastAsia="Times New Roman" w:hAnsi="Times New Roman" w:cs="Times New Roman"/>
                <w:i/>
                <w:iCs/>
                <w:color w:val="000000"/>
              </w:rPr>
              <w:t>quared</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proofErr w:type="gramStart"/>
            <w:r w:rsidRPr="009B5AEB">
              <w:rPr>
                <w:rFonts w:ascii="Times New Roman" w:eastAsia="Times New Roman" w:hAnsi="Times New Roman" w:cs="Times New Roman"/>
                <w:i/>
                <w:color w:val="000000"/>
              </w:rPr>
              <w:t>experience</w:t>
            </w:r>
            <w:proofErr w:type="gramEnd"/>
            <w:r w:rsidRPr="009B5AEB">
              <w:rPr>
                <w:rFonts w:ascii="Times New Roman" w:eastAsia="Times New Roman" w:hAnsi="Times New Roman" w:cs="Times New Roman"/>
                <w:color w:val="000000"/>
              </w:rPr>
              <w:t xml:space="preserve"> </w:t>
            </w:r>
            <w:r w:rsidRPr="009B5AEB">
              <w:rPr>
                <w:rFonts w:ascii="Times New Roman" w:eastAsia="Times New Roman" w:hAnsi="Times New Roman" w:cs="Times New Roman"/>
                <w:i/>
                <w:color w:val="000000"/>
              </w:rPr>
              <w:t>squared</w:t>
            </w:r>
            <w:r w:rsidRPr="009B5AEB">
              <w:rPr>
                <w:rFonts w:ascii="Times New Roman" w:eastAsia="Times New Roman" w:hAnsi="Times New Roman" w:cs="Times New Roman"/>
                <w:color w:val="000000"/>
              </w:rPr>
              <w:t xml:space="preserve"> divided by 100.</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3.48</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4.16</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11425</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Trade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redit</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Percentage of inputs purchased on credit.</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37.88</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37.09</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10889</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Leasing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leasing fixed assets, =0 otherwise.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0.18</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0.38</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11645</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Log(</w:t>
            </w:r>
            <w:r>
              <w:rPr>
                <w:rFonts w:ascii="Times New Roman" w:eastAsia="Times New Roman" w:hAnsi="Times New Roman" w:cs="Times New Roman"/>
                <w:i/>
                <w:iCs/>
                <w:color w:val="000000"/>
              </w:rPr>
              <w:t>L</w:t>
            </w:r>
            <w:r w:rsidRPr="009B5AEB">
              <w:rPr>
                <w:rFonts w:ascii="Times New Roman" w:eastAsia="Times New Roman" w:hAnsi="Times New Roman" w:cs="Times New Roman"/>
                <w:i/>
                <w:iCs/>
                <w:color w:val="000000"/>
              </w:rPr>
              <w:t xml:space="preserve">abour)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Natural log of full time employee numbers.</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2.71</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0.92</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11714</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Log(</w:t>
            </w:r>
            <w:r>
              <w:rPr>
                <w:rFonts w:ascii="Times New Roman" w:eastAsia="Times New Roman" w:hAnsi="Times New Roman" w:cs="Times New Roman"/>
                <w:i/>
                <w:iCs/>
                <w:color w:val="000000"/>
              </w:rPr>
              <w:t>S</w:t>
            </w:r>
            <w:r w:rsidRPr="009B5AEB">
              <w:rPr>
                <w:rFonts w:ascii="Times New Roman" w:eastAsia="Times New Roman" w:hAnsi="Times New Roman" w:cs="Times New Roman"/>
                <w:i/>
                <w:iCs/>
                <w:color w:val="000000"/>
              </w:rPr>
              <w:t xml:space="preserve">ales)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Natural log of annual sales in the last fiscal year.</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15.76</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2.65</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9317</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Expected </w:t>
            </w:r>
            <w:r>
              <w:rPr>
                <w:rFonts w:ascii="Times New Roman" w:eastAsia="Times New Roman" w:hAnsi="Times New Roman" w:cs="Times New Roman"/>
                <w:i/>
                <w:iCs/>
                <w:color w:val="000000"/>
              </w:rPr>
              <w:t>S</w:t>
            </w:r>
            <w:r w:rsidRPr="009B5AEB">
              <w:rPr>
                <w:rFonts w:ascii="Times New Roman" w:eastAsia="Times New Roman" w:hAnsi="Times New Roman" w:cs="Times New Roman"/>
                <w:i/>
                <w:iCs/>
                <w:color w:val="000000"/>
              </w:rPr>
              <w:t xml:space="preserve">ales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sales are expected to increase next year, =0 otherwise.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0.52</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0.50</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10600</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Exporter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SME exports, =0 otherwise.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0.17</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0.38</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11714</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Certificate</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SME hold internationally recognised quality certificate, =0 otherwise.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0.18</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0.39</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11564</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Accounts </w:t>
            </w:r>
            <w:r>
              <w:rPr>
                <w:rFonts w:ascii="Times New Roman" w:eastAsia="Times New Roman" w:hAnsi="Times New Roman" w:cs="Times New Roman"/>
                <w:i/>
                <w:iCs/>
                <w:color w:val="000000"/>
              </w:rPr>
              <w:t>A</w:t>
            </w:r>
            <w:r w:rsidRPr="009B5AEB">
              <w:rPr>
                <w:rFonts w:ascii="Times New Roman" w:eastAsia="Times New Roman" w:hAnsi="Times New Roman" w:cs="Times New Roman"/>
                <w:i/>
                <w:iCs/>
                <w:color w:val="000000"/>
              </w:rPr>
              <w:t>udited</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most recent annual statement is certified by external auditors, =0 otherwise.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0.27</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0.44</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11423</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Product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 xml:space="preserve">oncentration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Percentage of sales from main product/service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84.11</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22.27</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11352</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Own </w:t>
            </w:r>
            <w:r>
              <w:rPr>
                <w:rFonts w:ascii="Times New Roman" w:eastAsia="Times New Roman" w:hAnsi="Times New Roman" w:cs="Times New Roman"/>
                <w:i/>
                <w:iCs/>
                <w:color w:val="000000"/>
              </w:rPr>
              <w:t>W</w:t>
            </w:r>
            <w:r w:rsidRPr="009B5AEB">
              <w:rPr>
                <w:rFonts w:ascii="Times New Roman" w:eastAsia="Times New Roman" w:hAnsi="Times New Roman" w:cs="Times New Roman"/>
                <w:i/>
                <w:iCs/>
                <w:color w:val="000000"/>
              </w:rPr>
              <w:t xml:space="preserve">ebsite </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SME has its own website, =0 otherwise.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0.58</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0.49</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11680</w:t>
            </w:r>
          </w:p>
        </w:tc>
      </w:tr>
      <w:tr w:rsidR="006E4296" w:rsidRPr="009B5AEB" w:rsidTr="004F5BDC">
        <w:tc>
          <w:tcPr>
            <w:tcW w:w="709" w:type="dxa"/>
            <w:vMerge/>
            <w:tcBorders>
              <w:left w:val="nil"/>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City</w:t>
            </w: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main business city and/or population exceeds 1 million, =0 otherwise.</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0.29</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0.45</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11714</w:t>
            </w:r>
          </w:p>
        </w:tc>
      </w:tr>
      <w:tr w:rsidR="006E4296" w:rsidRPr="009B5AEB" w:rsidTr="004F5BDC">
        <w:tc>
          <w:tcPr>
            <w:tcW w:w="709" w:type="dxa"/>
            <w:vMerge/>
            <w:tcBorders>
              <w:left w:val="nil"/>
              <w:bottom w:val="single" w:sz="4" w:space="0" w:color="auto"/>
              <w:right w:val="single" w:sz="4" w:space="0" w:color="auto"/>
            </w:tcBorders>
          </w:tcPr>
          <w:p w:rsidR="006E4296" w:rsidRPr="009B5AEB" w:rsidRDefault="006E4296" w:rsidP="004F5BDC"/>
        </w:tc>
        <w:tc>
          <w:tcPr>
            <w:tcW w:w="2410" w:type="dxa"/>
            <w:tcBorders>
              <w:top w:val="nil"/>
              <w:left w:val="single" w:sz="4" w:space="0" w:color="auto"/>
              <w:bottom w:val="single" w:sz="4" w:space="0" w:color="auto"/>
              <w:right w:val="nil"/>
            </w:tcBorders>
          </w:tcPr>
          <w:p w:rsidR="006E4296" w:rsidRPr="009B5AEB" w:rsidRDefault="006E4296" w:rsidP="004F5BDC">
            <w:pPr>
              <w:rPr>
                <w:rFonts w:ascii="Times New Roman" w:eastAsia="Times New Roman" w:hAnsi="Times New Roman" w:cs="Times New Roman"/>
                <w:i/>
                <w:color w:val="000000"/>
              </w:rPr>
            </w:pPr>
            <w:r w:rsidRPr="009B5AEB">
              <w:rPr>
                <w:rFonts w:ascii="Times New Roman" w:eastAsia="Times New Roman" w:hAnsi="Times New Roman" w:cs="Times New Roman"/>
                <w:i/>
                <w:color w:val="000000"/>
              </w:rPr>
              <w:t xml:space="preserve">Collateral </w:t>
            </w:r>
          </w:p>
        </w:tc>
        <w:tc>
          <w:tcPr>
            <w:tcW w:w="4536" w:type="dxa"/>
            <w:tcBorders>
              <w:top w:val="nil"/>
              <w:left w:val="nil"/>
              <w:bottom w:val="single" w:sz="4" w:space="0" w:color="auto"/>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collateral was required for the most recent bank loan, =0 otherwise.</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0.81</w:t>
            </w:r>
          </w:p>
        </w:tc>
        <w:tc>
          <w:tcPr>
            <w:tcW w:w="851"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0.39</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3535</w:t>
            </w:r>
          </w:p>
        </w:tc>
      </w:tr>
      <w:tr w:rsidR="006E4296" w:rsidRPr="009B5AEB" w:rsidTr="004F5BDC">
        <w:tc>
          <w:tcPr>
            <w:tcW w:w="709" w:type="dxa"/>
            <w:vMerge w:val="restart"/>
            <w:tcBorders>
              <w:top w:val="single" w:sz="4" w:space="0" w:color="auto"/>
              <w:left w:val="nil"/>
              <w:bottom w:val="single" w:sz="4" w:space="0" w:color="auto"/>
              <w:right w:val="single" w:sz="4" w:space="0" w:color="auto"/>
            </w:tcBorders>
            <w:textDirection w:val="btLr"/>
          </w:tcPr>
          <w:p w:rsidR="006E4296" w:rsidRPr="009B5AEB" w:rsidRDefault="006E4296" w:rsidP="004F5BDC">
            <w:pPr>
              <w:ind w:left="113" w:right="113"/>
              <w:jc w:val="center"/>
            </w:pPr>
            <w:r w:rsidRPr="009B5AEB">
              <w:rPr>
                <w:rFonts w:ascii="Times New Roman" w:eastAsia="Times New Roman" w:hAnsi="Times New Roman" w:cs="Times New Roman"/>
                <w:b/>
                <w:i/>
                <w:color w:val="000000"/>
              </w:rPr>
              <w:t>Proxies for Connectedness</w:t>
            </w:r>
          </w:p>
        </w:tc>
        <w:tc>
          <w:tcPr>
            <w:tcW w:w="2410" w:type="dxa"/>
            <w:tcBorders>
              <w:top w:val="single" w:sz="4" w:space="0" w:color="auto"/>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Bribes </w:t>
            </w:r>
          </w:p>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and </w:t>
            </w:r>
            <w:r>
              <w:rPr>
                <w:rFonts w:ascii="Times New Roman" w:eastAsia="Times New Roman" w:hAnsi="Times New Roman" w:cs="Times New Roman"/>
                <w:i/>
                <w:iCs/>
                <w:color w:val="000000"/>
              </w:rPr>
              <w:t>G</w:t>
            </w:r>
            <w:r w:rsidRPr="009B5AEB">
              <w:rPr>
                <w:rFonts w:ascii="Times New Roman" w:eastAsia="Times New Roman" w:hAnsi="Times New Roman" w:cs="Times New Roman"/>
                <w:i/>
                <w:iCs/>
                <w:color w:val="000000"/>
              </w:rPr>
              <w:t>ifts</w:t>
            </w:r>
          </w:p>
        </w:tc>
        <w:tc>
          <w:tcPr>
            <w:tcW w:w="4536" w:type="dxa"/>
            <w:tcBorders>
              <w:top w:val="single" w:sz="4" w:space="0" w:color="auto"/>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regularity of bribes and gifts was rated at least as "sometimes", =0 otherwise.</w:t>
            </w:r>
          </w:p>
        </w:tc>
        <w:tc>
          <w:tcPr>
            <w:tcW w:w="850"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0.31</w:t>
            </w:r>
          </w:p>
        </w:tc>
        <w:tc>
          <w:tcPr>
            <w:tcW w:w="851"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0.46</w:t>
            </w:r>
          </w:p>
        </w:tc>
        <w:tc>
          <w:tcPr>
            <w:tcW w:w="850"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10765</w:t>
            </w:r>
          </w:p>
        </w:tc>
      </w:tr>
      <w:tr w:rsidR="006E4296" w:rsidRPr="009B5AEB" w:rsidTr="004F5BDC">
        <w:tc>
          <w:tcPr>
            <w:tcW w:w="709" w:type="dxa"/>
            <w:vMerge/>
            <w:tcBorders>
              <w:top w:val="nil"/>
              <w:left w:val="nil"/>
              <w:bottom w:val="single" w:sz="4" w:space="0" w:color="auto"/>
              <w:right w:val="single" w:sz="4" w:space="0" w:color="auto"/>
            </w:tcBorders>
          </w:tcPr>
          <w:p w:rsidR="006E4296" w:rsidRPr="009B5AEB" w:rsidRDefault="006E4296" w:rsidP="004F5BDC"/>
        </w:tc>
        <w:tc>
          <w:tcPr>
            <w:tcW w:w="2410" w:type="dxa"/>
            <w:tcBorders>
              <w:top w:val="nil"/>
              <w:left w:val="single" w:sz="4" w:space="0" w:color="auto"/>
              <w:bottom w:val="single" w:sz="4" w:space="0" w:color="auto"/>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Government</w:t>
            </w:r>
            <w:r>
              <w:rPr>
                <w:rFonts w:ascii="Times New Roman" w:eastAsia="Times New Roman" w:hAnsi="Times New Roman" w:cs="Times New Roman"/>
                <w:i/>
                <w:iCs/>
                <w:color w:val="000000"/>
              </w:rPr>
              <w:t xml:space="preserve"> C</w:t>
            </w:r>
            <w:r w:rsidRPr="009B5AEB">
              <w:rPr>
                <w:rFonts w:ascii="Times New Roman" w:eastAsia="Times New Roman" w:hAnsi="Times New Roman" w:cs="Times New Roman"/>
                <w:i/>
                <w:iCs/>
                <w:color w:val="000000"/>
              </w:rPr>
              <w:t>ontract</w:t>
            </w:r>
          </w:p>
        </w:tc>
        <w:tc>
          <w:tcPr>
            <w:tcW w:w="4536" w:type="dxa"/>
            <w:tcBorders>
              <w:top w:val="nil"/>
              <w:left w:val="nil"/>
              <w:bottom w:val="single" w:sz="4" w:space="0" w:color="auto"/>
              <w:right w:val="nil"/>
            </w:tcBorders>
            <w:vAlign w:val="bottom"/>
          </w:tcPr>
          <w:p w:rsidR="006E4296" w:rsidRPr="009B5AEB" w:rsidRDefault="006E4296" w:rsidP="004F5BDC">
            <w:pPr>
              <w:rPr>
                <w:rFonts w:ascii="Times New Roman" w:eastAsia="Times New Roman" w:hAnsi="Times New Roman" w:cs="Times New Roman"/>
                <w:color w:val="000000"/>
              </w:rPr>
            </w:pPr>
          </w:p>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=1 if government contract was obtained, =0 otherwise.</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0.20</w:t>
            </w:r>
          </w:p>
        </w:tc>
        <w:tc>
          <w:tcPr>
            <w:tcW w:w="851"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0.40</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11565</w:t>
            </w:r>
          </w:p>
        </w:tc>
      </w:tr>
      <w:tr w:rsidR="006E4296" w:rsidRPr="009B5AEB" w:rsidTr="004F5BDC">
        <w:tc>
          <w:tcPr>
            <w:tcW w:w="709" w:type="dxa"/>
            <w:vMerge w:val="restart"/>
            <w:tcBorders>
              <w:top w:val="single" w:sz="4" w:space="0" w:color="auto"/>
              <w:left w:val="nil"/>
              <w:bottom w:val="single" w:sz="4" w:space="0" w:color="auto"/>
              <w:right w:val="single" w:sz="4" w:space="0" w:color="auto"/>
            </w:tcBorders>
            <w:textDirection w:val="btLr"/>
          </w:tcPr>
          <w:p w:rsidR="006E4296" w:rsidRPr="009B5AEB" w:rsidRDefault="006E4296" w:rsidP="004F5BDC">
            <w:pPr>
              <w:ind w:left="113" w:right="113"/>
              <w:jc w:val="center"/>
            </w:pPr>
            <w:r w:rsidRPr="009B5AEB">
              <w:rPr>
                <w:rFonts w:ascii="Times New Roman" w:eastAsia="Times New Roman" w:hAnsi="Times New Roman" w:cs="Times New Roman"/>
                <w:b/>
                <w:i/>
                <w:color w:val="000000"/>
              </w:rPr>
              <w:t>Macro Variables</w:t>
            </w:r>
          </w:p>
        </w:tc>
        <w:tc>
          <w:tcPr>
            <w:tcW w:w="2410" w:type="dxa"/>
            <w:tcBorders>
              <w:top w:val="single" w:sz="4" w:space="0" w:color="auto"/>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Domestic Credit</w:t>
            </w:r>
          </w:p>
        </w:tc>
        <w:tc>
          <w:tcPr>
            <w:tcW w:w="4536" w:type="dxa"/>
            <w:tcBorders>
              <w:top w:val="single" w:sz="4" w:space="0" w:color="auto"/>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Domestic credit to private sector, % of GDP.</w:t>
            </w:r>
          </w:p>
          <w:p w:rsidR="006E4296" w:rsidRPr="009B5AEB" w:rsidRDefault="006E4296" w:rsidP="004F5BDC">
            <w:pPr>
              <w:rPr>
                <w:rFonts w:ascii="Times New Roman" w:eastAsia="Times New Roman" w:hAnsi="Times New Roman" w:cs="Times New Roman"/>
                <w:color w:val="000000"/>
              </w:rPr>
            </w:pPr>
          </w:p>
        </w:tc>
        <w:tc>
          <w:tcPr>
            <w:tcW w:w="850"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49.57</w:t>
            </w:r>
          </w:p>
        </w:tc>
        <w:tc>
          <w:tcPr>
            <w:tcW w:w="851"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15.75</w:t>
            </w:r>
          </w:p>
        </w:tc>
        <w:tc>
          <w:tcPr>
            <w:tcW w:w="850" w:type="dxa"/>
            <w:tcBorders>
              <w:top w:val="single" w:sz="4" w:space="0" w:color="auto"/>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11714</w:t>
            </w:r>
          </w:p>
        </w:tc>
      </w:tr>
      <w:tr w:rsidR="006E4296" w:rsidRPr="009B5AEB" w:rsidTr="004F5BDC">
        <w:tc>
          <w:tcPr>
            <w:tcW w:w="709" w:type="dxa"/>
            <w:vMerge/>
            <w:tcBorders>
              <w:top w:val="nil"/>
              <w:left w:val="nil"/>
              <w:bottom w:val="single" w:sz="4" w:space="0" w:color="auto"/>
              <w:right w:val="single" w:sz="4" w:space="0" w:color="auto"/>
            </w:tcBorders>
          </w:tcPr>
          <w:p w:rsidR="006E4296" w:rsidRPr="009B5AEB" w:rsidRDefault="006E4296" w:rsidP="004F5BDC"/>
        </w:tc>
        <w:tc>
          <w:tcPr>
            <w:tcW w:w="2410" w:type="dxa"/>
            <w:tcBorders>
              <w:top w:val="nil"/>
              <w:left w:val="single" w:sz="4" w:space="0" w:color="auto"/>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p>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Inflation </w:t>
            </w:r>
          </w:p>
          <w:p w:rsidR="006E4296" w:rsidRPr="009B5AEB" w:rsidRDefault="006E4296" w:rsidP="004F5BDC">
            <w:pPr>
              <w:rPr>
                <w:rFonts w:ascii="Times New Roman" w:eastAsia="Times New Roman" w:hAnsi="Times New Roman" w:cs="Times New Roman"/>
                <w:i/>
                <w:iCs/>
                <w:color w:val="000000"/>
              </w:rPr>
            </w:pPr>
          </w:p>
        </w:tc>
        <w:tc>
          <w:tcPr>
            <w:tcW w:w="4536" w:type="dxa"/>
            <w:tcBorders>
              <w:top w:val="nil"/>
              <w:left w:val="nil"/>
              <w:bottom w:val="nil"/>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Annual CPI inflation, %.</w:t>
            </w:r>
          </w:p>
          <w:p w:rsidR="006E4296" w:rsidRPr="009B5AEB" w:rsidRDefault="006E4296" w:rsidP="004F5BDC">
            <w:pPr>
              <w:rPr>
                <w:rFonts w:ascii="Times New Roman" w:eastAsia="Times New Roman" w:hAnsi="Times New Roman" w:cs="Times New Roman"/>
                <w:color w:val="000000"/>
              </w:rPr>
            </w:pP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4.34</w:t>
            </w:r>
          </w:p>
        </w:tc>
        <w:tc>
          <w:tcPr>
            <w:tcW w:w="851"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3.57</w:t>
            </w:r>
          </w:p>
        </w:tc>
        <w:tc>
          <w:tcPr>
            <w:tcW w:w="850" w:type="dxa"/>
            <w:tcBorders>
              <w:top w:val="nil"/>
              <w:left w:val="nil"/>
              <w:bottom w:val="nil"/>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11714</w:t>
            </w:r>
          </w:p>
        </w:tc>
      </w:tr>
      <w:tr w:rsidR="006E4296" w:rsidRPr="009B5AEB" w:rsidTr="004F5BDC">
        <w:tc>
          <w:tcPr>
            <w:tcW w:w="709" w:type="dxa"/>
            <w:vMerge/>
            <w:tcBorders>
              <w:top w:val="nil"/>
              <w:left w:val="nil"/>
              <w:bottom w:val="single" w:sz="4" w:space="0" w:color="auto"/>
              <w:right w:val="single" w:sz="4" w:space="0" w:color="auto"/>
            </w:tcBorders>
          </w:tcPr>
          <w:p w:rsidR="006E4296" w:rsidRPr="009B5AEB" w:rsidRDefault="006E4296" w:rsidP="004F5BDC"/>
        </w:tc>
        <w:tc>
          <w:tcPr>
            <w:tcW w:w="2410" w:type="dxa"/>
            <w:tcBorders>
              <w:top w:val="nil"/>
              <w:left w:val="single" w:sz="4" w:space="0" w:color="auto"/>
              <w:bottom w:val="single" w:sz="4" w:space="0" w:color="auto"/>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Tax </w:t>
            </w:r>
            <w:r>
              <w:rPr>
                <w:rFonts w:ascii="Times New Roman" w:eastAsia="Times New Roman" w:hAnsi="Times New Roman" w:cs="Times New Roman"/>
                <w:i/>
                <w:iCs/>
                <w:color w:val="000000"/>
              </w:rPr>
              <w:t>R</w:t>
            </w:r>
            <w:r w:rsidRPr="009B5AEB">
              <w:rPr>
                <w:rFonts w:ascii="Times New Roman" w:eastAsia="Times New Roman" w:hAnsi="Times New Roman" w:cs="Times New Roman"/>
                <w:i/>
                <w:iCs/>
                <w:color w:val="000000"/>
              </w:rPr>
              <w:t>ate</w:t>
            </w:r>
          </w:p>
        </w:tc>
        <w:tc>
          <w:tcPr>
            <w:tcW w:w="4536" w:type="dxa"/>
            <w:tcBorders>
              <w:top w:val="nil"/>
              <w:left w:val="nil"/>
              <w:bottom w:val="single" w:sz="4" w:space="0" w:color="auto"/>
              <w:right w:val="nil"/>
            </w:tcBorders>
            <w:vAlign w:val="bottom"/>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Corporate tax rate, %.</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17.0</w:t>
            </w:r>
          </w:p>
        </w:tc>
        <w:tc>
          <w:tcPr>
            <w:tcW w:w="851"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4.10</w:t>
            </w:r>
          </w:p>
        </w:tc>
        <w:tc>
          <w:tcPr>
            <w:tcW w:w="850" w:type="dxa"/>
            <w:tcBorders>
              <w:top w:val="nil"/>
              <w:left w:val="nil"/>
              <w:bottom w:val="single" w:sz="4" w:space="0" w:color="auto"/>
              <w:right w:val="nil"/>
            </w:tcBorders>
            <w:vAlign w:val="center"/>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11714</w:t>
            </w:r>
          </w:p>
        </w:tc>
      </w:tr>
    </w:tbl>
    <w:tbl>
      <w:tblPr>
        <w:tblW w:w="10806" w:type="dxa"/>
        <w:tblInd w:w="-459" w:type="dxa"/>
        <w:tblLook w:val="04A0" w:firstRow="1" w:lastRow="0" w:firstColumn="1" w:lastColumn="0" w:noHBand="0" w:noVBand="1"/>
      </w:tblPr>
      <w:tblGrid>
        <w:gridCol w:w="10806"/>
      </w:tblGrid>
      <w:tr w:rsidR="006E4296" w:rsidRPr="009B5AEB" w:rsidTr="004F5BDC">
        <w:trPr>
          <w:trHeight w:val="300"/>
        </w:trPr>
        <w:tc>
          <w:tcPr>
            <w:tcW w:w="10806" w:type="dxa"/>
            <w:tcBorders>
              <w:top w:val="nil"/>
              <w:left w:val="nil"/>
              <w:bottom w:val="nil"/>
              <w:right w:val="nil"/>
            </w:tcBorders>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color w:val="000000"/>
              </w:rPr>
            </w:pPr>
            <w:r w:rsidRPr="009B5AEB">
              <w:rPr>
                <w:rFonts w:ascii="Times New Roman" w:eastAsia="Times New Roman" w:hAnsi="Times New Roman" w:cs="Times New Roman"/>
                <w:color w:val="000000"/>
              </w:rPr>
              <w:t>Note: μ refers to mean and σ to standard deviation; N is the number of observation </w:t>
            </w:r>
          </w:p>
        </w:tc>
      </w:tr>
    </w:tbl>
    <w:p w:rsidR="006E4296" w:rsidRPr="009B5AEB" w:rsidRDefault="006E4296" w:rsidP="006E4296"/>
    <w:p w:rsidR="006E4296" w:rsidRPr="009B5AEB" w:rsidRDefault="006E4296" w:rsidP="006E4296"/>
    <w:p w:rsidR="006E4296" w:rsidRPr="009B5AEB" w:rsidRDefault="006E4296" w:rsidP="006E4296"/>
    <w:p w:rsidR="006E4296" w:rsidRPr="009B5AEB" w:rsidRDefault="006E4296" w:rsidP="006E4296"/>
    <w:p w:rsidR="006E4296" w:rsidRPr="009B5AEB" w:rsidRDefault="006E4296" w:rsidP="006E4296"/>
    <w:p w:rsidR="006E4296" w:rsidRPr="009B5AEB" w:rsidRDefault="006E4296" w:rsidP="006E4296"/>
    <w:p w:rsidR="006E4296" w:rsidRPr="009B5AEB" w:rsidRDefault="006E4296" w:rsidP="006E4296">
      <w:pPr>
        <w:spacing w:after="0" w:line="240" w:lineRule="auto"/>
        <w:rPr>
          <w:rFonts w:ascii="Times New Roman" w:hAnsi="Times New Roman" w:cs="Times New Roman"/>
          <w:b/>
        </w:rPr>
      </w:pPr>
    </w:p>
    <w:p w:rsidR="006E4296" w:rsidRPr="009B5AEB" w:rsidRDefault="006E4296" w:rsidP="006E4296">
      <w:pPr>
        <w:spacing w:after="0" w:line="240" w:lineRule="auto"/>
        <w:rPr>
          <w:rFonts w:ascii="Times New Roman" w:hAnsi="Times New Roman" w:cs="Times New Roman"/>
          <w:b/>
        </w:rPr>
      </w:pPr>
    </w:p>
    <w:tbl>
      <w:tblPr>
        <w:tblStyle w:val="TableGrid"/>
        <w:tblW w:w="10065" w:type="dxa"/>
        <w:tblInd w:w="-318" w:type="dxa"/>
        <w:tblLayout w:type="fixed"/>
        <w:tblLook w:val="04A0" w:firstRow="1" w:lastRow="0" w:firstColumn="1" w:lastColumn="0" w:noHBand="0" w:noVBand="1"/>
      </w:tblPr>
      <w:tblGrid>
        <w:gridCol w:w="3403"/>
        <w:gridCol w:w="1276"/>
        <w:gridCol w:w="1559"/>
        <w:gridCol w:w="1418"/>
        <w:gridCol w:w="1275"/>
        <w:gridCol w:w="992"/>
        <w:gridCol w:w="142"/>
      </w:tblGrid>
      <w:tr w:rsidR="006E4296" w:rsidRPr="009B5AEB" w:rsidTr="004F5BDC">
        <w:trPr>
          <w:gridAfter w:val="1"/>
          <w:wAfter w:w="142" w:type="dxa"/>
        </w:trPr>
        <w:tc>
          <w:tcPr>
            <w:tcW w:w="9923" w:type="dxa"/>
            <w:gridSpan w:val="6"/>
            <w:tcBorders>
              <w:top w:val="nil"/>
              <w:left w:val="nil"/>
              <w:bottom w:val="single" w:sz="4" w:space="0" w:color="auto"/>
              <w:right w:val="nil"/>
            </w:tcBorders>
          </w:tcPr>
          <w:p w:rsidR="006E4296" w:rsidRPr="009B5AEB" w:rsidRDefault="006E4296" w:rsidP="004F5BDC">
            <w:pPr>
              <w:rPr>
                <w:rFonts w:ascii="Times New Roman" w:hAnsi="Times New Roman" w:cs="Times New Roman"/>
                <w:b/>
              </w:rPr>
            </w:pPr>
            <w:r w:rsidRPr="009B5AEB">
              <w:rPr>
                <w:rFonts w:ascii="Times New Roman" w:hAnsi="Times New Roman" w:cs="Times New Roman"/>
                <w:b/>
              </w:rPr>
              <w:t>Table 4: Selection of sample variables under different sub-samples</w:t>
            </w:r>
          </w:p>
        </w:tc>
      </w:tr>
      <w:tr w:rsidR="006E4296" w:rsidRPr="009B5AEB" w:rsidTr="004F5BDC">
        <w:tc>
          <w:tcPr>
            <w:tcW w:w="3403" w:type="dxa"/>
            <w:tcBorders>
              <w:top w:val="nil"/>
              <w:left w:val="nil"/>
              <w:bottom w:val="nil"/>
              <w:right w:val="nil"/>
            </w:tcBorders>
          </w:tcPr>
          <w:p w:rsidR="006E4296" w:rsidRPr="009B5AEB" w:rsidRDefault="006E4296" w:rsidP="004F5BDC">
            <w:pPr>
              <w:ind w:firstLine="720"/>
              <w:rPr>
                <w:rFonts w:ascii="Times New Roman" w:hAnsi="Times New Roman" w:cs="Times New Roman"/>
              </w:rPr>
            </w:pPr>
          </w:p>
        </w:tc>
        <w:tc>
          <w:tcPr>
            <w:tcW w:w="1276" w:type="dxa"/>
            <w:tcBorders>
              <w:top w:val="nil"/>
              <w:left w:val="nil"/>
              <w:bottom w:val="nil"/>
              <w:right w:val="nil"/>
            </w:tcBorders>
          </w:tcPr>
          <w:p w:rsidR="006E4296" w:rsidRPr="009B5AEB" w:rsidRDefault="006E4296" w:rsidP="004F5BDC">
            <w:pPr>
              <w:jc w:val="center"/>
              <w:rPr>
                <w:rFonts w:ascii="Times New Roman" w:hAnsi="Times New Roman" w:cs="Times New Roman"/>
                <w:b/>
                <w:i/>
              </w:rPr>
            </w:pPr>
            <w:r w:rsidRPr="009B5AEB">
              <w:rPr>
                <w:rFonts w:ascii="Times New Roman" w:hAnsi="Times New Roman" w:cs="Times New Roman"/>
                <w:b/>
                <w:i/>
              </w:rPr>
              <w:t>EU-EE</w:t>
            </w:r>
          </w:p>
        </w:tc>
        <w:tc>
          <w:tcPr>
            <w:tcW w:w="1559" w:type="dxa"/>
            <w:tcBorders>
              <w:top w:val="nil"/>
              <w:left w:val="nil"/>
              <w:bottom w:val="nil"/>
              <w:right w:val="nil"/>
            </w:tcBorders>
          </w:tcPr>
          <w:p w:rsidR="006E4296" w:rsidRPr="009B5AEB" w:rsidRDefault="006E4296" w:rsidP="004F5BDC">
            <w:pPr>
              <w:jc w:val="center"/>
              <w:rPr>
                <w:rFonts w:ascii="Times New Roman" w:hAnsi="Times New Roman" w:cs="Times New Roman"/>
                <w:b/>
                <w:i/>
              </w:rPr>
            </w:pPr>
            <w:r w:rsidRPr="009B5AEB">
              <w:rPr>
                <w:rFonts w:ascii="Times New Roman" w:hAnsi="Times New Roman" w:cs="Times New Roman"/>
                <w:b/>
                <w:i/>
              </w:rPr>
              <w:t xml:space="preserve">Non-EU-EE </w:t>
            </w:r>
          </w:p>
        </w:tc>
        <w:tc>
          <w:tcPr>
            <w:tcW w:w="1418" w:type="dxa"/>
            <w:tcBorders>
              <w:top w:val="nil"/>
              <w:left w:val="nil"/>
              <w:bottom w:val="nil"/>
              <w:right w:val="nil"/>
            </w:tcBorders>
          </w:tcPr>
          <w:p w:rsidR="006E4296" w:rsidRPr="009B5AEB" w:rsidRDefault="006E4296" w:rsidP="004F5BDC">
            <w:pPr>
              <w:jc w:val="center"/>
              <w:rPr>
                <w:rFonts w:ascii="Times New Roman" w:hAnsi="Times New Roman" w:cs="Times New Roman"/>
                <w:b/>
                <w:i/>
              </w:rPr>
            </w:pPr>
            <w:r w:rsidRPr="009B5AEB">
              <w:rPr>
                <w:rFonts w:ascii="Times New Roman" w:hAnsi="Times New Roman" w:cs="Times New Roman"/>
                <w:b/>
                <w:i/>
              </w:rPr>
              <w:t>Caucasus</w:t>
            </w:r>
          </w:p>
        </w:tc>
        <w:tc>
          <w:tcPr>
            <w:tcW w:w="1275" w:type="dxa"/>
            <w:tcBorders>
              <w:top w:val="nil"/>
              <w:left w:val="nil"/>
              <w:bottom w:val="nil"/>
              <w:right w:val="nil"/>
            </w:tcBorders>
          </w:tcPr>
          <w:p w:rsidR="006E4296" w:rsidRPr="009B5AEB" w:rsidRDefault="006E4296" w:rsidP="004F5BDC">
            <w:pPr>
              <w:jc w:val="center"/>
              <w:rPr>
                <w:rFonts w:ascii="Times New Roman" w:hAnsi="Times New Roman" w:cs="Times New Roman"/>
                <w:b/>
                <w:i/>
              </w:rPr>
            </w:pPr>
            <w:r w:rsidRPr="009B5AEB">
              <w:rPr>
                <w:rFonts w:ascii="Times New Roman" w:hAnsi="Times New Roman" w:cs="Times New Roman"/>
                <w:b/>
                <w:i/>
              </w:rPr>
              <w:t>BRUM</w:t>
            </w:r>
          </w:p>
        </w:tc>
        <w:tc>
          <w:tcPr>
            <w:tcW w:w="1134" w:type="dxa"/>
            <w:gridSpan w:val="2"/>
            <w:tcBorders>
              <w:top w:val="nil"/>
              <w:left w:val="nil"/>
              <w:bottom w:val="nil"/>
              <w:right w:val="nil"/>
            </w:tcBorders>
          </w:tcPr>
          <w:p w:rsidR="006E4296" w:rsidRPr="009B5AEB" w:rsidRDefault="006E4296" w:rsidP="004F5BDC">
            <w:pPr>
              <w:jc w:val="center"/>
              <w:rPr>
                <w:rFonts w:ascii="Times New Roman" w:hAnsi="Times New Roman" w:cs="Times New Roman"/>
                <w:b/>
                <w:i/>
              </w:rPr>
            </w:pPr>
            <w:r w:rsidRPr="009B5AEB">
              <w:rPr>
                <w:rFonts w:ascii="Times New Roman" w:hAnsi="Times New Roman" w:cs="Times New Roman"/>
                <w:b/>
                <w:i/>
              </w:rPr>
              <w:t>CA</w:t>
            </w:r>
          </w:p>
        </w:tc>
      </w:tr>
      <w:tr w:rsidR="006E4296" w:rsidRPr="009B5AEB" w:rsidTr="004F5BDC">
        <w:tc>
          <w:tcPr>
            <w:tcW w:w="10065" w:type="dxa"/>
            <w:gridSpan w:val="7"/>
            <w:tcBorders>
              <w:top w:val="nil"/>
              <w:left w:val="nil"/>
              <w:bottom w:val="nil"/>
              <w:right w:val="nil"/>
            </w:tcBorders>
          </w:tcPr>
          <w:p w:rsidR="006E4296" w:rsidRPr="009B5AEB" w:rsidRDefault="006E4296" w:rsidP="004F5BDC">
            <w:pPr>
              <w:rPr>
                <w:rFonts w:ascii="Times New Roman" w:hAnsi="Times New Roman" w:cs="Times New Roman"/>
                <w:b/>
                <w:i/>
              </w:rPr>
            </w:pPr>
            <w:r w:rsidRPr="009B5AEB">
              <w:rPr>
                <w:rFonts w:ascii="Times New Roman" w:hAnsi="Times New Roman" w:cs="Times New Roman"/>
                <w:b/>
                <w:i/>
              </w:rPr>
              <w:t>Panel A. Bank loans and political connectedness across regions.</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SMEs with Bank Loans</w:t>
            </w:r>
          </w:p>
        </w:tc>
        <w:tc>
          <w:tcPr>
            <w:tcW w:w="1276"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35.5%</w:t>
            </w:r>
          </w:p>
        </w:tc>
        <w:tc>
          <w:tcPr>
            <w:tcW w:w="1559"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44.0%</w:t>
            </w:r>
          </w:p>
        </w:tc>
        <w:tc>
          <w:tcPr>
            <w:tcW w:w="1418"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30.3%</w:t>
            </w:r>
          </w:p>
        </w:tc>
        <w:tc>
          <w:tcPr>
            <w:tcW w:w="1275"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21.5%</w:t>
            </w:r>
          </w:p>
        </w:tc>
        <w:tc>
          <w:tcPr>
            <w:tcW w:w="1134" w:type="dxa"/>
            <w:gridSpan w:val="2"/>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17.3%</w:t>
            </w:r>
          </w:p>
        </w:tc>
      </w:tr>
      <w:tr w:rsidR="006E4296" w:rsidRPr="009B5AEB" w:rsidTr="004F5BDC">
        <w:tc>
          <w:tcPr>
            <w:tcW w:w="3403" w:type="dxa"/>
            <w:tcBorders>
              <w:top w:val="nil"/>
              <w:left w:val="nil"/>
              <w:bottom w:val="nil"/>
              <w:right w:val="nil"/>
            </w:tcBorders>
          </w:tcPr>
          <w:p w:rsidR="006E4296" w:rsidRPr="00AB6E21" w:rsidRDefault="006E4296" w:rsidP="004F5BDC">
            <w:pPr>
              <w:rPr>
                <w:rFonts w:ascii="Times New Roman" w:hAnsi="Times New Roman" w:cs="Times New Roman"/>
                <w:sz w:val="24"/>
                <w:szCs w:val="24"/>
              </w:rPr>
            </w:pPr>
            <w:r w:rsidRPr="0043282D">
              <w:rPr>
                <w:rFonts w:ascii="Times New Roman" w:hAnsi="Times New Roman" w:cs="Times New Roman"/>
                <w:i/>
              </w:rPr>
              <w:t>FX Loans to Bank Loans</w:t>
            </w:r>
          </w:p>
        </w:tc>
        <w:tc>
          <w:tcPr>
            <w:tcW w:w="1276" w:type="dxa"/>
            <w:tcBorders>
              <w:top w:val="nil"/>
              <w:left w:val="nil"/>
              <w:bottom w:val="nil"/>
              <w:right w:val="nil"/>
            </w:tcBorders>
          </w:tcPr>
          <w:p w:rsidR="006E4296" w:rsidRPr="00416870" w:rsidRDefault="006E4296" w:rsidP="004F5BDC">
            <w:pPr>
              <w:jc w:val="center"/>
              <w:rPr>
                <w:rFonts w:ascii="Times New Roman" w:hAnsi="Times New Roman" w:cs="Times New Roman"/>
                <w:sz w:val="24"/>
                <w:szCs w:val="24"/>
              </w:rPr>
            </w:pPr>
            <w:r w:rsidRPr="00DB69DF">
              <w:rPr>
                <w:rFonts w:ascii="Times New Roman" w:hAnsi="Times New Roman" w:cs="Times New Roman"/>
                <w:sz w:val="24"/>
                <w:szCs w:val="24"/>
              </w:rPr>
              <w:t xml:space="preserve"> 50.3%</w:t>
            </w:r>
          </w:p>
        </w:tc>
        <w:tc>
          <w:tcPr>
            <w:tcW w:w="1559" w:type="dxa"/>
            <w:tcBorders>
              <w:top w:val="nil"/>
              <w:left w:val="nil"/>
              <w:bottom w:val="nil"/>
              <w:right w:val="nil"/>
            </w:tcBorders>
          </w:tcPr>
          <w:p w:rsidR="006E4296" w:rsidRPr="00416870" w:rsidRDefault="006E4296" w:rsidP="004F5BDC">
            <w:pPr>
              <w:jc w:val="center"/>
              <w:rPr>
                <w:rFonts w:ascii="Times New Roman" w:hAnsi="Times New Roman" w:cs="Times New Roman"/>
                <w:sz w:val="24"/>
                <w:szCs w:val="24"/>
              </w:rPr>
            </w:pPr>
            <w:r w:rsidRPr="00DB69DF">
              <w:rPr>
                <w:rFonts w:ascii="Times New Roman" w:hAnsi="Times New Roman" w:cs="Times New Roman"/>
                <w:sz w:val="24"/>
                <w:szCs w:val="24"/>
              </w:rPr>
              <w:t>54.6%</w:t>
            </w:r>
          </w:p>
        </w:tc>
        <w:tc>
          <w:tcPr>
            <w:tcW w:w="1418" w:type="dxa"/>
            <w:tcBorders>
              <w:top w:val="nil"/>
              <w:left w:val="nil"/>
              <w:bottom w:val="nil"/>
              <w:right w:val="nil"/>
            </w:tcBorders>
          </w:tcPr>
          <w:p w:rsidR="006E4296" w:rsidRPr="00416870" w:rsidRDefault="006E4296" w:rsidP="004F5BDC">
            <w:pPr>
              <w:jc w:val="center"/>
              <w:rPr>
                <w:rFonts w:ascii="Times New Roman" w:hAnsi="Times New Roman" w:cs="Times New Roman"/>
                <w:sz w:val="24"/>
                <w:szCs w:val="24"/>
              </w:rPr>
            </w:pPr>
            <w:r w:rsidRPr="00DB69DF">
              <w:rPr>
                <w:rFonts w:ascii="Times New Roman" w:hAnsi="Times New Roman" w:cs="Times New Roman"/>
                <w:sz w:val="24"/>
                <w:szCs w:val="24"/>
              </w:rPr>
              <w:t>41.7%</w:t>
            </w:r>
          </w:p>
        </w:tc>
        <w:tc>
          <w:tcPr>
            <w:tcW w:w="1275" w:type="dxa"/>
            <w:tcBorders>
              <w:top w:val="nil"/>
              <w:left w:val="nil"/>
              <w:bottom w:val="nil"/>
              <w:right w:val="nil"/>
            </w:tcBorders>
          </w:tcPr>
          <w:p w:rsidR="006E4296" w:rsidRPr="00416870" w:rsidRDefault="006E4296" w:rsidP="004F5BDC">
            <w:pPr>
              <w:jc w:val="center"/>
              <w:rPr>
                <w:rFonts w:ascii="Times New Roman" w:hAnsi="Times New Roman" w:cs="Times New Roman"/>
                <w:sz w:val="24"/>
                <w:szCs w:val="24"/>
              </w:rPr>
            </w:pPr>
            <w:r w:rsidRPr="00DB69DF">
              <w:rPr>
                <w:rFonts w:ascii="Times New Roman" w:hAnsi="Times New Roman" w:cs="Times New Roman"/>
                <w:sz w:val="24"/>
                <w:szCs w:val="24"/>
              </w:rPr>
              <w:t>6.5%</w:t>
            </w:r>
          </w:p>
        </w:tc>
        <w:tc>
          <w:tcPr>
            <w:tcW w:w="1134" w:type="dxa"/>
            <w:gridSpan w:val="2"/>
            <w:tcBorders>
              <w:top w:val="nil"/>
              <w:left w:val="nil"/>
              <w:bottom w:val="nil"/>
              <w:right w:val="nil"/>
            </w:tcBorders>
          </w:tcPr>
          <w:p w:rsidR="006E4296" w:rsidRPr="00416870" w:rsidRDefault="006E4296" w:rsidP="004F5BDC">
            <w:pPr>
              <w:jc w:val="center"/>
              <w:rPr>
                <w:rFonts w:ascii="Times New Roman" w:hAnsi="Times New Roman" w:cs="Times New Roman"/>
                <w:sz w:val="24"/>
                <w:szCs w:val="24"/>
              </w:rPr>
            </w:pPr>
            <w:r w:rsidRPr="00DB69DF">
              <w:rPr>
                <w:rFonts w:ascii="Times New Roman" w:hAnsi="Times New Roman" w:cs="Times New Roman"/>
                <w:sz w:val="24"/>
                <w:szCs w:val="24"/>
              </w:rPr>
              <w:t>28.0%</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Bribes and Gifts</w:t>
            </w:r>
          </w:p>
        </w:tc>
        <w:tc>
          <w:tcPr>
            <w:tcW w:w="1276"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19.6%</w:t>
            </w:r>
          </w:p>
        </w:tc>
        <w:tc>
          <w:tcPr>
            <w:tcW w:w="1559"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27.5%</w:t>
            </w:r>
          </w:p>
        </w:tc>
        <w:tc>
          <w:tcPr>
            <w:tcW w:w="1418"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18.8%</w:t>
            </w:r>
          </w:p>
        </w:tc>
        <w:tc>
          <w:tcPr>
            <w:tcW w:w="1275"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40.10%</w:t>
            </w:r>
          </w:p>
        </w:tc>
        <w:tc>
          <w:tcPr>
            <w:tcW w:w="1134" w:type="dxa"/>
            <w:gridSpan w:val="2"/>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32.6%</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Government Contracts</w:t>
            </w:r>
          </w:p>
        </w:tc>
        <w:tc>
          <w:tcPr>
            <w:tcW w:w="1276"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19.4%</w:t>
            </w:r>
          </w:p>
        </w:tc>
        <w:tc>
          <w:tcPr>
            <w:tcW w:w="1559"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13.6%</w:t>
            </w:r>
          </w:p>
        </w:tc>
        <w:tc>
          <w:tcPr>
            <w:tcW w:w="1418"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15.5%</w:t>
            </w:r>
          </w:p>
        </w:tc>
        <w:tc>
          <w:tcPr>
            <w:tcW w:w="1275" w:type="dxa"/>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23.9%</w:t>
            </w:r>
          </w:p>
        </w:tc>
        <w:tc>
          <w:tcPr>
            <w:tcW w:w="1134" w:type="dxa"/>
            <w:gridSpan w:val="2"/>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hAnsi="Times New Roman" w:cs="Times New Roman"/>
              </w:rPr>
              <w:t>23.7%</w:t>
            </w:r>
          </w:p>
        </w:tc>
      </w:tr>
      <w:tr w:rsidR="006E4296" w:rsidRPr="009B5AEB" w:rsidTr="004F5BDC">
        <w:tc>
          <w:tcPr>
            <w:tcW w:w="10065" w:type="dxa"/>
            <w:gridSpan w:val="7"/>
            <w:tcBorders>
              <w:top w:val="nil"/>
              <w:left w:val="nil"/>
              <w:bottom w:val="nil"/>
              <w:right w:val="nil"/>
            </w:tcBorders>
          </w:tcPr>
          <w:p w:rsidR="006E4296" w:rsidRPr="009B5AEB" w:rsidRDefault="006E4296" w:rsidP="004F5BDC">
            <w:pPr>
              <w:rPr>
                <w:rFonts w:ascii="Times New Roman" w:hAnsi="Times New Roman" w:cs="Times New Roman"/>
                <w:b/>
              </w:rPr>
            </w:pPr>
          </w:p>
          <w:p w:rsidR="006E4296" w:rsidRPr="009B5AEB" w:rsidRDefault="006E4296" w:rsidP="004F5BDC">
            <w:pPr>
              <w:rPr>
                <w:rFonts w:ascii="Times New Roman" w:hAnsi="Times New Roman" w:cs="Times New Roman"/>
              </w:rPr>
            </w:pPr>
            <w:r w:rsidRPr="009B5AEB">
              <w:rPr>
                <w:rFonts w:ascii="Times New Roman" w:hAnsi="Times New Roman" w:cs="Times New Roman"/>
                <w:b/>
                <w:i/>
              </w:rPr>
              <w:t xml:space="preserve">Panel B. </w:t>
            </w:r>
            <w:r>
              <w:rPr>
                <w:rFonts w:ascii="Times New Roman" w:eastAsia="Times New Roman" w:hAnsi="Times New Roman" w:cs="Times New Roman"/>
                <w:b/>
                <w:bCs/>
                <w:i/>
              </w:rPr>
              <w:t>P</w:t>
            </w:r>
            <w:r w:rsidRPr="009B5AEB">
              <w:rPr>
                <w:rFonts w:ascii="Times New Roman" w:eastAsia="Times New Roman" w:hAnsi="Times New Roman" w:cs="Times New Roman"/>
                <w:b/>
                <w:bCs/>
                <w:i/>
              </w:rPr>
              <w:t xml:space="preserve">olitical connectedness </w:t>
            </w:r>
            <w:r>
              <w:rPr>
                <w:rFonts w:ascii="Times New Roman" w:eastAsia="Times New Roman" w:hAnsi="Times New Roman" w:cs="Times New Roman"/>
                <w:b/>
                <w:bCs/>
                <w:i/>
              </w:rPr>
              <w:t xml:space="preserve">and </w:t>
            </w:r>
            <w:r w:rsidRPr="009B5AEB">
              <w:rPr>
                <w:rFonts w:ascii="Times New Roman" w:eastAsia="Times New Roman" w:hAnsi="Times New Roman" w:cs="Times New Roman"/>
                <w:b/>
                <w:bCs/>
                <w:i/>
              </w:rPr>
              <w:t>SMEs with bank loans</w:t>
            </w:r>
            <w:r w:rsidRPr="009B5AEB">
              <w:rPr>
                <w:rFonts w:ascii="Times New Roman" w:eastAsia="Times New Roman" w:hAnsi="Times New Roman" w:cs="Times New Roman"/>
                <w:b/>
                <w:bCs/>
              </w:rPr>
              <w:t>.</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Bribes and Gifts=Yes (A)</w:t>
            </w:r>
          </w:p>
        </w:tc>
        <w:tc>
          <w:tcPr>
            <w:tcW w:w="1276"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42.30%</w:t>
            </w:r>
          </w:p>
        </w:tc>
        <w:tc>
          <w:tcPr>
            <w:tcW w:w="1559"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49.60%</w:t>
            </w:r>
          </w:p>
        </w:tc>
        <w:tc>
          <w:tcPr>
            <w:tcW w:w="1418"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38.40%</w:t>
            </w:r>
          </w:p>
        </w:tc>
        <w:tc>
          <w:tcPr>
            <w:tcW w:w="1275"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23.20%</w:t>
            </w:r>
          </w:p>
        </w:tc>
        <w:tc>
          <w:tcPr>
            <w:tcW w:w="1134" w:type="dxa"/>
            <w:gridSpan w:val="2"/>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16.49%</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Bribes and Gifts=No (B)</w:t>
            </w:r>
          </w:p>
        </w:tc>
        <w:tc>
          <w:tcPr>
            <w:tcW w:w="1276"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34.20%</w:t>
            </w:r>
          </w:p>
        </w:tc>
        <w:tc>
          <w:tcPr>
            <w:tcW w:w="1559"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41.90%</w:t>
            </w:r>
          </w:p>
        </w:tc>
        <w:tc>
          <w:tcPr>
            <w:tcW w:w="1418"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29.80%</w:t>
            </w:r>
          </w:p>
        </w:tc>
        <w:tc>
          <w:tcPr>
            <w:tcW w:w="1275"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21.00%</w:t>
            </w:r>
          </w:p>
        </w:tc>
        <w:tc>
          <w:tcPr>
            <w:tcW w:w="1134" w:type="dxa"/>
            <w:gridSpan w:val="2"/>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17.01%</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Difference between (A) and (B)</w:t>
            </w:r>
          </w:p>
        </w:tc>
        <w:tc>
          <w:tcPr>
            <w:tcW w:w="1276"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8.10%***</w:t>
            </w:r>
          </w:p>
        </w:tc>
        <w:tc>
          <w:tcPr>
            <w:tcW w:w="1559"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7.70%***</w:t>
            </w:r>
          </w:p>
        </w:tc>
        <w:tc>
          <w:tcPr>
            <w:tcW w:w="1418"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8.60%***</w:t>
            </w:r>
          </w:p>
        </w:tc>
        <w:tc>
          <w:tcPr>
            <w:tcW w:w="1275"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2.20%**</w:t>
            </w:r>
          </w:p>
        </w:tc>
        <w:tc>
          <w:tcPr>
            <w:tcW w:w="1134" w:type="dxa"/>
            <w:gridSpan w:val="2"/>
            <w:tcBorders>
              <w:top w:val="nil"/>
              <w:left w:val="nil"/>
              <w:bottom w:val="nil"/>
              <w:right w:val="nil"/>
            </w:tcBorders>
          </w:tcPr>
          <w:p w:rsidR="006E4296" w:rsidRPr="009B5AEB" w:rsidRDefault="006E4296" w:rsidP="004F5BDC">
            <w:pPr>
              <w:jc w:val="center"/>
              <w:rPr>
                <w:rFonts w:ascii="Times New Roman" w:hAnsi="Times New Roman" w:cs="Times New Roman"/>
              </w:rPr>
            </w:pPr>
            <w:r w:rsidRPr="009B5AEB">
              <w:rPr>
                <w:rFonts w:ascii="Times New Roman" w:eastAsia="Times New Roman" w:hAnsi="Times New Roman" w:cs="Times New Roman"/>
                <w:i/>
                <w:iCs/>
              </w:rPr>
              <w:t>-0.52%</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 xml:space="preserve">Government </w:t>
            </w:r>
            <w:r>
              <w:rPr>
                <w:rFonts w:ascii="Times New Roman" w:hAnsi="Times New Roman" w:cs="Times New Roman"/>
                <w:i/>
              </w:rPr>
              <w:t>C</w:t>
            </w:r>
            <w:r w:rsidRPr="009B5AEB">
              <w:rPr>
                <w:rFonts w:ascii="Times New Roman" w:hAnsi="Times New Roman" w:cs="Times New Roman"/>
                <w:i/>
              </w:rPr>
              <w:t>ontract=Yes (C)</w:t>
            </w:r>
          </w:p>
        </w:tc>
        <w:tc>
          <w:tcPr>
            <w:tcW w:w="1276"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43.00%</w:t>
            </w:r>
          </w:p>
        </w:tc>
        <w:tc>
          <w:tcPr>
            <w:tcW w:w="1559"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57.10%</w:t>
            </w:r>
          </w:p>
        </w:tc>
        <w:tc>
          <w:tcPr>
            <w:tcW w:w="1418"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44.60%</w:t>
            </w:r>
          </w:p>
        </w:tc>
        <w:tc>
          <w:tcPr>
            <w:tcW w:w="1275"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25.80%</w:t>
            </w:r>
          </w:p>
        </w:tc>
        <w:tc>
          <w:tcPr>
            <w:tcW w:w="1134" w:type="dxa"/>
            <w:gridSpan w:val="2"/>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21.40%</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 xml:space="preserve">Government </w:t>
            </w:r>
            <w:r>
              <w:rPr>
                <w:rFonts w:ascii="Times New Roman" w:hAnsi="Times New Roman" w:cs="Times New Roman"/>
                <w:i/>
              </w:rPr>
              <w:t>C</w:t>
            </w:r>
            <w:r w:rsidRPr="009B5AEB">
              <w:rPr>
                <w:rFonts w:ascii="Times New Roman" w:hAnsi="Times New Roman" w:cs="Times New Roman"/>
                <w:i/>
              </w:rPr>
              <w:t>ontract=No (D)</w:t>
            </w:r>
          </w:p>
        </w:tc>
        <w:tc>
          <w:tcPr>
            <w:tcW w:w="1276"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34.10%</w:t>
            </w:r>
          </w:p>
        </w:tc>
        <w:tc>
          <w:tcPr>
            <w:tcW w:w="1559"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42.20%</w:t>
            </w:r>
          </w:p>
        </w:tc>
        <w:tc>
          <w:tcPr>
            <w:tcW w:w="1418"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28.40%</w:t>
            </w:r>
          </w:p>
        </w:tc>
        <w:tc>
          <w:tcPr>
            <w:tcW w:w="1275"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20.10%</w:t>
            </w:r>
          </w:p>
        </w:tc>
        <w:tc>
          <w:tcPr>
            <w:tcW w:w="1134" w:type="dxa"/>
            <w:gridSpan w:val="2"/>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rPr>
            </w:pPr>
            <w:r w:rsidRPr="009B5AEB">
              <w:rPr>
                <w:rFonts w:ascii="Times New Roman" w:eastAsia="Times New Roman" w:hAnsi="Times New Roman" w:cs="Times New Roman"/>
              </w:rPr>
              <w:t>16.10%</w:t>
            </w:r>
          </w:p>
        </w:tc>
      </w:tr>
      <w:tr w:rsidR="006E4296" w:rsidRPr="009B5AEB" w:rsidTr="004F5BDC">
        <w:tc>
          <w:tcPr>
            <w:tcW w:w="3403" w:type="dxa"/>
            <w:tcBorders>
              <w:top w:val="nil"/>
              <w:left w:val="nil"/>
              <w:bottom w:val="nil"/>
              <w:right w:val="nil"/>
            </w:tcBorders>
          </w:tcPr>
          <w:p w:rsidR="006E4296" w:rsidRPr="009B5AEB" w:rsidRDefault="006E4296" w:rsidP="004F5BDC">
            <w:pPr>
              <w:rPr>
                <w:rFonts w:ascii="Times New Roman" w:hAnsi="Times New Roman" w:cs="Times New Roman"/>
                <w:i/>
              </w:rPr>
            </w:pPr>
            <w:r w:rsidRPr="009B5AEB">
              <w:rPr>
                <w:rFonts w:ascii="Times New Roman" w:hAnsi="Times New Roman" w:cs="Times New Roman"/>
                <w:i/>
              </w:rPr>
              <w:t>Difference between (C) and (D)</w:t>
            </w:r>
          </w:p>
        </w:tc>
        <w:tc>
          <w:tcPr>
            <w:tcW w:w="1276"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8.90%***</w:t>
            </w:r>
          </w:p>
        </w:tc>
        <w:tc>
          <w:tcPr>
            <w:tcW w:w="1559"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14.90%***</w:t>
            </w:r>
          </w:p>
        </w:tc>
        <w:tc>
          <w:tcPr>
            <w:tcW w:w="1418"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16.20%***</w:t>
            </w:r>
          </w:p>
        </w:tc>
        <w:tc>
          <w:tcPr>
            <w:tcW w:w="1275" w:type="dxa"/>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5.70%***</w:t>
            </w:r>
          </w:p>
        </w:tc>
        <w:tc>
          <w:tcPr>
            <w:tcW w:w="1134" w:type="dxa"/>
            <w:gridSpan w:val="2"/>
            <w:tcBorders>
              <w:top w:val="nil"/>
              <w:left w:val="nil"/>
              <w:bottom w:val="nil"/>
              <w:right w:val="nil"/>
            </w:tcBorders>
          </w:tcPr>
          <w:p w:rsidR="006E4296" w:rsidRPr="009B5AEB" w:rsidRDefault="006E4296" w:rsidP="004F5BDC">
            <w:pPr>
              <w:jc w:val="center"/>
              <w:rPr>
                <w:rFonts w:ascii="Times New Roman" w:eastAsia="Times New Roman" w:hAnsi="Times New Roman" w:cs="Times New Roman"/>
                <w:i/>
                <w:iCs/>
              </w:rPr>
            </w:pPr>
            <w:r w:rsidRPr="009B5AEB">
              <w:rPr>
                <w:rFonts w:ascii="Times New Roman" w:eastAsia="Times New Roman" w:hAnsi="Times New Roman" w:cs="Times New Roman"/>
                <w:i/>
                <w:iCs/>
              </w:rPr>
              <w:t>5.30%**</w:t>
            </w:r>
          </w:p>
        </w:tc>
      </w:tr>
      <w:tr w:rsidR="006E4296" w:rsidRPr="009B5AEB" w:rsidTr="004F5BDC">
        <w:trPr>
          <w:gridAfter w:val="1"/>
          <w:wAfter w:w="142" w:type="dxa"/>
        </w:trPr>
        <w:tc>
          <w:tcPr>
            <w:tcW w:w="9923" w:type="dxa"/>
            <w:gridSpan w:val="6"/>
            <w:tcBorders>
              <w:top w:val="single" w:sz="4" w:space="0" w:color="auto"/>
              <w:left w:val="nil"/>
              <w:bottom w:val="nil"/>
              <w:right w:val="nil"/>
            </w:tcBorders>
          </w:tcPr>
          <w:p w:rsidR="006E4296" w:rsidRPr="009B5AEB" w:rsidRDefault="006E4296" w:rsidP="004F5BDC">
            <w:pPr>
              <w:rPr>
                <w:rFonts w:ascii="Times New Roman" w:eastAsia="Times New Roman" w:hAnsi="Times New Roman" w:cs="Times New Roman"/>
                <w:color w:val="000000"/>
              </w:rPr>
            </w:pPr>
            <w:r w:rsidRPr="009B5AEB">
              <w:rPr>
                <w:rFonts w:ascii="Times New Roman" w:eastAsia="Times New Roman" w:hAnsi="Times New Roman" w:cs="Times New Roman"/>
                <w:color w:val="000000"/>
              </w:rPr>
              <w:t xml:space="preserve">Note: * refers to 10%, ** to 5%, and *** 1% level of statistical significance respectively. </w:t>
            </w:r>
          </w:p>
          <w:p w:rsidR="006E4296" w:rsidRPr="009B5AEB" w:rsidRDefault="006E4296" w:rsidP="004F5BDC">
            <w:pPr>
              <w:rPr>
                <w:rFonts w:ascii="Times New Roman" w:hAnsi="Times New Roman" w:cs="Times New Roman"/>
              </w:rPr>
            </w:pPr>
            <w:r w:rsidRPr="009B5AEB">
              <w:rPr>
                <w:rFonts w:ascii="Times New Roman" w:eastAsia="Times New Roman" w:hAnsi="Times New Roman" w:cs="Times New Roman"/>
                <w:color w:val="000000"/>
              </w:rPr>
              <w:t>Source: Authors’ calculations based on BEEPS 2012-2014 (EBRD, 2016)</w:t>
            </w:r>
          </w:p>
        </w:tc>
      </w:tr>
    </w:tbl>
    <w:p w:rsidR="006E4296" w:rsidRPr="009B5AEB" w:rsidRDefault="006E4296" w:rsidP="006E4296">
      <w:pPr>
        <w:spacing w:after="0" w:line="240" w:lineRule="auto"/>
        <w:rPr>
          <w:rFonts w:ascii="Times New Roman" w:hAnsi="Times New Roman" w:cs="Times New Roman"/>
          <w:b/>
        </w:rPr>
      </w:pPr>
    </w:p>
    <w:p w:rsidR="006E4296" w:rsidRPr="009B5AEB" w:rsidRDefault="006E4296" w:rsidP="006E4296">
      <w:pPr>
        <w:rPr>
          <w:rFonts w:ascii="Times New Roman" w:hAnsi="Times New Roman" w:cs="Times New Roman"/>
          <w:b/>
        </w:rPr>
      </w:pPr>
      <w:r w:rsidRPr="009B5AEB">
        <w:rPr>
          <w:rFonts w:ascii="Times New Roman" w:hAnsi="Times New Roman" w:cs="Times New Roman"/>
          <w:b/>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1059"/>
        <w:gridCol w:w="1047"/>
        <w:gridCol w:w="1134"/>
        <w:gridCol w:w="1134"/>
        <w:gridCol w:w="1134"/>
        <w:gridCol w:w="1134"/>
        <w:gridCol w:w="87"/>
      </w:tblGrid>
      <w:tr w:rsidR="006E4296" w:rsidRPr="009B5AEB" w:rsidTr="004F5BDC">
        <w:trPr>
          <w:gridAfter w:val="1"/>
          <w:wAfter w:w="87" w:type="dxa"/>
        </w:trPr>
        <w:tc>
          <w:tcPr>
            <w:tcW w:w="8952" w:type="dxa"/>
            <w:gridSpan w:val="7"/>
            <w:tcBorders>
              <w:top w:val="nil"/>
              <w:bottom w:val="single" w:sz="4" w:space="0" w:color="auto"/>
            </w:tcBorders>
            <w:vAlign w:val="center"/>
          </w:tcPr>
          <w:p w:rsidR="006E4296" w:rsidRPr="009B5AEB" w:rsidRDefault="006E4296" w:rsidP="004F5BDC">
            <w:r w:rsidRPr="009B5AEB">
              <w:rPr>
                <w:rFonts w:ascii="Times New Roman" w:hAnsi="Times New Roman" w:cs="Times New Roman"/>
                <w:b/>
              </w:rPr>
              <w:lastRenderedPageBreak/>
              <w:t xml:space="preserve">Table 5: </w:t>
            </w:r>
            <w:r w:rsidRPr="00E77AD1">
              <w:rPr>
                <w:rFonts w:ascii="Times New Roman" w:hAnsi="Times New Roman" w:cs="Times New Roman"/>
                <w:b/>
                <w:i/>
              </w:rPr>
              <w:t>Bank Loan</w:t>
            </w:r>
            <w:r w:rsidRPr="009B5AEB">
              <w:rPr>
                <w:rFonts w:ascii="Times New Roman" w:hAnsi="Times New Roman" w:cs="Times New Roman"/>
                <w:b/>
              </w:rPr>
              <w:t xml:space="preserve"> estimations</w:t>
            </w:r>
          </w:p>
        </w:tc>
      </w:tr>
      <w:tr w:rsidR="006E4296" w:rsidRPr="009B5AEB" w:rsidTr="004F5BDC">
        <w:tc>
          <w:tcPr>
            <w:tcW w:w="2310" w:type="dxa"/>
            <w:tcBorders>
              <w:top w:val="single" w:sz="4" w:space="0" w:color="auto"/>
              <w:bottom w:val="single" w:sz="4" w:space="0" w:color="auto"/>
            </w:tcBorders>
            <w:vAlign w:val="center"/>
          </w:tcPr>
          <w:p w:rsidR="006E4296" w:rsidRPr="009B5AEB" w:rsidRDefault="006E4296" w:rsidP="004F5BDC">
            <w:pP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Predictors</w:t>
            </w:r>
          </w:p>
        </w:tc>
        <w:tc>
          <w:tcPr>
            <w:tcW w:w="1059" w:type="dxa"/>
            <w:tcBorders>
              <w:top w:val="single" w:sz="4" w:space="0" w:color="auto"/>
              <w:bottom w:val="single" w:sz="4" w:space="0" w:color="auto"/>
            </w:tcBorders>
          </w:tcPr>
          <w:p w:rsidR="006E4296" w:rsidRPr="009B5AEB" w:rsidRDefault="006E4296" w:rsidP="004F5BDC">
            <w:r w:rsidRPr="009B5AEB">
              <w:t>Exp. Sign</w:t>
            </w:r>
          </w:p>
        </w:tc>
        <w:tc>
          <w:tcPr>
            <w:tcW w:w="1047" w:type="dxa"/>
            <w:tcBorders>
              <w:top w:val="single" w:sz="4" w:space="0" w:color="auto"/>
              <w:bottom w:val="single" w:sz="4" w:space="0" w:color="auto"/>
            </w:tcBorders>
          </w:tcPr>
          <w:p w:rsidR="006E4296" w:rsidRPr="009B5AEB" w:rsidRDefault="006E4296" w:rsidP="004F5BDC">
            <w:pPr>
              <w:jc w:val="center"/>
            </w:pPr>
            <w:r w:rsidRPr="009B5AEB">
              <w:t>Model 1</w:t>
            </w:r>
          </w:p>
        </w:tc>
        <w:tc>
          <w:tcPr>
            <w:tcW w:w="1134" w:type="dxa"/>
            <w:tcBorders>
              <w:top w:val="single" w:sz="4" w:space="0" w:color="auto"/>
              <w:bottom w:val="single" w:sz="4" w:space="0" w:color="auto"/>
            </w:tcBorders>
          </w:tcPr>
          <w:p w:rsidR="006E4296" w:rsidRPr="009B5AEB" w:rsidRDefault="006E4296" w:rsidP="004F5BDC">
            <w:pPr>
              <w:jc w:val="center"/>
            </w:pPr>
            <w:r w:rsidRPr="009B5AEB">
              <w:t>Model 2</w:t>
            </w:r>
          </w:p>
        </w:tc>
        <w:tc>
          <w:tcPr>
            <w:tcW w:w="1134" w:type="dxa"/>
            <w:tcBorders>
              <w:top w:val="single" w:sz="4" w:space="0" w:color="auto"/>
              <w:bottom w:val="single" w:sz="4" w:space="0" w:color="auto"/>
              <w:right w:val="nil"/>
            </w:tcBorders>
          </w:tcPr>
          <w:p w:rsidR="006E4296" w:rsidRPr="009B5AEB" w:rsidRDefault="006E4296" w:rsidP="004F5BDC">
            <w:pPr>
              <w:jc w:val="center"/>
            </w:pPr>
            <w:r w:rsidRPr="009B5AEB">
              <w:t>Model 3</w:t>
            </w:r>
          </w:p>
        </w:tc>
        <w:tc>
          <w:tcPr>
            <w:tcW w:w="1134" w:type="dxa"/>
            <w:tcBorders>
              <w:top w:val="single" w:sz="4" w:space="0" w:color="auto"/>
              <w:left w:val="nil"/>
              <w:bottom w:val="single" w:sz="4" w:space="0" w:color="auto"/>
              <w:right w:val="nil"/>
            </w:tcBorders>
          </w:tcPr>
          <w:p w:rsidR="006E4296" w:rsidRPr="009B5AEB" w:rsidRDefault="006E4296" w:rsidP="004F5BDC">
            <w:pPr>
              <w:jc w:val="center"/>
            </w:pPr>
            <w:r w:rsidRPr="009B5AEB">
              <w:t>Model 4</w:t>
            </w:r>
          </w:p>
        </w:tc>
        <w:tc>
          <w:tcPr>
            <w:tcW w:w="1221" w:type="dxa"/>
            <w:gridSpan w:val="2"/>
            <w:tcBorders>
              <w:top w:val="single" w:sz="4" w:space="0" w:color="auto"/>
              <w:left w:val="nil"/>
              <w:bottom w:val="single" w:sz="4" w:space="0" w:color="auto"/>
              <w:right w:val="nil"/>
            </w:tcBorders>
          </w:tcPr>
          <w:p w:rsidR="006E4296" w:rsidRPr="009B5AEB" w:rsidRDefault="006E4296" w:rsidP="004F5BDC">
            <w:pPr>
              <w:jc w:val="center"/>
            </w:pPr>
            <w:r w:rsidRPr="009B5AEB">
              <w:t>Model 5</w:t>
            </w:r>
          </w:p>
        </w:tc>
      </w:tr>
      <w:tr w:rsidR="006E4296" w:rsidRPr="009B5AEB" w:rsidTr="004F5BDC">
        <w:tc>
          <w:tcPr>
            <w:tcW w:w="2310" w:type="dxa"/>
            <w:tcBorders>
              <w:top w:val="single" w:sz="4" w:space="0" w:color="auto"/>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Bribes and </w:t>
            </w:r>
            <w:r>
              <w:rPr>
                <w:rFonts w:ascii="Times New Roman" w:eastAsia="Times New Roman" w:hAnsi="Times New Roman" w:cs="Times New Roman"/>
                <w:i/>
                <w:iCs/>
                <w:color w:val="000000"/>
              </w:rPr>
              <w:t>G</w:t>
            </w:r>
            <w:r w:rsidRPr="009B5AEB">
              <w:rPr>
                <w:rFonts w:ascii="Times New Roman" w:eastAsia="Times New Roman" w:hAnsi="Times New Roman" w:cs="Times New Roman"/>
                <w:i/>
                <w:iCs/>
                <w:color w:val="000000"/>
              </w:rPr>
              <w:t>ifts</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single" w:sz="4" w:space="0" w:color="auto"/>
              <w:left w:val="nil"/>
              <w:bottom w:val="nil"/>
              <w:right w:val="nil"/>
            </w:tcBorders>
          </w:tcPr>
          <w:p w:rsidR="006E4296" w:rsidRPr="009B5AEB" w:rsidRDefault="006E4296" w:rsidP="004F5BDC">
            <w:pPr>
              <w:jc w:val="center"/>
            </w:pPr>
            <w:r w:rsidRPr="009B5AEB">
              <w:t>+</w:t>
            </w:r>
          </w:p>
        </w:tc>
        <w:tc>
          <w:tcPr>
            <w:tcW w:w="1047" w:type="dxa"/>
            <w:tcBorders>
              <w:top w:val="single" w:sz="4" w:space="0" w:color="auto"/>
              <w:left w:val="nil"/>
              <w:bottom w:val="nil"/>
              <w:right w:val="nil"/>
            </w:tcBorders>
          </w:tcPr>
          <w:p w:rsidR="006E4296" w:rsidRPr="009B5AEB" w:rsidRDefault="006E4296" w:rsidP="004F5BDC">
            <w:r w:rsidRPr="009B5AEB">
              <w:t>0.035***</w:t>
            </w:r>
          </w:p>
          <w:p w:rsidR="006E4296" w:rsidRPr="009B5AEB" w:rsidRDefault="006E4296" w:rsidP="004F5BDC">
            <w:r w:rsidRPr="009B5AEB">
              <w:t>(0.001)</w:t>
            </w:r>
          </w:p>
        </w:tc>
        <w:tc>
          <w:tcPr>
            <w:tcW w:w="1134" w:type="dxa"/>
            <w:tcBorders>
              <w:top w:val="single" w:sz="4" w:space="0" w:color="auto"/>
              <w:left w:val="nil"/>
              <w:bottom w:val="nil"/>
              <w:right w:val="nil"/>
            </w:tcBorders>
          </w:tcPr>
          <w:p w:rsidR="006E4296" w:rsidRPr="009B5AEB" w:rsidRDefault="006E4296" w:rsidP="004F5BDC">
            <w:r w:rsidRPr="009B5AEB">
              <w:t>0.031***</w:t>
            </w:r>
          </w:p>
          <w:p w:rsidR="006E4296" w:rsidRPr="009B5AEB" w:rsidRDefault="006E4296" w:rsidP="004F5BDC">
            <w:r w:rsidRPr="009B5AEB">
              <w:t>(0.009)</w:t>
            </w:r>
          </w:p>
        </w:tc>
        <w:tc>
          <w:tcPr>
            <w:tcW w:w="1134" w:type="dxa"/>
            <w:tcBorders>
              <w:top w:val="single" w:sz="4" w:space="0" w:color="auto"/>
              <w:left w:val="nil"/>
              <w:bottom w:val="nil"/>
              <w:right w:val="nil"/>
            </w:tcBorders>
          </w:tcPr>
          <w:p w:rsidR="006E4296" w:rsidRPr="009B5AEB" w:rsidRDefault="006E4296" w:rsidP="004F5BDC">
            <w:r w:rsidRPr="009B5AEB">
              <w:t>0.030**</w:t>
            </w:r>
          </w:p>
          <w:p w:rsidR="006E4296" w:rsidRPr="009B5AEB" w:rsidRDefault="006E4296" w:rsidP="004F5BDC">
            <w:r w:rsidRPr="009B5AEB">
              <w:t>(0.014)</w:t>
            </w:r>
          </w:p>
        </w:tc>
        <w:tc>
          <w:tcPr>
            <w:tcW w:w="1134" w:type="dxa"/>
            <w:tcBorders>
              <w:top w:val="single" w:sz="4" w:space="0" w:color="auto"/>
              <w:left w:val="nil"/>
              <w:bottom w:val="nil"/>
              <w:right w:val="nil"/>
            </w:tcBorders>
          </w:tcPr>
          <w:p w:rsidR="006E4296" w:rsidRPr="009B5AEB" w:rsidRDefault="006E4296" w:rsidP="004F5BDC">
            <w:r w:rsidRPr="009B5AEB">
              <w:t>0.029**   (0.014)</w:t>
            </w:r>
          </w:p>
        </w:tc>
        <w:tc>
          <w:tcPr>
            <w:tcW w:w="1221" w:type="dxa"/>
            <w:gridSpan w:val="2"/>
            <w:tcBorders>
              <w:top w:val="single" w:sz="4" w:space="0" w:color="auto"/>
              <w:left w:val="nil"/>
              <w:bottom w:val="nil"/>
              <w:right w:val="nil"/>
            </w:tcBorders>
          </w:tcPr>
          <w:p w:rsidR="006E4296" w:rsidRPr="009B5AEB" w:rsidRDefault="006E4296" w:rsidP="004F5BDC">
            <w:r w:rsidRPr="009B5AEB">
              <w:t xml:space="preserve">0.029**   </w:t>
            </w:r>
          </w:p>
          <w:p w:rsidR="006E4296" w:rsidRPr="009B5AEB" w:rsidRDefault="006E4296" w:rsidP="004F5BDC">
            <w:r w:rsidRPr="009B5AEB">
              <w:t>(0.014)</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Government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ontract</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0.068***</w:t>
            </w:r>
          </w:p>
          <w:p w:rsidR="006E4296" w:rsidRPr="009B5AEB" w:rsidRDefault="006E4296" w:rsidP="004F5BDC">
            <w:r w:rsidRPr="009B5AEB">
              <w:t>(0.017)</w:t>
            </w:r>
          </w:p>
        </w:tc>
        <w:tc>
          <w:tcPr>
            <w:tcW w:w="1134" w:type="dxa"/>
            <w:tcBorders>
              <w:top w:val="nil"/>
              <w:left w:val="nil"/>
              <w:bottom w:val="nil"/>
              <w:right w:val="nil"/>
            </w:tcBorders>
          </w:tcPr>
          <w:p w:rsidR="006E4296" w:rsidRPr="009B5AEB" w:rsidRDefault="006E4296" w:rsidP="004F5BDC">
            <w:r w:rsidRPr="009B5AEB">
              <w:t>0.044***</w:t>
            </w:r>
          </w:p>
          <w:p w:rsidR="006E4296" w:rsidRPr="009B5AEB" w:rsidRDefault="006E4296" w:rsidP="004F5BDC">
            <w:r w:rsidRPr="009B5AEB">
              <w:t>(0.160)</w:t>
            </w:r>
          </w:p>
        </w:tc>
        <w:tc>
          <w:tcPr>
            <w:tcW w:w="1134" w:type="dxa"/>
            <w:tcBorders>
              <w:top w:val="nil"/>
              <w:left w:val="nil"/>
              <w:bottom w:val="nil"/>
              <w:right w:val="nil"/>
            </w:tcBorders>
          </w:tcPr>
          <w:p w:rsidR="006E4296" w:rsidRPr="009B5AEB" w:rsidRDefault="006E4296" w:rsidP="004F5BDC">
            <w:r w:rsidRPr="009B5AEB">
              <w:t>0.044***   (0.016)</w:t>
            </w:r>
          </w:p>
        </w:tc>
        <w:tc>
          <w:tcPr>
            <w:tcW w:w="1221" w:type="dxa"/>
            <w:gridSpan w:val="2"/>
            <w:tcBorders>
              <w:top w:val="nil"/>
              <w:left w:val="nil"/>
              <w:bottom w:val="nil"/>
              <w:right w:val="nil"/>
            </w:tcBorders>
          </w:tcPr>
          <w:p w:rsidR="006E4296" w:rsidRPr="009B5AEB" w:rsidRDefault="006E4296" w:rsidP="004F5BDC">
            <w:r w:rsidRPr="009B5AEB">
              <w:t>0.044***</w:t>
            </w:r>
          </w:p>
          <w:p w:rsidR="006E4296" w:rsidRPr="009B5AEB" w:rsidRDefault="006E4296" w:rsidP="004F5BDC">
            <w:r w:rsidRPr="009B5AEB">
              <w:t>(0.016)</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Enterprise </w:t>
            </w:r>
            <w:r>
              <w:rPr>
                <w:rFonts w:ascii="Times New Roman" w:eastAsia="Times New Roman" w:hAnsi="Times New Roman" w:cs="Times New Roman"/>
                <w:i/>
                <w:iCs/>
                <w:color w:val="000000"/>
              </w:rPr>
              <w:t>A</w:t>
            </w:r>
            <w:r w:rsidRPr="009B5AEB">
              <w:rPr>
                <w:rFonts w:ascii="Times New Roman" w:eastAsia="Times New Roman" w:hAnsi="Times New Roman" w:cs="Times New Roman"/>
                <w:i/>
                <w:iCs/>
                <w:color w:val="000000"/>
              </w:rPr>
              <w:t>ge</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0.002*</w:t>
            </w:r>
          </w:p>
          <w:p w:rsidR="006E4296" w:rsidRPr="009B5AEB" w:rsidRDefault="006E4296" w:rsidP="004F5BDC">
            <w:r w:rsidRPr="009B5AEB">
              <w:t>(0.001)</w:t>
            </w:r>
          </w:p>
        </w:tc>
        <w:tc>
          <w:tcPr>
            <w:tcW w:w="1134" w:type="dxa"/>
            <w:tcBorders>
              <w:top w:val="nil"/>
              <w:left w:val="nil"/>
              <w:bottom w:val="nil"/>
              <w:right w:val="nil"/>
            </w:tcBorders>
          </w:tcPr>
          <w:p w:rsidR="006E4296" w:rsidRPr="009B5AEB" w:rsidRDefault="006E4296" w:rsidP="004F5BDC">
            <w:r w:rsidRPr="009B5AEB">
              <w:t>0.002*   (0.001)</w:t>
            </w:r>
          </w:p>
        </w:tc>
        <w:tc>
          <w:tcPr>
            <w:tcW w:w="1221" w:type="dxa"/>
            <w:gridSpan w:val="2"/>
            <w:tcBorders>
              <w:top w:val="nil"/>
              <w:left w:val="nil"/>
              <w:bottom w:val="nil"/>
              <w:right w:val="nil"/>
            </w:tcBorders>
          </w:tcPr>
          <w:p w:rsidR="006E4296" w:rsidRPr="009B5AEB" w:rsidRDefault="006E4296" w:rsidP="004F5BDC">
            <w:r w:rsidRPr="009B5AEB">
              <w:t>0.002*   (0.001)</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Enterprise </w:t>
            </w:r>
            <w:r>
              <w:rPr>
                <w:rFonts w:ascii="Times New Roman" w:eastAsia="Times New Roman" w:hAnsi="Times New Roman" w:cs="Times New Roman"/>
                <w:i/>
                <w:iCs/>
                <w:color w:val="000000"/>
              </w:rPr>
              <w:t>A</w:t>
            </w:r>
            <w:r w:rsidRPr="009B5AEB">
              <w:rPr>
                <w:rFonts w:ascii="Times New Roman" w:eastAsia="Times New Roman" w:hAnsi="Times New Roman" w:cs="Times New Roman"/>
                <w:i/>
                <w:iCs/>
                <w:color w:val="000000"/>
              </w:rPr>
              <w:t xml:space="preserve">ge </w:t>
            </w:r>
            <w:r>
              <w:rPr>
                <w:rFonts w:ascii="Times New Roman" w:eastAsia="Times New Roman" w:hAnsi="Times New Roman" w:cs="Times New Roman"/>
                <w:i/>
                <w:iCs/>
                <w:color w:val="000000"/>
              </w:rPr>
              <w:t>S</w:t>
            </w:r>
            <w:r w:rsidRPr="009B5AEB">
              <w:rPr>
                <w:rFonts w:ascii="Times New Roman" w:eastAsia="Times New Roman" w:hAnsi="Times New Roman" w:cs="Times New Roman"/>
                <w:i/>
                <w:iCs/>
                <w:color w:val="000000"/>
              </w:rPr>
              <w:t>quared</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-0.003**</w:t>
            </w:r>
          </w:p>
          <w:p w:rsidR="006E4296" w:rsidRPr="009B5AEB" w:rsidRDefault="006E4296" w:rsidP="004F5BDC">
            <w:r w:rsidRPr="009B5AEB">
              <w:t>(0.001)</w:t>
            </w:r>
          </w:p>
        </w:tc>
        <w:tc>
          <w:tcPr>
            <w:tcW w:w="1134" w:type="dxa"/>
            <w:tcBorders>
              <w:top w:val="nil"/>
              <w:left w:val="nil"/>
              <w:bottom w:val="nil"/>
              <w:right w:val="nil"/>
            </w:tcBorders>
          </w:tcPr>
          <w:p w:rsidR="006E4296" w:rsidRPr="009B5AEB" w:rsidRDefault="006E4296" w:rsidP="004F5BDC">
            <w:r w:rsidRPr="009B5AEB">
              <w:t>-0.003**   (0.002)</w:t>
            </w:r>
          </w:p>
        </w:tc>
        <w:tc>
          <w:tcPr>
            <w:tcW w:w="1221" w:type="dxa"/>
            <w:gridSpan w:val="2"/>
            <w:tcBorders>
              <w:top w:val="nil"/>
              <w:left w:val="nil"/>
              <w:bottom w:val="nil"/>
              <w:right w:val="nil"/>
            </w:tcBorders>
          </w:tcPr>
          <w:p w:rsidR="006E4296" w:rsidRPr="009B5AEB" w:rsidRDefault="006E4296" w:rsidP="004F5BDC">
            <w:r w:rsidRPr="009B5AEB">
              <w:t>-0.003**   (0.001)</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Trade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redit</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0.001***</w:t>
            </w:r>
          </w:p>
          <w:p w:rsidR="006E4296" w:rsidRPr="009B5AEB" w:rsidRDefault="006E4296" w:rsidP="004F5BDC">
            <w:r w:rsidRPr="009B5AEB">
              <w:t>(0.000)</w:t>
            </w:r>
          </w:p>
        </w:tc>
        <w:tc>
          <w:tcPr>
            <w:tcW w:w="1134" w:type="dxa"/>
            <w:tcBorders>
              <w:top w:val="nil"/>
              <w:left w:val="nil"/>
              <w:bottom w:val="nil"/>
              <w:right w:val="nil"/>
            </w:tcBorders>
          </w:tcPr>
          <w:p w:rsidR="006E4296" w:rsidRPr="009B5AEB" w:rsidRDefault="006E4296" w:rsidP="004F5BDC">
            <w:r w:rsidRPr="009B5AEB">
              <w:t>0.001***   (0.000)</w:t>
            </w:r>
          </w:p>
        </w:tc>
        <w:tc>
          <w:tcPr>
            <w:tcW w:w="1221" w:type="dxa"/>
            <w:gridSpan w:val="2"/>
            <w:tcBorders>
              <w:top w:val="nil"/>
              <w:left w:val="nil"/>
              <w:bottom w:val="nil"/>
              <w:right w:val="nil"/>
            </w:tcBorders>
          </w:tcPr>
          <w:p w:rsidR="006E4296" w:rsidRPr="009B5AEB" w:rsidRDefault="006E4296" w:rsidP="004F5BDC">
            <w:r w:rsidRPr="009B5AEB">
              <w:t>0.001***   (0.000)</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Leasing </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0.069***</w:t>
            </w:r>
          </w:p>
          <w:p w:rsidR="006E4296" w:rsidRPr="009B5AEB" w:rsidRDefault="006E4296" w:rsidP="004F5BDC">
            <w:r w:rsidRPr="009B5AEB">
              <w:t>(0.016)</w:t>
            </w:r>
          </w:p>
        </w:tc>
        <w:tc>
          <w:tcPr>
            <w:tcW w:w="1134" w:type="dxa"/>
            <w:tcBorders>
              <w:top w:val="nil"/>
              <w:left w:val="nil"/>
              <w:bottom w:val="nil"/>
              <w:right w:val="nil"/>
            </w:tcBorders>
          </w:tcPr>
          <w:p w:rsidR="006E4296" w:rsidRPr="009B5AEB" w:rsidRDefault="006E4296" w:rsidP="004F5BDC">
            <w:r w:rsidRPr="009B5AEB">
              <w:t>0.072***   (0.016)</w:t>
            </w:r>
          </w:p>
        </w:tc>
        <w:tc>
          <w:tcPr>
            <w:tcW w:w="1221" w:type="dxa"/>
            <w:gridSpan w:val="2"/>
            <w:tcBorders>
              <w:top w:val="nil"/>
              <w:left w:val="nil"/>
              <w:bottom w:val="nil"/>
              <w:right w:val="nil"/>
            </w:tcBorders>
          </w:tcPr>
          <w:p w:rsidR="006E4296" w:rsidRPr="009B5AEB" w:rsidRDefault="006E4296" w:rsidP="004F5BDC">
            <w:r w:rsidRPr="009B5AEB">
              <w:t>0.072***   (0.016)</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Log(</w:t>
            </w:r>
            <w:r>
              <w:rPr>
                <w:rFonts w:ascii="Times New Roman" w:eastAsia="Times New Roman" w:hAnsi="Times New Roman" w:cs="Times New Roman"/>
                <w:i/>
                <w:iCs/>
                <w:color w:val="000000"/>
              </w:rPr>
              <w:t>L</w:t>
            </w:r>
            <w:r w:rsidRPr="009B5AEB">
              <w:rPr>
                <w:rFonts w:ascii="Times New Roman" w:eastAsia="Times New Roman" w:hAnsi="Times New Roman" w:cs="Times New Roman"/>
                <w:i/>
                <w:iCs/>
                <w:color w:val="000000"/>
              </w:rPr>
              <w:t xml:space="preserve">abour) </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0.056***</w:t>
            </w:r>
          </w:p>
          <w:p w:rsidR="006E4296" w:rsidRPr="009B5AEB" w:rsidRDefault="006E4296" w:rsidP="004F5BDC">
            <w:r w:rsidRPr="009B5AEB">
              <w:t>(0.008)</w:t>
            </w:r>
          </w:p>
        </w:tc>
        <w:tc>
          <w:tcPr>
            <w:tcW w:w="1134" w:type="dxa"/>
            <w:tcBorders>
              <w:top w:val="nil"/>
              <w:left w:val="nil"/>
              <w:bottom w:val="nil"/>
              <w:right w:val="nil"/>
            </w:tcBorders>
          </w:tcPr>
          <w:p w:rsidR="006E4296" w:rsidRPr="009B5AEB" w:rsidRDefault="006E4296" w:rsidP="004F5BDC">
            <w:r w:rsidRPr="009B5AEB">
              <w:t>0.056***   (0.009)</w:t>
            </w:r>
          </w:p>
        </w:tc>
        <w:tc>
          <w:tcPr>
            <w:tcW w:w="1221" w:type="dxa"/>
            <w:gridSpan w:val="2"/>
            <w:tcBorders>
              <w:top w:val="nil"/>
              <w:left w:val="nil"/>
              <w:bottom w:val="nil"/>
              <w:right w:val="nil"/>
            </w:tcBorders>
          </w:tcPr>
          <w:p w:rsidR="006E4296" w:rsidRPr="009B5AEB" w:rsidRDefault="006E4296" w:rsidP="004F5BDC">
            <w:r w:rsidRPr="009B5AEB">
              <w:t>0.056***   (0.009)</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Expected </w:t>
            </w:r>
            <w:r>
              <w:rPr>
                <w:rFonts w:ascii="Times New Roman" w:eastAsia="Times New Roman" w:hAnsi="Times New Roman" w:cs="Times New Roman"/>
                <w:i/>
                <w:iCs/>
                <w:color w:val="000000"/>
              </w:rPr>
              <w:t>S</w:t>
            </w:r>
            <w:r w:rsidRPr="009B5AEB">
              <w:rPr>
                <w:rFonts w:ascii="Times New Roman" w:eastAsia="Times New Roman" w:hAnsi="Times New Roman" w:cs="Times New Roman"/>
                <w:i/>
                <w:iCs/>
                <w:color w:val="000000"/>
              </w:rPr>
              <w:t>ales</w:t>
            </w:r>
          </w:p>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w:t>
            </w: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0.040***</w:t>
            </w:r>
          </w:p>
          <w:p w:rsidR="006E4296" w:rsidRPr="009B5AEB" w:rsidRDefault="006E4296" w:rsidP="004F5BDC">
            <w:r w:rsidRPr="009B5AEB">
              <w:t>(0.009)</w:t>
            </w:r>
          </w:p>
        </w:tc>
        <w:tc>
          <w:tcPr>
            <w:tcW w:w="1134" w:type="dxa"/>
            <w:tcBorders>
              <w:top w:val="nil"/>
              <w:left w:val="nil"/>
              <w:bottom w:val="nil"/>
              <w:right w:val="nil"/>
            </w:tcBorders>
          </w:tcPr>
          <w:p w:rsidR="006E4296" w:rsidRPr="009B5AEB" w:rsidRDefault="006E4296" w:rsidP="004F5BDC">
            <w:r w:rsidRPr="009B5AEB">
              <w:t>0.039***   (0.009)</w:t>
            </w:r>
          </w:p>
        </w:tc>
        <w:tc>
          <w:tcPr>
            <w:tcW w:w="1221" w:type="dxa"/>
            <w:gridSpan w:val="2"/>
            <w:tcBorders>
              <w:top w:val="nil"/>
              <w:left w:val="nil"/>
              <w:bottom w:val="nil"/>
              <w:right w:val="nil"/>
            </w:tcBorders>
          </w:tcPr>
          <w:p w:rsidR="006E4296" w:rsidRPr="009B5AEB" w:rsidRDefault="006E4296" w:rsidP="004F5BDC">
            <w:r w:rsidRPr="009B5AEB">
              <w:t>0.038***   (0.009)</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Exporter</w:t>
            </w:r>
          </w:p>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w:t>
            </w: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0.066***</w:t>
            </w:r>
          </w:p>
          <w:p w:rsidR="006E4296" w:rsidRPr="009B5AEB" w:rsidRDefault="006E4296" w:rsidP="004F5BDC">
            <w:r w:rsidRPr="009B5AEB">
              <w:t>(0.009)</w:t>
            </w:r>
          </w:p>
        </w:tc>
        <w:tc>
          <w:tcPr>
            <w:tcW w:w="1134" w:type="dxa"/>
            <w:tcBorders>
              <w:top w:val="nil"/>
              <w:left w:val="nil"/>
              <w:bottom w:val="nil"/>
              <w:right w:val="nil"/>
            </w:tcBorders>
          </w:tcPr>
          <w:p w:rsidR="006E4296" w:rsidRPr="009B5AEB" w:rsidRDefault="006E4296" w:rsidP="004F5BDC">
            <w:r w:rsidRPr="009B5AEB">
              <w:t>0.068***   (0.009)</w:t>
            </w:r>
          </w:p>
        </w:tc>
        <w:tc>
          <w:tcPr>
            <w:tcW w:w="1221" w:type="dxa"/>
            <w:gridSpan w:val="2"/>
            <w:tcBorders>
              <w:top w:val="nil"/>
              <w:left w:val="nil"/>
              <w:bottom w:val="nil"/>
              <w:right w:val="nil"/>
            </w:tcBorders>
          </w:tcPr>
          <w:p w:rsidR="006E4296" w:rsidRPr="009B5AEB" w:rsidRDefault="006E4296" w:rsidP="004F5BDC">
            <w:r w:rsidRPr="009B5AEB">
              <w:t>0.068***   (0.009)</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Quality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ertificate</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0.022</w:t>
            </w:r>
          </w:p>
          <w:p w:rsidR="006E4296" w:rsidRPr="009B5AEB" w:rsidRDefault="006E4296" w:rsidP="004F5BDC">
            <w:r w:rsidRPr="009B5AEB">
              <w:t>(0.020)</w:t>
            </w:r>
          </w:p>
        </w:tc>
        <w:tc>
          <w:tcPr>
            <w:tcW w:w="1134" w:type="dxa"/>
            <w:tcBorders>
              <w:top w:val="nil"/>
              <w:left w:val="nil"/>
              <w:bottom w:val="nil"/>
              <w:right w:val="nil"/>
            </w:tcBorders>
          </w:tcPr>
          <w:p w:rsidR="006E4296" w:rsidRPr="009B5AEB" w:rsidRDefault="006E4296" w:rsidP="004F5BDC">
            <w:r w:rsidRPr="009B5AEB">
              <w:t>0.023    (0.021)</w:t>
            </w:r>
          </w:p>
        </w:tc>
        <w:tc>
          <w:tcPr>
            <w:tcW w:w="1221" w:type="dxa"/>
            <w:gridSpan w:val="2"/>
            <w:tcBorders>
              <w:top w:val="nil"/>
              <w:left w:val="nil"/>
              <w:bottom w:val="nil"/>
              <w:right w:val="nil"/>
            </w:tcBorders>
          </w:tcPr>
          <w:p w:rsidR="006E4296" w:rsidRPr="009B5AEB" w:rsidRDefault="006E4296" w:rsidP="004F5BDC">
            <w:r w:rsidRPr="009B5AEB">
              <w:t>0.023    (0.021)</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Accounts </w:t>
            </w:r>
            <w:r>
              <w:rPr>
                <w:rFonts w:ascii="Times New Roman" w:eastAsia="Times New Roman" w:hAnsi="Times New Roman" w:cs="Times New Roman"/>
                <w:i/>
                <w:iCs/>
                <w:color w:val="000000"/>
              </w:rPr>
              <w:t>A</w:t>
            </w:r>
            <w:r w:rsidRPr="009B5AEB">
              <w:rPr>
                <w:rFonts w:ascii="Times New Roman" w:eastAsia="Times New Roman" w:hAnsi="Times New Roman" w:cs="Times New Roman"/>
                <w:i/>
                <w:iCs/>
                <w:color w:val="000000"/>
              </w:rPr>
              <w:t>udited</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0.027*</w:t>
            </w:r>
          </w:p>
          <w:p w:rsidR="006E4296" w:rsidRPr="009B5AEB" w:rsidRDefault="006E4296" w:rsidP="004F5BDC">
            <w:r w:rsidRPr="009B5AEB">
              <w:t>(0.015)</w:t>
            </w:r>
          </w:p>
        </w:tc>
        <w:tc>
          <w:tcPr>
            <w:tcW w:w="1134" w:type="dxa"/>
            <w:tcBorders>
              <w:top w:val="nil"/>
              <w:left w:val="nil"/>
              <w:bottom w:val="nil"/>
              <w:right w:val="nil"/>
            </w:tcBorders>
          </w:tcPr>
          <w:p w:rsidR="006E4296" w:rsidRPr="009B5AEB" w:rsidRDefault="006E4296" w:rsidP="004F5BDC">
            <w:r w:rsidRPr="009B5AEB">
              <w:t>0.027*   (0.015)</w:t>
            </w:r>
          </w:p>
        </w:tc>
        <w:tc>
          <w:tcPr>
            <w:tcW w:w="1221" w:type="dxa"/>
            <w:gridSpan w:val="2"/>
            <w:tcBorders>
              <w:top w:val="nil"/>
              <w:left w:val="nil"/>
              <w:bottom w:val="nil"/>
              <w:right w:val="nil"/>
            </w:tcBorders>
          </w:tcPr>
          <w:p w:rsidR="006E4296" w:rsidRPr="009B5AEB" w:rsidRDefault="006E4296" w:rsidP="004F5BDC">
            <w:r w:rsidRPr="009B5AEB">
              <w:t>0.027*   (0.015)</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Product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oncentration</w:t>
            </w:r>
          </w:p>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w:t>
            </w: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-0.001***</w:t>
            </w:r>
          </w:p>
          <w:p w:rsidR="006E4296" w:rsidRPr="009B5AEB" w:rsidRDefault="006E4296" w:rsidP="004F5BDC">
            <w:r w:rsidRPr="009B5AEB">
              <w:t>(0.000)</w:t>
            </w:r>
          </w:p>
        </w:tc>
        <w:tc>
          <w:tcPr>
            <w:tcW w:w="1134" w:type="dxa"/>
            <w:tcBorders>
              <w:top w:val="nil"/>
              <w:left w:val="nil"/>
              <w:bottom w:val="nil"/>
              <w:right w:val="nil"/>
            </w:tcBorders>
          </w:tcPr>
          <w:p w:rsidR="006E4296" w:rsidRPr="009B5AEB" w:rsidRDefault="006E4296" w:rsidP="004F5BDC">
            <w:r w:rsidRPr="009B5AEB">
              <w:t>-0.001***</w:t>
            </w:r>
          </w:p>
          <w:p w:rsidR="006E4296" w:rsidRPr="009B5AEB" w:rsidRDefault="006E4296" w:rsidP="004F5BDC">
            <w:r w:rsidRPr="009B5AEB">
              <w:t>(0.000)</w:t>
            </w:r>
          </w:p>
        </w:tc>
        <w:tc>
          <w:tcPr>
            <w:tcW w:w="1221" w:type="dxa"/>
            <w:gridSpan w:val="2"/>
            <w:tcBorders>
              <w:top w:val="nil"/>
              <w:left w:val="nil"/>
              <w:bottom w:val="nil"/>
              <w:right w:val="nil"/>
            </w:tcBorders>
          </w:tcPr>
          <w:p w:rsidR="006E4296" w:rsidRPr="009B5AEB" w:rsidRDefault="006E4296" w:rsidP="004F5BDC">
            <w:r w:rsidRPr="009B5AEB">
              <w:t>-0.001***</w:t>
            </w:r>
          </w:p>
          <w:p w:rsidR="006E4296" w:rsidRPr="009B5AEB" w:rsidRDefault="006E4296" w:rsidP="004F5BDC">
            <w:r w:rsidRPr="009B5AEB">
              <w:t>(0.000)</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Own </w:t>
            </w:r>
            <w:r>
              <w:rPr>
                <w:rFonts w:ascii="Times New Roman" w:eastAsia="Times New Roman" w:hAnsi="Times New Roman" w:cs="Times New Roman"/>
                <w:i/>
                <w:iCs/>
                <w:color w:val="000000"/>
              </w:rPr>
              <w:t>W</w:t>
            </w:r>
            <w:r w:rsidRPr="009B5AEB">
              <w:rPr>
                <w:rFonts w:ascii="Times New Roman" w:eastAsia="Times New Roman" w:hAnsi="Times New Roman" w:cs="Times New Roman"/>
                <w:i/>
                <w:iCs/>
                <w:color w:val="000000"/>
              </w:rPr>
              <w:t>ebsite</w:t>
            </w:r>
          </w:p>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w:t>
            </w: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0.039***</w:t>
            </w:r>
          </w:p>
          <w:p w:rsidR="006E4296" w:rsidRPr="009B5AEB" w:rsidRDefault="006E4296" w:rsidP="004F5BDC">
            <w:r w:rsidRPr="009B5AEB">
              <w:t>(0.011)</w:t>
            </w:r>
          </w:p>
        </w:tc>
        <w:tc>
          <w:tcPr>
            <w:tcW w:w="1134" w:type="dxa"/>
            <w:tcBorders>
              <w:top w:val="nil"/>
              <w:left w:val="nil"/>
              <w:bottom w:val="nil"/>
              <w:right w:val="nil"/>
            </w:tcBorders>
          </w:tcPr>
          <w:p w:rsidR="006E4296" w:rsidRPr="009B5AEB" w:rsidRDefault="006E4296" w:rsidP="004F5BDC">
            <w:r w:rsidRPr="009B5AEB">
              <w:t>0.038***   (0.011)</w:t>
            </w:r>
          </w:p>
        </w:tc>
        <w:tc>
          <w:tcPr>
            <w:tcW w:w="1221" w:type="dxa"/>
            <w:gridSpan w:val="2"/>
            <w:tcBorders>
              <w:top w:val="nil"/>
              <w:left w:val="nil"/>
              <w:bottom w:val="nil"/>
              <w:right w:val="nil"/>
            </w:tcBorders>
          </w:tcPr>
          <w:p w:rsidR="006E4296" w:rsidRPr="009B5AEB" w:rsidRDefault="006E4296" w:rsidP="004F5BDC">
            <w:r w:rsidRPr="009B5AEB">
              <w:t>0.038***   (0.011)</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City</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-0.035*</w:t>
            </w:r>
          </w:p>
          <w:p w:rsidR="006E4296" w:rsidRPr="009B5AEB" w:rsidRDefault="006E4296" w:rsidP="004F5BDC">
            <w:r w:rsidRPr="009B5AEB">
              <w:t>(0.020)</w:t>
            </w:r>
          </w:p>
        </w:tc>
        <w:tc>
          <w:tcPr>
            <w:tcW w:w="1134" w:type="dxa"/>
            <w:tcBorders>
              <w:top w:val="nil"/>
              <w:left w:val="nil"/>
              <w:bottom w:val="nil"/>
              <w:right w:val="nil"/>
            </w:tcBorders>
          </w:tcPr>
          <w:p w:rsidR="006E4296" w:rsidRPr="009B5AEB" w:rsidRDefault="006E4296" w:rsidP="004F5BDC">
            <w:r w:rsidRPr="009B5AEB">
              <w:t>-0.035*   (0.020)</w:t>
            </w:r>
          </w:p>
        </w:tc>
        <w:tc>
          <w:tcPr>
            <w:tcW w:w="1221" w:type="dxa"/>
            <w:gridSpan w:val="2"/>
            <w:tcBorders>
              <w:top w:val="nil"/>
              <w:left w:val="nil"/>
              <w:bottom w:val="nil"/>
              <w:right w:val="nil"/>
            </w:tcBorders>
          </w:tcPr>
          <w:p w:rsidR="006E4296" w:rsidRPr="009B5AEB" w:rsidRDefault="006E4296" w:rsidP="004F5BDC">
            <w:r w:rsidRPr="009B5AEB">
              <w:t>-0.035*   (0.020)</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Manager </w:t>
            </w:r>
            <w:r>
              <w:rPr>
                <w:rFonts w:ascii="Times New Roman" w:eastAsia="Times New Roman" w:hAnsi="Times New Roman" w:cs="Times New Roman"/>
                <w:i/>
                <w:iCs/>
                <w:color w:val="000000"/>
              </w:rPr>
              <w:t>E</w:t>
            </w:r>
            <w:r w:rsidRPr="009B5AEB">
              <w:rPr>
                <w:rFonts w:ascii="Times New Roman" w:eastAsia="Times New Roman" w:hAnsi="Times New Roman" w:cs="Times New Roman"/>
                <w:i/>
                <w:iCs/>
                <w:color w:val="000000"/>
              </w:rPr>
              <w:t xml:space="preserve">xperience </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0.003**   (0.001)</w:t>
            </w:r>
          </w:p>
        </w:tc>
        <w:tc>
          <w:tcPr>
            <w:tcW w:w="1221" w:type="dxa"/>
            <w:gridSpan w:val="2"/>
            <w:tcBorders>
              <w:top w:val="nil"/>
              <w:left w:val="nil"/>
              <w:bottom w:val="nil"/>
              <w:right w:val="nil"/>
            </w:tcBorders>
          </w:tcPr>
          <w:p w:rsidR="006E4296" w:rsidRPr="009B5AEB" w:rsidRDefault="006E4296" w:rsidP="004F5BDC">
            <w:r w:rsidRPr="009B5AEB">
              <w:t>0.003**   (0.001)</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Manager </w:t>
            </w:r>
            <w:r>
              <w:rPr>
                <w:rFonts w:ascii="Times New Roman" w:eastAsia="Times New Roman" w:hAnsi="Times New Roman" w:cs="Times New Roman"/>
                <w:i/>
                <w:iCs/>
                <w:color w:val="000000"/>
              </w:rPr>
              <w:t>E</w:t>
            </w:r>
            <w:r w:rsidRPr="009B5AEB">
              <w:rPr>
                <w:rFonts w:ascii="Times New Roman" w:eastAsia="Times New Roman" w:hAnsi="Times New Roman" w:cs="Times New Roman"/>
                <w:i/>
                <w:iCs/>
                <w:color w:val="000000"/>
              </w:rPr>
              <w:t xml:space="preserve">xperience </w:t>
            </w:r>
            <w:r>
              <w:rPr>
                <w:rFonts w:ascii="Times New Roman" w:eastAsia="Times New Roman" w:hAnsi="Times New Roman" w:cs="Times New Roman"/>
                <w:i/>
                <w:iCs/>
                <w:color w:val="000000"/>
              </w:rPr>
              <w:t>S</w:t>
            </w:r>
            <w:r w:rsidRPr="009B5AEB">
              <w:rPr>
                <w:rFonts w:ascii="Times New Roman" w:eastAsia="Times New Roman" w:hAnsi="Times New Roman" w:cs="Times New Roman"/>
                <w:i/>
                <w:iCs/>
                <w:color w:val="000000"/>
              </w:rPr>
              <w:t>quared</w:t>
            </w: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r w:rsidRPr="009B5AEB">
              <w:t>-0.008**  (0.003)</w:t>
            </w:r>
          </w:p>
        </w:tc>
        <w:tc>
          <w:tcPr>
            <w:tcW w:w="1221" w:type="dxa"/>
            <w:gridSpan w:val="2"/>
            <w:tcBorders>
              <w:top w:val="nil"/>
              <w:left w:val="nil"/>
              <w:bottom w:val="nil"/>
              <w:right w:val="nil"/>
            </w:tcBorders>
          </w:tcPr>
          <w:p w:rsidR="006E4296" w:rsidRPr="009B5AEB" w:rsidRDefault="006E4296" w:rsidP="004F5BDC">
            <w:r w:rsidRPr="009B5AEB">
              <w:t>-0.008**  (0.003)</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Log(</w:t>
            </w:r>
            <w:r>
              <w:rPr>
                <w:rFonts w:ascii="Times New Roman" w:eastAsia="Times New Roman" w:hAnsi="Times New Roman" w:cs="Times New Roman"/>
                <w:i/>
                <w:iCs/>
                <w:color w:val="000000"/>
              </w:rPr>
              <w:t>D</w:t>
            </w:r>
            <w:r w:rsidRPr="009B5AEB">
              <w:rPr>
                <w:rFonts w:ascii="Times New Roman" w:eastAsia="Times New Roman" w:hAnsi="Times New Roman" w:cs="Times New Roman"/>
                <w:i/>
                <w:iCs/>
                <w:color w:val="000000"/>
              </w:rPr>
              <w:t xml:space="preserve">omestic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redit)</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221" w:type="dxa"/>
            <w:gridSpan w:val="2"/>
            <w:tcBorders>
              <w:top w:val="nil"/>
              <w:left w:val="nil"/>
              <w:bottom w:val="nil"/>
              <w:right w:val="nil"/>
            </w:tcBorders>
          </w:tcPr>
          <w:p w:rsidR="006E4296" w:rsidRPr="009B5AEB" w:rsidRDefault="006E4296" w:rsidP="004F5BDC">
            <w:r w:rsidRPr="009B5AEB">
              <w:t>0.026*   (0.015)</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Inflation</w:t>
            </w:r>
          </w:p>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w:t>
            </w: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221" w:type="dxa"/>
            <w:gridSpan w:val="2"/>
            <w:tcBorders>
              <w:top w:val="nil"/>
              <w:left w:val="nil"/>
              <w:bottom w:val="nil"/>
              <w:right w:val="nil"/>
            </w:tcBorders>
          </w:tcPr>
          <w:p w:rsidR="006E4296" w:rsidRPr="009B5AEB" w:rsidRDefault="006E4296" w:rsidP="004F5BDC">
            <w:r w:rsidRPr="009B5AEB">
              <w:t>-0.007**   (0.002)</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Tax </w:t>
            </w:r>
            <w:r>
              <w:rPr>
                <w:rFonts w:ascii="Times New Roman" w:eastAsia="Times New Roman" w:hAnsi="Times New Roman" w:cs="Times New Roman"/>
                <w:i/>
                <w:iCs/>
                <w:color w:val="000000"/>
              </w:rPr>
              <w:t>R</w:t>
            </w:r>
            <w:r w:rsidRPr="009B5AEB">
              <w:rPr>
                <w:rFonts w:ascii="Times New Roman" w:eastAsia="Times New Roman" w:hAnsi="Times New Roman" w:cs="Times New Roman"/>
                <w:i/>
                <w:iCs/>
                <w:color w:val="000000"/>
              </w:rPr>
              <w:t>ate</w:t>
            </w:r>
          </w:p>
          <w:p w:rsidR="006E4296" w:rsidRPr="009B5AEB" w:rsidRDefault="006E4296" w:rsidP="004F5BDC">
            <w:pPr>
              <w:rPr>
                <w:rFonts w:ascii="Times New Roman" w:eastAsia="Times New Roman" w:hAnsi="Times New Roman" w:cs="Times New Roman"/>
                <w:i/>
                <w:iCs/>
                <w:color w:val="000000"/>
              </w:rPr>
            </w:pPr>
          </w:p>
        </w:tc>
        <w:tc>
          <w:tcPr>
            <w:tcW w:w="1059" w:type="dxa"/>
            <w:tcBorders>
              <w:top w:val="nil"/>
              <w:left w:val="nil"/>
              <w:bottom w:val="nil"/>
              <w:right w:val="nil"/>
            </w:tcBorders>
          </w:tcPr>
          <w:p w:rsidR="006E4296" w:rsidRPr="009B5AEB" w:rsidRDefault="006E4296" w:rsidP="004F5BDC">
            <w:pPr>
              <w:jc w:val="center"/>
            </w:pPr>
            <w:r w:rsidRPr="009B5AEB">
              <w:t>-</w:t>
            </w:r>
          </w:p>
        </w:tc>
        <w:tc>
          <w:tcPr>
            <w:tcW w:w="1047"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134" w:type="dxa"/>
            <w:tcBorders>
              <w:top w:val="nil"/>
              <w:left w:val="nil"/>
              <w:bottom w:val="nil"/>
              <w:right w:val="nil"/>
            </w:tcBorders>
          </w:tcPr>
          <w:p w:rsidR="006E4296" w:rsidRPr="009B5AEB" w:rsidRDefault="006E4296" w:rsidP="004F5BDC"/>
        </w:tc>
        <w:tc>
          <w:tcPr>
            <w:tcW w:w="1221" w:type="dxa"/>
            <w:gridSpan w:val="2"/>
            <w:tcBorders>
              <w:top w:val="nil"/>
              <w:left w:val="nil"/>
              <w:bottom w:val="nil"/>
              <w:right w:val="nil"/>
            </w:tcBorders>
          </w:tcPr>
          <w:p w:rsidR="006E4296" w:rsidRPr="009B5AEB" w:rsidRDefault="006E4296" w:rsidP="004F5BDC">
            <w:r>
              <w:t xml:space="preserve"> -</w:t>
            </w:r>
            <w:r w:rsidRPr="009B5AEB">
              <w:t>0.015***   (0.001)</w:t>
            </w:r>
          </w:p>
        </w:tc>
      </w:tr>
      <w:tr w:rsidR="006E4296" w:rsidRPr="009B5AEB" w:rsidTr="004F5BDC">
        <w:tc>
          <w:tcPr>
            <w:tcW w:w="2310"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Number of Observations</w:t>
            </w:r>
          </w:p>
        </w:tc>
        <w:tc>
          <w:tcPr>
            <w:tcW w:w="1059" w:type="dxa"/>
            <w:tcBorders>
              <w:top w:val="nil"/>
              <w:left w:val="nil"/>
              <w:bottom w:val="nil"/>
              <w:right w:val="nil"/>
            </w:tcBorders>
          </w:tcPr>
          <w:p w:rsidR="006E4296" w:rsidRPr="009B5AEB" w:rsidRDefault="006E4296" w:rsidP="004F5BDC">
            <w:pPr>
              <w:jc w:val="center"/>
            </w:pPr>
          </w:p>
        </w:tc>
        <w:tc>
          <w:tcPr>
            <w:tcW w:w="1047" w:type="dxa"/>
            <w:tcBorders>
              <w:top w:val="nil"/>
              <w:left w:val="nil"/>
              <w:bottom w:val="nil"/>
              <w:right w:val="nil"/>
            </w:tcBorders>
          </w:tcPr>
          <w:p w:rsidR="006E4296" w:rsidRPr="009B5AEB" w:rsidRDefault="006E4296" w:rsidP="004F5BDC">
            <w:r w:rsidRPr="009B5AEB">
              <w:t>10,249</w:t>
            </w:r>
          </w:p>
        </w:tc>
        <w:tc>
          <w:tcPr>
            <w:tcW w:w="1134" w:type="dxa"/>
            <w:tcBorders>
              <w:top w:val="nil"/>
              <w:left w:val="nil"/>
              <w:bottom w:val="nil"/>
              <w:right w:val="nil"/>
            </w:tcBorders>
          </w:tcPr>
          <w:p w:rsidR="006E4296" w:rsidRPr="009B5AEB" w:rsidRDefault="006E4296" w:rsidP="004F5BDC">
            <w:r w:rsidRPr="009B5AEB">
              <w:t>10,139</w:t>
            </w:r>
          </w:p>
        </w:tc>
        <w:tc>
          <w:tcPr>
            <w:tcW w:w="1134" w:type="dxa"/>
            <w:tcBorders>
              <w:top w:val="nil"/>
              <w:left w:val="nil"/>
              <w:bottom w:val="nil"/>
              <w:right w:val="nil"/>
            </w:tcBorders>
          </w:tcPr>
          <w:p w:rsidR="006E4296" w:rsidRPr="009B5AEB" w:rsidRDefault="006E4296" w:rsidP="004F5BDC">
            <w:r w:rsidRPr="009B5AEB">
              <w:t>8,359</w:t>
            </w:r>
          </w:p>
        </w:tc>
        <w:tc>
          <w:tcPr>
            <w:tcW w:w="1134" w:type="dxa"/>
            <w:tcBorders>
              <w:top w:val="nil"/>
              <w:left w:val="nil"/>
              <w:bottom w:val="nil"/>
              <w:right w:val="nil"/>
            </w:tcBorders>
          </w:tcPr>
          <w:p w:rsidR="006E4296" w:rsidRPr="009B5AEB" w:rsidRDefault="006E4296" w:rsidP="004F5BDC">
            <w:r w:rsidRPr="009B5AEB">
              <w:t>8,235</w:t>
            </w:r>
          </w:p>
        </w:tc>
        <w:tc>
          <w:tcPr>
            <w:tcW w:w="1221" w:type="dxa"/>
            <w:gridSpan w:val="2"/>
            <w:tcBorders>
              <w:top w:val="nil"/>
              <w:left w:val="nil"/>
              <w:bottom w:val="nil"/>
              <w:right w:val="nil"/>
            </w:tcBorders>
          </w:tcPr>
          <w:p w:rsidR="006E4296" w:rsidRPr="009B5AEB" w:rsidRDefault="006E4296" w:rsidP="004F5BDC">
            <w:r w:rsidRPr="009B5AEB">
              <w:t>8,235</w:t>
            </w:r>
          </w:p>
        </w:tc>
      </w:tr>
      <w:tr w:rsidR="006E4296" w:rsidRPr="009B5AEB" w:rsidTr="004F5BDC">
        <w:tc>
          <w:tcPr>
            <w:tcW w:w="2310" w:type="dxa"/>
            <w:tcBorders>
              <w:top w:val="nil"/>
              <w:left w:val="nil"/>
              <w:bottom w:val="single" w:sz="4" w:space="0" w:color="auto"/>
              <w:right w:val="nil"/>
            </w:tcBorders>
            <w:vAlign w:val="center"/>
          </w:tcPr>
          <w:p w:rsidR="006E4296" w:rsidRPr="009B5AEB" w:rsidRDefault="006E4296" w:rsidP="004F5BDC">
            <w:pP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 xml:space="preserve">Correctly Classified </w:t>
            </w:r>
          </w:p>
        </w:tc>
        <w:tc>
          <w:tcPr>
            <w:tcW w:w="1059" w:type="dxa"/>
            <w:tcBorders>
              <w:top w:val="nil"/>
              <w:left w:val="nil"/>
              <w:bottom w:val="single" w:sz="4" w:space="0" w:color="auto"/>
              <w:right w:val="nil"/>
            </w:tcBorders>
          </w:tcPr>
          <w:p w:rsidR="006E4296" w:rsidRPr="009B5AEB" w:rsidRDefault="006E4296" w:rsidP="004F5BDC">
            <w:pPr>
              <w:jc w:val="center"/>
            </w:pPr>
          </w:p>
        </w:tc>
        <w:tc>
          <w:tcPr>
            <w:tcW w:w="1047" w:type="dxa"/>
            <w:tcBorders>
              <w:top w:val="nil"/>
              <w:left w:val="nil"/>
              <w:bottom w:val="single" w:sz="4" w:space="0" w:color="auto"/>
              <w:right w:val="nil"/>
            </w:tcBorders>
          </w:tcPr>
          <w:p w:rsidR="006E4296" w:rsidRPr="009B5AEB" w:rsidRDefault="006E4296" w:rsidP="004F5BDC">
            <w:r w:rsidRPr="009B5AEB">
              <w:t>72.23%</w:t>
            </w:r>
          </w:p>
        </w:tc>
        <w:tc>
          <w:tcPr>
            <w:tcW w:w="1134" w:type="dxa"/>
            <w:tcBorders>
              <w:top w:val="nil"/>
              <w:left w:val="nil"/>
              <w:bottom w:val="single" w:sz="4" w:space="0" w:color="auto"/>
              <w:right w:val="nil"/>
            </w:tcBorders>
          </w:tcPr>
          <w:p w:rsidR="006E4296" w:rsidRPr="009B5AEB" w:rsidRDefault="006E4296" w:rsidP="004F5BDC">
            <w:r w:rsidRPr="009B5AEB">
              <w:t>72.19%</w:t>
            </w:r>
          </w:p>
        </w:tc>
        <w:tc>
          <w:tcPr>
            <w:tcW w:w="1134" w:type="dxa"/>
            <w:tcBorders>
              <w:top w:val="nil"/>
              <w:left w:val="nil"/>
              <w:bottom w:val="single" w:sz="4" w:space="0" w:color="auto"/>
              <w:right w:val="nil"/>
            </w:tcBorders>
          </w:tcPr>
          <w:p w:rsidR="006E4296" w:rsidRPr="009B5AEB" w:rsidRDefault="006E4296" w:rsidP="004F5BDC">
            <w:r w:rsidRPr="009B5AEB">
              <w:t>72.57%</w:t>
            </w:r>
          </w:p>
        </w:tc>
        <w:tc>
          <w:tcPr>
            <w:tcW w:w="1134" w:type="dxa"/>
            <w:tcBorders>
              <w:top w:val="nil"/>
              <w:left w:val="nil"/>
              <w:bottom w:val="single" w:sz="4" w:space="0" w:color="auto"/>
              <w:right w:val="nil"/>
            </w:tcBorders>
          </w:tcPr>
          <w:p w:rsidR="006E4296" w:rsidRPr="009B5AEB" w:rsidRDefault="006E4296" w:rsidP="004F5BDC">
            <w:r w:rsidRPr="009B5AEB">
              <w:t>72.60%</w:t>
            </w:r>
          </w:p>
        </w:tc>
        <w:tc>
          <w:tcPr>
            <w:tcW w:w="1221" w:type="dxa"/>
            <w:gridSpan w:val="2"/>
            <w:tcBorders>
              <w:top w:val="nil"/>
              <w:left w:val="nil"/>
              <w:bottom w:val="single" w:sz="4" w:space="0" w:color="auto"/>
              <w:right w:val="nil"/>
            </w:tcBorders>
          </w:tcPr>
          <w:p w:rsidR="006E4296" w:rsidRPr="009B5AEB" w:rsidRDefault="006E4296" w:rsidP="004F5BDC">
            <w:r w:rsidRPr="009B5AEB">
              <w:t>72.60%</w:t>
            </w:r>
          </w:p>
        </w:tc>
      </w:tr>
    </w:tbl>
    <w:p w:rsidR="006E4296" w:rsidRPr="009B5AEB" w:rsidRDefault="006E4296" w:rsidP="006E4296">
      <w:pPr>
        <w:spacing w:after="0"/>
        <w:jc w:val="both"/>
      </w:pPr>
      <w:r w:rsidRPr="009B5AEB">
        <w:rPr>
          <w:rFonts w:ascii="Times New Roman" w:hAnsi="Times New Roman" w:cs="Times New Roman"/>
        </w:rPr>
        <w:t xml:space="preserve">Notes: *** refers to 1%, ** to 5%, and * to 10% levels of significance respectively. Constant terms not reported for brevity. Country, industry and time dummies are included in all regressions. Asymptotic standard errors, clustered by country, are reported in parentheses. Coefficients are </w:t>
      </w:r>
      <w:proofErr w:type="spellStart"/>
      <w:proofErr w:type="gramStart"/>
      <w:r w:rsidRPr="009B5AEB">
        <w:rPr>
          <w:rFonts w:ascii="Times New Roman" w:hAnsi="Times New Roman" w:cs="Times New Roman"/>
        </w:rPr>
        <w:t>Probit</w:t>
      </w:r>
      <w:proofErr w:type="spellEnd"/>
      <w:proofErr w:type="gramEnd"/>
      <w:r w:rsidRPr="009B5AEB">
        <w:rPr>
          <w:rFonts w:ascii="Times New Roman" w:hAnsi="Times New Roman" w:cs="Times New Roman"/>
        </w:rPr>
        <w:t xml:space="preserve"> marginal effects at the mean.</w:t>
      </w:r>
    </w:p>
    <w:p w:rsidR="006E4296" w:rsidRPr="009B5AEB" w:rsidRDefault="006E4296" w:rsidP="006E4296">
      <w:pPr>
        <w:rPr>
          <w:rFonts w:ascii="Times New Roman" w:hAnsi="Times New Roman" w:cs="Times New Roman"/>
          <w:b/>
        </w:rPr>
      </w:pPr>
    </w:p>
    <w:p w:rsidR="006E4296" w:rsidRDefault="006E4296" w:rsidP="006E4296">
      <w:pPr>
        <w:rPr>
          <w:rFonts w:ascii="Times New Roman" w:hAnsi="Times New Roman" w:cs="Times New Roman"/>
          <w:b/>
        </w:rPr>
      </w:pPr>
      <w:r w:rsidRPr="009B5AEB">
        <w:rPr>
          <w:rFonts w:ascii="Times New Roman" w:hAnsi="Times New Roman" w:cs="Times New Roman"/>
          <w:b/>
        </w:rPr>
        <w:tab/>
      </w:r>
      <w:r w:rsidRPr="009B5AEB">
        <w:rPr>
          <w:rFonts w:ascii="Times New Roman" w:hAnsi="Times New Roman" w:cs="Times New Roman"/>
          <w:b/>
        </w:rPr>
        <w:br w:type="page"/>
      </w:r>
    </w:p>
    <w:p w:rsidR="006E4296" w:rsidRDefault="006E4296" w:rsidP="006E4296">
      <w:pPr>
        <w:rPr>
          <w:rFonts w:ascii="Times New Roman" w:hAnsi="Times New Roman" w:cs="Times New Roman"/>
          <w: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1059"/>
        <w:gridCol w:w="971"/>
        <w:gridCol w:w="1134"/>
        <w:gridCol w:w="1134"/>
        <w:gridCol w:w="1134"/>
        <w:gridCol w:w="1134"/>
      </w:tblGrid>
      <w:tr w:rsidR="006E4296" w:rsidRPr="004706FC" w:rsidTr="004F5BDC">
        <w:tc>
          <w:tcPr>
            <w:tcW w:w="8876" w:type="dxa"/>
            <w:gridSpan w:val="7"/>
            <w:tcBorders>
              <w:top w:val="nil"/>
              <w:bottom w:val="single" w:sz="4" w:space="0" w:color="auto"/>
            </w:tcBorders>
            <w:vAlign w:val="center"/>
          </w:tcPr>
          <w:p w:rsidR="006E4296" w:rsidRDefault="006E4296" w:rsidP="004F5BDC">
            <w:pPr>
              <w:rPr>
                <w:sz w:val="20"/>
                <w:szCs w:val="20"/>
              </w:rPr>
            </w:pPr>
            <w:r>
              <w:rPr>
                <w:rFonts w:ascii="Times New Roman" w:hAnsi="Times New Roman" w:cs="Times New Roman"/>
                <w:b/>
                <w:sz w:val="20"/>
                <w:szCs w:val="20"/>
              </w:rPr>
              <w:t xml:space="preserve">Table 6 : </w:t>
            </w:r>
            <w:r w:rsidRPr="00E77AD1">
              <w:rPr>
                <w:rFonts w:ascii="Times New Roman" w:hAnsi="Times New Roman" w:cs="Times New Roman"/>
                <w:b/>
                <w:i/>
                <w:sz w:val="20"/>
                <w:szCs w:val="20"/>
              </w:rPr>
              <w:t>Loan Interest</w:t>
            </w:r>
            <w:r>
              <w:rPr>
                <w:rFonts w:ascii="Times New Roman" w:hAnsi="Times New Roman" w:cs="Times New Roman"/>
                <w:b/>
                <w:sz w:val="20"/>
                <w:szCs w:val="20"/>
              </w:rPr>
              <w:t xml:space="preserve"> estimations</w:t>
            </w:r>
          </w:p>
        </w:tc>
      </w:tr>
      <w:tr w:rsidR="006E4296" w:rsidRPr="004706FC" w:rsidTr="004F5BDC">
        <w:tc>
          <w:tcPr>
            <w:tcW w:w="2310" w:type="dxa"/>
            <w:tcBorders>
              <w:top w:val="single" w:sz="4" w:space="0" w:color="auto"/>
              <w:bottom w:val="single" w:sz="4" w:space="0" w:color="auto"/>
            </w:tcBorders>
            <w:vAlign w:val="center"/>
          </w:tcPr>
          <w:p w:rsidR="006E4296" w:rsidRPr="00662AA2" w:rsidRDefault="006E4296" w:rsidP="004F5BDC">
            <w:pP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Predictors</w:t>
            </w:r>
          </w:p>
        </w:tc>
        <w:tc>
          <w:tcPr>
            <w:tcW w:w="1059" w:type="dxa"/>
            <w:tcBorders>
              <w:top w:val="single" w:sz="4" w:space="0" w:color="auto"/>
              <w:bottom w:val="single" w:sz="4" w:space="0" w:color="auto"/>
            </w:tcBorders>
          </w:tcPr>
          <w:p w:rsidR="006E4296" w:rsidRPr="004706FC" w:rsidRDefault="006E4296" w:rsidP="004F5BDC">
            <w:pPr>
              <w:rPr>
                <w:sz w:val="20"/>
                <w:szCs w:val="20"/>
              </w:rPr>
            </w:pPr>
            <w:r w:rsidRPr="004706FC">
              <w:rPr>
                <w:sz w:val="20"/>
                <w:szCs w:val="20"/>
              </w:rPr>
              <w:t>Exp. Sign</w:t>
            </w:r>
          </w:p>
        </w:tc>
        <w:tc>
          <w:tcPr>
            <w:tcW w:w="971" w:type="dxa"/>
            <w:tcBorders>
              <w:top w:val="single" w:sz="4" w:space="0" w:color="auto"/>
              <w:bottom w:val="single" w:sz="4" w:space="0" w:color="auto"/>
            </w:tcBorders>
          </w:tcPr>
          <w:p w:rsidR="006E4296" w:rsidRPr="004706FC" w:rsidRDefault="006E4296" w:rsidP="004F5BDC">
            <w:pPr>
              <w:jc w:val="center"/>
              <w:rPr>
                <w:sz w:val="20"/>
                <w:szCs w:val="20"/>
              </w:rPr>
            </w:pPr>
            <w:r>
              <w:rPr>
                <w:sz w:val="20"/>
                <w:szCs w:val="20"/>
              </w:rPr>
              <w:t>Model 6</w:t>
            </w:r>
          </w:p>
        </w:tc>
        <w:tc>
          <w:tcPr>
            <w:tcW w:w="1134" w:type="dxa"/>
            <w:tcBorders>
              <w:top w:val="single" w:sz="4" w:space="0" w:color="auto"/>
              <w:bottom w:val="single" w:sz="4" w:space="0" w:color="auto"/>
            </w:tcBorders>
          </w:tcPr>
          <w:p w:rsidR="006E4296" w:rsidRPr="004706FC" w:rsidRDefault="006E4296" w:rsidP="004F5BDC">
            <w:pPr>
              <w:jc w:val="center"/>
              <w:rPr>
                <w:sz w:val="20"/>
                <w:szCs w:val="20"/>
              </w:rPr>
            </w:pPr>
            <w:r>
              <w:rPr>
                <w:sz w:val="20"/>
                <w:szCs w:val="20"/>
              </w:rPr>
              <w:t>Model 7</w:t>
            </w:r>
          </w:p>
        </w:tc>
        <w:tc>
          <w:tcPr>
            <w:tcW w:w="1134" w:type="dxa"/>
            <w:tcBorders>
              <w:top w:val="single" w:sz="4" w:space="0" w:color="auto"/>
              <w:bottom w:val="single" w:sz="4" w:space="0" w:color="auto"/>
              <w:right w:val="nil"/>
            </w:tcBorders>
          </w:tcPr>
          <w:p w:rsidR="006E4296" w:rsidRPr="004706FC" w:rsidRDefault="006E4296" w:rsidP="004F5BDC">
            <w:pPr>
              <w:jc w:val="center"/>
              <w:rPr>
                <w:sz w:val="20"/>
                <w:szCs w:val="20"/>
              </w:rPr>
            </w:pPr>
            <w:r>
              <w:rPr>
                <w:sz w:val="20"/>
                <w:szCs w:val="20"/>
              </w:rPr>
              <w:t>Model 8</w:t>
            </w:r>
          </w:p>
        </w:tc>
        <w:tc>
          <w:tcPr>
            <w:tcW w:w="1134" w:type="dxa"/>
            <w:tcBorders>
              <w:top w:val="single" w:sz="4" w:space="0" w:color="auto"/>
              <w:left w:val="nil"/>
              <w:bottom w:val="single" w:sz="4" w:space="0" w:color="auto"/>
              <w:right w:val="nil"/>
            </w:tcBorders>
          </w:tcPr>
          <w:p w:rsidR="006E4296" w:rsidRPr="004706FC" w:rsidRDefault="006E4296" w:rsidP="004F5BDC">
            <w:pPr>
              <w:jc w:val="center"/>
              <w:rPr>
                <w:sz w:val="20"/>
                <w:szCs w:val="20"/>
              </w:rPr>
            </w:pPr>
            <w:r>
              <w:rPr>
                <w:sz w:val="20"/>
                <w:szCs w:val="20"/>
              </w:rPr>
              <w:t>Model 9</w:t>
            </w:r>
          </w:p>
        </w:tc>
        <w:tc>
          <w:tcPr>
            <w:tcW w:w="1134" w:type="dxa"/>
            <w:tcBorders>
              <w:top w:val="single" w:sz="4" w:space="0" w:color="auto"/>
              <w:left w:val="nil"/>
              <w:bottom w:val="single" w:sz="4" w:space="0" w:color="auto"/>
              <w:right w:val="nil"/>
            </w:tcBorders>
          </w:tcPr>
          <w:p w:rsidR="006E4296" w:rsidRDefault="006E4296" w:rsidP="004F5BDC">
            <w:pPr>
              <w:jc w:val="center"/>
              <w:rPr>
                <w:sz w:val="20"/>
                <w:szCs w:val="20"/>
              </w:rPr>
            </w:pPr>
            <w:r>
              <w:rPr>
                <w:sz w:val="20"/>
                <w:szCs w:val="20"/>
              </w:rPr>
              <w:t>Model 10</w:t>
            </w:r>
          </w:p>
        </w:tc>
      </w:tr>
      <w:tr w:rsidR="006E4296" w:rsidRPr="004706FC" w:rsidTr="004F5BDC">
        <w:tc>
          <w:tcPr>
            <w:tcW w:w="2310" w:type="dxa"/>
            <w:tcBorders>
              <w:top w:val="single" w:sz="4" w:space="0" w:color="auto"/>
              <w:left w:val="nil"/>
              <w:bottom w:val="nil"/>
              <w:right w:val="nil"/>
            </w:tcBorders>
            <w:vAlign w:val="center"/>
          </w:tcPr>
          <w:p w:rsidR="006E4296" w:rsidRDefault="006E4296" w:rsidP="004F5BDC">
            <w:pPr>
              <w:rPr>
                <w:rFonts w:ascii="Times New Roman" w:eastAsia="Times New Roman" w:hAnsi="Times New Roman" w:cs="Times New Roman"/>
                <w:i/>
                <w:iCs/>
                <w:color w:val="000000"/>
                <w:sz w:val="20"/>
                <w:szCs w:val="20"/>
              </w:rPr>
            </w:pPr>
          </w:p>
          <w:p w:rsidR="006E4296" w:rsidRPr="004706FC" w:rsidRDefault="006E4296" w:rsidP="004F5BDC">
            <w:pPr>
              <w:rPr>
                <w:rFonts w:ascii="Times New Roman" w:eastAsia="Times New Roman" w:hAnsi="Times New Roman" w:cs="Times New Roman"/>
                <w:i/>
                <w:iCs/>
                <w:color w:val="000000"/>
                <w:sz w:val="20"/>
                <w:szCs w:val="20"/>
              </w:rPr>
            </w:pPr>
            <w:r w:rsidRPr="004706FC">
              <w:rPr>
                <w:rFonts w:ascii="Times New Roman" w:eastAsia="Times New Roman" w:hAnsi="Times New Roman" w:cs="Times New Roman"/>
                <w:i/>
                <w:iCs/>
                <w:color w:val="000000"/>
                <w:sz w:val="20"/>
                <w:szCs w:val="20"/>
              </w:rPr>
              <w:t xml:space="preserve">Bribes and </w:t>
            </w:r>
            <w:r>
              <w:rPr>
                <w:rFonts w:ascii="Times New Roman" w:eastAsia="Times New Roman" w:hAnsi="Times New Roman" w:cs="Times New Roman"/>
                <w:i/>
                <w:iCs/>
                <w:color w:val="000000"/>
                <w:sz w:val="20"/>
                <w:szCs w:val="20"/>
              </w:rPr>
              <w:t>G</w:t>
            </w:r>
            <w:r w:rsidRPr="004706FC">
              <w:rPr>
                <w:rFonts w:ascii="Times New Roman" w:eastAsia="Times New Roman" w:hAnsi="Times New Roman" w:cs="Times New Roman"/>
                <w:i/>
                <w:iCs/>
                <w:color w:val="000000"/>
                <w:sz w:val="20"/>
                <w:szCs w:val="20"/>
              </w:rPr>
              <w:t>ifts</w:t>
            </w:r>
          </w:p>
          <w:p w:rsidR="006E4296" w:rsidRPr="004706FC" w:rsidRDefault="006E4296" w:rsidP="004F5BDC">
            <w:pPr>
              <w:rPr>
                <w:rFonts w:ascii="Times New Roman" w:eastAsia="Times New Roman" w:hAnsi="Times New Roman" w:cs="Times New Roman"/>
                <w:i/>
                <w:iCs/>
                <w:color w:val="000000"/>
                <w:sz w:val="20"/>
                <w:szCs w:val="20"/>
              </w:rPr>
            </w:pPr>
          </w:p>
        </w:tc>
        <w:tc>
          <w:tcPr>
            <w:tcW w:w="1059" w:type="dxa"/>
            <w:tcBorders>
              <w:top w:val="single" w:sz="4" w:space="0" w:color="auto"/>
              <w:left w:val="nil"/>
              <w:bottom w:val="nil"/>
              <w:right w:val="nil"/>
            </w:tcBorders>
          </w:tcPr>
          <w:p w:rsidR="006E4296" w:rsidRDefault="006E4296" w:rsidP="004F5BDC">
            <w:pPr>
              <w:jc w:val="center"/>
              <w:rPr>
                <w:sz w:val="20"/>
                <w:szCs w:val="20"/>
              </w:rPr>
            </w:pPr>
          </w:p>
          <w:p w:rsidR="006E4296" w:rsidRPr="004706FC" w:rsidRDefault="006E4296" w:rsidP="004F5BDC">
            <w:pPr>
              <w:jc w:val="center"/>
              <w:rPr>
                <w:sz w:val="20"/>
                <w:szCs w:val="20"/>
              </w:rPr>
            </w:pPr>
            <w:r>
              <w:rPr>
                <w:sz w:val="20"/>
                <w:szCs w:val="20"/>
              </w:rPr>
              <w:t>-</w:t>
            </w:r>
          </w:p>
        </w:tc>
        <w:tc>
          <w:tcPr>
            <w:tcW w:w="971" w:type="dxa"/>
            <w:tcBorders>
              <w:top w:val="single" w:sz="4" w:space="0" w:color="auto"/>
              <w:left w:val="nil"/>
              <w:bottom w:val="nil"/>
              <w:right w:val="nil"/>
            </w:tcBorders>
          </w:tcPr>
          <w:p w:rsidR="006E4296" w:rsidRDefault="006E4296" w:rsidP="004F5BDC">
            <w:pPr>
              <w:rPr>
                <w:sz w:val="20"/>
                <w:szCs w:val="20"/>
              </w:rPr>
            </w:pPr>
          </w:p>
          <w:p w:rsidR="006E4296" w:rsidRDefault="006E4296" w:rsidP="004F5BDC">
            <w:pPr>
              <w:rPr>
                <w:sz w:val="20"/>
                <w:szCs w:val="20"/>
              </w:rPr>
            </w:pPr>
            <w:r>
              <w:rPr>
                <w:sz w:val="20"/>
                <w:szCs w:val="20"/>
              </w:rPr>
              <w:t>- 0.118</w:t>
            </w:r>
          </w:p>
          <w:p w:rsidR="006E4296" w:rsidRPr="004706FC" w:rsidRDefault="006E4296" w:rsidP="004F5BDC">
            <w:pPr>
              <w:rPr>
                <w:sz w:val="20"/>
                <w:szCs w:val="20"/>
              </w:rPr>
            </w:pPr>
            <w:r>
              <w:rPr>
                <w:sz w:val="20"/>
                <w:szCs w:val="20"/>
              </w:rPr>
              <w:t>(0.217)</w:t>
            </w:r>
          </w:p>
        </w:tc>
        <w:tc>
          <w:tcPr>
            <w:tcW w:w="1134" w:type="dxa"/>
            <w:tcBorders>
              <w:top w:val="single" w:sz="4" w:space="0" w:color="auto"/>
              <w:left w:val="nil"/>
              <w:bottom w:val="nil"/>
              <w:right w:val="nil"/>
            </w:tcBorders>
          </w:tcPr>
          <w:p w:rsidR="006E4296" w:rsidRDefault="006E4296" w:rsidP="004F5BDC">
            <w:pPr>
              <w:rPr>
                <w:sz w:val="20"/>
                <w:szCs w:val="20"/>
              </w:rPr>
            </w:pPr>
          </w:p>
          <w:p w:rsidR="006E4296" w:rsidRDefault="006E4296" w:rsidP="004F5BDC">
            <w:pPr>
              <w:rPr>
                <w:sz w:val="20"/>
                <w:szCs w:val="20"/>
              </w:rPr>
            </w:pPr>
            <w:r>
              <w:rPr>
                <w:sz w:val="20"/>
                <w:szCs w:val="20"/>
              </w:rPr>
              <w:t>- 0.151</w:t>
            </w:r>
          </w:p>
          <w:p w:rsidR="006E4296" w:rsidRPr="004706FC" w:rsidRDefault="006E4296" w:rsidP="004F5BDC">
            <w:pPr>
              <w:rPr>
                <w:sz w:val="20"/>
                <w:szCs w:val="20"/>
              </w:rPr>
            </w:pPr>
            <w:r>
              <w:rPr>
                <w:sz w:val="20"/>
                <w:szCs w:val="20"/>
              </w:rPr>
              <w:t>(0.238)</w:t>
            </w:r>
          </w:p>
        </w:tc>
        <w:tc>
          <w:tcPr>
            <w:tcW w:w="1134" w:type="dxa"/>
            <w:tcBorders>
              <w:top w:val="single" w:sz="4" w:space="0" w:color="auto"/>
              <w:left w:val="nil"/>
              <w:bottom w:val="nil"/>
              <w:right w:val="nil"/>
            </w:tcBorders>
          </w:tcPr>
          <w:p w:rsidR="006E4296" w:rsidRDefault="006E4296" w:rsidP="004F5BDC">
            <w:pPr>
              <w:rPr>
                <w:sz w:val="20"/>
                <w:szCs w:val="20"/>
              </w:rPr>
            </w:pPr>
          </w:p>
          <w:p w:rsidR="006E4296" w:rsidRPr="004706FC" w:rsidRDefault="006E4296" w:rsidP="004F5BDC">
            <w:pPr>
              <w:rPr>
                <w:sz w:val="20"/>
                <w:szCs w:val="20"/>
              </w:rPr>
            </w:pPr>
            <w:r>
              <w:rPr>
                <w:sz w:val="20"/>
                <w:szCs w:val="20"/>
              </w:rPr>
              <w:t>- 0.270</w:t>
            </w:r>
            <w:r w:rsidRPr="00464645">
              <w:rPr>
                <w:sz w:val="20"/>
                <w:szCs w:val="20"/>
              </w:rPr>
              <w:t xml:space="preserve">   </w:t>
            </w:r>
            <w:r>
              <w:rPr>
                <w:sz w:val="20"/>
                <w:szCs w:val="20"/>
              </w:rPr>
              <w:t>(0</w:t>
            </w:r>
            <w:r w:rsidRPr="00464645">
              <w:rPr>
                <w:sz w:val="20"/>
                <w:szCs w:val="20"/>
              </w:rPr>
              <w:t>.289</w:t>
            </w:r>
            <w:r>
              <w:rPr>
                <w:sz w:val="20"/>
                <w:szCs w:val="20"/>
              </w:rPr>
              <w:t>)</w:t>
            </w:r>
          </w:p>
        </w:tc>
        <w:tc>
          <w:tcPr>
            <w:tcW w:w="1134" w:type="dxa"/>
            <w:tcBorders>
              <w:top w:val="single" w:sz="4" w:space="0" w:color="auto"/>
              <w:left w:val="nil"/>
              <w:bottom w:val="nil"/>
              <w:right w:val="nil"/>
            </w:tcBorders>
          </w:tcPr>
          <w:p w:rsidR="006E4296" w:rsidRDefault="006E4296" w:rsidP="004F5BDC">
            <w:pPr>
              <w:rPr>
                <w:sz w:val="20"/>
                <w:szCs w:val="20"/>
              </w:rPr>
            </w:pPr>
          </w:p>
          <w:p w:rsidR="006E4296" w:rsidRPr="004706FC" w:rsidRDefault="006E4296" w:rsidP="004F5BDC">
            <w:pPr>
              <w:rPr>
                <w:sz w:val="20"/>
                <w:szCs w:val="20"/>
              </w:rPr>
            </w:pPr>
            <w:r>
              <w:rPr>
                <w:sz w:val="20"/>
                <w:szCs w:val="20"/>
              </w:rPr>
              <w:t>- 0.280</w:t>
            </w:r>
            <w:r w:rsidRPr="00C97051">
              <w:rPr>
                <w:sz w:val="20"/>
                <w:szCs w:val="20"/>
              </w:rPr>
              <w:t xml:space="preserve">    </w:t>
            </w:r>
            <w:r>
              <w:rPr>
                <w:sz w:val="20"/>
                <w:szCs w:val="20"/>
              </w:rPr>
              <w:t>(0</w:t>
            </w:r>
            <w:r w:rsidRPr="00C97051">
              <w:rPr>
                <w:sz w:val="20"/>
                <w:szCs w:val="20"/>
              </w:rPr>
              <w:t>.274</w:t>
            </w:r>
            <w:r>
              <w:rPr>
                <w:sz w:val="20"/>
                <w:szCs w:val="20"/>
              </w:rPr>
              <w:t>)</w:t>
            </w:r>
          </w:p>
        </w:tc>
        <w:tc>
          <w:tcPr>
            <w:tcW w:w="1134" w:type="dxa"/>
            <w:tcBorders>
              <w:top w:val="single" w:sz="4" w:space="0" w:color="auto"/>
              <w:left w:val="nil"/>
              <w:bottom w:val="nil"/>
              <w:right w:val="nil"/>
            </w:tcBorders>
          </w:tcPr>
          <w:p w:rsidR="006E4296" w:rsidRDefault="006E4296" w:rsidP="004F5BDC">
            <w:pPr>
              <w:rPr>
                <w:sz w:val="20"/>
                <w:szCs w:val="20"/>
              </w:rPr>
            </w:pPr>
          </w:p>
          <w:p w:rsidR="006E4296" w:rsidRDefault="006E4296" w:rsidP="004F5BDC">
            <w:pPr>
              <w:rPr>
                <w:sz w:val="20"/>
                <w:szCs w:val="20"/>
              </w:rPr>
            </w:pPr>
            <w:r w:rsidRPr="00970223">
              <w:rPr>
                <w:sz w:val="20"/>
                <w:szCs w:val="20"/>
              </w:rPr>
              <w:t>-</w:t>
            </w:r>
            <w:r>
              <w:rPr>
                <w:sz w:val="20"/>
                <w:szCs w:val="20"/>
              </w:rPr>
              <w:t xml:space="preserve"> 0.280</w:t>
            </w:r>
            <w:r w:rsidRPr="00970223">
              <w:rPr>
                <w:sz w:val="20"/>
                <w:szCs w:val="20"/>
              </w:rPr>
              <w:t xml:space="preserve">    </w:t>
            </w:r>
            <w:r>
              <w:rPr>
                <w:sz w:val="20"/>
                <w:szCs w:val="20"/>
              </w:rPr>
              <w:t>(0</w:t>
            </w:r>
            <w:r w:rsidRPr="00970223">
              <w:rPr>
                <w:sz w:val="20"/>
                <w:szCs w:val="20"/>
              </w:rPr>
              <w:t>.274</w:t>
            </w:r>
            <w:r>
              <w:rPr>
                <w:sz w:val="20"/>
                <w:szCs w:val="20"/>
              </w:rPr>
              <w:t>)</w:t>
            </w:r>
          </w:p>
          <w:p w:rsidR="006E4296" w:rsidRPr="004706FC" w:rsidRDefault="006E4296" w:rsidP="004F5BDC">
            <w:pPr>
              <w:rPr>
                <w:sz w:val="20"/>
                <w:szCs w:val="20"/>
              </w:rPr>
            </w:pPr>
          </w:p>
        </w:tc>
      </w:tr>
      <w:tr w:rsidR="006E4296" w:rsidRPr="004706FC" w:rsidTr="004F5BDC">
        <w:tc>
          <w:tcPr>
            <w:tcW w:w="2310" w:type="dxa"/>
            <w:tcBorders>
              <w:top w:val="nil"/>
              <w:left w:val="nil"/>
              <w:bottom w:val="single" w:sz="4" w:space="0" w:color="auto"/>
              <w:right w:val="nil"/>
            </w:tcBorders>
            <w:vAlign w:val="center"/>
          </w:tcPr>
          <w:p w:rsidR="006E4296" w:rsidRPr="004706FC" w:rsidRDefault="006E4296" w:rsidP="004F5BDC">
            <w:pPr>
              <w:rPr>
                <w:rFonts w:ascii="Times New Roman" w:eastAsia="Times New Roman" w:hAnsi="Times New Roman" w:cs="Times New Roman"/>
                <w:i/>
                <w:iCs/>
                <w:color w:val="000000"/>
                <w:sz w:val="20"/>
                <w:szCs w:val="20"/>
              </w:rPr>
            </w:pPr>
            <w:r w:rsidRPr="004706FC">
              <w:rPr>
                <w:rFonts w:ascii="Times New Roman" w:eastAsia="Times New Roman" w:hAnsi="Times New Roman" w:cs="Times New Roman"/>
                <w:i/>
                <w:iCs/>
                <w:color w:val="000000"/>
                <w:sz w:val="20"/>
                <w:szCs w:val="20"/>
              </w:rPr>
              <w:t xml:space="preserve">Government </w:t>
            </w:r>
            <w:r>
              <w:rPr>
                <w:rFonts w:ascii="Times New Roman" w:eastAsia="Times New Roman" w:hAnsi="Times New Roman" w:cs="Times New Roman"/>
                <w:i/>
                <w:iCs/>
                <w:color w:val="000000"/>
                <w:sz w:val="20"/>
                <w:szCs w:val="20"/>
              </w:rPr>
              <w:t>C</w:t>
            </w:r>
            <w:r w:rsidRPr="004706FC">
              <w:rPr>
                <w:rFonts w:ascii="Times New Roman" w:eastAsia="Times New Roman" w:hAnsi="Times New Roman" w:cs="Times New Roman"/>
                <w:i/>
                <w:iCs/>
                <w:color w:val="000000"/>
                <w:sz w:val="20"/>
                <w:szCs w:val="20"/>
              </w:rPr>
              <w:t>ontract</w:t>
            </w:r>
          </w:p>
          <w:p w:rsidR="006E4296" w:rsidRPr="004706FC" w:rsidRDefault="006E4296" w:rsidP="004F5BDC">
            <w:pPr>
              <w:rPr>
                <w:rFonts w:ascii="Times New Roman" w:eastAsia="Times New Roman" w:hAnsi="Times New Roman" w:cs="Times New Roman"/>
                <w:i/>
                <w:iCs/>
                <w:color w:val="000000"/>
                <w:sz w:val="20"/>
                <w:szCs w:val="20"/>
              </w:rPr>
            </w:pPr>
          </w:p>
        </w:tc>
        <w:tc>
          <w:tcPr>
            <w:tcW w:w="1059" w:type="dxa"/>
            <w:tcBorders>
              <w:top w:val="nil"/>
              <w:left w:val="nil"/>
              <w:bottom w:val="single" w:sz="4" w:space="0" w:color="auto"/>
              <w:right w:val="nil"/>
            </w:tcBorders>
          </w:tcPr>
          <w:p w:rsidR="006E4296" w:rsidRPr="004706FC" w:rsidRDefault="006E4296" w:rsidP="004F5BDC">
            <w:pPr>
              <w:jc w:val="center"/>
              <w:rPr>
                <w:sz w:val="20"/>
                <w:szCs w:val="20"/>
              </w:rPr>
            </w:pPr>
            <w:r>
              <w:rPr>
                <w:sz w:val="20"/>
                <w:szCs w:val="20"/>
              </w:rPr>
              <w:t>-</w:t>
            </w:r>
          </w:p>
        </w:tc>
        <w:tc>
          <w:tcPr>
            <w:tcW w:w="971" w:type="dxa"/>
            <w:tcBorders>
              <w:top w:val="nil"/>
              <w:left w:val="nil"/>
              <w:bottom w:val="single" w:sz="4" w:space="0" w:color="auto"/>
              <w:right w:val="nil"/>
            </w:tcBorders>
          </w:tcPr>
          <w:p w:rsidR="006E4296" w:rsidRPr="004706FC" w:rsidRDefault="006E4296" w:rsidP="004F5BDC">
            <w:pPr>
              <w:rPr>
                <w:sz w:val="20"/>
                <w:szCs w:val="20"/>
              </w:rPr>
            </w:pPr>
          </w:p>
        </w:tc>
        <w:tc>
          <w:tcPr>
            <w:tcW w:w="1134" w:type="dxa"/>
            <w:tcBorders>
              <w:top w:val="nil"/>
              <w:left w:val="nil"/>
              <w:bottom w:val="single" w:sz="4" w:space="0" w:color="auto"/>
              <w:right w:val="nil"/>
            </w:tcBorders>
          </w:tcPr>
          <w:p w:rsidR="006E4296" w:rsidRDefault="006E4296" w:rsidP="004F5BDC">
            <w:pPr>
              <w:rPr>
                <w:sz w:val="20"/>
                <w:szCs w:val="20"/>
              </w:rPr>
            </w:pPr>
            <w:r>
              <w:rPr>
                <w:sz w:val="20"/>
                <w:szCs w:val="20"/>
              </w:rPr>
              <w:t>- 0.609***</w:t>
            </w:r>
          </w:p>
          <w:p w:rsidR="006E4296" w:rsidRPr="004706FC" w:rsidRDefault="006E4296" w:rsidP="004F5BDC">
            <w:pPr>
              <w:rPr>
                <w:sz w:val="20"/>
                <w:szCs w:val="20"/>
              </w:rPr>
            </w:pPr>
            <w:r>
              <w:rPr>
                <w:sz w:val="20"/>
                <w:szCs w:val="20"/>
              </w:rPr>
              <w:t>(0.203)</w:t>
            </w:r>
          </w:p>
        </w:tc>
        <w:tc>
          <w:tcPr>
            <w:tcW w:w="1134" w:type="dxa"/>
            <w:tcBorders>
              <w:top w:val="nil"/>
              <w:left w:val="nil"/>
              <w:bottom w:val="single" w:sz="4" w:space="0" w:color="auto"/>
              <w:right w:val="nil"/>
            </w:tcBorders>
          </w:tcPr>
          <w:p w:rsidR="006E4296" w:rsidRPr="004706FC" w:rsidRDefault="006E4296" w:rsidP="004F5BDC">
            <w:pPr>
              <w:rPr>
                <w:sz w:val="20"/>
                <w:szCs w:val="20"/>
              </w:rPr>
            </w:pPr>
            <w:r w:rsidRPr="00464645">
              <w:rPr>
                <w:sz w:val="20"/>
                <w:szCs w:val="20"/>
              </w:rPr>
              <w:t>-</w:t>
            </w:r>
            <w:r>
              <w:rPr>
                <w:sz w:val="20"/>
                <w:szCs w:val="20"/>
              </w:rPr>
              <w:t xml:space="preserve"> 0.229 (0.243)</w:t>
            </w:r>
          </w:p>
        </w:tc>
        <w:tc>
          <w:tcPr>
            <w:tcW w:w="1134" w:type="dxa"/>
            <w:tcBorders>
              <w:top w:val="nil"/>
              <w:left w:val="nil"/>
              <w:bottom w:val="single" w:sz="4" w:space="0" w:color="auto"/>
              <w:right w:val="nil"/>
            </w:tcBorders>
          </w:tcPr>
          <w:p w:rsidR="006E4296" w:rsidRPr="004706FC" w:rsidRDefault="006E4296" w:rsidP="004F5BDC">
            <w:pPr>
              <w:rPr>
                <w:sz w:val="20"/>
                <w:szCs w:val="20"/>
              </w:rPr>
            </w:pPr>
            <w:r w:rsidRPr="00C97051">
              <w:rPr>
                <w:sz w:val="20"/>
                <w:szCs w:val="20"/>
              </w:rPr>
              <w:t>-</w:t>
            </w:r>
            <w:r>
              <w:rPr>
                <w:sz w:val="20"/>
                <w:szCs w:val="20"/>
              </w:rPr>
              <w:t xml:space="preserve"> 0</w:t>
            </w:r>
            <w:r w:rsidRPr="00C97051">
              <w:rPr>
                <w:sz w:val="20"/>
                <w:szCs w:val="20"/>
              </w:rPr>
              <w:t xml:space="preserve">.175   </w:t>
            </w:r>
            <w:r>
              <w:rPr>
                <w:sz w:val="20"/>
                <w:szCs w:val="20"/>
              </w:rPr>
              <w:t>(0</w:t>
            </w:r>
            <w:r w:rsidRPr="00C97051">
              <w:rPr>
                <w:sz w:val="20"/>
                <w:szCs w:val="20"/>
              </w:rPr>
              <w:t>.223</w:t>
            </w:r>
            <w:r>
              <w:rPr>
                <w:sz w:val="20"/>
                <w:szCs w:val="20"/>
              </w:rPr>
              <w:t>)</w:t>
            </w:r>
          </w:p>
        </w:tc>
        <w:tc>
          <w:tcPr>
            <w:tcW w:w="1134" w:type="dxa"/>
            <w:tcBorders>
              <w:top w:val="nil"/>
              <w:left w:val="nil"/>
              <w:bottom w:val="single" w:sz="4" w:space="0" w:color="auto"/>
              <w:right w:val="nil"/>
            </w:tcBorders>
          </w:tcPr>
          <w:p w:rsidR="006E4296" w:rsidRDefault="006E4296" w:rsidP="004F5BDC">
            <w:pPr>
              <w:rPr>
                <w:sz w:val="20"/>
                <w:szCs w:val="20"/>
              </w:rPr>
            </w:pPr>
            <w:r w:rsidRPr="00C97051">
              <w:rPr>
                <w:sz w:val="20"/>
                <w:szCs w:val="20"/>
              </w:rPr>
              <w:t>-</w:t>
            </w:r>
            <w:r>
              <w:rPr>
                <w:sz w:val="20"/>
                <w:szCs w:val="20"/>
              </w:rPr>
              <w:t xml:space="preserve"> 0</w:t>
            </w:r>
            <w:r w:rsidRPr="00C97051">
              <w:rPr>
                <w:sz w:val="20"/>
                <w:szCs w:val="20"/>
              </w:rPr>
              <w:t xml:space="preserve">.175   </w:t>
            </w:r>
            <w:r>
              <w:rPr>
                <w:sz w:val="20"/>
                <w:szCs w:val="20"/>
              </w:rPr>
              <w:t>(0</w:t>
            </w:r>
            <w:r w:rsidRPr="00C97051">
              <w:rPr>
                <w:sz w:val="20"/>
                <w:szCs w:val="20"/>
              </w:rPr>
              <w:t>.223</w:t>
            </w:r>
            <w:r>
              <w:rPr>
                <w:sz w:val="20"/>
                <w:szCs w:val="20"/>
              </w:rPr>
              <w:t>)</w:t>
            </w:r>
          </w:p>
          <w:p w:rsidR="006E4296" w:rsidRPr="004706FC" w:rsidRDefault="006E4296" w:rsidP="004F5BDC">
            <w:pPr>
              <w:rPr>
                <w:sz w:val="20"/>
                <w:szCs w:val="20"/>
              </w:rPr>
            </w:pPr>
          </w:p>
        </w:tc>
      </w:tr>
    </w:tbl>
    <w:p w:rsidR="006E4296" w:rsidRDefault="006E4296" w:rsidP="006E4296">
      <w:pPr>
        <w:jc w:val="both"/>
        <w:rPr>
          <w:rFonts w:ascii="Times New Roman" w:hAnsi="Times New Roman" w:cs="Times New Roman"/>
          <w:color w:val="FF0000"/>
          <w:sz w:val="20"/>
          <w:szCs w:val="20"/>
        </w:rPr>
      </w:pPr>
      <w:r w:rsidRPr="00055526">
        <w:rPr>
          <w:rFonts w:ascii="Times New Roman" w:hAnsi="Times New Roman" w:cs="Times New Roman"/>
          <w:sz w:val="20"/>
          <w:szCs w:val="20"/>
        </w:rPr>
        <w:t xml:space="preserve">Notes: </w:t>
      </w:r>
      <w:r>
        <w:rPr>
          <w:rFonts w:ascii="Times New Roman" w:hAnsi="Times New Roman" w:cs="Times New Roman"/>
          <w:sz w:val="20"/>
          <w:szCs w:val="20"/>
        </w:rPr>
        <w:t xml:space="preserve">OLS estimation. </w:t>
      </w:r>
      <w:r w:rsidRPr="009B5AEB">
        <w:rPr>
          <w:rFonts w:ascii="Times New Roman" w:eastAsia="Times New Roman" w:hAnsi="Times New Roman" w:cs="Times New Roman"/>
          <w:color w:val="000000"/>
        </w:rPr>
        <w:t xml:space="preserve">For brevity, only the results of the target variables are reported. </w:t>
      </w:r>
      <w:r>
        <w:rPr>
          <w:rFonts w:ascii="Times New Roman" w:hAnsi="Times New Roman" w:cs="Times New Roman"/>
          <w:sz w:val="20"/>
          <w:szCs w:val="20"/>
        </w:rPr>
        <w:t xml:space="preserve">The variables lists in models 8, 9 and 10 are similar to those in </w:t>
      </w:r>
      <w:proofErr w:type="gramStart"/>
      <w:r>
        <w:rPr>
          <w:rFonts w:ascii="Times New Roman" w:hAnsi="Times New Roman" w:cs="Times New Roman"/>
          <w:sz w:val="20"/>
          <w:szCs w:val="20"/>
        </w:rPr>
        <w:t>models  3</w:t>
      </w:r>
      <w:proofErr w:type="gramEnd"/>
      <w:r>
        <w:rPr>
          <w:rFonts w:ascii="Times New Roman" w:hAnsi="Times New Roman" w:cs="Times New Roman"/>
          <w:sz w:val="20"/>
          <w:szCs w:val="20"/>
        </w:rPr>
        <w:t>,  4 and 5 in table 5</w:t>
      </w:r>
      <w:r w:rsidRPr="00055526">
        <w:rPr>
          <w:rFonts w:ascii="Times New Roman" w:hAnsi="Times New Roman" w:cs="Times New Roman"/>
          <w:sz w:val="20"/>
          <w:szCs w:val="20"/>
        </w:rPr>
        <w:t xml:space="preserve">. </w:t>
      </w:r>
      <w:r w:rsidRPr="005E7E9B">
        <w:rPr>
          <w:rFonts w:ascii="Times New Roman" w:hAnsi="Times New Roman" w:cs="Times New Roman"/>
          <w:sz w:val="20"/>
          <w:szCs w:val="20"/>
        </w:rPr>
        <w:t>Collateral is the only new variable added to Models 9 and 10</w:t>
      </w:r>
      <w:r>
        <w:rPr>
          <w:rFonts w:ascii="Times New Roman" w:hAnsi="Times New Roman" w:cs="Times New Roman"/>
          <w:sz w:val="20"/>
          <w:szCs w:val="20"/>
        </w:rPr>
        <w:t xml:space="preserve">. Country, industry and time dummies are included in all regressions. </w:t>
      </w:r>
      <w:r w:rsidRPr="00055526">
        <w:rPr>
          <w:rFonts w:ascii="Times New Roman" w:hAnsi="Times New Roman" w:cs="Times New Roman"/>
          <w:sz w:val="20"/>
          <w:szCs w:val="20"/>
        </w:rPr>
        <w:t>Asymptotic standard errors, clustered by country, are reported in parentheses</w:t>
      </w:r>
      <w:r>
        <w:rPr>
          <w:rFonts w:ascii="Times New Roman" w:hAnsi="Times New Roman" w:cs="Times New Roman"/>
          <w:sz w:val="20"/>
          <w:szCs w:val="20"/>
        </w:rPr>
        <w:t>.</w:t>
      </w:r>
      <w:r>
        <w:rPr>
          <w:rFonts w:ascii="Times New Roman" w:hAnsi="Times New Roman" w:cs="Times New Roman"/>
          <w:color w:val="FF0000"/>
          <w:sz w:val="20"/>
          <w:szCs w:val="20"/>
        </w:rPr>
        <w:t xml:space="preserve"> </w:t>
      </w:r>
      <w:r w:rsidRPr="00055526">
        <w:rPr>
          <w:rFonts w:ascii="Times New Roman" w:hAnsi="Times New Roman" w:cs="Times New Roman"/>
          <w:sz w:val="20"/>
          <w:szCs w:val="20"/>
        </w:rPr>
        <w:t>*** refers to 1%, ** to 5%, and * to 10% levels of significance respectively.</w:t>
      </w:r>
    </w:p>
    <w:p w:rsidR="006E4296" w:rsidRDefault="006E4296" w:rsidP="006E4296">
      <w:pPr>
        <w:rPr>
          <w:rFonts w:ascii="Times New Roman" w:hAnsi="Times New Roman" w:cs="Times New Roman"/>
          <w:b/>
        </w:rPr>
      </w:pPr>
      <w:r>
        <w:rPr>
          <w:rFonts w:ascii="Times New Roman" w:hAnsi="Times New Roman" w:cs="Times New Roman"/>
          <w:b/>
        </w:rPr>
        <w:br w:type="page"/>
      </w:r>
    </w:p>
    <w:p w:rsidR="006E4296" w:rsidRDefault="006E4296" w:rsidP="006E4296">
      <w:pPr>
        <w:rPr>
          <w:rFonts w:ascii="Times New Roman" w:hAnsi="Times New Roman" w:cs="Times New Roman"/>
          <w:b/>
        </w:rPr>
      </w:pPr>
    </w:p>
    <w:p w:rsidR="006E4296" w:rsidRPr="009B5AEB" w:rsidRDefault="006E4296" w:rsidP="006E4296">
      <w:pPr>
        <w:rPr>
          <w:rFonts w:ascii="Times New Roman" w:hAnsi="Times New Roman" w:cs="Times New Roman"/>
          <w:b/>
        </w:rPr>
      </w:pPr>
    </w:p>
    <w:tbl>
      <w:tblPr>
        <w:tblStyle w:val="TableGrid"/>
        <w:tblW w:w="8863" w:type="dxa"/>
        <w:jc w:val="center"/>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1520"/>
        <w:gridCol w:w="1633"/>
        <w:gridCol w:w="1486"/>
        <w:gridCol w:w="1633"/>
      </w:tblGrid>
      <w:tr w:rsidR="006E4296" w:rsidRPr="009B5AEB" w:rsidTr="004F5BDC">
        <w:trPr>
          <w:jc w:val="center"/>
        </w:trPr>
        <w:tc>
          <w:tcPr>
            <w:tcW w:w="8863" w:type="dxa"/>
            <w:gridSpan w:val="5"/>
            <w:tcBorders>
              <w:bottom w:val="single" w:sz="4" w:space="0" w:color="auto"/>
            </w:tcBorders>
          </w:tcPr>
          <w:p w:rsidR="006E4296" w:rsidRPr="009B5AEB" w:rsidRDefault="006E4296" w:rsidP="004F5BDC">
            <w:pPr>
              <w:jc w:val="center"/>
              <w:rPr>
                <w:b/>
                <w:i/>
              </w:rPr>
            </w:pPr>
            <w:r>
              <w:rPr>
                <w:rFonts w:ascii="Times New Roman" w:eastAsia="Times New Roman" w:hAnsi="Times New Roman" w:cs="Times New Roman"/>
                <w:b/>
                <w:bCs/>
                <w:color w:val="000000"/>
              </w:rPr>
              <w:t>Table 7</w:t>
            </w:r>
            <w:r w:rsidRPr="009B5AEB">
              <w:rPr>
                <w:rFonts w:ascii="Times New Roman" w:eastAsia="Times New Roman" w:hAnsi="Times New Roman" w:cs="Times New Roman"/>
                <w:b/>
                <w:bCs/>
                <w:color w:val="000000"/>
              </w:rPr>
              <w:t>: Model 5 estimation results from enterprise age and access to finance sub-samples</w:t>
            </w:r>
          </w:p>
        </w:tc>
      </w:tr>
      <w:tr w:rsidR="006E4296" w:rsidRPr="009B5AEB" w:rsidTr="004F5BDC">
        <w:trPr>
          <w:jc w:val="center"/>
        </w:trPr>
        <w:tc>
          <w:tcPr>
            <w:tcW w:w="2591" w:type="dxa"/>
            <w:tcBorders>
              <w:top w:val="single" w:sz="4" w:space="0" w:color="auto"/>
            </w:tcBorders>
          </w:tcPr>
          <w:p w:rsidR="006E4296" w:rsidRPr="009B5AEB" w:rsidRDefault="006E4296" w:rsidP="004F5BDC"/>
        </w:tc>
        <w:tc>
          <w:tcPr>
            <w:tcW w:w="3153" w:type="dxa"/>
            <w:gridSpan w:val="2"/>
            <w:tcBorders>
              <w:top w:val="single" w:sz="4" w:space="0" w:color="auto"/>
            </w:tcBorders>
          </w:tcPr>
          <w:p w:rsidR="006E4296" w:rsidRPr="009B5AEB" w:rsidRDefault="006E4296" w:rsidP="004F5BDC">
            <w:pPr>
              <w:jc w:val="center"/>
              <w:rPr>
                <w:b/>
                <w:i/>
              </w:rPr>
            </w:pPr>
            <w:r w:rsidRPr="009B5AEB">
              <w:rPr>
                <w:b/>
                <w:i/>
              </w:rPr>
              <w:t>Enterprise age sub-sample</w:t>
            </w:r>
          </w:p>
        </w:tc>
        <w:tc>
          <w:tcPr>
            <w:tcW w:w="3119" w:type="dxa"/>
            <w:gridSpan w:val="2"/>
            <w:tcBorders>
              <w:top w:val="single" w:sz="4" w:space="0" w:color="auto"/>
            </w:tcBorders>
          </w:tcPr>
          <w:p w:rsidR="006E4296" w:rsidRPr="009B5AEB" w:rsidRDefault="006E4296" w:rsidP="004F5BDC">
            <w:pPr>
              <w:jc w:val="center"/>
              <w:rPr>
                <w:b/>
                <w:i/>
              </w:rPr>
            </w:pPr>
            <w:r w:rsidRPr="009B5AEB">
              <w:rPr>
                <w:b/>
                <w:i/>
              </w:rPr>
              <w:t>Access to finance sub-sample</w:t>
            </w:r>
          </w:p>
        </w:tc>
      </w:tr>
      <w:tr w:rsidR="006E4296" w:rsidRPr="009B5AEB" w:rsidTr="004F5BDC">
        <w:trPr>
          <w:jc w:val="center"/>
        </w:trPr>
        <w:tc>
          <w:tcPr>
            <w:tcW w:w="2591" w:type="dxa"/>
          </w:tcPr>
          <w:p w:rsidR="006E4296" w:rsidRPr="009B5AEB" w:rsidRDefault="006E4296" w:rsidP="004F5BDC">
            <w:pPr>
              <w:jc w:val="center"/>
            </w:pPr>
            <w:r w:rsidRPr="009B5AEB">
              <w:t xml:space="preserve">Predictors </w:t>
            </w:r>
          </w:p>
        </w:tc>
        <w:tc>
          <w:tcPr>
            <w:tcW w:w="1520" w:type="dxa"/>
          </w:tcPr>
          <w:p w:rsidR="006E4296" w:rsidRPr="009B5AEB" w:rsidRDefault="006E4296" w:rsidP="004F5BDC">
            <w:pPr>
              <w:jc w:val="center"/>
            </w:pPr>
            <w:r w:rsidRPr="009B5AEB">
              <w:rPr>
                <w:rFonts w:ascii="Times New Roman" w:eastAsia="Times New Roman" w:hAnsi="Times New Roman" w:cs="Times New Roman"/>
                <w:color w:val="000000"/>
              </w:rPr>
              <w:t>10 year old or younger</w:t>
            </w:r>
          </w:p>
        </w:tc>
        <w:tc>
          <w:tcPr>
            <w:tcW w:w="1633" w:type="dxa"/>
          </w:tcPr>
          <w:p w:rsidR="006E4296" w:rsidRPr="009B5AEB" w:rsidRDefault="006E4296" w:rsidP="004F5BDC">
            <w:pPr>
              <w:jc w:val="center"/>
            </w:pPr>
            <w:r w:rsidRPr="009B5AEB">
              <w:rPr>
                <w:rFonts w:ascii="Times New Roman" w:eastAsia="Times New Roman" w:hAnsi="Times New Roman" w:cs="Times New Roman"/>
                <w:color w:val="000000"/>
              </w:rPr>
              <w:t>More than 10 year old</w:t>
            </w:r>
          </w:p>
        </w:tc>
        <w:tc>
          <w:tcPr>
            <w:tcW w:w="1486" w:type="dxa"/>
          </w:tcPr>
          <w:p w:rsidR="006E4296" w:rsidRPr="009B5AEB" w:rsidRDefault="006E4296" w:rsidP="004F5BDC">
            <w:pPr>
              <w:jc w:val="center"/>
            </w:pPr>
            <w:r w:rsidRPr="009B5AEB">
              <w:t>Access difficult</w:t>
            </w:r>
          </w:p>
        </w:tc>
        <w:tc>
          <w:tcPr>
            <w:tcW w:w="1633" w:type="dxa"/>
          </w:tcPr>
          <w:p w:rsidR="006E4296" w:rsidRPr="009B5AEB" w:rsidRDefault="006E4296" w:rsidP="004F5BDC">
            <w:pPr>
              <w:jc w:val="center"/>
            </w:pPr>
            <w:r w:rsidRPr="009B5AEB">
              <w:t>Access Easy</w:t>
            </w:r>
          </w:p>
        </w:tc>
      </w:tr>
      <w:tr w:rsidR="006E4296" w:rsidRPr="009B5AEB" w:rsidTr="004F5BDC">
        <w:trPr>
          <w:jc w:val="center"/>
        </w:trPr>
        <w:tc>
          <w:tcPr>
            <w:tcW w:w="2591" w:type="dxa"/>
          </w:tcPr>
          <w:p w:rsidR="006E4296" w:rsidRPr="009B5AEB" w:rsidRDefault="006E4296" w:rsidP="004F5BDC">
            <w:pPr>
              <w:rPr>
                <w:i/>
              </w:rPr>
            </w:pPr>
            <w:r w:rsidRPr="009B5AEB">
              <w:rPr>
                <w:i/>
              </w:rPr>
              <w:t xml:space="preserve">Bribes and </w:t>
            </w:r>
            <w:r>
              <w:rPr>
                <w:i/>
              </w:rPr>
              <w:t>G</w:t>
            </w:r>
            <w:r w:rsidRPr="009B5AEB">
              <w:rPr>
                <w:i/>
              </w:rPr>
              <w:t xml:space="preserve">ifts </w:t>
            </w:r>
          </w:p>
          <w:p w:rsidR="006E4296" w:rsidRPr="009B5AEB" w:rsidRDefault="006E4296" w:rsidP="004F5BDC">
            <w:pPr>
              <w:rPr>
                <w:i/>
              </w:rPr>
            </w:pPr>
          </w:p>
        </w:tc>
        <w:tc>
          <w:tcPr>
            <w:tcW w:w="1520"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0.031    </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(0.019)</w:t>
            </w:r>
          </w:p>
        </w:tc>
        <w:tc>
          <w:tcPr>
            <w:tcW w:w="1633"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0.026**</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(0.012)</w:t>
            </w:r>
          </w:p>
        </w:tc>
        <w:tc>
          <w:tcPr>
            <w:tcW w:w="1486"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0.005 </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(0.020)</w:t>
            </w:r>
          </w:p>
        </w:tc>
        <w:tc>
          <w:tcPr>
            <w:tcW w:w="1633"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0.025 </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(0.016)</w:t>
            </w:r>
          </w:p>
        </w:tc>
      </w:tr>
      <w:tr w:rsidR="006E4296" w:rsidRPr="009B5AEB" w:rsidTr="004F5BDC">
        <w:trPr>
          <w:jc w:val="center"/>
        </w:trPr>
        <w:tc>
          <w:tcPr>
            <w:tcW w:w="2591" w:type="dxa"/>
          </w:tcPr>
          <w:p w:rsidR="006E4296" w:rsidRPr="009B5AEB" w:rsidRDefault="006E4296" w:rsidP="004F5BDC">
            <w:pPr>
              <w:rPr>
                <w:i/>
              </w:rPr>
            </w:pPr>
            <w:r w:rsidRPr="009B5AEB">
              <w:rPr>
                <w:i/>
              </w:rPr>
              <w:t xml:space="preserve">Government </w:t>
            </w:r>
            <w:r>
              <w:rPr>
                <w:i/>
              </w:rPr>
              <w:t>C</w:t>
            </w:r>
            <w:r w:rsidRPr="009B5AEB">
              <w:rPr>
                <w:i/>
              </w:rPr>
              <w:t>ontract</w:t>
            </w:r>
          </w:p>
        </w:tc>
        <w:tc>
          <w:tcPr>
            <w:tcW w:w="1520"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0.037*</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   (0.022)</w:t>
            </w:r>
          </w:p>
        </w:tc>
        <w:tc>
          <w:tcPr>
            <w:tcW w:w="1633"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0.049***</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(0.015)</w:t>
            </w:r>
          </w:p>
        </w:tc>
        <w:tc>
          <w:tcPr>
            <w:tcW w:w="1486"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0.031 </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(0.023)</w:t>
            </w:r>
          </w:p>
        </w:tc>
        <w:tc>
          <w:tcPr>
            <w:tcW w:w="1633" w:type="dxa"/>
            <w:vAlign w:val="bottom"/>
          </w:tcPr>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0.039*** </w:t>
            </w:r>
          </w:p>
          <w:p w:rsidR="006E4296" w:rsidRPr="009B5AEB" w:rsidRDefault="006E4296" w:rsidP="004F5BDC">
            <w:pPr>
              <w:jc w:val="cente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(0.015)</w:t>
            </w:r>
          </w:p>
        </w:tc>
      </w:tr>
      <w:tr w:rsidR="006E4296" w:rsidRPr="009B5AEB" w:rsidTr="004F5BDC">
        <w:trPr>
          <w:jc w:val="center"/>
        </w:trPr>
        <w:tc>
          <w:tcPr>
            <w:tcW w:w="2591" w:type="dxa"/>
            <w:tcBorders>
              <w:bottom w:val="single" w:sz="4" w:space="0" w:color="auto"/>
            </w:tcBorders>
          </w:tcPr>
          <w:p w:rsidR="006E4296" w:rsidRPr="009B5AEB" w:rsidRDefault="006E4296" w:rsidP="004F5BDC">
            <w:r w:rsidRPr="009B5AEB">
              <w:t xml:space="preserve">Number of Observations </w:t>
            </w:r>
          </w:p>
        </w:tc>
        <w:tc>
          <w:tcPr>
            <w:tcW w:w="1520" w:type="dxa"/>
            <w:tcBorders>
              <w:bottom w:val="single" w:sz="4" w:space="0" w:color="auto"/>
            </w:tcBorders>
            <w:vAlign w:val="bottom"/>
          </w:tcPr>
          <w:p w:rsidR="006E4296" w:rsidRPr="009B5AEB" w:rsidRDefault="006E4296" w:rsidP="004F5BDC">
            <w:pPr>
              <w:keepNext/>
              <w:keepLines/>
              <w:spacing w:before="200"/>
              <w:jc w:val="center"/>
              <w:outlineLvl w:val="2"/>
              <w:rPr>
                <w:rFonts w:ascii="Times New Roman" w:eastAsia="Times New Roman" w:hAnsi="Times New Roman" w:cs="Times New Roman"/>
                <w:color w:val="000000"/>
              </w:rPr>
            </w:pPr>
            <w:r w:rsidRPr="009B5AEB">
              <w:rPr>
                <w:rFonts w:ascii="Times New Roman" w:eastAsia="Times New Roman" w:hAnsi="Times New Roman" w:cs="Times New Roman"/>
                <w:color w:val="000000"/>
              </w:rPr>
              <w:t>4584</w:t>
            </w:r>
          </w:p>
        </w:tc>
        <w:tc>
          <w:tcPr>
            <w:tcW w:w="1633" w:type="dxa"/>
            <w:tcBorders>
              <w:bottom w:val="single" w:sz="4" w:space="0" w:color="auto"/>
            </w:tcBorders>
            <w:vAlign w:val="bottom"/>
          </w:tcPr>
          <w:p w:rsidR="006E4296" w:rsidRPr="009B5AEB" w:rsidRDefault="006E4296" w:rsidP="004F5BDC">
            <w:pPr>
              <w:keepNext/>
              <w:keepLines/>
              <w:spacing w:before="200"/>
              <w:jc w:val="center"/>
              <w:outlineLvl w:val="2"/>
              <w:rPr>
                <w:rFonts w:ascii="Times New Roman" w:eastAsia="Times New Roman" w:hAnsi="Times New Roman" w:cs="Times New Roman"/>
                <w:color w:val="000000"/>
              </w:rPr>
            </w:pPr>
            <w:r w:rsidRPr="009B5AEB">
              <w:rPr>
                <w:rFonts w:ascii="Times New Roman" w:eastAsia="Times New Roman" w:hAnsi="Times New Roman" w:cs="Times New Roman"/>
                <w:color w:val="000000"/>
              </w:rPr>
              <w:t>3645</w:t>
            </w:r>
          </w:p>
        </w:tc>
        <w:tc>
          <w:tcPr>
            <w:tcW w:w="1486" w:type="dxa"/>
            <w:tcBorders>
              <w:bottom w:val="single" w:sz="4" w:space="0" w:color="auto"/>
            </w:tcBorders>
            <w:vAlign w:val="bottom"/>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3192</w:t>
            </w:r>
          </w:p>
        </w:tc>
        <w:tc>
          <w:tcPr>
            <w:tcW w:w="1633" w:type="dxa"/>
            <w:tcBorders>
              <w:bottom w:val="single" w:sz="4" w:space="0" w:color="auto"/>
            </w:tcBorders>
            <w:vAlign w:val="bottom"/>
          </w:tcPr>
          <w:p w:rsidR="006E4296" w:rsidRPr="009B5AEB" w:rsidRDefault="006E4296" w:rsidP="004F5BDC">
            <w:pPr>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4976</w:t>
            </w:r>
          </w:p>
        </w:tc>
      </w:tr>
      <w:tr w:rsidR="006E4296" w:rsidRPr="009B5AEB" w:rsidTr="004F5BDC">
        <w:trPr>
          <w:jc w:val="center"/>
        </w:trPr>
        <w:tc>
          <w:tcPr>
            <w:tcW w:w="8863" w:type="dxa"/>
            <w:gridSpan w:val="5"/>
            <w:tcBorders>
              <w:top w:val="single" w:sz="4" w:space="0" w:color="auto"/>
            </w:tcBorders>
          </w:tcPr>
          <w:p w:rsidR="006E4296" w:rsidRPr="009B5AEB" w:rsidRDefault="006E4296" w:rsidP="004F5BDC">
            <w:pPr>
              <w:jc w:val="both"/>
            </w:pPr>
            <w:r w:rsidRPr="009B5AEB">
              <w:rPr>
                <w:rFonts w:ascii="Times New Roman" w:eastAsia="Times New Roman" w:hAnsi="Times New Roman" w:cs="Times New Roman"/>
                <w:color w:val="000000"/>
              </w:rPr>
              <w:t xml:space="preserve">Notes: Model 5 is identical to that reported in Table 5. For brevity, only the results of the target variables are reported. ***, ** and * refer to statistical significant at the 1, 5 and 10% levels respectively. </w:t>
            </w:r>
            <w:r w:rsidRPr="009B5AEB">
              <w:rPr>
                <w:rFonts w:ascii="Times New Roman" w:hAnsi="Times New Roman" w:cs="Times New Roman"/>
              </w:rPr>
              <w:t xml:space="preserve">Asymptotic standard errors, clustered by country, are reported in parentheses. Coefficients are </w:t>
            </w:r>
            <w:proofErr w:type="spellStart"/>
            <w:r w:rsidRPr="009B5AEB">
              <w:rPr>
                <w:rFonts w:ascii="Times New Roman" w:hAnsi="Times New Roman" w:cs="Times New Roman"/>
              </w:rPr>
              <w:t>Probit</w:t>
            </w:r>
            <w:proofErr w:type="spellEnd"/>
            <w:r w:rsidRPr="009B5AEB">
              <w:rPr>
                <w:rFonts w:ascii="Times New Roman" w:hAnsi="Times New Roman" w:cs="Times New Roman"/>
              </w:rPr>
              <w:t xml:space="preserve"> marginal effects at the mean.</w:t>
            </w:r>
          </w:p>
        </w:tc>
      </w:tr>
    </w:tbl>
    <w:p w:rsidR="006E4296" w:rsidRPr="009B5AEB" w:rsidRDefault="006E4296" w:rsidP="006E4296">
      <w:pPr>
        <w:jc w:val="both"/>
        <w:rPr>
          <w:rFonts w:ascii="Times New Roman" w:hAnsi="Times New Roman" w:cs="Times New Roman"/>
          <w:b/>
        </w:rPr>
      </w:pPr>
    </w:p>
    <w:tbl>
      <w:tblPr>
        <w:tblW w:w="8645" w:type="dxa"/>
        <w:jc w:val="center"/>
        <w:tblInd w:w="-829" w:type="dxa"/>
        <w:tblLook w:val="04A0" w:firstRow="1" w:lastRow="0" w:firstColumn="1" w:lastColumn="0" w:noHBand="0" w:noVBand="1"/>
      </w:tblPr>
      <w:tblGrid>
        <w:gridCol w:w="2504"/>
        <w:gridCol w:w="1559"/>
        <w:gridCol w:w="1417"/>
        <w:gridCol w:w="1722"/>
        <w:gridCol w:w="1443"/>
      </w:tblGrid>
      <w:tr w:rsidR="006E4296" w:rsidRPr="009B5AEB" w:rsidTr="004F5BDC">
        <w:trPr>
          <w:trHeight w:val="555"/>
          <w:jc w:val="center"/>
        </w:trPr>
        <w:tc>
          <w:tcPr>
            <w:tcW w:w="8645" w:type="dxa"/>
            <w:gridSpan w:val="5"/>
            <w:tcBorders>
              <w:bottom w:val="single" w:sz="4" w:space="0" w:color="auto"/>
            </w:tcBorders>
            <w:shd w:val="clear" w:color="auto" w:fill="auto"/>
            <w:vAlign w:val="bottom"/>
            <w:hideMark/>
          </w:tcPr>
          <w:p w:rsidR="006E4296" w:rsidRPr="009B5AEB" w:rsidRDefault="006E4296" w:rsidP="004F5BD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Table 8</w:t>
            </w:r>
            <w:r w:rsidRPr="009B5AEB">
              <w:rPr>
                <w:rFonts w:ascii="Times New Roman" w:eastAsia="Times New Roman" w:hAnsi="Times New Roman" w:cs="Times New Roman"/>
                <w:b/>
                <w:bCs/>
                <w:color w:val="000000"/>
              </w:rPr>
              <w:t>: Impact of SME size on the marginal effects of target variables in Model 5</w:t>
            </w:r>
          </w:p>
        </w:tc>
      </w:tr>
      <w:tr w:rsidR="006E4296" w:rsidRPr="009B5AEB" w:rsidTr="004F5BDC">
        <w:trPr>
          <w:trHeight w:val="315"/>
          <w:jc w:val="center"/>
        </w:trPr>
        <w:tc>
          <w:tcPr>
            <w:tcW w:w="2504" w:type="dxa"/>
            <w:vMerge w:val="restart"/>
            <w:tcBorders>
              <w:top w:val="single" w:sz="4" w:space="0" w:color="auto"/>
            </w:tcBorders>
            <w:shd w:val="clear" w:color="auto" w:fill="auto"/>
            <w:vAlign w:val="bottom"/>
            <w:hideMark/>
          </w:tcPr>
          <w:p w:rsidR="006E4296" w:rsidRPr="009B5AEB" w:rsidRDefault="006E4296" w:rsidP="004F5BDC">
            <w:pPr>
              <w:spacing w:after="0" w:line="240" w:lineRule="auto"/>
              <w:jc w:val="center"/>
              <w:rPr>
                <w:rFonts w:ascii="Times New Roman" w:eastAsia="Times New Roman" w:hAnsi="Times New Roman" w:cs="Times New Roman"/>
                <w:b/>
                <w:bCs/>
                <w:i/>
                <w:color w:val="000000"/>
              </w:rPr>
            </w:pPr>
          </w:p>
        </w:tc>
        <w:tc>
          <w:tcPr>
            <w:tcW w:w="2976" w:type="dxa"/>
            <w:gridSpan w:val="2"/>
            <w:tcBorders>
              <w:top w:val="single" w:sz="4" w:space="0" w:color="auto"/>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b/>
                <w:bCs/>
                <w:i/>
                <w:iCs/>
                <w:color w:val="000000"/>
              </w:rPr>
            </w:pPr>
            <w:r w:rsidRPr="009B5AEB">
              <w:rPr>
                <w:rFonts w:ascii="Times New Roman" w:eastAsia="Times New Roman" w:hAnsi="Times New Roman" w:cs="Times New Roman"/>
                <w:b/>
                <w:bCs/>
                <w:i/>
                <w:iCs/>
                <w:color w:val="000000"/>
              </w:rPr>
              <w:t xml:space="preserve">Bribes and </w:t>
            </w:r>
            <w:r>
              <w:rPr>
                <w:rFonts w:ascii="Times New Roman" w:eastAsia="Times New Roman" w:hAnsi="Times New Roman" w:cs="Times New Roman"/>
                <w:b/>
                <w:bCs/>
                <w:i/>
                <w:iCs/>
                <w:color w:val="000000"/>
              </w:rPr>
              <w:t>G</w:t>
            </w:r>
            <w:r w:rsidRPr="009B5AEB">
              <w:rPr>
                <w:rFonts w:ascii="Times New Roman" w:eastAsia="Times New Roman" w:hAnsi="Times New Roman" w:cs="Times New Roman"/>
                <w:b/>
                <w:bCs/>
                <w:i/>
                <w:iCs/>
                <w:color w:val="000000"/>
              </w:rPr>
              <w:t>ifts</w:t>
            </w:r>
          </w:p>
        </w:tc>
        <w:tc>
          <w:tcPr>
            <w:tcW w:w="3165" w:type="dxa"/>
            <w:gridSpan w:val="2"/>
            <w:tcBorders>
              <w:top w:val="single" w:sz="4" w:space="0" w:color="auto"/>
            </w:tcBorders>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b/>
                <w:bCs/>
                <w:i/>
                <w:iCs/>
                <w:color w:val="000000"/>
              </w:rPr>
            </w:pPr>
            <w:r w:rsidRPr="009B5AEB">
              <w:rPr>
                <w:rFonts w:ascii="Times New Roman" w:eastAsia="Times New Roman" w:hAnsi="Times New Roman" w:cs="Times New Roman"/>
                <w:b/>
                <w:bCs/>
                <w:i/>
                <w:iCs/>
                <w:color w:val="000000"/>
              </w:rPr>
              <w:t xml:space="preserve">Government </w:t>
            </w:r>
            <w:r>
              <w:rPr>
                <w:rFonts w:ascii="Times New Roman" w:eastAsia="Times New Roman" w:hAnsi="Times New Roman" w:cs="Times New Roman"/>
                <w:b/>
                <w:bCs/>
                <w:i/>
                <w:iCs/>
                <w:color w:val="000000"/>
              </w:rPr>
              <w:t>C</w:t>
            </w:r>
            <w:r w:rsidRPr="009B5AEB">
              <w:rPr>
                <w:rFonts w:ascii="Times New Roman" w:eastAsia="Times New Roman" w:hAnsi="Times New Roman" w:cs="Times New Roman"/>
                <w:b/>
                <w:bCs/>
                <w:i/>
                <w:iCs/>
                <w:color w:val="000000"/>
              </w:rPr>
              <w:t>ontract</w:t>
            </w:r>
          </w:p>
        </w:tc>
      </w:tr>
      <w:tr w:rsidR="006E4296" w:rsidRPr="009B5AEB" w:rsidTr="004F5BDC">
        <w:trPr>
          <w:trHeight w:val="585"/>
          <w:jc w:val="center"/>
        </w:trPr>
        <w:tc>
          <w:tcPr>
            <w:tcW w:w="2504" w:type="dxa"/>
            <w:vMerge/>
            <w:vAlign w:val="center"/>
            <w:hideMark/>
          </w:tcPr>
          <w:p w:rsidR="006E4296" w:rsidRPr="009B5AEB" w:rsidRDefault="006E4296" w:rsidP="004F5BDC">
            <w:pPr>
              <w:spacing w:after="0" w:line="240" w:lineRule="auto"/>
              <w:rPr>
                <w:rFonts w:ascii="Times New Roman" w:eastAsia="Times New Roman" w:hAnsi="Times New Roman" w:cs="Times New Roman"/>
                <w:b/>
                <w:bCs/>
                <w:color w:val="000000"/>
              </w:rPr>
            </w:pPr>
          </w:p>
        </w:tc>
        <w:tc>
          <w:tcPr>
            <w:tcW w:w="1559" w:type="dxa"/>
            <w:shd w:val="clear" w:color="auto" w:fill="auto"/>
            <w:vAlign w:val="bottom"/>
            <w:hideMark/>
          </w:tcPr>
          <w:p w:rsidR="006E4296" w:rsidRPr="009B5AEB" w:rsidRDefault="006E4296" w:rsidP="004F5BDC">
            <w:pPr>
              <w:spacing w:after="0" w:line="240" w:lineRule="auto"/>
              <w:jc w:val="center"/>
              <w:rPr>
                <w:rFonts w:ascii="Times New Roman" w:eastAsia="Times New Roman" w:hAnsi="Times New Roman" w:cs="Times New Roman"/>
                <w:bCs/>
                <w:iCs/>
                <w:color w:val="000000"/>
              </w:rPr>
            </w:pPr>
            <w:r w:rsidRPr="009B5AEB">
              <w:rPr>
                <w:rFonts w:ascii="Times New Roman" w:eastAsia="Times New Roman" w:hAnsi="Times New Roman" w:cs="Times New Roman"/>
                <w:bCs/>
                <w:iCs/>
                <w:color w:val="000000"/>
              </w:rPr>
              <w:t>Marginal Effects</w:t>
            </w:r>
          </w:p>
        </w:tc>
        <w:tc>
          <w:tcPr>
            <w:tcW w:w="1417" w:type="dxa"/>
            <w:shd w:val="clear" w:color="auto" w:fill="auto"/>
            <w:vAlign w:val="center"/>
            <w:hideMark/>
          </w:tcPr>
          <w:p w:rsidR="006E4296" w:rsidRPr="009B5AEB" w:rsidRDefault="006E4296" w:rsidP="004F5BDC">
            <w:pPr>
              <w:spacing w:after="0" w:line="240" w:lineRule="auto"/>
              <w:jc w:val="center"/>
              <w:rPr>
                <w:rFonts w:ascii="Times New Roman" w:eastAsia="Times New Roman" w:hAnsi="Times New Roman" w:cs="Times New Roman"/>
                <w:bCs/>
                <w:iCs/>
                <w:color w:val="000000"/>
              </w:rPr>
            </w:pPr>
            <w:r w:rsidRPr="009B5AEB">
              <w:rPr>
                <w:rFonts w:ascii="Times New Roman" w:eastAsia="Times New Roman" w:hAnsi="Times New Roman" w:cs="Times New Roman"/>
                <w:bCs/>
                <w:iCs/>
                <w:color w:val="000000"/>
              </w:rPr>
              <w:t>p-value</w:t>
            </w:r>
          </w:p>
        </w:tc>
        <w:tc>
          <w:tcPr>
            <w:tcW w:w="1722" w:type="dxa"/>
            <w:shd w:val="clear" w:color="auto" w:fill="auto"/>
            <w:vAlign w:val="bottom"/>
            <w:hideMark/>
          </w:tcPr>
          <w:p w:rsidR="006E4296" w:rsidRDefault="006E4296" w:rsidP="004F5BDC">
            <w:pPr>
              <w:spacing w:after="0" w:line="240" w:lineRule="auto"/>
              <w:jc w:val="center"/>
              <w:rPr>
                <w:rFonts w:ascii="Times New Roman" w:eastAsia="Times New Roman" w:hAnsi="Times New Roman" w:cs="Times New Roman"/>
                <w:bCs/>
                <w:iCs/>
                <w:color w:val="000000"/>
              </w:rPr>
            </w:pPr>
            <w:r w:rsidRPr="009B5AEB">
              <w:rPr>
                <w:rFonts w:ascii="Times New Roman" w:eastAsia="Times New Roman" w:hAnsi="Times New Roman" w:cs="Times New Roman"/>
                <w:bCs/>
                <w:iCs/>
                <w:color w:val="000000"/>
              </w:rPr>
              <w:t xml:space="preserve">Marginal </w:t>
            </w:r>
          </w:p>
          <w:p w:rsidR="006E4296" w:rsidRPr="009B5AEB" w:rsidRDefault="006E4296" w:rsidP="004F5BDC">
            <w:pPr>
              <w:spacing w:after="0" w:line="240" w:lineRule="auto"/>
              <w:jc w:val="center"/>
              <w:rPr>
                <w:rFonts w:ascii="Times New Roman" w:eastAsia="Times New Roman" w:hAnsi="Times New Roman" w:cs="Times New Roman"/>
                <w:bCs/>
                <w:iCs/>
                <w:color w:val="000000"/>
              </w:rPr>
            </w:pPr>
            <w:r w:rsidRPr="009B5AEB">
              <w:rPr>
                <w:rFonts w:ascii="Times New Roman" w:eastAsia="Times New Roman" w:hAnsi="Times New Roman" w:cs="Times New Roman"/>
                <w:bCs/>
                <w:iCs/>
                <w:color w:val="000000"/>
              </w:rPr>
              <w:t>Effects</w:t>
            </w:r>
          </w:p>
        </w:tc>
        <w:tc>
          <w:tcPr>
            <w:tcW w:w="1443" w:type="dxa"/>
            <w:shd w:val="clear" w:color="auto" w:fill="auto"/>
            <w:vAlign w:val="center"/>
            <w:hideMark/>
          </w:tcPr>
          <w:p w:rsidR="006E4296" w:rsidRPr="009B5AEB" w:rsidRDefault="006E4296" w:rsidP="004F5BDC">
            <w:pPr>
              <w:spacing w:after="0" w:line="240" w:lineRule="auto"/>
              <w:rPr>
                <w:rFonts w:ascii="Times New Roman" w:eastAsia="Times New Roman" w:hAnsi="Times New Roman" w:cs="Times New Roman"/>
                <w:bCs/>
                <w:iCs/>
                <w:color w:val="000000"/>
              </w:rPr>
            </w:pPr>
            <w:r w:rsidRPr="009B5AEB">
              <w:rPr>
                <w:rFonts w:ascii="Times New Roman" w:eastAsia="Times New Roman" w:hAnsi="Times New Roman" w:cs="Times New Roman"/>
                <w:bCs/>
                <w:iCs/>
                <w:color w:val="000000"/>
              </w:rPr>
              <w:t>p-value</w:t>
            </w:r>
          </w:p>
        </w:tc>
      </w:tr>
      <w:tr w:rsidR="006E4296" w:rsidRPr="009B5AEB" w:rsidTr="004F5BDC">
        <w:trPr>
          <w:trHeight w:val="300"/>
          <w:jc w:val="center"/>
        </w:trPr>
        <w:tc>
          <w:tcPr>
            <w:tcW w:w="8645" w:type="dxa"/>
            <w:gridSpan w:val="5"/>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b/>
                <w:i/>
                <w:color w:val="000000"/>
              </w:rPr>
            </w:pPr>
          </w:p>
          <w:p w:rsidR="006E4296" w:rsidRPr="009B5AEB" w:rsidRDefault="006E4296" w:rsidP="004F5BDC">
            <w:pPr>
              <w:spacing w:after="0" w:line="240" w:lineRule="auto"/>
              <w:rPr>
                <w:rFonts w:ascii="Times New Roman" w:eastAsia="Times New Roman" w:hAnsi="Times New Roman" w:cs="Times New Roman"/>
                <w:b/>
                <w:i/>
                <w:color w:val="000000"/>
              </w:rPr>
            </w:pPr>
            <w:r w:rsidRPr="009B5AEB">
              <w:rPr>
                <w:rFonts w:ascii="Times New Roman" w:eastAsia="Times New Roman" w:hAnsi="Times New Roman" w:cs="Times New Roman"/>
                <w:b/>
                <w:i/>
                <w:color w:val="000000"/>
              </w:rPr>
              <w:t>Panel A.</w:t>
            </w:r>
            <w:r w:rsidRPr="009B5AEB">
              <w:rPr>
                <w:rFonts w:ascii="Times New Roman" w:eastAsia="Times New Roman" w:hAnsi="Times New Roman" w:cs="Times New Roman"/>
                <w:b/>
                <w:bCs/>
                <w:i/>
                <w:color w:val="000000"/>
              </w:rPr>
              <w:t xml:space="preserve"> Representative Values of Log (labour)</w:t>
            </w:r>
          </w:p>
        </w:tc>
      </w:tr>
      <w:tr w:rsidR="006E4296" w:rsidRPr="009B5AEB" w:rsidTr="004F5BDC">
        <w:trPr>
          <w:trHeight w:val="300"/>
          <w:jc w:val="center"/>
        </w:trPr>
        <w:tc>
          <w:tcPr>
            <w:tcW w:w="2504" w:type="dxa"/>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2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below the mean</w:t>
            </w:r>
          </w:p>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1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below the mean</w:t>
            </w:r>
          </w:p>
        </w:tc>
        <w:tc>
          <w:tcPr>
            <w:tcW w:w="1559"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0.024</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0.027</w:t>
            </w:r>
          </w:p>
        </w:tc>
        <w:tc>
          <w:tcPr>
            <w:tcW w:w="1417"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0.06</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0.05</w:t>
            </w:r>
          </w:p>
        </w:tc>
        <w:tc>
          <w:tcPr>
            <w:tcW w:w="1722"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0.036</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0.040</w:t>
            </w:r>
          </w:p>
        </w:tc>
        <w:tc>
          <w:tcPr>
            <w:tcW w:w="1443"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0.01</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0.01</w:t>
            </w:r>
          </w:p>
        </w:tc>
      </w:tr>
      <w:tr w:rsidR="006E4296" w:rsidRPr="009B5AEB" w:rsidTr="004F5BDC">
        <w:trPr>
          <w:trHeight w:val="300"/>
          <w:jc w:val="center"/>
        </w:trPr>
        <w:tc>
          <w:tcPr>
            <w:tcW w:w="2504" w:type="dxa"/>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Mean </w:t>
            </w:r>
          </w:p>
        </w:tc>
        <w:tc>
          <w:tcPr>
            <w:tcW w:w="1559"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0.029</w:t>
            </w:r>
          </w:p>
        </w:tc>
        <w:tc>
          <w:tcPr>
            <w:tcW w:w="1417"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w:t>
            </w:r>
          </w:p>
        </w:tc>
        <w:tc>
          <w:tcPr>
            <w:tcW w:w="1722"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0.044</w:t>
            </w:r>
          </w:p>
        </w:tc>
        <w:tc>
          <w:tcPr>
            <w:tcW w:w="1443"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0.01</w:t>
            </w:r>
          </w:p>
        </w:tc>
      </w:tr>
      <w:tr w:rsidR="006E4296" w:rsidRPr="009B5AEB" w:rsidTr="004F5BDC">
        <w:trPr>
          <w:trHeight w:val="300"/>
          <w:jc w:val="center"/>
        </w:trPr>
        <w:tc>
          <w:tcPr>
            <w:tcW w:w="2504" w:type="dxa"/>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1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above the mean</w:t>
            </w:r>
          </w:p>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2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above the mean</w:t>
            </w:r>
          </w:p>
        </w:tc>
        <w:tc>
          <w:tcPr>
            <w:tcW w:w="1559"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0.032</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0.033</w:t>
            </w:r>
          </w:p>
        </w:tc>
        <w:tc>
          <w:tcPr>
            <w:tcW w:w="1417"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w:t>
            </w:r>
          </w:p>
        </w:tc>
        <w:tc>
          <w:tcPr>
            <w:tcW w:w="1722"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0.047</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0.050</w:t>
            </w:r>
          </w:p>
        </w:tc>
        <w:tc>
          <w:tcPr>
            <w:tcW w:w="1443"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0.01</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0.01</w:t>
            </w:r>
          </w:p>
        </w:tc>
      </w:tr>
      <w:tr w:rsidR="006E4296" w:rsidRPr="009B5AEB" w:rsidTr="004F5BDC">
        <w:trPr>
          <w:trHeight w:val="300"/>
          <w:jc w:val="center"/>
        </w:trPr>
        <w:tc>
          <w:tcPr>
            <w:tcW w:w="8645" w:type="dxa"/>
            <w:gridSpan w:val="5"/>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b/>
                <w:i/>
                <w:color w:val="000000"/>
              </w:rPr>
            </w:pPr>
          </w:p>
          <w:p w:rsidR="006E4296" w:rsidRPr="009B5AEB" w:rsidRDefault="006E4296" w:rsidP="004F5BDC">
            <w:pPr>
              <w:spacing w:after="0" w:line="240" w:lineRule="auto"/>
              <w:rPr>
                <w:rFonts w:ascii="Times New Roman" w:eastAsia="Times New Roman" w:hAnsi="Times New Roman" w:cs="Times New Roman"/>
                <w:i/>
                <w:color w:val="000000"/>
              </w:rPr>
            </w:pPr>
            <w:r w:rsidRPr="009B5AEB">
              <w:rPr>
                <w:rFonts w:ascii="Times New Roman" w:eastAsia="Times New Roman" w:hAnsi="Times New Roman" w:cs="Times New Roman"/>
                <w:b/>
                <w:i/>
                <w:color w:val="000000"/>
              </w:rPr>
              <w:t>Panel B.</w:t>
            </w:r>
            <w:r w:rsidRPr="009B5AEB">
              <w:rPr>
                <w:rFonts w:ascii="Times New Roman" w:eastAsia="Times New Roman" w:hAnsi="Times New Roman" w:cs="Times New Roman"/>
                <w:b/>
                <w:bCs/>
                <w:i/>
                <w:color w:val="000000"/>
              </w:rPr>
              <w:t xml:space="preserve"> Representative Values of Log (sales)</w:t>
            </w:r>
          </w:p>
        </w:tc>
      </w:tr>
      <w:tr w:rsidR="006E4296" w:rsidRPr="009B5AEB" w:rsidTr="004F5BDC">
        <w:trPr>
          <w:trHeight w:val="300"/>
          <w:jc w:val="center"/>
        </w:trPr>
        <w:tc>
          <w:tcPr>
            <w:tcW w:w="2504" w:type="dxa"/>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2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below the mean</w:t>
            </w:r>
          </w:p>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1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below the mean</w:t>
            </w:r>
          </w:p>
        </w:tc>
        <w:tc>
          <w:tcPr>
            <w:tcW w:w="1559"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0.017</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0.023</w:t>
            </w:r>
          </w:p>
        </w:tc>
        <w:tc>
          <w:tcPr>
            <w:tcW w:w="1417"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w:t>
            </w:r>
          </w:p>
        </w:tc>
        <w:tc>
          <w:tcPr>
            <w:tcW w:w="1722"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0.028</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0.036</w:t>
            </w:r>
          </w:p>
        </w:tc>
        <w:tc>
          <w:tcPr>
            <w:tcW w:w="1443"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0.01</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0.00</w:t>
            </w:r>
          </w:p>
        </w:tc>
      </w:tr>
      <w:tr w:rsidR="006E4296" w:rsidRPr="009B5AEB" w:rsidTr="004F5BDC">
        <w:trPr>
          <w:trHeight w:val="300"/>
          <w:jc w:val="center"/>
        </w:trPr>
        <w:tc>
          <w:tcPr>
            <w:tcW w:w="2504" w:type="dxa"/>
            <w:shd w:val="clear" w:color="auto" w:fill="auto"/>
            <w:noWrap/>
            <w:vAlign w:val="bottom"/>
          </w:tcPr>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Mean </w:t>
            </w:r>
          </w:p>
        </w:tc>
        <w:tc>
          <w:tcPr>
            <w:tcW w:w="1559" w:type="dxa"/>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0.027</w:t>
            </w:r>
          </w:p>
        </w:tc>
        <w:tc>
          <w:tcPr>
            <w:tcW w:w="1417" w:type="dxa"/>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w:t>
            </w:r>
          </w:p>
        </w:tc>
        <w:tc>
          <w:tcPr>
            <w:tcW w:w="1722" w:type="dxa"/>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0.043</w:t>
            </w:r>
          </w:p>
        </w:tc>
        <w:tc>
          <w:tcPr>
            <w:tcW w:w="1443" w:type="dxa"/>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0.00</w:t>
            </w:r>
          </w:p>
        </w:tc>
      </w:tr>
      <w:tr w:rsidR="006E4296" w:rsidRPr="009B5AEB" w:rsidTr="004F5BDC">
        <w:trPr>
          <w:trHeight w:val="300"/>
          <w:jc w:val="center"/>
        </w:trPr>
        <w:tc>
          <w:tcPr>
            <w:tcW w:w="2504" w:type="dxa"/>
            <w:tcBorders>
              <w:bottom w:val="single" w:sz="4" w:space="0" w:color="auto"/>
            </w:tcBorders>
            <w:shd w:val="clear" w:color="auto" w:fill="auto"/>
            <w:noWrap/>
            <w:vAlign w:val="bottom"/>
          </w:tcPr>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1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above the mean</w:t>
            </w:r>
          </w:p>
          <w:p w:rsidR="006E4296" w:rsidRPr="009B5AEB" w:rsidRDefault="006E4296" w:rsidP="004F5BDC">
            <w:pPr>
              <w:spacing w:after="0" w:line="240" w:lineRule="auto"/>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2 </w:t>
            </w:r>
            <w:proofErr w:type="spellStart"/>
            <w:r w:rsidRPr="009B5AEB">
              <w:rPr>
                <w:rFonts w:ascii="Times New Roman" w:eastAsia="Times New Roman" w:hAnsi="Times New Roman" w:cs="Times New Roman"/>
                <w:i/>
                <w:iCs/>
                <w:color w:val="000000"/>
              </w:rPr>
              <w:t>s.d.</w:t>
            </w:r>
            <w:proofErr w:type="spellEnd"/>
            <w:r w:rsidRPr="009B5AEB">
              <w:rPr>
                <w:rFonts w:ascii="Times New Roman" w:eastAsia="Times New Roman" w:hAnsi="Times New Roman" w:cs="Times New Roman"/>
                <w:i/>
                <w:iCs/>
                <w:color w:val="000000"/>
              </w:rPr>
              <w:t xml:space="preserve"> above the mean</w:t>
            </w:r>
          </w:p>
        </w:tc>
        <w:tc>
          <w:tcPr>
            <w:tcW w:w="1559" w:type="dxa"/>
            <w:tcBorders>
              <w:bottom w:val="single" w:sz="4" w:space="0" w:color="auto"/>
            </w:tcBorders>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0.030</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0.031</w:t>
            </w:r>
          </w:p>
        </w:tc>
        <w:tc>
          <w:tcPr>
            <w:tcW w:w="1417" w:type="dxa"/>
            <w:tcBorders>
              <w:bottom w:val="single" w:sz="4" w:space="0" w:color="auto"/>
            </w:tcBorders>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0.03</w:t>
            </w:r>
          </w:p>
        </w:tc>
        <w:tc>
          <w:tcPr>
            <w:tcW w:w="1722" w:type="dxa"/>
            <w:tcBorders>
              <w:bottom w:val="single" w:sz="4" w:space="0" w:color="auto"/>
            </w:tcBorders>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0.048</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0.050</w:t>
            </w:r>
          </w:p>
        </w:tc>
        <w:tc>
          <w:tcPr>
            <w:tcW w:w="1443" w:type="dxa"/>
            <w:tcBorders>
              <w:bottom w:val="single" w:sz="4" w:space="0" w:color="auto"/>
            </w:tcBorders>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0.00</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0.00</w:t>
            </w:r>
          </w:p>
        </w:tc>
      </w:tr>
      <w:tr w:rsidR="006E4296" w:rsidRPr="009B5AEB" w:rsidTr="004F5BDC">
        <w:trPr>
          <w:trHeight w:val="300"/>
          <w:jc w:val="center"/>
        </w:trPr>
        <w:tc>
          <w:tcPr>
            <w:tcW w:w="8645" w:type="dxa"/>
            <w:gridSpan w:val="5"/>
            <w:tcBorders>
              <w:top w:val="single" w:sz="4" w:space="0" w:color="auto"/>
            </w:tcBorders>
            <w:shd w:val="clear" w:color="auto" w:fill="auto"/>
            <w:noWrap/>
            <w:vAlign w:val="bottom"/>
          </w:tcPr>
          <w:p w:rsidR="006E4296" w:rsidRPr="009B5AEB" w:rsidRDefault="006E4296" w:rsidP="004F5BDC">
            <w:pPr>
              <w:spacing w:before="120" w:after="120"/>
              <w:jc w:val="both"/>
            </w:pPr>
            <w:r w:rsidRPr="009B5AEB">
              <w:rPr>
                <w:rFonts w:ascii="Times New Roman" w:eastAsia="Times New Roman" w:hAnsi="Times New Roman" w:cs="Times New Roman"/>
                <w:color w:val="000000"/>
              </w:rPr>
              <w:t xml:space="preserve">Notes: Model 5 is identical to that reported in Table 5. For brevity, only the results of the target variables at various representative values of </w:t>
            </w:r>
            <w:proofErr w:type="gramStart"/>
            <w:r w:rsidRPr="009B5AEB">
              <w:rPr>
                <w:rFonts w:ascii="Times New Roman" w:eastAsia="Times New Roman" w:hAnsi="Times New Roman" w:cs="Times New Roman"/>
                <w:color w:val="000000"/>
              </w:rPr>
              <w:t>Log(</w:t>
            </w:r>
            <w:proofErr w:type="gramEnd"/>
            <w:r w:rsidRPr="009B5AEB">
              <w:rPr>
                <w:rFonts w:ascii="Times New Roman" w:eastAsia="Times New Roman" w:hAnsi="Times New Roman" w:cs="Times New Roman"/>
                <w:color w:val="000000"/>
              </w:rPr>
              <w:t xml:space="preserve">labour) and Log(sales) are reported. </w:t>
            </w:r>
            <w:r w:rsidRPr="009B5AEB">
              <w:rPr>
                <w:rFonts w:ascii="Times New Roman" w:hAnsi="Times New Roman" w:cs="Times New Roman"/>
              </w:rPr>
              <w:t xml:space="preserve">Coefficients are </w:t>
            </w:r>
            <w:proofErr w:type="spellStart"/>
            <w:r w:rsidRPr="009B5AEB">
              <w:rPr>
                <w:rFonts w:ascii="Times New Roman" w:hAnsi="Times New Roman" w:cs="Times New Roman"/>
              </w:rPr>
              <w:t>Probit</w:t>
            </w:r>
            <w:proofErr w:type="spellEnd"/>
            <w:r w:rsidRPr="009B5AEB">
              <w:rPr>
                <w:rFonts w:ascii="Times New Roman" w:hAnsi="Times New Roman" w:cs="Times New Roman"/>
              </w:rPr>
              <w:t xml:space="preserve"> marginal effects at the mean.</w:t>
            </w:r>
            <w:r w:rsidRPr="009B5AEB">
              <w:t xml:space="preserve"> </w:t>
            </w:r>
            <w:proofErr w:type="gramStart"/>
            <w:r w:rsidRPr="009B5AEB">
              <w:rPr>
                <w:rFonts w:ascii="Times New Roman" w:eastAsia="Times New Roman" w:hAnsi="Times New Roman" w:cs="Times New Roman"/>
                <w:color w:val="000000"/>
              </w:rPr>
              <w:t>Number observations for Panel A is</w:t>
            </w:r>
            <w:proofErr w:type="gramEnd"/>
            <w:r w:rsidRPr="009B5AEB">
              <w:rPr>
                <w:rFonts w:ascii="Times New Roman" w:eastAsia="Times New Roman" w:hAnsi="Times New Roman" w:cs="Times New Roman"/>
                <w:color w:val="000000"/>
              </w:rPr>
              <w:t xml:space="preserve"> 8235 and for Panel B is 6834.</w:t>
            </w:r>
          </w:p>
        </w:tc>
      </w:tr>
    </w:tbl>
    <w:p w:rsidR="006E4296" w:rsidRPr="009B5AEB" w:rsidRDefault="006E4296" w:rsidP="006E4296">
      <w:pPr>
        <w:jc w:val="both"/>
        <w:rPr>
          <w:rFonts w:ascii="Times New Roman" w:hAnsi="Times New Roman" w:cs="Times New Roman"/>
          <w:b/>
        </w:rPr>
      </w:pPr>
    </w:p>
    <w:p w:rsidR="006E4296" w:rsidRPr="009B5AEB" w:rsidRDefault="006E4296" w:rsidP="006E4296">
      <w:pPr>
        <w:jc w:val="both"/>
        <w:rPr>
          <w:rFonts w:ascii="Times New Roman" w:hAnsi="Times New Roman" w:cs="Times New Roman"/>
          <w:b/>
        </w:rPr>
      </w:pPr>
    </w:p>
    <w:p w:rsidR="006E4296" w:rsidRPr="009B5AEB" w:rsidRDefault="006E4296" w:rsidP="006E4296">
      <w:pPr>
        <w:jc w:val="both"/>
        <w:rPr>
          <w:rFonts w:ascii="Times New Roman" w:hAnsi="Times New Roman" w:cs="Times New Roman"/>
          <w:b/>
        </w:rPr>
      </w:pPr>
    </w:p>
    <w:p w:rsidR="006E4296" w:rsidRPr="009B5AEB" w:rsidRDefault="006E4296" w:rsidP="006E4296">
      <w:pPr>
        <w:jc w:val="both"/>
        <w:rPr>
          <w:rFonts w:ascii="Times New Roman" w:hAnsi="Times New Roman" w:cs="Times New Roman"/>
          <w:b/>
        </w:rPr>
      </w:pPr>
    </w:p>
    <w:p w:rsidR="006E4296" w:rsidRPr="009B5AEB" w:rsidRDefault="006E4296" w:rsidP="006E4296">
      <w:pPr>
        <w:jc w:val="both"/>
        <w:rPr>
          <w:rFonts w:ascii="Times New Roman" w:hAnsi="Times New Roman" w:cs="Times New Roman"/>
          <w:b/>
        </w:rPr>
      </w:pPr>
    </w:p>
    <w:p w:rsidR="006E4296" w:rsidRPr="009B5AEB" w:rsidRDefault="006E4296" w:rsidP="006E4296">
      <w:pPr>
        <w:jc w:val="both"/>
        <w:rPr>
          <w:rFonts w:ascii="Times New Roman" w:hAnsi="Times New Roman" w:cs="Times New Roman"/>
          <w:b/>
        </w:rPr>
      </w:pPr>
    </w:p>
    <w:p w:rsidR="006E4296" w:rsidRPr="009B5AEB" w:rsidRDefault="006E4296" w:rsidP="006E4296">
      <w:pPr>
        <w:jc w:val="both"/>
        <w:rPr>
          <w:rFonts w:ascii="Times New Roman" w:hAnsi="Times New Roman" w:cs="Times New Roman"/>
          <w:b/>
        </w:rPr>
      </w:pPr>
    </w:p>
    <w:tbl>
      <w:tblPr>
        <w:tblStyle w:val="TableGrid"/>
        <w:tblW w:w="9747"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09"/>
        <w:gridCol w:w="1134"/>
        <w:gridCol w:w="1134"/>
        <w:gridCol w:w="1134"/>
        <w:gridCol w:w="1134"/>
        <w:gridCol w:w="992"/>
        <w:gridCol w:w="992"/>
        <w:gridCol w:w="142"/>
        <w:gridCol w:w="992"/>
      </w:tblGrid>
      <w:tr w:rsidR="006E4296" w:rsidRPr="009B5AEB" w:rsidTr="004F5BDC">
        <w:tc>
          <w:tcPr>
            <w:tcW w:w="7621" w:type="dxa"/>
            <w:gridSpan w:val="7"/>
            <w:tcBorders>
              <w:top w:val="nil"/>
              <w:bottom w:val="single" w:sz="4" w:space="0" w:color="auto"/>
            </w:tcBorders>
            <w:vAlign w:val="center"/>
          </w:tcPr>
          <w:p w:rsidR="006E4296" w:rsidRPr="009B5AEB" w:rsidRDefault="006E4296" w:rsidP="004F5BDC">
            <w:r>
              <w:rPr>
                <w:rFonts w:ascii="Times New Roman" w:hAnsi="Times New Roman" w:cs="Times New Roman"/>
                <w:b/>
              </w:rPr>
              <w:t>Table 9</w:t>
            </w:r>
            <w:r w:rsidRPr="009B5AEB">
              <w:rPr>
                <w:rFonts w:ascii="Times New Roman" w:hAnsi="Times New Roman" w:cs="Times New Roman"/>
                <w:b/>
              </w:rPr>
              <w:t xml:space="preserve">: Model 5 estimation results across regions </w:t>
            </w:r>
          </w:p>
        </w:tc>
        <w:tc>
          <w:tcPr>
            <w:tcW w:w="992" w:type="dxa"/>
            <w:tcBorders>
              <w:top w:val="nil"/>
              <w:bottom w:val="single" w:sz="4" w:space="0" w:color="auto"/>
            </w:tcBorders>
          </w:tcPr>
          <w:p w:rsidR="006E4296" w:rsidRPr="009B5AEB" w:rsidRDefault="006E4296" w:rsidP="004F5BDC">
            <w:pPr>
              <w:rPr>
                <w:rFonts w:ascii="Times New Roman" w:hAnsi="Times New Roman" w:cs="Times New Roman"/>
                <w:b/>
              </w:rPr>
            </w:pPr>
          </w:p>
        </w:tc>
        <w:tc>
          <w:tcPr>
            <w:tcW w:w="1134" w:type="dxa"/>
            <w:gridSpan w:val="2"/>
            <w:tcBorders>
              <w:top w:val="nil"/>
              <w:bottom w:val="single" w:sz="4" w:space="0" w:color="auto"/>
            </w:tcBorders>
          </w:tcPr>
          <w:p w:rsidR="006E4296" w:rsidRPr="009B5AEB" w:rsidRDefault="006E4296" w:rsidP="004F5BDC">
            <w:pPr>
              <w:rPr>
                <w:rFonts w:ascii="Times New Roman" w:hAnsi="Times New Roman" w:cs="Times New Roman"/>
                <w:b/>
              </w:rPr>
            </w:pPr>
          </w:p>
        </w:tc>
      </w:tr>
      <w:tr w:rsidR="006E4296" w:rsidRPr="009B5AEB" w:rsidTr="004F5BDC">
        <w:tc>
          <w:tcPr>
            <w:tcW w:w="1384" w:type="dxa"/>
            <w:tcBorders>
              <w:top w:val="single" w:sz="4" w:space="0" w:color="auto"/>
              <w:left w:val="nil"/>
              <w:bottom w:val="single" w:sz="4" w:space="0" w:color="auto"/>
              <w:right w:val="nil"/>
            </w:tcBorders>
            <w:vAlign w:val="center"/>
          </w:tcPr>
          <w:p w:rsidR="006E4296" w:rsidRPr="009B5AEB" w:rsidRDefault="006E4296" w:rsidP="004F5BDC">
            <w:pP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Predictors</w:t>
            </w:r>
          </w:p>
        </w:tc>
        <w:tc>
          <w:tcPr>
            <w:tcW w:w="709" w:type="dxa"/>
            <w:tcBorders>
              <w:top w:val="single" w:sz="4" w:space="0" w:color="auto"/>
              <w:left w:val="nil"/>
              <w:bottom w:val="single" w:sz="4" w:space="0" w:color="auto"/>
              <w:right w:val="nil"/>
            </w:tcBorders>
          </w:tcPr>
          <w:p w:rsidR="006E4296" w:rsidRPr="009B5AEB" w:rsidRDefault="006E4296" w:rsidP="004F5BDC">
            <w:r w:rsidRPr="009B5AEB">
              <w:t>Exp. Sign</w:t>
            </w:r>
          </w:p>
        </w:tc>
        <w:tc>
          <w:tcPr>
            <w:tcW w:w="1134" w:type="dxa"/>
            <w:tcBorders>
              <w:top w:val="single" w:sz="4" w:space="0" w:color="auto"/>
              <w:left w:val="nil"/>
              <w:bottom w:val="single" w:sz="4" w:space="0" w:color="auto"/>
              <w:right w:val="nil"/>
            </w:tcBorders>
          </w:tcPr>
          <w:p w:rsidR="006E4296" w:rsidRPr="009B5AEB" w:rsidRDefault="006E4296" w:rsidP="004F5BDC">
            <w:pPr>
              <w:jc w:val="center"/>
            </w:pPr>
            <w:r w:rsidRPr="009B5AEB">
              <w:t>EU-EE</w:t>
            </w:r>
          </w:p>
        </w:tc>
        <w:tc>
          <w:tcPr>
            <w:tcW w:w="1134" w:type="dxa"/>
            <w:tcBorders>
              <w:top w:val="single" w:sz="4" w:space="0" w:color="auto"/>
              <w:left w:val="nil"/>
              <w:bottom w:val="single" w:sz="4" w:space="0" w:color="auto"/>
              <w:right w:val="nil"/>
            </w:tcBorders>
          </w:tcPr>
          <w:p w:rsidR="006E4296" w:rsidRPr="009B5AEB" w:rsidRDefault="006E4296" w:rsidP="004F5BDC">
            <w:pPr>
              <w:jc w:val="center"/>
            </w:pPr>
            <w:r w:rsidRPr="009B5AEB">
              <w:t>Non-EU-EE</w:t>
            </w:r>
          </w:p>
        </w:tc>
        <w:tc>
          <w:tcPr>
            <w:tcW w:w="1134" w:type="dxa"/>
            <w:tcBorders>
              <w:top w:val="single" w:sz="4" w:space="0" w:color="auto"/>
              <w:left w:val="nil"/>
              <w:bottom w:val="single" w:sz="4" w:space="0" w:color="auto"/>
              <w:right w:val="nil"/>
            </w:tcBorders>
          </w:tcPr>
          <w:p w:rsidR="006E4296" w:rsidRPr="009B5AEB" w:rsidRDefault="006E4296" w:rsidP="004F5BDC">
            <w:pPr>
              <w:jc w:val="center"/>
            </w:pPr>
            <w:r w:rsidRPr="009B5AEB">
              <w:t>Caucasus</w:t>
            </w:r>
          </w:p>
        </w:tc>
        <w:tc>
          <w:tcPr>
            <w:tcW w:w="1134" w:type="dxa"/>
            <w:tcBorders>
              <w:top w:val="single" w:sz="4" w:space="0" w:color="auto"/>
              <w:left w:val="nil"/>
              <w:bottom w:val="single" w:sz="4" w:space="0" w:color="auto"/>
              <w:right w:val="nil"/>
            </w:tcBorders>
          </w:tcPr>
          <w:p w:rsidR="006E4296" w:rsidRPr="009B5AEB" w:rsidRDefault="006E4296" w:rsidP="004F5BDC">
            <w:pPr>
              <w:jc w:val="center"/>
            </w:pPr>
            <w:r>
              <w:t>Central Asia</w:t>
            </w:r>
          </w:p>
        </w:tc>
        <w:tc>
          <w:tcPr>
            <w:tcW w:w="992" w:type="dxa"/>
            <w:tcBorders>
              <w:top w:val="single" w:sz="4" w:space="0" w:color="auto"/>
              <w:left w:val="nil"/>
              <w:bottom w:val="single" w:sz="4" w:space="0" w:color="auto"/>
              <w:right w:val="nil"/>
            </w:tcBorders>
          </w:tcPr>
          <w:p w:rsidR="006E4296" w:rsidRPr="009B5AEB" w:rsidRDefault="006E4296" w:rsidP="004F5BDC">
            <w:pPr>
              <w:jc w:val="center"/>
            </w:pPr>
            <w:r>
              <w:t>BRUM</w:t>
            </w:r>
          </w:p>
        </w:tc>
        <w:tc>
          <w:tcPr>
            <w:tcW w:w="1134" w:type="dxa"/>
            <w:gridSpan w:val="2"/>
            <w:tcBorders>
              <w:top w:val="single" w:sz="4" w:space="0" w:color="auto"/>
              <w:left w:val="nil"/>
              <w:bottom w:val="single" w:sz="4" w:space="0" w:color="auto"/>
              <w:right w:val="nil"/>
            </w:tcBorders>
          </w:tcPr>
          <w:p w:rsidR="006E4296" w:rsidRDefault="006E4296" w:rsidP="004F5BDC">
            <w:pPr>
              <w:jc w:val="center"/>
            </w:pPr>
            <w:r w:rsidRPr="009B5AEB">
              <w:t xml:space="preserve">CIS </w:t>
            </w:r>
          </w:p>
          <w:p w:rsidR="006E4296" w:rsidRPr="009B5AEB" w:rsidRDefault="006E4296" w:rsidP="004F5BDC">
            <w:pPr>
              <w:jc w:val="center"/>
            </w:pPr>
            <w:r>
              <w:t>Other</w:t>
            </w:r>
          </w:p>
        </w:tc>
        <w:tc>
          <w:tcPr>
            <w:tcW w:w="992" w:type="dxa"/>
            <w:tcBorders>
              <w:top w:val="single" w:sz="4" w:space="0" w:color="auto"/>
              <w:left w:val="nil"/>
              <w:bottom w:val="single" w:sz="4" w:space="0" w:color="auto"/>
              <w:right w:val="nil"/>
            </w:tcBorders>
          </w:tcPr>
          <w:p w:rsidR="006E4296" w:rsidRPr="009B5AEB" w:rsidRDefault="006E4296" w:rsidP="004F5BDC">
            <w:pPr>
              <w:jc w:val="center"/>
            </w:pPr>
            <w:r w:rsidRPr="009B5AEB">
              <w:t xml:space="preserve">CIS </w:t>
            </w:r>
          </w:p>
          <w:p w:rsidR="006E4296" w:rsidRPr="009B5AEB" w:rsidRDefault="006E4296" w:rsidP="004F5BDC">
            <w:pPr>
              <w:jc w:val="center"/>
            </w:pPr>
            <w:r>
              <w:t>Oil Rich</w:t>
            </w:r>
          </w:p>
        </w:tc>
      </w:tr>
      <w:tr w:rsidR="006E4296" w:rsidRPr="009B5AEB" w:rsidTr="004F5BDC">
        <w:tc>
          <w:tcPr>
            <w:tcW w:w="1384" w:type="dxa"/>
            <w:tcBorders>
              <w:top w:val="single" w:sz="4" w:space="0" w:color="auto"/>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Bribes and </w:t>
            </w:r>
            <w:r>
              <w:rPr>
                <w:rFonts w:ascii="Times New Roman" w:eastAsia="Times New Roman" w:hAnsi="Times New Roman" w:cs="Times New Roman"/>
                <w:i/>
                <w:iCs/>
                <w:color w:val="000000"/>
              </w:rPr>
              <w:t>G</w:t>
            </w:r>
            <w:r w:rsidRPr="009B5AEB">
              <w:rPr>
                <w:rFonts w:ascii="Times New Roman" w:eastAsia="Times New Roman" w:hAnsi="Times New Roman" w:cs="Times New Roman"/>
                <w:i/>
                <w:iCs/>
                <w:color w:val="000000"/>
              </w:rPr>
              <w:t>ifts</w:t>
            </w:r>
          </w:p>
          <w:p w:rsidR="006E4296" w:rsidRPr="009B5AEB" w:rsidRDefault="006E4296" w:rsidP="004F5BDC">
            <w:pPr>
              <w:rPr>
                <w:rFonts w:ascii="Times New Roman" w:eastAsia="Times New Roman" w:hAnsi="Times New Roman" w:cs="Times New Roman"/>
                <w:i/>
                <w:iCs/>
                <w:color w:val="000000"/>
              </w:rPr>
            </w:pPr>
          </w:p>
        </w:tc>
        <w:tc>
          <w:tcPr>
            <w:tcW w:w="709" w:type="dxa"/>
            <w:tcBorders>
              <w:top w:val="single" w:sz="4" w:space="0" w:color="auto"/>
              <w:left w:val="nil"/>
              <w:bottom w:val="nil"/>
              <w:right w:val="nil"/>
            </w:tcBorders>
          </w:tcPr>
          <w:p w:rsidR="006E4296" w:rsidRPr="009B5AEB" w:rsidRDefault="006E4296" w:rsidP="004F5BDC">
            <w:pPr>
              <w:jc w:val="center"/>
            </w:pPr>
            <w:r w:rsidRPr="009B5AEB">
              <w:t>+</w:t>
            </w:r>
          </w:p>
        </w:tc>
        <w:tc>
          <w:tcPr>
            <w:tcW w:w="1134" w:type="dxa"/>
            <w:tcBorders>
              <w:top w:val="single" w:sz="4" w:space="0" w:color="auto"/>
              <w:left w:val="nil"/>
              <w:bottom w:val="nil"/>
              <w:right w:val="nil"/>
            </w:tcBorders>
          </w:tcPr>
          <w:p w:rsidR="006E4296" w:rsidRPr="009B5AEB" w:rsidRDefault="006E4296" w:rsidP="004F5BDC">
            <w:r w:rsidRPr="009B5AEB">
              <w:t>0.059***</w:t>
            </w:r>
          </w:p>
          <w:p w:rsidR="006E4296" w:rsidRPr="009B5AEB" w:rsidRDefault="006E4296" w:rsidP="004F5BDC">
            <w:r w:rsidRPr="009B5AEB">
              <w:t>(0.022)</w:t>
            </w:r>
          </w:p>
        </w:tc>
        <w:tc>
          <w:tcPr>
            <w:tcW w:w="1134" w:type="dxa"/>
            <w:tcBorders>
              <w:top w:val="single" w:sz="4" w:space="0" w:color="auto"/>
              <w:left w:val="nil"/>
              <w:bottom w:val="nil"/>
              <w:right w:val="nil"/>
            </w:tcBorders>
          </w:tcPr>
          <w:p w:rsidR="006E4296" w:rsidRPr="009B5AEB" w:rsidRDefault="006E4296" w:rsidP="004F5BDC">
            <w:r w:rsidRPr="009B5AEB">
              <w:t>0.084***</w:t>
            </w:r>
          </w:p>
          <w:p w:rsidR="006E4296" w:rsidRPr="009B5AEB" w:rsidRDefault="006E4296" w:rsidP="004F5BDC">
            <w:r w:rsidRPr="009B5AEB">
              <w:t>(0.031)</w:t>
            </w:r>
          </w:p>
        </w:tc>
        <w:tc>
          <w:tcPr>
            <w:tcW w:w="1134" w:type="dxa"/>
            <w:tcBorders>
              <w:top w:val="single" w:sz="4" w:space="0" w:color="auto"/>
              <w:left w:val="nil"/>
              <w:bottom w:val="nil"/>
              <w:right w:val="nil"/>
            </w:tcBorders>
          </w:tcPr>
          <w:p w:rsidR="006E4296" w:rsidRPr="009B5AEB" w:rsidRDefault="006E4296" w:rsidP="004F5BDC">
            <w:r w:rsidRPr="009B5AEB">
              <w:t>0.033</w:t>
            </w:r>
          </w:p>
          <w:p w:rsidR="006E4296" w:rsidRPr="009B5AEB" w:rsidRDefault="006E4296" w:rsidP="004F5BDC">
            <w:r w:rsidRPr="009B5AEB">
              <w:t>(0.052)</w:t>
            </w:r>
          </w:p>
        </w:tc>
        <w:tc>
          <w:tcPr>
            <w:tcW w:w="1134" w:type="dxa"/>
            <w:tcBorders>
              <w:top w:val="single" w:sz="4" w:space="0" w:color="auto"/>
              <w:left w:val="nil"/>
              <w:bottom w:val="nil"/>
              <w:right w:val="nil"/>
            </w:tcBorders>
          </w:tcPr>
          <w:p w:rsidR="006E4296" w:rsidRPr="009B5AEB" w:rsidRDefault="006E4296" w:rsidP="004F5BDC">
            <w:r>
              <w:t>- 0.008</w:t>
            </w:r>
          </w:p>
          <w:p w:rsidR="006E4296" w:rsidRPr="009B5AEB" w:rsidRDefault="006E4296" w:rsidP="004F5BDC">
            <w:r>
              <w:t>(0.043</w:t>
            </w:r>
            <w:r w:rsidRPr="009B5AEB">
              <w:t>)</w:t>
            </w:r>
          </w:p>
        </w:tc>
        <w:tc>
          <w:tcPr>
            <w:tcW w:w="992" w:type="dxa"/>
            <w:tcBorders>
              <w:top w:val="single" w:sz="4" w:space="0" w:color="auto"/>
              <w:left w:val="nil"/>
              <w:bottom w:val="nil"/>
              <w:right w:val="nil"/>
            </w:tcBorders>
          </w:tcPr>
          <w:p w:rsidR="006E4296" w:rsidRPr="009B5AEB" w:rsidRDefault="006E4296" w:rsidP="004F5BDC">
            <w:r>
              <w:t>0.005</w:t>
            </w:r>
          </w:p>
          <w:p w:rsidR="006E4296" w:rsidRPr="009B5AEB" w:rsidRDefault="006E4296" w:rsidP="004F5BDC">
            <w:r>
              <w:t>(0.007</w:t>
            </w:r>
            <w:r w:rsidRPr="009B5AEB">
              <w:t>)</w:t>
            </w:r>
          </w:p>
        </w:tc>
        <w:tc>
          <w:tcPr>
            <w:tcW w:w="1134" w:type="dxa"/>
            <w:gridSpan w:val="2"/>
            <w:tcBorders>
              <w:top w:val="single" w:sz="4" w:space="0" w:color="auto"/>
              <w:left w:val="nil"/>
              <w:bottom w:val="nil"/>
              <w:right w:val="nil"/>
            </w:tcBorders>
          </w:tcPr>
          <w:p w:rsidR="006E4296" w:rsidRPr="009B5AEB" w:rsidRDefault="006E4296" w:rsidP="004F5BDC">
            <w:r>
              <w:t>0.036**</w:t>
            </w:r>
          </w:p>
          <w:p w:rsidR="006E4296" w:rsidRPr="009B5AEB" w:rsidRDefault="006E4296" w:rsidP="004F5BDC">
            <w:r w:rsidRPr="009B5AEB">
              <w:t>(0.017)</w:t>
            </w:r>
          </w:p>
        </w:tc>
        <w:tc>
          <w:tcPr>
            <w:tcW w:w="992" w:type="dxa"/>
            <w:tcBorders>
              <w:top w:val="single" w:sz="4" w:space="0" w:color="auto"/>
              <w:left w:val="nil"/>
              <w:bottom w:val="nil"/>
              <w:right w:val="nil"/>
            </w:tcBorders>
          </w:tcPr>
          <w:p w:rsidR="006E4296" w:rsidRPr="009B5AEB" w:rsidRDefault="006E4296" w:rsidP="004F5BDC">
            <w:r w:rsidRPr="009B5AEB">
              <w:t>-</w:t>
            </w:r>
            <w:r>
              <w:t xml:space="preserve"> </w:t>
            </w:r>
            <w:r w:rsidRPr="009B5AEB">
              <w:t>0.009</w:t>
            </w:r>
          </w:p>
          <w:p w:rsidR="006E4296" w:rsidRPr="009B5AEB" w:rsidRDefault="006E4296" w:rsidP="004F5BDC">
            <w:r w:rsidRPr="009B5AEB">
              <w:t>(0.017)</w:t>
            </w:r>
          </w:p>
        </w:tc>
      </w:tr>
      <w:tr w:rsidR="006E4296" w:rsidRPr="009B5AEB" w:rsidTr="004F5BDC">
        <w:tc>
          <w:tcPr>
            <w:tcW w:w="1384"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
                <w:iCs/>
                <w:color w:val="000000"/>
              </w:rPr>
            </w:pPr>
            <w:r w:rsidRPr="009B5AEB">
              <w:rPr>
                <w:rFonts w:ascii="Times New Roman" w:eastAsia="Times New Roman" w:hAnsi="Times New Roman" w:cs="Times New Roman"/>
                <w:i/>
                <w:iCs/>
                <w:color w:val="000000"/>
              </w:rPr>
              <w:t xml:space="preserve">Government </w:t>
            </w:r>
            <w:r>
              <w:rPr>
                <w:rFonts w:ascii="Times New Roman" w:eastAsia="Times New Roman" w:hAnsi="Times New Roman" w:cs="Times New Roman"/>
                <w:i/>
                <w:iCs/>
                <w:color w:val="000000"/>
              </w:rPr>
              <w:t>C</w:t>
            </w:r>
            <w:r w:rsidRPr="009B5AEB">
              <w:rPr>
                <w:rFonts w:ascii="Times New Roman" w:eastAsia="Times New Roman" w:hAnsi="Times New Roman" w:cs="Times New Roman"/>
                <w:i/>
                <w:iCs/>
                <w:color w:val="000000"/>
              </w:rPr>
              <w:t>ontract</w:t>
            </w:r>
          </w:p>
          <w:p w:rsidR="006E4296" w:rsidRPr="009B5AEB" w:rsidRDefault="006E4296" w:rsidP="004F5BDC">
            <w:pPr>
              <w:rPr>
                <w:rFonts w:ascii="Times New Roman" w:eastAsia="Times New Roman" w:hAnsi="Times New Roman" w:cs="Times New Roman"/>
                <w:i/>
                <w:iCs/>
                <w:color w:val="000000"/>
              </w:rPr>
            </w:pPr>
          </w:p>
        </w:tc>
        <w:tc>
          <w:tcPr>
            <w:tcW w:w="709" w:type="dxa"/>
            <w:tcBorders>
              <w:top w:val="nil"/>
              <w:left w:val="nil"/>
              <w:bottom w:val="nil"/>
              <w:right w:val="nil"/>
            </w:tcBorders>
          </w:tcPr>
          <w:p w:rsidR="006E4296" w:rsidRPr="009B5AEB" w:rsidRDefault="006E4296" w:rsidP="004F5BDC">
            <w:pPr>
              <w:jc w:val="center"/>
            </w:pPr>
            <w:r w:rsidRPr="009B5AEB">
              <w:t>+</w:t>
            </w:r>
          </w:p>
        </w:tc>
        <w:tc>
          <w:tcPr>
            <w:tcW w:w="1134" w:type="dxa"/>
            <w:tcBorders>
              <w:top w:val="nil"/>
              <w:left w:val="nil"/>
              <w:bottom w:val="nil"/>
              <w:right w:val="nil"/>
            </w:tcBorders>
          </w:tcPr>
          <w:p w:rsidR="006E4296" w:rsidRPr="009B5AEB" w:rsidRDefault="006E4296" w:rsidP="004F5BDC">
            <w:r w:rsidRPr="009B5AEB">
              <w:t>0.042**</w:t>
            </w:r>
          </w:p>
          <w:p w:rsidR="006E4296" w:rsidRPr="009B5AEB" w:rsidRDefault="006E4296" w:rsidP="004F5BDC">
            <w:r w:rsidRPr="009B5AEB">
              <w:t>(0.019)</w:t>
            </w:r>
          </w:p>
        </w:tc>
        <w:tc>
          <w:tcPr>
            <w:tcW w:w="1134" w:type="dxa"/>
            <w:tcBorders>
              <w:top w:val="nil"/>
              <w:left w:val="nil"/>
              <w:bottom w:val="nil"/>
              <w:right w:val="nil"/>
            </w:tcBorders>
          </w:tcPr>
          <w:p w:rsidR="006E4296" w:rsidRPr="009B5AEB" w:rsidRDefault="006E4296" w:rsidP="004F5BDC">
            <w:r w:rsidRPr="009B5AEB">
              <w:t>0.074**</w:t>
            </w:r>
          </w:p>
          <w:p w:rsidR="006E4296" w:rsidRPr="009B5AEB" w:rsidRDefault="006E4296" w:rsidP="004F5BDC">
            <w:r w:rsidRPr="009B5AEB">
              <w:t>(0.035)</w:t>
            </w:r>
          </w:p>
        </w:tc>
        <w:tc>
          <w:tcPr>
            <w:tcW w:w="1134" w:type="dxa"/>
            <w:tcBorders>
              <w:top w:val="nil"/>
              <w:left w:val="nil"/>
              <w:bottom w:val="nil"/>
              <w:right w:val="nil"/>
            </w:tcBorders>
          </w:tcPr>
          <w:p w:rsidR="006E4296" w:rsidRPr="009B5AEB" w:rsidRDefault="006E4296" w:rsidP="004F5BDC">
            <w:r w:rsidRPr="009B5AEB">
              <w:t>0.147***</w:t>
            </w:r>
          </w:p>
          <w:p w:rsidR="006E4296" w:rsidRPr="009B5AEB" w:rsidRDefault="006E4296" w:rsidP="004F5BDC">
            <w:r w:rsidRPr="009B5AEB">
              <w:t>(0.043)</w:t>
            </w:r>
          </w:p>
        </w:tc>
        <w:tc>
          <w:tcPr>
            <w:tcW w:w="1134" w:type="dxa"/>
            <w:tcBorders>
              <w:top w:val="nil"/>
              <w:left w:val="nil"/>
              <w:bottom w:val="nil"/>
              <w:right w:val="nil"/>
            </w:tcBorders>
          </w:tcPr>
          <w:p w:rsidR="006E4296" w:rsidRPr="009B5AEB" w:rsidRDefault="006E4296" w:rsidP="004F5BDC">
            <w:r>
              <w:t>0.030***</w:t>
            </w:r>
          </w:p>
          <w:p w:rsidR="006E4296" w:rsidRPr="009B5AEB" w:rsidRDefault="006E4296" w:rsidP="004F5BDC">
            <w:r>
              <w:t>(0.001</w:t>
            </w:r>
            <w:r w:rsidRPr="009B5AEB">
              <w:t>)</w:t>
            </w:r>
          </w:p>
        </w:tc>
        <w:tc>
          <w:tcPr>
            <w:tcW w:w="992" w:type="dxa"/>
            <w:tcBorders>
              <w:top w:val="nil"/>
              <w:left w:val="nil"/>
              <w:bottom w:val="nil"/>
              <w:right w:val="nil"/>
            </w:tcBorders>
          </w:tcPr>
          <w:p w:rsidR="006E4296" w:rsidRPr="009B5AEB" w:rsidRDefault="006E4296" w:rsidP="004F5BDC">
            <w:r>
              <w:t>0.031</w:t>
            </w:r>
          </w:p>
          <w:p w:rsidR="006E4296" w:rsidRPr="009B5AEB" w:rsidRDefault="006E4296" w:rsidP="004F5BDC">
            <w:r w:rsidRPr="009B5AEB">
              <w:t>(0</w:t>
            </w:r>
            <w:r>
              <w:t>.023</w:t>
            </w:r>
            <w:r w:rsidRPr="009B5AEB">
              <w:t>)</w:t>
            </w:r>
          </w:p>
        </w:tc>
        <w:tc>
          <w:tcPr>
            <w:tcW w:w="1134" w:type="dxa"/>
            <w:gridSpan w:val="2"/>
            <w:tcBorders>
              <w:top w:val="nil"/>
              <w:left w:val="nil"/>
              <w:bottom w:val="nil"/>
              <w:right w:val="nil"/>
            </w:tcBorders>
          </w:tcPr>
          <w:p w:rsidR="006E4296" w:rsidRPr="009B5AEB" w:rsidRDefault="006E4296" w:rsidP="004F5BDC">
            <w:r>
              <w:t>0.079***</w:t>
            </w:r>
          </w:p>
          <w:p w:rsidR="006E4296" w:rsidRPr="009B5AEB" w:rsidRDefault="006E4296" w:rsidP="004F5BDC">
            <w:r>
              <w:t>(0.023</w:t>
            </w:r>
            <w:r w:rsidRPr="009B5AEB">
              <w:t>)</w:t>
            </w:r>
          </w:p>
        </w:tc>
        <w:tc>
          <w:tcPr>
            <w:tcW w:w="992" w:type="dxa"/>
            <w:tcBorders>
              <w:top w:val="nil"/>
              <w:left w:val="nil"/>
              <w:bottom w:val="nil"/>
              <w:right w:val="nil"/>
            </w:tcBorders>
          </w:tcPr>
          <w:p w:rsidR="006E4296" w:rsidRPr="009B5AEB" w:rsidRDefault="006E4296" w:rsidP="004F5BDC">
            <w:r w:rsidRPr="009B5AEB">
              <w:t>0.019</w:t>
            </w:r>
          </w:p>
          <w:p w:rsidR="006E4296" w:rsidRPr="009B5AEB" w:rsidRDefault="006E4296" w:rsidP="004F5BDC">
            <w:r w:rsidRPr="009B5AEB">
              <w:t>(0.013)</w:t>
            </w:r>
          </w:p>
        </w:tc>
      </w:tr>
      <w:tr w:rsidR="006E4296" w:rsidRPr="009B5AEB" w:rsidTr="004F5BDC">
        <w:tc>
          <w:tcPr>
            <w:tcW w:w="1384" w:type="dxa"/>
            <w:tcBorders>
              <w:top w:val="nil"/>
              <w:left w:val="nil"/>
              <w:bottom w:val="nil"/>
              <w:right w:val="nil"/>
            </w:tcBorders>
            <w:vAlign w:val="center"/>
          </w:tcPr>
          <w:p w:rsidR="006E4296" w:rsidRPr="009B5AEB" w:rsidRDefault="006E4296" w:rsidP="004F5BDC">
            <w:pP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Number of Observations</w:t>
            </w:r>
          </w:p>
        </w:tc>
        <w:tc>
          <w:tcPr>
            <w:tcW w:w="709" w:type="dxa"/>
            <w:tcBorders>
              <w:top w:val="nil"/>
              <w:left w:val="nil"/>
              <w:bottom w:val="nil"/>
              <w:right w:val="nil"/>
            </w:tcBorders>
          </w:tcPr>
          <w:p w:rsidR="006E4296" w:rsidRPr="009B5AEB" w:rsidRDefault="006E4296" w:rsidP="004F5BDC">
            <w:pPr>
              <w:jc w:val="center"/>
            </w:pPr>
          </w:p>
        </w:tc>
        <w:tc>
          <w:tcPr>
            <w:tcW w:w="1134" w:type="dxa"/>
            <w:tcBorders>
              <w:top w:val="nil"/>
              <w:left w:val="nil"/>
              <w:bottom w:val="nil"/>
              <w:right w:val="nil"/>
            </w:tcBorders>
          </w:tcPr>
          <w:p w:rsidR="006E4296" w:rsidRPr="009B5AEB" w:rsidRDefault="006E4296" w:rsidP="004F5BDC">
            <w:pPr>
              <w:jc w:val="center"/>
            </w:pPr>
            <w:r w:rsidRPr="009B5AEB">
              <w:t>2275</w:t>
            </w:r>
          </w:p>
        </w:tc>
        <w:tc>
          <w:tcPr>
            <w:tcW w:w="1134" w:type="dxa"/>
            <w:tcBorders>
              <w:top w:val="nil"/>
              <w:left w:val="nil"/>
              <w:bottom w:val="nil"/>
              <w:right w:val="nil"/>
            </w:tcBorders>
          </w:tcPr>
          <w:p w:rsidR="006E4296" w:rsidRPr="009B5AEB" w:rsidRDefault="006E4296" w:rsidP="004F5BDC">
            <w:r w:rsidRPr="009B5AEB">
              <w:t>1145</w:t>
            </w:r>
          </w:p>
        </w:tc>
        <w:tc>
          <w:tcPr>
            <w:tcW w:w="1134" w:type="dxa"/>
            <w:tcBorders>
              <w:top w:val="nil"/>
              <w:left w:val="nil"/>
              <w:bottom w:val="nil"/>
              <w:right w:val="nil"/>
            </w:tcBorders>
          </w:tcPr>
          <w:p w:rsidR="006E4296" w:rsidRPr="009B5AEB" w:rsidRDefault="006E4296" w:rsidP="004F5BDC">
            <w:r w:rsidRPr="009B5AEB">
              <w:t>624</w:t>
            </w:r>
          </w:p>
        </w:tc>
        <w:tc>
          <w:tcPr>
            <w:tcW w:w="1134" w:type="dxa"/>
            <w:tcBorders>
              <w:top w:val="nil"/>
              <w:left w:val="nil"/>
              <w:bottom w:val="nil"/>
              <w:right w:val="nil"/>
            </w:tcBorders>
          </w:tcPr>
          <w:p w:rsidR="006E4296" w:rsidRPr="009B5AEB" w:rsidRDefault="006E4296" w:rsidP="004F5BDC">
            <w:r>
              <w:t>915</w:t>
            </w:r>
          </w:p>
        </w:tc>
        <w:tc>
          <w:tcPr>
            <w:tcW w:w="992" w:type="dxa"/>
            <w:tcBorders>
              <w:top w:val="nil"/>
              <w:left w:val="nil"/>
              <w:bottom w:val="nil"/>
              <w:right w:val="nil"/>
            </w:tcBorders>
          </w:tcPr>
          <w:p w:rsidR="006E4296" w:rsidRPr="009B5AEB" w:rsidRDefault="006E4296" w:rsidP="004F5BDC">
            <w:r w:rsidRPr="009B5AEB">
              <w:t>3268</w:t>
            </w:r>
          </w:p>
        </w:tc>
        <w:tc>
          <w:tcPr>
            <w:tcW w:w="1134" w:type="dxa"/>
            <w:gridSpan w:val="2"/>
            <w:tcBorders>
              <w:top w:val="nil"/>
              <w:left w:val="nil"/>
              <w:bottom w:val="nil"/>
              <w:right w:val="nil"/>
            </w:tcBorders>
          </w:tcPr>
          <w:p w:rsidR="006E4296" w:rsidRPr="009B5AEB" w:rsidRDefault="006E4296" w:rsidP="004F5BDC">
            <w:r>
              <w:t>1866</w:t>
            </w:r>
          </w:p>
        </w:tc>
        <w:tc>
          <w:tcPr>
            <w:tcW w:w="992" w:type="dxa"/>
            <w:tcBorders>
              <w:top w:val="nil"/>
              <w:left w:val="nil"/>
              <w:bottom w:val="nil"/>
              <w:right w:val="nil"/>
            </w:tcBorders>
          </w:tcPr>
          <w:p w:rsidR="006E4296" w:rsidRPr="009B5AEB" w:rsidRDefault="006E4296" w:rsidP="004F5BDC">
            <w:r w:rsidRPr="009B5AEB">
              <w:t>2942</w:t>
            </w:r>
          </w:p>
        </w:tc>
      </w:tr>
      <w:tr w:rsidR="006E4296" w:rsidRPr="009B5AEB" w:rsidTr="004F5BDC">
        <w:tc>
          <w:tcPr>
            <w:tcW w:w="1384" w:type="dxa"/>
            <w:tcBorders>
              <w:top w:val="nil"/>
              <w:left w:val="nil"/>
              <w:bottom w:val="single" w:sz="4" w:space="0" w:color="auto"/>
              <w:right w:val="nil"/>
            </w:tcBorders>
            <w:vAlign w:val="center"/>
          </w:tcPr>
          <w:p w:rsidR="006E4296" w:rsidRPr="009B5AEB" w:rsidRDefault="006E4296" w:rsidP="004F5BDC">
            <w:pP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 xml:space="preserve">Correctly Classified </w:t>
            </w:r>
          </w:p>
        </w:tc>
        <w:tc>
          <w:tcPr>
            <w:tcW w:w="709" w:type="dxa"/>
            <w:tcBorders>
              <w:top w:val="nil"/>
              <w:left w:val="nil"/>
              <w:bottom w:val="single" w:sz="4" w:space="0" w:color="auto"/>
              <w:right w:val="nil"/>
            </w:tcBorders>
          </w:tcPr>
          <w:p w:rsidR="006E4296" w:rsidRPr="009B5AEB" w:rsidRDefault="006E4296" w:rsidP="004F5BDC">
            <w:pPr>
              <w:jc w:val="center"/>
            </w:pPr>
          </w:p>
        </w:tc>
        <w:tc>
          <w:tcPr>
            <w:tcW w:w="1134" w:type="dxa"/>
            <w:tcBorders>
              <w:top w:val="nil"/>
              <w:left w:val="nil"/>
              <w:bottom w:val="single" w:sz="4" w:space="0" w:color="auto"/>
              <w:right w:val="nil"/>
            </w:tcBorders>
          </w:tcPr>
          <w:p w:rsidR="006E4296" w:rsidRPr="009B5AEB" w:rsidRDefault="006E4296" w:rsidP="004F5BDC">
            <w:pPr>
              <w:jc w:val="center"/>
            </w:pPr>
            <w:r w:rsidRPr="009B5AEB">
              <w:t>67.34%</w:t>
            </w:r>
          </w:p>
        </w:tc>
        <w:tc>
          <w:tcPr>
            <w:tcW w:w="1134" w:type="dxa"/>
            <w:tcBorders>
              <w:top w:val="nil"/>
              <w:left w:val="nil"/>
              <w:bottom w:val="single" w:sz="4" w:space="0" w:color="auto"/>
              <w:right w:val="nil"/>
            </w:tcBorders>
          </w:tcPr>
          <w:p w:rsidR="006E4296" w:rsidRPr="009B5AEB" w:rsidRDefault="006E4296" w:rsidP="004F5BDC">
            <w:r w:rsidRPr="009B5AEB">
              <w:t>64.45%</w:t>
            </w:r>
          </w:p>
        </w:tc>
        <w:tc>
          <w:tcPr>
            <w:tcW w:w="1134" w:type="dxa"/>
            <w:tcBorders>
              <w:top w:val="nil"/>
              <w:left w:val="nil"/>
              <w:bottom w:val="single" w:sz="4" w:space="0" w:color="auto"/>
              <w:right w:val="nil"/>
            </w:tcBorders>
          </w:tcPr>
          <w:p w:rsidR="006E4296" w:rsidRPr="009B5AEB" w:rsidRDefault="006E4296" w:rsidP="004F5BDC">
            <w:r w:rsidRPr="009B5AEB">
              <w:t>70.51%</w:t>
            </w:r>
          </w:p>
        </w:tc>
        <w:tc>
          <w:tcPr>
            <w:tcW w:w="1134" w:type="dxa"/>
            <w:tcBorders>
              <w:top w:val="nil"/>
              <w:left w:val="nil"/>
              <w:bottom w:val="single" w:sz="4" w:space="0" w:color="auto"/>
              <w:right w:val="nil"/>
            </w:tcBorders>
          </w:tcPr>
          <w:p w:rsidR="006E4296" w:rsidRPr="009B5AEB" w:rsidRDefault="006E4296" w:rsidP="004F5BDC">
            <w:r w:rsidRPr="009B5AEB">
              <w:t>83.28%</w:t>
            </w:r>
          </w:p>
        </w:tc>
        <w:tc>
          <w:tcPr>
            <w:tcW w:w="992" w:type="dxa"/>
            <w:tcBorders>
              <w:top w:val="nil"/>
              <w:left w:val="nil"/>
              <w:bottom w:val="single" w:sz="4" w:space="0" w:color="auto"/>
              <w:right w:val="nil"/>
            </w:tcBorders>
          </w:tcPr>
          <w:p w:rsidR="006E4296" w:rsidRPr="009B5AEB" w:rsidRDefault="006E4296" w:rsidP="004F5BDC">
            <w:r w:rsidRPr="009B5AEB">
              <w:t>78.03%</w:t>
            </w:r>
          </w:p>
        </w:tc>
        <w:tc>
          <w:tcPr>
            <w:tcW w:w="1134" w:type="dxa"/>
            <w:gridSpan w:val="2"/>
            <w:tcBorders>
              <w:top w:val="nil"/>
              <w:left w:val="nil"/>
              <w:bottom w:val="single" w:sz="4" w:space="0" w:color="auto"/>
              <w:right w:val="nil"/>
            </w:tcBorders>
          </w:tcPr>
          <w:p w:rsidR="006E4296" w:rsidRPr="009B5AEB" w:rsidRDefault="006E4296" w:rsidP="004F5BDC">
            <w:r w:rsidRPr="009B5AEB">
              <w:t>76.05%</w:t>
            </w:r>
          </w:p>
        </w:tc>
        <w:tc>
          <w:tcPr>
            <w:tcW w:w="992" w:type="dxa"/>
            <w:tcBorders>
              <w:top w:val="nil"/>
              <w:left w:val="nil"/>
              <w:bottom w:val="single" w:sz="4" w:space="0" w:color="auto"/>
              <w:right w:val="nil"/>
            </w:tcBorders>
          </w:tcPr>
          <w:p w:rsidR="006E4296" w:rsidRPr="009B5AEB" w:rsidRDefault="006E4296" w:rsidP="004F5BDC">
            <w:r w:rsidRPr="009B5AEB">
              <w:t>79.23%</w:t>
            </w:r>
          </w:p>
        </w:tc>
      </w:tr>
      <w:tr w:rsidR="006E4296" w:rsidRPr="009B5AEB" w:rsidTr="004F5BDC">
        <w:tc>
          <w:tcPr>
            <w:tcW w:w="9747" w:type="dxa"/>
            <w:gridSpan w:val="10"/>
            <w:tcBorders>
              <w:top w:val="single" w:sz="4" w:space="0" w:color="auto"/>
              <w:left w:val="nil"/>
              <w:bottom w:val="nil"/>
              <w:right w:val="nil"/>
            </w:tcBorders>
            <w:vAlign w:val="center"/>
          </w:tcPr>
          <w:p w:rsidR="006E4296" w:rsidRPr="009B5AEB" w:rsidRDefault="006E4296" w:rsidP="004F5BDC">
            <w:r w:rsidRPr="009B5AEB">
              <w:rPr>
                <w:rFonts w:ascii="Times New Roman" w:hAnsi="Times New Roman" w:cs="Times New Roman"/>
              </w:rPr>
              <w:t>Notes: *** refers to 1%, ** to 5%, and * to 10% levels of significance respectively. Constant terms not reported for brevity. Country, industry and time dummies are included in all regressions. Asymptotic standard errors, clustered by country, are reported in parentheses. Coefficients are marginal effects at the mean.</w:t>
            </w:r>
          </w:p>
        </w:tc>
      </w:tr>
    </w:tbl>
    <w:p w:rsidR="006E4296" w:rsidRPr="009B5AEB" w:rsidRDefault="006E4296" w:rsidP="006E4296">
      <w:pPr>
        <w:jc w:val="both"/>
        <w:rPr>
          <w:rFonts w:ascii="Times New Roman" w:hAnsi="Times New Roman" w:cs="Times New Roman"/>
          <w:b/>
        </w:rPr>
      </w:pPr>
    </w:p>
    <w:p w:rsidR="006E4296" w:rsidRPr="009B5AEB" w:rsidRDefault="006E4296" w:rsidP="006E4296">
      <w:pPr>
        <w:jc w:val="both"/>
        <w:rPr>
          <w:rFonts w:ascii="Times New Roman" w:hAnsi="Times New Roman" w:cs="Times New Roman"/>
          <w:b/>
        </w:rPr>
      </w:pPr>
    </w:p>
    <w:p w:rsidR="006E4296" w:rsidRPr="009B5AEB" w:rsidRDefault="006E4296" w:rsidP="006E4296">
      <w:pPr>
        <w:spacing w:after="0" w:line="240" w:lineRule="auto"/>
        <w:ind w:left="720" w:firstLine="720"/>
        <w:rPr>
          <w:rFonts w:ascii="Times New Roman" w:hAnsi="Times New Roman" w:cs="Times New Roman"/>
        </w:rPr>
      </w:pPr>
      <w:r>
        <w:rPr>
          <w:rFonts w:ascii="Times New Roman" w:eastAsia="Times New Roman" w:hAnsi="Times New Roman" w:cs="Times New Roman"/>
          <w:b/>
          <w:bCs/>
          <w:color w:val="000000"/>
        </w:rPr>
        <w:t>Table 10</w:t>
      </w:r>
      <w:r w:rsidRPr="009B5AEB">
        <w:rPr>
          <w:rFonts w:ascii="Times New Roman" w:eastAsia="Times New Roman" w:hAnsi="Times New Roman" w:cs="Times New Roman"/>
          <w:b/>
          <w:bCs/>
          <w:color w:val="000000"/>
        </w:rPr>
        <w:t>: Impact of the target variables on SME growth</w:t>
      </w:r>
    </w:p>
    <w:tbl>
      <w:tblPr>
        <w:tblpPr w:leftFromText="180" w:rightFromText="180" w:vertAnchor="text" w:tblpXSpec="center" w:tblpY="1"/>
        <w:tblOverlap w:val="never"/>
        <w:tblW w:w="8429" w:type="dxa"/>
        <w:tblLook w:val="04A0" w:firstRow="1" w:lastRow="0" w:firstColumn="1" w:lastColumn="0" w:noHBand="0" w:noVBand="1"/>
      </w:tblPr>
      <w:tblGrid>
        <w:gridCol w:w="2367"/>
        <w:gridCol w:w="3270"/>
        <w:gridCol w:w="2792"/>
      </w:tblGrid>
      <w:tr w:rsidR="006E4296" w:rsidRPr="009B5AEB" w:rsidTr="004F5BDC">
        <w:trPr>
          <w:trHeight w:val="300"/>
        </w:trPr>
        <w:tc>
          <w:tcPr>
            <w:tcW w:w="2367" w:type="dxa"/>
            <w:tcBorders>
              <w:top w:val="single" w:sz="4" w:space="0" w:color="auto"/>
            </w:tcBorders>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color w:val="000000"/>
              </w:rPr>
            </w:pPr>
          </w:p>
        </w:tc>
        <w:tc>
          <w:tcPr>
            <w:tcW w:w="3270" w:type="dxa"/>
            <w:tcBorders>
              <w:top w:val="single" w:sz="4" w:space="0" w:color="auto"/>
            </w:tcBorders>
            <w:shd w:val="clear" w:color="auto" w:fill="auto"/>
            <w:noWrap/>
            <w:vAlign w:val="center"/>
            <w:hideMark/>
          </w:tcPr>
          <w:p w:rsidR="006E4296" w:rsidRPr="009B5AEB" w:rsidRDefault="006E4296" w:rsidP="004F5BD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Model 11</w:t>
            </w:r>
            <w:r w:rsidRPr="009B5AEB">
              <w:rPr>
                <w:rFonts w:ascii="Times New Roman" w:eastAsia="Times New Roman" w:hAnsi="Times New Roman" w:cs="Times New Roman"/>
                <w:b/>
                <w:bCs/>
                <w:color w:val="000000"/>
              </w:rPr>
              <w:t>: employment growth</w:t>
            </w:r>
          </w:p>
        </w:tc>
        <w:tc>
          <w:tcPr>
            <w:tcW w:w="2792" w:type="dxa"/>
            <w:tcBorders>
              <w:top w:val="single" w:sz="4" w:space="0" w:color="auto"/>
            </w:tcBorders>
            <w:shd w:val="clear" w:color="auto" w:fill="auto"/>
            <w:noWrap/>
            <w:vAlign w:val="center"/>
            <w:hideMark/>
          </w:tcPr>
          <w:p w:rsidR="006E4296" w:rsidRPr="009B5AEB" w:rsidRDefault="006E4296" w:rsidP="004F5BD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Model 12</w:t>
            </w:r>
            <w:r w:rsidRPr="009B5AEB">
              <w:rPr>
                <w:rFonts w:ascii="Times New Roman" w:eastAsia="Times New Roman" w:hAnsi="Times New Roman" w:cs="Times New Roman"/>
                <w:b/>
                <w:bCs/>
                <w:color w:val="000000"/>
              </w:rPr>
              <w:t>: sales growth</w:t>
            </w:r>
          </w:p>
        </w:tc>
      </w:tr>
      <w:tr w:rsidR="006E4296" w:rsidRPr="009B5AEB" w:rsidTr="004F5BDC">
        <w:trPr>
          <w:trHeight w:val="300"/>
        </w:trPr>
        <w:tc>
          <w:tcPr>
            <w:tcW w:w="2367" w:type="dxa"/>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color w:val="000000"/>
              </w:rPr>
            </w:pPr>
            <w:r w:rsidRPr="009B5AEB">
              <w:rPr>
                <w:rFonts w:ascii="Times New Roman" w:eastAsia="Times New Roman" w:hAnsi="Times New Roman" w:cs="Times New Roman"/>
                <w:color w:val="000000"/>
              </w:rPr>
              <w:t>Predictors</w:t>
            </w:r>
          </w:p>
        </w:tc>
        <w:tc>
          <w:tcPr>
            <w:tcW w:w="3270" w:type="dxa"/>
            <w:shd w:val="clear" w:color="auto" w:fill="auto"/>
            <w:vAlign w:val="center"/>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 xml:space="preserve">Marginal </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effects</w:t>
            </w:r>
          </w:p>
        </w:tc>
        <w:tc>
          <w:tcPr>
            <w:tcW w:w="2792" w:type="dxa"/>
            <w:shd w:val="clear" w:color="auto" w:fill="auto"/>
            <w:vAlign w:val="center"/>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 xml:space="preserve">Marginal </w:t>
            </w:r>
          </w:p>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effects</w:t>
            </w:r>
          </w:p>
        </w:tc>
      </w:tr>
      <w:tr w:rsidR="006E4296" w:rsidRPr="009B5AEB" w:rsidTr="004F5BDC">
        <w:trPr>
          <w:trHeight w:val="196"/>
        </w:trPr>
        <w:tc>
          <w:tcPr>
            <w:tcW w:w="8429" w:type="dxa"/>
            <w:gridSpan w:val="3"/>
            <w:shd w:val="clear" w:color="auto" w:fill="auto"/>
            <w:noWrap/>
            <w:vAlign w:val="bottom"/>
            <w:hideMark/>
          </w:tcPr>
          <w:p w:rsidR="006E4296" w:rsidRPr="009B5AEB" w:rsidRDefault="006E4296" w:rsidP="004F5BDC">
            <w:pPr>
              <w:spacing w:after="0" w:line="240" w:lineRule="auto"/>
              <w:rPr>
                <w:rFonts w:ascii="Times New Roman" w:eastAsia="Times New Roman" w:hAnsi="Times New Roman" w:cs="Times New Roman"/>
                <w:b/>
                <w:bCs/>
                <w:i/>
                <w:color w:val="000000"/>
              </w:rPr>
            </w:pPr>
          </w:p>
          <w:p w:rsidR="006E4296" w:rsidRPr="009B5AEB" w:rsidRDefault="006E4296" w:rsidP="004F5BDC">
            <w:pPr>
              <w:spacing w:after="0" w:line="240" w:lineRule="auto"/>
              <w:rPr>
                <w:rFonts w:ascii="Times New Roman" w:eastAsia="Times New Roman" w:hAnsi="Times New Roman" w:cs="Times New Roman"/>
                <w:b/>
                <w:i/>
                <w:color w:val="000000"/>
              </w:rPr>
            </w:pPr>
            <w:r w:rsidRPr="009B5AEB">
              <w:rPr>
                <w:rFonts w:ascii="Times New Roman" w:eastAsia="Times New Roman" w:hAnsi="Times New Roman" w:cs="Times New Roman"/>
                <w:b/>
                <w:bCs/>
                <w:i/>
                <w:color w:val="000000"/>
              </w:rPr>
              <w:t xml:space="preserve">Panel A: </w:t>
            </w:r>
            <w:r w:rsidRPr="009B5AEB">
              <w:rPr>
                <w:rFonts w:ascii="Times New Roman" w:eastAsia="Times New Roman" w:hAnsi="Times New Roman" w:cs="Times New Roman"/>
                <w:b/>
                <w:bCs/>
                <w:i/>
                <w:iCs/>
                <w:color w:val="000000"/>
              </w:rPr>
              <w:t>Estimations without macroeconomic variables</w:t>
            </w:r>
          </w:p>
        </w:tc>
      </w:tr>
      <w:tr w:rsidR="006E4296" w:rsidRPr="009B5AEB" w:rsidTr="004F5BDC">
        <w:trPr>
          <w:trHeight w:val="300"/>
        </w:trPr>
        <w:tc>
          <w:tcPr>
            <w:tcW w:w="2367" w:type="dxa"/>
            <w:shd w:val="clear" w:color="auto" w:fill="auto"/>
            <w:noWrap/>
            <w:vAlign w:val="bottom"/>
            <w:hideMark/>
          </w:tcPr>
          <w:p w:rsidR="006E4296" w:rsidRPr="009B5AEB" w:rsidRDefault="006E4296" w:rsidP="004F5BDC">
            <w:pPr>
              <w:spacing w:after="0" w:line="240" w:lineRule="auto"/>
              <w:rPr>
                <w:rFonts w:ascii="Times New Roman" w:hAnsi="Times New Roman" w:cs="Times New Roman"/>
                <w:bCs/>
                <w:i/>
              </w:rPr>
            </w:pPr>
            <w:r w:rsidRPr="009B5AEB">
              <w:rPr>
                <w:rFonts w:ascii="Times New Roman" w:hAnsi="Times New Roman" w:cs="Times New Roman"/>
                <w:bCs/>
                <w:i/>
              </w:rPr>
              <w:t xml:space="preserve">Bribes and </w:t>
            </w:r>
            <w:r>
              <w:rPr>
                <w:rFonts w:ascii="Times New Roman" w:hAnsi="Times New Roman" w:cs="Times New Roman"/>
                <w:bCs/>
                <w:i/>
              </w:rPr>
              <w:t>G</w:t>
            </w:r>
            <w:r w:rsidRPr="009B5AEB">
              <w:rPr>
                <w:rFonts w:ascii="Times New Roman" w:hAnsi="Times New Roman" w:cs="Times New Roman"/>
                <w:bCs/>
                <w:i/>
              </w:rPr>
              <w:t>ifts</w:t>
            </w:r>
          </w:p>
          <w:p w:rsidR="006E4296" w:rsidRPr="009B5AEB" w:rsidRDefault="006E4296" w:rsidP="004F5BDC">
            <w:pPr>
              <w:spacing w:after="0" w:line="240" w:lineRule="auto"/>
              <w:rPr>
                <w:rFonts w:ascii="Times New Roman" w:hAnsi="Times New Roman" w:cs="Times New Roman"/>
                <w:bCs/>
                <w:i/>
              </w:rPr>
            </w:pPr>
          </w:p>
          <w:p w:rsidR="006E4296" w:rsidRPr="009B5AEB" w:rsidRDefault="006E4296" w:rsidP="004F5BDC">
            <w:pPr>
              <w:spacing w:after="0" w:line="240" w:lineRule="auto"/>
              <w:rPr>
                <w:rFonts w:ascii="Times New Roman" w:hAnsi="Times New Roman" w:cs="Times New Roman"/>
                <w:bCs/>
                <w:i/>
              </w:rPr>
            </w:pPr>
            <w:r w:rsidRPr="009B5AEB">
              <w:rPr>
                <w:rFonts w:ascii="Times New Roman" w:hAnsi="Times New Roman" w:cs="Times New Roman"/>
                <w:bCs/>
                <w:i/>
              </w:rPr>
              <w:t xml:space="preserve">Government </w:t>
            </w:r>
            <w:r>
              <w:rPr>
                <w:rFonts w:ascii="Times New Roman" w:hAnsi="Times New Roman" w:cs="Times New Roman"/>
                <w:bCs/>
                <w:i/>
              </w:rPr>
              <w:t>C</w:t>
            </w:r>
            <w:r w:rsidRPr="009B5AEB">
              <w:rPr>
                <w:rFonts w:ascii="Times New Roman" w:hAnsi="Times New Roman" w:cs="Times New Roman"/>
                <w:bCs/>
                <w:i/>
              </w:rPr>
              <w:t>ontract</w:t>
            </w:r>
          </w:p>
          <w:p w:rsidR="006E4296" w:rsidRPr="009B5AEB" w:rsidRDefault="006E4296" w:rsidP="004F5BDC">
            <w:pPr>
              <w:spacing w:after="0" w:line="240" w:lineRule="auto"/>
              <w:rPr>
                <w:rFonts w:ascii="Times New Roman" w:hAnsi="Times New Roman" w:cs="Times New Roman"/>
                <w:bCs/>
                <w:i/>
              </w:rPr>
            </w:pPr>
          </w:p>
        </w:tc>
        <w:tc>
          <w:tcPr>
            <w:tcW w:w="3270"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0.001</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(0.012</w:t>
            </w:r>
            <w:r w:rsidRPr="009B5AEB">
              <w:rPr>
                <w:rFonts w:ascii="Times New Roman" w:eastAsia="Times New Roman" w:hAnsi="Times New Roman" w:cs="Times New Roman"/>
                <w:iCs/>
                <w:color w:val="000000"/>
              </w:rPr>
              <w:t>)</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- 0.001</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(0.012</w:t>
            </w:r>
            <w:r w:rsidRPr="009B5AEB">
              <w:rPr>
                <w:rFonts w:ascii="Times New Roman" w:eastAsia="Times New Roman" w:hAnsi="Times New Roman" w:cs="Times New Roman"/>
                <w:iCs/>
                <w:color w:val="000000"/>
              </w:rPr>
              <w:t>)</w:t>
            </w:r>
          </w:p>
        </w:tc>
        <w:tc>
          <w:tcPr>
            <w:tcW w:w="2792" w:type="dxa"/>
            <w:shd w:val="clear" w:color="auto" w:fill="auto"/>
            <w:noWrap/>
            <w:vAlign w:val="bottom"/>
            <w:hideMark/>
          </w:tcPr>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0.014</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(0.017)</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-0.045</w:t>
            </w:r>
            <w:r w:rsidRPr="009B5AEB">
              <w:rPr>
                <w:rFonts w:ascii="Times New Roman" w:eastAsia="Times New Roman" w:hAnsi="Times New Roman" w:cs="Times New Roman"/>
                <w:iCs/>
                <w:color w:val="000000"/>
              </w:rPr>
              <w:t>***</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(0.015</w:t>
            </w:r>
            <w:r w:rsidRPr="009B5AEB">
              <w:rPr>
                <w:rFonts w:ascii="Times New Roman" w:eastAsia="Times New Roman" w:hAnsi="Times New Roman" w:cs="Times New Roman"/>
                <w:iCs/>
                <w:color w:val="000000"/>
              </w:rPr>
              <w:t>)</w:t>
            </w:r>
          </w:p>
        </w:tc>
      </w:tr>
      <w:tr w:rsidR="006E4296" w:rsidRPr="009B5AEB" w:rsidTr="004F5BDC">
        <w:trPr>
          <w:trHeight w:val="300"/>
        </w:trPr>
        <w:tc>
          <w:tcPr>
            <w:tcW w:w="8429" w:type="dxa"/>
            <w:gridSpan w:val="3"/>
            <w:shd w:val="clear" w:color="auto" w:fill="auto"/>
            <w:noWrap/>
            <w:vAlign w:val="bottom"/>
          </w:tcPr>
          <w:p w:rsidR="006E4296" w:rsidRPr="009B5AEB" w:rsidRDefault="006E4296" w:rsidP="004F5BDC">
            <w:pPr>
              <w:spacing w:after="0" w:line="240" w:lineRule="auto"/>
              <w:rPr>
                <w:rFonts w:ascii="Times New Roman" w:eastAsia="Times New Roman" w:hAnsi="Times New Roman" w:cs="Times New Roman"/>
                <w:b/>
                <w:i/>
                <w:color w:val="000000"/>
              </w:rPr>
            </w:pPr>
            <w:r w:rsidRPr="009B5AEB">
              <w:rPr>
                <w:rFonts w:ascii="Times New Roman" w:eastAsia="Times New Roman" w:hAnsi="Times New Roman" w:cs="Times New Roman"/>
                <w:b/>
                <w:bCs/>
                <w:i/>
                <w:color w:val="000000"/>
              </w:rPr>
              <w:t>Panel B: Estimations w</w:t>
            </w:r>
            <w:r w:rsidRPr="009B5AEB">
              <w:rPr>
                <w:rFonts w:ascii="Times New Roman" w:eastAsia="Times New Roman" w:hAnsi="Times New Roman" w:cs="Times New Roman"/>
                <w:b/>
                <w:bCs/>
                <w:i/>
                <w:iCs/>
                <w:color w:val="000000"/>
              </w:rPr>
              <w:t>ith macroeconomic variables</w:t>
            </w:r>
          </w:p>
        </w:tc>
      </w:tr>
      <w:tr w:rsidR="006E4296" w:rsidRPr="009B5AEB" w:rsidTr="004F5BDC">
        <w:trPr>
          <w:trHeight w:val="300"/>
        </w:trPr>
        <w:tc>
          <w:tcPr>
            <w:tcW w:w="2367" w:type="dxa"/>
            <w:shd w:val="clear" w:color="auto" w:fill="auto"/>
            <w:noWrap/>
            <w:vAlign w:val="bottom"/>
          </w:tcPr>
          <w:p w:rsidR="006E4296" w:rsidRPr="009B5AEB" w:rsidRDefault="006E4296" w:rsidP="004F5BDC">
            <w:pPr>
              <w:spacing w:after="0" w:line="240" w:lineRule="auto"/>
              <w:rPr>
                <w:rFonts w:ascii="Times New Roman" w:hAnsi="Times New Roman" w:cs="Times New Roman"/>
                <w:bCs/>
                <w:i/>
              </w:rPr>
            </w:pPr>
            <w:r w:rsidRPr="009B5AEB">
              <w:rPr>
                <w:rFonts w:ascii="Times New Roman" w:hAnsi="Times New Roman" w:cs="Times New Roman"/>
                <w:bCs/>
                <w:i/>
              </w:rPr>
              <w:t xml:space="preserve">Bribes and </w:t>
            </w:r>
            <w:r>
              <w:rPr>
                <w:rFonts w:ascii="Times New Roman" w:hAnsi="Times New Roman" w:cs="Times New Roman"/>
                <w:bCs/>
                <w:i/>
              </w:rPr>
              <w:t>G</w:t>
            </w:r>
            <w:r w:rsidRPr="009B5AEB">
              <w:rPr>
                <w:rFonts w:ascii="Times New Roman" w:hAnsi="Times New Roman" w:cs="Times New Roman"/>
                <w:bCs/>
                <w:i/>
              </w:rPr>
              <w:t>ifts</w:t>
            </w:r>
          </w:p>
          <w:p w:rsidR="006E4296" w:rsidRPr="009B5AEB" w:rsidRDefault="006E4296" w:rsidP="004F5BDC">
            <w:pPr>
              <w:spacing w:after="0" w:line="240" w:lineRule="auto"/>
              <w:rPr>
                <w:rFonts w:ascii="Times New Roman" w:hAnsi="Times New Roman" w:cs="Times New Roman"/>
                <w:bCs/>
              </w:rPr>
            </w:pPr>
          </w:p>
          <w:p w:rsidR="006E4296" w:rsidRPr="009B5AEB" w:rsidRDefault="006E4296" w:rsidP="004F5BDC">
            <w:pPr>
              <w:spacing w:after="0" w:line="240" w:lineRule="auto"/>
              <w:rPr>
                <w:rFonts w:ascii="Times New Roman" w:hAnsi="Times New Roman" w:cs="Times New Roman"/>
                <w:bCs/>
                <w:i/>
              </w:rPr>
            </w:pPr>
            <w:r w:rsidRPr="009B5AEB">
              <w:rPr>
                <w:rFonts w:ascii="Times New Roman" w:hAnsi="Times New Roman" w:cs="Times New Roman"/>
                <w:bCs/>
                <w:i/>
              </w:rPr>
              <w:t xml:space="preserve">Government </w:t>
            </w:r>
            <w:r>
              <w:rPr>
                <w:rFonts w:ascii="Times New Roman" w:hAnsi="Times New Roman" w:cs="Times New Roman"/>
                <w:bCs/>
                <w:i/>
              </w:rPr>
              <w:t>C</w:t>
            </w:r>
            <w:r w:rsidRPr="009B5AEB">
              <w:rPr>
                <w:rFonts w:ascii="Times New Roman" w:hAnsi="Times New Roman" w:cs="Times New Roman"/>
                <w:bCs/>
                <w:i/>
              </w:rPr>
              <w:t>ontract</w:t>
            </w:r>
          </w:p>
          <w:p w:rsidR="006E4296" w:rsidRPr="009B5AEB" w:rsidRDefault="006E4296" w:rsidP="004F5BDC">
            <w:pPr>
              <w:spacing w:after="0" w:line="240" w:lineRule="auto"/>
              <w:rPr>
                <w:rFonts w:ascii="Times New Roman" w:hAnsi="Times New Roman" w:cs="Times New Roman"/>
                <w:bCs/>
              </w:rPr>
            </w:pPr>
          </w:p>
        </w:tc>
        <w:tc>
          <w:tcPr>
            <w:tcW w:w="3270" w:type="dxa"/>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0.009</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(0.013</w:t>
            </w:r>
            <w:r w:rsidRPr="009B5AEB">
              <w:rPr>
                <w:rFonts w:ascii="Times New Roman" w:eastAsia="Times New Roman" w:hAnsi="Times New Roman" w:cs="Times New Roman"/>
                <w:iCs/>
                <w:color w:val="000000"/>
              </w:rPr>
              <w:t>)</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- 0.003</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(0.012</w:t>
            </w:r>
            <w:r w:rsidRPr="009B5AEB">
              <w:rPr>
                <w:rFonts w:ascii="Times New Roman" w:eastAsia="Times New Roman" w:hAnsi="Times New Roman" w:cs="Times New Roman"/>
                <w:iCs/>
                <w:color w:val="000000"/>
              </w:rPr>
              <w:t>)</w:t>
            </w:r>
          </w:p>
        </w:tc>
        <w:tc>
          <w:tcPr>
            <w:tcW w:w="2792" w:type="dxa"/>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0.008</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sidRPr="009B5AEB">
              <w:rPr>
                <w:rFonts w:ascii="Times New Roman" w:eastAsia="Times New Roman" w:hAnsi="Times New Roman" w:cs="Times New Roman"/>
                <w:iCs/>
                <w:color w:val="000000"/>
              </w:rPr>
              <w:t>(0.016)</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- 0.055</w:t>
            </w:r>
            <w:r w:rsidRPr="009B5AEB">
              <w:rPr>
                <w:rFonts w:ascii="Times New Roman" w:eastAsia="Times New Roman" w:hAnsi="Times New Roman" w:cs="Times New Roman"/>
                <w:iCs/>
                <w:color w:val="000000"/>
              </w:rPr>
              <w:t>***</w:t>
            </w:r>
          </w:p>
          <w:p w:rsidR="006E4296" w:rsidRPr="009B5AEB" w:rsidRDefault="006E4296" w:rsidP="004F5BDC">
            <w:pPr>
              <w:spacing w:after="0" w:line="24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(0.013</w:t>
            </w:r>
            <w:r w:rsidRPr="009B5AEB">
              <w:rPr>
                <w:rFonts w:ascii="Times New Roman" w:eastAsia="Times New Roman" w:hAnsi="Times New Roman" w:cs="Times New Roman"/>
                <w:iCs/>
                <w:color w:val="000000"/>
              </w:rPr>
              <w:t>)</w:t>
            </w:r>
          </w:p>
        </w:tc>
      </w:tr>
      <w:tr w:rsidR="006E4296" w:rsidRPr="009B5AEB" w:rsidTr="004F5BDC">
        <w:trPr>
          <w:trHeight w:val="300"/>
        </w:trPr>
        <w:tc>
          <w:tcPr>
            <w:tcW w:w="2367" w:type="dxa"/>
            <w:tcBorders>
              <w:bottom w:val="single" w:sz="4" w:space="0" w:color="auto"/>
            </w:tcBorders>
            <w:shd w:val="clear" w:color="auto" w:fill="auto"/>
            <w:noWrap/>
            <w:vAlign w:val="bottom"/>
          </w:tcPr>
          <w:p w:rsidR="006E4296" w:rsidRPr="009B5AEB" w:rsidRDefault="006E4296" w:rsidP="004F5BDC">
            <w:pPr>
              <w:spacing w:after="0" w:line="240" w:lineRule="auto"/>
              <w:rPr>
                <w:rFonts w:ascii="Times New Roman" w:eastAsia="Times New Roman" w:hAnsi="Times New Roman" w:cs="Times New Roman"/>
                <w:color w:val="000000"/>
              </w:rPr>
            </w:pPr>
            <w:r w:rsidRPr="009B5AEB">
              <w:rPr>
                <w:rFonts w:ascii="Times New Roman" w:eastAsia="Times New Roman" w:hAnsi="Times New Roman" w:cs="Times New Roman"/>
                <w:color w:val="000000"/>
              </w:rPr>
              <w:t>Number of Obs.</w:t>
            </w:r>
          </w:p>
        </w:tc>
        <w:tc>
          <w:tcPr>
            <w:tcW w:w="3270" w:type="dxa"/>
            <w:tcBorders>
              <w:bottom w:val="single" w:sz="4" w:space="0" w:color="auto"/>
            </w:tcBorders>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8462</w:t>
            </w:r>
          </w:p>
        </w:tc>
        <w:tc>
          <w:tcPr>
            <w:tcW w:w="2792" w:type="dxa"/>
            <w:tcBorders>
              <w:bottom w:val="single" w:sz="4" w:space="0" w:color="auto"/>
            </w:tcBorders>
            <w:shd w:val="clear" w:color="auto" w:fill="auto"/>
            <w:noWrap/>
            <w:vAlign w:val="bottom"/>
          </w:tcPr>
          <w:p w:rsidR="006E4296" w:rsidRPr="009B5AEB" w:rsidRDefault="006E4296" w:rsidP="004F5BDC">
            <w:pPr>
              <w:spacing w:after="0" w:line="240" w:lineRule="auto"/>
              <w:jc w:val="center"/>
              <w:rPr>
                <w:rFonts w:ascii="Times New Roman" w:eastAsia="Times New Roman" w:hAnsi="Times New Roman" w:cs="Times New Roman"/>
                <w:color w:val="000000"/>
              </w:rPr>
            </w:pPr>
            <w:r w:rsidRPr="009B5AEB">
              <w:rPr>
                <w:rFonts w:ascii="Times New Roman" w:eastAsia="Times New Roman" w:hAnsi="Times New Roman" w:cs="Times New Roman"/>
                <w:color w:val="000000"/>
              </w:rPr>
              <w:t xml:space="preserve">5641 </w:t>
            </w:r>
          </w:p>
        </w:tc>
      </w:tr>
      <w:tr w:rsidR="006E4296" w:rsidRPr="009B5AEB" w:rsidTr="004F5BDC">
        <w:trPr>
          <w:trHeight w:val="300"/>
        </w:trPr>
        <w:tc>
          <w:tcPr>
            <w:tcW w:w="8429" w:type="dxa"/>
            <w:gridSpan w:val="3"/>
            <w:tcBorders>
              <w:top w:val="single" w:sz="4" w:space="0" w:color="auto"/>
            </w:tcBorders>
            <w:shd w:val="clear" w:color="auto" w:fill="auto"/>
            <w:noWrap/>
            <w:vAlign w:val="bottom"/>
          </w:tcPr>
          <w:p w:rsidR="006E4296" w:rsidRPr="009B5AEB" w:rsidRDefault="006E4296" w:rsidP="004F5BDC">
            <w:pPr>
              <w:spacing w:before="120" w:after="120" w:line="240" w:lineRule="auto"/>
              <w:jc w:val="both"/>
              <w:rPr>
                <w:rFonts w:ascii="Times New Roman" w:eastAsia="Times New Roman" w:hAnsi="Times New Roman" w:cs="Times New Roman"/>
                <w:color w:val="000000"/>
              </w:rPr>
            </w:pPr>
            <w:r w:rsidRPr="009B5AEB">
              <w:rPr>
                <w:rFonts w:ascii="Times New Roman" w:eastAsia="Times New Roman" w:hAnsi="Times New Roman" w:cs="Times New Roman"/>
                <w:color w:val="000000"/>
              </w:rPr>
              <w:t xml:space="preserve">Notes: The right hand side variables in Panels A and B are the same as those used Models 4 and 5 respectively in Table 5. For brevity, only the results of the target variables are reported. ***, ** and * refers to statistical significant at the 1, 5 and 10% levels respectively. </w:t>
            </w:r>
            <w:r w:rsidRPr="009B5AEB">
              <w:rPr>
                <w:rFonts w:ascii="Times New Roman" w:hAnsi="Times New Roman" w:cs="Times New Roman"/>
              </w:rPr>
              <w:t xml:space="preserve"> Asymptotic standard errors, clustered by country, are reported in parentheses. Coefficients are </w:t>
            </w:r>
            <w:proofErr w:type="spellStart"/>
            <w:r w:rsidRPr="009B5AEB">
              <w:rPr>
                <w:rFonts w:ascii="Times New Roman" w:hAnsi="Times New Roman" w:cs="Times New Roman"/>
              </w:rPr>
              <w:t>Probit</w:t>
            </w:r>
            <w:proofErr w:type="spellEnd"/>
            <w:r w:rsidRPr="009B5AEB">
              <w:rPr>
                <w:rFonts w:ascii="Times New Roman" w:hAnsi="Times New Roman" w:cs="Times New Roman"/>
              </w:rPr>
              <w:t xml:space="preserve"> marginal effects at the mean.</w:t>
            </w:r>
          </w:p>
        </w:tc>
      </w:tr>
    </w:tbl>
    <w:p w:rsidR="006E4296" w:rsidRPr="009B5AEB" w:rsidRDefault="006E4296" w:rsidP="006E4296">
      <w:pPr>
        <w:rPr>
          <w:rFonts w:ascii="Times New Roman" w:hAnsi="Times New Roman" w:cs="Times New Roman"/>
          <w:b/>
        </w:rPr>
      </w:pPr>
    </w:p>
    <w:p w:rsidR="006E4296" w:rsidRDefault="006E4296" w:rsidP="00024FF5">
      <w:pPr>
        <w:spacing w:after="0" w:line="480" w:lineRule="auto"/>
        <w:rPr>
          <w:rFonts w:ascii="Times New Roman" w:hAnsi="Times New Roman" w:cs="Times New Roman"/>
          <w:iCs/>
          <w:color w:val="000000"/>
          <w:sz w:val="24"/>
          <w:szCs w:val="24"/>
          <w:shd w:val="clear" w:color="auto" w:fill="FFFFFF"/>
        </w:rPr>
      </w:pPr>
      <w:bookmarkStart w:id="0" w:name="_GoBack"/>
      <w:bookmarkEnd w:id="0"/>
    </w:p>
    <w:p w:rsidR="006E4296" w:rsidRDefault="006E4296">
      <w:pPr>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br w:type="page"/>
      </w:r>
    </w:p>
    <w:p w:rsidR="00F87AA3" w:rsidRDefault="00F87AA3" w:rsidP="00024FF5">
      <w:pPr>
        <w:spacing w:after="0" w:line="480" w:lineRule="auto"/>
        <w:rPr>
          <w:rFonts w:ascii="Times New Roman" w:hAnsi="Times New Roman" w:cs="Times New Roman"/>
          <w:iCs/>
          <w:color w:val="000000"/>
          <w:sz w:val="24"/>
          <w:szCs w:val="24"/>
          <w:shd w:val="clear" w:color="auto" w:fill="FFFFFF"/>
        </w:rPr>
      </w:pPr>
    </w:p>
    <w:p w:rsidR="006E4296" w:rsidRPr="000C4364" w:rsidRDefault="006E4296" w:rsidP="00024FF5">
      <w:pPr>
        <w:spacing w:after="0" w:line="480" w:lineRule="auto"/>
        <w:rPr>
          <w:rFonts w:ascii="Times New Roman" w:hAnsi="Times New Roman" w:cs="Times New Roman"/>
          <w:b/>
          <w:sz w:val="24"/>
          <w:szCs w:val="24"/>
        </w:rPr>
      </w:pPr>
    </w:p>
    <w:p w:rsidR="003C6F6C" w:rsidRPr="00F87AA3" w:rsidRDefault="0083742B" w:rsidP="00F87AA3">
      <w:pPr>
        <w:spacing w:after="0" w:line="240" w:lineRule="auto"/>
        <w:ind w:left="567" w:hanging="567"/>
        <w:rPr>
          <w:rFonts w:ascii="Times New Roman" w:hAnsi="Times New Roman" w:cs="Times New Roman"/>
        </w:rPr>
      </w:pPr>
      <w:r>
        <w:rPr>
          <w:rFonts w:ascii="Times New Roman" w:hAnsi="Times New Roman" w:cs="Times New Roman"/>
          <w:b/>
        </w:rPr>
        <w:t>Endnotes:</w:t>
      </w:r>
    </w:p>
    <w:sectPr w:rsidR="003C6F6C" w:rsidRPr="00F87AA3" w:rsidSect="009C4AD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A6" w:rsidRDefault="00AD53A6" w:rsidP="0001689E">
      <w:pPr>
        <w:spacing w:after="0" w:line="240" w:lineRule="auto"/>
      </w:pPr>
      <w:r>
        <w:separator/>
      </w:r>
    </w:p>
  </w:endnote>
  <w:endnote w:type="continuationSeparator" w:id="0">
    <w:p w:rsidR="00AD53A6" w:rsidRDefault="00AD53A6" w:rsidP="0001689E">
      <w:pPr>
        <w:spacing w:after="0" w:line="240" w:lineRule="auto"/>
      </w:pPr>
      <w:r>
        <w:continuationSeparator/>
      </w:r>
    </w:p>
  </w:endnote>
  <w:endnote w:id="1">
    <w:p w:rsidR="002B5FEA" w:rsidRPr="007C0444" w:rsidRDefault="002B5FEA" w:rsidP="007C0444">
      <w:pPr>
        <w:pStyle w:val="EndnoteText"/>
        <w:ind w:left="284" w:hanging="284"/>
        <w:rPr>
          <w:rFonts w:ascii="Times New Roman" w:hAnsi="Times New Roman" w:cs="Times New Roman"/>
        </w:rPr>
      </w:pPr>
      <w:r w:rsidRPr="007C0444">
        <w:rPr>
          <w:rStyle w:val="EndnoteReference"/>
          <w:rFonts w:ascii="Times New Roman" w:hAnsi="Times New Roman" w:cs="Times New Roman"/>
        </w:rPr>
        <w:endnoteRef/>
      </w:r>
      <w:r w:rsidRPr="007C0444">
        <w:rPr>
          <w:rFonts w:ascii="Times New Roman" w:hAnsi="Times New Roman" w:cs="Times New Roman"/>
        </w:rPr>
        <w:t xml:space="preserve"> </w:t>
      </w:r>
      <w:r>
        <w:rPr>
          <w:rFonts w:ascii="Times New Roman" w:hAnsi="Times New Roman" w:cs="Times New Roman"/>
        </w:rPr>
        <w:tab/>
      </w:r>
      <w:r w:rsidRPr="007C0444">
        <w:rPr>
          <w:rFonts w:ascii="Times New Roman" w:hAnsi="Times New Roman" w:cs="Times New Roman"/>
          <w:color w:val="000000" w:themeColor="text1"/>
        </w:rPr>
        <w:t>We use the term interpersonal connectedness to imply entrepreneurs' links with bureaucrats which can give firms unfair advantage in accessing scarce resources which in this case is formal finance. Given the exclusive and interpersonal nature of such contacts, we will use the terms interpersonal connectedness and interpersonal bureaucratic networks interchangeably.</w:t>
      </w:r>
    </w:p>
  </w:endnote>
  <w:endnote w:id="2">
    <w:p w:rsidR="002B5FEA" w:rsidRPr="00505A84" w:rsidRDefault="002B5FEA" w:rsidP="00505A84">
      <w:pPr>
        <w:pStyle w:val="EndnoteText"/>
        <w:ind w:left="284" w:hanging="284"/>
        <w:rPr>
          <w:rFonts w:ascii="Times New Roman" w:hAnsi="Times New Roman" w:cs="Times New Roman"/>
        </w:rPr>
      </w:pPr>
      <w:r w:rsidRPr="00505A84">
        <w:rPr>
          <w:rStyle w:val="EndnoteReference"/>
          <w:rFonts w:ascii="Times New Roman" w:hAnsi="Times New Roman" w:cs="Times New Roman"/>
        </w:rPr>
        <w:endnoteRef/>
      </w:r>
      <w:r w:rsidRPr="00505A84">
        <w:rPr>
          <w:rFonts w:ascii="Times New Roman" w:hAnsi="Times New Roman" w:cs="Times New Roman"/>
        </w:rPr>
        <w:t xml:space="preserve"> </w:t>
      </w:r>
      <w:r w:rsidRPr="00505A84">
        <w:rPr>
          <w:rFonts w:ascii="Times New Roman" w:hAnsi="Times New Roman" w:cs="Times New Roman"/>
        </w:rPr>
        <w:tab/>
        <w:t>T</w:t>
      </w:r>
      <w:r w:rsidRPr="00505A84">
        <w:rPr>
          <w:rFonts w:ascii="Times New Roman" w:hAnsi="Times New Roman" w:cs="Times New Roman"/>
          <w:color w:val="000000" w:themeColor="text1"/>
        </w:rPr>
        <w:t xml:space="preserve">he </w:t>
      </w:r>
      <w:r w:rsidRPr="00505A84">
        <w:rPr>
          <w:rFonts w:ascii="Times New Roman" w:hAnsi="Times New Roman" w:cs="Times New Roman"/>
          <w:i/>
          <w:color w:val="000000" w:themeColor="text1"/>
        </w:rPr>
        <w:t>size</w:t>
      </w:r>
      <w:r w:rsidRPr="00505A84">
        <w:rPr>
          <w:rFonts w:ascii="Times New Roman" w:hAnsi="Times New Roman" w:cs="Times New Roman"/>
          <w:color w:val="000000" w:themeColor="text1"/>
        </w:rPr>
        <w:t xml:space="preserve"> of bribes and gifts (q.j6)</w:t>
      </w:r>
      <w:r>
        <w:rPr>
          <w:rFonts w:ascii="Times New Roman" w:hAnsi="Times New Roman" w:cs="Times New Roman"/>
          <w:color w:val="000000" w:themeColor="text1"/>
        </w:rPr>
        <w:t xml:space="preserve"> has a </w:t>
      </w:r>
      <w:r w:rsidRPr="00505A84">
        <w:rPr>
          <w:rFonts w:ascii="Times New Roman" w:hAnsi="Times New Roman" w:cs="Times New Roman"/>
          <w:color w:val="000000" w:themeColor="text1"/>
        </w:rPr>
        <w:t xml:space="preserve">large number of missing observations </w:t>
      </w:r>
      <w:r>
        <w:rPr>
          <w:rFonts w:ascii="Times New Roman" w:hAnsi="Times New Roman" w:cs="Times New Roman"/>
          <w:color w:val="000000" w:themeColor="text1"/>
        </w:rPr>
        <w:t xml:space="preserve">in the dataset </w:t>
      </w:r>
      <w:r w:rsidRPr="00505A84">
        <w:rPr>
          <w:rFonts w:ascii="Times New Roman" w:hAnsi="Times New Roman" w:cs="Times New Roman"/>
          <w:color w:val="000000" w:themeColor="text1"/>
        </w:rPr>
        <w:t>(more than four fifths of the observations)</w:t>
      </w:r>
      <w:r>
        <w:rPr>
          <w:rFonts w:ascii="Times New Roman" w:hAnsi="Times New Roman" w:cs="Times New Roman"/>
          <w:color w:val="000000" w:themeColor="text1"/>
        </w:rPr>
        <w:t xml:space="preserve"> and therefore it is not used here to reflect </w:t>
      </w:r>
      <w:r w:rsidRPr="00505A84">
        <w:rPr>
          <w:rFonts w:ascii="Times New Roman" w:hAnsi="Times New Roman" w:cs="Times New Roman"/>
          <w:color w:val="000000" w:themeColor="text1"/>
        </w:rPr>
        <w:t>informal payments.</w:t>
      </w:r>
    </w:p>
  </w:endnote>
  <w:endnote w:id="3">
    <w:p w:rsidR="002B5FEA" w:rsidRPr="00B13C9A" w:rsidRDefault="002B5FEA" w:rsidP="00B13C9A">
      <w:pPr>
        <w:pStyle w:val="EndnoteText"/>
        <w:ind w:left="284" w:hanging="284"/>
        <w:rPr>
          <w:rFonts w:ascii="Times New Roman" w:hAnsi="Times New Roman" w:cs="Times New Roman"/>
        </w:rPr>
      </w:pPr>
      <w:r w:rsidRPr="00B13C9A">
        <w:rPr>
          <w:rStyle w:val="EndnoteReference"/>
          <w:rFonts w:ascii="Times New Roman" w:hAnsi="Times New Roman" w:cs="Times New Roman"/>
        </w:rPr>
        <w:endnoteRef/>
      </w:r>
      <w:r w:rsidRPr="00B13C9A">
        <w:rPr>
          <w:rFonts w:ascii="Times New Roman" w:hAnsi="Times New Roman" w:cs="Times New Roman"/>
        </w:rPr>
        <w:t xml:space="preserve"> </w:t>
      </w:r>
      <w:r>
        <w:rPr>
          <w:rFonts w:ascii="Times New Roman" w:hAnsi="Times New Roman" w:cs="Times New Roman"/>
        </w:rPr>
        <w:tab/>
      </w:r>
      <w:r w:rsidRPr="00B13C9A">
        <w:rPr>
          <w:rFonts w:ascii="Times New Roman" w:hAnsi="Times New Roman" w:cs="Times New Roman"/>
        </w:rPr>
        <w:t>Bulgaria, Croatia, the Czech Republic, Estonia, Hungary, Latvia, Lithuania, Poland, Romania, the Slovak Republic and Slovenia</w:t>
      </w:r>
    </w:p>
  </w:endnote>
  <w:endnote w:id="4">
    <w:p w:rsidR="002B5FEA" w:rsidRPr="00B13C9A" w:rsidRDefault="002B5FEA" w:rsidP="00B13C9A">
      <w:pPr>
        <w:pStyle w:val="EndnoteText"/>
        <w:ind w:left="284" w:hanging="284"/>
        <w:rPr>
          <w:rFonts w:ascii="Times New Roman" w:hAnsi="Times New Roman" w:cs="Times New Roman"/>
        </w:rPr>
      </w:pPr>
      <w:r w:rsidRPr="00B13C9A">
        <w:rPr>
          <w:rStyle w:val="EndnoteReference"/>
          <w:rFonts w:ascii="Times New Roman" w:hAnsi="Times New Roman" w:cs="Times New Roman"/>
        </w:rPr>
        <w:endnoteRef/>
      </w:r>
      <w:r w:rsidRPr="00B13C9A">
        <w:rPr>
          <w:rFonts w:ascii="Times New Roman" w:hAnsi="Times New Roman" w:cs="Times New Roman"/>
        </w:rPr>
        <w:t xml:space="preserve"> </w:t>
      </w:r>
      <w:r>
        <w:rPr>
          <w:rFonts w:ascii="Times New Roman" w:hAnsi="Times New Roman" w:cs="Times New Roman"/>
        </w:rPr>
        <w:tab/>
      </w:r>
      <w:r w:rsidRPr="00B13C9A">
        <w:rPr>
          <w:rFonts w:ascii="Times New Roman" w:hAnsi="Times New Roman" w:cs="Times New Roman"/>
        </w:rPr>
        <w:t>Albania, Bosnia and Herzegovina, Kosovo, Macedonia, Montenegro and Serbia</w:t>
      </w:r>
    </w:p>
  </w:endnote>
  <w:endnote w:id="5">
    <w:p w:rsidR="002B5FEA" w:rsidRPr="00B13C9A" w:rsidRDefault="002B5FEA" w:rsidP="00B13C9A">
      <w:pPr>
        <w:pStyle w:val="EndnoteText"/>
        <w:ind w:left="284" w:hanging="284"/>
        <w:rPr>
          <w:rFonts w:ascii="Times New Roman" w:hAnsi="Times New Roman" w:cs="Times New Roman"/>
        </w:rPr>
      </w:pPr>
      <w:r w:rsidRPr="00B13C9A">
        <w:rPr>
          <w:rStyle w:val="EndnoteReference"/>
          <w:rFonts w:ascii="Times New Roman" w:hAnsi="Times New Roman" w:cs="Times New Roman"/>
        </w:rPr>
        <w:endnoteRef/>
      </w:r>
      <w:r w:rsidRPr="00B13C9A">
        <w:rPr>
          <w:rFonts w:ascii="Times New Roman" w:hAnsi="Times New Roman" w:cs="Times New Roman"/>
        </w:rPr>
        <w:t xml:space="preserve"> </w:t>
      </w:r>
      <w:r>
        <w:rPr>
          <w:rFonts w:ascii="Times New Roman" w:hAnsi="Times New Roman" w:cs="Times New Roman"/>
        </w:rPr>
        <w:tab/>
      </w:r>
      <w:r w:rsidRPr="00B13C9A">
        <w:rPr>
          <w:rFonts w:ascii="Times New Roman" w:hAnsi="Times New Roman" w:cs="Times New Roman"/>
        </w:rPr>
        <w:t>Armenia, Azerbaijan and Georgia</w:t>
      </w:r>
    </w:p>
  </w:endnote>
  <w:endnote w:id="6">
    <w:p w:rsidR="002B5FEA" w:rsidRPr="00B13C9A" w:rsidRDefault="002B5FEA" w:rsidP="00B13C9A">
      <w:pPr>
        <w:pStyle w:val="EndnoteText"/>
        <w:ind w:left="284" w:hanging="284"/>
        <w:rPr>
          <w:rFonts w:ascii="Times New Roman" w:hAnsi="Times New Roman" w:cs="Times New Roman"/>
        </w:rPr>
      </w:pPr>
      <w:r w:rsidRPr="00B13C9A">
        <w:rPr>
          <w:rStyle w:val="EndnoteReference"/>
          <w:rFonts w:ascii="Times New Roman" w:hAnsi="Times New Roman" w:cs="Times New Roman"/>
        </w:rPr>
        <w:endnoteRef/>
      </w:r>
      <w:r w:rsidRPr="00B13C9A">
        <w:rPr>
          <w:rFonts w:ascii="Times New Roman" w:hAnsi="Times New Roman" w:cs="Times New Roman"/>
        </w:rPr>
        <w:t xml:space="preserve"> </w:t>
      </w:r>
      <w:r>
        <w:rPr>
          <w:rFonts w:ascii="Times New Roman" w:hAnsi="Times New Roman" w:cs="Times New Roman"/>
        </w:rPr>
        <w:tab/>
      </w:r>
      <w:r w:rsidRPr="00B13C9A">
        <w:rPr>
          <w:rFonts w:ascii="Times New Roman" w:hAnsi="Times New Roman" w:cs="Times New Roman"/>
        </w:rPr>
        <w:t>Kazakhstan, Kyrgyzstan, Tajikistan and Uzbekistan</w:t>
      </w:r>
    </w:p>
  </w:endnote>
  <w:endnote w:id="7">
    <w:p w:rsidR="002B5FEA" w:rsidRPr="00B13C9A" w:rsidRDefault="002B5FEA" w:rsidP="00B13C9A">
      <w:pPr>
        <w:pStyle w:val="EndnoteText"/>
        <w:ind w:left="284" w:hanging="284"/>
        <w:rPr>
          <w:rFonts w:ascii="Times New Roman" w:hAnsi="Times New Roman" w:cs="Times New Roman"/>
        </w:rPr>
      </w:pPr>
      <w:r w:rsidRPr="00B13C9A">
        <w:rPr>
          <w:rStyle w:val="EndnoteReference"/>
          <w:rFonts w:ascii="Times New Roman" w:hAnsi="Times New Roman" w:cs="Times New Roman"/>
        </w:rPr>
        <w:endnoteRef/>
      </w:r>
      <w:r w:rsidRPr="00B13C9A">
        <w:rPr>
          <w:rFonts w:ascii="Times New Roman" w:hAnsi="Times New Roman" w:cs="Times New Roman"/>
        </w:rPr>
        <w:t xml:space="preserve"> </w:t>
      </w:r>
      <w:r>
        <w:rPr>
          <w:rFonts w:ascii="Times New Roman" w:hAnsi="Times New Roman" w:cs="Times New Roman"/>
        </w:rPr>
        <w:tab/>
      </w:r>
      <w:r w:rsidRPr="00B13C9A">
        <w:rPr>
          <w:rFonts w:ascii="Times New Roman" w:hAnsi="Times New Roman" w:cs="Times New Roman"/>
        </w:rPr>
        <w:t>Belarus, Russia, Ukraine and Moldova</w:t>
      </w:r>
    </w:p>
  </w:endnote>
  <w:endnote w:id="8">
    <w:p w:rsidR="002B5FEA" w:rsidRPr="006B7900" w:rsidRDefault="002B5FEA" w:rsidP="006B7900">
      <w:pPr>
        <w:pStyle w:val="EndnoteText"/>
        <w:ind w:left="284" w:hanging="284"/>
        <w:rPr>
          <w:rFonts w:ascii="Times New Roman" w:hAnsi="Times New Roman" w:cs="Times New Roman"/>
        </w:rPr>
      </w:pPr>
      <w:r w:rsidRPr="006B7900">
        <w:rPr>
          <w:rStyle w:val="EndnoteReference"/>
          <w:rFonts w:ascii="Times New Roman" w:hAnsi="Times New Roman" w:cs="Times New Roman"/>
        </w:rPr>
        <w:endnoteRef/>
      </w:r>
      <w:r w:rsidRPr="006B7900">
        <w:rPr>
          <w:rFonts w:ascii="Times New Roman" w:hAnsi="Times New Roman" w:cs="Times New Roman"/>
        </w:rPr>
        <w:t xml:space="preserve"> </w:t>
      </w:r>
      <w:r w:rsidRPr="006B7900">
        <w:rPr>
          <w:rFonts w:ascii="Times New Roman" w:hAnsi="Times New Roman" w:cs="Times New Roman"/>
          <w:color w:val="000000" w:themeColor="text1"/>
          <w:szCs w:val="24"/>
        </w:rPr>
        <w:tab/>
        <w:t xml:space="preserve">Similar tests were also carried out for the </w:t>
      </w:r>
      <w:r w:rsidRPr="006B7900">
        <w:rPr>
          <w:rFonts w:ascii="Times New Roman" w:hAnsi="Times New Roman" w:cs="Times New Roman"/>
          <w:i/>
          <w:color w:val="000000" w:themeColor="text1"/>
          <w:szCs w:val="24"/>
        </w:rPr>
        <w:t>loan interest</w:t>
      </w:r>
      <w:r w:rsidRPr="006B7900">
        <w:rPr>
          <w:rFonts w:ascii="Times New Roman" w:hAnsi="Times New Roman" w:cs="Times New Roman"/>
          <w:color w:val="000000" w:themeColor="text1"/>
          <w:szCs w:val="24"/>
        </w:rPr>
        <w:t xml:space="preserve"> equation. Our target variables remained insignificant in all these tests, so these results are not reported here for brevity but are available on request.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3344"/>
      <w:docPartObj>
        <w:docPartGallery w:val="Page Numbers (Bottom of Page)"/>
        <w:docPartUnique/>
      </w:docPartObj>
    </w:sdtPr>
    <w:sdtEndPr/>
    <w:sdtContent>
      <w:p w:rsidR="002B5FEA" w:rsidRDefault="00AD53A6">
        <w:pPr>
          <w:pStyle w:val="Footer"/>
          <w:jc w:val="center"/>
        </w:pPr>
        <w:r>
          <w:fldChar w:fldCharType="begin"/>
        </w:r>
        <w:r>
          <w:instrText xml:space="preserve"> PAGE   \* MERGEFORMAT </w:instrText>
        </w:r>
        <w:r>
          <w:fldChar w:fldCharType="separate"/>
        </w:r>
        <w:r w:rsidR="006E4296">
          <w:rPr>
            <w:noProof/>
          </w:rPr>
          <w:t>1</w:t>
        </w:r>
        <w:r>
          <w:rPr>
            <w:noProof/>
          </w:rPr>
          <w:fldChar w:fldCharType="end"/>
        </w:r>
      </w:p>
    </w:sdtContent>
  </w:sdt>
  <w:p w:rsidR="002B5FEA" w:rsidRDefault="002B5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A6" w:rsidRDefault="00AD53A6" w:rsidP="0001689E">
      <w:pPr>
        <w:spacing w:after="0" w:line="240" w:lineRule="auto"/>
      </w:pPr>
      <w:r>
        <w:separator/>
      </w:r>
    </w:p>
  </w:footnote>
  <w:footnote w:type="continuationSeparator" w:id="0">
    <w:p w:rsidR="00AD53A6" w:rsidRDefault="00AD53A6" w:rsidP="00016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FEA" w:rsidRDefault="002B5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349D9"/>
    <w:multiLevelType w:val="hybridMultilevel"/>
    <w:tmpl w:val="769E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A6CC8"/>
    <w:multiLevelType w:val="hybridMultilevel"/>
    <w:tmpl w:val="74D0BCD6"/>
    <w:lvl w:ilvl="0" w:tplc="02A4B2BC">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nsid w:val="31967C1C"/>
    <w:multiLevelType w:val="hybridMultilevel"/>
    <w:tmpl w:val="8C00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00269"/>
    <w:multiLevelType w:val="hybridMultilevel"/>
    <w:tmpl w:val="3F2268C2"/>
    <w:lvl w:ilvl="0" w:tplc="08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46DAA"/>
    <w:multiLevelType w:val="hybridMultilevel"/>
    <w:tmpl w:val="DBA83CF2"/>
    <w:lvl w:ilvl="0" w:tplc="73807526">
      <w:start w:val="1"/>
      <w:numFmt w:val="bullet"/>
      <w:lvlText w:val="•"/>
      <w:lvlJc w:val="left"/>
      <w:pPr>
        <w:tabs>
          <w:tab w:val="num" w:pos="720"/>
        </w:tabs>
        <w:ind w:left="720" w:hanging="360"/>
      </w:pPr>
      <w:rPr>
        <w:rFonts w:ascii="Arial" w:hAnsi="Arial" w:hint="default"/>
      </w:rPr>
    </w:lvl>
    <w:lvl w:ilvl="1" w:tplc="C600A0A8">
      <w:start w:val="1153"/>
      <w:numFmt w:val="bullet"/>
      <w:lvlText w:val="–"/>
      <w:lvlJc w:val="left"/>
      <w:pPr>
        <w:tabs>
          <w:tab w:val="num" w:pos="1440"/>
        </w:tabs>
        <w:ind w:left="1440" w:hanging="360"/>
      </w:pPr>
      <w:rPr>
        <w:rFonts w:ascii="Arial" w:hAnsi="Arial" w:hint="default"/>
      </w:rPr>
    </w:lvl>
    <w:lvl w:ilvl="2" w:tplc="FDECFDE2" w:tentative="1">
      <w:start w:val="1"/>
      <w:numFmt w:val="bullet"/>
      <w:lvlText w:val="•"/>
      <w:lvlJc w:val="left"/>
      <w:pPr>
        <w:tabs>
          <w:tab w:val="num" w:pos="2160"/>
        </w:tabs>
        <w:ind w:left="2160" w:hanging="360"/>
      </w:pPr>
      <w:rPr>
        <w:rFonts w:ascii="Arial" w:hAnsi="Arial" w:hint="default"/>
      </w:rPr>
    </w:lvl>
    <w:lvl w:ilvl="3" w:tplc="82CC3B20" w:tentative="1">
      <w:start w:val="1"/>
      <w:numFmt w:val="bullet"/>
      <w:lvlText w:val="•"/>
      <w:lvlJc w:val="left"/>
      <w:pPr>
        <w:tabs>
          <w:tab w:val="num" w:pos="2880"/>
        </w:tabs>
        <w:ind w:left="2880" w:hanging="360"/>
      </w:pPr>
      <w:rPr>
        <w:rFonts w:ascii="Arial" w:hAnsi="Arial" w:hint="default"/>
      </w:rPr>
    </w:lvl>
    <w:lvl w:ilvl="4" w:tplc="C24212E0" w:tentative="1">
      <w:start w:val="1"/>
      <w:numFmt w:val="bullet"/>
      <w:lvlText w:val="•"/>
      <w:lvlJc w:val="left"/>
      <w:pPr>
        <w:tabs>
          <w:tab w:val="num" w:pos="3600"/>
        </w:tabs>
        <w:ind w:left="3600" w:hanging="360"/>
      </w:pPr>
      <w:rPr>
        <w:rFonts w:ascii="Arial" w:hAnsi="Arial" w:hint="default"/>
      </w:rPr>
    </w:lvl>
    <w:lvl w:ilvl="5" w:tplc="83363856" w:tentative="1">
      <w:start w:val="1"/>
      <w:numFmt w:val="bullet"/>
      <w:lvlText w:val="•"/>
      <w:lvlJc w:val="left"/>
      <w:pPr>
        <w:tabs>
          <w:tab w:val="num" w:pos="4320"/>
        </w:tabs>
        <w:ind w:left="4320" w:hanging="360"/>
      </w:pPr>
      <w:rPr>
        <w:rFonts w:ascii="Arial" w:hAnsi="Arial" w:hint="default"/>
      </w:rPr>
    </w:lvl>
    <w:lvl w:ilvl="6" w:tplc="CB24CE64" w:tentative="1">
      <w:start w:val="1"/>
      <w:numFmt w:val="bullet"/>
      <w:lvlText w:val="•"/>
      <w:lvlJc w:val="left"/>
      <w:pPr>
        <w:tabs>
          <w:tab w:val="num" w:pos="5040"/>
        </w:tabs>
        <w:ind w:left="5040" w:hanging="360"/>
      </w:pPr>
      <w:rPr>
        <w:rFonts w:ascii="Arial" w:hAnsi="Arial" w:hint="default"/>
      </w:rPr>
    </w:lvl>
    <w:lvl w:ilvl="7" w:tplc="6AE2F39E" w:tentative="1">
      <w:start w:val="1"/>
      <w:numFmt w:val="bullet"/>
      <w:lvlText w:val="•"/>
      <w:lvlJc w:val="left"/>
      <w:pPr>
        <w:tabs>
          <w:tab w:val="num" w:pos="5760"/>
        </w:tabs>
        <w:ind w:left="5760" w:hanging="360"/>
      </w:pPr>
      <w:rPr>
        <w:rFonts w:ascii="Arial" w:hAnsi="Arial" w:hint="default"/>
      </w:rPr>
    </w:lvl>
    <w:lvl w:ilvl="8" w:tplc="8238075A" w:tentative="1">
      <w:start w:val="1"/>
      <w:numFmt w:val="bullet"/>
      <w:lvlText w:val="•"/>
      <w:lvlJc w:val="left"/>
      <w:pPr>
        <w:tabs>
          <w:tab w:val="num" w:pos="6480"/>
        </w:tabs>
        <w:ind w:left="6480" w:hanging="360"/>
      </w:pPr>
      <w:rPr>
        <w:rFonts w:ascii="Arial" w:hAnsi="Arial" w:hint="default"/>
      </w:rPr>
    </w:lvl>
  </w:abstractNum>
  <w:abstractNum w:abstractNumId="5">
    <w:nsid w:val="526C4E4A"/>
    <w:multiLevelType w:val="hybridMultilevel"/>
    <w:tmpl w:val="6C2E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D44A5"/>
    <w:multiLevelType w:val="hybridMultilevel"/>
    <w:tmpl w:val="5BCE5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62D5"/>
    <w:rsid w:val="00000849"/>
    <w:rsid w:val="00001DC9"/>
    <w:rsid w:val="00002421"/>
    <w:rsid w:val="00003F2D"/>
    <w:rsid w:val="00004322"/>
    <w:rsid w:val="00005B42"/>
    <w:rsid w:val="000069B3"/>
    <w:rsid w:val="00007084"/>
    <w:rsid w:val="00014475"/>
    <w:rsid w:val="0001689E"/>
    <w:rsid w:val="000202A0"/>
    <w:rsid w:val="00021513"/>
    <w:rsid w:val="00022BD0"/>
    <w:rsid w:val="00024A0C"/>
    <w:rsid w:val="00024FF5"/>
    <w:rsid w:val="00030235"/>
    <w:rsid w:val="00030C9C"/>
    <w:rsid w:val="00032877"/>
    <w:rsid w:val="00033F69"/>
    <w:rsid w:val="00035850"/>
    <w:rsid w:val="00040A4E"/>
    <w:rsid w:val="00040CDC"/>
    <w:rsid w:val="00050EDD"/>
    <w:rsid w:val="00052C82"/>
    <w:rsid w:val="0005477E"/>
    <w:rsid w:val="00055526"/>
    <w:rsid w:val="00056702"/>
    <w:rsid w:val="00057A43"/>
    <w:rsid w:val="0006290D"/>
    <w:rsid w:val="00062946"/>
    <w:rsid w:val="00062976"/>
    <w:rsid w:val="000656A7"/>
    <w:rsid w:val="00067C9C"/>
    <w:rsid w:val="000710D1"/>
    <w:rsid w:val="00071B7C"/>
    <w:rsid w:val="00075574"/>
    <w:rsid w:val="00077569"/>
    <w:rsid w:val="0008119A"/>
    <w:rsid w:val="0008251D"/>
    <w:rsid w:val="000827F6"/>
    <w:rsid w:val="00082F27"/>
    <w:rsid w:val="00084518"/>
    <w:rsid w:val="00084AC0"/>
    <w:rsid w:val="000852B0"/>
    <w:rsid w:val="00085A40"/>
    <w:rsid w:val="00086556"/>
    <w:rsid w:val="000870B6"/>
    <w:rsid w:val="000903EF"/>
    <w:rsid w:val="000917CE"/>
    <w:rsid w:val="00091DC3"/>
    <w:rsid w:val="00093E10"/>
    <w:rsid w:val="00096540"/>
    <w:rsid w:val="000A2991"/>
    <w:rsid w:val="000A2FA0"/>
    <w:rsid w:val="000A3D62"/>
    <w:rsid w:val="000A48F0"/>
    <w:rsid w:val="000A6D53"/>
    <w:rsid w:val="000A6EAC"/>
    <w:rsid w:val="000A6EFD"/>
    <w:rsid w:val="000A7377"/>
    <w:rsid w:val="000B08B4"/>
    <w:rsid w:val="000B11F6"/>
    <w:rsid w:val="000B3B70"/>
    <w:rsid w:val="000B47B7"/>
    <w:rsid w:val="000B6D11"/>
    <w:rsid w:val="000C08D8"/>
    <w:rsid w:val="000C0A90"/>
    <w:rsid w:val="000C0E0F"/>
    <w:rsid w:val="000C4326"/>
    <w:rsid w:val="000C4364"/>
    <w:rsid w:val="000C5149"/>
    <w:rsid w:val="000C662B"/>
    <w:rsid w:val="000C6926"/>
    <w:rsid w:val="000C7D61"/>
    <w:rsid w:val="000D0600"/>
    <w:rsid w:val="000D099F"/>
    <w:rsid w:val="000D0E88"/>
    <w:rsid w:val="000D54AC"/>
    <w:rsid w:val="000D7A6B"/>
    <w:rsid w:val="000E0C0D"/>
    <w:rsid w:val="000E1C82"/>
    <w:rsid w:val="000E583F"/>
    <w:rsid w:val="000E5897"/>
    <w:rsid w:val="000E73FD"/>
    <w:rsid w:val="000F04F4"/>
    <w:rsid w:val="000F1966"/>
    <w:rsid w:val="000F1B01"/>
    <w:rsid w:val="000F3EF2"/>
    <w:rsid w:val="000F5700"/>
    <w:rsid w:val="000F62FB"/>
    <w:rsid w:val="000F763B"/>
    <w:rsid w:val="000F7980"/>
    <w:rsid w:val="000F7C8C"/>
    <w:rsid w:val="00100510"/>
    <w:rsid w:val="00101E6F"/>
    <w:rsid w:val="001046F5"/>
    <w:rsid w:val="001101CD"/>
    <w:rsid w:val="001118A4"/>
    <w:rsid w:val="00111F12"/>
    <w:rsid w:val="00112774"/>
    <w:rsid w:val="00113199"/>
    <w:rsid w:val="00117DD2"/>
    <w:rsid w:val="00117E03"/>
    <w:rsid w:val="00122AFA"/>
    <w:rsid w:val="00123345"/>
    <w:rsid w:val="00124A66"/>
    <w:rsid w:val="00125BE1"/>
    <w:rsid w:val="00125CCE"/>
    <w:rsid w:val="00125E8D"/>
    <w:rsid w:val="00130717"/>
    <w:rsid w:val="00130D65"/>
    <w:rsid w:val="00132093"/>
    <w:rsid w:val="0013373E"/>
    <w:rsid w:val="00135080"/>
    <w:rsid w:val="00137332"/>
    <w:rsid w:val="00140CE5"/>
    <w:rsid w:val="00140FA5"/>
    <w:rsid w:val="00141985"/>
    <w:rsid w:val="00142F36"/>
    <w:rsid w:val="001430AE"/>
    <w:rsid w:val="001445D1"/>
    <w:rsid w:val="00144EAB"/>
    <w:rsid w:val="00145864"/>
    <w:rsid w:val="00147212"/>
    <w:rsid w:val="00147223"/>
    <w:rsid w:val="0014744D"/>
    <w:rsid w:val="00152491"/>
    <w:rsid w:val="001573C3"/>
    <w:rsid w:val="00157948"/>
    <w:rsid w:val="00165518"/>
    <w:rsid w:val="00166E2B"/>
    <w:rsid w:val="00171344"/>
    <w:rsid w:val="001717B1"/>
    <w:rsid w:val="001741CF"/>
    <w:rsid w:val="00180248"/>
    <w:rsid w:val="00181AE7"/>
    <w:rsid w:val="001829E0"/>
    <w:rsid w:val="001847B4"/>
    <w:rsid w:val="00185618"/>
    <w:rsid w:val="00185753"/>
    <w:rsid w:val="001865D8"/>
    <w:rsid w:val="001937CC"/>
    <w:rsid w:val="00193E38"/>
    <w:rsid w:val="001962D1"/>
    <w:rsid w:val="00196E44"/>
    <w:rsid w:val="00196F04"/>
    <w:rsid w:val="001971B4"/>
    <w:rsid w:val="001A0256"/>
    <w:rsid w:val="001A2ACD"/>
    <w:rsid w:val="001A3018"/>
    <w:rsid w:val="001A4FDE"/>
    <w:rsid w:val="001B28AB"/>
    <w:rsid w:val="001B2B98"/>
    <w:rsid w:val="001B2DA1"/>
    <w:rsid w:val="001B5AAD"/>
    <w:rsid w:val="001B5CB0"/>
    <w:rsid w:val="001B7AA6"/>
    <w:rsid w:val="001C29D1"/>
    <w:rsid w:val="001C4472"/>
    <w:rsid w:val="001C4900"/>
    <w:rsid w:val="001C5104"/>
    <w:rsid w:val="001C658F"/>
    <w:rsid w:val="001C66A8"/>
    <w:rsid w:val="001D08B2"/>
    <w:rsid w:val="001D15F8"/>
    <w:rsid w:val="001D3F67"/>
    <w:rsid w:val="001D52CC"/>
    <w:rsid w:val="001D551F"/>
    <w:rsid w:val="001D5E63"/>
    <w:rsid w:val="001D663F"/>
    <w:rsid w:val="001D70AA"/>
    <w:rsid w:val="001E094E"/>
    <w:rsid w:val="001E0FFF"/>
    <w:rsid w:val="001E1398"/>
    <w:rsid w:val="001E17C1"/>
    <w:rsid w:val="001E2FB4"/>
    <w:rsid w:val="001E3884"/>
    <w:rsid w:val="001E4D09"/>
    <w:rsid w:val="001E66DE"/>
    <w:rsid w:val="001F0635"/>
    <w:rsid w:val="001F125B"/>
    <w:rsid w:val="001F1870"/>
    <w:rsid w:val="001F2F1E"/>
    <w:rsid w:val="001F3632"/>
    <w:rsid w:val="001F3985"/>
    <w:rsid w:val="001F45E4"/>
    <w:rsid w:val="001F6D5E"/>
    <w:rsid w:val="00201302"/>
    <w:rsid w:val="002022F2"/>
    <w:rsid w:val="002029F9"/>
    <w:rsid w:val="00202CCA"/>
    <w:rsid w:val="002063E3"/>
    <w:rsid w:val="002119E1"/>
    <w:rsid w:val="00212061"/>
    <w:rsid w:val="00214093"/>
    <w:rsid w:val="00214CED"/>
    <w:rsid w:val="002158D2"/>
    <w:rsid w:val="00215A21"/>
    <w:rsid w:val="00215F4D"/>
    <w:rsid w:val="002168B4"/>
    <w:rsid w:val="00221429"/>
    <w:rsid w:val="002215D7"/>
    <w:rsid w:val="00222358"/>
    <w:rsid w:val="00226106"/>
    <w:rsid w:val="00226B0D"/>
    <w:rsid w:val="00226FB8"/>
    <w:rsid w:val="00227347"/>
    <w:rsid w:val="00227E10"/>
    <w:rsid w:val="00233083"/>
    <w:rsid w:val="00233896"/>
    <w:rsid w:val="002341B7"/>
    <w:rsid w:val="00234B2B"/>
    <w:rsid w:val="00234B50"/>
    <w:rsid w:val="002352FC"/>
    <w:rsid w:val="00235DAF"/>
    <w:rsid w:val="002365E6"/>
    <w:rsid w:val="00236C4D"/>
    <w:rsid w:val="002373B6"/>
    <w:rsid w:val="00241AB6"/>
    <w:rsid w:val="002434D5"/>
    <w:rsid w:val="00245B5A"/>
    <w:rsid w:val="00245EE3"/>
    <w:rsid w:val="00246992"/>
    <w:rsid w:val="00246C06"/>
    <w:rsid w:val="00247937"/>
    <w:rsid w:val="00247A5B"/>
    <w:rsid w:val="002511C8"/>
    <w:rsid w:val="0025279E"/>
    <w:rsid w:val="00254747"/>
    <w:rsid w:val="00256097"/>
    <w:rsid w:val="002604A5"/>
    <w:rsid w:val="00260CAD"/>
    <w:rsid w:val="0026480D"/>
    <w:rsid w:val="00266116"/>
    <w:rsid w:val="00266119"/>
    <w:rsid w:val="0026790A"/>
    <w:rsid w:val="00271100"/>
    <w:rsid w:val="00275FF3"/>
    <w:rsid w:val="00280937"/>
    <w:rsid w:val="00281627"/>
    <w:rsid w:val="002818A2"/>
    <w:rsid w:val="0028270A"/>
    <w:rsid w:val="00282E1A"/>
    <w:rsid w:val="00284A96"/>
    <w:rsid w:val="00285ACE"/>
    <w:rsid w:val="00287877"/>
    <w:rsid w:val="00293ACE"/>
    <w:rsid w:val="00294E70"/>
    <w:rsid w:val="002964F1"/>
    <w:rsid w:val="00297ADD"/>
    <w:rsid w:val="002A01C7"/>
    <w:rsid w:val="002A069F"/>
    <w:rsid w:val="002A0DF1"/>
    <w:rsid w:val="002A26F8"/>
    <w:rsid w:val="002A2B9A"/>
    <w:rsid w:val="002A3A80"/>
    <w:rsid w:val="002A46C4"/>
    <w:rsid w:val="002A58D3"/>
    <w:rsid w:val="002B0849"/>
    <w:rsid w:val="002B1D27"/>
    <w:rsid w:val="002B31F3"/>
    <w:rsid w:val="002B5FEA"/>
    <w:rsid w:val="002B616C"/>
    <w:rsid w:val="002B7A4E"/>
    <w:rsid w:val="002C140A"/>
    <w:rsid w:val="002C178B"/>
    <w:rsid w:val="002C1F7E"/>
    <w:rsid w:val="002C34F6"/>
    <w:rsid w:val="002C4654"/>
    <w:rsid w:val="002C472F"/>
    <w:rsid w:val="002C5279"/>
    <w:rsid w:val="002C57EE"/>
    <w:rsid w:val="002C6A7A"/>
    <w:rsid w:val="002D08BF"/>
    <w:rsid w:val="002D1FB0"/>
    <w:rsid w:val="002D288A"/>
    <w:rsid w:val="002D5B01"/>
    <w:rsid w:val="002D7E0E"/>
    <w:rsid w:val="002E2832"/>
    <w:rsid w:val="002E2CED"/>
    <w:rsid w:val="002E324A"/>
    <w:rsid w:val="002E4168"/>
    <w:rsid w:val="002E4956"/>
    <w:rsid w:val="002E4FEC"/>
    <w:rsid w:val="002E5604"/>
    <w:rsid w:val="002E69E7"/>
    <w:rsid w:val="002E6E06"/>
    <w:rsid w:val="002F0947"/>
    <w:rsid w:val="002F09E8"/>
    <w:rsid w:val="002F10D3"/>
    <w:rsid w:val="002F1882"/>
    <w:rsid w:val="002F1C8C"/>
    <w:rsid w:val="002F1CDB"/>
    <w:rsid w:val="002F22AD"/>
    <w:rsid w:val="002F2EAF"/>
    <w:rsid w:val="002F335B"/>
    <w:rsid w:val="002F3679"/>
    <w:rsid w:val="002F409A"/>
    <w:rsid w:val="002F4FC7"/>
    <w:rsid w:val="002F63CB"/>
    <w:rsid w:val="002F646E"/>
    <w:rsid w:val="002F775F"/>
    <w:rsid w:val="002F7AA2"/>
    <w:rsid w:val="003009AC"/>
    <w:rsid w:val="00300D04"/>
    <w:rsid w:val="0030103C"/>
    <w:rsid w:val="003035A1"/>
    <w:rsid w:val="00307F4A"/>
    <w:rsid w:val="00310885"/>
    <w:rsid w:val="00310EA1"/>
    <w:rsid w:val="003114F2"/>
    <w:rsid w:val="00311D2B"/>
    <w:rsid w:val="00312603"/>
    <w:rsid w:val="00314DB4"/>
    <w:rsid w:val="00320C0B"/>
    <w:rsid w:val="003221FE"/>
    <w:rsid w:val="00322A6E"/>
    <w:rsid w:val="00324AEC"/>
    <w:rsid w:val="00324FF1"/>
    <w:rsid w:val="00324FF2"/>
    <w:rsid w:val="003277BF"/>
    <w:rsid w:val="003330E4"/>
    <w:rsid w:val="00337419"/>
    <w:rsid w:val="0033741A"/>
    <w:rsid w:val="00337560"/>
    <w:rsid w:val="00337940"/>
    <w:rsid w:val="00337E1A"/>
    <w:rsid w:val="00340DEE"/>
    <w:rsid w:val="0034434B"/>
    <w:rsid w:val="0034530F"/>
    <w:rsid w:val="003469FD"/>
    <w:rsid w:val="00347131"/>
    <w:rsid w:val="00347239"/>
    <w:rsid w:val="00347A81"/>
    <w:rsid w:val="00350275"/>
    <w:rsid w:val="00350BB1"/>
    <w:rsid w:val="00350DA6"/>
    <w:rsid w:val="00351D83"/>
    <w:rsid w:val="003544E4"/>
    <w:rsid w:val="00360054"/>
    <w:rsid w:val="00360489"/>
    <w:rsid w:val="00365292"/>
    <w:rsid w:val="00367B65"/>
    <w:rsid w:val="00370467"/>
    <w:rsid w:val="00370D45"/>
    <w:rsid w:val="00372F6F"/>
    <w:rsid w:val="00373117"/>
    <w:rsid w:val="00374AEC"/>
    <w:rsid w:val="003768AB"/>
    <w:rsid w:val="00381622"/>
    <w:rsid w:val="0038191E"/>
    <w:rsid w:val="00381E33"/>
    <w:rsid w:val="0038565E"/>
    <w:rsid w:val="00385F54"/>
    <w:rsid w:val="0038601F"/>
    <w:rsid w:val="00386897"/>
    <w:rsid w:val="003900E4"/>
    <w:rsid w:val="0039151C"/>
    <w:rsid w:val="00391971"/>
    <w:rsid w:val="0039271D"/>
    <w:rsid w:val="00392AFA"/>
    <w:rsid w:val="00393092"/>
    <w:rsid w:val="00396DB4"/>
    <w:rsid w:val="003977AF"/>
    <w:rsid w:val="003A1969"/>
    <w:rsid w:val="003A42B4"/>
    <w:rsid w:val="003A581A"/>
    <w:rsid w:val="003A5D73"/>
    <w:rsid w:val="003A6BDF"/>
    <w:rsid w:val="003B1C6D"/>
    <w:rsid w:val="003C1447"/>
    <w:rsid w:val="003C1AFB"/>
    <w:rsid w:val="003C1D69"/>
    <w:rsid w:val="003C264C"/>
    <w:rsid w:val="003C366C"/>
    <w:rsid w:val="003C6F6C"/>
    <w:rsid w:val="003D059E"/>
    <w:rsid w:val="003D33AB"/>
    <w:rsid w:val="003D5146"/>
    <w:rsid w:val="003D6BED"/>
    <w:rsid w:val="003D7B1D"/>
    <w:rsid w:val="003E00D7"/>
    <w:rsid w:val="003E5D31"/>
    <w:rsid w:val="003E6035"/>
    <w:rsid w:val="003E61FB"/>
    <w:rsid w:val="003F26EC"/>
    <w:rsid w:val="003F2734"/>
    <w:rsid w:val="003F3DD1"/>
    <w:rsid w:val="003F403A"/>
    <w:rsid w:val="003F481A"/>
    <w:rsid w:val="003F4ECA"/>
    <w:rsid w:val="003F517D"/>
    <w:rsid w:val="003F5E1B"/>
    <w:rsid w:val="003F6A1E"/>
    <w:rsid w:val="003F6E9A"/>
    <w:rsid w:val="003F756F"/>
    <w:rsid w:val="004008A2"/>
    <w:rsid w:val="00401FFB"/>
    <w:rsid w:val="004022BF"/>
    <w:rsid w:val="00403C34"/>
    <w:rsid w:val="004043DB"/>
    <w:rsid w:val="00406084"/>
    <w:rsid w:val="00410C46"/>
    <w:rsid w:val="004118AD"/>
    <w:rsid w:val="004141CF"/>
    <w:rsid w:val="0041558B"/>
    <w:rsid w:val="0041648D"/>
    <w:rsid w:val="00416870"/>
    <w:rsid w:val="00417AAA"/>
    <w:rsid w:val="00420F0C"/>
    <w:rsid w:val="004214C4"/>
    <w:rsid w:val="0042319E"/>
    <w:rsid w:val="004239AF"/>
    <w:rsid w:val="004274E7"/>
    <w:rsid w:val="00427A04"/>
    <w:rsid w:val="00432154"/>
    <w:rsid w:val="00433666"/>
    <w:rsid w:val="004370EA"/>
    <w:rsid w:val="00440C4A"/>
    <w:rsid w:val="004423ED"/>
    <w:rsid w:val="00442A2E"/>
    <w:rsid w:val="00442B78"/>
    <w:rsid w:val="004438D8"/>
    <w:rsid w:val="00461317"/>
    <w:rsid w:val="00462E27"/>
    <w:rsid w:val="00462E7F"/>
    <w:rsid w:val="00463D58"/>
    <w:rsid w:val="0046490B"/>
    <w:rsid w:val="004660A6"/>
    <w:rsid w:val="00466A5C"/>
    <w:rsid w:val="004671F1"/>
    <w:rsid w:val="00474ABD"/>
    <w:rsid w:val="004754EF"/>
    <w:rsid w:val="00477305"/>
    <w:rsid w:val="0047773B"/>
    <w:rsid w:val="0048052D"/>
    <w:rsid w:val="00481C40"/>
    <w:rsid w:val="0048241B"/>
    <w:rsid w:val="00483B0A"/>
    <w:rsid w:val="004843C7"/>
    <w:rsid w:val="00486469"/>
    <w:rsid w:val="00486E3F"/>
    <w:rsid w:val="00494754"/>
    <w:rsid w:val="004949C2"/>
    <w:rsid w:val="00495A2E"/>
    <w:rsid w:val="004A09E0"/>
    <w:rsid w:val="004A0C6B"/>
    <w:rsid w:val="004A3865"/>
    <w:rsid w:val="004A3E37"/>
    <w:rsid w:val="004A7F20"/>
    <w:rsid w:val="004B164E"/>
    <w:rsid w:val="004B1D20"/>
    <w:rsid w:val="004B3053"/>
    <w:rsid w:val="004B35F4"/>
    <w:rsid w:val="004B585F"/>
    <w:rsid w:val="004B5DAE"/>
    <w:rsid w:val="004B6B43"/>
    <w:rsid w:val="004B76AF"/>
    <w:rsid w:val="004C550F"/>
    <w:rsid w:val="004C5644"/>
    <w:rsid w:val="004C6CD9"/>
    <w:rsid w:val="004C73C1"/>
    <w:rsid w:val="004C7887"/>
    <w:rsid w:val="004D05F7"/>
    <w:rsid w:val="004D47DD"/>
    <w:rsid w:val="004D6FD0"/>
    <w:rsid w:val="004D7A6F"/>
    <w:rsid w:val="004E00A0"/>
    <w:rsid w:val="004E07E7"/>
    <w:rsid w:val="004E1A29"/>
    <w:rsid w:val="004E40C9"/>
    <w:rsid w:val="004E4A02"/>
    <w:rsid w:val="004E4C33"/>
    <w:rsid w:val="004E5CEC"/>
    <w:rsid w:val="004E7377"/>
    <w:rsid w:val="004F0902"/>
    <w:rsid w:val="004F178C"/>
    <w:rsid w:val="004F27FB"/>
    <w:rsid w:val="004F2D45"/>
    <w:rsid w:val="004F455A"/>
    <w:rsid w:val="004F4DAD"/>
    <w:rsid w:val="004F5E1D"/>
    <w:rsid w:val="004F5EFF"/>
    <w:rsid w:val="004F646B"/>
    <w:rsid w:val="005004A6"/>
    <w:rsid w:val="005026E8"/>
    <w:rsid w:val="00502BD2"/>
    <w:rsid w:val="00505A84"/>
    <w:rsid w:val="005077A0"/>
    <w:rsid w:val="005204FA"/>
    <w:rsid w:val="00520BE4"/>
    <w:rsid w:val="00524CB9"/>
    <w:rsid w:val="00531C0A"/>
    <w:rsid w:val="00531C11"/>
    <w:rsid w:val="00532FBE"/>
    <w:rsid w:val="00533B6F"/>
    <w:rsid w:val="00534F73"/>
    <w:rsid w:val="0053775F"/>
    <w:rsid w:val="00540266"/>
    <w:rsid w:val="005402D4"/>
    <w:rsid w:val="00541E78"/>
    <w:rsid w:val="005439F0"/>
    <w:rsid w:val="00543E4D"/>
    <w:rsid w:val="00545ABB"/>
    <w:rsid w:val="00546EE5"/>
    <w:rsid w:val="00546F9A"/>
    <w:rsid w:val="00550DD7"/>
    <w:rsid w:val="0055144A"/>
    <w:rsid w:val="00551B60"/>
    <w:rsid w:val="00553ABD"/>
    <w:rsid w:val="005544B9"/>
    <w:rsid w:val="00554A4B"/>
    <w:rsid w:val="00556F7F"/>
    <w:rsid w:val="00560419"/>
    <w:rsid w:val="00564FAF"/>
    <w:rsid w:val="00566720"/>
    <w:rsid w:val="005667CB"/>
    <w:rsid w:val="005670FA"/>
    <w:rsid w:val="0056719C"/>
    <w:rsid w:val="00567817"/>
    <w:rsid w:val="00570A4C"/>
    <w:rsid w:val="00572D5B"/>
    <w:rsid w:val="00572EA0"/>
    <w:rsid w:val="00573CB4"/>
    <w:rsid w:val="00574419"/>
    <w:rsid w:val="00575494"/>
    <w:rsid w:val="00575E7B"/>
    <w:rsid w:val="00585C83"/>
    <w:rsid w:val="00586691"/>
    <w:rsid w:val="005917D6"/>
    <w:rsid w:val="0059219F"/>
    <w:rsid w:val="005958F5"/>
    <w:rsid w:val="005A050C"/>
    <w:rsid w:val="005A3FE9"/>
    <w:rsid w:val="005A7312"/>
    <w:rsid w:val="005B1FAA"/>
    <w:rsid w:val="005B23C4"/>
    <w:rsid w:val="005B77FE"/>
    <w:rsid w:val="005B7DFE"/>
    <w:rsid w:val="005C05B4"/>
    <w:rsid w:val="005C232A"/>
    <w:rsid w:val="005C29DD"/>
    <w:rsid w:val="005C35D3"/>
    <w:rsid w:val="005C4156"/>
    <w:rsid w:val="005C5C36"/>
    <w:rsid w:val="005C6309"/>
    <w:rsid w:val="005C6C88"/>
    <w:rsid w:val="005C6E73"/>
    <w:rsid w:val="005C7307"/>
    <w:rsid w:val="005C7678"/>
    <w:rsid w:val="005D109D"/>
    <w:rsid w:val="005D164D"/>
    <w:rsid w:val="005D459C"/>
    <w:rsid w:val="005D4868"/>
    <w:rsid w:val="005D6CDB"/>
    <w:rsid w:val="005E02C0"/>
    <w:rsid w:val="005E0B12"/>
    <w:rsid w:val="005E1564"/>
    <w:rsid w:val="005E1827"/>
    <w:rsid w:val="005E543C"/>
    <w:rsid w:val="005E5D3F"/>
    <w:rsid w:val="005E635B"/>
    <w:rsid w:val="005E7323"/>
    <w:rsid w:val="005F0AF3"/>
    <w:rsid w:val="005F7B4E"/>
    <w:rsid w:val="00601AD8"/>
    <w:rsid w:val="00601FED"/>
    <w:rsid w:val="00602253"/>
    <w:rsid w:val="0060282D"/>
    <w:rsid w:val="00605F89"/>
    <w:rsid w:val="00606529"/>
    <w:rsid w:val="006073A1"/>
    <w:rsid w:val="006078C2"/>
    <w:rsid w:val="0060792B"/>
    <w:rsid w:val="00611C91"/>
    <w:rsid w:val="00612DE1"/>
    <w:rsid w:val="0061643F"/>
    <w:rsid w:val="006168C9"/>
    <w:rsid w:val="006169D2"/>
    <w:rsid w:val="006204C9"/>
    <w:rsid w:val="0062083E"/>
    <w:rsid w:val="00621AF2"/>
    <w:rsid w:val="00621F24"/>
    <w:rsid w:val="00622316"/>
    <w:rsid w:val="00622731"/>
    <w:rsid w:val="00622B41"/>
    <w:rsid w:val="00623802"/>
    <w:rsid w:val="00623A48"/>
    <w:rsid w:val="00623C71"/>
    <w:rsid w:val="0062503A"/>
    <w:rsid w:val="00627A60"/>
    <w:rsid w:val="00630D0B"/>
    <w:rsid w:val="006315EA"/>
    <w:rsid w:val="0063279D"/>
    <w:rsid w:val="00633A72"/>
    <w:rsid w:val="00633BD0"/>
    <w:rsid w:val="00635893"/>
    <w:rsid w:val="00641011"/>
    <w:rsid w:val="006447BD"/>
    <w:rsid w:val="00644B7E"/>
    <w:rsid w:val="00650808"/>
    <w:rsid w:val="006545DA"/>
    <w:rsid w:val="006554D3"/>
    <w:rsid w:val="00657536"/>
    <w:rsid w:val="00657D0E"/>
    <w:rsid w:val="00660B39"/>
    <w:rsid w:val="00661D1C"/>
    <w:rsid w:val="006625BA"/>
    <w:rsid w:val="00663CED"/>
    <w:rsid w:val="00664417"/>
    <w:rsid w:val="006647AC"/>
    <w:rsid w:val="006661BD"/>
    <w:rsid w:val="0067195A"/>
    <w:rsid w:val="006755FE"/>
    <w:rsid w:val="00675B97"/>
    <w:rsid w:val="00677A88"/>
    <w:rsid w:val="0068461E"/>
    <w:rsid w:val="0068581D"/>
    <w:rsid w:val="00687A14"/>
    <w:rsid w:val="00690284"/>
    <w:rsid w:val="0069164D"/>
    <w:rsid w:val="00693C32"/>
    <w:rsid w:val="00695A8E"/>
    <w:rsid w:val="00696730"/>
    <w:rsid w:val="00696AEF"/>
    <w:rsid w:val="00696F8C"/>
    <w:rsid w:val="0069784B"/>
    <w:rsid w:val="006A195F"/>
    <w:rsid w:val="006A1AA3"/>
    <w:rsid w:val="006A1C75"/>
    <w:rsid w:val="006A21F3"/>
    <w:rsid w:val="006A2958"/>
    <w:rsid w:val="006A344B"/>
    <w:rsid w:val="006A368F"/>
    <w:rsid w:val="006A5B01"/>
    <w:rsid w:val="006A77A0"/>
    <w:rsid w:val="006B0B8C"/>
    <w:rsid w:val="006B0EA1"/>
    <w:rsid w:val="006B5166"/>
    <w:rsid w:val="006B7900"/>
    <w:rsid w:val="006B7C6A"/>
    <w:rsid w:val="006C0832"/>
    <w:rsid w:val="006C16AA"/>
    <w:rsid w:val="006C2303"/>
    <w:rsid w:val="006C3F9C"/>
    <w:rsid w:val="006C4217"/>
    <w:rsid w:val="006C5928"/>
    <w:rsid w:val="006C5B84"/>
    <w:rsid w:val="006C6773"/>
    <w:rsid w:val="006C68C1"/>
    <w:rsid w:val="006C7872"/>
    <w:rsid w:val="006D04BB"/>
    <w:rsid w:val="006D3DAB"/>
    <w:rsid w:val="006D3EB4"/>
    <w:rsid w:val="006D4127"/>
    <w:rsid w:val="006D4361"/>
    <w:rsid w:val="006D552F"/>
    <w:rsid w:val="006D6185"/>
    <w:rsid w:val="006D6AAD"/>
    <w:rsid w:val="006D7B72"/>
    <w:rsid w:val="006E12CA"/>
    <w:rsid w:val="006E2F2F"/>
    <w:rsid w:val="006E36F5"/>
    <w:rsid w:val="006E4296"/>
    <w:rsid w:val="006E45D5"/>
    <w:rsid w:val="006E739D"/>
    <w:rsid w:val="006E7BE9"/>
    <w:rsid w:val="006F06B3"/>
    <w:rsid w:val="006F0DBB"/>
    <w:rsid w:val="006F2CBE"/>
    <w:rsid w:val="006F6D97"/>
    <w:rsid w:val="006F6F7D"/>
    <w:rsid w:val="007006D5"/>
    <w:rsid w:val="007028F3"/>
    <w:rsid w:val="00702C25"/>
    <w:rsid w:val="00704F40"/>
    <w:rsid w:val="007053E3"/>
    <w:rsid w:val="00707491"/>
    <w:rsid w:val="0071242F"/>
    <w:rsid w:val="0071458D"/>
    <w:rsid w:val="00716ECD"/>
    <w:rsid w:val="00717FE3"/>
    <w:rsid w:val="00721095"/>
    <w:rsid w:val="00724C2D"/>
    <w:rsid w:val="007258DF"/>
    <w:rsid w:val="0072605C"/>
    <w:rsid w:val="007262CD"/>
    <w:rsid w:val="007262D5"/>
    <w:rsid w:val="00726DBB"/>
    <w:rsid w:val="00730AFB"/>
    <w:rsid w:val="00730EAB"/>
    <w:rsid w:val="00731913"/>
    <w:rsid w:val="007358D7"/>
    <w:rsid w:val="007368FD"/>
    <w:rsid w:val="0074006B"/>
    <w:rsid w:val="007458E6"/>
    <w:rsid w:val="00745B35"/>
    <w:rsid w:val="00750BD2"/>
    <w:rsid w:val="00753BB1"/>
    <w:rsid w:val="00753CDE"/>
    <w:rsid w:val="00757957"/>
    <w:rsid w:val="007646A8"/>
    <w:rsid w:val="007669B5"/>
    <w:rsid w:val="007747BD"/>
    <w:rsid w:val="0077489B"/>
    <w:rsid w:val="00775562"/>
    <w:rsid w:val="0077775E"/>
    <w:rsid w:val="00790569"/>
    <w:rsid w:val="00791090"/>
    <w:rsid w:val="007938E7"/>
    <w:rsid w:val="007939A0"/>
    <w:rsid w:val="00795640"/>
    <w:rsid w:val="00796B50"/>
    <w:rsid w:val="0079704D"/>
    <w:rsid w:val="007A0B1F"/>
    <w:rsid w:val="007A262D"/>
    <w:rsid w:val="007A39CB"/>
    <w:rsid w:val="007A43FD"/>
    <w:rsid w:val="007A4498"/>
    <w:rsid w:val="007A7005"/>
    <w:rsid w:val="007A7EBF"/>
    <w:rsid w:val="007B09A5"/>
    <w:rsid w:val="007B1572"/>
    <w:rsid w:val="007B242E"/>
    <w:rsid w:val="007B39BA"/>
    <w:rsid w:val="007B4EEF"/>
    <w:rsid w:val="007B6475"/>
    <w:rsid w:val="007C0259"/>
    <w:rsid w:val="007C0444"/>
    <w:rsid w:val="007C1B5D"/>
    <w:rsid w:val="007C1E82"/>
    <w:rsid w:val="007C235E"/>
    <w:rsid w:val="007C5524"/>
    <w:rsid w:val="007C6395"/>
    <w:rsid w:val="007D0C48"/>
    <w:rsid w:val="007D334A"/>
    <w:rsid w:val="007D4687"/>
    <w:rsid w:val="007E31B2"/>
    <w:rsid w:val="007E3A58"/>
    <w:rsid w:val="007E72BB"/>
    <w:rsid w:val="007F1BC9"/>
    <w:rsid w:val="007F26AA"/>
    <w:rsid w:val="007F2A8D"/>
    <w:rsid w:val="007F38BC"/>
    <w:rsid w:val="007F519E"/>
    <w:rsid w:val="007F61CF"/>
    <w:rsid w:val="007F7A2D"/>
    <w:rsid w:val="00802206"/>
    <w:rsid w:val="00803E24"/>
    <w:rsid w:val="008043F6"/>
    <w:rsid w:val="00804D30"/>
    <w:rsid w:val="008116FB"/>
    <w:rsid w:val="00811A85"/>
    <w:rsid w:val="00813BED"/>
    <w:rsid w:val="0081432E"/>
    <w:rsid w:val="00814958"/>
    <w:rsid w:val="008156D6"/>
    <w:rsid w:val="00816983"/>
    <w:rsid w:val="00817668"/>
    <w:rsid w:val="00821E27"/>
    <w:rsid w:val="0082493A"/>
    <w:rsid w:val="00827D9F"/>
    <w:rsid w:val="00830696"/>
    <w:rsid w:val="008325A4"/>
    <w:rsid w:val="00832D4F"/>
    <w:rsid w:val="00833387"/>
    <w:rsid w:val="00833771"/>
    <w:rsid w:val="00835520"/>
    <w:rsid w:val="00835BC2"/>
    <w:rsid w:val="00835DEB"/>
    <w:rsid w:val="00837316"/>
    <w:rsid w:val="0083742B"/>
    <w:rsid w:val="00841DDB"/>
    <w:rsid w:val="00843C9E"/>
    <w:rsid w:val="008457B8"/>
    <w:rsid w:val="0084671B"/>
    <w:rsid w:val="00846FE4"/>
    <w:rsid w:val="008475C3"/>
    <w:rsid w:val="00850211"/>
    <w:rsid w:val="0085102C"/>
    <w:rsid w:val="00851341"/>
    <w:rsid w:val="00853C0D"/>
    <w:rsid w:val="00855D33"/>
    <w:rsid w:val="008563E4"/>
    <w:rsid w:val="00861AC1"/>
    <w:rsid w:val="00863AB8"/>
    <w:rsid w:val="00864A99"/>
    <w:rsid w:val="00865163"/>
    <w:rsid w:val="0086725D"/>
    <w:rsid w:val="008712B5"/>
    <w:rsid w:val="00871AAC"/>
    <w:rsid w:val="00873356"/>
    <w:rsid w:val="00873924"/>
    <w:rsid w:val="00875B69"/>
    <w:rsid w:val="00875EFC"/>
    <w:rsid w:val="00876D81"/>
    <w:rsid w:val="00877EE7"/>
    <w:rsid w:val="008815E7"/>
    <w:rsid w:val="00881968"/>
    <w:rsid w:val="008840AD"/>
    <w:rsid w:val="008840DF"/>
    <w:rsid w:val="00885253"/>
    <w:rsid w:val="00886613"/>
    <w:rsid w:val="008874ED"/>
    <w:rsid w:val="00890BDB"/>
    <w:rsid w:val="00890D28"/>
    <w:rsid w:val="008915DE"/>
    <w:rsid w:val="00892521"/>
    <w:rsid w:val="008925F5"/>
    <w:rsid w:val="00895AAC"/>
    <w:rsid w:val="008979E9"/>
    <w:rsid w:val="008A131F"/>
    <w:rsid w:val="008A22F8"/>
    <w:rsid w:val="008A5B7A"/>
    <w:rsid w:val="008A7790"/>
    <w:rsid w:val="008B0464"/>
    <w:rsid w:val="008B04AA"/>
    <w:rsid w:val="008B610E"/>
    <w:rsid w:val="008B6C6D"/>
    <w:rsid w:val="008B7001"/>
    <w:rsid w:val="008B73C5"/>
    <w:rsid w:val="008C003B"/>
    <w:rsid w:val="008C230C"/>
    <w:rsid w:val="008C23F2"/>
    <w:rsid w:val="008C3B0F"/>
    <w:rsid w:val="008C417C"/>
    <w:rsid w:val="008C45DA"/>
    <w:rsid w:val="008C4AC1"/>
    <w:rsid w:val="008C4EA3"/>
    <w:rsid w:val="008C59B9"/>
    <w:rsid w:val="008C6E87"/>
    <w:rsid w:val="008D2312"/>
    <w:rsid w:val="008D2B9A"/>
    <w:rsid w:val="008D52BF"/>
    <w:rsid w:val="008D7DB1"/>
    <w:rsid w:val="008E0B39"/>
    <w:rsid w:val="008E210B"/>
    <w:rsid w:val="008E3F5D"/>
    <w:rsid w:val="008E632B"/>
    <w:rsid w:val="008F1D19"/>
    <w:rsid w:val="008F22ED"/>
    <w:rsid w:val="008F4576"/>
    <w:rsid w:val="008F533E"/>
    <w:rsid w:val="00901917"/>
    <w:rsid w:val="00902F11"/>
    <w:rsid w:val="00904B19"/>
    <w:rsid w:val="00906DD1"/>
    <w:rsid w:val="0090796D"/>
    <w:rsid w:val="00907B95"/>
    <w:rsid w:val="00907FAD"/>
    <w:rsid w:val="00914FFD"/>
    <w:rsid w:val="00915A57"/>
    <w:rsid w:val="00915DA1"/>
    <w:rsid w:val="00915F9A"/>
    <w:rsid w:val="00916ABF"/>
    <w:rsid w:val="00920645"/>
    <w:rsid w:val="0092074A"/>
    <w:rsid w:val="009221AB"/>
    <w:rsid w:val="0092333B"/>
    <w:rsid w:val="0092767B"/>
    <w:rsid w:val="00927DFA"/>
    <w:rsid w:val="00932CCE"/>
    <w:rsid w:val="00932EFA"/>
    <w:rsid w:val="00935420"/>
    <w:rsid w:val="00937077"/>
    <w:rsid w:val="00937E59"/>
    <w:rsid w:val="00940063"/>
    <w:rsid w:val="0094160F"/>
    <w:rsid w:val="00941E2C"/>
    <w:rsid w:val="0094257F"/>
    <w:rsid w:val="00943213"/>
    <w:rsid w:val="00950AA5"/>
    <w:rsid w:val="009523E3"/>
    <w:rsid w:val="0095393B"/>
    <w:rsid w:val="0095677A"/>
    <w:rsid w:val="009607BC"/>
    <w:rsid w:val="00962B68"/>
    <w:rsid w:val="0096523C"/>
    <w:rsid w:val="00965B4A"/>
    <w:rsid w:val="0097021F"/>
    <w:rsid w:val="009714DF"/>
    <w:rsid w:val="00977296"/>
    <w:rsid w:val="009779B4"/>
    <w:rsid w:val="00977DDB"/>
    <w:rsid w:val="00980C7C"/>
    <w:rsid w:val="009842DC"/>
    <w:rsid w:val="00985C40"/>
    <w:rsid w:val="00985E27"/>
    <w:rsid w:val="009869B7"/>
    <w:rsid w:val="00991712"/>
    <w:rsid w:val="00992E71"/>
    <w:rsid w:val="0099408A"/>
    <w:rsid w:val="00994D4F"/>
    <w:rsid w:val="00996E4D"/>
    <w:rsid w:val="00997C1C"/>
    <w:rsid w:val="009A2416"/>
    <w:rsid w:val="009A25D9"/>
    <w:rsid w:val="009A282B"/>
    <w:rsid w:val="009A438D"/>
    <w:rsid w:val="009A56DB"/>
    <w:rsid w:val="009A5EE4"/>
    <w:rsid w:val="009A7236"/>
    <w:rsid w:val="009A72B9"/>
    <w:rsid w:val="009B37E1"/>
    <w:rsid w:val="009B399A"/>
    <w:rsid w:val="009B645C"/>
    <w:rsid w:val="009C2875"/>
    <w:rsid w:val="009C3C3B"/>
    <w:rsid w:val="009C4AD6"/>
    <w:rsid w:val="009D0076"/>
    <w:rsid w:val="009D1C53"/>
    <w:rsid w:val="009D37CD"/>
    <w:rsid w:val="009D690D"/>
    <w:rsid w:val="009D7A80"/>
    <w:rsid w:val="009E515A"/>
    <w:rsid w:val="009E542D"/>
    <w:rsid w:val="009E78D2"/>
    <w:rsid w:val="009E7B62"/>
    <w:rsid w:val="009F0350"/>
    <w:rsid w:val="009F08F4"/>
    <w:rsid w:val="009F10D3"/>
    <w:rsid w:val="009F23C3"/>
    <w:rsid w:val="009F3639"/>
    <w:rsid w:val="009F4D4B"/>
    <w:rsid w:val="009F55AA"/>
    <w:rsid w:val="009F5E4C"/>
    <w:rsid w:val="009F6185"/>
    <w:rsid w:val="009F7C93"/>
    <w:rsid w:val="00A0000B"/>
    <w:rsid w:val="00A01842"/>
    <w:rsid w:val="00A04164"/>
    <w:rsid w:val="00A0676E"/>
    <w:rsid w:val="00A0784E"/>
    <w:rsid w:val="00A14211"/>
    <w:rsid w:val="00A14F50"/>
    <w:rsid w:val="00A1543A"/>
    <w:rsid w:val="00A16FCA"/>
    <w:rsid w:val="00A1766B"/>
    <w:rsid w:val="00A177FB"/>
    <w:rsid w:val="00A201F0"/>
    <w:rsid w:val="00A2049A"/>
    <w:rsid w:val="00A22534"/>
    <w:rsid w:val="00A24985"/>
    <w:rsid w:val="00A249BB"/>
    <w:rsid w:val="00A2552E"/>
    <w:rsid w:val="00A261EA"/>
    <w:rsid w:val="00A2637F"/>
    <w:rsid w:val="00A27210"/>
    <w:rsid w:val="00A316B5"/>
    <w:rsid w:val="00A32873"/>
    <w:rsid w:val="00A33358"/>
    <w:rsid w:val="00A33AF9"/>
    <w:rsid w:val="00A342E0"/>
    <w:rsid w:val="00A352C9"/>
    <w:rsid w:val="00A354AB"/>
    <w:rsid w:val="00A35EBC"/>
    <w:rsid w:val="00A37F84"/>
    <w:rsid w:val="00A40390"/>
    <w:rsid w:val="00A410EB"/>
    <w:rsid w:val="00A41B36"/>
    <w:rsid w:val="00A431E0"/>
    <w:rsid w:val="00A4370F"/>
    <w:rsid w:val="00A440D8"/>
    <w:rsid w:val="00A441D7"/>
    <w:rsid w:val="00A44B89"/>
    <w:rsid w:val="00A44EBC"/>
    <w:rsid w:val="00A46D7F"/>
    <w:rsid w:val="00A46F8F"/>
    <w:rsid w:val="00A47599"/>
    <w:rsid w:val="00A50880"/>
    <w:rsid w:val="00A53198"/>
    <w:rsid w:val="00A55F98"/>
    <w:rsid w:val="00A55FD1"/>
    <w:rsid w:val="00A66321"/>
    <w:rsid w:val="00A66BB6"/>
    <w:rsid w:val="00A674F2"/>
    <w:rsid w:val="00A676A1"/>
    <w:rsid w:val="00A70817"/>
    <w:rsid w:val="00A71075"/>
    <w:rsid w:val="00A720F9"/>
    <w:rsid w:val="00A72D58"/>
    <w:rsid w:val="00A734FB"/>
    <w:rsid w:val="00A74D22"/>
    <w:rsid w:val="00A826B9"/>
    <w:rsid w:val="00A83F98"/>
    <w:rsid w:val="00A848F3"/>
    <w:rsid w:val="00A865A7"/>
    <w:rsid w:val="00A91BBA"/>
    <w:rsid w:val="00A92F2B"/>
    <w:rsid w:val="00A9303F"/>
    <w:rsid w:val="00A95217"/>
    <w:rsid w:val="00A95DF3"/>
    <w:rsid w:val="00A96F32"/>
    <w:rsid w:val="00AA1130"/>
    <w:rsid w:val="00AA3352"/>
    <w:rsid w:val="00AA4E6C"/>
    <w:rsid w:val="00AA6D51"/>
    <w:rsid w:val="00AA6D7E"/>
    <w:rsid w:val="00AA7918"/>
    <w:rsid w:val="00AB101D"/>
    <w:rsid w:val="00AB323E"/>
    <w:rsid w:val="00AB397E"/>
    <w:rsid w:val="00AB60BF"/>
    <w:rsid w:val="00AB6E21"/>
    <w:rsid w:val="00AB70D0"/>
    <w:rsid w:val="00AB73FA"/>
    <w:rsid w:val="00AC1846"/>
    <w:rsid w:val="00AC3BA7"/>
    <w:rsid w:val="00AD4860"/>
    <w:rsid w:val="00AD4985"/>
    <w:rsid w:val="00AD53A6"/>
    <w:rsid w:val="00AD609C"/>
    <w:rsid w:val="00AD62FE"/>
    <w:rsid w:val="00AE6868"/>
    <w:rsid w:val="00AE709B"/>
    <w:rsid w:val="00AE77BB"/>
    <w:rsid w:val="00AE7D9D"/>
    <w:rsid w:val="00AF050A"/>
    <w:rsid w:val="00AF2556"/>
    <w:rsid w:val="00AF4900"/>
    <w:rsid w:val="00AF6D27"/>
    <w:rsid w:val="00B02045"/>
    <w:rsid w:val="00B047C7"/>
    <w:rsid w:val="00B04B9C"/>
    <w:rsid w:val="00B05717"/>
    <w:rsid w:val="00B05A02"/>
    <w:rsid w:val="00B074EB"/>
    <w:rsid w:val="00B139F5"/>
    <w:rsid w:val="00B13C9A"/>
    <w:rsid w:val="00B1462C"/>
    <w:rsid w:val="00B20081"/>
    <w:rsid w:val="00B20665"/>
    <w:rsid w:val="00B22177"/>
    <w:rsid w:val="00B22361"/>
    <w:rsid w:val="00B22F49"/>
    <w:rsid w:val="00B23439"/>
    <w:rsid w:val="00B235FF"/>
    <w:rsid w:val="00B237A3"/>
    <w:rsid w:val="00B243F9"/>
    <w:rsid w:val="00B26C3A"/>
    <w:rsid w:val="00B3481A"/>
    <w:rsid w:val="00B3560B"/>
    <w:rsid w:val="00B37F47"/>
    <w:rsid w:val="00B418B5"/>
    <w:rsid w:val="00B41C1D"/>
    <w:rsid w:val="00B426BE"/>
    <w:rsid w:val="00B4280C"/>
    <w:rsid w:val="00B454C8"/>
    <w:rsid w:val="00B47185"/>
    <w:rsid w:val="00B47488"/>
    <w:rsid w:val="00B50E1C"/>
    <w:rsid w:val="00B514B6"/>
    <w:rsid w:val="00B53FA0"/>
    <w:rsid w:val="00B55103"/>
    <w:rsid w:val="00B55230"/>
    <w:rsid w:val="00B579EB"/>
    <w:rsid w:val="00B6055E"/>
    <w:rsid w:val="00B64E53"/>
    <w:rsid w:val="00B655CA"/>
    <w:rsid w:val="00B66C22"/>
    <w:rsid w:val="00B66D53"/>
    <w:rsid w:val="00B70D0E"/>
    <w:rsid w:val="00B74055"/>
    <w:rsid w:val="00B76A02"/>
    <w:rsid w:val="00B80021"/>
    <w:rsid w:val="00B8027C"/>
    <w:rsid w:val="00B802A0"/>
    <w:rsid w:val="00B83EDE"/>
    <w:rsid w:val="00B84EF9"/>
    <w:rsid w:val="00B868A1"/>
    <w:rsid w:val="00B86CCE"/>
    <w:rsid w:val="00B92BC5"/>
    <w:rsid w:val="00B937C3"/>
    <w:rsid w:val="00B93958"/>
    <w:rsid w:val="00B96260"/>
    <w:rsid w:val="00B971CC"/>
    <w:rsid w:val="00BA06FF"/>
    <w:rsid w:val="00BA16F7"/>
    <w:rsid w:val="00BA1F1B"/>
    <w:rsid w:val="00BA2E76"/>
    <w:rsid w:val="00BA7FDA"/>
    <w:rsid w:val="00BB1324"/>
    <w:rsid w:val="00BB200A"/>
    <w:rsid w:val="00BB3208"/>
    <w:rsid w:val="00BB3278"/>
    <w:rsid w:val="00BB35C2"/>
    <w:rsid w:val="00BB4E84"/>
    <w:rsid w:val="00BB6A28"/>
    <w:rsid w:val="00BB6C6C"/>
    <w:rsid w:val="00BB6FA8"/>
    <w:rsid w:val="00BB7E02"/>
    <w:rsid w:val="00BC2180"/>
    <w:rsid w:val="00BC3DD7"/>
    <w:rsid w:val="00BC41C6"/>
    <w:rsid w:val="00BC610E"/>
    <w:rsid w:val="00BC7DD2"/>
    <w:rsid w:val="00BD110E"/>
    <w:rsid w:val="00BD33F9"/>
    <w:rsid w:val="00BD7321"/>
    <w:rsid w:val="00BE09DC"/>
    <w:rsid w:val="00BE2077"/>
    <w:rsid w:val="00BE244F"/>
    <w:rsid w:val="00BE4F64"/>
    <w:rsid w:val="00BE5184"/>
    <w:rsid w:val="00BE5A4E"/>
    <w:rsid w:val="00BE7D54"/>
    <w:rsid w:val="00BF0184"/>
    <w:rsid w:val="00BF084C"/>
    <w:rsid w:val="00BF0F8A"/>
    <w:rsid w:val="00BF135C"/>
    <w:rsid w:val="00BF7E13"/>
    <w:rsid w:val="00C00F53"/>
    <w:rsid w:val="00C03041"/>
    <w:rsid w:val="00C037D1"/>
    <w:rsid w:val="00C042AB"/>
    <w:rsid w:val="00C04763"/>
    <w:rsid w:val="00C05DF6"/>
    <w:rsid w:val="00C110E9"/>
    <w:rsid w:val="00C13307"/>
    <w:rsid w:val="00C1357E"/>
    <w:rsid w:val="00C14216"/>
    <w:rsid w:val="00C20956"/>
    <w:rsid w:val="00C22947"/>
    <w:rsid w:val="00C23C63"/>
    <w:rsid w:val="00C23E52"/>
    <w:rsid w:val="00C24820"/>
    <w:rsid w:val="00C27AD9"/>
    <w:rsid w:val="00C27EE1"/>
    <w:rsid w:val="00C310C5"/>
    <w:rsid w:val="00C3209E"/>
    <w:rsid w:val="00C32CB4"/>
    <w:rsid w:val="00C335F5"/>
    <w:rsid w:val="00C33AE0"/>
    <w:rsid w:val="00C35664"/>
    <w:rsid w:val="00C35F01"/>
    <w:rsid w:val="00C360BB"/>
    <w:rsid w:val="00C37A24"/>
    <w:rsid w:val="00C40723"/>
    <w:rsid w:val="00C40F0C"/>
    <w:rsid w:val="00C41F6B"/>
    <w:rsid w:val="00C44F31"/>
    <w:rsid w:val="00C44FA7"/>
    <w:rsid w:val="00C46CAE"/>
    <w:rsid w:val="00C477B1"/>
    <w:rsid w:val="00C508FE"/>
    <w:rsid w:val="00C50CCD"/>
    <w:rsid w:val="00C527B7"/>
    <w:rsid w:val="00C56879"/>
    <w:rsid w:val="00C57194"/>
    <w:rsid w:val="00C6322A"/>
    <w:rsid w:val="00C66622"/>
    <w:rsid w:val="00C70CBE"/>
    <w:rsid w:val="00C71AA1"/>
    <w:rsid w:val="00C72780"/>
    <w:rsid w:val="00C73918"/>
    <w:rsid w:val="00C73D01"/>
    <w:rsid w:val="00C74741"/>
    <w:rsid w:val="00C75DD0"/>
    <w:rsid w:val="00C802A5"/>
    <w:rsid w:val="00C80816"/>
    <w:rsid w:val="00C84370"/>
    <w:rsid w:val="00C85B45"/>
    <w:rsid w:val="00C8784A"/>
    <w:rsid w:val="00C905AA"/>
    <w:rsid w:val="00C9179E"/>
    <w:rsid w:val="00C91B65"/>
    <w:rsid w:val="00C93045"/>
    <w:rsid w:val="00C94C95"/>
    <w:rsid w:val="00C95613"/>
    <w:rsid w:val="00C95A0E"/>
    <w:rsid w:val="00C97382"/>
    <w:rsid w:val="00CA2212"/>
    <w:rsid w:val="00CA6FB6"/>
    <w:rsid w:val="00CB02EF"/>
    <w:rsid w:val="00CB09A8"/>
    <w:rsid w:val="00CB3038"/>
    <w:rsid w:val="00CB3318"/>
    <w:rsid w:val="00CB42EE"/>
    <w:rsid w:val="00CB7B4A"/>
    <w:rsid w:val="00CB7CFE"/>
    <w:rsid w:val="00CC2436"/>
    <w:rsid w:val="00CC33D9"/>
    <w:rsid w:val="00CC3BA7"/>
    <w:rsid w:val="00CC5BB7"/>
    <w:rsid w:val="00CC74A5"/>
    <w:rsid w:val="00CD2AE2"/>
    <w:rsid w:val="00CD3381"/>
    <w:rsid w:val="00CD4C84"/>
    <w:rsid w:val="00CD6608"/>
    <w:rsid w:val="00CD71DC"/>
    <w:rsid w:val="00CD7C48"/>
    <w:rsid w:val="00CE12D8"/>
    <w:rsid w:val="00CE1D72"/>
    <w:rsid w:val="00CE4D80"/>
    <w:rsid w:val="00CE4FAA"/>
    <w:rsid w:val="00CE51B4"/>
    <w:rsid w:val="00CE68BF"/>
    <w:rsid w:val="00CE73EC"/>
    <w:rsid w:val="00CF1CC9"/>
    <w:rsid w:val="00CF235F"/>
    <w:rsid w:val="00CF4907"/>
    <w:rsid w:val="00CF59AB"/>
    <w:rsid w:val="00CF5E5E"/>
    <w:rsid w:val="00D04B50"/>
    <w:rsid w:val="00D0691D"/>
    <w:rsid w:val="00D06ACD"/>
    <w:rsid w:val="00D07ED3"/>
    <w:rsid w:val="00D1107F"/>
    <w:rsid w:val="00D11EF4"/>
    <w:rsid w:val="00D14C42"/>
    <w:rsid w:val="00D1559E"/>
    <w:rsid w:val="00D22576"/>
    <w:rsid w:val="00D229B7"/>
    <w:rsid w:val="00D239FD"/>
    <w:rsid w:val="00D26D1F"/>
    <w:rsid w:val="00D31358"/>
    <w:rsid w:val="00D3363E"/>
    <w:rsid w:val="00D353AA"/>
    <w:rsid w:val="00D367CA"/>
    <w:rsid w:val="00D372DC"/>
    <w:rsid w:val="00D40B00"/>
    <w:rsid w:val="00D41414"/>
    <w:rsid w:val="00D41913"/>
    <w:rsid w:val="00D42B20"/>
    <w:rsid w:val="00D42C6F"/>
    <w:rsid w:val="00D441FB"/>
    <w:rsid w:val="00D458AA"/>
    <w:rsid w:val="00D465A0"/>
    <w:rsid w:val="00D46D20"/>
    <w:rsid w:val="00D470CC"/>
    <w:rsid w:val="00D47243"/>
    <w:rsid w:val="00D47E72"/>
    <w:rsid w:val="00D508BC"/>
    <w:rsid w:val="00D50DB4"/>
    <w:rsid w:val="00D54AEA"/>
    <w:rsid w:val="00D5504E"/>
    <w:rsid w:val="00D60E60"/>
    <w:rsid w:val="00D6196E"/>
    <w:rsid w:val="00D63169"/>
    <w:rsid w:val="00D63947"/>
    <w:rsid w:val="00D66644"/>
    <w:rsid w:val="00D71539"/>
    <w:rsid w:val="00D71858"/>
    <w:rsid w:val="00D7186A"/>
    <w:rsid w:val="00D74B8B"/>
    <w:rsid w:val="00D7561E"/>
    <w:rsid w:val="00D75990"/>
    <w:rsid w:val="00D77F3D"/>
    <w:rsid w:val="00D81E47"/>
    <w:rsid w:val="00D854BA"/>
    <w:rsid w:val="00D877F7"/>
    <w:rsid w:val="00D900B7"/>
    <w:rsid w:val="00D9113D"/>
    <w:rsid w:val="00D91355"/>
    <w:rsid w:val="00D92715"/>
    <w:rsid w:val="00D92EAF"/>
    <w:rsid w:val="00D93D8D"/>
    <w:rsid w:val="00D94BA7"/>
    <w:rsid w:val="00D95511"/>
    <w:rsid w:val="00D95B34"/>
    <w:rsid w:val="00D976E8"/>
    <w:rsid w:val="00D97B5C"/>
    <w:rsid w:val="00DA01E0"/>
    <w:rsid w:val="00DA16F4"/>
    <w:rsid w:val="00DA37C8"/>
    <w:rsid w:val="00DA6D6A"/>
    <w:rsid w:val="00DA787A"/>
    <w:rsid w:val="00DA7C4F"/>
    <w:rsid w:val="00DB0322"/>
    <w:rsid w:val="00DB2EF9"/>
    <w:rsid w:val="00DB5A15"/>
    <w:rsid w:val="00DB69D2"/>
    <w:rsid w:val="00DB69DF"/>
    <w:rsid w:val="00DB7E46"/>
    <w:rsid w:val="00DC2584"/>
    <w:rsid w:val="00DC2E80"/>
    <w:rsid w:val="00DC380D"/>
    <w:rsid w:val="00DC4472"/>
    <w:rsid w:val="00DC4876"/>
    <w:rsid w:val="00DC6087"/>
    <w:rsid w:val="00DC7812"/>
    <w:rsid w:val="00DD0A4D"/>
    <w:rsid w:val="00DD1685"/>
    <w:rsid w:val="00DD205C"/>
    <w:rsid w:val="00DD34E1"/>
    <w:rsid w:val="00DD7C96"/>
    <w:rsid w:val="00DE32CC"/>
    <w:rsid w:val="00DE47FF"/>
    <w:rsid w:val="00DE49F2"/>
    <w:rsid w:val="00DE52FA"/>
    <w:rsid w:val="00DE5435"/>
    <w:rsid w:val="00DE5EAF"/>
    <w:rsid w:val="00DE61BB"/>
    <w:rsid w:val="00DF130A"/>
    <w:rsid w:val="00DF1653"/>
    <w:rsid w:val="00DF1730"/>
    <w:rsid w:val="00DF1ECE"/>
    <w:rsid w:val="00DF4564"/>
    <w:rsid w:val="00DF4B4F"/>
    <w:rsid w:val="00DF4BAD"/>
    <w:rsid w:val="00DF5BA9"/>
    <w:rsid w:val="00DF659F"/>
    <w:rsid w:val="00DF680A"/>
    <w:rsid w:val="00DF739E"/>
    <w:rsid w:val="00DF75BB"/>
    <w:rsid w:val="00DF7676"/>
    <w:rsid w:val="00E015AA"/>
    <w:rsid w:val="00E01E82"/>
    <w:rsid w:val="00E051EE"/>
    <w:rsid w:val="00E058B7"/>
    <w:rsid w:val="00E10462"/>
    <w:rsid w:val="00E105E6"/>
    <w:rsid w:val="00E15DF5"/>
    <w:rsid w:val="00E20B77"/>
    <w:rsid w:val="00E2235B"/>
    <w:rsid w:val="00E2333D"/>
    <w:rsid w:val="00E246DD"/>
    <w:rsid w:val="00E259BA"/>
    <w:rsid w:val="00E33FCE"/>
    <w:rsid w:val="00E356DF"/>
    <w:rsid w:val="00E35D92"/>
    <w:rsid w:val="00E3606D"/>
    <w:rsid w:val="00E41BAA"/>
    <w:rsid w:val="00E437DB"/>
    <w:rsid w:val="00E45922"/>
    <w:rsid w:val="00E46C22"/>
    <w:rsid w:val="00E5038A"/>
    <w:rsid w:val="00E50D5A"/>
    <w:rsid w:val="00E520D6"/>
    <w:rsid w:val="00E52215"/>
    <w:rsid w:val="00E522A9"/>
    <w:rsid w:val="00E5242E"/>
    <w:rsid w:val="00E52B9E"/>
    <w:rsid w:val="00E565EA"/>
    <w:rsid w:val="00E6445E"/>
    <w:rsid w:val="00E647A9"/>
    <w:rsid w:val="00E64866"/>
    <w:rsid w:val="00E70631"/>
    <w:rsid w:val="00E70D6F"/>
    <w:rsid w:val="00E7138D"/>
    <w:rsid w:val="00E73414"/>
    <w:rsid w:val="00E7427A"/>
    <w:rsid w:val="00E754F0"/>
    <w:rsid w:val="00E77196"/>
    <w:rsid w:val="00E779F0"/>
    <w:rsid w:val="00E800B1"/>
    <w:rsid w:val="00E82E6D"/>
    <w:rsid w:val="00E83A83"/>
    <w:rsid w:val="00E84040"/>
    <w:rsid w:val="00E8406C"/>
    <w:rsid w:val="00E84C5C"/>
    <w:rsid w:val="00E86D63"/>
    <w:rsid w:val="00E908F1"/>
    <w:rsid w:val="00E9233B"/>
    <w:rsid w:val="00E93AE8"/>
    <w:rsid w:val="00E975B5"/>
    <w:rsid w:val="00EA18EE"/>
    <w:rsid w:val="00EA3055"/>
    <w:rsid w:val="00EB1BE9"/>
    <w:rsid w:val="00EB3A06"/>
    <w:rsid w:val="00EB3D4F"/>
    <w:rsid w:val="00EB4989"/>
    <w:rsid w:val="00EB7B57"/>
    <w:rsid w:val="00EC7D3E"/>
    <w:rsid w:val="00ED031C"/>
    <w:rsid w:val="00ED14E4"/>
    <w:rsid w:val="00ED1609"/>
    <w:rsid w:val="00ED242A"/>
    <w:rsid w:val="00ED716E"/>
    <w:rsid w:val="00EE2C49"/>
    <w:rsid w:val="00EE5B93"/>
    <w:rsid w:val="00EE68F5"/>
    <w:rsid w:val="00EE7563"/>
    <w:rsid w:val="00F015B4"/>
    <w:rsid w:val="00F02C91"/>
    <w:rsid w:val="00F02EB1"/>
    <w:rsid w:val="00F05E39"/>
    <w:rsid w:val="00F10E03"/>
    <w:rsid w:val="00F112A2"/>
    <w:rsid w:val="00F1242D"/>
    <w:rsid w:val="00F13A7D"/>
    <w:rsid w:val="00F142F2"/>
    <w:rsid w:val="00F15A84"/>
    <w:rsid w:val="00F15CFA"/>
    <w:rsid w:val="00F16E83"/>
    <w:rsid w:val="00F2015C"/>
    <w:rsid w:val="00F20436"/>
    <w:rsid w:val="00F20C8D"/>
    <w:rsid w:val="00F21D50"/>
    <w:rsid w:val="00F234F9"/>
    <w:rsid w:val="00F25B1D"/>
    <w:rsid w:val="00F26CDA"/>
    <w:rsid w:val="00F30A79"/>
    <w:rsid w:val="00F341D3"/>
    <w:rsid w:val="00F350F8"/>
    <w:rsid w:val="00F3521E"/>
    <w:rsid w:val="00F378B5"/>
    <w:rsid w:val="00F402EA"/>
    <w:rsid w:val="00F40818"/>
    <w:rsid w:val="00F42862"/>
    <w:rsid w:val="00F42FE4"/>
    <w:rsid w:val="00F436EF"/>
    <w:rsid w:val="00F46CAF"/>
    <w:rsid w:val="00F47096"/>
    <w:rsid w:val="00F478F5"/>
    <w:rsid w:val="00F5240D"/>
    <w:rsid w:val="00F56303"/>
    <w:rsid w:val="00F56971"/>
    <w:rsid w:val="00F56CE9"/>
    <w:rsid w:val="00F6035A"/>
    <w:rsid w:val="00F632D7"/>
    <w:rsid w:val="00F634DC"/>
    <w:rsid w:val="00F64E09"/>
    <w:rsid w:val="00F6565B"/>
    <w:rsid w:val="00F66500"/>
    <w:rsid w:val="00F66775"/>
    <w:rsid w:val="00F71C98"/>
    <w:rsid w:val="00F748BB"/>
    <w:rsid w:val="00F74C87"/>
    <w:rsid w:val="00F74C91"/>
    <w:rsid w:val="00F76561"/>
    <w:rsid w:val="00F766CF"/>
    <w:rsid w:val="00F80497"/>
    <w:rsid w:val="00F8201D"/>
    <w:rsid w:val="00F8202C"/>
    <w:rsid w:val="00F82D8A"/>
    <w:rsid w:val="00F83407"/>
    <w:rsid w:val="00F84D1A"/>
    <w:rsid w:val="00F85F46"/>
    <w:rsid w:val="00F86BEB"/>
    <w:rsid w:val="00F87AA3"/>
    <w:rsid w:val="00F9266D"/>
    <w:rsid w:val="00F927CC"/>
    <w:rsid w:val="00F9306E"/>
    <w:rsid w:val="00F95568"/>
    <w:rsid w:val="00FA009B"/>
    <w:rsid w:val="00FA0245"/>
    <w:rsid w:val="00FB0360"/>
    <w:rsid w:val="00FB3DF4"/>
    <w:rsid w:val="00FB45E5"/>
    <w:rsid w:val="00FB4AF2"/>
    <w:rsid w:val="00FB719B"/>
    <w:rsid w:val="00FC1350"/>
    <w:rsid w:val="00FC21CA"/>
    <w:rsid w:val="00FC3844"/>
    <w:rsid w:val="00FC465B"/>
    <w:rsid w:val="00FC5505"/>
    <w:rsid w:val="00FC6176"/>
    <w:rsid w:val="00FD13BB"/>
    <w:rsid w:val="00FD6D38"/>
    <w:rsid w:val="00FD6FC2"/>
    <w:rsid w:val="00FE0506"/>
    <w:rsid w:val="00FE0558"/>
    <w:rsid w:val="00FE4836"/>
    <w:rsid w:val="00FE495B"/>
    <w:rsid w:val="00FE4C0C"/>
    <w:rsid w:val="00FE5DD8"/>
    <w:rsid w:val="00FE6949"/>
    <w:rsid w:val="00FE70AF"/>
    <w:rsid w:val="00FE77C7"/>
    <w:rsid w:val="00FF0E4C"/>
    <w:rsid w:val="00FF1001"/>
    <w:rsid w:val="00FF25BD"/>
    <w:rsid w:val="00FF2F00"/>
    <w:rsid w:val="00FF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1689E"/>
    <w:pPr>
      <w:spacing w:after="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uiPriority w:val="99"/>
    <w:rsid w:val="0001689E"/>
    <w:rPr>
      <w:rFonts w:ascii="Times New Roman" w:eastAsia="Calibri" w:hAnsi="Times New Roman" w:cs="Times New Roman"/>
      <w:sz w:val="24"/>
      <w:szCs w:val="20"/>
    </w:rPr>
  </w:style>
  <w:style w:type="paragraph" w:styleId="FootnoteText">
    <w:name w:val="footnote text"/>
    <w:basedOn w:val="Normal"/>
    <w:link w:val="FootnoteTextChar"/>
    <w:uiPriority w:val="99"/>
    <w:semiHidden/>
    <w:unhideWhenUsed/>
    <w:rsid w:val="00016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89E"/>
    <w:rPr>
      <w:sz w:val="20"/>
      <w:szCs w:val="20"/>
    </w:rPr>
  </w:style>
  <w:style w:type="character" w:styleId="FootnoteReference">
    <w:name w:val="footnote reference"/>
    <w:basedOn w:val="DefaultParagraphFont"/>
    <w:uiPriority w:val="99"/>
    <w:semiHidden/>
    <w:unhideWhenUsed/>
    <w:rsid w:val="0001689E"/>
    <w:rPr>
      <w:vertAlign w:val="superscript"/>
    </w:rPr>
  </w:style>
  <w:style w:type="table" w:styleId="TableGrid">
    <w:name w:val="Table Grid"/>
    <w:basedOn w:val="TableNormal"/>
    <w:uiPriority w:val="59"/>
    <w:rsid w:val="00D4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D40B00"/>
    <w:pPr>
      <w:spacing w:after="120"/>
    </w:pPr>
    <w:rPr>
      <w:sz w:val="16"/>
      <w:szCs w:val="16"/>
    </w:rPr>
  </w:style>
  <w:style w:type="character" w:customStyle="1" w:styleId="BodyText3Char">
    <w:name w:val="Body Text 3 Char"/>
    <w:basedOn w:val="DefaultParagraphFont"/>
    <w:link w:val="BodyText3"/>
    <w:uiPriority w:val="99"/>
    <w:rsid w:val="00D40B00"/>
    <w:rPr>
      <w:sz w:val="16"/>
      <w:szCs w:val="16"/>
    </w:rPr>
  </w:style>
  <w:style w:type="paragraph" w:styleId="BalloonText">
    <w:name w:val="Balloon Text"/>
    <w:basedOn w:val="Normal"/>
    <w:link w:val="BalloonTextChar"/>
    <w:uiPriority w:val="99"/>
    <w:semiHidden/>
    <w:unhideWhenUsed/>
    <w:rsid w:val="00D40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00"/>
    <w:rPr>
      <w:rFonts w:ascii="Tahoma" w:hAnsi="Tahoma" w:cs="Tahoma"/>
      <w:sz w:val="16"/>
      <w:szCs w:val="16"/>
    </w:rPr>
  </w:style>
  <w:style w:type="character" w:styleId="CommentReference">
    <w:name w:val="annotation reference"/>
    <w:basedOn w:val="DefaultParagraphFont"/>
    <w:uiPriority w:val="99"/>
    <w:semiHidden/>
    <w:unhideWhenUsed/>
    <w:rsid w:val="00D97B5C"/>
    <w:rPr>
      <w:sz w:val="16"/>
      <w:szCs w:val="16"/>
    </w:rPr>
  </w:style>
  <w:style w:type="paragraph" w:styleId="CommentText">
    <w:name w:val="annotation text"/>
    <w:basedOn w:val="Normal"/>
    <w:link w:val="CommentTextChar"/>
    <w:uiPriority w:val="99"/>
    <w:unhideWhenUsed/>
    <w:rsid w:val="00D97B5C"/>
    <w:pPr>
      <w:spacing w:line="240" w:lineRule="auto"/>
    </w:pPr>
    <w:rPr>
      <w:sz w:val="20"/>
      <w:szCs w:val="20"/>
    </w:rPr>
  </w:style>
  <w:style w:type="character" w:customStyle="1" w:styleId="CommentTextChar">
    <w:name w:val="Comment Text Char"/>
    <w:basedOn w:val="DefaultParagraphFont"/>
    <w:link w:val="CommentText"/>
    <w:uiPriority w:val="99"/>
    <w:rsid w:val="00D97B5C"/>
    <w:rPr>
      <w:sz w:val="20"/>
      <w:szCs w:val="20"/>
    </w:rPr>
  </w:style>
  <w:style w:type="paragraph" w:styleId="Header">
    <w:name w:val="header"/>
    <w:basedOn w:val="Normal"/>
    <w:link w:val="HeaderChar"/>
    <w:uiPriority w:val="99"/>
    <w:semiHidden/>
    <w:unhideWhenUsed/>
    <w:rsid w:val="000E73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73FD"/>
  </w:style>
  <w:style w:type="paragraph" w:styleId="Footer">
    <w:name w:val="footer"/>
    <w:basedOn w:val="Normal"/>
    <w:link w:val="FooterChar"/>
    <w:uiPriority w:val="99"/>
    <w:unhideWhenUsed/>
    <w:rsid w:val="000E7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FD"/>
  </w:style>
  <w:style w:type="character" w:styleId="Emphasis">
    <w:name w:val="Emphasis"/>
    <w:basedOn w:val="DefaultParagraphFont"/>
    <w:uiPriority w:val="20"/>
    <w:qFormat/>
    <w:rsid w:val="006C16AA"/>
    <w:rPr>
      <w:i/>
      <w:iCs/>
    </w:rPr>
  </w:style>
  <w:style w:type="character" w:customStyle="1" w:styleId="apple-converted-space">
    <w:name w:val="apple-converted-space"/>
    <w:basedOn w:val="DefaultParagraphFont"/>
    <w:rsid w:val="006C16AA"/>
  </w:style>
  <w:style w:type="character" w:customStyle="1" w:styleId="personname">
    <w:name w:val="person_name"/>
    <w:basedOn w:val="DefaultParagraphFont"/>
    <w:rsid w:val="006C16AA"/>
  </w:style>
  <w:style w:type="character" w:styleId="Hyperlink">
    <w:name w:val="Hyperlink"/>
    <w:basedOn w:val="DefaultParagraphFont"/>
    <w:uiPriority w:val="99"/>
    <w:unhideWhenUsed/>
    <w:rsid w:val="0005552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C140A"/>
    <w:rPr>
      <w:b/>
      <w:bCs/>
    </w:rPr>
  </w:style>
  <w:style w:type="character" w:customStyle="1" w:styleId="CommentSubjectChar">
    <w:name w:val="Comment Subject Char"/>
    <w:basedOn w:val="CommentTextChar"/>
    <w:link w:val="CommentSubject"/>
    <w:uiPriority w:val="99"/>
    <w:semiHidden/>
    <w:rsid w:val="002C140A"/>
    <w:rPr>
      <w:b/>
      <w:bCs/>
      <w:sz w:val="20"/>
      <w:szCs w:val="20"/>
    </w:rPr>
  </w:style>
  <w:style w:type="paragraph" w:styleId="Revision">
    <w:name w:val="Revision"/>
    <w:hidden/>
    <w:uiPriority w:val="99"/>
    <w:semiHidden/>
    <w:rsid w:val="002C140A"/>
    <w:pPr>
      <w:spacing w:after="0" w:line="240" w:lineRule="auto"/>
    </w:pPr>
  </w:style>
  <w:style w:type="paragraph" w:styleId="ListParagraph">
    <w:name w:val="List Paragraph"/>
    <w:basedOn w:val="Normal"/>
    <w:uiPriority w:val="34"/>
    <w:qFormat/>
    <w:rsid w:val="00A352C9"/>
    <w:pPr>
      <w:ind w:left="720"/>
      <w:contextualSpacing/>
    </w:pPr>
  </w:style>
  <w:style w:type="paragraph" w:styleId="EndnoteText">
    <w:name w:val="endnote text"/>
    <w:basedOn w:val="Normal"/>
    <w:link w:val="EndnoteTextChar"/>
    <w:uiPriority w:val="99"/>
    <w:semiHidden/>
    <w:unhideWhenUsed/>
    <w:rsid w:val="00837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42B"/>
    <w:rPr>
      <w:sz w:val="20"/>
      <w:szCs w:val="20"/>
    </w:rPr>
  </w:style>
  <w:style w:type="character" w:styleId="EndnoteReference">
    <w:name w:val="endnote reference"/>
    <w:basedOn w:val="DefaultParagraphFont"/>
    <w:uiPriority w:val="99"/>
    <w:semiHidden/>
    <w:unhideWhenUsed/>
    <w:rsid w:val="0083742B"/>
    <w:rPr>
      <w:vertAlign w:val="superscript"/>
    </w:rPr>
  </w:style>
  <w:style w:type="character" w:styleId="PlaceholderText">
    <w:name w:val="Placeholder Text"/>
    <w:basedOn w:val="DefaultParagraphFont"/>
    <w:uiPriority w:val="99"/>
    <w:semiHidden/>
    <w:rsid w:val="007B39BA"/>
    <w:rPr>
      <w:color w:val="808080"/>
    </w:rPr>
  </w:style>
  <w:style w:type="character" w:customStyle="1" w:styleId="contribdegrees">
    <w:name w:val="contribdegrees"/>
    <w:basedOn w:val="DefaultParagraphFont"/>
    <w:rsid w:val="007F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1689E"/>
    <w:pPr>
      <w:spacing w:after="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uiPriority w:val="99"/>
    <w:rsid w:val="0001689E"/>
    <w:rPr>
      <w:rFonts w:ascii="Times New Roman" w:eastAsia="Calibri" w:hAnsi="Times New Roman" w:cs="Times New Roman"/>
      <w:sz w:val="24"/>
      <w:szCs w:val="20"/>
    </w:rPr>
  </w:style>
  <w:style w:type="paragraph" w:styleId="FootnoteText">
    <w:name w:val="footnote text"/>
    <w:basedOn w:val="Normal"/>
    <w:link w:val="FootnoteTextChar"/>
    <w:uiPriority w:val="99"/>
    <w:semiHidden/>
    <w:unhideWhenUsed/>
    <w:rsid w:val="00016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89E"/>
    <w:rPr>
      <w:sz w:val="20"/>
      <w:szCs w:val="20"/>
    </w:rPr>
  </w:style>
  <w:style w:type="character" w:styleId="FootnoteReference">
    <w:name w:val="footnote reference"/>
    <w:basedOn w:val="DefaultParagraphFont"/>
    <w:uiPriority w:val="99"/>
    <w:semiHidden/>
    <w:unhideWhenUsed/>
    <w:rsid w:val="0001689E"/>
    <w:rPr>
      <w:vertAlign w:val="superscript"/>
    </w:rPr>
  </w:style>
  <w:style w:type="table" w:styleId="TableGrid">
    <w:name w:val="Table Grid"/>
    <w:basedOn w:val="TableNormal"/>
    <w:uiPriority w:val="59"/>
    <w:rsid w:val="00D4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D40B00"/>
    <w:pPr>
      <w:spacing w:after="120"/>
    </w:pPr>
    <w:rPr>
      <w:sz w:val="16"/>
      <w:szCs w:val="16"/>
    </w:rPr>
  </w:style>
  <w:style w:type="character" w:customStyle="1" w:styleId="BodyText3Char">
    <w:name w:val="Body Text 3 Char"/>
    <w:basedOn w:val="DefaultParagraphFont"/>
    <w:link w:val="BodyText3"/>
    <w:uiPriority w:val="99"/>
    <w:rsid w:val="00D40B00"/>
    <w:rPr>
      <w:sz w:val="16"/>
      <w:szCs w:val="16"/>
    </w:rPr>
  </w:style>
  <w:style w:type="paragraph" w:styleId="BalloonText">
    <w:name w:val="Balloon Text"/>
    <w:basedOn w:val="Normal"/>
    <w:link w:val="BalloonTextChar"/>
    <w:uiPriority w:val="99"/>
    <w:semiHidden/>
    <w:unhideWhenUsed/>
    <w:rsid w:val="00D40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00"/>
    <w:rPr>
      <w:rFonts w:ascii="Tahoma" w:hAnsi="Tahoma" w:cs="Tahoma"/>
      <w:sz w:val="16"/>
      <w:szCs w:val="16"/>
    </w:rPr>
  </w:style>
  <w:style w:type="character" w:styleId="CommentReference">
    <w:name w:val="annotation reference"/>
    <w:basedOn w:val="DefaultParagraphFont"/>
    <w:uiPriority w:val="99"/>
    <w:semiHidden/>
    <w:unhideWhenUsed/>
    <w:rsid w:val="00D97B5C"/>
    <w:rPr>
      <w:sz w:val="16"/>
      <w:szCs w:val="16"/>
    </w:rPr>
  </w:style>
  <w:style w:type="paragraph" w:styleId="CommentText">
    <w:name w:val="annotation text"/>
    <w:basedOn w:val="Normal"/>
    <w:link w:val="CommentTextChar"/>
    <w:uiPriority w:val="99"/>
    <w:unhideWhenUsed/>
    <w:rsid w:val="00D97B5C"/>
    <w:pPr>
      <w:spacing w:line="240" w:lineRule="auto"/>
    </w:pPr>
    <w:rPr>
      <w:sz w:val="20"/>
      <w:szCs w:val="20"/>
    </w:rPr>
  </w:style>
  <w:style w:type="character" w:customStyle="1" w:styleId="CommentTextChar">
    <w:name w:val="Comment Text Char"/>
    <w:basedOn w:val="DefaultParagraphFont"/>
    <w:link w:val="CommentText"/>
    <w:uiPriority w:val="99"/>
    <w:rsid w:val="00D97B5C"/>
    <w:rPr>
      <w:sz w:val="20"/>
      <w:szCs w:val="20"/>
    </w:rPr>
  </w:style>
  <w:style w:type="paragraph" w:styleId="Header">
    <w:name w:val="header"/>
    <w:basedOn w:val="Normal"/>
    <w:link w:val="HeaderChar"/>
    <w:uiPriority w:val="99"/>
    <w:semiHidden/>
    <w:unhideWhenUsed/>
    <w:rsid w:val="000E73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73FD"/>
  </w:style>
  <w:style w:type="paragraph" w:styleId="Footer">
    <w:name w:val="footer"/>
    <w:basedOn w:val="Normal"/>
    <w:link w:val="FooterChar"/>
    <w:uiPriority w:val="99"/>
    <w:unhideWhenUsed/>
    <w:rsid w:val="000E7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FD"/>
  </w:style>
  <w:style w:type="character" w:styleId="Emphasis">
    <w:name w:val="Emphasis"/>
    <w:basedOn w:val="DefaultParagraphFont"/>
    <w:uiPriority w:val="20"/>
    <w:qFormat/>
    <w:rsid w:val="006C16AA"/>
    <w:rPr>
      <w:i/>
      <w:iCs/>
    </w:rPr>
  </w:style>
  <w:style w:type="character" w:customStyle="1" w:styleId="apple-converted-space">
    <w:name w:val="apple-converted-space"/>
    <w:basedOn w:val="DefaultParagraphFont"/>
    <w:rsid w:val="006C16AA"/>
  </w:style>
  <w:style w:type="character" w:customStyle="1" w:styleId="personname">
    <w:name w:val="person_name"/>
    <w:basedOn w:val="DefaultParagraphFont"/>
    <w:rsid w:val="006C16AA"/>
  </w:style>
  <w:style w:type="character" w:styleId="Hyperlink">
    <w:name w:val="Hyperlink"/>
    <w:basedOn w:val="DefaultParagraphFont"/>
    <w:uiPriority w:val="99"/>
    <w:unhideWhenUsed/>
    <w:rsid w:val="0005552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C140A"/>
    <w:rPr>
      <w:b/>
      <w:bCs/>
    </w:rPr>
  </w:style>
  <w:style w:type="character" w:customStyle="1" w:styleId="CommentSubjectChar">
    <w:name w:val="Comment Subject Char"/>
    <w:basedOn w:val="CommentTextChar"/>
    <w:link w:val="CommentSubject"/>
    <w:uiPriority w:val="99"/>
    <w:semiHidden/>
    <w:rsid w:val="002C140A"/>
    <w:rPr>
      <w:b/>
      <w:bCs/>
      <w:sz w:val="20"/>
      <w:szCs w:val="20"/>
    </w:rPr>
  </w:style>
  <w:style w:type="paragraph" w:styleId="Revision">
    <w:name w:val="Revision"/>
    <w:hidden/>
    <w:uiPriority w:val="99"/>
    <w:semiHidden/>
    <w:rsid w:val="002C140A"/>
    <w:pPr>
      <w:spacing w:after="0" w:line="240" w:lineRule="auto"/>
    </w:pPr>
  </w:style>
  <w:style w:type="paragraph" w:styleId="ListParagraph">
    <w:name w:val="List Paragraph"/>
    <w:basedOn w:val="Normal"/>
    <w:uiPriority w:val="34"/>
    <w:qFormat/>
    <w:rsid w:val="00A352C9"/>
    <w:pPr>
      <w:ind w:left="720"/>
      <w:contextualSpacing/>
    </w:pPr>
  </w:style>
  <w:style w:type="paragraph" w:styleId="EndnoteText">
    <w:name w:val="endnote text"/>
    <w:basedOn w:val="Normal"/>
    <w:link w:val="EndnoteTextChar"/>
    <w:uiPriority w:val="99"/>
    <w:semiHidden/>
    <w:unhideWhenUsed/>
    <w:rsid w:val="00837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42B"/>
    <w:rPr>
      <w:sz w:val="20"/>
      <w:szCs w:val="20"/>
    </w:rPr>
  </w:style>
  <w:style w:type="character" w:styleId="EndnoteReference">
    <w:name w:val="endnote reference"/>
    <w:basedOn w:val="DefaultParagraphFont"/>
    <w:uiPriority w:val="99"/>
    <w:semiHidden/>
    <w:unhideWhenUsed/>
    <w:rsid w:val="0083742B"/>
    <w:rPr>
      <w:vertAlign w:val="superscript"/>
    </w:rPr>
  </w:style>
  <w:style w:type="character" w:styleId="PlaceholderText">
    <w:name w:val="Placeholder Text"/>
    <w:basedOn w:val="DefaultParagraphFont"/>
    <w:uiPriority w:val="99"/>
    <w:semiHidden/>
    <w:rsid w:val="007B3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9472">
      <w:bodyDiv w:val="1"/>
      <w:marLeft w:val="0"/>
      <w:marRight w:val="0"/>
      <w:marTop w:val="0"/>
      <w:marBottom w:val="0"/>
      <w:divBdr>
        <w:top w:val="none" w:sz="0" w:space="0" w:color="auto"/>
        <w:left w:val="none" w:sz="0" w:space="0" w:color="auto"/>
        <w:bottom w:val="none" w:sz="0" w:space="0" w:color="auto"/>
        <w:right w:val="none" w:sz="0" w:space="0" w:color="auto"/>
      </w:divBdr>
    </w:div>
    <w:div w:id="639843460">
      <w:bodyDiv w:val="1"/>
      <w:marLeft w:val="0"/>
      <w:marRight w:val="0"/>
      <w:marTop w:val="0"/>
      <w:marBottom w:val="0"/>
      <w:divBdr>
        <w:top w:val="none" w:sz="0" w:space="0" w:color="auto"/>
        <w:left w:val="none" w:sz="0" w:space="0" w:color="auto"/>
        <w:bottom w:val="none" w:sz="0" w:space="0" w:color="auto"/>
        <w:right w:val="none" w:sz="0" w:space="0" w:color="auto"/>
      </w:divBdr>
    </w:div>
    <w:div w:id="942569504">
      <w:bodyDiv w:val="1"/>
      <w:marLeft w:val="0"/>
      <w:marRight w:val="0"/>
      <w:marTop w:val="0"/>
      <w:marBottom w:val="0"/>
      <w:divBdr>
        <w:top w:val="none" w:sz="0" w:space="0" w:color="auto"/>
        <w:left w:val="none" w:sz="0" w:space="0" w:color="auto"/>
        <w:bottom w:val="none" w:sz="0" w:space="0" w:color="auto"/>
        <w:right w:val="none" w:sz="0" w:space="0" w:color="auto"/>
      </w:divBdr>
    </w:div>
    <w:div w:id="1047529817">
      <w:bodyDiv w:val="1"/>
      <w:marLeft w:val="0"/>
      <w:marRight w:val="0"/>
      <w:marTop w:val="0"/>
      <w:marBottom w:val="0"/>
      <w:divBdr>
        <w:top w:val="none" w:sz="0" w:space="0" w:color="auto"/>
        <w:left w:val="none" w:sz="0" w:space="0" w:color="auto"/>
        <w:bottom w:val="none" w:sz="0" w:space="0" w:color="auto"/>
        <w:right w:val="none" w:sz="0" w:space="0" w:color="auto"/>
      </w:divBdr>
    </w:div>
    <w:div w:id="1115176220">
      <w:bodyDiv w:val="1"/>
      <w:marLeft w:val="0"/>
      <w:marRight w:val="0"/>
      <w:marTop w:val="0"/>
      <w:marBottom w:val="0"/>
      <w:divBdr>
        <w:top w:val="none" w:sz="0" w:space="0" w:color="auto"/>
        <w:left w:val="none" w:sz="0" w:space="0" w:color="auto"/>
        <w:bottom w:val="none" w:sz="0" w:space="0" w:color="auto"/>
        <w:right w:val="none" w:sz="0" w:space="0" w:color="auto"/>
      </w:divBdr>
      <w:divsChild>
        <w:div w:id="202863588">
          <w:marLeft w:val="547"/>
          <w:marRight w:val="0"/>
          <w:marTop w:val="144"/>
          <w:marBottom w:val="0"/>
          <w:divBdr>
            <w:top w:val="none" w:sz="0" w:space="0" w:color="auto"/>
            <w:left w:val="none" w:sz="0" w:space="0" w:color="auto"/>
            <w:bottom w:val="none" w:sz="0" w:space="0" w:color="auto"/>
            <w:right w:val="none" w:sz="0" w:space="0" w:color="auto"/>
          </w:divBdr>
        </w:div>
        <w:div w:id="264073100">
          <w:marLeft w:val="547"/>
          <w:marRight w:val="0"/>
          <w:marTop w:val="144"/>
          <w:marBottom w:val="0"/>
          <w:divBdr>
            <w:top w:val="none" w:sz="0" w:space="0" w:color="auto"/>
            <w:left w:val="none" w:sz="0" w:space="0" w:color="auto"/>
            <w:bottom w:val="none" w:sz="0" w:space="0" w:color="auto"/>
            <w:right w:val="none" w:sz="0" w:space="0" w:color="auto"/>
          </w:divBdr>
        </w:div>
        <w:div w:id="521625755">
          <w:marLeft w:val="1166"/>
          <w:marRight w:val="0"/>
          <w:marTop w:val="125"/>
          <w:marBottom w:val="0"/>
          <w:divBdr>
            <w:top w:val="none" w:sz="0" w:space="0" w:color="auto"/>
            <w:left w:val="none" w:sz="0" w:space="0" w:color="auto"/>
            <w:bottom w:val="none" w:sz="0" w:space="0" w:color="auto"/>
            <w:right w:val="none" w:sz="0" w:space="0" w:color="auto"/>
          </w:divBdr>
        </w:div>
        <w:div w:id="639042091">
          <w:marLeft w:val="547"/>
          <w:marRight w:val="0"/>
          <w:marTop w:val="144"/>
          <w:marBottom w:val="0"/>
          <w:divBdr>
            <w:top w:val="none" w:sz="0" w:space="0" w:color="auto"/>
            <w:left w:val="none" w:sz="0" w:space="0" w:color="auto"/>
            <w:bottom w:val="none" w:sz="0" w:space="0" w:color="auto"/>
            <w:right w:val="none" w:sz="0" w:space="0" w:color="auto"/>
          </w:divBdr>
        </w:div>
        <w:div w:id="1590309109">
          <w:marLeft w:val="1166"/>
          <w:marRight w:val="0"/>
          <w:marTop w:val="125"/>
          <w:marBottom w:val="0"/>
          <w:divBdr>
            <w:top w:val="none" w:sz="0" w:space="0" w:color="auto"/>
            <w:left w:val="none" w:sz="0" w:space="0" w:color="auto"/>
            <w:bottom w:val="none" w:sz="0" w:space="0" w:color="auto"/>
            <w:right w:val="none" w:sz="0" w:space="0" w:color="auto"/>
          </w:divBdr>
        </w:div>
        <w:div w:id="1692296650">
          <w:marLeft w:val="547"/>
          <w:marRight w:val="0"/>
          <w:marTop w:val="144"/>
          <w:marBottom w:val="0"/>
          <w:divBdr>
            <w:top w:val="none" w:sz="0" w:space="0" w:color="auto"/>
            <w:left w:val="none" w:sz="0" w:space="0" w:color="auto"/>
            <w:bottom w:val="none" w:sz="0" w:space="0" w:color="auto"/>
            <w:right w:val="none" w:sz="0" w:space="0" w:color="auto"/>
          </w:divBdr>
        </w:div>
      </w:divsChild>
    </w:div>
    <w:div w:id="1205950127">
      <w:bodyDiv w:val="1"/>
      <w:marLeft w:val="0"/>
      <w:marRight w:val="0"/>
      <w:marTop w:val="0"/>
      <w:marBottom w:val="0"/>
      <w:divBdr>
        <w:top w:val="none" w:sz="0" w:space="0" w:color="auto"/>
        <w:left w:val="none" w:sz="0" w:space="0" w:color="auto"/>
        <w:bottom w:val="none" w:sz="0" w:space="0" w:color="auto"/>
        <w:right w:val="none" w:sz="0" w:space="0" w:color="auto"/>
      </w:divBdr>
    </w:div>
    <w:div w:id="212129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deas.repec.org/s/pal/jintbs.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deas.repec.org/a/pal/jintbs/v44y2013i3p195-215.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direct.com/science/journal/09291199/18/3" TargetMode="External"/><Relationship Id="rId5" Type="http://schemas.microsoft.com/office/2007/relationships/stylesWithEffects" Target="stylesWithEffects.xml"/><Relationship Id="rId15" Type="http://schemas.openxmlformats.org/officeDocument/2006/relationships/chart" Target="charts/chart1.xm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prints.uwe.ac.uk/2272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Figure 1. Measures</a:t>
            </a:r>
            <a:r>
              <a:rPr lang="en-US" sz="1000" baseline="0"/>
              <a:t> of Financial Depth and Per Capita Income in 2013.</a:t>
            </a:r>
            <a:r>
              <a:rPr lang="en-US" sz="1000"/>
              <a:t> </a:t>
            </a:r>
          </a:p>
        </c:rich>
      </c:tx>
      <c:overlay val="0"/>
    </c:title>
    <c:autoTitleDeleted val="0"/>
    <c:plotArea>
      <c:layout/>
      <c:scatterChart>
        <c:scatterStyle val="lineMarker"/>
        <c:varyColors val="0"/>
        <c:ser>
          <c:idx val="0"/>
          <c:order val="0"/>
          <c:tx>
            <c:strRef>
              <c:f>'PPP v DC'!$I$2</c:f>
              <c:strCache>
                <c:ptCount val="1"/>
                <c:pt idx="0">
                  <c:v>Domestic credit to private sector (% of GDP)</c:v>
                </c:pt>
              </c:strCache>
            </c:strRef>
          </c:tx>
          <c:spPr>
            <a:ln w="28575">
              <a:noFill/>
            </a:ln>
          </c:spPr>
          <c:dLbls>
            <c:dLbl>
              <c:idx val="0"/>
              <c:tx>
                <c:rich>
                  <a:bodyPr/>
                  <a:lstStyle/>
                  <a:p>
                    <a:r>
                      <a:rPr lang="en-US" sz="700"/>
                      <a:t>A</a:t>
                    </a:r>
                    <a:r>
                      <a:rPr lang="en-US"/>
                      <a:t>LB</a:t>
                    </a:r>
                  </a:p>
                </c:rich>
              </c:tx>
              <c:showLegendKey val="0"/>
              <c:showVal val="1"/>
              <c:showCatName val="0"/>
              <c:showSerName val="0"/>
              <c:showPercent val="0"/>
              <c:showBubbleSize val="0"/>
            </c:dLbl>
            <c:dLbl>
              <c:idx val="1"/>
              <c:tx>
                <c:rich>
                  <a:bodyPr/>
                  <a:lstStyle/>
                  <a:p>
                    <a:r>
                      <a:rPr lang="en-US" sz="700"/>
                      <a:t>A</a:t>
                    </a:r>
                    <a:r>
                      <a:rPr lang="en-US"/>
                      <a:t>RM</a:t>
                    </a:r>
                  </a:p>
                </c:rich>
              </c:tx>
              <c:showLegendKey val="0"/>
              <c:showVal val="1"/>
              <c:showCatName val="0"/>
              <c:showSerName val="0"/>
              <c:showPercent val="0"/>
              <c:showBubbleSize val="0"/>
            </c:dLbl>
            <c:dLbl>
              <c:idx val="2"/>
              <c:layout>
                <c:manualLayout>
                  <c:x val="-1.0197576028148522E-2"/>
                  <c:y val="-2.0703926996975212E-2"/>
                </c:manualLayout>
              </c:layout>
              <c:tx>
                <c:rich>
                  <a:bodyPr/>
                  <a:lstStyle/>
                  <a:p>
                    <a:r>
                      <a:rPr lang="en-US" sz="700"/>
                      <a:t>A</a:t>
                    </a:r>
                    <a:r>
                      <a:rPr lang="en-US"/>
                      <a:t>ZE</a:t>
                    </a:r>
                  </a:p>
                </c:rich>
              </c:tx>
              <c:showLegendKey val="0"/>
              <c:showVal val="1"/>
              <c:showCatName val="0"/>
              <c:showSerName val="0"/>
              <c:showPercent val="0"/>
              <c:showBubbleSize val="0"/>
            </c:dLbl>
            <c:dLbl>
              <c:idx val="3"/>
              <c:layout>
                <c:manualLayout>
                  <c:x val="-2.5493940070372427E-3"/>
                  <c:y val="8.2815707987901679E-3"/>
                </c:manualLayout>
              </c:layout>
              <c:tx>
                <c:rich>
                  <a:bodyPr/>
                  <a:lstStyle/>
                  <a:p>
                    <a:r>
                      <a:rPr lang="en-US" sz="700"/>
                      <a:t>B</a:t>
                    </a:r>
                    <a:r>
                      <a:rPr lang="en-US"/>
                      <a:t>EL</a:t>
                    </a:r>
                  </a:p>
                </c:rich>
              </c:tx>
              <c:showLegendKey val="0"/>
              <c:showVal val="1"/>
              <c:showCatName val="0"/>
              <c:showSerName val="0"/>
              <c:showPercent val="0"/>
              <c:showBubbleSize val="0"/>
            </c:dLbl>
            <c:dLbl>
              <c:idx val="4"/>
              <c:tx>
                <c:rich>
                  <a:bodyPr/>
                  <a:lstStyle/>
                  <a:p>
                    <a:r>
                      <a:rPr lang="en-US" sz="700"/>
                      <a:t>B</a:t>
                    </a:r>
                    <a:r>
                      <a:rPr lang="en-US"/>
                      <a:t>OS</a:t>
                    </a:r>
                  </a:p>
                </c:rich>
              </c:tx>
              <c:showLegendKey val="0"/>
              <c:showVal val="1"/>
              <c:showCatName val="0"/>
              <c:showSerName val="0"/>
              <c:showPercent val="0"/>
              <c:showBubbleSize val="0"/>
            </c:dLbl>
            <c:dLbl>
              <c:idx val="5"/>
              <c:tx>
                <c:rich>
                  <a:bodyPr/>
                  <a:lstStyle/>
                  <a:p>
                    <a:r>
                      <a:rPr lang="en-US" sz="700"/>
                      <a:t>B</a:t>
                    </a:r>
                    <a:r>
                      <a:rPr lang="en-US"/>
                      <a:t>UL</a:t>
                    </a:r>
                  </a:p>
                </c:rich>
              </c:tx>
              <c:showLegendKey val="0"/>
              <c:showVal val="1"/>
              <c:showCatName val="0"/>
              <c:showSerName val="0"/>
              <c:showPercent val="0"/>
              <c:showBubbleSize val="0"/>
            </c:dLbl>
            <c:dLbl>
              <c:idx val="6"/>
              <c:tx>
                <c:rich>
                  <a:bodyPr/>
                  <a:lstStyle/>
                  <a:p>
                    <a:r>
                      <a:rPr lang="en-US" sz="700"/>
                      <a:t>C</a:t>
                    </a:r>
                    <a:r>
                      <a:rPr lang="en-US"/>
                      <a:t>RO</a:t>
                    </a:r>
                  </a:p>
                </c:rich>
              </c:tx>
              <c:showLegendKey val="0"/>
              <c:showVal val="1"/>
              <c:showCatName val="0"/>
              <c:showSerName val="0"/>
              <c:showPercent val="0"/>
              <c:showBubbleSize val="0"/>
            </c:dLbl>
            <c:dLbl>
              <c:idx val="7"/>
              <c:layout>
                <c:manualLayout>
                  <c:x val="-1.5296364042222723E-2"/>
                  <c:y val="2.8985497795765442E-2"/>
                </c:manualLayout>
              </c:layout>
              <c:tx>
                <c:rich>
                  <a:bodyPr/>
                  <a:lstStyle/>
                  <a:p>
                    <a:r>
                      <a:rPr lang="en-US" sz="700"/>
                      <a:t>E</a:t>
                    </a:r>
                    <a:r>
                      <a:rPr lang="en-US"/>
                      <a:t>ST</a:t>
                    </a:r>
                  </a:p>
                </c:rich>
              </c:tx>
              <c:showLegendKey val="0"/>
              <c:showVal val="1"/>
              <c:showCatName val="0"/>
              <c:showSerName val="0"/>
              <c:showPercent val="0"/>
              <c:showBubbleSize val="0"/>
            </c:dLbl>
            <c:dLbl>
              <c:idx val="8"/>
              <c:tx>
                <c:rich>
                  <a:bodyPr/>
                  <a:lstStyle/>
                  <a:p>
                    <a:r>
                      <a:rPr lang="en-US" sz="700"/>
                      <a:t>M</a:t>
                    </a:r>
                    <a:r>
                      <a:rPr lang="en-US"/>
                      <a:t>AC</a:t>
                    </a:r>
                  </a:p>
                </c:rich>
              </c:tx>
              <c:showLegendKey val="0"/>
              <c:showVal val="1"/>
              <c:showCatName val="0"/>
              <c:showSerName val="0"/>
              <c:showPercent val="0"/>
              <c:showBubbleSize val="0"/>
            </c:dLbl>
            <c:dLbl>
              <c:idx val="9"/>
              <c:tx>
                <c:rich>
                  <a:bodyPr/>
                  <a:lstStyle/>
                  <a:p>
                    <a:r>
                      <a:rPr lang="en-US" sz="700"/>
                      <a:t>G</a:t>
                    </a:r>
                    <a:r>
                      <a:rPr lang="en-US"/>
                      <a:t>EO</a:t>
                    </a:r>
                  </a:p>
                </c:rich>
              </c:tx>
              <c:showLegendKey val="0"/>
              <c:showVal val="1"/>
              <c:showCatName val="0"/>
              <c:showSerName val="0"/>
              <c:showPercent val="0"/>
              <c:showBubbleSize val="0"/>
            </c:dLbl>
            <c:dLbl>
              <c:idx val="10"/>
              <c:layout>
                <c:manualLayout>
                  <c:x val="-1.2746970035185859E-2"/>
                  <c:y val="-1.6563141597580627E-2"/>
                </c:manualLayout>
              </c:layout>
              <c:tx>
                <c:rich>
                  <a:bodyPr/>
                  <a:lstStyle/>
                  <a:p>
                    <a:r>
                      <a:rPr lang="en-US" sz="700"/>
                      <a:t>H</a:t>
                    </a:r>
                    <a:r>
                      <a:rPr lang="en-US"/>
                      <a:t>UN</a:t>
                    </a:r>
                  </a:p>
                </c:rich>
              </c:tx>
              <c:showLegendKey val="0"/>
              <c:showVal val="1"/>
              <c:showCatName val="0"/>
              <c:showSerName val="0"/>
              <c:showPercent val="0"/>
              <c:showBubbleSize val="0"/>
            </c:dLbl>
            <c:dLbl>
              <c:idx val="11"/>
              <c:tx>
                <c:rich>
                  <a:bodyPr/>
                  <a:lstStyle/>
                  <a:p>
                    <a:r>
                      <a:rPr lang="en-US" sz="700"/>
                      <a:t>K</a:t>
                    </a:r>
                    <a:r>
                      <a:rPr lang="en-US"/>
                      <a:t>AZ</a:t>
                    </a:r>
                  </a:p>
                </c:rich>
              </c:tx>
              <c:showLegendKey val="0"/>
              <c:showVal val="1"/>
              <c:showCatName val="0"/>
              <c:showSerName val="0"/>
              <c:showPercent val="0"/>
              <c:showBubbleSize val="0"/>
            </c:dLbl>
            <c:dLbl>
              <c:idx val="12"/>
              <c:layout>
                <c:manualLayout>
                  <c:x val="-7.6481820211114033E-3"/>
                  <c:y val="2.4844712396370754E-2"/>
                </c:manualLayout>
              </c:layout>
              <c:tx>
                <c:rich>
                  <a:bodyPr/>
                  <a:lstStyle/>
                  <a:p>
                    <a:r>
                      <a:rPr lang="en-US" sz="700"/>
                      <a:t>K</a:t>
                    </a:r>
                    <a:r>
                      <a:rPr lang="en-US"/>
                      <a:t>YR</a:t>
                    </a:r>
                  </a:p>
                </c:rich>
              </c:tx>
              <c:showLegendKey val="0"/>
              <c:showVal val="1"/>
              <c:showCatName val="0"/>
              <c:showSerName val="0"/>
              <c:showPercent val="0"/>
              <c:showBubbleSize val="0"/>
            </c:dLbl>
            <c:dLbl>
              <c:idx val="13"/>
              <c:layout>
                <c:manualLayout>
                  <c:x val="-1.529636404222288E-2"/>
                  <c:y val="-2.4844712396370636E-2"/>
                </c:manualLayout>
              </c:layout>
              <c:tx>
                <c:rich>
                  <a:bodyPr/>
                  <a:lstStyle/>
                  <a:p>
                    <a:r>
                      <a:rPr lang="en-US" sz="700"/>
                      <a:t>L</a:t>
                    </a:r>
                    <a:r>
                      <a:rPr lang="en-US"/>
                      <a:t>AT</a:t>
                    </a:r>
                  </a:p>
                </c:rich>
              </c:tx>
              <c:showLegendKey val="0"/>
              <c:showVal val="1"/>
              <c:showCatName val="0"/>
              <c:showSerName val="0"/>
              <c:showPercent val="0"/>
              <c:showBubbleSize val="0"/>
            </c:dLbl>
            <c:dLbl>
              <c:idx val="14"/>
              <c:layout>
                <c:manualLayout>
                  <c:x val="0"/>
                  <c:y val="1.2422356198185344E-2"/>
                </c:manualLayout>
              </c:layout>
              <c:tx>
                <c:rich>
                  <a:bodyPr/>
                  <a:lstStyle/>
                  <a:p>
                    <a:r>
                      <a:rPr lang="en-US" sz="700"/>
                      <a:t>L</a:t>
                    </a:r>
                    <a:r>
                      <a:rPr lang="en-US"/>
                      <a:t>IT</a:t>
                    </a:r>
                  </a:p>
                </c:rich>
              </c:tx>
              <c:showLegendKey val="0"/>
              <c:showVal val="1"/>
              <c:showCatName val="0"/>
              <c:showSerName val="0"/>
              <c:showPercent val="0"/>
              <c:showBubbleSize val="0"/>
            </c:dLbl>
            <c:dLbl>
              <c:idx val="15"/>
              <c:layout>
                <c:manualLayout>
                  <c:x val="-3.8240910105557385E-2"/>
                  <c:y val="4.1407853993950486E-2"/>
                </c:manualLayout>
              </c:layout>
              <c:tx>
                <c:rich>
                  <a:bodyPr/>
                  <a:lstStyle/>
                  <a:p>
                    <a:r>
                      <a:rPr lang="en-US" sz="700"/>
                      <a:t>M</a:t>
                    </a:r>
                    <a:r>
                      <a:rPr lang="en-US"/>
                      <a:t>OL</a:t>
                    </a:r>
                  </a:p>
                </c:rich>
              </c:tx>
              <c:showLegendKey val="0"/>
              <c:showVal val="1"/>
              <c:showCatName val="0"/>
              <c:showSerName val="0"/>
              <c:showPercent val="0"/>
              <c:showBubbleSize val="0"/>
            </c:dLbl>
            <c:dLbl>
              <c:idx val="16"/>
              <c:tx>
                <c:rich>
                  <a:bodyPr/>
                  <a:lstStyle/>
                  <a:p>
                    <a:r>
                      <a:rPr lang="en-US" sz="700"/>
                      <a:t>M</a:t>
                    </a:r>
                    <a:r>
                      <a:rPr lang="en-US"/>
                      <a:t>ON</a:t>
                    </a:r>
                  </a:p>
                </c:rich>
              </c:tx>
              <c:showLegendKey val="0"/>
              <c:showVal val="1"/>
              <c:showCatName val="0"/>
              <c:showSerName val="0"/>
              <c:showPercent val="0"/>
              <c:showBubbleSize val="0"/>
            </c:dLbl>
            <c:dLbl>
              <c:idx val="17"/>
              <c:layout>
                <c:manualLayout>
                  <c:x val="0"/>
                  <c:y val="-1.2422356198185344E-2"/>
                </c:manualLayout>
              </c:layout>
              <c:tx>
                <c:rich>
                  <a:bodyPr/>
                  <a:lstStyle/>
                  <a:p>
                    <a:r>
                      <a:rPr lang="en-US" sz="700"/>
                      <a:t>P</a:t>
                    </a:r>
                    <a:r>
                      <a:rPr lang="en-US"/>
                      <a:t>OL</a:t>
                    </a:r>
                  </a:p>
                </c:rich>
              </c:tx>
              <c:showLegendKey val="0"/>
              <c:showVal val="1"/>
              <c:showCatName val="0"/>
              <c:showSerName val="0"/>
              <c:showPercent val="0"/>
              <c:showBubbleSize val="0"/>
            </c:dLbl>
            <c:dLbl>
              <c:idx val="18"/>
              <c:tx>
                <c:rich>
                  <a:bodyPr/>
                  <a:lstStyle/>
                  <a:p>
                    <a:r>
                      <a:rPr lang="en-US" sz="700"/>
                      <a:t>R</a:t>
                    </a:r>
                    <a:r>
                      <a:rPr lang="en-US"/>
                      <a:t>OM</a:t>
                    </a:r>
                  </a:p>
                </c:rich>
              </c:tx>
              <c:showLegendKey val="0"/>
              <c:showVal val="1"/>
              <c:showCatName val="0"/>
              <c:showSerName val="0"/>
              <c:showPercent val="0"/>
              <c:showBubbleSize val="0"/>
            </c:dLbl>
            <c:dLbl>
              <c:idx val="19"/>
              <c:layout>
                <c:manualLayout>
                  <c:x val="-1.0197576028148522E-2"/>
                  <c:y val="1.2422356198185344E-2"/>
                </c:manualLayout>
              </c:layout>
              <c:tx>
                <c:rich>
                  <a:bodyPr/>
                  <a:lstStyle/>
                  <a:p>
                    <a:r>
                      <a:rPr lang="en-US" sz="700"/>
                      <a:t>R</a:t>
                    </a:r>
                    <a:r>
                      <a:rPr lang="en-US"/>
                      <a:t>US</a:t>
                    </a:r>
                  </a:p>
                </c:rich>
              </c:tx>
              <c:showLegendKey val="0"/>
              <c:showVal val="1"/>
              <c:showCatName val="0"/>
              <c:showSerName val="0"/>
              <c:showPercent val="0"/>
              <c:showBubbleSize val="0"/>
            </c:dLbl>
            <c:dLbl>
              <c:idx val="20"/>
              <c:tx>
                <c:rich>
                  <a:bodyPr/>
                  <a:lstStyle/>
                  <a:p>
                    <a:r>
                      <a:rPr lang="en-US" sz="700"/>
                      <a:t>S</a:t>
                    </a:r>
                    <a:r>
                      <a:rPr lang="en-US"/>
                      <a:t>ER</a:t>
                    </a:r>
                  </a:p>
                </c:rich>
              </c:tx>
              <c:showLegendKey val="0"/>
              <c:showVal val="1"/>
              <c:showCatName val="0"/>
              <c:showSerName val="0"/>
              <c:showPercent val="0"/>
              <c:showBubbleSize val="0"/>
            </c:dLbl>
            <c:dLbl>
              <c:idx val="21"/>
              <c:tx>
                <c:rich>
                  <a:bodyPr/>
                  <a:lstStyle/>
                  <a:p>
                    <a:r>
                      <a:rPr lang="en-US" sz="700"/>
                      <a:t>S</a:t>
                    </a:r>
                    <a:r>
                      <a:rPr lang="en-US"/>
                      <a:t>LK</a:t>
                    </a:r>
                  </a:p>
                </c:rich>
              </c:tx>
              <c:showLegendKey val="0"/>
              <c:showVal val="1"/>
              <c:showCatName val="0"/>
              <c:showSerName val="0"/>
              <c:showPercent val="0"/>
              <c:showBubbleSize val="0"/>
            </c:dLbl>
            <c:dLbl>
              <c:idx val="22"/>
              <c:tx>
                <c:rich>
                  <a:bodyPr/>
                  <a:lstStyle/>
                  <a:p>
                    <a:r>
                      <a:rPr lang="en-US" sz="700"/>
                      <a:t>S</a:t>
                    </a:r>
                    <a:r>
                      <a:rPr lang="en-US"/>
                      <a:t>LV</a:t>
                    </a:r>
                  </a:p>
                </c:rich>
              </c:tx>
              <c:showLegendKey val="0"/>
              <c:showVal val="1"/>
              <c:showCatName val="0"/>
              <c:showSerName val="0"/>
              <c:showPercent val="0"/>
              <c:showBubbleSize val="0"/>
            </c:dLbl>
            <c:dLbl>
              <c:idx val="23"/>
              <c:tx>
                <c:rich>
                  <a:bodyPr/>
                  <a:lstStyle/>
                  <a:p>
                    <a:r>
                      <a:rPr lang="en-US" sz="700"/>
                      <a:t>T</a:t>
                    </a:r>
                    <a:r>
                      <a:rPr lang="en-US"/>
                      <a:t>AJ</a:t>
                    </a:r>
                  </a:p>
                </c:rich>
              </c:tx>
              <c:showLegendKey val="0"/>
              <c:showVal val="1"/>
              <c:showCatName val="0"/>
              <c:showSerName val="0"/>
              <c:showPercent val="0"/>
              <c:showBubbleSize val="0"/>
            </c:dLbl>
            <c:dLbl>
              <c:idx val="24"/>
              <c:tx>
                <c:rich>
                  <a:bodyPr/>
                  <a:lstStyle/>
                  <a:p>
                    <a:r>
                      <a:rPr lang="en-US" sz="700"/>
                      <a:t>U</a:t>
                    </a:r>
                    <a:r>
                      <a:rPr lang="en-US"/>
                      <a:t>KR</a:t>
                    </a:r>
                  </a:p>
                </c:rich>
              </c:tx>
              <c:showLegendKey val="0"/>
              <c:showVal val="1"/>
              <c:showCatName val="0"/>
              <c:showSerName val="0"/>
              <c:showPercent val="0"/>
              <c:showBubbleSize val="0"/>
            </c:dLbl>
            <c:dLbl>
              <c:idx val="25"/>
              <c:layout>
                <c:manualLayout>
                  <c:x val="-1.52963640422228E-2"/>
                  <c:y val="-8.2815707987900986E-3"/>
                </c:manualLayout>
              </c:layout>
              <c:tx>
                <c:rich>
                  <a:bodyPr/>
                  <a:lstStyle/>
                  <a:p>
                    <a:r>
                      <a:rPr lang="en-US" sz="700"/>
                      <a:t>U</a:t>
                    </a:r>
                    <a:r>
                      <a:rPr lang="en-US"/>
                      <a:t>ZB</a:t>
                    </a:r>
                  </a:p>
                </c:rich>
              </c:tx>
              <c:showLegendKey val="0"/>
              <c:showVal val="1"/>
              <c:showCatName val="0"/>
              <c:showSerName val="0"/>
              <c:showPercent val="0"/>
              <c:showBubbleSize val="0"/>
            </c:dLbl>
            <c:dLbl>
              <c:idx val="26"/>
              <c:tx>
                <c:rich>
                  <a:bodyPr/>
                  <a:lstStyle/>
                  <a:p>
                    <a:r>
                      <a:rPr lang="en-US" sz="700"/>
                      <a:t>C</a:t>
                    </a:r>
                    <a:r>
                      <a:rPr lang="en-US"/>
                      <a:t>ZC</a:t>
                    </a:r>
                  </a:p>
                </c:rich>
              </c:tx>
              <c:showLegendKey val="0"/>
              <c:showVal val="1"/>
              <c:showCatName val="0"/>
              <c:showSerName val="0"/>
              <c:showPercent val="0"/>
              <c:showBubbleSize val="0"/>
            </c:dLbl>
            <c:dLbl>
              <c:idx val="27"/>
              <c:layout>
                <c:manualLayout>
                  <c:x val="-1.2746970035185937E-2"/>
                  <c:y val="4.5548639393345594E-2"/>
                </c:manualLayout>
              </c:layout>
              <c:tx>
                <c:rich>
                  <a:bodyPr/>
                  <a:lstStyle/>
                  <a:p>
                    <a:r>
                      <a:rPr lang="en-US" sz="700"/>
                      <a:t>K</a:t>
                    </a:r>
                    <a:r>
                      <a:rPr lang="en-US"/>
                      <a:t>OS</a:t>
                    </a:r>
                  </a:p>
                </c:rich>
              </c:tx>
              <c:showLegendKey val="0"/>
              <c:showVal val="1"/>
              <c:showCatName val="0"/>
              <c:showSerName val="0"/>
              <c:showPercent val="0"/>
              <c:showBubbleSize val="0"/>
            </c:dLbl>
            <c:txPr>
              <a:bodyPr/>
              <a:lstStyle/>
              <a:p>
                <a:pPr>
                  <a:defRPr sz="700"/>
                </a:pPr>
                <a:endParaRPr lang="en-US"/>
              </a:p>
            </c:txPr>
            <c:showLegendKey val="0"/>
            <c:showVal val="1"/>
            <c:showCatName val="0"/>
            <c:showSerName val="0"/>
            <c:showPercent val="0"/>
            <c:showBubbleSize val="0"/>
            <c:showLeaderLines val="0"/>
          </c:dLbls>
          <c:xVal>
            <c:numRef>
              <c:f>'PPP v DC'!$H$3:$H$30</c:f>
              <c:numCache>
                <c:formatCode>General</c:formatCode>
                <c:ptCount val="28"/>
                <c:pt idx="0">
                  <c:v>10374</c:v>
                </c:pt>
                <c:pt idx="1">
                  <c:v>7776</c:v>
                </c:pt>
                <c:pt idx="2">
                  <c:v>17143</c:v>
                </c:pt>
                <c:pt idx="3">
                  <c:v>17620</c:v>
                </c:pt>
                <c:pt idx="4">
                  <c:v>9535</c:v>
                </c:pt>
                <c:pt idx="5">
                  <c:v>15731</c:v>
                </c:pt>
                <c:pt idx="6">
                  <c:v>21366</c:v>
                </c:pt>
                <c:pt idx="7">
                  <c:v>25462</c:v>
                </c:pt>
                <c:pt idx="8">
                  <c:v>11611</c:v>
                </c:pt>
                <c:pt idx="9">
                  <c:v>7176</c:v>
                </c:pt>
                <c:pt idx="10">
                  <c:v>23482</c:v>
                </c:pt>
                <c:pt idx="11">
                  <c:v>23211</c:v>
                </c:pt>
                <c:pt idx="12">
                  <c:v>3212</c:v>
                </c:pt>
                <c:pt idx="13">
                  <c:v>22560</c:v>
                </c:pt>
                <c:pt idx="14">
                  <c:v>25467</c:v>
                </c:pt>
                <c:pt idx="15">
                  <c:v>4670</c:v>
                </c:pt>
                <c:pt idx="16">
                  <c:v>14131</c:v>
                </c:pt>
                <c:pt idx="17">
                  <c:v>23649</c:v>
                </c:pt>
                <c:pt idx="18">
                  <c:v>18991</c:v>
                </c:pt>
                <c:pt idx="19">
                  <c:v>24114</c:v>
                </c:pt>
                <c:pt idx="20">
                  <c:v>13020</c:v>
                </c:pt>
                <c:pt idx="21">
                  <c:v>26642</c:v>
                </c:pt>
                <c:pt idx="22">
                  <c:v>28995</c:v>
                </c:pt>
                <c:pt idx="23">
                  <c:v>2512</c:v>
                </c:pt>
                <c:pt idx="24">
                  <c:v>8789</c:v>
                </c:pt>
                <c:pt idx="25">
                  <c:v>5168</c:v>
                </c:pt>
                <c:pt idx="26">
                  <c:v>28770</c:v>
                </c:pt>
                <c:pt idx="27">
                  <c:v>8883</c:v>
                </c:pt>
              </c:numCache>
            </c:numRef>
          </c:xVal>
          <c:yVal>
            <c:numRef>
              <c:f>'PPP v DC'!$I$3:$I$30</c:f>
              <c:numCache>
                <c:formatCode>General</c:formatCode>
                <c:ptCount val="28"/>
                <c:pt idx="0">
                  <c:v>37.6</c:v>
                </c:pt>
                <c:pt idx="1">
                  <c:v>45.2</c:v>
                </c:pt>
                <c:pt idx="2">
                  <c:v>25.5</c:v>
                </c:pt>
                <c:pt idx="3">
                  <c:v>24.1</c:v>
                </c:pt>
                <c:pt idx="4">
                  <c:v>62</c:v>
                </c:pt>
                <c:pt idx="5">
                  <c:v>69.599999999999994</c:v>
                </c:pt>
                <c:pt idx="6">
                  <c:v>76.7</c:v>
                </c:pt>
                <c:pt idx="7">
                  <c:v>73.7</c:v>
                </c:pt>
                <c:pt idx="8">
                  <c:v>49.2</c:v>
                </c:pt>
                <c:pt idx="9">
                  <c:v>39.800000000000004</c:v>
                </c:pt>
                <c:pt idx="10">
                  <c:v>57</c:v>
                </c:pt>
                <c:pt idx="11">
                  <c:v>35.5</c:v>
                </c:pt>
                <c:pt idx="12">
                  <c:v>10.7</c:v>
                </c:pt>
                <c:pt idx="13">
                  <c:v>60.7</c:v>
                </c:pt>
                <c:pt idx="14">
                  <c:v>46</c:v>
                </c:pt>
                <c:pt idx="15">
                  <c:v>39.700000000000003</c:v>
                </c:pt>
                <c:pt idx="16">
                  <c:v>53.6</c:v>
                </c:pt>
                <c:pt idx="17">
                  <c:v>53.9</c:v>
                </c:pt>
                <c:pt idx="18">
                  <c:v>41.4</c:v>
                </c:pt>
                <c:pt idx="19">
                  <c:v>52.5</c:v>
                </c:pt>
                <c:pt idx="20">
                  <c:v>43.5</c:v>
                </c:pt>
                <c:pt idx="21">
                  <c:v>75</c:v>
                </c:pt>
                <c:pt idx="22">
                  <c:v>70.8</c:v>
                </c:pt>
                <c:pt idx="23">
                  <c:v>17.899999999999999</c:v>
                </c:pt>
                <c:pt idx="24">
                  <c:v>74</c:v>
                </c:pt>
                <c:pt idx="25">
                  <c:v>14</c:v>
                </c:pt>
                <c:pt idx="26">
                  <c:v>55.4</c:v>
                </c:pt>
                <c:pt idx="27">
                  <c:v>35</c:v>
                </c:pt>
              </c:numCache>
            </c:numRef>
          </c:yVal>
          <c:smooth val="0"/>
        </c:ser>
        <c:dLbls>
          <c:showLegendKey val="0"/>
          <c:showVal val="0"/>
          <c:showCatName val="0"/>
          <c:showSerName val="0"/>
          <c:showPercent val="0"/>
          <c:showBubbleSize val="0"/>
        </c:dLbls>
        <c:axId val="91954176"/>
        <c:axId val="91956352"/>
      </c:scatterChart>
      <c:valAx>
        <c:axId val="91954176"/>
        <c:scaling>
          <c:orientation val="minMax"/>
        </c:scaling>
        <c:delete val="0"/>
        <c:axPos val="b"/>
        <c:title>
          <c:tx>
            <c:rich>
              <a:bodyPr/>
              <a:lstStyle/>
              <a:p>
                <a:pPr>
                  <a:defRPr/>
                </a:pPr>
                <a:r>
                  <a:rPr lang="en-GB"/>
                  <a:t>GDP Per Capita, PPP (Current International $)</a:t>
                </a:r>
              </a:p>
              <a:p>
                <a:pPr>
                  <a:defRPr/>
                </a:pPr>
                <a:r>
                  <a:rPr lang="en-GB"/>
                  <a:t>Source: World Development Indicators (2016)</a:t>
                </a:r>
              </a:p>
            </c:rich>
          </c:tx>
          <c:overlay val="0"/>
        </c:title>
        <c:numFmt formatCode="General" sourceLinked="1"/>
        <c:majorTickMark val="out"/>
        <c:minorTickMark val="none"/>
        <c:tickLblPos val="nextTo"/>
        <c:crossAx val="91956352"/>
        <c:crosses val="autoZero"/>
        <c:crossBetween val="midCat"/>
      </c:valAx>
      <c:valAx>
        <c:axId val="91956352"/>
        <c:scaling>
          <c:orientation val="minMax"/>
        </c:scaling>
        <c:delete val="0"/>
        <c:axPos val="l"/>
        <c:title>
          <c:tx>
            <c:rich>
              <a:bodyPr/>
              <a:lstStyle/>
              <a:p>
                <a:pPr>
                  <a:defRPr/>
                </a:pPr>
                <a:r>
                  <a:rPr lang="en-GB"/>
                  <a:t>Domestic</a:t>
                </a:r>
                <a:r>
                  <a:rPr lang="en-GB" baseline="0"/>
                  <a:t> Credit to Private Sector, % of GDP</a:t>
                </a:r>
                <a:endParaRPr lang="en-GB"/>
              </a:p>
            </c:rich>
          </c:tx>
          <c:overlay val="0"/>
        </c:title>
        <c:numFmt formatCode="General" sourceLinked="1"/>
        <c:majorTickMark val="out"/>
        <c:minorTickMark val="none"/>
        <c:tickLblPos val="nextTo"/>
        <c:crossAx val="91954176"/>
        <c:crosses val="autoZero"/>
        <c:crossBetween val="midCat"/>
      </c:valAx>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018B-C811-43F8-A2BC-05C54FAA821F}">
  <ds:schemaRefs>
    <ds:schemaRef ds:uri="http://schemas.openxmlformats.org/officeDocument/2006/bibliography"/>
  </ds:schemaRefs>
</ds:datastoreItem>
</file>

<file path=customXml/itemProps2.xml><?xml version="1.0" encoding="utf-8"?>
<ds:datastoreItem xmlns:ds="http://schemas.openxmlformats.org/officeDocument/2006/customXml" ds:itemID="{23281136-86CA-4C82-9A8B-A9A98E16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10266</Words>
  <Characters>58521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 Ruziev</dc:creator>
  <cp:lastModifiedBy>Kobil Ruziev</cp:lastModifiedBy>
  <cp:revision>4</cp:revision>
  <cp:lastPrinted>2017-11-14T15:18:00Z</cp:lastPrinted>
  <dcterms:created xsi:type="dcterms:W3CDTF">2018-03-31T12:51:00Z</dcterms:created>
  <dcterms:modified xsi:type="dcterms:W3CDTF">2018-04-20T13:27:00Z</dcterms:modified>
</cp:coreProperties>
</file>